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both"/>
        <w:rPr>
          <w:rFonts w:hint="eastAsia" w:ascii="黑体" w:hAnsi="黑体" w:eastAsia="黑体" w:cs="黑体"/>
          <w:color w:val="auto"/>
          <w:sz w:val="32"/>
          <w:szCs w:val="32"/>
          <w:highlight w:val="none"/>
          <w:lang w:val="en-US" w:eastAsia="zh-CN"/>
        </w:rPr>
      </w:pPr>
      <w:bookmarkStart w:id="0" w:name="_GoBack"/>
      <w:bookmarkEnd w:id="0"/>
    </w:p>
    <w:p>
      <w:pPr>
        <w:spacing w:line="600" w:lineRule="exact"/>
        <w:jc w:val="center"/>
        <w:rPr>
          <w:rFonts w:ascii="Times New Roman" w:hAnsi="Times New Roman" w:eastAsia="方正小标宋_GBK" w:cs="Times New Roman"/>
          <w:color w:val="auto"/>
          <w:sz w:val="44"/>
          <w:szCs w:val="44"/>
          <w:highlight w:val="none"/>
        </w:rPr>
      </w:pPr>
      <w:r>
        <w:rPr>
          <w:rFonts w:ascii="Times New Roman" w:hAnsi="Times New Roman" w:eastAsia="方正小标宋_GBK" w:cs="Times New Roman"/>
          <w:color w:val="auto"/>
          <w:sz w:val="44"/>
          <w:szCs w:val="44"/>
          <w:highlight w:val="none"/>
        </w:rPr>
        <w:t>广西壮族自治区建设项目环境影响报告书（表）编制单位信用管理办法</w:t>
      </w:r>
    </w:p>
    <w:p>
      <w:pPr>
        <w:adjustRightInd w:val="0"/>
        <w:snapToGrid w:val="0"/>
        <w:spacing w:line="700" w:lineRule="exact"/>
        <w:jc w:val="center"/>
        <w:rPr>
          <w:rFonts w:ascii="楷体" w:hAnsi="楷体" w:eastAsia="楷体"/>
          <w:sz w:val="32"/>
          <w:szCs w:val="32"/>
        </w:rPr>
      </w:pPr>
      <w:r>
        <w:rPr>
          <w:rFonts w:hint="eastAsia" w:ascii="楷体" w:hAnsi="楷体" w:eastAsia="楷体"/>
          <w:sz w:val="32"/>
          <w:szCs w:val="32"/>
        </w:rPr>
        <w:t>（征求意见稿）</w:t>
      </w:r>
    </w:p>
    <w:p>
      <w:pPr>
        <w:spacing w:line="600" w:lineRule="exact"/>
        <w:ind w:firstLine="640"/>
        <w:jc w:val="center"/>
        <w:rPr>
          <w:rFonts w:ascii="Times New Roman" w:hAnsi="Times New Roman" w:eastAsia="方正小标宋_GBK" w:cs="Times New Roman"/>
          <w:color w:val="auto"/>
          <w:sz w:val="21"/>
          <w:szCs w:val="21"/>
          <w:highlight w:val="none"/>
        </w:rPr>
      </w:pPr>
    </w:p>
    <w:p>
      <w:pPr>
        <w:spacing w:line="600" w:lineRule="exact"/>
        <w:ind w:firstLine="640" w:firstLineChars="200"/>
        <w:rPr>
          <w:rFonts w:ascii="Times New Roman" w:hAnsi="Times New Roman" w:eastAsia="仿宋" w:cs="Times New Roman"/>
          <w:color w:val="auto"/>
          <w:highlight w:val="none"/>
        </w:rPr>
      </w:pPr>
      <w:r>
        <w:rPr>
          <w:rFonts w:ascii="Times New Roman" w:hAnsi="Times New Roman" w:eastAsia="仿宋" w:cs="Times New Roman"/>
          <w:color w:val="auto"/>
          <w:highlight w:val="none"/>
        </w:rPr>
        <w:t>第一条 为</w:t>
      </w:r>
      <w:r>
        <w:rPr>
          <w:rFonts w:hint="eastAsia" w:ascii="Times New Roman" w:hAnsi="Times New Roman" w:eastAsia="仿宋" w:cs="Times New Roman"/>
          <w:color w:val="auto"/>
          <w:highlight w:val="none"/>
        </w:rPr>
        <w:t>优化营商环境，</w:t>
      </w:r>
      <w:r>
        <w:rPr>
          <w:rFonts w:hint="eastAsia" w:ascii="Times New Roman" w:hAnsi="Times New Roman" w:eastAsia="仿宋" w:cs="Times New Roman"/>
          <w:sz w:val="32"/>
          <w:szCs w:val="30"/>
          <w:lang w:eastAsia="zh-CN" w:bidi="ar"/>
        </w:rPr>
        <w:t>进一步维护广西环境影响评价中介服务市场秩序，促进公平竞争，完善信用管理体系</w:t>
      </w:r>
      <w:r>
        <w:rPr>
          <w:rFonts w:ascii="Times New Roman" w:hAnsi="Times New Roman" w:eastAsia="仿宋" w:cs="Times New Roman"/>
          <w:color w:val="auto"/>
          <w:highlight w:val="none"/>
          <w:lang w:bidi="ar"/>
        </w:rPr>
        <w:t>，</w:t>
      </w:r>
      <w:r>
        <w:rPr>
          <w:rFonts w:ascii="Times New Roman" w:hAnsi="Times New Roman" w:eastAsia="仿宋" w:cs="Times New Roman"/>
          <w:color w:val="auto"/>
          <w:highlight w:val="none"/>
        </w:rPr>
        <w:t>结合我区实际情况，制定本办法。</w:t>
      </w:r>
    </w:p>
    <w:p>
      <w:pPr>
        <w:spacing w:line="600" w:lineRule="exact"/>
        <w:ind w:firstLine="640" w:firstLineChars="200"/>
        <w:rPr>
          <w:rFonts w:ascii="Times New Roman" w:hAnsi="Times New Roman" w:eastAsia="仿宋" w:cs="Times New Roman"/>
          <w:color w:val="auto"/>
          <w:highlight w:val="none"/>
        </w:rPr>
      </w:pPr>
      <w:r>
        <w:rPr>
          <w:rFonts w:ascii="Times New Roman" w:hAnsi="Times New Roman" w:eastAsia="仿宋" w:cs="Times New Roman"/>
          <w:color w:val="auto"/>
          <w:highlight w:val="none"/>
        </w:rPr>
        <w:t>第</w:t>
      </w:r>
      <w:r>
        <w:rPr>
          <w:rFonts w:hint="eastAsia" w:ascii="Times New Roman" w:hAnsi="Times New Roman" w:eastAsia="仿宋" w:cs="Times New Roman"/>
          <w:color w:val="auto"/>
          <w:highlight w:val="none"/>
          <w:lang w:eastAsia="zh-CN"/>
        </w:rPr>
        <w:t>二</w:t>
      </w:r>
      <w:r>
        <w:rPr>
          <w:rFonts w:ascii="Times New Roman" w:hAnsi="Times New Roman" w:eastAsia="仿宋" w:cs="Times New Roman"/>
          <w:color w:val="auto"/>
          <w:highlight w:val="none"/>
        </w:rPr>
        <w:t>条 本办法适用于在广西壮族自治区行政区域内开展环境影响评价的编制单位。</w:t>
      </w:r>
    </w:p>
    <w:p>
      <w:pPr>
        <w:spacing w:line="600" w:lineRule="exact"/>
        <w:ind w:firstLine="640" w:firstLineChars="200"/>
        <w:rPr>
          <w:rFonts w:ascii="Times New Roman" w:hAnsi="Times New Roman" w:eastAsia="仿宋" w:cs="Times New Roman"/>
          <w:color w:val="auto"/>
          <w:highlight w:val="none"/>
        </w:rPr>
      </w:pPr>
      <w:r>
        <w:rPr>
          <w:rFonts w:ascii="Times New Roman" w:hAnsi="Times New Roman" w:eastAsia="仿宋" w:cs="Times New Roman"/>
          <w:color w:val="auto"/>
          <w:highlight w:val="none"/>
        </w:rPr>
        <w:t>第</w:t>
      </w:r>
      <w:r>
        <w:rPr>
          <w:rFonts w:hint="eastAsia" w:ascii="Times New Roman" w:hAnsi="Times New Roman" w:eastAsia="仿宋" w:cs="Times New Roman"/>
          <w:color w:val="auto"/>
          <w:highlight w:val="none"/>
          <w:lang w:eastAsia="zh-CN"/>
        </w:rPr>
        <w:t>三</w:t>
      </w:r>
      <w:r>
        <w:rPr>
          <w:rFonts w:ascii="Times New Roman" w:hAnsi="Times New Roman" w:eastAsia="仿宋" w:cs="Times New Roman"/>
          <w:color w:val="auto"/>
          <w:highlight w:val="none"/>
        </w:rPr>
        <w:t>条 本办法所称编制单位，是指主持编制</w:t>
      </w:r>
      <w:r>
        <w:rPr>
          <w:rFonts w:hint="eastAsia" w:ascii="Times New Roman" w:hAnsi="Times New Roman" w:eastAsia="仿宋" w:cs="Times New Roman"/>
          <w:color w:val="auto"/>
          <w:highlight w:val="none"/>
        </w:rPr>
        <w:t>建设项目环境影响报告书（表）</w:t>
      </w:r>
      <w:r>
        <w:rPr>
          <w:rFonts w:hint="eastAsia" w:ascii="Times New Roman" w:hAnsi="Times New Roman" w:eastAsia="仿宋" w:cs="Times New Roman"/>
          <w:color w:val="auto"/>
          <w:highlight w:val="none"/>
          <w:lang w:eastAsia="zh-CN"/>
        </w:rPr>
        <w:t>（以下称</w:t>
      </w:r>
      <w:r>
        <w:rPr>
          <w:rFonts w:ascii="Times New Roman" w:hAnsi="Times New Roman" w:eastAsia="仿宋" w:cs="Times New Roman"/>
          <w:color w:val="auto"/>
          <w:highlight w:val="none"/>
        </w:rPr>
        <w:t>环评文件</w:t>
      </w:r>
      <w:r>
        <w:rPr>
          <w:rFonts w:hint="eastAsia" w:ascii="Times New Roman" w:hAnsi="Times New Roman" w:eastAsia="仿宋" w:cs="Times New Roman"/>
          <w:color w:val="auto"/>
          <w:highlight w:val="none"/>
          <w:lang w:eastAsia="zh-CN"/>
        </w:rPr>
        <w:t>）</w:t>
      </w:r>
      <w:r>
        <w:rPr>
          <w:rFonts w:ascii="Times New Roman" w:hAnsi="Times New Roman" w:eastAsia="仿宋" w:cs="Times New Roman"/>
          <w:color w:val="auto"/>
          <w:highlight w:val="none"/>
        </w:rPr>
        <w:t>的单位，包括主持编制环评文件的技术单位和自行主持编制环评文件的建设单位。</w:t>
      </w:r>
    </w:p>
    <w:p>
      <w:pPr>
        <w:spacing w:line="600" w:lineRule="exact"/>
        <w:ind w:firstLine="640" w:firstLineChars="200"/>
        <w:rPr>
          <w:rFonts w:ascii="Times New Roman" w:hAnsi="Times New Roman" w:eastAsia="仿宋" w:cs="Times New Roman"/>
          <w:color w:val="auto"/>
          <w:highlight w:val="none"/>
        </w:rPr>
      </w:pPr>
      <w:r>
        <w:rPr>
          <w:rFonts w:ascii="Times New Roman" w:hAnsi="Times New Roman" w:eastAsia="仿宋" w:cs="Times New Roman"/>
          <w:color w:val="auto"/>
          <w:highlight w:val="none"/>
        </w:rPr>
        <w:t>本办法所称技术单位，是指具备环境影响评价技术能力、接受委托为建设单位编制环评文件的单位。</w:t>
      </w:r>
    </w:p>
    <w:p>
      <w:pPr>
        <w:spacing w:line="600" w:lineRule="exact"/>
        <w:ind w:firstLine="640" w:firstLineChars="200"/>
        <w:rPr>
          <w:rFonts w:ascii="Times New Roman" w:hAnsi="Times New Roman" w:eastAsia="仿宋" w:cs="Times New Roman"/>
          <w:color w:val="auto"/>
          <w:highlight w:val="none"/>
        </w:rPr>
      </w:pPr>
      <w:r>
        <w:rPr>
          <w:rFonts w:ascii="Times New Roman" w:hAnsi="Times New Roman" w:eastAsia="仿宋" w:cs="Times New Roman"/>
          <w:color w:val="auto"/>
          <w:highlight w:val="none"/>
        </w:rPr>
        <w:t>本办法所称编制人员，是指环评文件的编制主持人和主要编制人员。编制主持人是环评文件的编制负责人。主要编制人员包括环境影响报告书各章节的编写人员和环境影响报告表主要内容的编写人员。</w:t>
      </w:r>
    </w:p>
    <w:p>
      <w:pPr>
        <w:spacing w:line="600" w:lineRule="exact"/>
        <w:ind w:firstLine="640" w:firstLineChars="200"/>
        <w:rPr>
          <w:rFonts w:ascii="Times New Roman" w:hAnsi="Times New Roman" w:eastAsia="方正仿宋_GBK" w:cs="Times New Roman"/>
          <w:color w:val="auto"/>
          <w:highlight w:val="none"/>
        </w:rPr>
      </w:pPr>
      <w:r>
        <w:rPr>
          <w:rFonts w:ascii="Times New Roman" w:hAnsi="Times New Roman" w:eastAsia="方正仿宋_GBK" w:cs="Times New Roman"/>
          <w:color w:val="auto"/>
          <w:highlight w:val="none"/>
        </w:rPr>
        <w:t>第四条 编制单位信用等级</w:t>
      </w:r>
      <w:r>
        <w:rPr>
          <w:rFonts w:hint="eastAsia" w:ascii="Times New Roman" w:hAnsi="Times New Roman" w:eastAsia="方正仿宋_GBK" w:cs="Times New Roman"/>
          <w:color w:val="auto"/>
          <w:highlight w:val="none"/>
          <w:lang w:eastAsia="zh-CN"/>
        </w:rPr>
        <w:t>从优等到劣等依次</w:t>
      </w:r>
      <w:r>
        <w:rPr>
          <w:rFonts w:ascii="Times New Roman" w:hAnsi="Times New Roman" w:eastAsia="方正仿宋_GBK" w:cs="Times New Roman"/>
          <w:color w:val="auto"/>
          <w:highlight w:val="none"/>
        </w:rPr>
        <w:t>分为</w:t>
      </w:r>
      <w:r>
        <w:rPr>
          <w:rFonts w:hint="eastAsia" w:ascii="Times New Roman" w:hAnsi="Times New Roman" w:eastAsia="方正仿宋_GBK" w:cs="Times New Roman"/>
          <w:color w:val="auto"/>
          <w:highlight w:val="none"/>
          <w:lang w:eastAsia="zh-CN"/>
        </w:rPr>
        <w:t>“守信”</w:t>
      </w:r>
      <w:r>
        <w:rPr>
          <w:rFonts w:ascii="Times New Roman" w:hAnsi="Times New Roman" w:eastAsia="方正仿宋_GBK" w:cs="Times New Roman"/>
          <w:color w:val="auto"/>
          <w:highlight w:val="none"/>
        </w:rPr>
        <w:t>、</w:t>
      </w:r>
      <w:r>
        <w:rPr>
          <w:rFonts w:hint="eastAsia" w:ascii="Times New Roman" w:hAnsi="Times New Roman" w:eastAsia="方正仿宋_GBK" w:cs="Times New Roman"/>
          <w:color w:val="auto"/>
          <w:highlight w:val="none"/>
          <w:lang w:eastAsia="zh-CN"/>
        </w:rPr>
        <w:t>“</w:t>
      </w:r>
      <w:r>
        <w:rPr>
          <w:rFonts w:ascii="Times New Roman" w:hAnsi="Times New Roman" w:eastAsia="方正仿宋_GBK" w:cs="Times New Roman"/>
          <w:color w:val="auto"/>
          <w:highlight w:val="none"/>
        </w:rPr>
        <w:t>普通</w:t>
      </w:r>
      <w:r>
        <w:rPr>
          <w:rFonts w:hint="eastAsia" w:ascii="Times New Roman" w:hAnsi="Times New Roman" w:eastAsia="方正仿宋_GBK" w:cs="Times New Roman"/>
          <w:color w:val="auto"/>
          <w:highlight w:val="none"/>
          <w:lang w:eastAsia="zh-CN"/>
        </w:rPr>
        <w:t>”</w:t>
      </w:r>
      <w:r>
        <w:rPr>
          <w:rFonts w:ascii="Times New Roman" w:hAnsi="Times New Roman" w:eastAsia="方正仿宋_GBK" w:cs="Times New Roman"/>
          <w:color w:val="auto"/>
          <w:highlight w:val="none"/>
        </w:rPr>
        <w:t>、</w:t>
      </w:r>
      <w:r>
        <w:rPr>
          <w:rFonts w:hint="eastAsia" w:ascii="Times New Roman" w:hAnsi="Times New Roman" w:eastAsia="方正仿宋_GBK" w:cs="Times New Roman"/>
          <w:color w:val="auto"/>
          <w:highlight w:val="none"/>
          <w:lang w:eastAsia="zh-CN"/>
        </w:rPr>
        <w:t>“</w:t>
      </w:r>
      <w:r>
        <w:rPr>
          <w:rFonts w:ascii="Times New Roman" w:hAnsi="Times New Roman" w:eastAsia="方正仿宋_GBK" w:cs="Times New Roman"/>
          <w:color w:val="auto"/>
          <w:highlight w:val="none"/>
        </w:rPr>
        <w:t>一般失信</w:t>
      </w:r>
      <w:r>
        <w:rPr>
          <w:rFonts w:hint="eastAsia" w:ascii="Times New Roman" w:hAnsi="Times New Roman" w:eastAsia="方正仿宋_GBK" w:cs="Times New Roman"/>
          <w:color w:val="auto"/>
          <w:highlight w:val="none"/>
          <w:lang w:eastAsia="zh-CN"/>
        </w:rPr>
        <w:t>”</w:t>
      </w:r>
      <w:r>
        <w:rPr>
          <w:rFonts w:ascii="Times New Roman" w:hAnsi="Times New Roman" w:eastAsia="方正仿宋_GBK" w:cs="Times New Roman"/>
          <w:color w:val="auto"/>
          <w:highlight w:val="none"/>
        </w:rPr>
        <w:t>和</w:t>
      </w:r>
      <w:r>
        <w:rPr>
          <w:rFonts w:hint="eastAsia" w:ascii="Times New Roman" w:hAnsi="Times New Roman" w:eastAsia="方正仿宋_GBK" w:cs="Times New Roman"/>
          <w:color w:val="auto"/>
          <w:highlight w:val="none"/>
          <w:lang w:eastAsia="zh-CN"/>
        </w:rPr>
        <w:t>“</w:t>
      </w:r>
      <w:r>
        <w:rPr>
          <w:rFonts w:ascii="Times New Roman" w:hAnsi="Times New Roman" w:eastAsia="方正仿宋_GBK" w:cs="Times New Roman"/>
          <w:color w:val="auto"/>
          <w:highlight w:val="none"/>
        </w:rPr>
        <w:t>严重失信</w:t>
      </w:r>
      <w:r>
        <w:rPr>
          <w:rFonts w:hint="eastAsia" w:ascii="Times New Roman" w:hAnsi="Times New Roman" w:eastAsia="方正仿宋_GBK" w:cs="Times New Roman"/>
          <w:color w:val="auto"/>
          <w:highlight w:val="none"/>
          <w:lang w:eastAsia="zh-CN"/>
        </w:rPr>
        <w:t>”</w:t>
      </w:r>
      <w:r>
        <w:rPr>
          <w:rFonts w:ascii="Times New Roman" w:hAnsi="Times New Roman" w:eastAsia="方正仿宋_GBK" w:cs="Times New Roman"/>
          <w:color w:val="auto"/>
          <w:highlight w:val="none"/>
        </w:rPr>
        <w:t>四个等级。</w:t>
      </w:r>
    </w:p>
    <w:p>
      <w:pPr>
        <w:numPr>
          <w:ilvl w:val="255"/>
          <w:numId w:val="0"/>
        </w:numPr>
        <w:spacing w:line="600" w:lineRule="exact"/>
        <w:ind w:firstLine="640" w:firstLineChars="200"/>
        <w:rPr>
          <w:rFonts w:hint="eastAsia" w:ascii="Times New Roman" w:hAnsi="Times New Roman" w:eastAsia="方正仿宋_GBK" w:cs="Times New Roman"/>
          <w:color w:val="auto"/>
          <w:highlight w:val="none"/>
          <w:lang w:eastAsia="zh-CN"/>
        </w:rPr>
      </w:pPr>
      <w:r>
        <w:rPr>
          <w:rFonts w:ascii="Times New Roman" w:hAnsi="Times New Roman" w:eastAsia="方正仿宋_GBK" w:cs="Times New Roman"/>
          <w:color w:val="auto"/>
          <w:highlight w:val="none"/>
        </w:rPr>
        <w:t xml:space="preserve">第五条 </w:t>
      </w:r>
      <w:r>
        <w:rPr>
          <w:rFonts w:hint="eastAsia" w:ascii="Times New Roman" w:hAnsi="Times New Roman" w:eastAsia="方正仿宋_GBK" w:cs="Times New Roman"/>
          <w:color w:val="auto"/>
          <w:highlight w:val="none"/>
          <w:lang w:eastAsia="zh-CN"/>
        </w:rPr>
        <w:t>广西壮族自治区生态环境厅（以下简称自治区生态环境厅）负责组织编制单位信用等级评定。信用等级评定采集的信息包括</w:t>
      </w:r>
      <w:r>
        <w:rPr>
          <w:rFonts w:hint="eastAsia" w:ascii="Times New Roman" w:hAnsi="Times New Roman" w:eastAsia="仿宋" w:cs="Times New Roman"/>
          <w:color w:val="auto"/>
          <w:highlight w:val="none"/>
          <w:lang w:eastAsia="zh-CN"/>
        </w:rPr>
        <w:t>审批部门委托技术评估单位对环评文件进行技术评估过程中的</w:t>
      </w:r>
      <w:r>
        <w:rPr>
          <w:rFonts w:ascii="Times New Roman" w:hAnsi="Times New Roman" w:eastAsia="仿宋" w:cs="Times New Roman"/>
          <w:color w:val="auto"/>
          <w:highlight w:val="none"/>
        </w:rPr>
        <w:t>考核</w:t>
      </w:r>
      <w:r>
        <w:rPr>
          <w:rFonts w:hint="eastAsia" w:ascii="Times New Roman" w:hAnsi="Times New Roman" w:eastAsia="仿宋" w:cs="Times New Roman"/>
          <w:color w:val="auto"/>
          <w:highlight w:val="none"/>
          <w:lang w:eastAsia="zh-CN"/>
        </w:rPr>
        <w:t>评分（以下简称考核评分）结果</w:t>
      </w:r>
      <w:r>
        <w:rPr>
          <w:rFonts w:ascii="Times New Roman" w:hAnsi="Times New Roman" w:eastAsia="方正仿宋_GBK" w:cs="Times New Roman"/>
          <w:color w:val="auto"/>
          <w:highlight w:val="none"/>
        </w:rPr>
        <w:t>和环境影响评价信用平台（以下称国家信用平台）</w:t>
      </w:r>
      <w:r>
        <w:rPr>
          <w:rFonts w:hint="eastAsia" w:ascii="Times New Roman" w:hAnsi="Times New Roman" w:eastAsia="方正仿宋_GBK" w:cs="Times New Roman"/>
          <w:color w:val="auto"/>
          <w:highlight w:val="none"/>
        </w:rPr>
        <w:t>的</w:t>
      </w:r>
      <w:r>
        <w:rPr>
          <w:rFonts w:ascii="Times New Roman" w:hAnsi="Times New Roman" w:eastAsia="方正仿宋_GBK" w:cs="Times New Roman"/>
          <w:color w:val="auto"/>
          <w:highlight w:val="none"/>
        </w:rPr>
        <w:t>信用信息</w:t>
      </w:r>
      <w:r>
        <w:rPr>
          <w:rFonts w:hint="eastAsia" w:ascii="Times New Roman" w:hAnsi="Times New Roman" w:eastAsia="方正仿宋_GBK" w:cs="Times New Roman"/>
          <w:color w:val="auto"/>
          <w:highlight w:val="none"/>
          <w:lang w:eastAsia="zh-CN"/>
        </w:rPr>
        <w:t>。</w:t>
      </w:r>
      <w:r>
        <w:rPr>
          <w:rFonts w:hint="eastAsia" w:ascii="Times New Roman" w:hAnsi="Times New Roman" w:eastAsia="仿宋" w:cs="Times New Roman"/>
          <w:color w:val="auto"/>
          <w:highlight w:val="none"/>
          <w:lang w:eastAsia="zh-CN"/>
        </w:rPr>
        <w:t>原则上</w:t>
      </w:r>
      <w:r>
        <w:rPr>
          <w:rFonts w:ascii="Times New Roman" w:hAnsi="Times New Roman" w:eastAsia="仿宋" w:cs="Times New Roman"/>
          <w:color w:val="auto"/>
          <w:highlight w:val="none"/>
        </w:rPr>
        <w:t>每季度</w:t>
      </w:r>
      <w:r>
        <w:rPr>
          <w:rFonts w:hint="eastAsia" w:ascii="Times New Roman" w:hAnsi="Times New Roman" w:eastAsia="仿宋" w:cs="Times New Roman"/>
          <w:color w:val="auto"/>
          <w:highlight w:val="none"/>
          <w:lang w:eastAsia="zh-CN"/>
        </w:rPr>
        <w:t>开展</w:t>
      </w:r>
      <w:r>
        <w:rPr>
          <w:rFonts w:hint="eastAsia" w:ascii="Times New Roman" w:hAnsi="Times New Roman" w:eastAsia="仿宋" w:cs="Times New Roman"/>
          <w:color w:val="auto"/>
          <w:highlight w:val="none"/>
        </w:rPr>
        <w:t>一次</w:t>
      </w:r>
      <w:r>
        <w:rPr>
          <w:rFonts w:ascii="Times New Roman" w:hAnsi="Times New Roman" w:eastAsia="仿宋" w:cs="Times New Roman"/>
          <w:color w:val="auto"/>
          <w:highlight w:val="none"/>
        </w:rPr>
        <w:t>。</w:t>
      </w:r>
    </w:p>
    <w:p>
      <w:pPr>
        <w:numPr>
          <w:ilvl w:val="255"/>
          <w:numId w:val="0"/>
        </w:numPr>
        <w:spacing w:line="600" w:lineRule="exact"/>
        <w:ind w:firstLine="640" w:firstLineChars="200"/>
        <w:rPr>
          <w:rFonts w:ascii="Times New Roman" w:hAnsi="Times New Roman" w:eastAsia="仿宋" w:cs="Times New Roman"/>
          <w:color w:val="auto"/>
          <w:highlight w:val="none"/>
        </w:rPr>
      </w:pPr>
      <w:r>
        <w:rPr>
          <w:rFonts w:hint="eastAsia" w:ascii="Times New Roman" w:hAnsi="Times New Roman" w:eastAsia="方正仿宋_GBK" w:cs="Times New Roman"/>
          <w:color w:val="auto"/>
          <w:highlight w:val="none"/>
          <w:lang w:eastAsia="zh-CN"/>
        </w:rPr>
        <w:t>考核评分通过</w:t>
      </w:r>
      <w:r>
        <w:rPr>
          <w:rFonts w:ascii="Times New Roman" w:hAnsi="Times New Roman" w:eastAsia="方正仿宋_GBK" w:cs="Times New Roman"/>
          <w:color w:val="auto"/>
          <w:highlight w:val="none"/>
        </w:rPr>
        <w:t>广西环保审批信息系统</w:t>
      </w:r>
      <w:r>
        <w:rPr>
          <w:rFonts w:hint="eastAsia" w:ascii="Times New Roman" w:hAnsi="Times New Roman" w:eastAsia="方正仿宋_GBK" w:cs="Times New Roman"/>
          <w:color w:val="auto"/>
          <w:highlight w:val="none"/>
          <w:lang w:eastAsia="zh-CN"/>
        </w:rPr>
        <w:t>进行采集。编制单位名称发生变更，统一社会信用代码未发生变化的，按照同一编制单位继续累计采集。</w:t>
      </w:r>
    </w:p>
    <w:p>
      <w:pPr>
        <w:numPr>
          <w:ilvl w:val="255"/>
          <w:numId w:val="0"/>
        </w:numPr>
        <w:spacing w:line="600" w:lineRule="exact"/>
        <w:ind w:firstLine="640" w:firstLineChars="200"/>
        <w:rPr>
          <w:rFonts w:ascii="Times New Roman" w:hAnsi="Times New Roman" w:eastAsia="方正仿宋_GBK" w:cs="Times New Roman"/>
          <w:color w:val="auto"/>
          <w:highlight w:val="none"/>
        </w:rPr>
      </w:pPr>
      <w:r>
        <w:rPr>
          <w:rFonts w:hint="eastAsia" w:ascii="Times New Roman" w:hAnsi="Times New Roman" w:eastAsia="仿宋" w:cs="Times New Roman"/>
          <w:color w:val="auto"/>
          <w:highlight w:val="none"/>
        </w:rPr>
        <w:t>第六条 在</w:t>
      </w:r>
      <w:r>
        <w:rPr>
          <w:rFonts w:hint="eastAsia" w:ascii="Times New Roman" w:hAnsi="Times New Roman" w:eastAsia="仿宋" w:cs="Times New Roman"/>
          <w:color w:val="auto"/>
          <w:highlight w:val="none"/>
          <w:lang w:eastAsia="zh-CN"/>
        </w:rPr>
        <w:t>环评文件</w:t>
      </w:r>
      <w:r>
        <w:rPr>
          <w:rFonts w:hint="eastAsia" w:ascii="Times New Roman" w:hAnsi="Times New Roman" w:eastAsia="仿宋" w:cs="Times New Roman"/>
          <w:color w:val="auto"/>
          <w:highlight w:val="none"/>
        </w:rPr>
        <w:t>技术评估过程中，根据《建设项目环境影响报告书（表）考核评分</w:t>
      </w:r>
      <w:r>
        <w:rPr>
          <w:rFonts w:hint="eastAsia" w:ascii="Times New Roman" w:hAnsi="Times New Roman" w:eastAsia="仿宋" w:cs="Times New Roman"/>
          <w:color w:val="auto"/>
          <w:highlight w:val="none"/>
          <w:lang w:eastAsia="zh-CN"/>
        </w:rPr>
        <w:t>表</w:t>
      </w:r>
      <w:r>
        <w:rPr>
          <w:rFonts w:hint="eastAsia" w:ascii="Times New Roman" w:hAnsi="Times New Roman" w:eastAsia="仿宋" w:cs="Times New Roman"/>
          <w:color w:val="auto"/>
          <w:highlight w:val="none"/>
        </w:rPr>
        <w:t>》（以下简称《考核评分表》，见附件）要求开展考核评分</w:t>
      </w:r>
      <w:r>
        <w:rPr>
          <w:rFonts w:hint="eastAsia" w:ascii="Times New Roman" w:hAnsi="Times New Roman" w:eastAsia="仿宋" w:cs="Times New Roman"/>
          <w:color w:val="auto"/>
          <w:highlight w:val="none"/>
          <w:lang w:eastAsia="zh-CN"/>
        </w:rPr>
        <w:t>，相关</w:t>
      </w:r>
      <w:r>
        <w:rPr>
          <w:rFonts w:hint="eastAsia" w:ascii="Times New Roman" w:hAnsi="Times New Roman" w:eastAsia="仿宋" w:cs="Times New Roman"/>
          <w:color w:val="auto"/>
          <w:highlight w:val="none"/>
        </w:rPr>
        <w:t>结果</w:t>
      </w:r>
      <w:r>
        <w:rPr>
          <w:rFonts w:hint="eastAsia" w:ascii="Times New Roman" w:hAnsi="Times New Roman" w:eastAsia="方正仿宋_GBK" w:cs="Times New Roman"/>
          <w:color w:val="auto"/>
          <w:highlight w:val="none"/>
        </w:rPr>
        <w:t>应在</w:t>
      </w:r>
      <w:r>
        <w:rPr>
          <w:rFonts w:hint="eastAsia" w:ascii="Times New Roman" w:hAnsi="Times New Roman" w:eastAsia="方正仿宋_GBK" w:cs="Times New Roman"/>
          <w:color w:val="auto"/>
          <w:highlight w:val="none"/>
          <w:lang w:eastAsia="zh-CN"/>
        </w:rPr>
        <w:t>技术评估办结后</w:t>
      </w:r>
      <w:r>
        <w:rPr>
          <w:rFonts w:hint="eastAsia" w:ascii="Times New Roman" w:hAnsi="Times New Roman" w:eastAsia="方正仿宋_GBK" w:cs="Times New Roman"/>
          <w:color w:val="auto"/>
          <w:highlight w:val="none"/>
        </w:rPr>
        <w:t>的</w:t>
      </w:r>
      <w:r>
        <w:rPr>
          <w:rFonts w:hint="eastAsia" w:ascii="Times New Roman" w:hAnsi="Times New Roman" w:eastAsia="方正仿宋_GBK" w:cs="Times New Roman"/>
          <w:color w:val="auto"/>
          <w:highlight w:val="none"/>
          <w:lang w:val="en-US" w:eastAsia="zh-CN"/>
        </w:rPr>
        <w:t>5</w:t>
      </w:r>
      <w:r>
        <w:rPr>
          <w:rFonts w:hint="eastAsia" w:ascii="Times New Roman" w:hAnsi="Times New Roman" w:eastAsia="方正仿宋_GBK" w:cs="Times New Roman"/>
          <w:color w:val="auto"/>
          <w:highlight w:val="none"/>
        </w:rPr>
        <w:t>个工作日内</w:t>
      </w:r>
      <w:r>
        <w:rPr>
          <w:rFonts w:ascii="Times New Roman" w:hAnsi="Times New Roman" w:eastAsia="方正仿宋_GBK" w:cs="Times New Roman"/>
          <w:color w:val="auto"/>
          <w:highlight w:val="none"/>
        </w:rPr>
        <w:t>录入广西环保审批信息系统。</w:t>
      </w:r>
      <w:r>
        <w:rPr>
          <w:rFonts w:ascii="Times New Roman" w:hAnsi="Times New Roman" w:eastAsia="仿宋" w:cs="Times New Roman"/>
          <w:color w:val="auto"/>
          <w:highlight w:val="none"/>
        </w:rPr>
        <w:t>考核</w:t>
      </w:r>
      <w:r>
        <w:rPr>
          <w:rFonts w:hint="eastAsia" w:ascii="Times New Roman" w:hAnsi="Times New Roman" w:eastAsia="仿宋" w:cs="Times New Roman"/>
          <w:color w:val="auto"/>
          <w:highlight w:val="none"/>
        </w:rPr>
        <w:t>评分结果作为信用信息</w:t>
      </w:r>
      <w:r>
        <w:rPr>
          <w:rFonts w:ascii="Times New Roman" w:hAnsi="Times New Roman" w:eastAsia="方正仿宋_GBK" w:cs="Times New Roman"/>
          <w:color w:val="auto"/>
          <w:highlight w:val="none"/>
        </w:rPr>
        <w:t>的</w:t>
      </w:r>
      <w:r>
        <w:rPr>
          <w:rFonts w:hint="eastAsia" w:ascii="Times New Roman" w:hAnsi="Times New Roman" w:eastAsia="方正仿宋_GBK" w:cs="Times New Roman"/>
          <w:color w:val="auto"/>
          <w:highlight w:val="none"/>
        </w:rPr>
        <w:t>生效日期为</w:t>
      </w:r>
      <w:r>
        <w:rPr>
          <w:rFonts w:hint="eastAsia" w:ascii="Times New Roman" w:hAnsi="Times New Roman" w:eastAsia="方正仿宋_GBK" w:cs="Times New Roman"/>
          <w:color w:val="auto"/>
          <w:highlight w:val="none"/>
          <w:lang w:eastAsia="zh-CN"/>
        </w:rPr>
        <w:t>技术评估</w:t>
      </w:r>
      <w:r>
        <w:rPr>
          <w:rFonts w:hint="eastAsia" w:ascii="Times New Roman" w:hAnsi="Times New Roman" w:eastAsia="仿宋" w:cs="Times New Roman"/>
          <w:color w:val="auto"/>
          <w:highlight w:val="none"/>
        </w:rPr>
        <w:t>办结</w:t>
      </w:r>
      <w:r>
        <w:rPr>
          <w:rFonts w:hint="eastAsia" w:ascii="Times New Roman" w:hAnsi="Times New Roman" w:eastAsia="方正仿宋_GBK" w:cs="Times New Roman"/>
          <w:color w:val="auto"/>
          <w:highlight w:val="none"/>
        </w:rPr>
        <w:t>日期，</w:t>
      </w:r>
      <w:r>
        <w:rPr>
          <w:rFonts w:ascii="Times New Roman" w:hAnsi="Times New Roman" w:eastAsia="仿宋" w:cs="Times New Roman"/>
          <w:color w:val="auto"/>
          <w:highlight w:val="none"/>
        </w:rPr>
        <w:t>有效期为</w:t>
      </w:r>
      <w:r>
        <w:rPr>
          <w:rFonts w:hint="eastAsia" w:ascii="Times New Roman" w:hAnsi="Times New Roman" w:eastAsia="仿宋" w:cs="Times New Roman"/>
          <w:color w:val="auto"/>
          <w:highlight w:val="none"/>
          <w:lang w:val="en-US" w:eastAsia="zh-CN"/>
        </w:rPr>
        <w:t>六6</w:t>
      </w:r>
      <w:r>
        <w:rPr>
          <w:rFonts w:ascii="Times New Roman" w:hAnsi="Times New Roman" w:eastAsia="仿宋" w:cs="Times New Roman"/>
          <w:color w:val="auto"/>
          <w:highlight w:val="none"/>
        </w:rPr>
        <w:t>个月，期满后自动失效。</w:t>
      </w:r>
    </w:p>
    <w:p>
      <w:pPr>
        <w:numPr>
          <w:ilvl w:val="255"/>
          <w:numId w:val="0"/>
        </w:numPr>
        <w:spacing w:line="600" w:lineRule="exact"/>
        <w:ind w:firstLine="640" w:firstLineChars="200"/>
        <w:rPr>
          <w:rFonts w:ascii="Times New Roman" w:hAnsi="Times New Roman" w:eastAsia="仿宋" w:cs="Times New Roman"/>
          <w:color w:val="auto"/>
          <w:highlight w:val="none"/>
        </w:rPr>
      </w:pPr>
      <w:r>
        <w:rPr>
          <w:rFonts w:hint="eastAsia" w:ascii="Times New Roman" w:hAnsi="Times New Roman" w:eastAsia="方正仿宋_GBK" w:cs="Times New Roman"/>
          <w:color w:val="auto"/>
          <w:highlight w:val="none"/>
          <w:lang w:eastAsia="zh-CN"/>
        </w:rPr>
        <w:t>符合《建设项目环境影响报告书（表）编制单位和编制人员失信行为记分办法（试行）》记分情形的应报告相应生态环境主管部门或负责审批环评文件的其他有关审批部门在国家信用平台上记分，不在</w:t>
      </w:r>
      <w:r>
        <w:rPr>
          <w:rFonts w:hint="eastAsia" w:ascii="Times New Roman" w:hAnsi="Times New Roman" w:eastAsia="仿宋" w:cs="Times New Roman"/>
          <w:color w:val="auto"/>
          <w:highlight w:val="none"/>
        </w:rPr>
        <w:t>《考核评分表》</w:t>
      </w:r>
      <w:r>
        <w:rPr>
          <w:rFonts w:hint="eastAsia" w:ascii="Times New Roman" w:hAnsi="Times New Roman" w:eastAsia="仿宋" w:cs="Times New Roman"/>
          <w:color w:val="auto"/>
          <w:highlight w:val="none"/>
          <w:lang w:eastAsia="zh-CN"/>
        </w:rPr>
        <w:t>中</w:t>
      </w:r>
      <w:r>
        <w:rPr>
          <w:rFonts w:hint="eastAsia" w:ascii="Times New Roman" w:hAnsi="Times New Roman" w:eastAsia="方正仿宋_GBK" w:cs="Times New Roman"/>
          <w:color w:val="auto"/>
          <w:highlight w:val="none"/>
          <w:lang w:eastAsia="zh-CN"/>
        </w:rPr>
        <w:t>重复评分。</w:t>
      </w:r>
    </w:p>
    <w:p>
      <w:pPr>
        <w:spacing w:line="600" w:lineRule="exact"/>
        <w:ind w:firstLine="640" w:firstLineChars="200"/>
        <w:rPr>
          <w:rFonts w:hint="eastAsia" w:ascii="Times New Roman" w:hAnsi="Times New Roman" w:eastAsia="仿宋" w:cs="Times New Roman"/>
          <w:color w:val="auto"/>
          <w:highlight w:val="none"/>
          <w:lang w:val="en-US" w:eastAsia="zh-CN"/>
        </w:rPr>
      </w:pPr>
      <w:r>
        <w:rPr>
          <w:rFonts w:hint="eastAsia" w:ascii="Times New Roman" w:hAnsi="Times New Roman" w:eastAsia="仿宋" w:cs="Times New Roman"/>
          <w:color w:val="auto"/>
          <w:highlight w:val="none"/>
          <w:lang w:eastAsia="zh-CN"/>
        </w:rPr>
        <w:t>第七条</w:t>
      </w:r>
      <w:r>
        <w:rPr>
          <w:rFonts w:hint="eastAsia" w:ascii="Times New Roman" w:hAnsi="Times New Roman" w:eastAsia="仿宋" w:cs="Times New Roman"/>
          <w:color w:val="auto"/>
          <w:highlight w:val="none"/>
          <w:lang w:val="en-US" w:eastAsia="zh-CN"/>
        </w:rPr>
        <w:t xml:space="preserve"> </w:t>
      </w:r>
      <w:r>
        <w:rPr>
          <w:rFonts w:hint="eastAsia" w:ascii="Times New Roman" w:hAnsi="Times New Roman" w:eastAsia="仿宋" w:cs="Times New Roman"/>
          <w:color w:val="auto"/>
          <w:highlight w:val="none"/>
          <w:lang w:eastAsia="zh-CN"/>
        </w:rPr>
        <w:t>编制单位</w:t>
      </w:r>
      <w:r>
        <w:rPr>
          <w:rFonts w:hint="eastAsia" w:ascii="Times New Roman" w:hAnsi="Times New Roman" w:eastAsia="仿宋" w:cs="Times New Roman"/>
          <w:color w:val="auto"/>
          <w:highlight w:val="none"/>
        </w:rPr>
        <w:t>考核评分</w:t>
      </w:r>
      <w:r>
        <w:rPr>
          <w:rFonts w:hint="eastAsia" w:ascii="Times New Roman" w:hAnsi="Times New Roman" w:eastAsia="仿宋" w:cs="Times New Roman"/>
          <w:color w:val="auto"/>
          <w:highlight w:val="none"/>
          <w:lang w:eastAsia="zh-CN"/>
        </w:rPr>
        <w:t>累计</w:t>
      </w:r>
      <w:r>
        <w:rPr>
          <w:rFonts w:hint="eastAsia" w:ascii="Times New Roman" w:hAnsi="Times New Roman" w:eastAsia="仿宋" w:cs="Times New Roman"/>
          <w:color w:val="auto"/>
          <w:highlight w:val="none"/>
        </w:rPr>
        <w:t>扣分</w:t>
      </w:r>
      <w:r>
        <w:rPr>
          <w:rFonts w:hint="eastAsia" w:ascii="Times New Roman" w:hAnsi="Times New Roman" w:eastAsia="仿宋" w:cs="Times New Roman"/>
          <w:color w:val="auto"/>
          <w:highlight w:val="none"/>
          <w:lang w:eastAsia="zh-CN"/>
        </w:rPr>
        <w:t>分值</w:t>
      </w:r>
      <w:r>
        <w:rPr>
          <w:rFonts w:ascii="Times New Roman" w:hAnsi="Times New Roman" w:eastAsia="仿宋" w:cs="Times New Roman"/>
          <w:color w:val="auto"/>
          <w:highlight w:val="none"/>
        </w:rPr>
        <w:t>与</w:t>
      </w:r>
      <w:r>
        <w:rPr>
          <w:rFonts w:hint="eastAsia" w:ascii="Times New Roman" w:hAnsi="Times New Roman" w:eastAsia="仿宋" w:cs="Times New Roman"/>
          <w:color w:val="auto"/>
          <w:highlight w:val="none"/>
          <w:lang w:eastAsia="zh-CN"/>
        </w:rPr>
        <w:t>该单位在</w:t>
      </w:r>
      <w:r>
        <w:rPr>
          <w:rFonts w:ascii="Times New Roman" w:hAnsi="Times New Roman" w:eastAsia="仿宋" w:cs="Times New Roman"/>
          <w:color w:val="auto"/>
          <w:highlight w:val="none"/>
        </w:rPr>
        <w:t>国家信用平台当前周期内失信记分分值加和</w:t>
      </w:r>
      <w:r>
        <w:rPr>
          <w:rFonts w:hint="eastAsia" w:ascii="Times New Roman" w:hAnsi="Times New Roman" w:eastAsia="仿宋" w:cs="Times New Roman"/>
          <w:color w:val="auto"/>
          <w:highlight w:val="none"/>
        </w:rPr>
        <w:t>≥</w:t>
      </w:r>
      <w:r>
        <w:rPr>
          <w:rFonts w:hint="eastAsia" w:ascii="Times New Roman" w:hAnsi="Times New Roman" w:eastAsia="仿宋" w:cs="Times New Roman"/>
          <w:color w:val="auto"/>
          <w:highlight w:val="none"/>
          <w:lang w:val="en-US" w:eastAsia="zh-CN"/>
        </w:rPr>
        <w:t>10</w:t>
      </w:r>
      <w:r>
        <w:rPr>
          <w:rFonts w:ascii="Times New Roman" w:hAnsi="Times New Roman" w:eastAsia="仿宋" w:cs="Times New Roman"/>
          <w:color w:val="auto"/>
          <w:highlight w:val="none"/>
        </w:rPr>
        <w:t>分</w:t>
      </w:r>
      <w:r>
        <w:rPr>
          <w:rFonts w:hint="eastAsia" w:ascii="Times New Roman" w:hAnsi="Times New Roman" w:eastAsia="仿宋" w:cs="Times New Roman"/>
          <w:color w:val="auto"/>
          <w:highlight w:val="none"/>
          <w:lang w:eastAsia="zh-CN"/>
        </w:rPr>
        <w:t>的，在后续</w:t>
      </w:r>
      <w:r>
        <w:rPr>
          <w:rFonts w:ascii="Times New Roman" w:hAnsi="Times New Roman" w:eastAsia="仿宋" w:cs="Times New Roman"/>
          <w:color w:val="auto"/>
          <w:highlight w:val="none"/>
        </w:rPr>
        <w:t>一年</w:t>
      </w:r>
      <w:r>
        <w:rPr>
          <w:rFonts w:hint="eastAsia" w:ascii="Times New Roman" w:hAnsi="Times New Roman" w:eastAsia="仿宋" w:cs="Times New Roman"/>
          <w:color w:val="auto"/>
          <w:highlight w:val="none"/>
          <w:lang w:eastAsia="zh-CN"/>
        </w:rPr>
        <w:t>内将被</w:t>
      </w:r>
      <w:r>
        <w:rPr>
          <w:rFonts w:ascii="Times New Roman" w:hAnsi="Times New Roman" w:eastAsia="仿宋" w:cs="Times New Roman"/>
          <w:color w:val="auto"/>
          <w:highlight w:val="none"/>
        </w:rPr>
        <w:t>列入广西重点监督检查名单。自治区生态环境厅</w:t>
      </w:r>
      <w:r>
        <w:rPr>
          <w:rFonts w:hint="eastAsia" w:ascii="Times New Roman" w:hAnsi="Times New Roman" w:eastAsia="仿宋" w:cs="Times New Roman"/>
          <w:color w:val="auto"/>
          <w:highlight w:val="none"/>
          <w:lang w:eastAsia="zh-CN"/>
        </w:rPr>
        <w:t>将</w:t>
      </w:r>
      <w:r>
        <w:rPr>
          <w:rFonts w:ascii="Times New Roman" w:hAnsi="Times New Roman" w:eastAsia="仿宋" w:cs="Times New Roman"/>
          <w:color w:val="auto"/>
          <w:highlight w:val="none"/>
        </w:rPr>
        <w:t>提高对列入广西重点监督检查名单的编制单位编制的环评文件复核抽查比例和</w:t>
      </w:r>
      <w:r>
        <w:rPr>
          <w:rFonts w:hint="eastAsia" w:ascii="Times New Roman" w:hAnsi="Times New Roman" w:eastAsia="仿宋" w:cs="Times New Roman"/>
          <w:color w:val="auto"/>
          <w:highlight w:val="none"/>
          <w:lang w:eastAsia="zh-CN"/>
        </w:rPr>
        <w:t>抽取</w:t>
      </w:r>
      <w:r>
        <w:rPr>
          <w:rFonts w:ascii="Times New Roman" w:hAnsi="Times New Roman" w:eastAsia="仿宋" w:cs="Times New Roman"/>
          <w:color w:val="auto"/>
          <w:highlight w:val="none"/>
        </w:rPr>
        <w:t>频次。</w:t>
      </w:r>
    </w:p>
    <w:p>
      <w:pPr>
        <w:spacing w:line="600" w:lineRule="exact"/>
        <w:ind w:firstLine="640" w:firstLineChars="200"/>
        <w:rPr>
          <w:rStyle w:val="9"/>
          <w:color w:val="auto"/>
          <w:highlight w:val="none"/>
        </w:rPr>
      </w:pPr>
      <w:r>
        <w:rPr>
          <w:rFonts w:hint="eastAsia" w:ascii="Times New Roman" w:hAnsi="Times New Roman" w:eastAsia="仿宋" w:cs="Times New Roman"/>
          <w:color w:val="auto"/>
          <w:highlight w:val="none"/>
          <w:lang w:eastAsia="zh-CN"/>
        </w:rPr>
        <w:t>第八条</w:t>
      </w:r>
      <w:r>
        <w:rPr>
          <w:rFonts w:hint="eastAsia" w:ascii="Times New Roman" w:hAnsi="Times New Roman" w:eastAsia="仿宋" w:cs="Times New Roman"/>
          <w:color w:val="auto"/>
          <w:highlight w:val="none"/>
          <w:lang w:val="en-US" w:eastAsia="zh-CN"/>
        </w:rPr>
        <w:t xml:space="preserve"> </w:t>
      </w:r>
      <w:r>
        <w:rPr>
          <w:rFonts w:hint="eastAsia" w:ascii="Times New Roman" w:hAnsi="Times New Roman" w:eastAsia="仿宋" w:cs="Times New Roman"/>
          <w:color w:val="auto"/>
          <w:highlight w:val="none"/>
        </w:rPr>
        <w:t>编制单位考核评分</w:t>
      </w:r>
      <w:r>
        <w:rPr>
          <w:rFonts w:hint="eastAsia" w:ascii="Times New Roman" w:hAnsi="Times New Roman" w:eastAsia="仿宋" w:cs="Times New Roman"/>
          <w:color w:val="auto"/>
          <w:highlight w:val="none"/>
          <w:lang w:eastAsia="zh-CN"/>
        </w:rPr>
        <w:t>累计</w:t>
      </w:r>
      <w:r>
        <w:rPr>
          <w:rFonts w:hint="eastAsia" w:ascii="Times New Roman" w:hAnsi="Times New Roman" w:eastAsia="仿宋" w:cs="Times New Roman"/>
          <w:color w:val="auto"/>
          <w:highlight w:val="none"/>
        </w:rPr>
        <w:t>扣分分值与</w:t>
      </w:r>
      <w:r>
        <w:rPr>
          <w:rFonts w:hint="eastAsia" w:ascii="Times New Roman" w:hAnsi="Times New Roman" w:eastAsia="仿宋" w:cs="Times New Roman"/>
          <w:color w:val="auto"/>
          <w:highlight w:val="none"/>
          <w:lang w:eastAsia="zh-CN"/>
        </w:rPr>
        <w:t>该单位</w:t>
      </w:r>
      <w:r>
        <w:rPr>
          <w:rFonts w:hint="eastAsia" w:ascii="Times New Roman" w:hAnsi="Times New Roman" w:eastAsia="仿宋" w:cs="Times New Roman"/>
          <w:color w:val="auto"/>
          <w:highlight w:val="none"/>
        </w:rPr>
        <w:t>在国家信用平台当前周期内失信记分分值加和≥</w:t>
      </w:r>
      <w:r>
        <w:rPr>
          <w:rFonts w:ascii="Times New Roman" w:hAnsi="Times New Roman" w:eastAsia="仿宋" w:cs="Times New Roman"/>
          <w:color w:val="auto"/>
          <w:highlight w:val="none"/>
        </w:rPr>
        <w:t>20分</w:t>
      </w:r>
      <w:r>
        <w:rPr>
          <w:rFonts w:hint="eastAsia" w:ascii="Times New Roman" w:hAnsi="Times New Roman" w:eastAsia="仿宋" w:cs="Times New Roman"/>
          <w:color w:val="auto"/>
          <w:highlight w:val="none"/>
          <w:lang w:eastAsia="zh-CN"/>
        </w:rPr>
        <w:t>的</w:t>
      </w:r>
      <w:r>
        <w:rPr>
          <w:rFonts w:ascii="Times New Roman" w:hAnsi="Times New Roman" w:eastAsia="仿宋" w:cs="Times New Roman"/>
          <w:color w:val="auto"/>
          <w:highlight w:val="none"/>
        </w:rPr>
        <w:t>，</w:t>
      </w:r>
      <w:r>
        <w:rPr>
          <w:rFonts w:hint="eastAsia" w:ascii="Times New Roman" w:hAnsi="Times New Roman" w:eastAsia="仿宋" w:cs="Times New Roman"/>
          <w:color w:val="auto"/>
          <w:highlight w:val="none"/>
          <w:lang w:eastAsia="zh-CN"/>
        </w:rPr>
        <w:t>将被列入广西限期整改名单，并在自治区生态环境厅门户网站公示</w:t>
      </w:r>
      <w:r>
        <w:rPr>
          <w:rFonts w:hint="eastAsia" w:ascii="Times New Roman" w:hAnsi="Times New Roman" w:eastAsia="仿宋" w:cs="Times New Roman"/>
          <w:color w:val="auto"/>
          <w:highlight w:val="none"/>
          <w:lang w:val="en-US" w:eastAsia="zh-CN"/>
        </w:rPr>
        <w:t>7个工作日，公示后无异议的，</w:t>
      </w:r>
      <w:r>
        <w:rPr>
          <w:rFonts w:hint="eastAsia" w:ascii="Times New Roman" w:hAnsi="Times New Roman" w:eastAsia="仿宋" w:cs="Times New Roman"/>
          <w:color w:val="auto"/>
          <w:highlight w:val="none"/>
          <w:lang w:eastAsia="zh-CN"/>
        </w:rPr>
        <w:t>自治区生态环境厅进行公开</w:t>
      </w:r>
      <w:r>
        <w:rPr>
          <w:rFonts w:hint="eastAsia" w:ascii="Times New Roman" w:hAnsi="Times New Roman" w:eastAsia="仿宋" w:cs="Times New Roman"/>
          <w:color w:val="auto"/>
          <w:highlight w:val="none"/>
          <w:lang w:val="en-US" w:eastAsia="zh-CN"/>
        </w:rPr>
        <w:t>通报并责令</w:t>
      </w:r>
      <w:r>
        <w:rPr>
          <w:rFonts w:ascii="Times New Roman" w:hAnsi="Times New Roman" w:eastAsia="仿宋" w:cs="Times New Roman"/>
          <w:color w:val="auto"/>
          <w:highlight w:val="none"/>
        </w:rPr>
        <w:t>限期整改</w:t>
      </w:r>
      <w:r>
        <w:rPr>
          <w:rFonts w:hint="eastAsia" w:ascii="Times New Roman" w:hAnsi="Times New Roman" w:eastAsia="仿宋" w:cs="Times New Roman"/>
          <w:color w:val="auto"/>
          <w:highlight w:val="none"/>
          <w:lang w:val="en-US" w:eastAsia="zh-CN"/>
        </w:rPr>
        <w:t>6</w:t>
      </w:r>
      <w:r>
        <w:rPr>
          <w:rFonts w:ascii="Times New Roman" w:hAnsi="Times New Roman" w:eastAsia="仿宋" w:cs="Times New Roman"/>
          <w:color w:val="auto"/>
          <w:highlight w:val="none"/>
        </w:rPr>
        <w:t>个月</w:t>
      </w:r>
      <w:r>
        <w:rPr>
          <w:rFonts w:hint="eastAsia" w:ascii="Times New Roman" w:hAnsi="Times New Roman" w:eastAsia="仿宋" w:cs="Times New Roman"/>
          <w:color w:val="auto"/>
          <w:highlight w:val="none"/>
          <w:lang w:val="en-US" w:eastAsia="zh-CN"/>
        </w:rPr>
        <w:t>。各级</w:t>
      </w:r>
      <w:r>
        <w:rPr>
          <w:rFonts w:ascii="Times New Roman" w:hAnsi="Times New Roman" w:eastAsia="仿宋" w:cs="Times New Roman"/>
          <w:color w:val="auto"/>
          <w:highlight w:val="none"/>
        </w:rPr>
        <w:t>审批部门</w:t>
      </w:r>
      <w:r>
        <w:rPr>
          <w:rFonts w:hint="eastAsia" w:ascii="Times New Roman" w:hAnsi="Times New Roman" w:eastAsia="仿宋" w:cs="Times New Roman"/>
          <w:color w:val="auto"/>
          <w:highlight w:val="none"/>
        </w:rPr>
        <w:t>不予</w:t>
      </w:r>
      <w:r>
        <w:rPr>
          <w:rFonts w:ascii="Times New Roman" w:hAnsi="Times New Roman" w:eastAsia="仿宋" w:cs="Times New Roman"/>
          <w:color w:val="auto"/>
          <w:highlight w:val="none"/>
        </w:rPr>
        <w:t>受理</w:t>
      </w:r>
      <w:r>
        <w:rPr>
          <w:rFonts w:hint="eastAsia" w:ascii="Times New Roman" w:hAnsi="Times New Roman" w:eastAsia="仿宋" w:cs="Times New Roman"/>
          <w:color w:val="auto"/>
          <w:highlight w:val="none"/>
          <w:lang w:eastAsia="zh-CN"/>
        </w:rPr>
        <w:t>审批</w:t>
      </w:r>
      <w:r>
        <w:rPr>
          <w:rFonts w:ascii="Times New Roman" w:hAnsi="Times New Roman" w:eastAsia="仿宋" w:cs="Times New Roman"/>
          <w:color w:val="auto"/>
          <w:highlight w:val="none"/>
        </w:rPr>
        <w:t>列入广西限期整改名单的编制单位编制的环评文件。</w:t>
      </w:r>
    </w:p>
    <w:p>
      <w:pPr>
        <w:spacing w:line="600" w:lineRule="exact"/>
        <w:ind w:firstLine="640" w:firstLineChars="200"/>
        <w:rPr>
          <w:rFonts w:hint="eastAsia" w:ascii="Times New Roman" w:hAnsi="Times New Roman" w:eastAsia="仿宋" w:cs="Times New Roman"/>
          <w:color w:val="auto"/>
          <w:highlight w:val="none"/>
          <w:lang w:eastAsia="zh-CN"/>
        </w:rPr>
      </w:pPr>
      <w:r>
        <w:rPr>
          <w:rFonts w:ascii="Times New Roman" w:hAnsi="Times New Roman" w:eastAsia="仿宋" w:cs="Times New Roman"/>
          <w:color w:val="auto"/>
          <w:highlight w:val="none"/>
        </w:rPr>
        <w:t>考核</w:t>
      </w:r>
      <w:r>
        <w:rPr>
          <w:rFonts w:hint="eastAsia" w:ascii="Times New Roman" w:hAnsi="Times New Roman" w:eastAsia="仿宋" w:cs="Times New Roman"/>
          <w:color w:val="auto"/>
          <w:highlight w:val="none"/>
        </w:rPr>
        <w:t>评分自限期整改之日起清零重新开始计算</w:t>
      </w:r>
      <w:r>
        <w:rPr>
          <w:rFonts w:hint="eastAsia" w:ascii="Times New Roman" w:hAnsi="Times New Roman" w:eastAsia="仿宋" w:cs="Times New Roman"/>
          <w:color w:val="auto"/>
          <w:highlight w:val="none"/>
          <w:lang w:eastAsia="zh-CN"/>
        </w:rPr>
        <w:t>，如</w:t>
      </w:r>
      <w:r>
        <w:rPr>
          <w:rFonts w:hint="eastAsia" w:ascii="Times New Roman" w:hAnsi="Times New Roman" w:eastAsia="仿宋" w:cs="Times New Roman"/>
          <w:color w:val="auto"/>
          <w:highlight w:val="none"/>
        </w:rPr>
        <w:t>编制单位</w:t>
      </w:r>
      <w:r>
        <w:rPr>
          <w:rFonts w:hint="eastAsia" w:ascii="Times New Roman" w:hAnsi="Times New Roman" w:eastAsia="仿宋" w:cs="Times New Roman"/>
          <w:color w:val="auto"/>
          <w:highlight w:val="none"/>
          <w:lang w:eastAsia="zh-CN"/>
        </w:rPr>
        <w:t>在整改期间的</w:t>
      </w:r>
      <w:r>
        <w:rPr>
          <w:rFonts w:hint="eastAsia" w:ascii="Times New Roman" w:hAnsi="Times New Roman" w:eastAsia="仿宋" w:cs="Times New Roman"/>
          <w:color w:val="auto"/>
          <w:highlight w:val="none"/>
        </w:rPr>
        <w:t>考核评分</w:t>
      </w:r>
      <w:r>
        <w:rPr>
          <w:rFonts w:hint="eastAsia" w:ascii="Times New Roman" w:hAnsi="Times New Roman" w:eastAsia="仿宋" w:cs="Times New Roman"/>
          <w:color w:val="auto"/>
          <w:highlight w:val="none"/>
          <w:lang w:eastAsia="zh-CN"/>
        </w:rPr>
        <w:t>累计</w:t>
      </w:r>
      <w:r>
        <w:rPr>
          <w:rFonts w:hint="eastAsia" w:ascii="Times New Roman" w:hAnsi="Times New Roman" w:eastAsia="仿宋" w:cs="Times New Roman"/>
          <w:color w:val="auto"/>
          <w:highlight w:val="none"/>
        </w:rPr>
        <w:t>扣分分值与</w:t>
      </w:r>
      <w:r>
        <w:rPr>
          <w:rFonts w:hint="eastAsia" w:ascii="Times New Roman" w:hAnsi="Times New Roman" w:eastAsia="仿宋" w:cs="Times New Roman"/>
          <w:color w:val="auto"/>
          <w:highlight w:val="none"/>
          <w:lang w:eastAsia="zh-CN"/>
        </w:rPr>
        <w:t>该单位</w:t>
      </w:r>
      <w:r>
        <w:rPr>
          <w:rFonts w:hint="eastAsia" w:ascii="Times New Roman" w:hAnsi="Times New Roman" w:eastAsia="仿宋" w:cs="Times New Roman"/>
          <w:color w:val="auto"/>
          <w:highlight w:val="none"/>
        </w:rPr>
        <w:t>在国家信用平台当前周期内失信记分分值加和≥</w:t>
      </w:r>
      <w:r>
        <w:rPr>
          <w:rFonts w:ascii="Times New Roman" w:hAnsi="Times New Roman" w:eastAsia="仿宋" w:cs="Times New Roman"/>
          <w:color w:val="auto"/>
          <w:highlight w:val="none"/>
        </w:rPr>
        <w:t>20分</w:t>
      </w:r>
      <w:r>
        <w:rPr>
          <w:rFonts w:hint="eastAsia" w:ascii="Times New Roman" w:hAnsi="Times New Roman" w:eastAsia="仿宋" w:cs="Times New Roman"/>
          <w:color w:val="auto"/>
          <w:highlight w:val="none"/>
          <w:lang w:eastAsia="zh-CN"/>
        </w:rPr>
        <w:t>的，将再次对其进行公开</w:t>
      </w:r>
      <w:r>
        <w:rPr>
          <w:rFonts w:hint="eastAsia" w:ascii="Times New Roman" w:hAnsi="Times New Roman" w:eastAsia="仿宋" w:cs="Times New Roman"/>
          <w:color w:val="auto"/>
          <w:highlight w:val="none"/>
          <w:lang w:val="en-US" w:eastAsia="zh-CN"/>
        </w:rPr>
        <w:t>通报并责令</w:t>
      </w:r>
      <w:r>
        <w:rPr>
          <w:rFonts w:ascii="Times New Roman" w:hAnsi="Times New Roman" w:eastAsia="仿宋" w:cs="Times New Roman"/>
          <w:color w:val="auto"/>
          <w:highlight w:val="none"/>
        </w:rPr>
        <w:t>限期整改</w:t>
      </w:r>
      <w:r>
        <w:rPr>
          <w:rFonts w:hint="eastAsia" w:ascii="Times New Roman" w:hAnsi="Times New Roman" w:eastAsia="仿宋" w:cs="Times New Roman"/>
          <w:color w:val="auto"/>
          <w:highlight w:val="none"/>
          <w:lang w:val="en-US" w:eastAsia="zh-CN"/>
        </w:rPr>
        <w:t>6</w:t>
      </w:r>
      <w:r>
        <w:rPr>
          <w:rFonts w:ascii="Times New Roman" w:hAnsi="Times New Roman" w:eastAsia="仿宋" w:cs="Times New Roman"/>
          <w:color w:val="auto"/>
          <w:highlight w:val="none"/>
        </w:rPr>
        <w:t>个月</w:t>
      </w:r>
      <w:r>
        <w:rPr>
          <w:rFonts w:hint="eastAsia" w:ascii="Times New Roman" w:hAnsi="Times New Roman" w:eastAsia="仿宋" w:cs="Times New Roman"/>
          <w:color w:val="auto"/>
          <w:highlight w:val="none"/>
          <w:lang w:val="en-US" w:eastAsia="zh-CN"/>
        </w:rPr>
        <w:t>，整改期重新计算。</w:t>
      </w:r>
    </w:p>
    <w:p>
      <w:pPr>
        <w:spacing w:line="600" w:lineRule="exact"/>
        <w:ind w:firstLine="640" w:firstLineChars="200"/>
        <w:rPr>
          <w:rFonts w:hint="eastAsia" w:ascii="Times New Roman" w:hAnsi="Times New Roman" w:eastAsia="仿宋" w:cs="Times New Roman"/>
          <w:color w:val="auto"/>
          <w:highlight w:val="none"/>
          <w:lang w:val="en-US" w:eastAsia="zh-CN"/>
        </w:rPr>
      </w:pPr>
      <w:r>
        <w:rPr>
          <w:rFonts w:hint="eastAsia" w:ascii="Times New Roman" w:hAnsi="Times New Roman" w:eastAsia="仿宋" w:cs="Times New Roman"/>
          <w:color w:val="auto"/>
          <w:highlight w:val="none"/>
          <w:lang w:eastAsia="zh-CN"/>
        </w:rPr>
        <w:t>第九条</w:t>
      </w:r>
      <w:r>
        <w:rPr>
          <w:rFonts w:hint="eastAsia" w:ascii="Times New Roman" w:hAnsi="Times New Roman" w:eastAsia="仿宋" w:cs="Times New Roman"/>
          <w:color w:val="auto"/>
          <w:highlight w:val="none"/>
          <w:lang w:val="en-US" w:eastAsia="zh-CN"/>
        </w:rPr>
        <w:t xml:space="preserve"> 对编制单位进行公开通报前</w:t>
      </w:r>
      <w:r>
        <w:rPr>
          <w:rFonts w:hint="eastAsia" w:ascii="Times New Roman" w:hAnsi="Times New Roman" w:eastAsia="仿宋" w:cs="Times New Roman"/>
          <w:color w:val="auto"/>
          <w:highlight w:val="none"/>
          <w:lang w:eastAsia="zh-CN"/>
        </w:rPr>
        <w:t>，应告知编制单位。编制单位对处理决定有异议的，可以自知道或应当知道之日起</w:t>
      </w:r>
      <w:r>
        <w:rPr>
          <w:rFonts w:hint="eastAsia" w:ascii="Times New Roman" w:hAnsi="Times New Roman" w:eastAsia="仿宋" w:cs="Times New Roman"/>
          <w:color w:val="auto"/>
          <w:highlight w:val="none"/>
          <w:lang w:val="en-US" w:eastAsia="zh-CN"/>
        </w:rPr>
        <w:t>5个工作日内作出书面陈述和申辩。自治区生态环境厅应当对编制单位在陈述和申辩中提出的事实、理由或者证据进行核实，并将核实结果告知编制单位。</w:t>
      </w:r>
    </w:p>
    <w:p>
      <w:pPr>
        <w:spacing w:line="600" w:lineRule="exact"/>
        <w:ind w:firstLine="640" w:firstLineChars="200"/>
        <w:rPr>
          <w:rFonts w:ascii="Times New Roman" w:hAnsi="Times New Roman" w:eastAsia="仿宋" w:cs="Times New Roman"/>
          <w:color w:val="auto"/>
          <w:highlight w:val="none"/>
        </w:rPr>
      </w:pPr>
      <w:r>
        <w:rPr>
          <w:rFonts w:ascii="Times New Roman" w:hAnsi="Times New Roman" w:eastAsia="仿宋" w:cs="Times New Roman"/>
          <w:color w:val="auto"/>
          <w:highlight w:val="none"/>
        </w:rPr>
        <w:t>第</w:t>
      </w:r>
      <w:r>
        <w:rPr>
          <w:rFonts w:hint="eastAsia" w:ascii="Times New Roman" w:hAnsi="Times New Roman" w:eastAsia="仿宋" w:cs="Times New Roman"/>
          <w:color w:val="auto"/>
          <w:highlight w:val="none"/>
          <w:lang w:eastAsia="zh-CN"/>
        </w:rPr>
        <w:t>十</w:t>
      </w:r>
      <w:r>
        <w:rPr>
          <w:rFonts w:ascii="Times New Roman" w:hAnsi="Times New Roman" w:eastAsia="方正仿宋_GBK" w:cs="Times New Roman"/>
          <w:color w:val="auto"/>
          <w:highlight w:val="none"/>
        </w:rPr>
        <w:t xml:space="preserve">条 </w:t>
      </w:r>
      <w:r>
        <w:rPr>
          <w:rFonts w:ascii="Times New Roman" w:hAnsi="Times New Roman" w:eastAsia="仿宋" w:cs="Times New Roman"/>
          <w:color w:val="auto"/>
          <w:highlight w:val="none"/>
        </w:rPr>
        <w:t>编制单位有下列情形之一的，</w:t>
      </w:r>
      <w:r>
        <w:rPr>
          <w:rFonts w:ascii="Times New Roman" w:hAnsi="Times New Roman" w:eastAsia="方正仿宋_GBK" w:cs="Times New Roman"/>
          <w:color w:val="auto"/>
          <w:highlight w:val="none"/>
        </w:rPr>
        <w:t>信用等级</w:t>
      </w:r>
      <w:r>
        <w:rPr>
          <w:rFonts w:ascii="Times New Roman" w:hAnsi="Times New Roman" w:eastAsia="仿宋" w:cs="Times New Roman"/>
          <w:color w:val="auto"/>
          <w:highlight w:val="none"/>
        </w:rPr>
        <w:t>定为</w:t>
      </w:r>
      <w:r>
        <w:rPr>
          <w:rFonts w:hint="eastAsia" w:ascii="Times New Roman" w:hAnsi="Times New Roman" w:eastAsia="仿宋" w:cs="Times New Roman"/>
          <w:color w:val="auto"/>
          <w:highlight w:val="none"/>
          <w:lang w:eastAsia="zh-CN"/>
        </w:rPr>
        <w:t>“严重失信”</w:t>
      </w:r>
      <w:r>
        <w:rPr>
          <w:rFonts w:ascii="Times New Roman" w:hAnsi="Times New Roman" w:eastAsia="仿宋" w:cs="Times New Roman"/>
          <w:color w:val="auto"/>
          <w:highlight w:val="none"/>
        </w:rPr>
        <w:t>：</w:t>
      </w:r>
    </w:p>
    <w:p>
      <w:pPr>
        <w:spacing w:line="600" w:lineRule="exact"/>
        <w:ind w:firstLine="640" w:firstLineChars="200"/>
        <w:rPr>
          <w:rFonts w:ascii="Times New Roman" w:hAnsi="Times New Roman" w:eastAsia="仿宋" w:cs="Times New Roman"/>
          <w:color w:val="auto"/>
          <w:highlight w:val="none"/>
        </w:rPr>
      </w:pPr>
      <w:r>
        <w:rPr>
          <w:rFonts w:ascii="Times New Roman" w:hAnsi="Times New Roman" w:eastAsia="仿宋" w:cs="Times New Roman"/>
          <w:color w:val="auto"/>
          <w:highlight w:val="none"/>
        </w:rPr>
        <w:t>（</w:t>
      </w:r>
      <w:r>
        <w:rPr>
          <w:rFonts w:hint="eastAsia" w:ascii="Times New Roman" w:hAnsi="Times New Roman" w:eastAsia="仿宋" w:cs="Times New Roman"/>
          <w:color w:val="auto"/>
          <w:highlight w:val="none"/>
          <w:lang w:eastAsia="zh-CN"/>
        </w:rPr>
        <w:t>一</w:t>
      </w:r>
      <w:r>
        <w:rPr>
          <w:rFonts w:ascii="Times New Roman" w:hAnsi="Times New Roman" w:eastAsia="仿宋" w:cs="Times New Roman"/>
          <w:color w:val="auto"/>
          <w:highlight w:val="none"/>
        </w:rPr>
        <w:t>）被列入国家信用平台黑名单；</w:t>
      </w:r>
    </w:p>
    <w:p>
      <w:pPr>
        <w:spacing w:line="600" w:lineRule="exact"/>
        <w:ind w:firstLine="640" w:firstLineChars="200"/>
        <w:rPr>
          <w:rFonts w:ascii="Times New Roman" w:hAnsi="Times New Roman" w:eastAsia="仿宋" w:cs="Times New Roman"/>
          <w:color w:val="auto"/>
          <w:highlight w:val="none"/>
        </w:rPr>
      </w:pPr>
      <w:r>
        <w:rPr>
          <w:rFonts w:ascii="Times New Roman" w:hAnsi="Times New Roman" w:eastAsia="仿宋" w:cs="Times New Roman"/>
          <w:color w:val="auto"/>
          <w:highlight w:val="none"/>
        </w:rPr>
        <w:t>（</w:t>
      </w:r>
      <w:r>
        <w:rPr>
          <w:rFonts w:hint="eastAsia" w:ascii="Times New Roman" w:hAnsi="Times New Roman" w:eastAsia="仿宋" w:cs="Times New Roman"/>
          <w:color w:val="auto"/>
          <w:highlight w:val="none"/>
          <w:lang w:eastAsia="zh-CN"/>
        </w:rPr>
        <w:t>二</w:t>
      </w:r>
      <w:r>
        <w:rPr>
          <w:rFonts w:ascii="Times New Roman" w:hAnsi="Times New Roman" w:eastAsia="仿宋" w:cs="Times New Roman"/>
          <w:color w:val="auto"/>
          <w:highlight w:val="none"/>
        </w:rPr>
        <w:t>）被列入国家信用平台限期整改名单；</w:t>
      </w:r>
    </w:p>
    <w:p>
      <w:pPr>
        <w:spacing w:line="600" w:lineRule="exact"/>
        <w:ind w:firstLine="640" w:firstLineChars="200"/>
        <w:rPr>
          <w:rFonts w:hint="eastAsia" w:ascii="Times New Roman" w:hAnsi="Times New Roman" w:eastAsia="仿宋" w:cs="Times New Roman"/>
          <w:color w:val="auto"/>
          <w:highlight w:val="none"/>
          <w:lang w:eastAsia="zh-CN"/>
        </w:rPr>
      </w:pPr>
      <w:r>
        <w:rPr>
          <w:rFonts w:hint="eastAsia" w:ascii="Times New Roman" w:hAnsi="Times New Roman" w:eastAsia="仿宋" w:cs="Times New Roman"/>
          <w:color w:val="auto"/>
          <w:highlight w:val="none"/>
          <w:lang w:eastAsia="zh-CN"/>
        </w:rPr>
        <w:t>（三）被列入广西限期整改名单。</w:t>
      </w:r>
    </w:p>
    <w:p>
      <w:pPr>
        <w:numPr>
          <w:ilvl w:val="255"/>
          <w:numId w:val="0"/>
        </w:numPr>
        <w:spacing w:line="600" w:lineRule="exact"/>
        <w:ind w:firstLine="640" w:firstLineChars="200"/>
        <w:rPr>
          <w:rFonts w:hint="eastAsia" w:ascii="Times New Roman" w:hAnsi="Times New Roman" w:eastAsia="仿宋" w:cs="Times New Roman"/>
          <w:color w:val="auto"/>
          <w:highlight w:val="none"/>
          <w:lang w:eastAsia="zh-CN"/>
        </w:rPr>
      </w:pPr>
      <w:r>
        <w:rPr>
          <w:rFonts w:ascii="Times New Roman" w:hAnsi="Times New Roman" w:eastAsia="方正仿宋_GBK" w:cs="Times New Roman"/>
          <w:color w:val="auto"/>
          <w:highlight w:val="none"/>
        </w:rPr>
        <w:t>第</w:t>
      </w:r>
      <w:r>
        <w:rPr>
          <w:rFonts w:hint="eastAsia" w:ascii="Times New Roman" w:hAnsi="Times New Roman" w:eastAsia="方正仿宋_GBK" w:cs="Times New Roman"/>
          <w:color w:val="auto"/>
          <w:highlight w:val="none"/>
          <w:lang w:eastAsia="zh-CN"/>
        </w:rPr>
        <w:t>十一</w:t>
      </w:r>
      <w:r>
        <w:rPr>
          <w:rFonts w:ascii="Times New Roman" w:hAnsi="Times New Roman" w:eastAsia="方正仿宋_GBK" w:cs="Times New Roman"/>
          <w:color w:val="auto"/>
          <w:highlight w:val="none"/>
        </w:rPr>
        <w:t xml:space="preserve">条 </w:t>
      </w:r>
      <w:r>
        <w:rPr>
          <w:rFonts w:ascii="Times New Roman" w:hAnsi="Times New Roman" w:eastAsia="仿宋" w:cs="Times New Roman"/>
          <w:color w:val="auto"/>
          <w:highlight w:val="none"/>
        </w:rPr>
        <w:t>编制单位</w:t>
      </w:r>
      <w:r>
        <w:rPr>
          <w:rFonts w:hint="eastAsia" w:ascii="Times New Roman" w:hAnsi="Times New Roman" w:eastAsia="仿宋" w:cs="Times New Roman"/>
          <w:color w:val="auto"/>
          <w:highlight w:val="none"/>
          <w:lang w:eastAsia="zh-CN"/>
        </w:rPr>
        <w:t>有下列情形之一的</w:t>
      </w:r>
      <w:r>
        <w:rPr>
          <w:rFonts w:ascii="Times New Roman" w:hAnsi="Times New Roman" w:eastAsia="仿宋" w:cs="Times New Roman"/>
          <w:color w:val="auto"/>
          <w:highlight w:val="none"/>
        </w:rPr>
        <w:t>，</w:t>
      </w:r>
      <w:r>
        <w:rPr>
          <w:rFonts w:ascii="Times New Roman" w:hAnsi="Times New Roman" w:eastAsia="方正仿宋_GBK" w:cs="Times New Roman"/>
          <w:color w:val="auto"/>
          <w:highlight w:val="none"/>
        </w:rPr>
        <w:t>信用等级</w:t>
      </w:r>
      <w:r>
        <w:rPr>
          <w:rFonts w:ascii="Times New Roman" w:hAnsi="Times New Roman" w:eastAsia="仿宋" w:cs="Times New Roman"/>
          <w:color w:val="auto"/>
          <w:highlight w:val="none"/>
        </w:rPr>
        <w:t>定为</w:t>
      </w:r>
      <w:r>
        <w:rPr>
          <w:rFonts w:hint="eastAsia" w:ascii="Times New Roman" w:hAnsi="Times New Roman" w:eastAsia="仿宋" w:cs="Times New Roman"/>
          <w:color w:val="auto"/>
          <w:highlight w:val="none"/>
          <w:lang w:eastAsia="zh-CN"/>
        </w:rPr>
        <w:t>“一般失信”：</w:t>
      </w:r>
    </w:p>
    <w:p>
      <w:pPr>
        <w:numPr>
          <w:ilvl w:val="255"/>
          <w:numId w:val="0"/>
        </w:numPr>
        <w:spacing w:line="600" w:lineRule="exact"/>
        <w:ind w:firstLine="640" w:firstLineChars="200"/>
        <w:rPr>
          <w:rFonts w:hint="eastAsia" w:ascii="Times New Roman" w:hAnsi="Times New Roman" w:eastAsia="仿宋" w:cs="Times New Roman"/>
          <w:color w:val="auto"/>
          <w:highlight w:val="none"/>
          <w:lang w:eastAsia="zh-CN"/>
        </w:rPr>
      </w:pPr>
      <w:r>
        <w:rPr>
          <w:rFonts w:hint="eastAsia" w:ascii="Times New Roman" w:hAnsi="Times New Roman" w:eastAsia="仿宋" w:cs="Times New Roman"/>
          <w:color w:val="auto"/>
          <w:highlight w:val="none"/>
          <w:lang w:eastAsia="zh-CN"/>
        </w:rPr>
        <w:t>（一）被列入国家信用平台重点监督检查名单；</w:t>
      </w:r>
    </w:p>
    <w:p>
      <w:pPr>
        <w:numPr>
          <w:ilvl w:val="255"/>
          <w:numId w:val="0"/>
        </w:numPr>
        <w:spacing w:line="600" w:lineRule="exact"/>
        <w:ind w:firstLine="640" w:firstLineChars="200"/>
        <w:rPr>
          <w:rFonts w:ascii="Times New Roman" w:hAnsi="Times New Roman" w:eastAsia="仿宋" w:cs="Times New Roman"/>
          <w:color w:val="auto"/>
          <w:highlight w:val="none"/>
        </w:rPr>
      </w:pPr>
      <w:r>
        <w:rPr>
          <w:rFonts w:hint="eastAsia" w:ascii="Times New Roman" w:hAnsi="Times New Roman" w:eastAsia="仿宋" w:cs="Times New Roman"/>
          <w:color w:val="auto"/>
          <w:highlight w:val="none"/>
          <w:lang w:eastAsia="zh-CN"/>
        </w:rPr>
        <w:t>（二）被列入广西重点监督检查名单。</w:t>
      </w:r>
    </w:p>
    <w:p>
      <w:pPr>
        <w:spacing w:line="600" w:lineRule="exact"/>
        <w:ind w:firstLine="640" w:firstLineChars="200"/>
        <w:rPr>
          <w:rFonts w:hint="eastAsia" w:ascii="Times New Roman" w:hAnsi="Times New Roman" w:eastAsia="仿宋" w:cs="Times New Roman"/>
          <w:color w:val="auto"/>
          <w:highlight w:val="none"/>
          <w:lang w:eastAsia="zh-CN"/>
        </w:rPr>
      </w:pPr>
      <w:r>
        <w:rPr>
          <w:rFonts w:ascii="Times New Roman" w:hAnsi="Times New Roman" w:eastAsia="仿宋" w:cs="Times New Roman"/>
          <w:color w:val="auto"/>
          <w:highlight w:val="none"/>
        </w:rPr>
        <w:t>第十</w:t>
      </w:r>
      <w:r>
        <w:rPr>
          <w:rFonts w:hint="eastAsia" w:ascii="Times New Roman" w:hAnsi="Times New Roman" w:eastAsia="仿宋" w:cs="Times New Roman"/>
          <w:color w:val="auto"/>
          <w:highlight w:val="none"/>
          <w:lang w:eastAsia="zh-CN"/>
        </w:rPr>
        <w:t>二</w:t>
      </w:r>
      <w:r>
        <w:rPr>
          <w:rFonts w:ascii="Times New Roman" w:hAnsi="Times New Roman" w:eastAsia="仿宋" w:cs="Times New Roman"/>
          <w:color w:val="auto"/>
          <w:highlight w:val="none"/>
        </w:rPr>
        <w:t>条 编制单位</w:t>
      </w:r>
      <w:r>
        <w:rPr>
          <w:rFonts w:hint="eastAsia" w:ascii="Times New Roman" w:hAnsi="Times New Roman" w:eastAsia="仿宋" w:cs="Times New Roman"/>
          <w:color w:val="auto"/>
          <w:highlight w:val="none"/>
          <w:lang w:eastAsia="zh-CN"/>
        </w:rPr>
        <w:t>有下列情形的，</w:t>
      </w:r>
      <w:r>
        <w:rPr>
          <w:rFonts w:ascii="Times New Roman" w:hAnsi="Times New Roman" w:eastAsia="方正仿宋_GBK" w:cs="Times New Roman"/>
          <w:color w:val="auto"/>
          <w:highlight w:val="none"/>
        </w:rPr>
        <w:t>信用等级</w:t>
      </w:r>
      <w:r>
        <w:rPr>
          <w:rFonts w:hint="eastAsia" w:ascii="Times New Roman" w:hAnsi="Times New Roman" w:eastAsia="仿宋" w:cs="Times New Roman"/>
          <w:color w:val="auto"/>
          <w:highlight w:val="none"/>
          <w:lang w:eastAsia="zh-CN"/>
        </w:rPr>
        <w:t>定为</w:t>
      </w:r>
      <w:r>
        <w:rPr>
          <w:rFonts w:hint="eastAsia" w:ascii="Times New Roman" w:hAnsi="Times New Roman" w:eastAsia="仿宋" w:cs="Times New Roman"/>
          <w:color w:val="auto"/>
          <w:highlight w:val="none"/>
          <w:lang w:val="en-US" w:eastAsia="zh-CN"/>
        </w:rPr>
        <w:t>“普通”</w:t>
      </w:r>
      <w:r>
        <w:rPr>
          <w:rFonts w:hint="eastAsia" w:ascii="Times New Roman" w:hAnsi="Times New Roman" w:eastAsia="仿宋" w:cs="Times New Roman"/>
          <w:color w:val="auto"/>
          <w:highlight w:val="none"/>
          <w:lang w:eastAsia="zh-CN"/>
        </w:rPr>
        <w:t>：</w:t>
      </w:r>
    </w:p>
    <w:p>
      <w:pPr>
        <w:spacing w:line="600" w:lineRule="exact"/>
        <w:ind w:firstLine="640" w:firstLineChars="200"/>
        <w:rPr>
          <w:rFonts w:hint="eastAsia" w:ascii="Times New Roman" w:hAnsi="Times New Roman" w:eastAsia="仿宋" w:cs="Times New Roman"/>
          <w:color w:val="auto"/>
          <w:highlight w:val="none"/>
          <w:lang w:val="en-US" w:eastAsia="zh-CN"/>
        </w:rPr>
      </w:pPr>
      <w:r>
        <w:rPr>
          <w:rFonts w:hint="eastAsia" w:ascii="Times New Roman" w:hAnsi="Times New Roman" w:eastAsia="仿宋" w:cs="Times New Roman"/>
          <w:color w:val="auto"/>
          <w:highlight w:val="none"/>
          <w:lang w:eastAsia="zh-CN"/>
        </w:rPr>
        <w:t>（一）不在国家信用平台守信名单，或</w:t>
      </w:r>
      <w:r>
        <w:rPr>
          <w:rFonts w:hint="eastAsia" w:ascii="Times New Roman" w:hAnsi="Times New Roman" w:eastAsia="仿宋" w:cs="Times New Roman"/>
          <w:color w:val="auto"/>
          <w:highlight w:val="none"/>
          <w:lang w:val="en-US" w:eastAsia="zh-CN"/>
        </w:rPr>
        <w:t>被列入国家信用平台守信名单但两年内考核评分有被扣分；</w:t>
      </w:r>
    </w:p>
    <w:p>
      <w:pPr>
        <w:spacing w:line="600" w:lineRule="exact"/>
        <w:ind w:firstLine="640" w:firstLineChars="200"/>
        <w:rPr>
          <w:rFonts w:hint="eastAsia" w:ascii="Times New Roman" w:hAnsi="Times New Roman" w:eastAsia="仿宋" w:cs="Times New Roman"/>
          <w:color w:val="auto"/>
          <w:highlight w:val="none"/>
          <w:lang w:eastAsia="zh-CN"/>
        </w:rPr>
      </w:pPr>
      <w:r>
        <w:rPr>
          <w:rFonts w:hint="eastAsia" w:ascii="Times New Roman" w:hAnsi="Times New Roman" w:eastAsia="仿宋" w:cs="Times New Roman"/>
          <w:color w:val="auto"/>
          <w:highlight w:val="none"/>
          <w:lang w:eastAsia="zh-CN"/>
        </w:rPr>
        <w:t>（二）有下列情形之一：</w:t>
      </w:r>
    </w:p>
    <w:p>
      <w:pPr>
        <w:spacing w:line="600" w:lineRule="exact"/>
        <w:ind w:firstLine="640" w:firstLineChars="200"/>
        <w:rPr>
          <w:rFonts w:hint="eastAsia" w:ascii="Times New Roman" w:hAnsi="Times New Roman" w:eastAsia="仿宋" w:cs="Times New Roman"/>
          <w:color w:val="auto"/>
          <w:highlight w:val="none"/>
          <w:lang w:val="en-US" w:eastAsia="zh-CN"/>
        </w:rPr>
      </w:pPr>
      <w:r>
        <w:rPr>
          <w:rFonts w:hint="eastAsia" w:ascii="Times New Roman" w:hAnsi="Times New Roman" w:eastAsia="仿宋" w:cs="Times New Roman"/>
          <w:color w:val="auto"/>
          <w:highlight w:val="none"/>
          <w:lang w:val="en-US" w:eastAsia="zh-CN"/>
        </w:rPr>
        <w:t>1.</w:t>
      </w:r>
      <w:r>
        <w:rPr>
          <w:rFonts w:hint="eastAsia" w:ascii="Times New Roman" w:hAnsi="Times New Roman" w:eastAsia="仿宋" w:cs="Times New Roman"/>
          <w:color w:val="auto"/>
          <w:highlight w:val="none"/>
        </w:rPr>
        <w:t>考核评分</w:t>
      </w:r>
      <w:r>
        <w:rPr>
          <w:rFonts w:hint="eastAsia" w:ascii="Times New Roman" w:hAnsi="Times New Roman" w:eastAsia="仿宋" w:cs="Times New Roman"/>
          <w:color w:val="auto"/>
          <w:highlight w:val="none"/>
          <w:lang w:eastAsia="zh-CN"/>
        </w:rPr>
        <w:t>加分累计＜</w:t>
      </w:r>
      <w:r>
        <w:rPr>
          <w:rFonts w:hint="eastAsia" w:ascii="Times New Roman" w:hAnsi="Times New Roman" w:eastAsia="仿宋" w:cs="Times New Roman"/>
          <w:color w:val="auto"/>
          <w:highlight w:val="none"/>
          <w:lang w:val="en-US" w:eastAsia="zh-CN"/>
        </w:rPr>
        <w:t>5分；</w:t>
      </w:r>
    </w:p>
    <w:p>
      <w:pPr>
        <w:spacing w:line="600" w:lineRule="exact"/>
        <w:ind w:firstLine="640" w:firstLineChars="200"/>
        <w:rPr>
          <w:rFonts w:hint="eastAsia" w:ascii="Times New Roman" w:hAnsi="Times New Roman" w:eastAsia="仿宋" w:cs="Times New Roman"/>
          <w:color w:val="auto"/>
          <w:highlight w:val="none"/>
          <w:lang w:val="en-US" w:eastAsia="zh-CN"/>
        </w:rPr>
      </w:pPr>
      <w:r>
        <w:rPr>
          <w:rFonts w:hint="eastAsia" w:ascii="Times New Roman" w:hAnsi="Times New Roman" w:eastAsia="仿宋" w:cs="Times New Roman"/>
          <w:color w:val="auto"/>
          <w:highlight w:val="none"/>
          <w:lang w:val="en-US" w:eastAsia="zh-CN"/>
        </w:rPr>
        <w:t>2.</w:t>
      </w:r>
      <w:r>
        <w:rPr>
          <w:rFonts w:ascii="Times New Roman" w:hAnsi="Times New Roman" w:eastAsia="仿宋" w:cs="Times New Roman"/>
          <w:color w:val="auto"/>
          <w:highlight w:val="none"/>
        </w:rPr>
        <w:t>考核</w:t>
      </w:r>
      <w:r>
        <w:rPr>
          <w:rFonts w:hint="eastAsia" w:ascii="Times New Roman" w:hAnsi="Times New Roman" w:eastAsia="仿宋" w:cs="Times New Roman"/>
          <w:color w:val="auto"/>
          <w:highlight w:val="none"/>
          <w:lang w:eastAsia="zh-CN"/>
        </w:rPr>
        <w:t>评分</w:t>
      </w:r>
      <w:r>
        <w:rPr>
          <w:rFonts w:hint="eastAsia" w:ascii="Times New Roman" w:hAnsi="Times New Roman" w:eastAsia="仿宋" w:cs="Times New Roman"/>
          <w:color w:val="auto"/>
          <w:highlight w:val="none"/>
        </w:rPr>
        <w:t>加分</w:t>
      </w:r>
      <w:r>
        <w:rPr>
          <w:rFonts w:hint="eastAsia" w:ascii="Times New Roman" w:hAnsi="Times New Roman" w:eastAsia="仿宋" w:cs="Times New Roman"/>
          <w:color w:val="auto"/>
          <w:highlight w:val="none"/>
          <w:lang w:eastAsia="zh-CN"/>
        </w:rPr>
        <w:t>累计</w:t>
      </w:r>
      <w:r>
        <w:rPr>
          <w:rFonts w:hint="eastAsia" w:ascii="Times New Roman" w:hAnsi="Times New Roman" w:eastAsia="仿宋" w:cs="Times New Roman"/>
          <w:color w:val="auto"/>
          <w:highlight w:val="none"/>
        </w:rPr>
        <w:t>≥</w:t>
      </w:r>
      <w:r>
        <w:rPr>
          <w:rFonts w:ascii="Times New Roman" w:hAnsi="Times New Roman" w:eastAsia="仿宋" w:cs="Times New Roman"/>
          <w:color w:val="auto"/>
          <w:highlight w:val="none"/>
        </w:rPr>
        <w:t>5分</w:t>
      </w:r>
      <w:r>
        <w:rPr>
          <w:rFonts w:hint="eastAsia" w:ascii="Times New Roman" w:hAnsi="Times New Roman" w:eastAsia="仿宋" w:cs="Times New Roman"/>
          <w:color w:val="auto"/>
          <w:highlight w:val="none"/>
          <w:lang w:eastAsia="zh-CN"/>
        </w:rPr>
        <w:t>，但</w:t>
      </w:r>
      <w:r>
        <w:rPr>
          <w:rFonts w:hint="eastAsia" w:ascii="Times New Roman" w:hAnsi="Times New Roman" w:eastAsia="仿宋" w:cs="Times New Roman"/>
          <w:color w:val="auto"/>
          <w:highlight w:val="none"/>
          <w:lang w:val="en-US" w:eastAsia="zh-CN"/>
        </w:rPr>
        <w:t>两年内曾被定为“严重失信”。</w:t>
      </w:r>
    </w:p>
    <w:p>
      <w:pPr>
        <w:spacing w:line="600" w:lineRule="exact"/>
        <w:ind w:firstLine="640" w:firstLineChars="200"/>
        <w:rPr>
          <w:rFonts w:hint="eastAsia" w:ascii="Times New Roman" w:hAnsi="Times New Roman" w:eastAsia="仿宋" w:cs="Times New Roman"/>
          <w:color w:val="auto"/>
          <w:highlight w:val="none"/>
          <w:lang w:eastAsia="zh-CN"/>
        </w:rPr>
      </w:pPr>
      <w:r>
        <w:rPr>
          <w:rFonts w:ascii="Times New Roman" w:hAnsi="Times New Roman" w:eastAsia="仿宋" w:cs="Times New Roman"/>
          <w:color w:val="auto"/>
          <w:highlight w:val="none"/>
        </w:rPr>
        <w:t>第</w:t>
      </w:r>
      <w:r>
        <w:rPr>
          <w:rFonts w:hint="eastAsia" w:ascii="Times New Roman" w:hAnsi="Times New Roman" w:eastAsia="仿宋" w:cs="Times New Roman"/>
          <w:color w:val="auto"/>
          <w:highlight w:val="none"/>
        </w:rPr>
        <w:t>十</w:t>
      </w:r>
      <w:r>
        <w:rPr>
          <w:rFonts w:hint="eastAsia" w:ascii="Times New Roman" w:hAnsi="Times New Roman" w:eastAsia="仿宋" w:cs="Times New Roman"/>
          <w:color w:val="auto"/>
          <w:highlight w:val="none"/>
          <w:lang w:eastAsia="zh-CN"/>
        </w:rPr>
        <w:t>三</w:t>
      </w:r>
      <w:r>
        <w:rPr>
          <w:rFonts w:ascii="Times New Roman" w:hAnsi="Times New Roman" w:eastAsia="仿宋" w:cs="Times New Roman"/>
          <w:color w:val="auto"/>
          <w:highlight w:val="none"/>
        </w:rPr>
        <w:t>条 编制单位</w:t>
      </w:r>
      <w:r>
        <w:rPr>
          <w:rFonts w:hint="eastAsia" w:ascii="Times New Roman" w:hAnsi="Times New Roman" w:eastAsia="仿宋" w:cs="Times New Roman"/>
          <w:color w:val="auto"/>
          <w:highlight w:val="none"/>
          <w:lang w:eastAsia="zh-CN"/>
        </w:rPr>
        <w:t>有下列情形之一</w:t>
      </w:r>
      <w:r>
        <w:rPr>
          <w:rFonts w:ascii="Times New Roman" w:hAnsi="Times New Roman" w:eastAsia="仿宋" w:cs="Times New Roman"/>
          <w:color w:val="auto"/>
          <w:highlight w:val="none"/>
        </w:rPr>
        <w:t>的</w:t>
      </w:r>
      <w:r>
        <w:rPr>
          <w:rFonts w:hint="eastAsia" w:ascii="Times New Roman" w:hAnsi="Times New Roman" w:eastAsia="仿宋" w:cs="Times New Roman"/>
          <w:color w:val="auto"/>
          <w:highlight w:val="none"/>
          <w:lang w:val="en-US" w:eastAsia="zh-CN"/>
        </w:rPr>
        <w:t>，</w:t>
      </w:r>
      <w:r>
        <w:rPr>
          <w:rFonts w:ascii="Times New Roman" w:hAnsi="Times New Roman" w:eastAsia="方正仿宋_GBK" w:cs="Times New Roman"/>
          <w:color w:val="auto"/>
          <w:highlight w:val="none"/>
        </w:rPr>
        <w:t>信用等级</w:t>
      </w:r>
      <w:r>
        <w:rPr>
          <w:rFonts w:ascii="Times New Roman" w:hAnsi="Times New Roman" w:eastAsia="仿宋" w:cs="Times New Roman"/>
          <w:color w:val="auto"/>
          <w:highlight w:val="none"/>
        </w:rPr>
        <w:t>定为</w:t>
      </w:r>
      <w:r>
        <w:rPr>
          <w:rFonts w:hint="eastAsia" w:ascii="Times New Roman" w:hAnsi="Times New Roman" w:eastAsia="仿宋" w:cs="Times New Roman"/>
          <w:color w:val="auto"/>
          <w:highlight w:val="none"/>
          <w:lang w:eastAsia="zh-CN"/>
        </w:rPr>
        <w:t>“守信”：</w:t>
      </w:r>
    </w:p>
    <w:p>
      <w:pPr>
        <w:spacing w:line="600" w:lineRule="exact"/>
        <w:ind w:firstLine="640" w:firstLineChars="200"/>
        <w:rPr>
          <w:rFonts w:hint="eastAsia" w:ascii="Times New Roman" w:hAnsi="Times New Roman" w:eastAsia="仿宋" w:cs="Times New Roman"/>
          <w:color w:val="auto"/>
          <w:highlight w:val="none"/>
          <w:lang w:eastAsia="zh-CN"/>
        </w:rPr>
      </w:pPr>
      <w:r>
        <w:rPr>
          <w:rFonts w:hint="eastAsia" w:ascii="Times New Roman" w:hAnsi="Times New Roman" w:eastAsia="仿宋" w:cs="Times New Roman"/>
          <w:color w:val="auto"/>
          <w:highlight w:val="none"/>
          <w:lang w:eastAsia="zh-CN"/>
        </w:rPr>
        <w:t>（一）</w:t>
      </w:r>
      <w:r>
        <w:rPr>
          <w:rFonts w:ascii="Times New Roman" w:hAnsi="Times New Roman" w:eastAsia="仿宋" w:cs="Times New Roman"/>
          <w:color w:val="auto"/>
          <w:highlight w:val="none"/>
        </w:rPr>
        <w:t>考核</w:t>
      </w:r>
      <w:r>
        <w:rPr>
          <w:rFonts w:hint="eastAsia" w:ascii="Times New Roman" w:hAnsi="Times New Roman" w:eastAsia="仿宋" w:cs="Times New Roman"/>
          <w:color w:val="auto"/>
          <w:highlight w:val="none"/>
          <w:lang w:eastAsia="zh-CN"/>
        </w:rPr>
        <w:t>评分</w:t>
      </w:r>
      <w:r>
        <w:rPr>
          <w:rFonts w:hint="eastAsia" w:ascii="Times New Roman" w:hAnsi="Times New Roman" w:eastAsia="仿宋" w:cs="Times New Roman"/>
          <w:color w:val="auto"/>
          <w:highlight w:val="none"/>
        </w:rPr>
        <w:t>加分</w:t>
      </w:r>
      <w:r>
        <w:rPr>
          <w:rFonts w:hint="eastAsia" w:ascii="Times New Roman" w:hAnsi="Times New Roman" w:eastAsia="仿宋" w:cs="Times New Roman"/>
          <w:color w:val="auto"/>
          <w:highlight w:val="none"/>
          <w:lang w:eastAsia="zh-CN"/>
        </w:rPr>
        <w:t>累计</w:t>
      </w:r>
      <w:r>
        <w:rPr>
          <w:rFonts w:hint="eastAsia" w:ascii="Times New Roman" w:hAnsi="Times New Roman" w:eastAsia="仿宋" w:cs="Times New Roman"/>
          <w:color w:val="auto"/>
          <w:highlight w:val="none"/>
        </w:rPr>
        <w:t>≥</w:t>
      </w:r>
      <w:r>
        <w:rPr>
          <w:rFonts w:ascii="Times New Roman" w:hAnsi="Times New Roman" w:eastAsia="仿宋" w:cs="Times New Roman"/>
          <w:color w:val="auto"/>
          <w:highlight w:val="none"/>
        </w:rPr>
        <w:t>5分</w:t>
      </w:r>
      <w:r>
        <w:rPr>
          <w:rFonts w:hint="eastAsia" w:ascii="Times New Roman" w:hAnsi="Times New Roman" w:eastAsia="仿宋" w:cs="Times New Roman"/>
          <w:color w:val="auto"/>
          <w:highlight w:val="none"/>
          <w:lang w:eastAsia="zh-CN"/>
        </w:rPr>
        <w:t>，且</w:t>
      </w:r>
      <w:r>
        <w:rPr>
          <w:rFonts w:hint="eastAsia" w:ascii="Times New Roman" w:hAnsi="Times New Roman" w:eastAsia="仿宋" w:cs="Times New Roman"/>
          <w:color w:val="auto"/>
          <w:highlight w:val="none"/>
          <w:lang w:val="en-US" w:eastAsia="zh-CN"/>
        </w:rPr>
        <w:t>两年内没有被定为“严重失信”；</w:t>
      </w:r>
    </w:p>
    <w:p>
      <w:pPr>
        <w:spacing w:line="600" w:lineRule="exact"/>
        <w:ind w:firstLine="640" w:firstLineChars="200"/>
        <w:rPr>
          <w:rFonts w:hint="eastAsia" w:ascii="Times New Roman" w:hAnsi="Times New Roman" w:eastAsia="仿宋" w:cs="Times New Roman"/>
          <w:color w:val="auto"/>
          <w:highlight w:val="none"/>
          <w:lang w:eastAsia="zh-CN"/>
        </w:rPr>
      </w:pPr>
      <w:r>
        <w:rPr>
          <w:rFonts w:hint="eastAsia" w:ascii="Times New Roman" w:hAnsi="Times New Roman" w:eastAsia="仿宋" w:cs="Times New Roman"/>
          <w:color w:val="auto"/>
          <w:highlight w:val="none"/>
          <w:lang w:eastAsia="zh-CN"/>
        </w:rPr>
        <w:t>（二）被列入国家信用平台守信名单，且两年内考核评分未被扣分。</w:t>
      </w:r>
    </w:p>
    <w:p>
      <w:pPr>
        <w:spacing w:line="600" w:lineRule="exact"/>
        <w:ind w:firstLine="640" w:firstLineChars="200"/>
        <w:rPr>
          <w:rFonts w:hint="eastAsia" w:ascii="Times New Roman" w:hAnsi="Times New Roman" w:eastAsia="仿宋" w:cs="Times New Roman"/>
          <w:color w:val="auto"/>
          <w:highlight w:val="none"/>
          <w:lang w:val="en-US" w:eastAsia="zh-CN"/>
        </w:rPr>
      </w:pPr>
      <w:r>
        <w:rPr>
          <w:rFonts w:hint="eastAsia" w:ascii="Times New Roman" w:hAnsi="Times New Roman" w:eastAsia="仿宋" w:cs="Times New Roman"/>
          <w:color w:val="auto"/>
          <w:highlight w:val="none"/>
          <w:lang w:eastAsia="zh-CN"/>
        </w:rPr>
        <w:t>第十四条</w:t>
      </w:r>
      <w:r>
        <w:rPr>
          <w:rFonts w:hint="eastAsia" w:ascii="Times New Roman" w:hAnsi="Times New Roman" w:eastAsia="仿宋" w:cs="Times New Roman"/>
          <w:color w:val="auto"/>
          <w:highlight w:val="none"/>
          <w:lang w:val="en-US" w:eastAsia="zh-CN"/>
        </w:rPr>
        <w:t xml:space="preserve"> 编制单位同时满足不同定级条件的，按照信用等级从劣等到优等的优先次序定级。</w:t>
      </w:r>
    </w:p>
    <w:p>
      <w:pPr>
        <w:spacing w:line="600" w:lineRule="exact"/>
        <w:ind w:firstLine="640" w:firstLineChars="200"/>
        <w:rPr>
          <w:rFonts w:hint="eastAsia" w:ascii="Times New Roman" w:hAnsi="Times New Roman" w:eastAsia="仿宋" w:cs="Times New Roman"/>
          <w:color w:val="auto"/>
          <w:highlight w:val="none"/>
          <w:lang w:val="en-US" w:eastAsia="zh-CN"/>
        </w:rPr>
      </w:pPr>
      <w:r>
        <w:rPr>
          <w:rFonts w:hint="eastAsia" w:ascii="Times New Roman" w:hAnsi="Times New Roman" w:eastAsia="仿宋" w:cs="Times New Roman"/>
          <w:color w:val="auto"/>
          <w:highlight w:val="none"/>
          <w:lang w:val="en-US" w:eastAsia="zh-CN"/>
        </w:rPr>
        <w:t>第十五条 企业和社会公众可在自治区生态环境厅门户网站查阅相关信用信息。</w:t>
      </w:r>
    </w:p>
    <w:p>
      <w:pPr>
        <w:spacing w:line="600" w:lineRule="exact"/>
        <w:ind w:firstLine="640" w:firstLineChars="200"/>
        <w:rPr>
          <w:rFonts w:ascii="Times New Roman" w:hAnsi="Times New Roman" w:eastAsia="仿宋" w:cs="Times New Roman"/>
          <w:color w:val="auto"/>
          <w:highlight w:val="none"/>
        </w:rPr>
      </w:pPr>
      <w:r>
        <w:rPr>
          <w:rFonts w:ascii="Times New Roman" w:hAnsi="Times New Roman" w:eastAsia="仿宋" w:cs="Times New Roman"/>
          <w:color w:val="auto"/>
          <w:highlight w:val="none"/>
        </w:rPr>
        <w:t>第十</w:t>
      </w:r>
      <w:r>
        <w:rPr>
          <w:rFonts w:hint="eastAsia" w:ascii="Times New Roman" w:hAnsi="Times New Roman" w:eastAsia="仿宋" w:cs="Times New Roman"/>
          <w:color w:val="auto"/>
          <w:highlight w:val="none"/>
          <w:lang w:eastAsia="zh-CN"/>
        </w:rPr>
        <w:t>六</w:t>
      </w:r>
      <w:r>
        <w:rPr>
          <w:rFonts w:ascii="Times New Roman" w:hAnsi="Times New Roman" w:eastAsia="仿宋" w:cs="Times New Roman"/>
          <w:color w:val="auto"/>
          <w:highlight w:val="none"/>
        </w:rPr>
        <w:t xml:space="preserve">条 </w:t>
      </w:r>
      <w:r>
        <w:rPr>
          <w:rFonts w:hint="eastAsia" w:ascii="Times New Roman" w:hAnsi="Times New Roman" w:eastAsia="仿宋" w:cs="Times New Roman"/>
          <w:color w:val="auto"/>
          <w:highlight w:val="none"/>
          <w:lang w:eastAsia="zh-CN"/>
        </w:rPr>
        <w:t>“守信”和“严重失信”信息</w:t>
      </w:r>
      <w:r>
        <w:rPr>
          <w:rFonts w:ascii="Times New Roman" w:hAnsi="Times New Roman" w:eastAsia="仿宋" w:cs="Times New Roman"/>
          <w:color w:val="auto"/>
          <w:highlight w:val="none"/>
        </w:rPr>
        <w:t>推送至</w:t>
      </w:r>
      <w:r>
        <w:rPr>
          <w:rFonts w:hint="eastAsia" w:ascii="Times New Roman" w:hAnsi="Times New Roman" w:eastAsia="仿宋" w:cs="Times New Roman"/>
          <w:color w:val="auto"/>
          <w:highlight w:val="none"/>
          <w:lang w:eastAsia="zh-CN"/>
        </w:rPr>
        <w:t>自治区人民政府门户网站、</w:t>
      </w:r>
      <w:r>
        <w:rPr>
          <w:rFonts w:ascii="Times New Roman" w:hAnsi="Times New Roman" w:eastAsia="仿宋" w:cs="Times New Roman"/>
          <w:color w:val="auto"/>
          <w:highlight w:val="none"/>
        </w:rPr>
        <w:t>广西公共信用信息平台</w:t>
      </w:r>
      <w:r>
        <w:rPr>
          <w:rFonts w:hint="eastAsia" w:ascii="Times New Roman" w:hAnsi="Times New Roman" w:eastAsia="仿宋" w:cs="Times New Roman"/>
          <w:color w:val="auto"/>
          <w:highlight w:val="none"/>
          <w:lang w:eastAsia="zh-CN"/>
        </w:rPr>
        <w:t>、相关“中介超市”等主管部门或者网站、平台，由相关主管部门按照本部门规定在其网站或者管理的平台公布，并按规定进行守信联合激励或失信联合惩戒</w:t>
      </w:r>
      <w:r>
        <w:rPr>
          <w:rFonts w:ascii="Times New Roman" w:hAnsi="Times New Roman" w:eastAsia="仿宋" w:cs="Times New Roman"/>
          <w:color w:val="auto"/>
          <w:highlight w:val="none"/>
        </w:rPr>
        <w:t>。</w:t>
      </w:r>
    </w:p>
    <w:p>
      <w:pPr>
        <w:spacing w:line="600" w:lineRule="exact"/>
        <w:ind w:firstLine="640" w:firstLineChars="200"/>
        <w:rPr>
          <w:rFonts w:ascii="Times New Roman" w:hAnsi="Times New Roman" w:eastAsia="仿宋" w:cs="Times New Roman"/>
          <w:color w:val="auto"/>
          <w:highlight w:val="none"/>
        </w:rPr>
      </w:pPr>
      <w:r>
        <w:rPr>
          <w:rFonts w:ascii="Times New Roman" w:hAnsi="Times New Roman" w:eastAsia="仿宋" w:cs="Times New Roman"/>
          <w:color w:val="auto"/>
          <w:highlight w:val="none"/>
        </w:rPr>
        <w:t>第十</w:t>
      </w:r>
      <w:r>
        <w:rPr>
          <w:rFonts w:hint="eastAsia" w:ascii="Times New Roman" w:hAnsi="Times New Roman" w:eastAsia="仿宋" w:cs="Times New Roman"/>
          <w:color w:val="auto"/>
          <w:highlight w:val="none"/>
          <w:lang w:eastAsia="zh-CN"/>
        </w:rPr>
        <w:t>七</w:t>
      </w:r>
      <w:r>
        <w:rPr>
          <w:rFonts w:ascii="Times New Roman" w:hAnsi="Times New Roman" w:eastAsia="仿宋" w:cs="Times New Roman"/>
          <w:color w:val="auto"/>
          <w:highlight w:val="none"/>
        </w:rPr>
        <w:t>条 本办法由自治区生态环境厅负责解释。</w:t>
      </w:r>
    </w:p>
    <w:p>
      <w:pPr>
        <w:spacing w:line="600" w:lineRule="exact"/>
        <w:ind w:firstLine="640" w:firstLineChars="200"/>
        <w:rPr>
          <w:rFonts w:ascii="Times New Roman" w:hAnsi="Times New Roman" w:eastAsia="仿宋" w:cs="Times New Roman"/>
          <w:color w:val="auto"/>
          <w:highlight w:val="none"/>
        </w:rPr>
        <w:sectPr>
          <w:pgSz w:w="11906" w:h="16838"/>
          <w:pgMar w:top="1440" w:right="1800" w:bottom="1440" w:left="1800" w:header="851" w:footer="992" w:gutter="0"/>
          <w:pgBorders>
            <w:top w:val="none" w:sz="0" w:space="0"/>
            <w:left w:val="none" w:sz="0" w:space="0"/>
            <w:bottom w:val="none" w:sz="0" w:space="0"/>
            <w:right w:val="none" w:sz="0" w:space="0"/>
          </w:pgBorders>
          <w:cols w:space="0" w:num="1"/>
          <w:docGrid w:type="lines" w:linePitch="312" w:charSpace="0"/>
        </w:sectPr>
      </w:pPr>
      <w:r>
        <w:rPr>
          <w:rFonts w:ascii="Times New Roman" w:hAnsi="Times New Roman" w:eastAsia="仿宋" w:cs="Times New Roman"/>
          <w:color w:val="auto"/>
          <w:highlight w:val="none"/>
        </w:rPr>
        <w:t>第十</w:t>
      </w:r>
      <w:r>
        <w:rPr>
          <w:rFonts w:hint="eastAsia" w:ascii="Times New Roman" w:hAnsi="Times New Roman" w:eastAsia="仿宋" w:cs="Times New Roman"/>
          <w:color w:val="auto"/>
          <w:highlight w:val="none"/>
          <w:lang w:eastAsia="zh-CN"/>
        </w:rPr>
        <w:t>八</w:t>
      </w:r>
      <w:r>
        <w:rPr>
          <w:rFonts w:ascii="Times New Roman" w:hAnsi="Times New Roman" w:eastAsia="仿宋" w:cs="Times New Roman"/>
          <w:color w:val="auto"/>
          <w:highlight w:val="none"/>
        </w:rPr>
        <w:t>条 本办法自发布之日起施行。《</w:t>
      </w:r>
      <w:r>
        <w:rPr>
          <w:rFonts w:hint="eastAsia" w:ascii="Times New Roman" w:hAnsi="Times New Roman" w:eastAsia="仿宋" w:cs="Times New Roman"/>
          <w:color w:val="auto"/>
          <w:highlight w:val="none"/>
          <w:lang w:eastAsia="zh-CN"/>
        </w:rPr>
        <w:t>广西壮族自治区环境保护厅</w:t>
      </w:r>
      <w:r>
        <w:rPr>
          <w:rFonts w:ascii="Times New Roman" w:hAnsi="Times New Roman" w:eastAsia="仿宋" w:cs="Times New Roman"/>
          <w:color w:val="auto"/>
          <w:highlight w:val="none"/>
        </w:rPr>
        <w:t>关于进一步加强环境影响评价机构监督管理的通知》（桂环发〔2014〕45号）自本办法施行之日起废止。</w:t>
      </w:r>
    </w:p>
    <w:p>
      <w:pPr>
        <w:spacing w:line="600" w:lineRule="exact"/>
        <w:rPr>
          <w:rFonts w:hint="eastAsia" w:ascii="Times New Roman" w:hAnsi="Times New Roman" w:eastAsia="仿宋" w:cs="Times New Roman"/>
          <w:color w:val="auto"/>
          <w:highlight w:val="none"/>
        </w:rPr>
      </w:pPr>
      <w:r>
        <w:rPr>
          <w:rFonts w:hint="eastAsia" w:ascii="黑体" w:hAnsi="黑体" w:eastAsia="黑体" w:cs="黑体"/>
          <w:color w:val="auto"/>
          <w:highlight w:val="none"/>
        </w:rPr>
        <w:t>附件</w:t>
      </w:r>
    </w:p>
    <w:p>
      <w:pPr>
        <w:spacing w:line="600" w:lineRule="exact"/>
        <w:rPr>
          <w:rFonts w:hint="eastAsia" w:ascii="Times New Roman" w:hAnsi="Times New Roman" w:eastAsia="仿宋" w:cs="Times New Roman"/>
          <w:color w:val="auto"/>
          <w:highlight w:val="none"/>
        </w:rPr>
      </w:pPr>
    </w:p>
    <w:p>
      <w:pPr>
        <w:spacing w:line="600" w:lineRule="exact"/>
        <w:jc w:val="center"/>
        <w:rPr>
          <w:rFonts w:ascii="Times New Roman" w:hAnsi="Times New Roman" w:eastAsia="方正小标宋_GBK" w:cs="Times New Roman"/>
          <w:color w:val="auto"/>
          <w:sz w:val="44"/>
          <w:szCs w:val="44"/>
          <w:highlight w:val="none"/>
        </w:rPr>
      </w:pPr>
      <w:r>
        <w:rPr>
          <w:rFonts w:ascii="Times New Roman" w:hAnsi="Times New Roman" w:eastAsia="方正小标宋_GBK" w:cs="Times New Roman"/>
          <w:color w:val="auto"/>
          <w:sz w:val="44"/>
          <w:szCs w:val="44"/>
          <w:highlight w:val="none"/>
        </w:rPr>
        <w:t>建设项目环境影响</w:t>
      </w:r>
      <w:r>
        <w:rPr>
          <w:rFonts w:hint="eastAsia" w:ascii="Times New Roman" w:hAnsi="Times New Roman" w:eastAsia="方正小标宋_GBK" w:cs="Times New Roman"/>
          <w:color w:val="auto"/>
          <w:sz w:val="44"/>
          <w:szCs w:val="44"/>
          <w:highlight w:val="none"/>
        </w:rPr>
        <w:t>报告书（表）</w:t>
      </w:r>
    </w:p>
    <w:p>
      <w:pPr>
        <w:spacing w:line="600" w:lineRule="exact"/>
        <w:jc w:val="center"/>
        <w:rPr>
          <w:rFonts w:hint="eastAsia" w:ascii="Times New Roman" w:hAnsi="Times New Roman" w:eastAsia="方正小标宋_GBK" w:cs="Times New Roman"/>
          <w:color w:val="auto"/>
          <w:sz w:val="44"/>
          <w:szCs w:val="44"/>
          <w:highlight w:val="none"/>
          <w:lang w:val="en-US" w:eastAsia="zh-CN"/>
        </w:rPr>
      </w:pPr>
      <w:r>
        <w:rPr>
          <w:rFonts w:hint="eastAsia" w:ascii="Times New Roman" w:hAnsi="Times New Roman" w:eastAsia="方正小标宋_GBK" w:cs="Times New Roman"/>
          <w:color w:val="auto"/>
          <w:sz w:val="44"/>
          <w:szCs w:val="44"/>
          <w:highlight w:val="none"/>
          <w:lang w:eastAsia="zh-CN"/>
        </w:rPr>
        <w:t>考核</w:t>
      </w:r>
      <w:r>
        <w:rPr>
          <w:rFonts w:ascii="Times New Roman" w:hAnsi="Times New Roman" w:eastAsia="方正小标宋_GBK" w:cs="Times New Roman"/>
          <w:color w:val="auto"/>
          <w:sz w:val="44"/>
          <w:szCs w:val="44"/>
          <w:highlight w:val="none"/>
        </w:rPr>
        <w:t>评分表</w:t>
      </w:r>
    </w:p>
    <w:p>
      <w:pPr>
        <w:spacing w:line="600" w:lineRule="exact"/>
        <w:rPr>
          <w:rFonts w:ascii="Times New Roman" w:hAnsi="Times New Roman" w:eastAsia="仿宋" w:cs="Times New Roman"/>
          <w:color w:val="auto"/>
          <w:highlight w:val="none"/>
        </w:rPr>
      </w:pPr>
    </w:p>
    <w:p>
      <w:pPr>
        <w:spacing w:line="600" w:lineRule="exact"/>
        <w:rPr>
          <w:rFonts w:ascii="Times New Roman" w:hAnsi="Times New Roman" w:eastAsia="仿宋" w:cs="Times New Roman"/>
          <w:color w:val="auto"/>
          <w:highlight w:val="none"/>
        </w:rPr>
      </w:pPr>
      <w:r>
        <w:rPr>
          <w:rFonts w:hint="eastAsia" w:ascii="Times New Roman" w:hAnsi="Times New Roman" w:eastAsia="仿宋" w:cs="Times New Roman"/>
          <w:color w:val="auto"/>
          <w:highlight w:val="none"/>
          <w:lang w:eastAsia="zh-CN"/>
        </w:rPr>
        <w:t>环评文件</w:t>
      </w:r>
      <w:r>
        <w:rPr>
          <w:rFonts w:ascii="Times New Roman" w:hAnsi="Times New Roman" w:eastAsia="仿宋" w:cs="Times New Roman"/>
          <w:color w:val="auto"/>
          <w:highlight w:val="none"/>
        </w:rPr>
        <w:t>名称：</w:t>
      </w:r>
    </w:p>
    <w:p>
      <w:pPr>
        <w:spacing w:line="600" w:lineRule="exact"/>
        <w:rPr>
          <w:rFonts w:ascii="Times New Roman" w:hAnsi="Times New Roman" w:eastAsia="仿宋" w:cs="Times New Roman"/>
          <w:color w:val="auto"/>
          <w:highlight w:val="none"/>
        </w:rPr>
      </w:pPr>
    </w:p>
    <w:p>
      <w:pPr>
        <w:spacing w:line="600" w:lineRule="exact"/>
        <w:rPr>
          <w:rFonts w:ascii="Times New Roman" w:hAnsi="Times New Roman" w:eastAsia="仿宋" w:cs="Times New Roman"/>
          <w:color w:val="auto"/>
          <w:highlight w:val="none"/>
        </w:rPr>
      </w:pPr>
    </w:p>
    <w:p>
      <w:pPr>
        <w:spacing w:line="600" w:lineRule="exact"/>
        <w:rPr>
          <w:rFonts w:ascii="Times New Roman" w:hAnsi="Times New Roman" w:eastAsia="仿宋" w:cs="Times New Roman"/>
          <w:color w:val="auto"/>
          <w:highlight w:val="none"/>
        </w:rPr>
      </w:pPr>
      <w:r>
        <w:rPr>
          <w:rFonts w:hint="eastAsia" w:ascii="Times New Roman" w:hAnsi="Times New Roman" w:eastAsia="仿宋" w:cs="Times New Roman"/>
          <w:color w:val="auto"/>
          <w:highlight w:val="none"/>
          <w:lang w:eastAsia="zh-CN"/>
        </w:rPr>
        <w:t>环评文件</w:t>
      </w:r>
      <w:r>
        <w:rPr>
          <w:rFonts w:ascii="Times New Roman" w:hAnsi="Times New Roman" w:eastAsia="仿宋" w:cs="Times New Roman"/>
          <w:color w:val="auto"/>
          <w:highlight w:val="none"/>
        </w:rPr>
        <w:t>编制单位：</w:t>
      </w:r>
    </w:p>
    <w:p>
      <w:pPr>
        <w:spacing w:line="600" w:lineRule="exact"/>
        <w:rPr>
          <w:rFonts w:ascii="Times New Roman" w:hAnsi="Times New Roman" w:eastAsia="仿宋" w:cs="Times New Roman"/>
          <w:color w:val="auto"/>
          <w:highlight w:val="none"/>
        </w:rPr>
      </w:pPr>
    </w:p>
    <w:p>
      <w:pPr>
        <w:spacing w:line="600" w:lineRule="exact"/>
        <w:rPr>
          <w:rFonts w:ascii="Times New Roman" w:hAnsi="Times New Roman" w:eastAsia="仿宋" w:cs="Times New Roman"/>
          <w:color w:val="auto"/>
          <w:highlight w:val="none"/>
        </w:rPr>
      </w:pPr>
    </w:p>
    <w:p>
      <w:pPr>
        <w:spacing w:line="600" w:lineRule="exact"/>
        <w:rPr>
          <w:rFonts w:ascii="Times New Roman" w:hAnsi="Times New Roman" w:eastAsia="仿宋" w:cs="Times New Roman"/>
          <w:color w:val="auto"/>
          <w:highlight w:val="none"/>
        </w:rPr>
      </w:pPr>
      <w:r>
        <w:rPr>
          <w:rFonts w:ascii="Times New Roman" w:hAnsi="Times New Roman" w:eastAsia="仿宋" w:cs="Times New Roman"/>
          <w:color w:val="auto"/>
          <w:highlight w:val="none"/>
        </w:rPr>
        <w:t>编制主持人：</w:t>
      </w:r>
    </w:p>
    <w:p>
      <w:pPr>
        <w:spacing w:line="600" w:lineRule="exact"/>
        <w:rPr>
          <w:rFonts w:ascii="Times New Roman" w:hAnsi="Times New Roman" w:eastAsia="仿宋" w:cs="Times New Roman"/>
          <w:color w:val="auto"/>
          <w:highlight w:val="none"/>
        </w:rPr>
      </w:pPr>
    </w:p>
    <w:p>
      <w:pPr>
        <w:spacing w:line="600" w:lineRule="exact"/>
        <w:rPr>
          <w:rFonts w:ascii="Times New Roman" w:hAnsi="Times New Roman" w:eastAsia="仿宋" w:cs="Times New Roman"/>
          <w:color w:val="auto"/>
          <w:highlight w:val="none"/>
        </w:rPr>
      </w:pPr>
      <w:r>
        <w:rPr>
          <w:rFonts w:ascii="Times New Roman" w:hAnsi="Times New Roman" w:eastAsia="仿宋" w:cs="Times New Roman"/>
          <w:color w:val="auto"/>
          <w:highlight w:val="none"/>
        </w:rPr>
        <w:t>主要编制人员：</w:t>
      </w:r>
    </w:p>
    <w:p>
      <w:pPr>
        <w:spacing w:line="600" w:lineRule="exact"/>
        <w:rPr>
          <w:rFonts w:ascii="Times New Roman" w:hAnsi="Times New Roman" w:eastAsia="仿宋" w:cs="Times New Roman"/>
          <w:color w:val="auto"/>
          <w:highlight w:val="none"/>
        </w:rPr>
      </w:pPr>
    </w:p>
    <w:p>
      <w:pPr>
        <w:spacing w:line="600" w:lineRule="exact"/>
        <w:rPr>
          <w:rFonts w:ascii="Times New Roman" w:hAnsi="Times New Roman" w:eastAsia="仿宋" w:cs="Times New Roman"/>
          <w:color w:val="auto"/>
          <w:highlight w:val="none"/>
        </w:rPr>
      </w:pPr>
      <w:r>
        <w:rPr>
          <w:rFonts w:ascii="Times New Roman" w:hAnsi="Times New Roman" w:eastAsia="仿宋" w:cs="Times New Roman"/>
          <w:color w:val="auto"/>
          <w:highlight w:val="none"/>
        </w:rPr>
        <w:t>评估专家：</w:t>
      </w:r>
    </w:p>
    <w:p>
      <w:pPr>
        <w:spacing w:line="600" w:lineRule="exact"/>
        <w:rPr>
          <w:rFonts w:ascii="Times New Roman" w:hAnsi="Times New Roman" w:eastAsia="仿宋" w:cs="Times New Roman"/>
          <w:color w:val="auto"/>
          <w:highlight w:val="none"/>
        </w:rPr>
      </w:pPr>
    </w:p>
    <w:p>
      <w:pPr>
        <w:spacing w:line="600" w:lineRule="exact"/>
        <w:rPr>
          <w:rFonts w:ascii="Times New Roman" w:hAnsi="Times New Roman" w:eastAsia="仿宋" w:cs="Times New Roman"/>
          <w:color w:val="auto"/>
          <w:highlight w:val="none"/>
        </w:rPr>
      </w:pPr>
      <w:r>
        <w:rPr>
          <w:rFonts w:ascii="Times New Roman" w:hAnsi="Times New Roman" w:eastAsia="仿宋" w:cs="Times New Roman"/>
          <w:color w:val="auto"/>
          <w:highlight w:val="none"/>
        </w:rPr>
        <w:t>专家职称（职务）：</w:t>
      </w:r>
    </w:p>
    <w:p>
      <w:pPr>
        <w:spacing w:line="600" w:lineRule="exact"/>
        <w:rPr>
          <w:rFonts w:ascii="Times New Roman" w:hAnsi="Times New Roman" w:eastAsia="仿宋" w:cs="Times New Roman"/>
          <w:color w:val="auto"/>
          <w:highlight w:val="none"/>
        </w:rPr>
      </w:pPr>
    </w:p>
    <w:p>
      <w:pPr>
        <w:spacing w:line="600" w:lineRule="exact"/>
        <w:rPr>
          <w:rFonts w:ascii="Times New Roman" w:hAnsi="Times New Roman" w:eastAsia="仿宋" w:cs="Times New Roman"/>
          <w:color w:val="auto"/>
          <w:highlight w:val="none"/>
        </w:rPr>
      </w:pPr>
      <w:r>
        <w:rPr>
          <w:rFonts w:ascii="Times New Roman" w:hAnsi="Times New Roman" w:eastAsia="仿宋" w:cs="Times New Roman"/>
          <w:color w:val="auto"/>
          <w:highlight w:val="none"/>
        </w:rPr>
        <w:t>专家所在单位：</w:t>
      </w:r>
    </w:p>
    <w:p>
      <w:pPr>
        <w:spacing w:line="600" w:lineRule="exact"/>
        <w:rPr>
          <w:rFonts w:ascii="Times New Roman" w:hAnsi="Times New Roman" w:eastAsia="仿宋" w:cs="Times New Roman"/>
          <w:color w:val="auto"/>
          <w:highlight w:val="none"/>
        </w:rPr>
      </w:pPr>
    </w:p>
    <w:p>
      <w:pPr>
        <w:spacing w:line="600" w:lineRule="exact"/>
        <w:jc w:val="center"/>
        <w:rPr>
          <w:rFonts w:hint="eastAsia" w:ascii="Times New Roman" w:hAnsi="Times New Roman" w:eastAsia="仿宋" w:cs="Times New Roman"/>
          <w:color w:val="auto"/>
          <w:highlight w:val="none"/>
        </w:rPr>
      </w:pPr>
      <w:r>
        <w:rPr>
          <w:rFonts w:ascii="Times New Roman" w:hAnsi="Times New Roman" w:eastAsia="仿宋" w:cs="Times New Roman"/>
          <w:color w:val="auto"/>
          <w:highlight w:val="none"/>
        </w:rPr>
        <w:t>会议日期：       年      月      日</w:t>
      </w:r>
      <w:r>
        <w:rPr>
          <w:rFonts w:hint="eastAsia" w:ascii="Times New Roman" w:hAnsi="Times New Roman" w:eastAsia="仿宋" w:cs="Times New Roman"/>
          <w:color w:val="auto"/>
          <w:highlight w:val="none"/>
        </w:rPr>
        <w:br w:type="page"/>
      </w:r>
    </w:p>
    <w:p>
      <w:pPr>
        <w:spacing w:line="600" w:lineRule="exact"/>
        <w:rPr>
          <w:rFonts w:hint="eastAsia" w:ascii="Times New Roman" w:hAnsi="Times New Roman" w:eastAsia="仿宋" w:cs="Times New Roman"/>
          <w:color w:val="auto"/>
          <w:highlight w:val="none"/>
          <w:lang w:val="en-US" w:eastAsia="zh-CN"/>
        </w:rPr>
      </w:pPr>
      <w:r>
        <w:rPr>
          <w:rFonts w:hint="eastAsia" w:ascii="Times New Roman" w:hAnsi="Times New Roman" w:eastAsia="仿宋" w:cs="Times New Roman"/>
          <w:color w:val="auto"/>
          <w:highlight w:val="none"/>
          <w:lang w:eastAsia="zh-CN"/>
        </w:rPr>
        <w:t>表</w:t>
      </w:r>
      <w:r>
        <w:rPr>
          <w:rFonts w:hint="eastAsia" w:ascii="Times New Roman" w:hAnsi="Times New Roman" w:eastAsia="仿宋" w:cs="Times New Roman"/>
          <w:color w:val="auto"/>
          <w:highlight w:val="none"/>
          <w:lang w:val="en-US" w:eastAsia="zh-CN"/>
        </w:rPr>
        <w:t>1</w:t>
      </w:r>
    </w:p>
    <w:tbl>
      <w:tblPr>
        <w:tblStyle w:val="10"/>
        <w:tblW w:w="9421" w:type="dxa"/>
        <w:jc w:val="center"/>
        <w:tblInd w:w="-13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6917"/>
        <w:gridCol w:w="90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tblHeader/>
          <w:jc w:val="center"/>
        </w:trPr>
        <w:tc>
          <w:tcPr>
            <w:tcW w:w="7621" w:type="dxa"/>
            <w:gridSpan w:val="2"/>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b/>
                <w:bCs/>
                <w:color w:val="auto"/>
                <w:sz w:val="21"/>
                <w:szCs w:val="21"/>
                <w:highlight w:val="none"/>
              </w:rPr>
            </w:pPr>
            <w:r>
              <w:rPr>
                <w:rFonts w:ascii="Times New Roman" w:hAnsi="Times New Roman" w:eastAsia="方正仿宋_GBK" w:cs="Times New Roman"/>
                <w:b/>
                <w:bCs/>
                <w:color w:val="auto"/>
                <w:sz w:val="21"/>
                <w:szCs w:val="21"/>
                <w:highlight w:val="none"/>
              </w:rPr>
              <w:t>考核内容</w:t>
            </w:r>
          </w:p>
        </w:tc>
        <w:tc>
          <w:tcPr>
            <w:tcW w:w="900" w:type="dxa"/>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方正仿宋_GBK" w:cs="Times New Roman"/>
                <w:b/>
                <w:bCs/>
                <w:color w:val="auto"/>
                <w:sz w:val="21"/>
                <w:szCs w:val="21"/>
                <w:highlight w:val="none"/>
                <w:lang w:eastAsia="zh-CN"/>
              </w:rPr>
            </w:pPr>
            <w:r>
              <w:rPr>
                <w:rFonts w:hint="eastAsia" w:ascii="Times New Roman" w:hAnsi="Times New Roman" w:eastAsia="方正仿宋_GBK" w:cs="Times New Roman"/>
                <w:b/>
                <w:bCs/>
                <w:color w:val="auto"/>
                <w:sz w:val="21"/>
                <w:szCs w:val="21"/>
                <w:highlight w:val="none"/>
                <w:lang w:eastAsia="zh-CN"/>
              </w:rPr>
              <w:t>分值</w:t>
            </w:r>
          </w:p>
        </w:tc>
        <w:tc>
          <w:tcPr>
            <w:tcW w:w="900" w:type="dxa"/>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b/>
                <w:bCs/>
                <w:color w:val="auto"/>
                <w:sz w:val="21"/>
                <w:szCs w:val="21"/>
                <w:highlight w:val="none"/>
              </w:rPr>
            </w:pPr>
            <w:r>
              <w:rPr>
                <w:rFonts w:ascii="Times New Roman" w:hAnsi="Times New Roman" w:eastAsia="方正仿宋_GBK" w:cs="Times New Roman"/>
                <w:b/>
                <w:bCs/>
                <w:color w:val="auto"/>
                <w:sz w:val="21"/>
                <w:szCs w:val="21"/>
                <w:highlight w:val="none"/>
              </w:rPr>
              <w:t>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4" w:type="dxa"/>
            <w:vAlign w:val="center"/>
          </w:tcPr>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p>
        </w:tc>
        <w:tc>
          <w:tcPr>
            <w:tcW w:w="6917" w:type="dxa"/>
          </w:tcPr>
          <w:p>
            <w:pPr>
              <w:keepNext w:val="0"/>
              <w:keepLines w:val="0"/>
              <w:pageBreakBefore w:val="0"/>
              <w:widowControl w:val="0"/>
              <w:kinsoku/>
              <w:wordWrap/>
              <w:overflowPunct/>
              <w:topLinePunct w:val="0"/>
              <w:autoSpaceDE/>
              <w:autoSpaceDN/>
              <w:bidi w:val="0"/>
              <w:adjustRightInd w:val="0"/>
              <w:snapToGrid w:val="0"/>
              <w:spacing w:line="360" w:lineRule="exact"/>
              <w:ind w:left="-90"/>
              <w:jc w:val="left"/>
              <w:textAlignment w:val="auto"/>
              <w:outlineLvl w:val="9"/>
              <w:rPr>
                <w:rFonts w:ascii="Times New Roman" w:hAnsi="Times New Roman" w:eastAsia="方正仿宋_GBK" w:cs="Times New Roman"/>
                <w:color w:val="auto"/>
                <w:spacing w:val="-2"/>
                <w:kern w:val="0"/>
                <w:sz w:val="21"/>
                <w:szCs w:val="21"/>
                <w:highlight w:val="none"/>
              </w:rPr>
            </w:pPr>
            <w:r>
              <w:rPr>
                <w:rFonts w:ascii="Times New Roman" w:hAnsi="Times New Roman" w:eastAsia="方正仿宋_GBK" w:cs="Times New Roman"/>
                <w:b/>
                <w:color w:val="auto"/>
                <w:spacing w:val="-2"/>
                <w:kern w:val="0"/>
                <w:sz w:val="21"/>
                <w:szCs w:val="21"/>
                <w:highlight w:val="none"/>
              </w:rPr>
              <w:t>评价依据：</w:t>
            </w:r>
            <w:r>
              <w:rPr>
                <w:rFonts w:ascii="Times New Roman" w:hAnsi="Times New Roman" w:eastAsia="方正仿宋_GBK" w:cs="Times New Roman"/>
                <w:color w:val="auto"/>
                <w:spacing w:val="-2"/>
                <w:kern w:val="0"/>
                <w:sz w:val="21"/>
                <w:szCs w:val="21"/>
                <w:highlight w:val="none"/>
              </w:rPr>
              <w:t>法律、法规、规范性文件齐全：正确使用质量标准和排放标准；准确掌握相关规划、环境功能区划、产业政策；</w:t>
            </w:r>
            <w:r>
              <w:rPr>
                <w:rFonts w:hint="eastAsia" w:ascii="Times New Roman" w:hAnsi="Times New Roman" w:eastAsia="方正仿宋_GBK" w:cs="Times New Roman"/>
                <w:color w:val="auto"/>
                <w:spacing w:val="-2"/>
                <w:kern w:val="0"/>
                <w:sz w:val="21"/>
                <w:szCs w:val="21"/>
                <w:highlight w:val="none"/>
              </w:rPr>
              <w:t>选址（线）合理性分析到位、项目选址（线）符合相关规定；</w:t>
            </w:r>
            <w:r>
              <w:rPr>
                <w:rFonts w:ascii="Times New Roman" w:hAnsi="Times New Roman" w:eastAsia="方正仿宋_GBK" w:cs="Times New Roman"/>
                <w:color w:val="auto"/>
                <w:spacing w:val="-2"/>
                <w:kern w:val="0"/>
                <w:sz w:val="21"/>
                <w:szCs w:val="21"/>
                <w:highlight w:val="none"/>
              </w:rPr>
              <w:t>立项文件齐全。</w:t>
            </w:r>
          </w:p>
        </w:tc>
        <w:tc>
          <w:tcPr>
            <w:tcW w:w="90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r>
              <w:rPr>
                <w:rFonts w:ascii="Times New Roman" w:hAnsi="Times New Roman" w:eastAsia="方正仿宋_GBK" w:cs="Times New Roman"/>
                <w:color w:val="auto"/>
                <w:sz w:val="21"/>
                <w:szCs w:val="21"/>
                <w:highlight w:val="none"/>
              </w:rPr>
              <w:t>5</w:t>
            </w:r>
          </w:p>
        </w:tc>
        <w:tc>
          <w:tcPr>
            <w:tcW w:w="900" w:type="dxa"/>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outlineLvl w:val="9"/>
              <w:rPr>
                <w:rFonts w:ascii="Times New Roman" w:hAnsi="Times New Roman" w:eastAsia="方正仿宋_GBK"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4" w:type="dxa"/>
            <w:vAlign w:val="center"/>
          </w:tcPr>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p>
        </w:tc>
        <w:tc>
          <w:tcPr>
            <w:tcW w:w="6917" w:type="dxa"/>
          </w:tcPr>
          <w:p>
            <w:pPr>
              <w:keepNext w:val="0"/>
              <w:keepLines w:val="0"/>
              <w:pageBreakBefore w:val="0"/>
              <w:widowControl w:val="0"/>
              <w:kinsoku/>
              <w:wordWrap/>
              <w:overflowPunct/>
              <w:topLinePunct w:val="0"/>
              <w:autoSpaceDE/>
              <w:autoSpaceDN/>
              <w:bidi w:val="0"/>
              <w:adjustRightInd w:val="0"/>
              <w:snapToGrid w:val="0"/>
              <w:spacing w:line="360" w:lineRule="exact"/>
              <w:ind w:left="-90"/>
              <w:jc w:val="left"/>
              <w:textAlignment w:val="auto"/>
              <w:outlineLvl w:val="9"/>
              <w:rPr>
                <w:rFonts w:ascii="Times New Roman" w:hAnsi="Times New Roman" w:eastAsia="方正仿宋_GBK" w:cs="Times New Roman"/>
                <w:color w:val="auto"/>
                <w:spacing w:val="-2"/>
                <w:kern w:val="0"/>
                <w:sz w:val="21"/>
                <w:szCs w:val="21"/>
                <w:highlight w:val="none"/>
              </w:rPr>
            </w:pPr>
            <w:r>
              <w:rPr>
                <w:rFonts w:ascii="Times New Roman" w:hAnsi="Times New Roman" w:eastAsia="方正仿宋_GBK" w:cs="Times New Roman"/>
                <w:b/>
                <w:color w:val="auto"/>
                <w:spacing w:val="-2"/>
                <w:kern w:val="0"/>
                <w:sz w:val="21"/>
                <w:szCs w:val="21"/>
                <w:highlight w:val="none"/>
              </w:rPr>
              <w:t>评价等级、范围及</w:t>
            </w:r>
            <w:r>
              <w:rPr>
                <w:rFonts w:hint="eastAsia" w:ascii="Times New Roman" w:hAnsi="Times New Roman" w:eastAsia="方正仿宋_GBK" w:cs="Times New Roman"/>
                <w:b/>
                <w:color w:val="auto"/>
                <w:spacing w:val="-2"/>
                <w:kern w:val="0"/>
                <w:sz w:val="21"/>
                <w:szCs w:val="21"/>
                <w:highlight w:val="none"/>
              </w:rPr>
              <w:t>影响识别</w:t>
            </w:r>
            <w:r>
              <w:rPr>
                <w:rFonts w:ascii="Times New Roman" w:hAnsi="Times New Roman" w:eastAsia="方正仿宋_GBK" w:cs="Times New Roman"/>
                <w:b/>
                <w:color w:val="auto"/>
                <w:spacing w:val="-2"/>
                <w:kern w:val="0"/>
                <w:sz w:val="21"/>
                <w:szCs w:val="21"/>
                <w:highlight w:val="none"/>
              </w:rPr>
              <w:t>：</w:t>
            </w:r>
            <w:r>
              <w:rPr>
                <w:rFonts w:ascii="Times New Roman" w:hAnsi="Times New Roman" w:eastAsia="方正仿宋_GBK" w:cs="Times New Roman"/>
                <w:color w:val="auto"/>
                <w:spacing w:val="-2"/>
                <w:kern w:val="0"/>
                <w:sz w:val="21"/>
                <w:szCs w:val="21"/>
                <w:highlight w:val="none"/>
              </w:rPr>
              <w:t>评价等级、评价范围符合技术导则要求；</w:t>
            </w:r>
            <w:r>
              <w:rPr>
                <w:rFonts w:hint="eastAsia" w:ascii="Times New Roman" w:hAnsi="Times New Roman" w:eastAsia="方正仿宋_GBK" w:cs="Times New Roman"/>
                <w:color w:val="auto"/>
                <w:spacing w:val="-2"/>
                <w:kern w:val="0"/>
                <w:sz w:val="21"/>
                <w:szCs w:val="21"/>
                <w:highlight w:val="none"/>
              </w:rPr>
              <w:t>环境影响识别全面、</w:t>
            </w:r>
            <w:r>
              <w:rPr>
                <w:rFonts w:ascii="Times New Roman" w:hAnsi="Times New Roman" w:eastAsia="方正仿宋_GBK" w:cs="Times New Roman"/>
                <w:color w:val="auto"/>
                <w:spacing w:val="-2"/>
                <w:kern w:val="0"/>
                <w:sz w:val="21"/>
                <w:szCs w:val="21"/>
                <w:highlight w:val="none"/>
              </w:rPr>
              <w:t>正确。</w:t>
            </w:r>
          </w:p>
        </w:tc>
        <w:tc>
          <w:tcPr>
            <w:tcW w:w="90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r>
              <w:rPr>
                <w:rFonts w:ascii="Times New Roman" w:hAnsi="Times New Roman" w:eastAsia="方正仿宋_GBK" w:cs="Times New Roman"/>
                <w:color w:val="auto"/>
                <w:sz w:val="21"/>
                <w:szCs w:val="21"/>
                <w:highlight w:val="none"/>
              </w:rPr>
              <w:t>5</w:t>
            </w:r>
          </w:p>
        </w:tc>
        <w:tc>
          <w:tcPr>
            <w:tcW w:w="900" w:type="dxa"/>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outlineLvl w:val="9"/>
              <w:rPr>
                <w:rFonts w:ascii="Times New Roman" w:hAnsi="Times New Roman" w:eastAsia="方正仿宋_GBK"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4" w:type="dxa"/>
            <w:vAlign w:val="center"/>
          </w:tcPr>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p>
        </w:tc>
        <w:tc>
          <w:tcPr>
            <w:tcW w:w="6917" w:type="dxa"/>
          </w:tcPr>
          <w:p>
            <w:pPr>
              <w:keepNext w:val="0"/>
              <w:keepLines w:val="0"/>
              <w:pageBreakBefore w:val="0"/>
              <w:widowControl w:val="0"/>
              <w:kinsoku/>
              <w:wordWrap/>
              <w:overflowPunct/>
              <w:topLinePunct w:val="0"/>
              <w:autoSpaceDE/>
              <w:autoSpaceDN/>
              <w:bidi w:val="0"/>
              <w:adjustRightInd w:val="0"/>
              <w:snapToGrid w:val="0"/>
              <w:spacing w:line="360" w:lineRule="exact"/>
              <w:ind w:left="-90"/>
              <w:jc w:val="left"/>
              <w:textAlignment w:val="auto"/>
              <w:outlineLvl w:val="9"/>
              <w:rPr>
                <w:rFonts w:ascii="Times New Roman" w:hAnsi="Times New Roman" w:eastAsia="方正仿宋_GBK" w:cs="Times New Roman"/>
                <w:color w:val="auto"/>
                <w:spacing w:val="-2"/>
                <w:kern w:val="0"/>
                <w:sz w:val="21"/>
                <w:szCs w:val="21"/>
                <w:highlight w:val="none"/>
              </w:rPr>
            </w:pPr>
            <w:r>
              <w:rPr>
                <w:rFonts w:ascii="Times New Roman" w:hAnsi="Times New Roman" w:eastAsia="方正仿宋_GBK" w:cs="Times New Roman"/>
                <w:b/>
                <w:color w:val="auto"/>
                <w:spacing w:val="-2"/>
                <w:kern w:val="0"/>
                <w:sz w:val="21"/>
                <w:szCs w:val="21"/>
                <w:highlight w:val="none"/>
              </w:rPr>
              <w:t>项目概况：</w:t>
            </w:r>
            <w:r>
              <w:rPr>
                <w:rFonts w:ascii="Times New Roman" w:hAnsi="Times New Roman" w:eastAsia="方正仿宋_GBK" w:cs="Times New Roman"/>
                <w:color w:val="auto"/>
                <w:spacing w:val="-2"/>
                <w:kern w:val="0"/>
                <w:sz w:val="21"/>
                <w:szCs w:val="21"/>
                <w:highlight w:val="none"/>
              </w:rPr>
              <w:t>项目基本情况、规划选址、建设内容、生产工艺、产品方案、施工安排等论述清楚。</w:t>
            </w:r>
          </w:p>
        </w:tc>
        <w:tc>
          <w:tcPr>
            <w:tcW w:w="90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r>
              <w:rPr>
                <w:rFonts w:ascii="Times New Roman" w:hAnsi="Times New Roman" w:eastAsia="方正仿宋_GBK" w:cs="Times New Roman"/>
                <w:color w:val="auto"/>
                <w:sz w:val="21"/>
                <w:szCs w:val="21"/>
                <w:highlight w:val="none"/>
              </w:rPr>
              <w:t>8</w:t>
            </w:r>
          </w:p>
        </w:tc>
        <w:tc>
          <w:tcPr>
            <w:tcW w:w="900" w:type="dxa"/>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outlineLvl w:val="9"/>
              <w:rPr>
                <w:rFonts w:ascii="Times New Roman" w:hAnsi="Times New Roman" w:eastAsia="方正仿宋_GBK"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4" w:type="dxa"/>
            <w:vAlign w:val="center"/>
          </w:tcPr>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p>
        </w:tc>
        <w:tc>
          <w:tcPr>
            <w:tcW w:w="6917" w:type="dxa"/>
          </w:tcPr>
          <w:p>
            <w:pPr>
              <w:keepNext w:val="0"/>
              <w:keepLines w:val="0"/>
              <w:pageBreakBefore w:val="0"/>
              <w:widowControl w:val="0"/>
              <w:kinsoku/>
              <w:wordWrap/>
              <w:overflowPunct/>
              <w:topLinePunct w:val="0"/>
              <w:autoSpaceDE/>
              <w:autoSpaceDN/>
              <w:bidi w:val="0"/>
              <w:adjustRightInd w:val="0"/>
              <w:snapToGrid w:val="0"/>
              <w:spacing w:line="360" w:lineRule="exact"/>
              <w:ind w:left="-90"/>
              <w:jc w:val="left"/>
              <w:textAlignment w:val="auto"/>
              <w:outlineLvl w:val="9"/>
              <w:rPr>
                <w:rFonts w:ascii="Times New Roman" w:hAnsi="Times New Roman" w:eastAsia="方正仿宋_GBK" w:cs="Times New Roman"/>
                <w:color w:val="auto"/>
                <w:spacing w:val="-2"/>
                <w:kern w:val="0"/>
                <w:sz w:val="21"/>
                <w:szCs w:val="21"/>
                <w:highlight w:val="none"/>
              </w:rPr>
            </w:pPr>
            <w:r>
              <w:rPr>
                <w:rFonts w:ascii="Times New Roman" w:hAnsi="Times New Roman" w:eastAsia="方正仿宋_GBK" w:cs="Times New Roman"/>
                <w:b/>
                <w:color w:val="auto"/>
                <w:spacing w:val="-2"/>
                <w:kern w:val="0"/>
                <w:sz w:val="21"/>
                <w:szCs w:val="21"/>
                <w:highlight w:val="none"/>
              </w:rPr>
              <w:t>工程分析：</w:t>
            </w:r>
            <w:r>
              <w:rPr>
                <w:rFonts w:ascii="Times New Roman" w:hAnsi="Times New Roman" w:eastAsia="方正仿宋_GBK" w:cs="Times New Roman"/>
                <w:color w:val="auto"/>
                <w:spacing w:val="-2"/>
                <w:kern w:val="0"/>
                <w:sz w:val="21"/>
                <w:szCs w:val="21"/>
                <w:highlight w:val="none"/>
              </w:rPr>
              <w:t>污染源分析和源强估算准确；工程参数合理可靠；物料平衡分析准确</w:t>
            </w:r>
            <w:r>
              <w:rPr>
                <w:rFonts w:hint="eastAsia" w:ascii="Times New Roman" w:hAnsi="Times New Roman" w:eastAsia="方正仿宋_GBK" w:cs="Times New Roman"/>
                <w:color w:val="auto"/>
                <w:spacing w:val="-2"/>
                <w:kern w:val="0"/>
                <w:sz w:val="21"/>
                <w:szCs w:val="21"/>
                <w:highlight w:val="none"/>
              </w:rPr>
              <w:t>；</w:t>
            </w:r>
            <w:r>
              <w:rPr>
                <w:rFonts w:ascii="Times New Roman" w:hAnsi="Times New Roman" w:eastAsia="方正仿宋_GBK" w:cs="Times New Roman"/>
                <w:color w:val="auto"/>
                <w:spacing w:val="-2"/>
                <w:kern w:val="0"/>
                <w:sz w:val="21"/>
                <w:szCs w:val="21"/>
                <w:highlight w:val="none"/>
              </w:rPr>
              <w:t>产品生命周期环境影响分析准确。</w:t>
            </w:r>
          </w:p>
        </w:tc>
        <w:tc>
          <w:tcPr>
            <w:tcW w:w="90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r>
              <w:rPr>
                <w:rFonts w:hint="eastAsia" w:ascii="Times New Roman" w:hAnsi="Times New Roman" w:eastAsia="方正仿宋_GBK" w:cs="Times New Roman"/>
                <w:color w:val="auto"/>
                <w:sz w:val="21"/>
                <w:szCs w:val="21"/>
                <w:highlight w:val="none"/>
              </w:rPr>
              <w:t>12</w:t>
            </w:r>
          </w:p>
        </w:tc>
        <w:tc>
          <w:tcPr>
            <w:tcW w:w="900" w:type="dxa"/>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outlineLvl w:val="9"/>
              <w:rPr>
                <w:rFonts w:ascii="Times New Roman" w:hAnsi="Times New Roman" w:eastAsia="方正仿宋_GBK"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4" w:type="dxa"/>
            <w:vAlign w:val="center"/>
          </w:tcPr>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p>
        </w:tc>
        <w:tc>
          <w:tcPr>
            <w:tcW w:w="6917" w:type="dxa"/>
          </w:tcPr>
          <w:p>
            <w:pPr>
              <w:keepNext w:val="0"/>
              <w:keepLines w:val="0"/>
              <w:pageBreakBefore w:val="0"/>
              <w:widowControl w:val="0"/>
              <w:kinsoku/>
              <w:wordWrap/>
              <w:overflowPunct/>
              <w:topLinePunct w:val="0"/>
              <w:autoSpaceDE/>
              <w:autoSpaceDN/>
              <w:bidi w:val="0"/>
              <w:adjustRightInd w:val="0"/>
              <w:snapToGrid w:val="0"/>
              <w:spacing w:line="360" w:lineRule="exact"/>
              <w:ind w:left="-90"/>
              <w:jc w:val="left"/>
              <w:textAlignment w:val="auto"/>
              <w:outlineLvl w:val="9"/>
              <w:rPr>
                <w:rFonts w:ascii="Times New Roman" w:hAnsi="Times New Roman" w:eastAsia="方正仿宋_GBK" w:cs="Times New Roman"/>
                <w:color w:val="auto"/>
                <w:spacing w:val="-2"/>
                <w:kern w:val="0"/>
                <w:sz w:val="21"/>
                <w:szCs w:val="21"/>
                <w:highlight w:val="none"/>
              </w:rPr>
            </w:pPr>
            <w:r>
              <w:rPr>
                <w:rFonts w:ascii="Times New Roman" w:hAnsi="Times New Roman" w:eastAsia="方正仿宋_GBK" w:cs="Times New Roman"/>
                <w:b/>
                <w:color w:val="auto"/>
                <w:spacing w:val="-2"/>
                <w:kern w:val="0"/>
                <w:sz w:val="21"/>
                <w:szCs w:val="21"/>
                <w:highlight w:val="none"/>
              </w:rPr>
              <w:t>环境现状：</w:t>
            </w:r>
            <w:r>
              <w:rPr>
                <w:rFonts w:ascii="Times New Roman" w:hAnsi="Times New Roman" w:eastAsia="方正仿宋_GBK" w:cs="Times New Roman"/>
                <w:color w:val="auto"/>
                <w:spacing w:val="-2"/>
                <w:kern w:val="0"/>
                <w:sz w:val="21"/>
                <w:szCs w:val="21"/>
                <w:highlight w:val="none"/>
              </w:rPr>
              <w:t>项目选址附近的自然、社会环境现状、周边环境敏感点、区域污染源等均已调查清楚；环境现状监测数据可靠；现状评价结论正确。</w:t>
            </w:r>
          </w:p>
        </w:tc>
        <w:tc>
          <w:tcPr>
            <w:tcW w:w="90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r>
              <w:rPr>
                <w:rFonts w:ascii="Times New Roman" w:hAnsi="Times New Roman" w:eastAsia="方正仿宋_GBK" w:cs="Times New Roman"/>
                <w:color w:val="auto"/>
                <w:sz w:val="21"/>
                <w:szCs w:val="21"/>
                <w:highlight w:val="none"/>
              </w:rPr>
              <w:t>10</w:t>
            </w:r>
          </w:p>
        </w:tc>
        <w:tc>
          <w:tcPr>
            <w:tcW w:w="900" w:type="dxa"/>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outlineLvl w:val="9"/>
              <w:rPr>
                <w:rFonts w:ascii="Times New Roman" w:hAnsi="Times New Roman" w:eastAsia="方正仿宋_GBK"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4" w:type="dxa"/>
            <w:vAlign w:val="center"/>
          </w:tcPr>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p>
        </w:tc>
        <w:tc>
          <w:tcPr>
            <w:tcW w:w="6917" w:type="dxa"/>
          </w:tcPr>
          <w:p>
            <w:pPr>
              <w:keepNext w:val="0"/>
              <w:keepLines w:val="0"/>
              <w:pageBreakBefore w:val="0"/>
              <w:widowControl w:val="0"/>
              <w:kinsoku/>
              <w:wordWrap/>
              <w:overflowPunct/>
              <w:topLinePunct w:val="0"/>
              <w:autoSpaceDE/>
              <w:autoSpaceDN/>
              <w:bidi w:val="0"/>
              <w:adjustRightInd w:val="0"/>
              <w:snapToGrid w:val="0"/>
              <w:spacing w:line="360" w:lineRule="exact"/>
              <w:ind w:left="-90"/>
              <w:jc w:val="left"/>
              <w:textAlignment w:val="auto"/>
              <w:outlineLvl w:val="9"/>
              <w:rPr>
                <w:rFonts w:ascii="Times New Roman" w:hAnsi="Times New Roman" w:eastAsia="方正仿宋_GBK" w:cs="Times New Roman"/>
                <w:color w:val="auto"/>
                <w:spacing w:val="-2"/>
                <w:kern w:val="0"/>
                <w:sz w:val="21"/>
                <w:szCs w:val="21"/>
                <w:highlight w:val="none"/>
              </w:rPr>
            </w:pPr>
            <w:r>
              <w:rPr>
                <w:rFonts w:ascii="Times New Roman" w:hAnsi="Times New Roman" w:eastAsia="方正仿宋_GBK" w:cs="Times New Roman"/>
                <w:b/>
                <w:color w:val="auto"/>
                <w:spacing w:val="-2"/>
                <w:kern w:val="0"/>
                <w:sz w:val="21"/>
                <w:szCs w:val="21"/>
                <w:highlight w:val="none"/>
              </w:rPr>
              <w:t>环境影响预测与评价：</w:t>
            </w:r>
            <w:r>
              <w:rPr>
                <w:rFonts w:ascii="Times New Roman" w:hAnsi="Times New Roman" w:eastAsia="方正仿宋_GBK" w:cs="Times New Roman"/>
                <w:color w:val="auto"/>
                <w:spacing w:val="-2"/>
                <w:kern w:val="0"/>
                <w:sz w:val="21"/>
                <w:szCs w:val="21"/>
                <w:highlight w:val="none"/>
              </w:rPr>
              <w:t>预测的方法、内容、对象正确；环境影响预测模式、参数正确，预测结果可靠；环境影响预测准确；环境风险分析准确</w:t>
            </w:r>
            <w:r>
              <w:rPr>
                <w:rFonts w:hint="eastAsia" w:ascii="Times New Roman" w:hAnsi="Times New Roman" w:eastAsia="方正仿宋_GBK" w:cs="Times New Roman"/>
                <w:color w:val="auto"/>
                <w:spacing w:val="-2"/>
                <w:kern w:val="0"/>
                <w:sz w:val="21"/>
                <w:szCs w:val="21"/>
                <w:highlight w:val="none"/>
              </w:rPr>
              <w:t>，</w:t>
            </w:r>
            <w:r>
              <w:rPr>
                <w:rFonts w:ascii="Times New Roman" w:hAnsi="Times New Roman" w:eastAsia="方正仿宋_GBK" w:cs="Times New Roman"/>
                <w:color w:val="auto"/>
                <w:spacing w:val="-2"/>
                <w:kern w:val="0"/>
                <w:sz w:val="21"/>
                <w:szCs w:val="21"/>
                <w:highlight w:val="none"/>
              </w:rPr>
              <w:t>环境风险预测可靠</w:t>
            </w:r>
            <w:r>
              <w:rPr>
                <w:rFonts w:hint="eastAsia" w:ascii="Times New Roman" w:hAnsi="Times New Roman" w:eastAsia="方正仿宋_GBK" w:cs="Times New Roman"/>
                <w:color w:val="auto"/>
                <w:spacing w:val="-2"/>
                <w:kern w:val="0"/>
                <w:sz w:val="21"/>
                <w:szCs w:val="21"/>
                <w:highlight w:val="none"/>
              </w:rPr>
              <w:t>；</w:t>
            </w:r>
            <w:r>
              <w:rPr>
                <w:rFonts w:ascii="Times New Roman" w:hAnsi="Times New Roman" w:eastAsia="方正仿宋_GBK" w:cs="Times New Roman"/>
                <w:color w:val="auto"/>
                <w:spacing w:val="-2"/>
                <w:kern w:val="0"/>
                <w:sz w:val="21"/>
                <w:szCs w:val="21"/>
                <w:highlight w:val="none"/>
              </w:rPr>
              <w:t>影响评价结论正确。</w:t>
            </w:r>
          </w:p>
        </w:tc>
        <w:tc>
          <w:tcPr>
            <w:tcW w:w="90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r>
              <w:rPr>
                <w:rFonts w:ascii="Times New Roman" w:hAnsi="Times New Roman" w:eastAsia="方正仿宋_GBK" w:cs="Times New Roman"/>
                <w:color w:val="auto"/>
                <w:sz w:val="21"/>
                <w:szCs w:val="21"/>
                <w:highlight w:val="none"/>
              </w:rPr>
              <w:t>20</w:t>
            </w:r>
          </w:p>
        </w:tc>
        <w:tc>
          <w:tcPr>
            <w:tcW w:w="900" w:type="dxa"/>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outlineLvl w:val="9"/>
              <w:rPr>
                <w:rFonts w:ascii="Times New Roman" w:hAnsi="Times New Roman" w:eastAsia="方正仿宋_GBK"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4" w:type="dxa"/>
            <w:vAlign w:val="center"/>
          </w:tcPr>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p>
        </w:tc>
        <w:tc>
          <w:tcPr>
            <w:tcW w:w="6917" w:type="dxa"/>
          </w:tcPr>
          <w:p>
            <w:pPr>
              <w:keepNext w:val="0"/>
              <w:keepLines w:val="0"/>
              <w:pageBreakBefore w:val="0"/>
              <w:widowControl w:val="0"/>
              <w:kinsoku/>
              <w:wordWrap/>
              <w:overflowPunct/>
              <w:topLinePunct w:val="0"/>
              <w:autoSpaceDE/>
              <w:autoSpaceDN/>
              <w:bidi w:val="0"/>
              <w:adjustRightInd w:val="0"/>
              <w:snapToGrid w:val="0"/>
              <w:spacing w:line="360" w:lineRule="exact"/>
              <w:jc w:val="left"/>
              <w:textAlignment w:val="auto"/>
              <w:outlineLvl w:val="9"/>
              <w:rPr>
                <w:rFonts w:ascii="Times New Roman" w:hAnsi="Times New Roman" w:eastAsia="方正仿宋_GBK" w:cs="Times New Roman"/>
                <w:color w:val="auto"/>
                <w:spacing w:val="-2"/>
                <w:kern w:val="0"/>
                <w:sz w:val="21"/>
                <w:szCs w:val="21"/>
                <w:highlight w:val="none"/>
              </w:rPr>
            </w:pPr>
            <w:r>
              <w:rPr>
                <w:rFonts w:ascii="Times New Roman" w:hAnsi="Times New Roman" w:eastAsia="方正仿宋_GBK" w:cs="Times New Roman"/>
                <w:b/>
                <w:color w:val="auto"/>
                <w:spacing w:val="-2"/>
                <w:kern w:val="0"/>
                <w:sz w:val="21"/>
                <w:szCs w:val="21"/>
                <w:highlight w:val="none"/>
              </w:rPr>
              <w:t>环境保护措施及其经济技术论证：</w:t>
            </w:r>
            <w:r>
              <w:rPr>
                <w:rFonts w:ascii="Times New Roman" w:hAnsi="Times New Roman" w:eastAsia="方正仿宋_GBK" w:cs="Times New Roman"/>
                <w:color w:val="auto"/>
                <w:spacing w:val="-2"/>
                <w:kern w:val="0"/>
                <w:sz w:val="21"/>
                <w:szCs w:val="21"/>
                <w:highlight w:val="none"/>
              </w:rPr>
              <w:t>针对项目各阶段提出的污染防治和生态保护措施有针对性和可行性，环境风险防范措施可行；环境风险防范预案符合管理规范</w:t>
            </w:r>
            <w:r>
              <w:rPr>
                <w:rFonts w:hint="eastAsia" w:ascii="Times New Roman" w:hAnsi="Times New Roman" w:eastAsia="方正仿宋_GBK" w:cs="Times New Roman"/>
                <w:color w:val="auto"/>
                <w:spacing w:val="-2"/>
                <w:kern w:val="0"/>
                <w:sz w:val="21"/>
                <w:szCs w:val="21"/>
                <w:highlight w:val="none"/>
              </w:rPr>
              <w:t>，</w:t>
            </w:r>
            <w:r>
              <w:rPr>
                <w:rFonts w:ascii="Times New Roman" w:hAnsi="Times New Roman" w:eastAsia="方正仿宋_GBK" w:cs="Times New Roman"/>
                <w:color w:val="auto"/>
                <w:spacing w:val="-2"/>
                <w:kern w:val="0"/>
                <w:sz w:val="21"/>
                <w:szCs w:val="21"/>
                <w:highlight w:val="none"/>
              </w:rPr>
              <w:t>并且符合技术经济原则。</w:t>
            </w:r>
          </w:p>
        </w:tc>
        <w:tc>
          <w:tcPr>
            <w:tcW w:w="90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r>
              <w:rPr>
                <w:rFonts w:ascii="Times New Roman" w:hAnsi="Times New Roman" w:eastAsia="方正仿宋_GBK" w:cs="Times New Roman"/>
                <w:color w:val="auto"/>
                <w:sz w:val="21"/>
                <w:szCs w:val="21"/>
                <w:highlight w:val="none"/>
              </w:rPr>
              <w:t>20</w:t>
            </w:r>
          </w:p>
        </w:tc>
        <w:tc>
          <w:tcPr>
            <w:tcW w:w="900" w:type="dxa"/>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outlineLvl w:val="9"/>
              <w:rPr>
                <w:rFonts w:ascii="Times New Roman" w:hAnsi="Times New Roman" w:eastAsia="方正仿宋_GBK"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4" w:type="dxa"/>
            <w:vAlign w:val="center"/>
          </w:tcPr>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p>
        </w:tc>
        <w:tc>
          <w:tcPr>
            <w:tcW w:w="6917" w:type="dxa"/>
          </w:tcPr>
          <w:p>
            <w:pPr>
              <w:keepNext w:val="0"/>
              <w:keepLines w:val="0"/>
              <w:pageBreakBefore w:val="0"/>
              <w:widowControl w:val="0"/>
              <w:kinsoku/>
              <w:wordWrap/>
              <w:overflowPunct/>
              <w:topLinePunct w:val="0"/>
              <w:autoSpaceDE/>
              <w:autoSpaceDN/>
              <w:bidi w:val="0"/>
              <w:adjustRightInd w:val="0"/>
              <w:snapToGrid w:val="0"/>
              <w:spacing w:line="360" w:lineRule="exact"/>
              <w:ind w:left="-90"/>
              <w:jc w:val="left"/>
              <w:textAlignment w:val="auto"/>
              <w:outlineLvl w:val="9"/>
              <w:rPr>
                <w:rFonts w:hint="eastAsia" w:ascii="Times New Roman" w:hAnsi="Times New Roman" w:eastAsia="方正仿宋_GBK" w:cs="Times New Roman"/>
                <w:color w:val="auto"/>
                <w:spacing w:val="-2"/>
                <w:kern w:val="0"/>
                <w:sz w:val="21"/>
                <w:szCs w:val="21"/>
                <w:highlight w:val="none"/>
              </w:rPr>
            </w:pPr>
            <w:r>
              <w:rPr>
                <w:rFonts w:hint="eastAsia" w:ascii="Times New Roman" w:hAnsi="Times New Roman" w:eastAsia="方正仿宋_GBK" w:cs="Times New Roman"/>
                <w:b/>
                <w:color w:val="auto"/>
                <w:spacing w:val="-2"/>
                <w:kern w:val="0"/>
                <w:sz w:val="21"/>
                <w:szCs w:val="21"/>
                <w:highlight w:val="none"/>
              </w:rPr>
              <w:t>环境管理要求：</w:t>
            </w:r>
            <w:r>
              <w:rPr>
                <w:rFonts w:ascii="Times New Roman" w:hAnsi="Times New Roman" w:eastAsia="方正仿宋_GBK" w:cs="Times New Roman"/>
                <w:color w:val="auto"/>
                <w:spacing w:val="-2"/>
                <w:kern w:val="0"/>
                <w:sz w:val="21"/>
                <w:szCs w:val="21"/>
                <w:highlight w:val="none"/>
              </w:rPr>
              <w:t>生产工艺、生产废料处置符合清洁生产要求；清洁生产控制技术指标明确；实施清洁生产的建议合理可行。污染物排放标准及排放量满足评价要求；污染物排放总量核算准确，满足环境容量要求；总量控制和削减措施有针对性和可行性，满足环境保护监管要求</w:t>
            </w:r>
            <w:r>
              <w:rPr>
                <w:rFonts w:hint="eastAsia" w:ascii="Times New Roman" w:hAnsi="Times New Roman" w:eastAsia="方正仿宋_GBK" w:cs="Times New Roman"/>
                <w:color w:val="auto"/>
                <w:spacing w:val="-2"/>
                <w:kern w:val="0"/>
                <w:sz w:val="21"/>
                <w:szCs w:val="21"/>
                <w:highlight w:val="none"/>
                <w:lang w:eastAsia="zh-CN"/>
              </w:rPr>
              <w:t>；</w:t>
            </w:r>
            <w:r>
              <w:rPr>
                <w:rFonts w:ascii="Times New Roman" w:hAnsi="Times New Roman" w:eastAsia="方正仿宋_GBK" w:cs="Times New Roman"/>
                <w:color w:val="auto"/>
                <w:spacing w:val="-2"/>
                <w:kern w:val="0"/>
                <w:sz w:val="21"/>
                <w:szCs w:val="21"/>
                <w:highlight w:val="none"/>
              </w:rPr>
              <w:t>结合工程实际合理定制施工期环境监理方案；根据技术规范提出合适的环境监测方案</w:t>
            </w:r>
            <w:r>
              <w:rPr>
                <w:rFonts w:hint="eastAsia" w:ascii="Times New Roman" w:hAnsi="Times New Roman" w:eastAsia="方正仿宋_GBK" w:cs="Times New Roman"/>
                <w:color w:val="auto"/>
                <w:spacing w:val="-2"/>
                <w:kern w:val="0"/>
                <w:sz w:val="21"/>
                <w:szCs w:val="21"/>
                <w:highlight w:val="none"/>
                <w:lang w:eastAsia="zh-CN"/>
              </w:rPr>
              <w:t>；</w:t>
            </w:r>
            <w:r>
              <w:rPr>
                <w:rFonts w:ascii="Times New Roman" w:hAnsi="Times New Roman" w:eastAsia="方正仿宋_GBK" w:cs="Times New Roman"/>
                <w:color w:val="auto"/>
                <w:sz w:val="21"/>
                <w:szCs w:val="21"/>
                <w:highlight w:val="none"/>
              </w:rPr>
              <w:t>环境保护投资能够有效控制生态破环和环境污染；环境保护投资和项目效益符合最优原则</w:t>
            </w:r>
            <w:r>
              <w:rPr>
                <w:rFonts w:hint="eastAsia" w:ascii="Times New Roman" w:hAnsi="Times New Roman" w:eastAsia="方正仿宋_GBK" w:cs="Times New Roman"/>
                <w:color w:val="auto"/>
                <w:sz w:val="21"/>
                <w:szCs w:val="21"/>
                <w:highlight w:val="none"/>
              </w:rPr>
              <w:t>。</w:t>
            </w:r>
          </w:p>
        </w:tc>
        <w:tc>
          <w:tcPr>
            <w:tcW w:w="90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r>
              <w:rPr>
                <w:rFonts w:ascii="Times New Roman" w:hAnsi="Times New Roman" w:eastAsia="方正仿宋_GBK" w:cs="Times New Roman"/>
                <w:color w:val="auto"/>
                <w:sz w:val="21"/>
                <w:szCs w:val="21"/>
                <w:highlight w:val="none"/>
              </w:rPr>
              <w:t>10</w:t>
            </w:r>
          </w:p>
        </w:tc>
        <w:tc>
          <w:tcPr>
            <w:tcW w:w="900" w:type="dxa"/>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outlineLvl w:val="9"/>
              <w:rPr>
                <w:rFonts w:ascii="Times New Roman" w:hAnsi="Times New Roman" w:eastAsia="方正仿宋_GBK"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4" w:type="dxa"/>
            <w:vAlign w:val="center"/>
          </w:tcPr>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p>
        </w:tc>
        <w:tc>
          <w:tcPr>
            <w:tcW w:w="6917" w:type="dxa"/>
          </w:tcPr>
          <w:p>
            <w:pPr>
              <w:keepNext w:val="0"/>
              <w:keepLines w:val="0"/>
              <w:pageBreakBefore w:val="0"/>
              <w:widowControl w:val="0"/>
              <w:kinsoku/>
              <w:wordWrap/>
              <w:overflowPunct/>
              <w:topLinePunct w:val="0"/>
              <w:autoSpaceDE/>
              <w:autoSpaceDN/>
              <w:bidi w:val="0"/>
              <w:adjustRightInd w:val="0"/>
              <w:snapToGrid w:val="0"/>
              <w:spacing w:line="360" w:lineRule="exact"/>
              <w:ind w:left="-90"/>
              <w:jc w:val="left"/>
              <w:textAlignment w:val="auto"/>
              <w:outlineLvl w:val="9"/>
              <w:rPr>
                <w:rFonts w:ascii="Times New Roman" w:hAnsi="Times New Roman" w:eastAsia="方正仿宋_GBK" w:cs="Times New Roman"/>
                <w:color w:val="auto"/>
                <w:spacing w:val="-2"/>
                <w:kern w:val="0"/>
                <w:sz w:val="21"/>
                <w:szCs w:val="21"/>
                <w:highlight w:val="none"/>
              </w:rPr>
            </w:pPr>
            <w:r>
              <w:rPr>
                <w:rFonts w:ascii="Times New Roman" w:hAnsi="Times New Roman" w:eastAsia="方正仿宋_GBK" w:cs="Times New Roman"/>
                <w:b/>
                <w:color w:val="auto"/>
                <w:spacing w:val="-2"/>
                <w:kern w:val="0"/>
                <w:sz w:val="21"/>
                <w:szCs w:val="21"/>
                <w:highlight w:val="none"/>
              </w:rPr>
              <w:t>评价结论：</w:t>
            </w:r>
            <w:r>
              <w:rPr>
                <w:rFonts w:ascii="Times New Roman" w:hAnsi="Times New Roman" w:eastAsia="方正仿宋_GBK" w:cs="Times New Roman"/>
                <w:color w:val="auto"/>
                <w:spacing w:val="-2"/>
                <w:kern w:val="0"/>
                <w:sz w:val="21"/>
                <w:szCs w:val="21"/>
                <w:highlight w:val="none"/>
              </w:rPr>
              <w:t>确定项目新建、改建、扩建内容；选址合理性结论；产业政策评价结论；影响预测评价结论；清洁生产和总量控制及削减要求；污染防治和防范环境风险的措施可行性结论；</w:t>
            </w:r>
            <w:r>
              <w:rPr>
                <w:rFonts w:hint="eastAsia" w:ascii="Times New Roman" w:hAnsi="Times New Roman" w:eastAsia="方正仿宋_GBK" w:cs="Times New Roman"/>
                <w:color w:val="auto"/>
                <w:spacing w:val="-2"/>
                <w:kern w:val="0"/>
                <w:sz w:val="21"/>
                <w:szCs w:val="21"/>
                <w:highlight w:val="none"/>
              </w:rPr>
              <w:t>公众参与开展情况；</w:t>
            </w:r>
            <w:r>
              <w:rPr>
                <w:rFonts w:ascii="Times New Roman" w:hAnsi="Times New Roman" w:eastAsia="方正仿宋_GBK" w:cs="Times New Roman"/>
                <w:color w:val="auto"/>
                <w:spacing w:val="-2"/>
                <w:kern w:val="0"/>
                <w:sz w:val="21"/>
                <w:szCs w:val="21"/>
                <w:highlight w:val="none"/>
              </w:rPr>
              <w:t>项目建设可行性结论。</w:t>
            </w:r>
          </w:p>
        </w:tc>
        <w:tc>
          <w:tcPr>
            <w:tcW w:w="90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r>
              <w:rPr>
                <w:rFonts w:ascii="Times New Roman" w:hAnsi="Times New Roman" w:eastAsia="方正仿宋_GBK" w:cs="Times New Roman"/>
                <w:color w:val="auto"/>
                <w:sz w:val="21"/>
                <w:szCs w:val="21"/>
                <w:highlight w:val="none"/>
              </w:rPr>
              <w:t>5</w:t>
            </w:r>
          </w:p>
        </w:tc>
        <w:tc>
          <w:tcPr>
            <w:tcW w:w="900" w:type="dxa"/>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outlineLvl w:val="9"/>
              <w:rPr>
                <w:rFonts w:ascii="Times New Roman" w:hAnsi="Times New Roman" w:eastAsia="方正仿宋_GBK"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704" w:type="dxa"/>
            <w:vAlign w:val="center"/>
          </w:tcPr>
          <w:p>
            <w:pPr>
              <w:keepNext w:val="0"/>
              <w:keepLines w:val="0"/>
              <w:pageBreakBefore w:val="0"/>
              <w:widowControl w:val="0"/>
              <w:numPr>
                <w:ilvl w:val="0"/>
                <w:numId w:val="1"/>
              </w:numPr>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p>
        </w:tc>
        <w:tc>
          <w:tcPr>
            <w:tcW w:w="6917" w:type="dxa"/>
          </w:tcPr>
          <w:p>
            <w:pPr>
              <w:keepNext w:val="0"/>
              <w:keepLines w:val="0"/>
              <w:pageBreakBefore w:val="0"/>
              <w:widowControl w:val="0"/>
              <w:kinsoku/>
              <w:wordWrap/>
              <w:overflowPunct/>
              <w:topLinePunct w:val="0"/>
              <w:autoSpaceDE/>
              <w:autoSpaceDN/>
              <w:bidi w:val="0"/>
              <w:adjustRightInd w:val="0"/>
              <w:snapToGrid w:val="0"/>
              <w:spacing w:line="360" w:lineRule="exact"/>
              <w:ind w:left="-90"/>
              <w:jc w:val="left"/>
              <w:textAlignment w:val="auto"/>
              <w:outlineLvl w:val="9"/>
              <w:rPr>
                <w:rFonts w:ascii="Times New Roman" w:hAnsi="Times New Roman" w:eastAsia="方正仿宋_GBK" w:cs="Times New Roman"/>
                <w:color w:val="auto"/>
                <w:spacing w:val="-2"/>
                <w:kern w:val="0"/>
                <w:sz w:val="21"/>
                <w:szCs w:val="21"/>
                <w:highlight w:val="none"/>
              </w:rPr>
            </w:pPr>
            <w:r>
              <w:rPr>
                <w:rFonts w:ascii="Times New Roman" w:hAnsi="Times New Roman" w:eastAsia="方正仿宋_GBK" w:cs="Times New Roman"/>
                <w:b/>
                <w:color w:val="auto"/>
                <w:spacing w:val="-2"/>
                <w:kern w:val="0"/>
                <w:sz w:val="21"/>
                <w:szCs w:val="21"/>
                <w:highlight w:val="none"/>
              </w:rPr>
              <w:t>环评报告规范化程度：</w:t>
            </w:r>
            <w:r>
              <w:rPr>
                <w:rFonts w:ascii="Times New Roman" w:hAnsi="Times New Roman" w:eastAsia="方正仿宋_GBK" w:cs="Times New Roman"/>
                <w:color w:val="auto"/>
                <w:spacing w:val="-2"/>
                <w:kern w:val="0"/>
                <w:sz w:val="21"/>
                <w:szCs w:val="21"/>
                <w:highlight w:val="none"/>
              </w:rPr>
              <w:t>依据充分，材料齐全；图表清晰；量纲统一；用语客观准确</w:t>
            </w:r>
            <w:r>
              <w:rPr>
                <w:rFonts w:hint="eastAsia" w:ascii="Times New Roman" w:hAnsi="Times New Roman" w:eastAsia="方正仿宋_GBK" w:cs="Times New Roman"/>
                <w:color w:val="auto"/>
                <w:spacing w:val="-2"/>
                <w:kern w:val="0"/>
                <w:sz w:val="21"/>
                <w:szCs w:val="21"/>
                <w:highlight w:val="none"/>
              </w:rPr>
              <w:t>，表述清楚</w:t>
            </w:r>
            <w:r>
              <w:rPr>
                <w:rFonts w:ascii="Times New Roman" w:hAnsi="Times New Roman" w:eastAsia="方正仿宋_GBK" w:cs="Times New Roman"/>
                <w:color w:val="auto"/>
                <w:spacing w:val="-2"/>
                <w:kern w:val="0"/>
                <w:sz w:val="21"/>
                <w:szCs w:val="21"/>
                <w:highlight w:val="none"/>
              </w:rPr>
              <w:t>；排版规范；符合环评报告编制规范要求。</w:t>
            </w:r>
          </w:p>
        </w:tc>
        <w:tc>
          <w:tcPr>
            <w:tcW w:w="90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ascii="Times New Roman" w:hAnsi="Times New Roman" w:eastAsia="方正仿宋_GBK" w:cs="Times New Roman"/>
                <w:color w:val="auto"/>
                <w:sz w:val="21"/>
                <w:szCs w:val="21"/>
                <w:highlight w:val="none"/>
              </w:rPr>
            </w:pPr>
            <w:r>
              <w:rPr>
                <w:rFonts w:ascii="Times New Roman" w:hAnsi="Times New Roman" w:eastAsia="方正仿宋_GBK" w:cs="Times New Roman"/>
                <w:color w:val="auto"/>
                <w:sz w:val="21"/>
                <w:szCs w:val="21"/>
                <w:highlight w:val="none"/>
              </w:rPr>
              <w:t>5</w:t>
            </w:r>
          </w:p>
        </w:tc>
        <w:tc>
          <w:tcPr>
            <w:tcW w:w="900" w:type="dxa"/>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outlineLvl w:val="9"/>
              <w:rPr>
                <w:rFonts w:ascii="Times New Roman" w:hAnsi="Times New Roman" w:eastAsia="方正仿宋_GBK" w:cs="Times New Roman"/>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2" w:hRule="atLeast"/>
          <w:jc w:val="center"/>
        </w:trPr>
        <w:tc>
          <w:tcPr>
            <w:tcW w:w="704" w:type="dxa"/>
            <w:vAlign w:val="center"/>
          </w:tcPr>
          <w:p>
            <w:pPr>
              <w:keepNext w:val="0"/>
              <w:keepLines w:val="0"/>
              <w:pageBreakBefore w:val="0"/>
              <w:widowControl w:val="0"/>
              <w:numPr>
                <w:ilvl w:val="-1"/>
                <w:numId w:val="0"/>
              </w:numPr>
              <w:kinsoku/>
              <w:wordWrap/>
              <w:overflowPunct/>
              <w:topLinePunct w:val="0"/>
              <w:autoSpaceDE/>
              <w:autoSpaceDN/>
              <w:bidi w:val="0"/>
              <w:adjustRightInd w:val="0"/>
              <w:snapToGrid w:val="0"/>
              <w:spacing w:line="360" w:lineRule="exact"/>
              <w:ind w:left="0" w:firstLine="0"/>
              <w:jc w:val="both"/>
              <w:textAlignment w:val="auto"/>
              <w:outlineLvl w:val="9"/>
              <w:rPr>
                <w:rFonts w:hint="eastAsia" w:ascii="Times New Roman" w:hAnsi="Times New Roman" w:eastAsia="方正仿宋_GBK" w:cs="Times New Roman"/>
                <w:color w:val="auto"/>
                <w:sz w:val="21"/>
                <w:szCs w:val="21"/>
                <w:highlight w:val="none"/>
                <w:lang w:eastAsia="zh-CN"/>
              </w:rPr>
            </w:pPr>
            <w:r>
              <w:rPr>
                <w:rFonts w:hint="eastAsia" w:ascii="Times New Roman" w:hAnsi="Times New Roman" w:eastAsia="方正仿宋_GBK" w:cs="Times New Roman"/>
                <w:b/>
                <w:bCs/>
                <w:color w:val="auto"/>
                <w:sz w:val="21"/>
                <w:szCs w:val="21"/>
                <w:highlight w:val="none"/>
                <w:lang w:eastAsia="zh-CN"/>
              </w:rPr>
              <w:t>合计</w:t>
            </w:r>
          </w:p>
        </w:tc>
        <w:tc>
          <w:tcPr>
            <w:tcW w:w="6917" w:type="dxa"/>
          </w:tcPr>
          <w:p>
            <w:pPr>
              <w:keepNext w:val="0"/>
              <w:keepLines w:val="0"/>
              <w:pageBreakBefore w:val="0"/>
              <w:widowControl w:val="0"/>
              <w:kinsoku/>
              <w:wordWrap/>
              <w:overflowPunct/>
              <w:topLinePunct w:val="0"/>
              <w:autoSpaceDE/>
              <w:autoSpaceDN/>
              <w:bidi w:val="0"/>
              <w:adjustRightInd w:val="0"/>
              <w:snapToGrid w:val="0"/>
              <w:spacing w:line="360" w:lineRule="exact"/>
              <w:ind w:left="-90"/>
              <w:jc w:val="left"/>
              <w:textAlignment w:val="auto"/>
              <w:outlineLvl w:val="9"/>
              <w:rPr>
                <w:rFonts w:ascii="Times New Roman" w:hAnsi="Times New Roman" w:eastAsia="方正仿宋_GBK" w:cs="Times New Roman"/>
                <w:b/>
                <w:color w:val="auto"/>
                <w:spacing w:val="-2"/>
                <w:kern w:val="0"/>
                <w:sz w:val="21"/>
                <w:szCs w:val="21"/>
                <w:highlight w:val="none"/>
              </w:rPr>
            </w:pPr>
          </w:p>
        </w:tc>
        <w:tc>
          <w:tcPr>
            <w:tcW w:w="900" w:type="dxa"/>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outlineLvl w:val="9"/>
              <w:rPr>
                <w:rFonts w:hint="eastAsia" w:ascii="Times New Roman" w:hAnsi="Times New Roman" w:eastAsia="方正仿宋_GBK" w:cs="Times New Roman"/>
                <w:color w:val="auto"/>
                <w:sz w:val="21"/>
                <w:szCs w:val="21"/>
                <w:highlight w:val="none"/>
                <w:lang w:val="en-US" w:eastAsia="zh-CN"/>
              </w:rPr>
            </w:pPr>
            <w:r>
              <w:rPr>
                <w:rFonts w:hint="eastAsia" w:ascii="Times New Roman" w:hAnsi="Times New Roman" w:eastAsia="方正仿宋_GBK" w:cs="Times New Roman"/>
                <w:color w:val="auto"/>
                <w:sz w:val="21"/>
                <w:szCs w:val="21"/>
                <w:highlight w:val="none"/>
                <w:lang w:val="en-US" w:eastAsia="zh-CN"/>
              </w:rPr>
              <w:t>100</w:t>
            </w:r>
          </w:p>
        </w:tc>
        <w:tc>
          <w:tcPr>
            <w:tcW w:w="900" w:type="dxa"/>
          </w:tcPr>
          <w:p>
            <w:pPr>
              <w:keepNext w:val="0"/>
              <w:keepLines w:val="0"/>
              <w:pageBreakBefore w:val="0"/>
              <w:widowControl w:val="0"/>
              <w:kinsoku/>
              <w:wordWrap/>
              <w:overflowPunct/>
              <w:topLinePunct w:val="0"/>
              <w:autoSpaceDE/>
              <w:autoSpaceDN/>
              <w:bidi w:val="0"/>
              <w:adjustRightInd w:val="0"/>
              <w:snapToGrid w:val="0"/>
              <w:spacing w:line="360" w:lineRule="exact"/>
              <w:textAlignment w:val="auto"/>
              <w:outlineLvl w:val="9"/>
              <w:rPr>
                <w:rFonts w:ascii="Times New Roman" w:hAnsi="Times New Roman" w:eastAsia="方正仿宋_GBK" w:cs="Times New Roman"/>
                <w:color w:val="auto"/>
                <w:sz w:val="21"/>
                <w:szCs w:val="21"/>
                <w:highlight w:val="none"/>
              </w:rPr>
            </w:pPr>
          </w:p>
        </w:tc>
      </w:tr>
    </w:tbl>
    <w:p>
      <w:pPr>
        <w:spacing w:line="400" w:lineRule="exact"/>
        <w:ind w:firstLine="420" w:firstLineChars="200"/>
        <w:rPr>
          <w:color w:val="auto"/>
          <w:highlight w:val="none"/>
        </w:rPr>
      </w:pPr>
      <w:r>
        <w:rPr>
          <w:rFonts w:hint="eastAsia" w:ascii="Times New Roman" w:hAnsi="Times New Roman" w:eastAsia="仿宋" w:cs="Times New Roman"/>
          <w:color w:val="auto"/>
          <w:sz w:val="21"/>
          <w:szCs w:val="21"/>
          <w:highlight w:val="none"/>
          <w:lang w:val="en-US" w:eastAsia="zh-CN"/>
        </w:rPr>
        <w:t>*</w:t>
      </w:r>
      <w:r>
        <w:rPr>
          <w:rFonts w:hint="eastAsia" w:ascii="Times New Roman" w:hAnsi="Times New Roman" w:eastAsia="仿宋" w:cs="Times New Roman"/>
          <w:color w:val="auto"/>
          <w:sz w:val="21"/>
          <w:szCs w:val="21"/>
          <w:highlight w:val="none"/>
          <w:lang w:eastAsia="zh-CN"/>
        </w:rPr>
        <w:t>注：</w:t>
      </w:r>
      <w:r>
        <w:rPr>
          <w:rFonts w:hint="eastAsia" w:ascii="Times New Roman" w:hAnsi="Times New Roman" w:eastAsia="仿宋" w:cs="Times New Roman"/>
          <w:color w:val="auto"/>
          <w:sz w:val="21"/>
          <w:szCs w:val="21"/>
          <w:highlight w:val="none"/>
        </w:rPr>
        <w:t>评分结果分为“优秀”（得分≥85分）、“良好”（</w:t>
      </w:r>
      <w:r>
        <w:rPr>
          <w:rFonts w:hint="eastAsia" w:ascii="Times New Roman" w:hAnsi="Times New Roman" w:eastAsia="仿宋" w:cs="Times New Roman"/>
          <w:color w:val="auto"/>
          <w:sz w:val="21"/>
          <w:szCs w:val="21"/>
          <w:highlight w:val="none"/>
          <w:lang w:val="en-US" w:eastAsia="zh-CN"/>
        </w:rPr>
        <w:t>85分＞</w:t>
      </w:r>
      <w:r>
        <w:rPr>
          <w:rFonts w:hint="eastAsia" w:ascii="Times New Roman" w:hAnsi="Times New Roman" w:eastAsia="仿宋" w:cs="Times New Roman"/>
          <w:color w:val="auto"/>
          <w:sz w:val="21"/>
          <w:szCs w:val="21"/>
          <w:highlight w:val="none"/>
          <w:lang w:eastAsia="zh-CN"/>
        </w:rPr>
        <w:t>得分</w:t>
      </w:r>
      <w:r>
        <w:rPr>
          <w:rFonts w:hint="eastAsia" w:ascii="Times New Roman" w:hAnsi="Times New Roman" w:eastAsia="仿宋" w:cs="Times New Roman"/>
          <w:color w:val="auto"/>
          <w:sz w:val="21"/>
          <w:szCs w:val="21"/>
          <w:highlight w:val="none"/>
        </w:rPr>
        <w:t>≥75分）、“合格”（</w:t>
      </w:r>
      <w:r>
        <w:rPr>
          <w:rFonts w:hint="eastAsia" w:ascii="Times New Roman" w:hAnsi="Times New Roman" w:eastAsia="仿宋" w:cs="Times New Roman"/>
          <w:color w:val="auto"/>
          <w:sz w:val="21"/>
          <w:szCs w:val="21"/>
          <w:highlight w:val="none"/>
          <w:lang w:val="en-US" w:eastAsia="zh-CN"/>
        </w:rPr>
        <w:t>75分＞</w:t>
      </w:r>
      <w:r>
        <w:rPr>
          <w:rFonts w:hint="eastAsia" w:ascii="Times New Roman" w:hAnsi="Times New Roman" w:eastAsia="仿宋" w:cs="Times New Roman"/>
          <w:color w:val="auto"/>
          <w:sz w:val="21"/>
          <w:szCs w:val="21"/>
          <w:highlight w:val="none"/>
          <w:lang w:eastAsia="zh-CN"/>
        </w:rPr>
        <w:t>得分</w:t>
      </w:r>
      <w:r>
        <w:rPr>
          <w:rFonts w:hint="eastAsia" w:ascii="Times New Roman" w:hAnsi="Times New Roman" w:eastAsia="仿宋" w:cs="Times New Roman"/>
          <w:color w:val="auto"/>
          <w:sz w:val="21"/>
          <w:szCs w:val="21"/>
          <w:highlight w:val="none"/>
        </w:rPr>
        <w:t>≥</w:t>
      </w:r>
      <w:r>
        <w:rPr>
          <w:rFonts w:hint="eastAsia" w:ascii="Times New Roman" w:hAnsi="Times New Roman" w:eastAsia="仿宋" w:cs="Times New Roman"/>
          <w:color w:val="auto"/>
          <w:sz w:val="21"/>
          <w:szCs w:val="21"/>
          <w:highlight w:val="none"/>
          <w:lang w:val="en-US" w:eastAsia="zh-CN"/>
        </w:rPr>
        <w:t>60</w:t>
      </w:r>
      <w:r>
        <w:rPr>
          <w:rFonts w:hint="eastAsia" w:ascii="Times New Roman" w:hAnsi="Times New Roman" w:eastAsia="仿宋" w:cs="Times New Roman"/>
          <w:color w:val="auto"/>
          <w:sz w:val="21"/>
          <w:szCs w:val="21"/>
          <w:highlight w:val="none"/>
        </w:rPr>
        <w:t>分）、“不合格”（得分＜60分）</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rPr>
        <w:t>环评文件</w:t>
      </w:r>
      <w:r>
        <w:rPr>
          <w:rFonts w:hint="eastAsia" w:ascii="Times New Roman" w:hAnsi="Times New Roman" w:eastAsia="仿宋" w:cs="Times New Roman"/>
          <w:color w:val="auto"/>
          <w:sz w:val="21"/>
          <w:szCs w:val="21"/>
          <w:highlight w:val="none"/>
          <w:lang w:eastAsia="zh-CN"/>
        </w:rPr>
        <w:t>存在表</w:t>
      </w:r>
      <w:r>
        <w:rPr>
          <w:rFonts w:hint="eastAsia" w:ascii="Times New Roman" w:hAnsi="Times New Roman" w:eastAsia="仿宋" w:cs="Times New Roman"/>
          <w:color w:val="auto"/>
          <w:sz w:val="21"/>
          <w:szCs w:val="21"/>
          <w:highlight w:val="none"/>
          <w:lang w:val="en-US" w:eastAsia="zh-CN"/>
        </w:rPr>
        <w:t>2</w:t>
      </w:r>
      <w:r>
        <w:rPr>
          <w:rFonts w:hint="eastAsia" w:ascii="Times New Roman" w:hAnsi="Times New Roman" w:eastAsia="仿宋" w:cs="Times New Roman"/>
          <w:color w:val="auto"/>
          <w:sz w:val="21"/>
          <w:szCs w:val="21"/>
          <w:highlight w:val="none"/>
        </w:rPr>
        <w:t>第</w:t>
      </w:r>
      <w:r>
        <w:rPr>
          <w:rFonts w:hint="eastAsia" w:ascii="Times New Roman" w:hAnsi="Times New Roman" w:eastAsia="仿宋" w:cs="Times New Roman"/>
          <w:color w:val="auto"/>
          <w:sz w:val="21"/>
          <w:szCs w:val="21"/>
          <w:highlight w:val="none"/>
          <w:lang w:val="en-US" w:eastAsia="zh-CN"/>
        </w:rPr>
        <w:t>19</w:t>
      </w:r>
      <w:r>
        <w:rPr>
          <w:rFonts w:hint="eastAsia" w:ascii="Times New Roman" w:hAnsi="Times New Roman" w:eastAsia="仿宋" w:cs="Times New Roman"/>
          <w:color w:val="auto"/>
          <w:sz w:val="21"/>
          <w:szCs w:val="21"/>
          <w:highlight w:val="none"/>
          <w:lang w:eastAsia="zh-CN"/>
        </w:rPr>
        <w:t>、</w:t>
      </w:r>
      <w:r>
        <w:rPr>
          <w:rFonts w:hint="eastAsia" w:ascii="Times New Roman" w:hAnsi="Times New Roman" w:eastAsia="仿宋" w:cs="Times New Roman"/>
          <w:color w:val="auto"/>
          <w:sz w:val="21"/>
          <w:szCs w:val="21"/>
          <w:highlight w:val="none"/>
          <w:lang w:val="en-US" w:eastAsia="zh-CN"/>
        </w:rPr>
        <w:t>20、21</w:t>
      </w:r>
      <w:r>
        <w:rPr>
          <w:rFonts w:hint="eastAsia" w:ascii="Times New Roman" w:hAnsi="Times New Roman" w:eastAsia="仿宋" w:cs="Times New Roman"/>
          <w:color w:val="auto"/>
          <w:sz w:val="21"/>
          <w:szCs w:val="21"/>
          <w:highlight w:val="none"/>
        </w:rPr>
        <w:t>条</w:t>
      </w:r>
      <w:r>
        <w:rPr>
          <w:rFonts w:hint="eastAsia" w:ascii="Times New Roman" w:hAnsi="Times New Roman" w:eastAsia="仿宋" w:cs="Times New Roman"/>
          <w:color w:val="auto"/>
          <w:sz w:val="21"/>
          <w:szCs w:val="21"/>
          <w:highlight w:val="none"/>
          <w:lang w:eastAsia="zh-CN"/>
        </w:rPr>
        <w:t>情形的</w:t>
      </w:r>
      <w:r>
        <w:rPr>
          <w:rFonts w:ascii="Times New Roman" w:hAnsi="Times New Roman" w:eastAsia="仿宋" w:cs="Times New Roman"/>
          <w:color w:val="auto"/>
          <w:sz w:val="21"/>
          <w:szCs w:val="21"/>
          <w:highlight w:val="none"/>
        </w:rPr>
        <w:t>，直接判定不合格</w:t>
      </w:r>
      <w:r>
        <w:rPr>
          <w:rFonts w:hint="eastAsia" w:ascii="Times New Roman" w:hAnsi="Times New Roman" w:eastAsia="仿宋" w:cs="Times New Roman"/>
          <w:color w:val="auto"/>
          <w:sz w:val="21"/>
          <w:szCs w:val="21"/>
          <w:highlight w:val="none"/>
        </w:rPr>
        <w:t>，不</w:t>
      </w:r>
      <w:r>
        <w:rPr>
          <w:rFonts w:hint="eastAsia" w:ascii="Times New Roman" w:hAnsi="Times New Roman" w:eastAsia="仿宋" w:cs="Times New Roman"/>
          <w:color w:val="auto"/>
          <w:sz w:val="21"/>
          <w:szCs w:val="21"/>
          <w:highlight w:val="none"/>
          <w:lang w:eastAsia="zh-CN"/>
        </w:rPr>
        <w:t>需再</w:t>
      </w:r>
      <w:r>
        <w:rPr>
          <w:rFonts w:hint="eastAsia" w:ascii="Times New Roman" w:hAnsi="Times New Roman" w:eastAsia="仿宋" w:cs="Times New Roman"/>
          <w:color w:val="auto"/>
          <w:sz w:val="21"/>
          <w:szCs w:val="21"/>
          <w:highlight w:val="none"/>
        </w:rPr>
        <w:t>按表</w:t>
      </w:r>
      <w:r>
        <w:rPr>
          <w:rFonts w:hint="eastAsia" w:ascii="Times New Roman" w:hAnsi="Times New Roman" w:eastAsia="仿宋" w:cs="Times New Roman"/>
          <w:color w:val="auto"/>
          <w:sz w:val="21"/>
          <w:szCs w:val="21"/>
          <w:highlight w:val="none"/>
          <w:lang w:val="en-US" w:eastAsia="zh-CN"/>
        </w:rPr>
        <w:t>1</w:t>
      </w:r>
      <w:r>
        <w:rPr>
          <w:rFonts w:hint="eastAsia" w:ascii="Times New Roman" w:hAnsi="Times New Roman" w:eastAsia="仿宋" w:cs="Times New Roman"/>
          <w:color w:val="auto"/>
          <w:sz w:val="21"/>
          <w:szCs w:val="21"/>
          <w:highlight w:val="none"/>
        </w:rPr>
        <w:t>打分。</w:t>
      </w:r>
      <w:r>
        <w:rPr>
          <w:color w:val="auto"/>
          <w:highlight w:val="none"/>
        </w:rPr>
        <w:br w:type="page"/>
      </w:r>
    </w:p>
    <w:p>
      <w:pPr>
        <w:spacing w:line="600" w:lineRule="exact"/>
        <w:rPr>
          <w:rFonts w:hint="eastAsia" w:ascii="Times New Roman" w:hAnsi="Times New Roman" w:eastAsia="仿宋" w:cs="Times New Roman"/>
          <w:color w:val="auto"/>
          <w:highlight w:val="none"/>
          <w:lang w:val="en-US" w:eastAsia="zh-CN"/>
        </w:rPr>
      </w:pPr>
      <w:r>
        <w:rPr>
          <w:rFonts w:hint="eastAsia" w:ascii="Times New Roman" w:hAnsi="Times New Roman" w:eastAsia="仿宋" w:cs="Times New Roman"/>
          <w:color w:val="auto"/>
          <w:highlight w:val="none"/>
          <w:lang w:eastAsia="zh-CN"/>
        </w:rPr>
        <w:t>表</w:t>
      </w:r>
      <w:r>
        <w:rPr>
          <w:rFonts w:hint="eastAsia" w:ascii="Times New Roman" w:hAnsi="Times New Roman" w:eastAsia="仿宋" w:cs="Times New Roman"/>
          <w:color w:val="auto"/>
          <w:highlight w:val="none"/>
          <w:lang w:val="en-US" w:eastAsia="zh-CN"/>
        </w:rPr>
        <w:t>2</w:t>
      </w:r>
    </w:p>
    <w:tbl>
      <w:tblPr>
        <w:tblStyle w:val="11"/>
        <w:tblW w:w="859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8"/>
        <w:gridCol w:w="6842"/>
        <w:gridCol w:w="11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558" w:type="dxa"/>
            <w:vAlign w:val="center"/>
          </w:tcPr>
          <w:p>
            <w:pPr>
              <w:spacing w:line="320" w:lineRule="exact"/>
              <w:jc w:val="center"/>
              <w:rPr>
                <w:rFonts w:ascii="Times New Roman" w:hAnsi="Times New Roman" w:eastAsia="仿宋" w:cs="Times New Roman"/>
                <w:b/>
                <w:bCs/>
                <w:color w:val="auto"/>
                <w:w w:val="80"/>
                <w:sz w:val="21"/>
                <w:szCs w:val="21"/>
                <w:highlight w:val="none"/>
              </w:rPr>
            </w:pPr>
            <w:r>
              <w:rPr>
                <w:rFonts w:ascii="Times New Roman" w:hAnsi="Times New Roman" w:eastAsia="仿宋" w:cs="Times New Roman"/>
                <w:b/>
                <w:bCs/>
                <w:color w:val="auto"/>
                <w:w w:val="80"/>
                <w:sz w:val="21"/>
                <w:szCs w:val="21"/>
                <w:highlight w:val="none"/>
              </w:rPr>
              <w:t>序号</w:t>
            </w:r>
          </w:p>
        </w:tc>
        <w:tc>
          <w:tcPr>
            <w:tcW w:w="6842" w:type="dxa"/>
            <w:vAlign w:val="center"/>
          </w:tcPr>
          <w:p>
            <w:pPr>
              <w:spacing w:line="320" w:lineRule="exact"/>
              <w:jc w:val="center"/>
              <w:rPr>
                <w:rFonts w:ascii="Times New Roman" w:hAnsi="Times New Roman" w:eastAsia="仿宋" w:cs="Times New Roman"/>
                <w:b/>
                <w:bCs/>
                <w:color w:val="auto"/>
                <w:w w:val="90"/>
                <w:sz w:val="21"/>
                <w:szCs w:val="21"/>
                <w:highlight w:val="none"/>
              </w:rPr>
            </w:pPr>
            <w:r>
              <w:rPr>
                <w:rFonts w:ascii="Times New Roman" w:hAnsi="Times New Roman" w:eastAsia="仿宋" w:cs="Times New Roman"/>
                <w:b/>
                <w:bCs/>
                <w:color w:val="auto"/>
                <w:w w:val="90"/>
                <w:sz w:val="21"/>
                <w:szCs w:val="21"/>
                <w:highlight w:val="none"/>
              </w:rPr>
              <w:t>具体情形</w:t>
            </w:r>
          </w:p>
        </w:tc>
        <w:tc>
          <w:tcPr>
            <w:tcW w:w="1194" w:type="dxa"/>
            <w:vAlign w:val="center"/>
          </w:tcPr>
          <w:p>
            <w:pPr>
              <w:spacing w:line="320" w:lineRule="exact"/>
              <w:jc w:val="center"/>
              <w:rPr>
                <w:rFonts w:hint="eastAsia" w:ascii="Times New Roman" w:hAnsi="Times New Roman" w:eastAsia="仿宋" w:cs="Times New Roman"/>
                <w:b/>
                <w:bCs/>
                <w:color w:val="auto"/>
                <w:w w:val="90"/>
                <w:sz w:val="21"/>
                <w:szCs w:val="21"/>
                <w:highlight w:val="none"/>
                <w:lang w:eastAsia="zh-CN"/>
              </w:rPr>
            </w:pPr>
            <w:r>
              <w:rPr>
                <w:rFonts w:hint="eastAsia" w:ascii="Times New Roman" w:hAnsi="Times New Roman" w:eastAsia="仿宋" w:cs="Times New Roman"/>
                <w:b/>
                <w:bCs/>
                <w:color w:val="auto"/>
                <w:w w:val="90"/>
                <w:sz w:val="21"/>
                <w:szCs w:val="21"/>
                <w:highlight w:val="none"/>
              </w:rPr>
              <w:t>评</w:t>
            </w:r>
            <w:r>
              <w:rPr>
                <w:rFonts w:ascii="Times New Roman" w:hAnsi="Times New Roman" w:eastAsia="仿宋" w:cs="Times New Roman"/>
                <w:b/>
                <w:bCs/>
                <w:color w:val="auto"/>
                <w:w w:val="90"/>
                <w:sz w:val="21"/>
                <w:szCs w:val="21"/>
                <w:highlight w:val="none"/>
              </w:rPr>
              <w:t>分</w:t>
            </w:r>
            <w:r>
              <w:rPr>
                <w:rFonts w:hint="eastAsia" w:ascii="Times New Roman" w:hAnsi="Times New Roman" w:eastAsia="仿宋" w:cs="Times New Roman"/>
                <w:b/>
                <w:bCs/>
                <w:color w:val="auto"/>
                <w:w w:val="90"/>
                <w:sz w:val="21"/>
                <w:szCs w:val="21"/>
                <w:highlight w:val="none"/>
                <w:lang w:eastAsia="zh-CN"/>
              </w:rPr>
              <w:t>（打</w:t>
            </w:r>
            <w:r>
              <w:rPr>
                <w:rFonts w:hint="eastAsia" w:ascii="仿宋" w:hAnsi="仿宋" w:eastAsia="仿宋" w:cs="仿宋"/>
                <w:color w:val="auto"/>
                <w:w w:val="90"/>
                <w:sz w:val="21"/>
                <w:szCs w:val="21"/>
                <w:highlight w:val="none"/>
              </w:rPr>
              <w:sym w:font="Wingdings" w:char="00FE"/>
            </w:r>
            <w:r>
              <w:rPr>
                <w:rFonts w:hint="eastAsia" w:ascii="Times New Roman" w:hAnsi="Times New Roman" w:eastAsia="仿宋" w:cs="Times New Roman"/>
                <w:b/>
                <w:bCs/>
                <w:color w:val="auto"/>
                <w:w w:val="90"/>
                <w:sz w:val="21"/>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hint="default" w:ascii="Times New Roman" w:hAnsi="Times New Roman" w:eastAsia="仿宋" w:cs="Times New Roman"/>
                <w:b w:val="0"/>
                <w:bCs w:val="0"/>
                <w:color w:val="auto"/>
                <w:w w:val="90"/>
                <w:sz w:val="21"/>
                <w:szCs w:val="21"/>
                <w:highlight w:val="none"/>
                <w:lang w:val="en-US" w:eastAsia="zh-CN"/>
              </w:rPr>
            </w:pPr>
          </w:p>
        </w:tc>
        <w:tc>
          <w:tcPr>
            <w:tcW w:w="6842" w:type="dxa"/>
            <w:vAlign w:val="center"/>
          </w:tcPr>
          <w:p>
            <w:pPr>
              <w:spacing w:line="320" w:lineRule="exact"/>
              <w:ind w:firstLine="378" w:firstLineChars="200"/>
              <w:rPr>
                <w:rFonts w:ascii="Times New Roman" w:hAnsi="Times New Roman" w:eastAsia="仿宋" w:cs="Times New Roman"/>
                <w:b/>
                <w:bCs/>
                <w:color w:val="auto"/>
                <w:w w:val="90"/>
                <w:sz w:val="21"/>
                <w:szCs w:val="21"/>
                <w:highlight w:val="none"/>
              </w:rPr>
            </w:pPr>
            <w:r>
              <w:rPr>
                <w:rFonts w:hint="eastAsia" w:ascii="Times New Roman" w:hAnsi="Times New Roman" w:eastAsia="仿宋" w:cs="Times New Roman"/>
                <w:color w:val="auto"/>
                <w:w w:val="90"/>
                <w:sz w:val="21"/>
                <w:szCs w:val="21"/>
                <w:highlight w:val="none"/>
                <w:lang w:eastAsia="zh-CN"/>
              </w:rPr>
              <w:t>根据表</w:t>
            </w:r>
            <w:r>
              <w:rPr>
                <w:rFonts w:hint="eastAsia" w:ascii="Times New Roman" w:hAnsi="Times New Roman" w:eastAsia="仿宋" w:cs="Times New Roman"/>
                <w:color w:val="auto"/>
                <w:w w:val="90"/>
                <w:sz w:val="21"/>
                <w:szCs w:val="21"/>
                <w:highlight w:val="none"/>
                <w:lang w:val="en-US" w:eastAsia="zh-CN"/>
              </w:rPr>
              <w:t>1</w:t>
            </w:r>
            <w:r>
              <w:rPr>
                <w:rFonts w:hint="eastAsia" w:ascii="Times New Roman" w:hAnsi="Times New Roman" w:eastAsia="仿宋" w:cs="Times New Roman"/>
                <w:color w:val="auto"/>
                <w:w w:val="90"/>
                <w:sz w:val="21"/>
                <w:szCs w:val="21"/>
                <w:highlight w:val="none"/>
              </w:rPr>
              <w:t>评分结果为“优秀”。</w:t>
            </w:r>
          </w:p>
        </w:tc>
        <w:tc>
          <w:tcPr>
            <w:tcW w:w="1194" w:type="dxa"/>
            <w:vAlign w:val="center"/>
          </w:tcPr>
          <w:p>
            <w:pPr>
              <w:spacing w:line="320" w:lineRule="exact"/>
              <w:jc w:val="center"/>
              <w:rPr>
                <w:rFonts w:hint="eastAsia" w:ascii="Times New Roman" w:hAnsi="Times New Roman" w:eastAsia="仿宋" w:cs="Times New Roman"/>
                <w:b/>
                <w:bCs/>
                <w:color w:val="auto"/>
                <w:w w:val="90"/>
                <w:sz w:val="21"/>
                <w:szCs w:val="21"/>
                <w:highlight w:val="none"/>
              </w:rPr>
            </w:pPr>
            <w:r>
              <w:rPr>
                <w:rFonts w:hint="eastAsia" w:ascii="Times New Roman" w:hAnsi="Times New Roman" w:eastAsia="仿宋" w:cs="Times New Roman"/>
                <w:color w:val="auto"/>
                <w:w w:val="90"/>
                <w:sz w:val="21"/>
                <w:szCs w:val="21"/>
                <w:highlight w:val="none"/>
              </w:rPr>
              <w:t>加3分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hint="default" w:ascii="Times New Roman" w:hAnsi="Times New Roman" w:eastAsia="仿宋" w:cs="Times New Roman"/>
                <w:b w:val="0"/>
                <w:bCs w:val="0"/>
                <w:color w:val="auto"/>
                <w:w w:val="90"/>
                <w:sz w:val="21"/>
                <w:szCs w:val="21"/>
                <w:highlight w:val="none"/>
                <w:lang w:val="en-US" w:eastAsia="zh-CN"/>
              </w:rPr>
            </w:pPr>
          </w:p>
        </w:tc>
        <w:tc>
          <w:tcPr>
            <w:tcW w:w="6842" w:type="dxa"/>
            <w:vAlign w:val="center"/>
          </w:tcPr>
          <w:p>
            <w:pPr>
              <w:spacing w:line="320" w:lineRule="exact"/>
              <w:ind w:firstLine="378" w:firstLineChars="200"/>
              <w:rPr>
                <w:rFonts w:ascii="Times New Roman" w:hAnsi="Times New Roman" w:eastAsia="仿宋" w:cs="Times New Roman"/>
                <w:b/>
                <w:bCs/>
                <w:color w:val="auto"/>
                <w:w w:val="90"/>
                <w:sz w:val="21"/>
                <w:szCs w:val="21"/>
                <w:highlight w:val="none"/>
              </w:rPr>
            </w:pPr>
            <w:r>
              <w:rPr>
                <w:rFonts w:hint="eastAsia" w:ascii="Times New Roman" w:hAnsi="Times New Roman" w:eastAsia="仿宋" w:cs="Times New Roman"/>
                <w:color w:val="auto"/>
                <w:w w:val="90"/>
                <w:sz w:val="21"/>
                <w:szCs w:val="21"/>
                <w:highlight w:val="none"/>
                <w:lang w:eastAsia="zh-CN"/>
              </w:rPr>
              <w:t>根据表</w:t>
            </w:r>
            <w:r>
              <w:rPr>
                <w:rFonts w:hint="eastAsia" w:ascii="Times New Roman" w:hAnsi="Times New Roman" w:eastAsia="仿宋" w:cs="Times New Roman"/>
                <w:color w:val="auto"/>
                <w:w w:val="90"/>
                <w:sz w:val="21"/>
                <w:szCs w:val="21"/>
                <w:highlight w:val="none"/>
                <w:lang w:val="en-US" w:eastAsia="zh-CN"/>
              </w:rPr>
              <w:t>1</w:t>
            </w:r>
            <w:r>
              <w:rPr>
                <w:rFonts w:hint="eastAsia" w:ascii="Times New Roman" w:hAnsi="Times New Roman" w:eastAsia="仿宋" w:cs="Times New Roman"/>
                <w:color w:val="auto"/>
                <w:w w:val="90"/>
                <w:sz w:val="21"/>
                <w:szCs w:val="21"/>
                <w:highlight w:val="none"/>
              </w:rPr>
              <w:t>评分结果为“良好”。</w:t>
            </w:r>
          </w:p>
        </w:tc>
        <w:tc>
          <w:tcPr>
            <w:tcW w:w="1194" w:type="dxa"/>
            <w:vAlign w:val="center"/>
          </w:tcPr>
          <w:p>
            <w:pPr>
              <w:spacing w:line="320" w:lineRule="exact"/>
              <w:jc w:val="center"/>
              <w:rPr>
                <w:rFonts w:hint="eastAsia" w:ascii="Times New Roman" w:hAnsi="Times New Roman" w:eastAsia="仿宋" w:cs="Times New Roman"/>
                <w:b/>
                <w:bCs/>
                <w:color w:val="auto"/>
                <w:w w:val="90"/>
                <w:sz w:val="21"/>
                <w:szCs w:val="21"/>
                <w:highlight w:val="none"/>
              </w:rPr>
            </w:pPr>
            <w:r>
              <w:rPr>
                <w:rFonts w:hint="eastAsia" w:ascii="Times New Roman" w:hAnsi="Times New Roman" w:eastAsia="仿宋" w:cs="Times New Roman"/>
                <w:color w:val="auto"/>
                <w:w w:val="90"/>
                <w:sz w:val="21"/>
                <w:szCs w:val="21"/>
                <w:highlight w:val="none"/>
              </w:rPr>
              <w:t>加1分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hint="default" w:ascii="Times New Roman" w:hAnsi="Times New Roman" w:eastAsia="仿宋" w:cs="Times New Roman"/>
                <w:b w:val="0"/>
                <w:bCs w:val="0"/>
                <w:color w:val="auto"/>
                <w:w w:val="90"/>
                <w:sz w:val="21"/>
                <w:szCs w:val="21"/>
                <w:highlight w:val="none"/>
                <w:lang w:val="en-US" w:eastAsia="zh-CN"/>
              </w:rPr>
            </w:pPr>
          </w:p>
        </w:tc>
        <w:tc>
          <w:tcPr>
            <w:tcW w:w="6842" w:type="dxa"/>
            <w:vAlign w:val="center"/>
          </w:tcPr>
          <w:p>
            <w:pPr>
              <w:spacing w:line="320" w:lineRule="exact"/>
              <w:ind w:firstLine="378" w:firstLineChars="200"/>
              <w:rPr>
                <w:rFonts w:ascii="Times New Roman" w:hAnsi="Times New Roman" w:eastAsia="仿宋" w:cs="Times New Roman"/>
                <w:b/>
                <w:bCs/>
                <w:color w:val="auto"/>
                <w:w w:val="90"/>
                <w:sz w:val="21"/>
                <w:szCs w:val="21"/>
                <w:highlight w:val="none"/>
              </w:rPr>
            </w:pPr>
            <w:r>
              <w:rPr>
                <w:rFonts w:hint="eastAsia" w:ascii="Times New Roman" w:hAnsi="Times New Roman" w:eastAsia="仿宋" w:cs="Times New Roman"/>
                <w:color w:val="auto"/>
                <w:w w:val="90"/>
                <w:sz w:val="21"/>
                <w:szCs w:val="21"/>
                <w:highlight w:val="none"/>
                <w:lang w:eastAsia="zh-CN"/>
              </w:rPr>
              <w:t>根据表</w:t>
            </w:r>
            <w:r>
              <w:rPr>
                <w:rFonts w:hint="eastAsia" w:ascii="Times New Roman" w:hAnsi="Times New Roman" w:eastAsia="仿宋" w:cs="Times New Roman"/>
                <w:color w:val="auto"/>
                <w:w w:val="90"/>
                <w:sz w:val="21"/>
                <w:szCs w:val="21"/>
                <w:highlight w:val="none"/>
                <w:lang w:val="en-US" w:eastAsia="zh-CN"/>
              </w:rPr>
              <w:t>1</w:t>
            </w:r>
            <w:r>
              <w:rPr>
                <w:rFonts w:hint="eastAsia" w:ascii="Times New Roman" w:hAnsi="Times New Roman" w:eastAsia="仿宋" w:cs="Times New Roman"/>
                <w:color w:val="auto"/>
                <w:w w:val="90"/>
                <w:sz w:val="21"/>
                <w:szCs w:val="21"/>
                <w:highlight w:val="none"/>
              </w:rPr>
              <w:t>评分结果</w:t>
            </w:r>
            <w:r>
              <w:rPr>
                <w:rFonts w:hint="eastAsia" w:ascii="Times New Roman" w:hAnsi="Times New Roman" w:eastAsia="仿宋" w:cs="Times New Roman"/>
                <w:color w:val="auto"/>
                <w:w w:val="90"/>
                <w:sz w:val="21"/>
                <w:szCs w:val="21"/>
                <w:highlight w:val="none"/>
                <w:lang w:eastAsia="zh-CN"/>
              </w:rPr>
              <w:t>“不合格”</w:t>
            </w:r>
            <w:r>
              <w:rPr>
                <w:rFonts w:hint="eastAsia" w:ascii="Times New Roman" w:hAnsi="Times New Roman" w:eastAsia="仿宋" w:cs="Times New Roman"/>
                <w:color w:val="auto"/>
                <w:w w:val="90"/>
                <w:sz w:val="21"/>
                <w:szCs w:val="21"/>
                <w:highlight w:val="none"/>
              </w:rPr>
              <w:t>，或无正当理由，环评文件修改时间超过规定时限或修改质量达不到要求。</w:t>
            </w:r>
          </w:p>
        </w:tc>
        <w:tc>
          <w:tcPr>
            <w:tcW w:w="1194" w:type="dxa"/>
            <w:vAlign w:val="center"/>
          </w:tcPr>
          <w:p>
            <w:pPr>
              <w:spacing w:line="320" w:lineRule="exact"/>
              <w:jc w:val="center"/>
              <w:rPr>
                <w:rFonts w:hint="eastAsia" w:ascii="Times New Roman" w:hAnsi="Times New Roman" w:eastAsia="仿宋" w:cs="Times New Roman"/>
                <w:b/>
                <w:bCs/>
                <w:color w:val="auto"/>
                <w:w w:val="90"/>
                <w:sz w:val="21"/>
                <w:szCs w:val="21"/>
                <w:highlight w:val="none"/>
              </w:rPr>
            </w:pPr>
            <w:r>
              <w:rPr>
                <w:rFonts w:hint="eastAsia" w:ascii="Times New Roman" w:hAnsi="Times New Roman" w:eastAsia="仿宋" w:cs="Times New Roman"/>
                <w:color w:val="auto"/>
                <w:w w:val="90"/>
                <w:sz w:val="21"/>
                <w:szCs w:val="21"/>
                <w:highlight w:val="none"/>
              </w:rPr>
              <w:t>扣5分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558" w:type="dxa"/>
            <w:vAlign w:val="center"/>
          </w:tcPr>
          <w:p>
            <w:pPr>
              <w:numPr>
                <w:ilvl w:val="0"/>
                <w:numId w:val="2"/>
              </w:numPr>
              <w:spacing w:line="320" w:lineRule="exact"/>
              <w:jc w:val="center"/>
              <w:rPr>
                <w:rFonts w:hint="default" w:ascii="Times New Roman" w:hAnsi="Times New Roman" w:eastAsia="仿宋" w:cs="Times New Roman"/>
                <w:b w:val="0"/>
                <w:bCs w:val="0"/>
                <w:color w:val="auto"/>
                <w:w w:val="90"/>
                <w:sz w:val="21"/>
                <w:szCs w:val="21"/>
                <w:highlight w:val="none"/>
                <w:lang w:val="en-US" w:eastAsia="zh-CN"/>
              </w:rPr>
            </w:pPr>
          </w:p>
        </w:tc>
        <w:tc>
          <w:tcPr>
            <w:tcW w:w="6842" w:type="dxa"/>
            <w:vAlign w:val="center"/>
          </w:tcPr>
          <w:p>
            <w:pPr>
              <w:spacing w:line="320" w:lineRule="exact"/>
              <w:ind w:firstLine="378" w:firstLineChars="200"/>
              <w:rPr>
                <w:rFonts w:ascii="Times New Roman" w:hAnsi="Times New Roman" w:eastAsia="仿宋" w:cs="Times New Roman"/>
                <w:b/>
                <w:bCs/>
                <w:color w:val="auto"/>
                <w:w w:val="90"/>
                <w:sz w:val="21"/>
                <w:szCs w:val="21"/>
                <w:highlight w:val="none"/>
              </w:rPr>
            </w:pPr>
            <w:r>
              <w:rPr>
                <w:rFonts w:hint="eastAsia" w:ascii="Times New Roman" w:hAnsi="Times New Roman" w:eastAsia="仿宋" w:cs="Times New Roman"/>
                <w:color w:val="auto"/>
                <w:w w:val="90"/>
                <w:sz w:val="21"/>
                <w:szCs w:val="21"/>
                <w:highlight w:val="none"/>
              </w:rPr>
              <w:t>编制主持人无故不出席评估会议。</w:t>
            </w:r>
          </w:p>
        </w:tc>
        <w:tc>
          <w:tcPr>
            <w:tcW w:w="1194" w:type="dxa"/>
            <w:vAlign w:val="center"/>
          </w:tcPr>
          <w:p>
            <w:pPr>
              <w:spacing w:line="320" w:lineRule="exact"/>
              <w:jc w:val="center"/>
              <w:rPr>
                <w:rFonts w:hint="eastAsia" w:ascii="Times New Roman" w:hAnsi="Times New Roman" w:eastAsia="仿宋" w:cs="Times New Roman"/>
                <w:b/>
                <w:bCs/>
                <w:color w:val="auto"/>
                <w:w w:val="90"/>
                <w:sz w:val="21"/>
                <w:szCs w:val="21"/>
                <w:highlight w:val="none"/>
              </w:rPr>
            </w:pPr>
            <w:r>
              <w:rPr>
                <w:rFonts w:hint="eastAsia" w:ascii="Times New Roman" w:hAnsi="Times New Roman" w:eastAsia="仿宋" w:cs="Times New Roman"/>
                <w:color w:val="auto"/>
                <w:w w:val="90"/>
                <w:sz w:val="21"/>
                <w:szCs w:val="21"/>
                <w:highlight w:val="none"/>
              </w:rPr>
              <w:t>扣5分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94" w:type="dxa"/>
            <w:gridSpan w:val="3"/>
            <w:vAlign w:val="center"/>
          </w:tcPr>
          <w:p>
            <w:pPr>
              <w:spacing w:line="320" w:lineRule="exact"/>
              <w:jc w:val="center"/>
              <w:rPr>
                <w:rFonts w:hint="eastAsia" w:ascii="Times New Roman" w:hAnsi="Times New Roman" w:eastAsia="仿宋" w:cs="Times New Roman"/>
                <w:color w:val="auto"/>
                <w:w w:val="90"/>
                <w:sz w:val="21"/>
                <w:szCs w:val="21"/>
                <w:highlight w:val="none"/>
                <w:lang w:eastAsia="zh-CN"/>
              </w:rPr>
            </w:pPr>
            <w:r>
              <w:rPr>
                <w:rFonts w:hint="eastAsia" w:ascii="Times New Roman" w:hAnsi="Times New Roman" w:eastAsia="仿宋" w:cs="Times New Roman"/>
                <w:color w:val="auto"/>
                <w:w w:val="90"/>
                <w:sz w:val="21"/>
                <w:szCs w:val="21"/>
                <w:highlight w:val="none"/>
                <w:lang w:eastAsia="zh-CN"/>
              </w:rPr>
              <w:t>如为审批受理后的技术评估，以下内容不需勾选。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下列单位作为技术单位编制环评文件：</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（一）生态环境主管部门或者其他负责审批</w:t>
            </w:r>
            <w:r>
              <w:rPr>
                <w:rFonts w:hint="eastAsia" w:ascii="Times New Roman" w:hAnsi="Times New Roman" w:eastAsia="仿宋" w:cs="Times New Roman"/>
                <w:color w:val="auto"/>
                <w:w w:val="90"/>
                <w:sz w:val="21"/>
                <w:szCs w:val="21"/>
                <w:highlight w:val="none"/>
                <w:lang w:eastAsia="zh-CN"/>
              </w:rPr>
              <w:t>环评文件</w:t>
            </w:r>
            <w:r>
              <w:rPr>
                <w:rFonts w:ascii="Times New Roman" w:hAnsi="Times New Roman" w:eastAsia="仿宋" w:cs="Times New Roman"/>
                <w:color w:val="auto"/>
                <w:w w:val="90"/>
                <w:sz w:val="21"/>
                <w:szCs w:val="21"/>
                <w:highlight w:val="none"/>
              </w:rPr>
              <w:t>的审批部门设立的事业单位；</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（二）由生态环境主管部门作为业务主管单位或者挂靠单位的社会组织，或者由其他负责审批</w:t>
            </w:r>
            <w:r>
              <w:rPr>
                <w:rFonts w:hint="eastAsia" w:ascii="Times New Roman" w:hAnsi="Times New Roman" w:eastAsia="仿宋" w:cs="Times New Roman"/>
                <w:color w:val="auto"/>
                <w:w w:val="90"/>
                <w:sz w:val="21"/>
                <w:szCs w:val="21"/>
                <w:highlight w:val="none"/>
                <w:lang w:eastAsia="zh-CN"/>
              </w:rPr>
              <w:t>环评文件</w:t>
            </w:r>
            <w:r>
              <w:rPr>
                <w:rFonts w:ascii="Times New Roman" w:hAnsi="Times New Roman" w:eastAsia="仿宋" w:cs="Times New Roman"/>
                <w:color w:val="auto"/>
                <w:w w:val="90"/>
                <w:sz w:val="21"/>
                <w:szCs w:val="21"/>
                <w:highlight w:val="none"/>
              </w:rPr>
              <w:t>的审批部门作为业务主管单位或者挂靠单位的社会组织；</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（三）由本条前两项中的事业单位、社会组织出资的单位及其再出资的单位；</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（四）受生态环境主管部门或者其他负责审批</w:t>
            </w:r>
            <w:r>
              <w:rPr>
                <w:rFonts w:hint="eastAsia" w:ascii="Times New Roman" w:hAnsi="Times New Roman" w:eastAsia="仿宋" w:cs="Times New Roman"/>
                <w:color w:val="auto"/>
                <w:w w:val="90"/>
                <w:sz w:val="21"/>
                <w:szCs w:val="21"/>
                <w:highlight w:val="none"/>
                <w:lang w:eastAsia="zh-CN"/>
              </w:rPr>
              <w:t>环评文件</w:t>
            </w:r>
            <w:r>
              <w:rPr>
                <w:rFonts w:ascii="Times New Roman" w:hAnsi="Times New Roman" w:eastAsia="仿宋" w:cs="Times New Roman"/>
                <w:color w:val="auto"/>
                <w:w w:val="90"/>
                <w:sz w:val="21"/>
                <w:szCs w:val="21"/>
                <w:highlight w:val="none"/>
              </w:rPr>
              <w:t>的审批部门委托，开展</w:t>
            </w:r>
            <w:r>
              <w:rPr>
                <w:rFonts w:hint="eastAsia" w:ascii="Times New Roman" w:hAnsi="Times New Roman" w:eastAsia="仿宋" w:cs="Times New Roman"/>
                <w:color w:val="auto"/>
                <w:w w:val="90"/>
                <w:sz w:val="21"/>
                <w:szCs w:val="21"/>
                <w:highlight w:val="none"/>
                <w:lang w:eastAsia="zh-CN"/>
              </w:rPr>
              <w:t>环评文件</w:t>
            </w:r>
            <w:r>
              <w:rPr>
                <w:rFonts w:ascii="Times New Roman" w:hAnsi="Times New Roman" w:eastAsia="仿宋" w:cs="Times New Roman"/>
                <w:color w:val="auto"/>
                <w:w w:val="90"/>
                <w:sz w:val="21"/>
                <w:szCs w:val="21"/>
                <w:highlight w:val="none"/>
              </w:rPr>
              <w:t>技术评估的单位；</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（五）本条第四项中的技术评估单位出资的单位及其再出资的单位；</w:t>
            </w:r>
          </w:p>
          <w:p>
            <w:pPr>
              <w:numPr>
                <w:ilvl w:val="255"/>
                <w:numId w:val="0"/>
              </w:num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（六）本条第四项中的技术评估单位的出资单位，或者由本款第四项中的技术评估单位出资人出资的其他单位，或者由本款第四项中的技术评估单位法定代表人出资的单位。</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10</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numPr>
                <w:ilvl w:val="255"/>
                <w:numId w:val="0"/>
              </w:num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内设机构、分支机构或者临时机构主持编制环评文件。</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10</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环评文件的编制人员非</w:t>
            </w:r>
            <w:r>
              <w:rPr>
                <w:rFonts w:hint="eastAsia" w:ascii="Times New Roman" w:hAnsi="Times New Roman" w:eastAsia="仿宋" w:cs="Times New Roman"/>
                <w:color w:val="auto"/>
                <w:w w:val="90"/>
                <w:sz w:val="21"/>
                <w:szCs w:val="21"/>
                <w:highlight w:val="none"/>
              </w:rPr>
              <w:t>编制单位</w:t>
            </w:r>
            <w:r>
              <w:rPr>
                <w:rFonts w:ascii="Times New Roman" w:hAnsi="Times New Roman" w:eastAsia="仿宋" w:cs="Times New Roman"/>
                <w:color w:val="auto"/>
                <w:w w:val="90"/>
                <w:sz w:val="21"/>
                <w:szCs w:val="21"/>
                <w:highlight w:val="none"/>
              </w:rPr>
              <w:t>全职人员。</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5</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环评文件的编制主持人未取得环境影响评价工程师职业资格证书。</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5</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编制单位未通过国家信用平台提交本单位基本情况信息。</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4</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编制单位未通过国家信用平台提交环评文件基本情况信息。</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4</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编制单位未附具《编制单位和编制人员情况表》或者未在《编制单位和编制人员情况表》上盖章。</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4</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编制单位的编制人员提交的从业单位名称信息不真实。</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3</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由</w:t>
            </w:r>
            <w:r>
              <w:rPr>
                <w:rFonts w:hint="eastAsia" w:ascii="Times New Roman" w:hAnsi="Times New Roman" w:eastAsia="仿宋" w:cs="Times New Roman"/>
                <w:color w:val="auto"/>
                <w:w w:val="90"/>
                <w:sz w:val="21"/>
                <w:szCs w:val="21"/>
                <w:highlight w:val="none"/>
                <w:lang w:eastAsia="zh-CN"/>
              </w:rPr>
              <w:t>两</w:t>
            </w:r>
            <w:r>
              <w:rPr>
                <w:rFonts w:ascii="Times New Roman" w:hAnsi="Times New Roman" w:eastAsia="仿宋" w:cs="Times New Roman"/>
                <w:color w:val="auto"/>
                <w:w w:val="90"/>
                <w:sz w:val="21"/>
                <w:szCs w:val="21"/>
                <w:highlight w:val="none"/>
              </w:rPr>
              <w:t>家及以上单位主持编制</w:t>
            </w:r>
            <w:r>
              <w:rPr>
                <w:rFonts w:hint="eastAsia" w:ascii="Times New Roman" w:hAnsi="Times New Roman" w:eastAsia="仿宋" w:cs="Times New Roman"/>
                <w:color w:val="auto"/>
                <w:w w:val="90"/>
                <w:sz w:val="21"/>
                <w:szCs w:val="21"/>
                <w:highlight w:val="none"/>
                <w:lang w:eastAsia="zh-CN"/>
              </w:rPr>
              <w:t>环评文件</w:t>
            </w:r>
            <w:r>
              <w:rPr>
                <w:rFonts w:ascii="Times New Roman" w:hAnsi="Times New Roman" w:eastAsia="仿宋" w:cs="Times New Roman"/>
                <w:color w:val="auto"/>
                <w:w w:val="90"/>
                <w:sz w:val="21"/>
                <w:szCs w:val="21"/>
                <w:highlight w:val="none"/>
              </w:rPr>
              <w:t>。</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2</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由两名及以上编制人员作为环评文件编制主持人。</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2</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编制单位在国家信用平台提交的</w:t>
            </w:r>
            <w:r>
              <w:rPr>
                <w:rFonts w:hint="eastAsia" w:ascii="Times New Roman" w:hAnsi="Times New Roman" w:eastAsia="仿宋" w:cs="Times New Roman"/>
                <w:color w:val="auto"/>
                <w:w w:val="90"/>
                <w:sz w:val="21"/>
                <w:szCs w:val="21"/>
                <w:highlight w:val="none"/>
                <w:lang w:eastAsia="zh-CN"/>
              </w:rPr>
              <w:t>环评文件</w:t>
            </w:r>
            <w:r>
              <w:rPr>
                <w:rFonts w:ascii="Times New Roman" w:hAnsi="Times New Roman" w:eastAsia="仿宋" w:cs="Times New Roman"/>
                <w:color w:val="auto"/>
                <w:w w:val="90"/>
                <w:sz w:val="21"/>
                <w:szCs w:val="21"/>
                <w:highlight w:val="none"/>
              </w:rPr>
              <w:t>基本情况信息不真实、不准确、不完整。</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2</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编制单位在国家信用平台未及时变更本单位相关情况信息，或者提交的本单位及其编制人员的信息不真实、不准确、不完整。</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2</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编制单位的编制主持人未按规定进行环境影响评价质量控制。</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2</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相关人员未在《编制单位和编制人员情况表》中签字。</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2</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环评文件存在下列严重质量问题之一：</w:t>
            </w:r>
          </w:p>
          <w:p>
            <w:pPr>
              <w:spacing w:line="320" w:lineRule="exact"/>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 xml:space="preserve">    （一）建设项目概况中的建设地点、主体工程及其生产工艺，或者改扩建和技术改造项目的现有工程基本情况、污染物排放及达标情况等描述不全或者错误；</w:t>
            </w:r>
          </w:p>
          <w:p>
            <w:pPr>
              <w:spacing w:line="320" w:lineRule="exact"/>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 xml:space="preserve">    （二）遗漏自然保护区、饮用水水源保护区或者以居住、医疗卫生、文化教育为主要功能的区域等环境保护目标；</w:t>
            </w:r>
          </w:p>
          <w:p>
            <w:pPr>
              <w:spacing w:line="320" w:lineRule="exact"/>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 xml:space="preserve">    （三）未开展环境影响评价范围内的相关环境要素现状调查与评价，或者编造相关内容、结果；</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（四）未开展相关环境要素或者环境风险预测与评价，或者编造相关内容、结果；</w:t>
            </w:r>
          </w:p>
          <w:p>
            <w:pPr>
              <w:spacing w:line="320" w:lineRule="exact"/>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 xml:space="preserve">    （五）所提环境保护措施无法确保污染物排放达到国家和地方排放标准或者有效预防和控制生态破坏，未针对建设项目可能产生的或者原有环境污染和生态破坏提出有效防治措施；</w:t>
            </w:r>
          </w:p>
          <w:p>
            <w:pPr>
              <w:spacing w:line="320" w:lineRule="exact"/>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 xml:space="preserve">    （六）建设项目所在区域环境质量未达到国家或者地方环境质量标准，所提环境保护措施不能满足区域环境质量改善目标管理相关要求；</w:t>
            </w:r>
          </w:p>
          <w:p>
            <w:pPr>
              <w:spacing w:line="320" w:lineRule="exact"/>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 xml:space="preserve">    （七）建设项目类型及其选址、布局、规模等不符合环境保护法律法规和相关法定规划，但给出环境影响可行结论；</w:t>
            </w:r>
          </w:p>
          <w:p>
            <w:pPr>
              <w:numPr>
                <w:ilvl w:val="255"/>
                <w:numId w:val="0"/>
              </w:num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（八）其他基础资料明显不实，内容有重大缺陷、遗漏、虚假，或者环境影响评价结论不正确、不合理。</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10</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环评文件</w:t>
            </w:r>
            <w:r>
              <w:rPr>
                <w:rFonts w:hint="eastAsia" w:ascii="Times New Roman" w:hAnsi="Times New Roman" w:eastAsia="仿宋" w:cs="Times New Roman"/>
                <w:color w:val="auto"/>
                <w:w w:val="90"/>
                <w:sz w:val="21"/>
                <w:szCs w:val="21"/>
                <w:highlight w:val="none"/>
              </w:rPr>
              <w:t>评价结论总体可信，但</w:t>
            </w:r>
            <w:r>
              <w:rPr>
                <w:rFonts w:ascii="Times New Roman" w:hAnsi="Times New Roman" w:eastAsia="仿宋" w:cs="Times New Roman"/>
                <w:color w:val="auto"/>
                <w:w w:val="90"/>
                <w:sz w:val="21"/>
                <w:szCs w:val="21"/>
                <w:highlight w:val="none"/>
              </w:rPr>
              <w:t>不符合有关环境影响评价法律法规、标准和技术规范等规定、存在下列质量问题之一：</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（一）评价因子中遗漏建设项目相关行业污染源源强核算或者污染物排放标准规定的相关污染物；</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（二）降低环境影响评价工作等级，降低环境影响评价标准，或者缩小环境影响评价范围；</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（三）建设项目概况描述不全或者错误；</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（四）环境影响因素分析不全或者错误；</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（五）污染源源强核算内容不全，核算方法或者结果错误；</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（六）环境质量现状数据来源、监测因子、监测频次或者布点等不符合相关规定，或者所引用数据无效；</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（七）遗漏环境保护目标，或者环境保护目标与建设项目位置关系描述不明确或者错误；</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（八）环境影响评价范围内的相关环境要素现状调查与评价、区域污染源调查内容不全或者结果错误；</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（九）环境影响预测与评价方法或者结果错误，或者相关环境要素、环境风险预测与评价内容不全；</w:t>
            </w:r>
          </w:p>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（十）未按相关规定提出环境保护措施，所提环境保护措施或者其可行性论证不符合相关规定。</w:t>
            </w:r>
          </w:p>
        </w:tc>
        <w:tc>
          <w:tcPr>
            <w:tcW w:w="1194" w:type="dxa"/>
            <w:vAlign w:val="center"/>
          </w:tcPr>
          <w:p>
            <w:pPr>
              <w:spacing w:line="320" w:lineRule="exact"/>
              <w:jc w:val="center"/>
              <w:rPr>
                <w:rFonts w:hint="eastAsia" w:ascii="仿宋" w:hAnsi="仿宋" w:eastAsia="仿宋" w:cs="仿宋"/>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5</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（已按第</w:t>
            </w:r>
            <w:r>
              <w:rPr>
                <w:rFonts w:hint="eastAsia" w:ascii="Times New Roman" w:hAnsi="Times New Roman" w:eastAsia="仿宋" w:cs="Times New Roman"/>
                <w:color w:val="auto"/>
                <w:w w:val="90"/>
                <w:sz w:val="21"/>
                <w:szCs w:val="21"/>
                <w:highlight w:val="none"/>
                <w:lang w:eastAsia="zh-CN"/>
              </w:rPr>
              <w:t>1</w:t>
            </w:r>
            <w:r>
              <w:rPr>
                <w:rFonts w:hint="eastAsia" w:ascii="Times New Roman" w:hAnsi="Times New Roman" w:eastAsia="仿宋" w:cs="Times New Roman"/>
                <w:color w:val="auto"/>
                <w:w w:val="90"/>
                <w:sz w:val="21"/>
                <w:szCs w:val="21"/>
                <w:highlight w:val="none"/>
                <w:lang w:val="en-US" w:eastAsia="zh-CN"/>
              </w:rPr>
              <w:t>9</w:t>
            </w:r>
            <w:r>
              <w:rPr>
                <w:rFonts w:hint="eastAsia" w:ascii="Times New Roman" w:hAnsi="Times New Roman" w:eastAsia="仿宋" w:cs="Times New Roman"/>
                <w:color w:val="auto"/>
                <w:w w:val="90"/>
                <w:sz w:val="21"/>
                <w:szCs w:val="21"/>
                <w:highlight w:val="none"/>
              </w:rPr>
              <w:t>条扣分的，本条不再扣</w:t>
            </w:r>
            <w:r>
              <w:rPr>
                <w:rFonts w:hint="eastAsia" w:ascii="Times New Roman" w:hAnsi="Times New Roman" w:eastAsia="仿宋" w:cs="Times New Roman"/>
                <w:color w:val="auto"/>
                <w:w w:val="90"/>
                <w:sz w:val="21"/>
                <w:szCs w:val="21"/>
                <w:highlight w:val="none"/>
                <w:lang w:eastAsia="zh-CN"/>
              </w:rPr>
              <w:t>分</w:t>
            </w:r>
            <w:r>
              <w:rPr>
                <w:rFonts w:hint="eastAsia" w:ascii="Times New Roman" w:hAnsi="Times New Roman" w:eastAsia="仿宋" w:cs="Times New Roman"/>
                <w:color w:val="auto"/>
                <w:w w:val="90"/>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58" w:type="dxa"/>
            <w:vAlign w:val="center"/>
          </w:tcPr>
          <w:p>
            <w:pPr>
              <w:numPr>
                <w:ilvl w:val="0"/>
                <w:numId w:val="2"/>
              </w:numPr>
              <w:spacing w:line="320" w:lineRule="exact"/>
              <w:jc w:val="center"/>
              <w:rPr>
                <w:rFonts w:ascii="Times New Roman" w:hAnsi="Times New Roman" w:eastAsia="仿宋" w:cs="Times New Roman"/>
                <w:color w:val="auto"/>
                <w:w w:val="90"/>
                <w:sz w:val="21"/>
                <w:szCs w:val="21"/>
                <w:highlight w:val="none"/>
              </w:rPr>
            </w:pPr>
          </w:p>
        </w:tc>
        <w:tc>
          <w:tcPr>
            <w:tcW w:w="6842" w:type="dxa"/>
            <w:vAlign w:val="center"/>
          </w:tcPr>
          <w:p>
            <w:pPr>
              <w:spacing w:line="320" w:lineRule="exact"/>
              <w:ind w:firstLine="378" w:firstLineChars="200"/>
              <w:rPr>
                <w:rFonts w:ascii="Times New Roman" w:hAnsi="Times New Roman" w:eastAsia="仿宋" w:cs="Times New Roman"/>
                <w:color w:val="auto"/>
                <w:w w:val="90"/>
                <w:sz w:val="21"/>
                <w:szCs w:val="21"/>
                <w:highlight w:val="none"/>
              </w:rPr>
            </w:pPr>
            <w:r>
              <w:rPr>
                <w:rFonts w:ascii="Times New Roman" w:hAnsi="Times New Roman" w:eastAsia="仿宋" w:cs="Times New Roman"/>
                <w:color w:val="auto"/>
                <w:w w:val="90"/>
                <w:sz w:val="21"/>
                <w:szCs w:val="21"/>
                <w:highlight w:val="none"/>
              </w:rPr>
              <w:t>存在弄虚作假行为。</w:t>
            </w:r>
          </w:p>
        </w:tc>
        <w:tc>
          <w:tcPr>
            <w:tcW w:w="1194" w:type="dxa"/>
            <w:vAlign w:val="center"/>
          </w:tcPr>
          <w:p>
            <w:pPr>
              <w:spacing w:line="320" w:lineRule="exact"/>
              <w:jc w:val="center"/>
              <w:rPr>
                <w:rFonts w:ascii="Times New Roman" w:hAnsi="Times New Roman" w:eastAsia="仿宋" w:cs="Times New Roman"/>
                <w:color w:val="auto"/>
                <w:w w:val="90"/>
                <w:sz w:val="21"/>
                <w:szCs w:val="21"/>
                <w:highlight w:val="none"/>
              </w:rPr>
            </w:pPr>
            <w:r>
              <w:rPr>
                <w:rFonts w:hint="eastAsia" w:ascii="Times New Roman" w:hAnsi="Times New Roman" w:eastAsia="仿宋" w:cs="Times New Roman"/>
                <w:color w:val="auto"/>
                <w:w w:val="90"/>
                <w:sz w:val="21"/>
                <w:szCs w:val="21"/>
                <w:highlight w:val="none"/>
              </w:rPr>
              <w:t>扣</w:t>
            </w:r>
            <w:r>
              <w:rPr>
                <w:rFonts w:ascii="Times New Roman" w:hAnsi="Times New Roman" w:eastAsia="仿宋" w:cs="Times New Roman"/>
                <w:color w:val="auto"/>
                <w:w w:val="90"/>
                <w:sz w:val="21"/>
                <w:szCs w:val="21"/>
                <w:highlight w:val="none"/>
              </w:rPr>
              <w:t>10</w:t>
            </w:r>
            <w:r>
              <w:rPr>
                <w:rFonts w:hint="eastAsia" w:ascii="Times New Roman" w:hAnsi="Times New Roman" w:eastAsia="仿宋" w:cs="Times New Roman"/>
                <w:color w:val="auto"/>
                <w:w w:val="90"/>
                <w:sz w:val="21"/>
                <w:szCs w:val="21"/>
                <w:highlight w:val="none"/>
              </w:rPr>
              <w:t>分</w:t>
            </w:r>
            <w:r>
              <w:rPr>
                <w:rFonts w:hint="eastAsia" w:ascii="仿宋" w:hAnsi="仿宋" w:eastAsia="仿宋" w:cs="仿宋"/>
                <w:color w:val="auto"/>
                <w:w w:val="90"/>
                <w:sz w:val="21"/>
                <w:szCs w:val="21"/>
                <w:highlight w:val="none"/>
              </w:rPr>
              <w:t>□</w:t>
            </w:r>
          </w:p>
        </w:tc>
      </w:tr>
    </w:tbl>
    <w:p>
      <w:pPr>
        <w:rPr>
          <w:color w:val="auto"/>
          <w:highlight w:val="none"/>
        </w:rPr>
      </w:pPr>
    </w:p>
    <w:p>
      <w:pPr>
        <w:spacing w:line="360" w:lineRule="exact"/>
        <w:ind w:firstLine="420" w:firstLineChars="200"/>
        <w:rPr>
          <w:rFonts w:ascii="Times New Roman" w:hAnsi="Times New Roman" w:eastAsia="仿宋" w:cs="Times New Roman"/>
          <w:color w:val="auto"/>
          <w:sz w:val="21"/>
          <w:szCs w:val="21"/>
          <w:highlight w:val="none"/>
        </w:rPr>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firstLine="360"/>
      <w:jc w:val="right"/>
      <w:rPr>
        <w:rStyle w:val="8"/>
        <w:rFonts w:ascii="仿宋_GB2312" w:eastAsia="仿宋_GB2312"/>
      </w:rPr>
    </w:pPr>
    <w:r>
      <w:rPr>
        <w:rFonts w:ascii="仿宋_GB2312" w:eastAsia="仿宋_GB2312"/>
        <w:sz w:val="28"/>
      </w:rPr>
      <w:t xml:space="preserve">— </w:t>
    </w:r>
    <w:r>
      <w:rPr>
        <w:rFonts w:ascii="Times New Roman" w:hAnsi="Times New Roman" w:eastAsia="仿宋_GB2312"/>
        <w:sz w:val="28"/>
      </w:rPr>
      <w:fldChar w:fldCharType="begin"/>
    </w:r>
    <w:r>
      <w:rPr>
        <w:rFonts w:ascii="Times New Roman" w:hAnsi="Times New Roman" w:eastAsia="仿宋_GB2312"/>
        <w:sz w:val="28"/>
      </w:rPr>
      <w:instrText xml:space="preserve"> PAGE  \* MERGEFORMAT </w:instrText>
    </w:r>
    <w:r>
      <w:rPr>
        <w:rFonts w:ascii="Times New Roman" w:hAnsi="Times New Roman" w:eastAsia="仿宋_GB2312"/>
        <w:sz w:val="28"/>
      </w:rPr>
      <w:fldChar w:fldCharType="separate"/>
    </w:r>
    <w:r>
      <w:rPr>
        <w:rFonts w:ascii="Times New Roman" w:hAnsi="Times New Roman" w:eastAsia="仿宋_GB2312"/>
        <w:sz w:val="28"/>
      </w:rPr>
      <w:t>17</w:t>
    </w:r>
    <w:r>
      <w:rPr>
        <w:rFonts w:ascii="Times New Roman" w:hAnsi="Times New Roman" w:eastAsia="仿宋_GB2312"/>
        <w:sz w:val="28"/>
      </w:rPr>
      <w:fldChar w:fldCharType="end"/>
    </w:r>
    <w:r>
      <w:rPr>
        <w:rStyle w:val="8"/>
        <w:rFonts w:ascii="仿宋_GB2312" w:eastAsia="仿宋_GB2312"/>
      </w:rPr>
      <w:t xml:space="preserve"> </w:t>
    </w:r>
    <w:r>
      <w:rPr>
        <w:rFonts w:ascii="仿宋_GB2312" w:eastAsia="仿宋_GB2312"/>
        <w:sz w:val="28"/>
      </w:rPr>
      <w:t>—</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78956EA"/>
    <w:multiLevelType w:val="singleLevel"/>
    <w:tmpl w:val="B78956EA"/>
    <w:lvl w:ilvl="0" w:tentative="0">
      <w:start w:val="1"/>
      <w:numFmt w:val="decimal"/>
      <w:lvlText w:val="%1"/>
      <w:lvlJc w:val="left"/>
      <w:pPr>
        <w:tabs>
          <w:tab w:val="left" w:pos="420"/>
        </w:tabs>
        <w:ind w:left="425" w:hanging="425"/>
      </w:pPr>
      <w:rPr>
        <w:rFonts w:hint="default"/>
      </w:rPr>
    </w:lvl>
  </w:abstractNum>
  <w:abstractNum w:abstractNumId="1">
    <w:nsid w:val="53A7BAC0"/>
    <w:multiLevelType w:val="singleLevel"/>
    <w:tmpl w:val="53A7BAC0"/>
    <w:lvl w:ilvl="0" w:tentative="0">
      <w:start w:val="1"/>
      <w:numFmt w:val="decimal"/>
      <w:lvlText w:val="%1"/>
      <w:lvlJc w:val="left"/>
      <w:pPr>
        <w:tabs>
          <w:tab w:val="left" w:pos="420"/>
        </w:tabs>
        <w:ind w:left="425" w:hanging="425"/>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2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172A27"/>
    <w:rsid w:val="00211E45"/>
    <w:rsid w:val="002870D6"/>
    <w:rsid w:val="00291BC6"/>
    <w:rsid w:val="0042082E"/>
    <w:rsid w:val="00474E0A"/>
    <w:rsid w:val="00622B2D"/>
    <w:rsid w:val="006E3161"/>
    <w:rsid w:val="00714243"/>
    <w:rsid w:val="008C0A09"/>
    <w:rsid w:val="00A93F82"/>
    <w:rsid w:val="00B91C13"/>
    <w:rsid w:val="00D106FE"/>
    <w:rsid w:val="00D51588"/>
    <w:rsid w:val="00D91BDA"/>
    <w:rsid w:val="00F35444"/>
    <w:rsid w:val="02922E4F"/>
    <w:rsid w:val="0361587D"/>
    <w:rsid w:val="040F2877"/>
    <w:rsid w:val="042F2836"/>
    <w:rsid w:val="04C93087"/>
    <w:rsid w:val="04F07BEA"/>
    <w:rsid w:val="07EB42E8"/>
    <w:rsid w:val="08A7134D"/>
    <w:rsid w:val="08E342FC"/>
    <w:rsid w:val="099F717C"/>
    <w:rsid w:val="0A462D49"/>
    <w:rsid w:val="0AFF42D2"/>
    <w:rsid w:val="0B2B5BA8"/>
    <w:rsid w:val="0BA235A7"/>
    <w:rsid w:val="0BC54D09"/>
    <w:rsid w:val="0EEE14CA"/>
    <w:rsid w:val="0FE87356"/>
    <w:rsid w:val="1014664C"/>
    <w:rsid w:val="10A62DDB"/>
    <w:rsid w:val="11563E57"/>
    <w:rsid w:val="1255241A"/>
    <w:rsid w:val="12E0660C"/>
    <w:rsid w:val="13162486"/>
    <w:rsid w:val="133F0092"/>
    <w:rsid w:val="15DB4E96"/>
    <w:rsid w:val="16F805B1"/>
    <w:rsid w:val="16FA20F5"/>
    <w:rsid w:val="174A351D"/>
    <w:rsid w:val="194D65DA"/>
    <w:rsid w:val="1A164078"/>
    <w:rsid w:val="1A753F96"/>
    <w:rsid w:val="1BB27C02"/>
    <w:rsid w:val="1BDE6FA4"/>
    <w:rsid w:val="1C956088"/>
    <w:rsid w:val="1CEF6B85"/>
    <w:rsid w:val="1D080797"/>
    <w:rsid w:val="1DBB2772"/>
    <w:rsid w:val="1DE04454"/>
    <w:rsid w:val="1EA84486"/>
    <w:rsid w:val="204C5A30"/>
    <w:rsid w:val="20B204B2"/>
    <w:rsid w:val="20F13996"/>
    <w:rsid w:val="212D44FC"/>
    <w:rsid w:val="21D32C4A"/>
    <w:rsid w:val="220E56F3"/>
    <w:rsid w:val="227C6935"/>
    <w:rsid w:val="22B441B1"/>
    <w:rsid w:val="22E61817"/>
    <w:rsid w:val="23454A00"/>
    <w:rsid w:val="23B217EE"/>
    <w:rsid w:val="240F0BB1"/>
    <w:rsid w:val="241047E5"/>
    <w:rsid w:val="25057273"/>
    <w:rsid w:val="2588327D"/>
    <w:rsid w:val="25AA599C"/>
    <w:rsid w:val="260F5580"/>
    <w:rsid w:val="26111833"/>
    <w:rsid w:val="26E211F0"/>
    <w:rsid w:val="271C4367"/>
    <w:rsid w:val="28340E18"/>
    <w:rsid w:val="287B1D86"/>
    <w:rsid w:val="297835BB"/>
    <w:rsid w:val="29C93B6F"/>
    <w:rsid w:val="2A3A0F13"/>
    <w:rsid w:val="2A653E56"/>
    <w:rsid w:val="2A733A4D"/>
    <w:rsid w:val="2A8216E8"/>
    <w:rsid w:val="2D446C38"/>
    <w:rsid w:val="2DC95785"/>
    <w:rsid w:val="2E314DA6"/>
    <w:rsid w:val="2F487FA7"/>
    <w:rsid w:val="30665761"/>
    <w:rsid w:val="307B0AD8"/>
    <w:rsid w:val="30B512A1"/>
    <w:rsid w:val="30D75F52"/>
    <w:rsid w:val="31F51335"/>
    <w:rsid w:val="32C04BF3"/>
    <w:rsid w:val="339E1CE2"/>
    <w:rsid w:val="33B66FC6"/>
    <w:rsid w:val="33FB0DD3"/>
    <w:rsid w:val="3434279E"/>
    <w:rsid w:val="34C74F73"/>
    <w:rsid w:val="361813A9"/>
    <w:rsid w:val="363235E6"/>
    <w:rsid w:val="36E44346"/>
    <w:rsid w:val="370A75A9"/>
    <w:rsid w:val="37490EC3"/>
    <w:rsid w:val="385B06FD"/>
    <w:rsid w:val="38D73B5B"/>
    <w:rsid w:val="3A6E09A6"/>
    <w:rsid w:val="3BB27757"/>
    <w:rsid w:val="3CAF20D4"/>
    <w:rsid w:val="3D260922"/>
    <w:rsid w:val="3EC801CF"/>
    <w:rsid w:val="3F487697"/>
    <w:rsid w:val="410F4749"/>
    <w:rsid w:val="41A9455D"/>
    <w:rsid w:val="4215118C"/>
    <w:rsid w:val="441466A5"/>
    <w:rsid w:val="442B6A0B"/>
    <w:rsid w:val="45135B18"/>
    <w:rsid w:val="455B4403"/>
    <w:rsid w:val="45856405"/>
    <w:rsid w:val="46382C90"/>
    <w:rsid w:val="466C71DC"/>
    <w:rsid w:val="47343077"/>
    <w:rsid w:val="48194D4C"/>
    <w:rsid w:val="48DA08A3"/>
    <w:rsid w:val="49112AC0"/>
    <w:rsid w:val="496E319D"/>
    <w:rsid w:val="4990698C"/>
    <w:rsid w:val="49A615C4"/>
    <w:rsid w:val="49CC6A7A"/>
    <w:rsid w:val="4B27158D"/>
    <w:rsid w:val="4CA8008A"/>
    <w:rsid w:val="4CF45E5C"/>
    <w:rsid w:val="4D4F0A5A"/>
    <w:rsid w:val="4E4623D2"/>
    <w:rsid w:val="4FBE76CF"/>
    <w:rsid w:val="4FFE5818"/>
    <w:rsid w:val="500D3DB6"/>
    <w:rsid w:val="505E434A"/>
    <w:rsid w:val="50A15C09"/>
    <w:rsid w:val="51250552"/>
    <w:rsid w:val="520755B7"/>
    <w:rsid w:val="520C36EE"/>
    <w:rsid w:val="53BA19CF"/>
    <w:rsid w:val="54B2378D"/>
    <w:rsid w:val="553501B6"/>
    <w:rsid w:val="57FD5139"/>
    <w:rsid w:val="583B603F"/>
    <w:rsid w:val="591732B8"/>
    <w:rsid w:val="59BC0BB8"/>
    <w:rsid w:val="5B451856"/>
    <w:rsid w:val="5BA24E8A"/>
    <w:rsid w:val="5BF6242F"/>
    <w:rsid w:val="5DB47EB2"/>
    <w:rsid w:val="60A44B7E"/>
    <w:rsid w:val="60CF7A1D"/>
    <w:rsid w:val="631706FE"/>
    <w:rsid w:val="65754240"/>
    <w:rsid w:val="664571D6"/>
    <w:rsid w:val="66B315B2"/>
    <w:rsid w:val="66B7752C"/>
    <w:rsid w:val="687C6F76"/>
    <w:rsid w:val="6BBC077B"/>
    <w:rsid w:val="6BDA2E92"/>
    <w:rsid w:val="6BDC4BB2"/>
    <w:rsid w:val="6C4A07A9"/>
    <w:rsid w:val="6CD0452D"/>
    <w:rsid w:val="6D5A7410"/>
    <w:rsid w:val="6E895F25"/>
    <w:rsid w:val="6EC76D63"/>
    <w:rsid w:val="6F407E46"/>
    <w:rsid w:val="724F7FA2"/>
    <w:rsid w:val="72A520DB"/>
    <w:rsid w:val="74382274"/>
    <w:rsid w:val="744434E3"/>
    <w:rsid w:val="745632C8"/>
    <w:rsid w:val="748E7451"/>
    <w:rsid w:val="753D7E41"/>
    <w:rsid w:val="76F45E62"/>
    <w:rsid w:val="775D3C5A"/>
    <w:rsid w:val="78F362C0"/>
    <w:rsid w:val="790E4AF7"/>
    <w:rsid w:val="79126C26"/>
    <w:rsid w:val="79D05F58"/>
    <w:rsid w:val="79E449EC"/>
    <w:rsid w:val="7A1D171F"/>
    <w:rsid w:val="7A4F2CFA"/>
    <w:rsid w:val="7AA46931"/>
    <w:rsid w:val="7AAD38AF"/>
    <w:rsid w:val="7AC577BE"/>
    <w:rsid w:val="7B470AB7"/>
    <w:rsid w:val="7B975021"/>
    <w:rsid w:val="7C60215B"/>
    <w:rsid w:val="7C756137"/>
    <w:rsid w:val="7C977428"/>
    <w:rsid w:val="7D1C4382"/>
    <w:rsid w:val="7D3810C2"/>
    <w:rsid w:val="7D3B13B7"/>
    <w:rsid w:val="7DB60D0F"/>
    <w:rsid w:val="7E9A0B14"/>
    <w:rsid w:val="7F2E7C25"/>
    <w:rsid w:val="7F6620DE"/>
    <w:rsid w:val="7FC936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仿宋" w:hAnsi="仿宋" w:eastAsia="仿宋"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cs="仿宋" w:asciiTheme="minorHAnsi" w:hAnsiTheme="minorHAnsi" w:eastAsiaTheme="minorEastAsia"/>
      <w:kern w:val="2"/>
      <w:sz w:val="32"/>
      <w:szCs w:val="32"/>
      <w:lang w:val="en-US" w:eastAsia="zh-CN" w:bidi="ar-SA"/>
    </w:rPr>
  </w:style>
  <w:style w:type="character" w:default="1" w:styleId="7">
    <w:name w:val="Default Paragraph Font"/>
    <w:semiHidden/>
    <w:unhideWhenUsed/>
    <w:qFormat/>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2">
    <w:name w:val="annotation subject"/>
    <w:basedOn w:val="3"/>
    <w:next w:val="3"/>
    <w:link w:val="14"/>
    <w:qFormat/>
    <w:uiPriority w:val="0"/>
    <w:rPr>
      <w:b/>
      <w:bCs/>
    </w:rPr>
  </w:style>
  <w:style w:type="paragraph" w:styleId="3">
    <w:name w:val="annotation text"/>
    <w:basedOn w:val="1"/>
    <w:link w:val="13"/>
    <w:qFormat/>
    <w:uiPriority w:val="0"/>
    <w:pPr>
      <w:jc w:val="left"/>
    </w:pPr>
  </w:style>
  <w:style w:type="paragraph" w:styleId="4">
    <w:name w:val="Balloon Text"/>
    <w:basedOn w:val="1"/>
    <w:link w:val="12"/>
    <w:qFormat/>
    <w:uiPriority w:val="0"/>
    <w:rPr>
      <w:sz w:val="18"/>
      <w:szCs w:val="18"/>
    </w:rPr>
  </w:style>
  <w:style w:type="paragraph" w:styleId="5">
    <w:name w:val="footer"/>
    <w:basedOn w:val="1"/>
    <w:unhideWhenUsed/>
    <w:qFormat/>
    <w:uiPriority w:val="0"/>
    <w:pPr>
      <w:widowControl/>
      <w:tabs>
        <w:tab w:val="center" w:pos="4153"/>
        <w:tab w:val="right" w:pos="8306"/>
      </w:tabs>
      <w:snapToGrid w:val="0"/>
      <w:spacing w:line="240" w:lineRule="atLeast"/>
      <w:jc w:val="left"/>
    </w:pPr>
    <w:rPr>
      <w:rFonts w:ascii="仿宋" w:hAnsi="仿宋" w:eastAsia="仿宋" w:cstheme="minorBidi"/>
      <w:sz w:val="18"/>
      <w:szCs w:val="18"/>
    </w:rPr>
  </w:style>
  <w:style w:type="paragraph" w:styleId="6">
    <w:name w:val="Normal (Web)"/>
    <w:basedOn w:val="1"/>
    <w:qFormat/>
    <w:uiPriority w:val="0"/>
    <w:rPr>
      <w:sz w:val="24"/>
    </w:rPr>
  </w:style>
  <w:style w:type="character" w:styleId="8">
    <w:name w:val="page number"/>
    <w:qFormat/>
    <w:uiPriority w:val="0"/>
    <w:rPr>
      <w:rFonts w:ascii="Times New Roman" w:hAnsi="Times New Roman" w:cs="Times New Roman"/>
      <w:sz w:val="28"/>
    </w:rPr>
  </w:style>
  <w:style w:type="character" w:styleId="9">
    <w:name w:val="annotation reference"/>
    <w:basedOn w:val="7"/>
    <w:qFormat/>
    <w:uiPriority w:val="0"/>
    <w:rPr>
      <w:sz w:val="21"/>
      <w:szCs w:val="21"/>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2">
    <w:name w:val="批注框文本 字符"/>
    <w:basedOn w:val="7"/>
    <w:link w:val="4"/>
    <w:qFormat/>
    <w:uiPriority w:val="0"/>
    <w:rPr>
      <w:rFonts w:cs="仿宋" w:asciiTheme="minorHAnsi" w:hAnsiTheme="minorHAnsi" w:eastAsiaTheme="minorEastAsia"/>
      <w:kern w:val="2"/>
      <w:sz w:val="18"/>
      <w:szCs w:val="18"/>
    </w:rPr>
  </w:style>
  <w:style w:type="character" w:customStyle="1" w:styleId="13">
    <w:name w:val="批注文字 字符"/>
    <w:basedOn w:val="7"/>
    <w:link w:val="3"/>
    <w:qFormat/>
    <w:uiPriority w:val="0"/>
    <w:rPr>
      <w:rFonts w:cs="仿宋" w:asciiTheme="minorHAnsi" w:hAnsiTheme="minorHAnsi" w:eastAsiaTheme="minorEastAsia"/>
      <w:kern w:val="2"/>
      <w:sz w:val="32"/>
      <w:szCs w:val="32"/>
    </w:rPr>
  </w:style>
  <w:style w:type="character" w:customStyle="1" w:styleId="14">
    <w:name w:val="批注主题 字符"/>
    <w:basedOn w:val="13"/>
    <w:link w:val="2"/>
    <w:qFormat/>
    <w:uiPriority w:val="0"/>
    <w:rPr>
      <w:rFonts w:cs="仿宋" w:asciiTheme="minorHAnsi" w:hAnsiTheme="minorHAnsi" w:eastAsiaTheme="minorEastAsia"/>
      <w:b/>
      <w:bCs/>
      <w:kern w:val="2"/>
      <w:sz w:val="32"/>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D5C80BC-7EAD-4923-8C34-DA844BC3E1E8}">
  <ds:schemaRefs/>
</ds:datastoreItem>
</file>

<file path=docProps/app.xml><?xml version="1.0" encoding="utf-8"?>
<Properties xmlns="http://schemas.openxmlformats.org/officeDocument/2006/extended-properties" xmlns:vt="http://schemas.openxmlformats.org/officeDocument/2006/docPropsVTypes">
  <Template>Normal</Template>
  <Company>Kingsoft</Company>
  <Pages>10</Pages>
  <Words>876</Words>
  <Characters>4998</Characters>
  <Lines>41</Lines>
  <Paragraphs>11</Paragraphs>
  <TotalTime>18</TotalTime>
  <ScaleCrop>false</ScaleCrop>
  <LinksUpToDate>false</LinksUpToDate>
  <CharactersWithSpaces>5863</CharactersWithSpaces>
  <Application>WPS Office_10.8.2.6613_F1E327BC-269C-435d-A152-05C5408002CA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刘冰燕</dc:creator>
  <cp:lastModifiedBy>xiayeling</cp:lastModifiedBy>
  <cp:lastPrinted>2020-03-13T07:58:00Z</cp:lastPrinted>
  <dcterms:modified xsi:type="dcterms:W3CDTF">2020-04-02T01:51:09Z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2052-10.8.2.6613</vt:lpwstr>
  </property>
</Properties>
</file>