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黑体" w:cs="Times New Roman"/>
          <w:sz w:val="44"/>
          <w:szCs w:val="44"/>
        </w:rPr>
      </w:pPr>
      <w:bookmarkStart w:id="0" w:name="_Hlk42781586"/>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ascii="Times New Roman" w:hAnsi="Times New Roman" w:eastAsia="黑体" w:cs="Times New Roman"/>
          <w:sz w:val="44"/>
          <w:szCs w:val="44"/>
        </w:rPr>
      </w:pP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ascii="Times New Roman" w:hAnsi="Times New Roman" w:eastAsia="黑体" w:cs="Times New Roman"/>
          <w:sz w:val="44"/>
          <w:szCs w:val="44"/>
        </w:rPr>
      </w:pP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ascii="Times New Roman" w:hAnsi="Times New Roman" w:eastAsia="黑体" w:cs="Times New Roman"/>
          <w:sz w:val="44"/>
          <w:szCs w:val="44"/>
        </w:rPr>
      </w:pP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ascii="Times New Roman" w:hAnsi="Times New Roman" w:eastAsia="黑体" w:cs="Times New Roman"/>
          <w:sz w:val="44"/>
          <w:szCs w:val="44"/>
        </w:rPr>
      </w:pP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ascii="Times New Roman" w:hAnsi="Times New Roman" w:eastAsia="黑体" w:cs="Times New Roman"/>
          <w:sz w:val="44"/>
          <w:szCs w:val="44"/>
        </w:rPr>
      </w:pP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黑体" w:cs="Times New Roman"/>
          <w:sz w:val="44"/>
          <w:szCs w:val="44"/>
        </w:rPr>
      </w:pPr>
      <w:r>
        <w:rPr>
          <w:rFonts w:hint="eastAsia" w:ascii="Times New Roman" w:hAnsi="Times New Roman" w:eastAsia="黑体" w:cs="Times New Roman"/>
          <w:sz w:val="44"/>
          <w:szCs w:val="44"/>
        </w:rPr>
        <w:t>广西建设用地土壤污染风险管控和修复相关活动技术审查要点</w:t>
      </w:r>
    </w:p>
    <w:bookmarkEnd w:id="0"/>
    <w:p>
      <w:pPr>
        <w:keepNext w:val="0"/>
        <w:keepLines w:val="0"/>
        <w:pageBreakBefore w:val="0"/>
        <w:widowControl w:val="0"/>
        <w:kinsoku/>
        <w:wordWrap/>
        <w:overflowPunct/>
        <w:topLinePunct w:val="0"/>
        <w:autoSpaceDE/>
        <w:autoSpaceDN/>
        <w:bidi w:val="0"/>
        <w:adjustRightInd/>
        <w:snapToGrid/>
        <w:spacing w:line="360" w:lineRule="auto"/>
        <w:ind w:firstLine="560"/>
        <w:jc w:val="center"/>
        <w:textAlignment w:val="auto"/>
        <w:rPr>
          <w:rFonts w:cs="Times New Roman"/>
          <w:szCs w:val="36"/>
          <w:highlight w:val="none"/>
        </w:rPr>
      </w:pPr>
      <w:r>
        <w:rPr>
          <w:rFonts w:hint="eastAsia" w:cs="Times New Roman"/>
          <w:szCs w:val="36"/>
          <w:highlight w:val="none"/>
        </w:rPr>
        <w:t>（</w:t>
      </w:r>
      <w:r>
        <w:rPr>
          <w:rFonts w:hint="eastAsia" w:cs="Times New Roman"/>
          <w:szCs w:val="36"/>
          <w:highlight w:val="none"/>
          <w:lang w:val="en-US" w:eastAsia="zh-CN"/>
        </w:rPr>
        <w:t>征求意见</w:t>
      </w:r>
      <w:r>
        <w:rPr>
          <w:rFonts w:hint="eastAsia" w:cs="Times New Roman"/>
          <w:szCs w:val="36"/>
          <w:highlight w:val="none"/>
        </w:rPr>
        <w:t>稿）</w:t>
      </w:r>
    </w:p>
    <w:p>
      <w:pPr>
        <w:ind w:firstLine="560"/>
        <w:jc w:val="center"/>
        <w:rPr>
          <w:rFonts w:cs="Times New Roman"/>
          <w:szCs w:val="36"/>
          <w:highlight w:val="none"/>
        </w:rPr>
      </w:pPr>
    </w:p>
    <w:p>
      <w:pPr>
        <w:ind w:firstLine="560"/>
        <w:jc w:val="center"/>
        <w:rPr>
          <w:rFonts w:cs="Times New Roman"/>
          <w:szCs w:val="36"/>
          <w:highlight w:val="none"/>
        </w:rPr>
      </w:pPr>
    </w:p>
    <w:p>
      <w:pPr>
        <w:ind w:firstLine="560"/>
        <w:jc w:val="center"/>
        <w:rPr>
          <w:rFonts w:cs="Times New Roman"/>
          <w:szCs w:val="36"/>
          <w:highlight w:val="none"/>
        </w:rPr>
      </w:pPr>
    </w:p>
    <w:p>
      <w:pPr>
        <w:ind w:firstLine="560"/>
        <w:jc w:val="center"/>
        <w:rPr>
          <w:rFonts w:cs="Times New Roman"/>
          <w:szCs w:val="36"/>
          <w:highlight w:val="none"/>
        </w:rPr>
      </w:pPr>
    </w:p>
    <w:p>
      <w:pPr>
        <w:ind w:firstLine="560"/>
        <w:jc w:val="center"/>
        <w:rPr>
          <w:rFonts w:cs="Times New Roman"/>
          <w:szCs w:val="36"/>
          <w:highlight w:val="none"/>
        </w:rPr>
      </w:pPr>
    </w:p>
    <w:p>
      <w:pPr>
        <w:ind w:firstLine="560"/>
        <w:jc w:val="center"/>
        <w:rPr>
          <w:rFonts w:cs="Times New Roman"/>
          <w:szCs w:val="36"/>
          <w:highlight w:val="none"/>
        </w:rPr>
      </w:pPr>
    </w:p>
    <w:p>
      <w:pPr>
        <w:ind w:firstLine="560"/>
        <w:jc w:val="center"/>
        <w:rPr>
          <w:rFonts w:cs="Times New Roman"/>
          <w:szCs w:val="36"/>
          <w:highlight w:val="none"/>
        </w:rPr>
      </w:pPr>
    </w:p>
    <w:p>
      <w:pPr>
        <w:ind w:firstLine="560"/>
        <w:jc w:val="center"/>
        <w:rPr>
          <w:rFonts w:cs="Times New Roman"/>
          <w:szCs w:val="36"/>
          <w:highlight w:val="none"/>
        </w:rPr>
      </w:pPr>
    </w:p>
    <w:p>
      <w:pPr>
        <w:ind w:firstLine="720"/>
        <w:jc w:val="center"/>
        <w:rPr>
          <w:rFonts w:cs="Times New Roman"/>
          <w:sz w:val="36"/>
          <w:szCs w:val="40"/>
          <w:highlight w:val="none"/>
        </w:rPr>
      </w:pPr>
    </w:p>
    <w:tbl>
      <w:tblPr>
        <w:tblStyle w:val="14"/>
        <w:tblW w:w="8755" w:type="dxa"/>
        <w:tblInd w:w="0" w:type="dxa"/>
        <w:tblLayout w:type="fixed"/>
        <w:tblCellMar>
          <w:top w:w="0" w:type="dxa"/>
          <w:left w:w="108" w:type="dxa"/>
          <w:bottom w:w="0" w:type="dxa"/>
          <w:right w:w="108" w:type="dxa"/>
        </w:tblCellMar>
      </w:tblPr>
      <w:tblGrid>
        <w:gridCol w:w="8755"/>
      </w:tblGrid>
      <w:tr>
        <w:tblPrEx>
          <w:tblCellMar>
            <w:top w:w="0" w:type="dxa"/>
            <w:left w:w="108" w:type="dxa"/>
            <w:bottom w:w="0" w:type="dxa"/>
            <w:right w:w="108" w:type="dxa"/>
          </w:tblCellMar>
        </w:tblPrEx>
        <w:tc>
          <w:tcPr>
            <w:tcW w:w="8755" w:type="dxa"/>
            <w:shd w:val="clear" w:color="auto" w:fill="auto"/>
          </w:tcPr>
          <w:p>
            <w:pPr>
              <w:ind w:firstLine="0" w:firstLineChars="0"/>
              <w:jc w:val="left"/>
              <w:rPr>
                <w:rFonts w:eastAsia="黑体" w:cs="Times New Roman"/>
                <w:color w:val="000000"/>
                <w:sz w:val="30"/>
                <w:szCs w:val="30"/>
                <w:highlight w:val="none"/>
              </w:rPr>
            </w:pPr>
            <w:r>
              <w:rPr>
                <w:rFonts w:eastAsia="黑体" w:cs="Times New Roman"/>
                <w:color w:val="000000"/>
                <w:sz w:val="30"/>
                <w:szCs w:val="30"/>
                <w:highlight w:val="none"/>
              </w:rPr>
              <w:t>委托单位：          广西壮族自治区生态环境厅</w:t>
            </w:r>
          </w:p>
        </w:tc>
      </w:tr>
      <w:tr>
        <w:tblPrEx>
          <w:tblCellMar>
            <w:top w:w="0" w:type="dxa"/>
            <w:left w:w="108" w:type="dxa"/>
            <w:bottom w:w="0" w:type="dxa"/>
            <w:right w:w="108" w:type="dxa"/>
          </w:tblCellMar>
        </w:tblPrEx>
        <w:tc>
          <w:tcPr>
            <w:tcW w:w="8755" w:type="dxa"/>
            <w:shd w:val="clear" w:color="auto" w:fill="auto"/>
          </w:tcPr>
          <w:p>
            <w:pPr>
              <w:ind w:firstLine="0" w:firstLineChars="0"/>
              <w:jc w:val="left"/>
              <w:rPr>
                <w:rFonts w:eastAsia="黑体" w:cs="Times New Roman"/>
                <w:color w:val="000000"/>
                <w:sz w:val="30"/>
                <w:szCs w:val="30"/>
                <w:highlight w:val="none"/>
              </w:rPr>
            </w:pPr>
            <w:r>
              <w:rPr>
                <w:rFonts w:eastAsia="黑体" w:cs="Times New Roman"/>
                <w:color w:val="000000"/>
                <w:sz w:val="30"/>
                <w:szCs w:val="30"/>
                <w:highlight w:val="none"/>
              </w:rPr>
              <w:t>编制单位：生态环境部土壤与农业农村生态环境监管技术中心</w:t>
            </w:r>
          </w:p>
          <w:p>
            <w:pPr>
              <w:ind w:firstLine="0" w:firstLineChars="0"/>
              <w:jc w:val="center"/>
              <w:rPr>
                <w:rFonts w:eastAsia="黑体" w:cs="Times New Roman"/>
                <w:color w:val="000000"/>
                <w:sz w:val="30"/>
                <w:szCs w:val="30"/>
                <w:highlight w:val="none"/>
              </w:rPr>
            </w:pPr>
            <w:r>
              <w:rPr>
                <w:rFonts w:eastAsia="黑体" w:cs="Times New Roman"/>
                <w:color w:val="000000"/>
                <w:sz w:val="30"/>
                <w:szCs w:val="30"/>
                <w:highlight w:val="none"/>
              </w:rPr>
              <w:t>广西壮族自治区环境保护科学研究院</w:t>
            </w:r>
          </w:p>
          <w:p>
            <w:pPr>
              <w:ind w:firstLine="3150" w:firstLineChars="1050"/>
              <w:jc w:val="left"/>
              <w:rPr>
                <w:rFonts w:eastAsia="黑体" w:cs="Times New Roman"/>
                <w:color w:val="000000"/>
                <w:sz w:val="30"/>
                <w:szCs w:val="30"/>
                <w:highlight w:val="none"/>
              </w:rPr>
            </w:pPr>
            <w:r>
              <w:rPr>
                <w:rFonts w:eastAsia="黑体" w:cs="Times New Roman"/>
                <w:color w:val="000000"/>
                <w:sz w:val="30"/>
                <w:szCs w:val="30"/>
                <w:highlight w:val="none"/>
              </w:rPr>
              <w:t>二O二O年</w:t>
            </w:r>
            <w:r>
              <w:rPr>
                <w:rFonts w:hint="eastAsia" w:eastAsia="黑体" w:cs="Times New Roman"/>
                <w:color w:val="000000"/>
                <w:sz w:val="30"/>
                <w:szCs w:val="30"/>
                <w:highlight w:val="none"/>
              </w:rPr>
              <w:t>十</w:t>
            </w:r>
            <w:r>
              <w:rPr>
                <w:rFonts w:hint="eastAsia" w:eastAsia="黑体" w:cs="Times New Roman"/>
                <w:color w:val="000000"/>
                <w:sz w:val="30"/>
                <w:szCs w:val="30"/>
                <w:highlight w:val="none"/>
                <w:lang w:val="en-US" w:eastAsia="zh-CN"/>
              </w:rPr>
              <w:t>二</w:t>
            </w:r>
            <w:r>
              <w:rPr>
                <w:rFonts w:eastAsia="黑体" w:cs="Times New Roman"/>
                <w:color w:val="000000"/>
                <w:sz w:val="30"/>
                <w:szCs w:val="30"/>
                <w:highlight w:val="none"/>
              </w:rPr>
              <w:t>月</w:t>
            </w:r>
          </w:p>
          <w:p>
            <w:pPr>
              <w:tabs>
                <w:tab w:val="left" w:pos="4965"/>
              </w:tabs>
              <w:ind w:firstLine="0" w:firstLineChars="0"/>
              <w:rPr>
                <w:rFonts w:eastAsia="黑体" w:cs="Times New Roman"/>
                <w:sz w:val="30"/>
                <w:szCs w:val="30"/>
                <w:highlight w:val="none"/>
              </w:rPr>
            </w:pPr>
            <w:r>
              <w:rPr>
                <w:rFonts w:eastAsia="黑体" w:cs="Times New Roman"/>
                <w:sz w:val="30"/>
                <w:szCs w:val="30"/>
                <w:highlight w:val="none"/>
              </w:rPr>
              <w:tab/>
            </w:r>
          </w:p>
        </w:tc>
      </w:tr>
    </w:tbl>
    <w:p>
      <w:pPr>
        <w:ind w:firstLine="640"/>
        <w:jc w:val="center"/>
        <w:rPr>
          <w:rFonts w:eastAsia="黑体" w:cs="Times New Roman"/>
          <w:color w:val="000000"/>
          <w:sz w:val="32"/>
          <w:szCs w:val="36"/>
          <w:highlight w:val="none"/>
        </w:rPr>
        <w:sectPr>
          <w:headerReference r:id="rId5" w:type="first"/>
          <w:footerReference r:id="rId8" w:type="first"/>
          <w:headerReference r:id="rId3" w:type="default"/>
          <w:footerReference r:id="rId6" w:type="default"/>
          <w:headerReference r:id="rId4" w:type="even"/>
          <w:footerReference r:id="rId7" w:type="even"/>
          <w:pgSz w:w="11906" w:h="16838"/>
          <w:pgMar w:top="1440" w:right="1803" w:bottom="1440" w:left="1803" w:header="851" w:footer="992" w:gutter="0"/>
          <w:cols w:space="425" w:num="1"/>
          <w:docGrid w:linePitch="435" w:charSpace="0"/>
        </w:sectPr>
      </w:pPr>
    </w:p>
    <w:p>
      <w:pPr>
        <w:pStyle w:val="2"/>
        <w:spacing w:beforeLines="0"/>
        <w:ind w:firstLine="0" w:firstLineChars="0"/>
        <w:rPr>
          <w:highlight w:val="none"/>
        </w:rPr>
      </w:pPr>
      <w:r>
        <w:rPr>
          <w:highlight w:val="none"/>
        </w:rPr>
        <w:t>总   论</w:t>
      </w:r>
    </w:p>
    <w:p>
      <w:pPr>
        <w:adjustRightInd w:val="0"/>
        <w:snapToGrid w:val="0"/>
        <w:ind w:firstLine="560"/>
        <w:rPr>
          <w:rFonts w:cs="Times New Roman"/>
          <w:szCs w:val="30"/>
          <w:highlight w:val="none"/>
        </w:rPr>
      </w:pPr>
      <w:r>
        <w:rPr>
          <w:rFonts w:cs="Times New Roman"/>
          <w:szCs w:val="30"/>
          <w:highlight w:val="none"/>
        </w:rPr>
        <w:t>依据《中华人民共和国土壤污染防治法》《污染地块土壤环境管理办法（试行）》</w:t>
      </w:r>
      <w:bookmarkStart w:id="1" w:name="_Hlk36820251"/>
      <w:r>
        <w:rPr>
          <w:rFonts w:cs="Times New Roman"/>
          <w:szCs w:val="30"/>
          <w:highlight w:val="none"/>
        </w:rPr>
        <w:t>和</w:t>
      </w:r>
      <w:bookmarkEnd w:id="1"/>
      <w:r>
        <w:rPr>
          <w:rFonts w:cs="Times New Roman"/>
          <w:szCs w:val="30"/>
          <w:highlight w:val="none"/>
        </w:rPr>
        <w:t>国家建设用地环境保护相关法律法规及技术规范，为进一步规范建设用地土壤</w:t>
      </w:r>
      <w:r>
        <w:rPr>
          <w:rFonts w:hint="eastAsia" w:cs="Times New Roman"/>
          <w:szCs w:val="30"/>
          <w:highlight w:val="none"/>
          <w:u w:val="single"/>
        </w:rPr>
        <w:t>风险管控和修复相关活动</w:t>
      </w:r>
      <w:r>
        <w:rPr>
          <w:rFonts w:cs="Times New Roman"/>
          <w:szCs w:val="30"/>
          <w:highlight w:val="none"/>
        </w:rPr>
        <w:t>的技术审查工作，确保审查工作的规范性、客观性和准确性，制定本技术审查要点（以下简称“审查要点”）。</w:t>
      </w:r>
    </w:p>
    <w:p>
      <w:pPr>
        <w:pStyle w:val="3"/>
        <w:rPr>
          <w:rFonts w:cs="Times New Roman"/>
          <w:highlight w:val="none"/>
        </w:rPr>
      </w:pPr>
      <w:r>
        <w:rPr>
          <w:rFonts w:cs="Times New Roman"/>
          <w:highlight w:val="none"/>
        </w:rPr>
        <w:t>一、适用范围</w:t>
      </w:r>
    </w:p>
    <w:p>
      <w:pPr>
        <w:adjustRightInd w:val="0"/>
        <w:snapToGrid w:val="0"/>
        <w:ind w:firstLine="560"/>
        <w:rPr>
          <w:rFonts w:cs="Times New Roman"/>
          <w:szCs w:val="30"/>
          <w:highlight w:val="none"/>
        </w:rPr>
      </w:pPr>
      <w:r>
        <w:rPr>
          <w:rFonts w:cs="Times New Roman"/>
          <w:szCs w:val="30"/>
          <w:highlight w:val="none"/>
        </w:rPr>
        <w:t>本审查要点规定了广西壮族自治区建设用地土壤污染状况调查报告、风险评估报告和修复（含风险管控）效果评估报告等的技术审查。</w:t>
      </w:r>
    </w:p>
    <w:p>
      <w:pPr>
        <w:snapToGrid w:val="0"/>
        <w:ind w:firstLine="560"/>
        <w:rPr>
          <w:rFonts w:cs="Times New Roman"/>
          <w:szCs w:val="30"/>
          <w:highlight w:val="none"/>
        </w:rPr>
      </w:pPr>
      <w:r>
        <w:rPr>
          <w:rFonts w:cs="Times New Roman"/>
          <w:szCs w:val="30"/>
          <w:highlight w:val="none"/>
        </w:rPr>
        <w:t>本审查要点供建设用地土壤污染风险管控和修复相关管理部门、报告评审专家</w:t>
      </w:r>
      <w:r>
        <w:rPr>
          <w:rFonts w:hint="eastAsia" w:cs="Times New Roman"/>
          <w:szCs w:val="30"/>
          <w:highlight w:val="none"/>
        </w:rPr>
        <w:t>、</w:t>
      </w:r>
      <w:r>
        <w:rPr>
          <w:rFonts w:hint="eastAsia" w:cs="Times New Roman"/>
          <w:szCs w:val="30"/>
          <w:highlight w:val="none"/>
          <w:lang w:eastAsia="zh-CN"/>
        </w:rPr>
        <w:t>报告</w:t>
      </w:r>
      <w:r>
        <w:rPr>
          <w:rFonts w:cs="Times New Roman"/>
          <w:szCs w:val="30"/>
          <w:highlight w:val="none"/>
        </w:rPr>
        <w:t>编制单位及</w:t>
      </w:r>
      <w:r>
        <w:rPr>
          <w:rFonts w:hint="eastAsia" w:cs="Times New Roman"/>
          <w:szCs w:val="30"/>
          <w:highlight w:val="none"/>
        </w:rPr>
        <w:t>相关人员使用。</w:t>
      </w:r>
    </w:p>
    <w:p>
      <w:pPr>
        <w:ind w:firstLine="560"/>
        <w:rPr>
          <w:rFonts w:cs="Times New Roman"/>
          <w:highlight w:val="none"/>
        </w:rPr>
      </w:pPr>
      <w:r>
        <w:rPr>
          <w:rFonts w:cs="Times New Roman"/>
          <w:highlight w:val="none"/>
        </w:rPr>
        <w:t>本审查要点不适用于含有放射性物质与致病性生物的建设用地土壤污染风险管控</w:t>
      </w:r>
      <w:bookmarkStart w:id="39" w:name="_GoBack"/>
      <w:bookmarkEnd w:id="39"/>
      <w:r>
        <w:rPr>
          <w:rFonts w:cs="Times New Roman"/>
          <w:highlight w:val="none"/>
        </w:rPr>
        <w:t>和修复相关报告的审查。</w:t>
      </w:r>
    </w:p>
    <w:p>
      <w:pPr>
        <w:ind w:firstLine="560"/>
        <w:rPr>
          <w:rFonts w:cs="Times New Roman"/>
          <w:highlight w:val="none"/>
        </w:rPr>
      </w:pPr>
      <w:r>
        <w:rPr>
          <w:rFonts w:cs="Times New Roman"/>
          <w:szCs w:val="30"/>
          <w:highlight w:val="none"/>
        </w:rPr>
        <w:t>广西壮族自治区建设用地风险管控和修复相关活动，应当依据国家</w:t>
      </w:r>
      <w:r>
        <w:rPr>
          <w:rFonts w:hint="eastAsia" w:cs="Times New Roman"/>
          <w:szCs w:val="30"/>
          <w:highlight w:val="none"/>
        </w:rPr>
        <w:t>及广西</w:t>
      </w:r>
      <w:r>
        <w:rPr>
          <w:rFonts w:cs="Times New Roman"/>
          <w:szCs w:val="30"/>
          <w:highlight w:val="none"/>
        </w:rPr>
        <w:t>建设用地土壤污染防治相关标准</w:t>
      </w:r>
      <w:r>
        <w:rPr>
          <w:rFonts w:hint="eastAsia" w:cs="Times New Roman"/>
          <w:szCs w:val="30"/>
          <w:highlight w:val="none"/>
        </w:rPr>
        <w:t>、技术指南、技术规范等</w:t>
      </w:r>
      <w:r>
        <w:rPr>
          <w:rFonts w:cs="Times New Roman"/>
          <w:szCs w:val="30"/>
          <w:highlight w:val="none"/>
        </w:rPr>
        <w:t>要求开展。</w:t>
      </w:r>
    </w:p>
    <w:p>
      <w:pPr>
        <w:pStyle w:val="3"/>
        <w:rPr>
          <w:rFonts w:cs="Times New Roman"/>
          <w:highlight w:val="none"/>
        </w:rPr>
      </w:pPr>
      <w:r>
        <w:rPr>
          <w:rFonts w:cs="Times New Roman"/>
          <w:highlight w:val="none"/>
        </w:rPr>
        <w:t>二、编制与参考依据</w:t>
      </w:r>
    </w:p>
    <w:p>
      <w:pPr>
        <w:ind w:firstLine="560"/>
        <w:rPr>
          <w:rFonts w:cs="Times New Roman"/>
          <w:highlight w:val="none"/>
        </w:rPr>
      </w:pPr>
      <w:r>
        <w:rPr>
          <w:rFonts w:cs="Times New Roman"/>
          <w:highlight w:val="none"/>
        </w:rPr>
        <w:t>本审查要点引用了下列文件中的条款。凡是不注明日期的引用文件，其有效版本适用于本审查要点。</w:t>
      </w:r>
      <w:r>
        <w:rPr>
          <w:rFonts w:hint="eastAsia" w:cs="Times New Roman"/>
          <w:highlight w:val="none"/>
        </w:rPr>
        <w:t>国家如发布新的指南、导则，则按照国家新发布的要求执行。</w:t>
      </w:r>
    </w:p>
    <w:p>
      <w:pPr>
        <w:ind w:firstLine="560"/>
        <w:rPr>
          <w:rFonts w:cs="Times New Roman"/>
          <w:highlight w:val="none"/>
        </w:rPr>
      </w:pPr>
      <w:r>
        <w:rPr>
          <w:rFonts w:cs="Times New Roman"/>
          <w:highlight w:val="none"/>
        </w:rPr>
        <w:t>（1）《中华人民共和国土壤污染防治法》</w:t>
      </w:r>
    </w:p>
    <w:p>
      <w:pPr>
        <w:ind w:firstLine="560"/>
        <w:rPr>
          <w:rFonts w:cs="Times New Roman"/>
          <w:highlight w:val="none"/>
        </w:rPr>
      </w:pPr>
      <w:r>
        <w:rPr>
          <w:rFonts w:cs="Times New Roman"/>
          <w:highlight w:val="none"/>
        </w:rPr>
        <w:t>（2）《污染地块土壤环境管理办法（试行）》（部令 第42号）</w:t>
      </w:r>
    </w:p>
    <w:p>
      <w:pPr>
        <w:ind w:firstLine="560"/>
        <w:rPr>
          <w:rFonts w:cs="Times New Roman"/>
          <w:highlight w:val="none"/>
        </w:rPr>
      </w:pPr>
      <w:r>
        <w:rPr>
          <w:rFonts w:cs="Times New Roman"/>
          <w:highlight w:val="none"/>
        </w:rPr>
        <w:t>（3）《广西壮族自治区土壤污染防治条例》</w:t>
      </w:r>
    </w:p>
    <w:p>
      <w:pPr>
        <w:ind w:firstLine="560"/>
        <w:rPr>
          <w:rFonts w:cs="Times New Roman"/>
          <w:highlight w:val="none"/>
        </w:rPr>
      </w:pPr>
      <w:r>
        <w:rPr>
          <w:rFonts w:cs="Times New Roman"/>
          <w:highlight w:val="none"/>
        </w:rPr>
        <w:t>（4）《建设用地土壤污染状况调查、风险评估、风险管控及修复效果评估报告评审指南》（环办土壤</w:t>
      </w:r>
      <w:r>
        <w:rPr>
          <w:rFonts w:hint="eastAsia" w:cs="Times New Roman"/>
          <w:highlight w:val="none"/>
        </w:rPr>
        <w:t>〔2019〕</w:t>
      </w:r>
      <w:r>
        <w:rPr>
          <w:rFonts w:cs="Times New Roman"/>
          <w:highlight w:val="none"/>
        </w:rPr>
        <w:t>63号）</w:t>
      </w:r>
    </w:p>
    <w:p>
      <w:pPr>
        <w:ind w:firstLine="560"/>
        <w:rPr>
          <w:rFonts w:cs="Times New Roman"/>
          <w:highlight w:val="none"/>
        </w:rPr>
      </w:pPr>
      <w:r>
        <w:rPr>
          <w:rFonts w:cs="Times New Roman"/>
          <w:highlight w:val="none"/>
        </w:rPr>
        <w:t>（5）《建设用地土壤环境调查评估技术指南》（环境保护部公告 2017年第</w:t>
      </w:r>
      <w:r>
        <w:rPr>
          <w:rFonts w:hint="eastAsia" w:cs="Times New Roman"/>
          <w:highlight w:val="none"/>
        </w:rPr>
        <w:t>7</w:t>
      </w:r>
      <w:r>
        <w:rPr>
          <w:rFonts w:cs="Times New Roman"/>
          <w:highlight w:val="none"/>
        </w:rPr>
        <w:t>2号）</w:t>
      </w:r>
    </w:p>
    <w:p>
      <w:pPr>
        <w:ind w:firstLine="560"/>
        <w:rPr>
          <w:rFonts w:cs="Times New Roman"/>
          <w:highlight w:val="none"/>
        </w:rPr>
      </w:pPr>
      <w:r>
        <w:rPr>
          <w:rFonts w:cs="Times New Roman"/>
          <w:highlight w:val="none"/>
        </w:rPr>
        <w:t>（6）《工业企业场地环境调查评估与修复工作指南（试行）》（环境保护部公告 2014年 第78号）</w:t>
      </w:r>
    </w:p>
    <w:p>
      <w:pPr>
        <w:ind w:firstLine="560"/>
        <w:rPr>
          <w:rFonts w:cs="Times New Roman"/>
          <w:highlight w:val="none"/>
        </w:rPr>
      </w:pPr>
      <w:r>
        <w:rPr>
          <w:rFonts w:cs="Times New Roman"/>
          <w:highlight w:val="none"/>
        </w:rPr>
        <w:t>（7）《建设用地土壤污染状况调查技术导则》(HJ 25.1)</w:t>
      </w:r>
    </w:p>
    <w:p>
      <w:pPr>
        <w:ind w:firstLine="560"/>
        <w:rPr>
          <w:rFonts w:cs="Times New Roman"/>
          <w:highlight w:val="none"/>
        </w:rPr>
      </w:pPr>
      <w:r>
        <w:rPr>
          <w:rFonts w:cs="Times New Roman"/>
          <w:highlight w:val="none"/>
        </w:rPr>
        <w:t>（8）《建设用地土壤污染风险管控和修复监测技术导则》（HJ 25.2）</w:t>
      </w:r>
    </w:p>
    <w:p>
      <w:pPr>
        <w:ind w:firstLine="560"/>
        <w:rPr>
          <w:rFonts w:cs="Times New Roman"/>
          <w:highlight w:val="none"/>
        </w:rPr>
      </w:pPr>
      <w:r>
        <w:rPr>
          <w:rFonts w:cs="Times New Roman"/>
          <w:highlight w:val="none"/>
        </w:rPr>
        <w:t>（9）《建设用地土壤污染风险评估技术导则》（HJ 25.3）</w:t>
      </w:r>
    </w:p>
    <w:p>
      <w:pPr>
        <w:ind w:firstLine="560"/>
        <w:rPr>
          <w:rFonts w:cs="Times New Roman"/>
          <w:highlight w:val="none"/>
        </w:rPr>
      </w:pPr>
      <w:r>
        <w:rPr>
          <w:rFonts w:cs="Times New Roman"/>
          <w:highlight w:val="none"/>
        </w:rPr>
        <w:t>（10）《建设用地土壤修复技术导则》（HJ 25.4）</w:t>
      </w:r>
    </w:p>
    <w:p>
      <w:pPr>
        <w:ind w:firstLine="560"/>
        <w:rPr>
          <w:rFonts w:cs="Times New Roman"/>
          <w:highlight w:val="none"/>
        </w:rPr>
      </w:pPr>
      <w:r>
        <w:rPr>
          <w:rFonts w:cs="Times New Roman"/>
          <w:highlight w:val="none"/>
        </w:rPr>
        <w:t>（11）《污染地块风险管控与土壤修复效果评估技术导则（试行）》（HJ 25.5）</w:t>
      </w:r>
    </w:p>
    <w:p>
      <w:pPr>
        <w:ind w:firstLine="560"/>
        <w:rPr>
          <w:rFonts w:cs="Times New Roman"/>
          <w:highlight w:val="none"/>
        </w:rPr>
      </w:pPr>
      <w:r>
        <w:rPr>
          <w:rFonts w:cs="Times New Roman"/>
          <w:highlight w:val="none"/>
        </w:rPr>
        <w:t>（12）《污染地块地下水修复和风险管控技术导则》（HJ 25.6）</w:t>
      </w:r>
    </w:p>
    <w:p>
      <w:pPr>
        <w:ind w:firstLine="560"/>
        <w:rPr>
          <w:rFonts w:cs="Times New Roman"/>
          <w:highlight w:val="none"/>
        </w:rPr>
      </w:pPr>
      <w:r>
        <w:rPr>
          <w:rFonts w:cs="Times New Roman"/>
          <w:highlight w:val="none"/>
        </w:rPr>
        <w:t>（13）《地下水环境状况调查评价工作指南》（环办土壤函</w:t>
      </w:r>
      <w:r>
        <w:rPr>
          <w:rFonts w:hint="eastAsia" w:cs="Times New Roman"/>
          <w:highlight w:val="none"/>
        </w:rPr>
        <w:t>〔2019〕</w:t>
      </w:r>
      <w:r>
        <w:rPr>
          <w:rFonts w:cs="Times New Roman"/>
          <w:highlight w:val="none"/>
        </w:rPr>
        <w:t>770号）</w:t>
      </w:r>
    </w:p>
    <w:p>
      <w:pPr>
        <w:ind w:firstLine="560"/>
        <w:rPr>
          <w:rFonts w:cs="Times New Roman"/>
          <w:highlight w:val="none"/>
        </w:rPr>
      </w:pPr>
      <w:r>
        <w:rPr>
          <w:rFonts w:cs="Times New Roman"/>
          <w:highlight w:val="none"/>
        </w:rPr>
        <w:t>（14）《地下水</w:t>
      </w:r>
      <w:r>
        <w:rPr>
          <w:rFonts w:hint="eastAsia" w:cs="Times New Roman"/>
          <w:highlight w:val="none"/>
        </w:rPr>
        <w:t>污染健康风险评估</w:t>
      </w:r>
      <w:r>
        <w:rPr>
          <w:rFonts w:cs="Times New Roman"/>
          <w:highlight w:val="none"/>
        </w:rPr>
        <w:t>工作指南》（环办土壤函</w:t>
      </w:r>
      <w:r>
        <w:rPr>
          <w:rFonts w:hint="eastAsia" w:cs="Times New Roman"/>
          <w:highlight w:val="none"/>
        </w:rPr>
        <w:t>〔2019〕</w:t>
      </w:r>
      <w:r>
        <w:rPr>
          <w:rFonts w:cs="Times New Roman"/>
          <w:highlight w:val="none"/>
        </w:rPr>
        <w:t>770号）</w:t>
      </w:r>
    </w:p>
    <w:p>
      <w:pPr>
        <w:keepNext w:val="0"/>
        <w:keepLines w:val="0"/>
        <w:pageBreakBefore w:val="0"/>
        <w:widowControl w:val="0"/>
        <w:kinsoku/>
        <w:wordWrap/>
        <w:overflowPunct/>
        <w:topLinePunct w:val="0"/>
        <w:autoSpaceDE/>
        <w:autoSpaceDN/>
        <w:bidi w:val="0"/>
        <w:adjustRightInd/>
        <w:snapToGrid/>
        <w:textAlignment w:val="auto"/>
        <w:rPr>
          <w:rFonts w:cs="Times New Roman"/>
          <w:highlight w:val="none"/>
        </w:rPr>
      </w:pPr>
      <w:r>
        <w:rPr>
          <w:rFonts w:cs="Times New Roman"/>
          <w:highlight w:val="none"/>
        </w:rPr>
        <w:t>（15）《土壤环境质量 建设用地土壤污染风险管控标准（试行）》（GB36600）</w:t>
      </w:r>
    </w:p>
    <w:p>
      <w:pPr>
        <w:ind w:left="560" w:leftChars="200" w:firstLine="0" w:firstLineChars="0"/>
        <w:rPr>
          <w:rFonts w:cs="Times New Roman"/>
          <w:highlight w:val="none"/>
        </w:rPr>
      </w:pPr>
      <w:r>
        <w:rPr>
          <w:rFonts w:cs="Times New Roman"/>
          <w:highlight w:val="none"/>
        </w:rPr>
        <w:t>（16）《地下水质量标准》（GB/T 14848）</w:t>
      </w:r>
    </w:p>
    <w:p>
      <w:pPr>
        <w:ind w:firstLine="560"/>
        <w:rPr>
          <w:rFonts w:cs="Times New Roman"/>
          <w:highlight w:val="none"/>
        </w:rPr>
      </w:pPr>
      <w:r>
        <w:rPr>
          <w:rFonts w:cs="Times New Roman"/>
          <w:highlight w:val="none"/>
        </w:rPr>
        <w:t>（17）《生活饮用水卫生标准》（GB 5749）</w:t>
      </w:r>
    </w:p>
    <w:p>
      <w:pPr>
        <w:ind w:firstLine="560"/>
        <w:rPr>
          <w:rFonts w:cs="Times New Roman"/>
          <w:highlight w:val="none"/>
        </w:rPr>
      </w:pPr>
      <w:r>
        <w:rPr>
          <w:rFonts w:cs="Times New Roman"/>
          <w:highlight w:val="none"/>
        </w:rPr>
        <w:t>（18）《地表水环境质量标准》（GB 3838）</w:t>
      </w:r>
    </w:p>
    <w:p>
      <w:pPr>
        <w:ind w:firstLine="560"/>
        <w:rPr>
          <w:rFonts w:cs="Times New Roman"/>
          <w:highlight w:val="none"/>
        </w:rPr>
      </w:pPr>
      <w:r>
        <w:rPr>
          <w:rFonts w:cs="Times New Roman"/>
          <w:highlight w:val="none"/>
        </w:rPr>
        <w:t>（19）《土壤环境监测技术规范》（HJ/T 166）</w:t>
      </w:r>
    </w:p>
    <w:p>
      <w:pPr>
        <w:ind w:firstLine="560"/>
        <w:rPr>
          <w:rFonts w:cs="Times New Roman"/>
          <w:highlight w:val="none"/>
        </w:rPr>
      </w:pPr>
      <w:r>
        <w:rPr>
          <w:rFonts w:hint="eastAsia" w:cs="Times New Roman"/>
          <w:highlight w:val="none"/>
        </w:rPr>
        <w:t>（2</w:t>
      </w:r>
      <w:r>
        <w:rPr>
          <w:rFonts w:cs="Times New Roman"/>
          <w:highlight w:val="none"/>
        </w:rPr>
        <w:t>0</w:t>
      </w:r>
      <w:r>
        <w:rPr>
          <w:rFonts w:hint="eastAsia" w:cs="Times New Roman"/>
          <w:highlight w:val="none"/>
        </w:rPr>
        <w:t>）《污染场地岩土工程勘察标准》（H</w:t>
      </w:r>
      <w:r>
        <w:rPr>
          <w:rFonts w:cs="Times New Roman"/>
          <w:highlight w:val="none"/>
        </w:rPr>
        <w:t>G/T 20717</w:t>
      </w:r>
      <w:r>
        <w:rPr>
          <w:rFonts w:hint="eastAsia" w:cs="Times New Roman"/>
          <w:highlight w:val="none"/>
        </w:rPr>
        <w:t>）</w:t>
      </w:r>
    </w:p>
    <w:p>
      <w:pPr>
        <w:ind w:firstLine="560"/>
        <w:rPr>
          <w:rFonts w:cs="Times New Roman"/>
          <w:highlight w:val="none"/>
        </w:rPr>
      </w:pPr>
      <w:r>
        <w:rPr>
          <w:rFonts w:cs="Times New Roman"/>
          <w:highlight w:val="none"/>
        </w:rPr>
        <w:t>（21）《地下水环境监测技术规范》（HJ/T 164）</w:t>
      </w:r>
    </w:p>
    <w:p>
      <w:pPr>
        <w:ind w:firstLine="560"/>
        <w:rPr>
          <w:rFonts w:cs="Times New Roman"/>
          <w:highlight w:val="none"/>
        </w:rPr>
      </w:pPr>
      <w:r>
        <w:rPr>
          <w:rFonts w:cs="Times New Roman"/>
          <w:highlight w:val="none"/>
        </w:rPr>
        <w:t>（22）《地块土壤和地下水中挥发性有机物采样技术导则》（HJ1019）</w:t>
      </w:r>
    </w:p>
    <w:p>
      <w:pPr>
        <w:ind w:firstLine="560"/>
        <w:rPr>
          <w:rFonts w:cs="Times New Roman"/>
          <w:highlight w:val="none"/>
        </w:rPr>
      </w:pPr>
      <w:r>
        <w:rPr>
          <w:rFonts w:cs="Times New Roman"/>
          <w:highlight w:val="none"/>
        </w:rPr>
        <w:t>（23）《水质采样 样品的保存和管理技术规定》（HJ 493）</w:t>
      </w:r>
    </w:p>
    <w:p>
      <w:pPr>
        <w:ind w:firstLine="560"/>
        <w:rPr>
          <w:rFonts w:cs="Times New Roman"/>
          <w:highlight w:val="none"/>
        </w:rPr>
      </w:pPr>
      <w:r>
        <w:rPr>
          <w:rFonts w:cs="Times New Roman"/>
          <w:highlight w:val="none"/>
        </w:rPr>
        <w:t>（24）《地表水和污水监测技术规范》（HJ/T 91）</w:t>
      </w:r>
    </w:p>
    <w:p>
      <w:pPr>
        <w:ind w:firstLine="560"/>
        <w:rPr>
          <w:rFonts w:cs="Times New Roman"/>
          <w:highlight w:val="none"/>
        </w:rPr>
      </w:pPr>
      <w:r>
        <w:rPr>
          <w:rFonts w:cs="Times New Roman"/>
          <w:highlight w:val="none"/>
        </w:rPr>
        <w:t>（25）《土壤和沉积物 挥发性有机物的测定 吹扫捕集 气相色谱-质谱法》（HJ 605）</w:t>
      </w:r>
    </w:p>
    <w:p>
      <w:pPr>
        <w:ind w:firstLine="560"/>
        <w:rPr>
          <w:rFonts w:cs="Times New Roman"/>
          <w:highlight w:val="none"/>
        </w:rPr>
      </w:pPr>
      <w:r>
        <w:rPr>
          <w:rFonts w:hint="eastAsia" w:cs="Times New Roman"/>
          <w:highlight w:val="none"/>
        </w:rPr>
        <w:t>（</w:t>
      </w:r>
      <w:r>
        <w:rPr>
          <w:rFonts w:cs="Times New Roman"/>
          <w:highlight w:val="none"/>
        </w:rPr>
        <w:t>26</w:t>
      </w:r>
      <w:r>
        <w:rPr>
          <w:rFonts w:hint="eastAsia" w:cs="Times New Roman"/>
          <w:highlight w:val="none"/>
        </w:rPr>
        <w:t>）</w:t>
      </w:r>
      <w:r>
        <w:rPr>
          <w:rFonts w:cs="Times New Roman"/>
          <w:highlight w:val="none"/>
        </w:rPr>
        <w:t xml:space="preserve">《土壤和沉积物 </w:t>
      </w:r>
      <w:r>
        <w:rPr>
          <w:rFonts w:hint="eastAsia" w:cs="Times New Roman"/>
          <w:highlight w:val="none"/>
        </w:rPr>
        <w:t>半</w:t>
      </w:r>
      <w:r>
        <w:rPr>
          <w:rFonts w:cs="Times New Roman"/>
          <w:highlight w:val="none"/>
        </w:rPr>
        <w:t>挥发性有机物的测定</w:t>
      </w:r>
      <w:r>
        <w:rPr>
          <w:rFonts w:hint="eastAsia" w:cs="Times New Roman"/>
          <w:highlight w:val="none"/>
        </w:rPr>
        <w:t xml:space="preserve"> </w:t>
      </w:r>
      <w:r>
        <w:rPr>
          <w:rFonts w:cs="Times New Roman"/>
          <w:highlight w:val="none"/>
        </w:rPr>
        <w:t>气相色谱-质谱法》（HJ 834）</w:t>
      </w:r>
    </w:p>
    <w:p>
      <w:pPr>
        <w:ind w:firstLine="560"/>
        <w:rPr>
          <w:rFonts w:cs="Times New Roman"/>
          <w:highlight w:val="none"/>
        </w:rPr>
      </w:pPr>
      <w:r>
        <w:rPr>
          <w:rFonts w:hint="eastAsia" w:cs="Times New Roman"/>
          <w:highlight w:val="none"/>
        </w:rPr>
        <w:t>（2</w:t>
      </w:r>
      <w:r>
        <w:rPr>
          <w:rFonts w:cs="Times New Roman"/>
          <w:highlight w:val="none"/>
        </w:rPr>
        <w:t>7</w:t>
      </w:r>
      <w:r>
        <w:rPr>
          <w:rFonts w:hint="eastAsia" w:cs="Times New Roman"/>
          <w:highlight w:val="none"/>
        </w:rPr>
        <w:t>）《危险废物鉴别技术规范》（H</w:t>
      </w:r>
      <w:r>
        <w:rPr>
          <w:rFonts w:cs="Times New Roman"/>
          <w:highlight w:val="none"/>
        </w:rPr>
        <w:t>J</w:t>
      </w:r>
      <w:r>
        <w:rPr>
          <w:rFonts w:hint="eastAsia" w:cs="Times New Roman"/>
          <w:highlight w:val="none"/>
        </w:rPr>
        <w:t>/</w:t>
      </w:r>
      <w:r>
        <w:rPr>
          <w:rFonts w:cs="Times New Roman"/>
          <w:highlight w:val="none"/>
        </w:rPr>
        <w:t>T 298</w:t>
      </w:r>
      <w:r>
        <w:rPr>
          <w:rFonts w:hint="eastAsia" w:cs="Times New Roman"/>
          <w:highlight w:val="none"/>
        </w:rPr>
        <w:t>）</w:t>
      </w:r>
    </w:p>
    <w:p>
      <w:pPr>
        <w:ind w:firstLine="560"/>
        <w:rPr>
          <w:rFonts w:cs="Times New Roman"/>
          <w:highlight w:val="none"/>
        </w:rPr>
      </w:pPr>
      <w:r>
        <w:rPr>
          <w:rFonts w:hint="eastAsia" w:cs="Times New Roman"/>
          <w:highlight w:val="none"/>
        </w:rPr>
        <w:t>（2</w:t>
      </w:r>
      <w:r>
        <w:rPr>
          <w:rFonts w:cs="Times New Roman"/>
          <w:highlight w:val="none"/>
        </w:rPr>
        <w:t>8</w:t>
      </w:r>
      <w:r>
        <w:rPr>
          <w:rFonts w:hint="eastAsia" w:cs="Times New Roman"/>
          <w:highlight w:val="none"/>
        </w:rPr>
        <w:t>）《工业固体废物采样制样技术规范》（H</w:t>
      </w:r>
      <w:r>
        <w:rPr>
          <w:rFonts w:cs="Times New Roman"/>
          <w:highlight w:val="none"/>
        </w:rPr>
        <w:t>J</w:t>
      </w:r>
      <w:r>
        <w:rPr>
          <w:rFonts w:hint="eastAsia" w:cs="Times New Roman"/>
          <w:highlight w:val="none"/>
        </w:rPr>
        <w:t>/</w:t>
      </w:r>
      <w:r>
        <w:rPr>
          <w:rFonts w:cs="Times New Roman"/>
          <w:highlight w:val="none"/>
        </w:rPr>
        <w:t>T 20</w:t>
      </w:r>
      <w:r>
        <w:rPr>
          <w:rFonts w:hint="eastAsia" w:cs="Times New Roman"/>
          <w:highlight w:val="none"/>
        </w:rPr>
        <w:t>）</w:t>
      </w:r>
    </w:p>
    <w:p>
      <w:pPr>
        <w:ind w:firstLine="560"/>
        <w:rPr>
          <w:rFonts w:cs="Times New Roman"/>
          <w:highlight w:val="none"/>
        </w:rPr>
      </w:pPr>
      <w:r>
        <w:rPr>
          <w:rFonts w:hint="eastAsia" w:cs="Times New Roman"/>
          <w:highlight w:val="none"/>
        </w:rPr>
        <w:t>（</w:t>
      </w:r>
      <w:r>
        <w:rPr>
          <w:rFonts w:cs="Times New Roman"/>
          <w:highlight w:val="none"/>
        </w:rPr>
        <w:t>29</w:t>
      </w:r>
      <w:r>
        <w:rPr>
          <w:rFonts w:hint="eastAsia" w:cs="Times New Roman"/>
          <w:highlight w:val="none"/>
        </w:rPr>
        <w:t>）《固体废物鉴别标准通则》（G</w:t>
      </w:r>
      <w:r>
        <w:rPr>
          <w:rFonts w:cs="Times New Roman"/>
          <w:highlight w:val="none"/>
        </w:rPr>
        <w:t>B 34330</w:t>
      </w:r>
      <w:r>
        <w:rPr>
          <w:rFonts w:hint="eastAsia" w:cs="Times New Roman"/>
          <w:highlight w:val="none"/>
        </w:rPr>
        <w:t>）</w:t>
      </w:r>
    </w:p>
    <w:p>
      <w:pPr>
        <w:ind w:firstLine="560"/>
        <w:rPr>
          <w:rFonts w:hint="eastAsia" w:cs="Times New Roman"/>
          <w:highlight w:val="none"/>
        </w:rPr>
      </w:pPr>
      <w:r>
        <w:rPr>
          <w:rFonts w:hint="eastAsia" w:cs="Times New Roman"/>
          <w:highlight w:val="none"/>
        </w:rPr>
        <w:t>（3</w:t>
      </w:r>
      <w:r>
        <w:rPr>
          <w:rFonts w:cs="Times New Roman"/>
          <w:highlight w:val="none"/>
        </w:rPr>
        <w:t>0</w:t>
      </w:r>
      <w:r>
        <w:rPr>
          <w:rFonts w:hint="eastAsia" w:cs="Times New Roman"/>
          <w:highlight w:val="none"/>
        </w:rPr>
        <w:t>）《危险废物鉴别标准通则》（G</w:t>
      </w:r>
      <w:r>
        <w:rPr>
          <w:rFonts w:cs="Times New Roman"/>
          <w:highlight w:val="none"/>
        </w:rPr>
        <w:t>B 5085.7</w:t>
      </w:r>
      <w:r>
        <w:rPr>
          <w:rFonts w:hint="eastAsia" w:cs="Times New Roman"/>
          <w:highlight w:val="none"/>
        </w:rPr>
        <w:t>）</w:t>
      </w:r>
    </w:p>
    <w:p>
      <w:pPr>
        <w:pStyle w:val="3"/>
        <w:rPr>
          <w:rFonts w:cs="Times New Roman"/>
          <w:highlight w:val="none"/>
        </w:rPr>
      </w:pPr>
      <w:r>
        <w:rPr>
          <w:rFonts w:cs="Times New Roman"/>
          <w:highlight w:val="none"/>
        </w:rPr>
        <w:t>三、形式要求</w:t>
      </w:r>
    </w:p>
    <w:p>
      <w:pPr>
        <w:snapToGrid w:val="0"/>
        <w:ind w:firstLine="560"/>
        <w:rPr>
          <w:rFonts w:cs="Times New Roman"/>
          <w:szCs w:val="30"/>
          <w:highlight w:val="none"/>
        </w:rPr>
      </w:pPr>
      <w:bookmarkStart w:id="2" w:name="_Hlk39651224"/>
      <w:r>
        <w:rPr>
          <w:rFonts w:cs="Times New Roman"/>
          <w:szCs w:val="30"/>
          <w:highlight w:val="none"/>
        </w:rPr>
        <w:t>送审报告应加盖地块报告编制单位公章</w:t>
      </w:r>
      <w:r>
        <w:rPr>
          <w:rFonts w:hint="eastAsia" w:cs="Times New Roman"/>
          <w:szCs w:val="30"/>
          <w:highlight w:val="none"/>
        </w:rPr>
        <w:t>及</w:t>
      </w:r>
      <w:r>
        <w:rPr>
          <w:rFonts w:cs="Times New Roman"/>
          <w:szCs w:val="30"/>
          <w:highlight w:val="none"/>
        </w:rPr>
        <w:t>依法组织实施土壤污染风险管控和修复的土壤污染责任人</w:t>
      </w:r>
      <w:r>
        <w:rPr>
          <w:rFonts w:hint="eastAsia" w:cs="Times New Roman"/>
          <w:szCs w:val="30"/>
          <w:highlight w:val="none"/>
        </w:rPr>
        <w:t>、</w:t>
      </w:r>
      <w:r>
        <w:rPr>
          <w:rFonts w:cs="Times New Roman"/>
          <w:szCs w:val="30"/>
          <w:highlight w:val="none"/>
        </w:rPr>
        <w:t>土地使用权人</w:t>
      </w:r>
      <w:r>
        <w:rPr>
          <w:rFonts w:hint="eastAsia" w:cs="Times New Roman"/>
          <w:szCs w:val="30"/>
          <w:highlight w:val="none"/>
        </w:rPr>
        <w:t>、</w:t>
      </w:r>
      <w:r>
        <w:rPr>
          <w:rFonts w:cs="Times New Roman"/>
          <w:szCs w:val="30"/>
          <w:highlight w:val="none"/>
        </w:rPr>
        <w:t>地方人民政府</w:t>
      </w:r>
      <w:r>
        <w:rPr>
          <w:rFonts w:hint="eastAsia" w:cs="Times New Roman"/>
          <w:szCs w:val="30"/>
          <w:highlight w:val="none"/>
        </w:rPr>
        <w:t>，</w:t>
      </w:r>
      <w:r>
        <w:rPr>
          <w:rFonts w:cs="Times New Roman"/>
          <w:szCs w:val="30"/>
          <w:highlight w:val="none"/>
        </w:rPr>
        <w:t>以及有关部门和单位（以下简称“申请人”）</w:t>
      </w:r>
      <w:r>
        <w:rPr>
          <w:rFonts w:hint="eastAsia" w:cs="Times New Roman"/>
          <w:szCs w:val="30"/>
          <w:highlight w:val="none"/>
        </w:rPr>
        <w:t>公章</w:t>
      </w:r>
      <w:r>
        <w:rPr>
          <w:rFonts w:cs="Times New Roman"/>
          <w:szCs w:val="30"/>
          <w:highlight w:val="none"/>
        </w:rPr>
        <w:t>。</w:t>
      </w:r>
    </w:p>
    <w:bookmarkEnd w:id="2"/>
    <w:p>
      <w:pPr>
        <w:snapToGrid w:val="0"/>
        <w:ind w:firstLine="560"/>
        <w:rPr>
          <w:rFonts w:cs="Times New Roman"/>
          <w:szCs w:val="30"/>
          <w:highlight w:val="none"/>
        </w:rPr>
      </w:pPr>
      <w:r>
        <w:rPr>
          <w:rFonts w:cs="Times New Roman"/>
          <w:szCs w:val="30"/>
          <w:highlight w:val="none"/>
        </w:rPr>
        <w:t>送审报告应附具从业人员责任页，明确项目负责人，各分项工作承担人员；从业单位应建立内部审核制度，明确报告的审核、审定人员，明确上述人员的姓名、单位、联系方式并亲笔签字确认。</w:t>
      </w:r>
    </w:p>
    <w:p>
      <w:pPr>
        <w:snapToGrid w:val="0"/>
        <w:ind w:firstLine="560"/>
        <w:rPr>
          <w:rFonts w:cs="Times New Roman"/>
          <w:szCs w:val="30"/>
          <w:highlight w:val="none"/>
        </w:rPr>
      </w:pPr>
      <w:r>
        <w:rPr>
          <w:rFonts w:hint="eastAsia" w:cs="Times New Roman"/>
          <w:szCs w:val="30"/>
          <w:highlight w:val="none"/>
        </w:rPr>
        <w:t>送审报告中有关</w:t>
      </w:r>
      <w:r>
        <w:rPr>
          <w:rFonts w:cs="Times New Roman"/>
          <w:szCs w:val="30"/>
          <w:highlight w:val="none"/>
        </w:rPr>
        <w:t>地块</w:t>
      </w:r>
      <w:r>
        <w:rPr>
          <w:rFonts w:hint="eastAsia" w:cs="Times New Roman"/>
          <w:szCs w:val="30"/>
          <w:highlight w:val="none"/>
        </w:rPr>
        <w:t>边界、范围（含</w:t>
      </w:r>
      <w:r>
        <w:rPr>
          <w:rFonts w:cs="Times New Roman"/>
          <w:szCs w:val="30"/>
          <w:highlight w:val="none"/>
        </w:rPr>
        <w:t>土壤及地下水污染范围</w:t>
      </w:r>
      <w:r>
        <w:rPr>
          <w:rFonts w:hint="eastAsia" w:cs="Times New Roman"/>
          <w:szCs w:val="30"/>
          <w:highlight w:val="none"/>
        </w:rPr>
        <w:t>）等</w:t>
      </w:r>
      <w:r>
        <w:rPr>
          <w:rFonts w:cs="Times New Roman"/>
          <w:szCs w:val="30"/>
          <w:highlight w:val="none"/>
        </w:rPr>
        <w:t>矢量数据</w:t>
      </w:r>
      <w:r>
        <w:rPr>
          <w:rFonts w:hint="eastAsia" w:cs="Times New Roman"/>
          <w:szCs w:val="30"/>
          <w:highlight w:val="none"/>
        </w:rPr>
        <w:t>应采用</w:t>
      </w:r>
      <w:r>
        <w:rPr>
          <w:rFonts w:cs="Times New Roman"/>
          <w:szCs w:val="30"/>
          <w:highlight w:val="none"/>
        </w:rPr>
        <w:t>2000国家大地坐标系</w:t>
      </w:r>
      <w:r>
        <w:rPr>
          <w:rFonts w:hint="eastAsia" w:cs="Times New Roman"/>
          <w:szCs w:val="30"/>
          <w:highlight w:val="none"/>
        </w:rPr>
        <w:t>，并及时上传全国污染地块土壤环境管理信息系统。</w:t>
      </w:r>
    </w:p>
    <w:p>
      <w:pPr>
        <w:pStyle w:val="3"/>
        <w:rPr>
          <w:rFonts w:cs="Times New Roman"/>
          <w:highlight w:val="none"/>
        </w:rPr>
      </w:pPr>
      <w:r>
        <w:rPr>
          <w:rFonts w:cs="Times New Roman"/>
          <w:highlight w:val="none"/>
        </w:rPr>
        <w:t>四、报告编制大纲</w:t>
      </w:r>
    </w:p>
    <w:p>
      <w:pPr>
        <w:snapToGrid w:val="0"/>
        <w:ind w:firstLine="560"/>
        <w:rPr>
          <w:rFonts w:cs="Times New Roman"/>
          <w:szCs w:val="30"/>
          <w:highlight w:val="none"/>
        </w:rPr>
      </w:pPr>
      <w:r>
        <w:rPr>
          <w:rFonts w:cs="Times New Roman"/>
          <w:highlight w:val="none"/>
        </w:rPr>
        <w:t>建设用地土壤污染风险管控和修复相关</w:t>
      </w:r>
      <w:r>
        <w:rPr>
          <w:rFonts w:cs="Times New Roman"/>
          <w:szCs w:val="30"/>
          <w:highlight w:val="none"/>
        </w:rPr>
        <w:t>报告编制大纲参照附件1，包括土壤污染状况调查报告、风险评估报告和修复（含风险管控）效果评估报告的编制大纲。</w:t>
      </w:r>
    </w:p>
    <w:p>
      <w:pPr>
        <w:pStyle w:val="3"/>
        <w:rPr>
          <w:rFonts w:cs="Times New Roman"/>
          <w:highlight w:val="none"/>
        </w:rPr>
      </w:pPr>
      <w:r>
        <w:rPr>
          <w:rFonts w:cs="Times New Roman"/>
          <w:highlight w:val="none"/>
        </w:rPr>
        <w:t>五、报告审查评价表</w:t>
      </w:r>
    </w:p>
    <w:p>
      <w:pPr>
        <w:snapToGrid w:val="0"/>
        <w:ind w:firstLine="560"/>
        <w:rPr>
          <w:rFonts w:cs="Times New Roman"/>
          <w:szCs w:val="30"/>
          <w:highlight w:val="none"/>
        </w:rPr>
      </w:pPr>
      <w:r>
        <w:rPr>
          <w:rFonts w:cs="Times New Roman"/>
          <w:szCs w:val="30"/>
          <w:highlight w:val="none"/>
        </w:rPr>
        <w:t>土壤污染状况调查报告、风险评估报告和修复（含风险管控）效果评估报告审查评价表见附件2。</w:t>
      </w:r>
    </w:p>
    <w:p>
      <w:pPr>
        <w:snapToGrid w:val="0"/>
        <w:ind w:firstLine="560"/>
        <w:rPr>
          <w:rFonts w:cs="Times New Roman"/>
          <w:szCs w:val="30"/>
          <w:highlight w:val="none"/>
        </w:rPr>
      </w:pPr>
    </w:p>
    <w:p>
      <w:pPr>
        <w:snapToGrid w:val="0"/>
        <w:ind w:firstLine="560"/>
        <w:rPr>
          <w:rFonts w:cs="Times New Roman"/>
          <w:szCs w:val="30"/>
          <w:highlight w:val="none"/>
        </w:rPr>
      </w:pPr>
    </w:p>
    <w:p>
      <w:pPr>
        <w:snapToGrid w:val="0"/>
        <w:ind w:firstLine="198" w:firstLineChars="71"/>
        <w:rPr>
          <w:rFonts w:cs="Times New Roman"/>
          <w:szCs w:val="30"/>
          <w:highlight w:val="none"/>
        </w:rPr>
        <w:sectPr>
          <w:footerReference r:id="rId9" w:type="default"/>
          <w:pgSz w:w="11906" w:h="16838"/>
          <w:pgMar w:top="1797" w:right="1440" w:bottom="1797" w:left="1440" w:header="851" w:footer="992" w:gutter="0"/>
          <w:pgNumType w:start="1"/>
          <w:cols w:space="425" w:num="1"/>
          <w:docGrid w:linePitch="435" w:charSpace="0"/>
        </w:sectPr>
      </w:pPr>
    </w:p>
    <w:p>
      <w:pPr>
        <w:pStyle w:val="2"/>
        <w:spacing w:before="120"/>
        <w:ind w:firstLine="0" w:firstLineChars="0"/>
        <w:rPr>
          <w:highlight w:val="none"/>
        </w:rPr>
      </w:pPr>
      <w:bookmarkStart w:id="3" w:name="_Hlk38353841"/>
      <w:r>
        <w:rPr>
          <w:highlight w:val="none"/>
        </w:rPr>
        <w:t>第一章 建设用地土壤污染状况调查审查技术要点</w:t>
      </w:r>
    </w:p>
    <w:bookmarkEnd w:id="3"/>
    <w:p>
      <w:pPr>
        <w:pStyle w:val="3"/>
        <w:rPr>
          <w:rFonts w:cs="Times New Roman"/>
          <w:highlight w:val="none"/>
        </w:rPr>
      </w:pPr>
      <w:r>
        <w:rPr>
          <w:rFonts w:cs="Times New Roman"/>
          <w:highlight w:val="none"/>
        </w:rPr>
        <w:t>一、</w:t>
      </w:r>
      <w:r>
        <w:rPr>
          <w:rFonts w:hint="eastAsia" w:cs="Times New Roman"/>
          <w:highlight w:val="none"/>
        </w:rPr>
        <w:t>第一阶段土壤污染状况调查</w:t>
      </w:r>
    </w:p>
    <w:p>
      <w:pPr>
        <w:ind w:firstLine="562"/>
        <w:rPr>
          <w:rFonts w:cs="Times New Roman"/>
          <w:b/>
          <w:bCs/>
          <w:highlight w:val="none"/>
        </w:rPr>
      </w:pPr>
      <w:r>
        <w:rPr>
          <w:rFonts w:cs="Times New Roman"/>
          <w:b/>
          <w:bCs/>
          <w:highlight w:val="none"/>
        </w:rPr>
        <w:t xml:space="preserve">1、资料收集 </w:t>
      </w:r>
    </w:p>
    <w:p>
      <w:pPr>
        <w:ind w:firstLine="560"/>
        <w:rPr>
          <w:rFonts w:cs="Times New Roman"/>
          <w:highlight w:val="none"/>
        </w:rPr>
      </w:pPr>
      <w:r>
        <w:rPr>
          <w:rFonts w:cs="Times New Roman"/>
          <w:highlight w:val="none"/>
        </w:rPr>
        <w:t>收集、分析地块历史与现状基础资料，重点内容包括但不限于：</w:t>
      </w:r>
    </w:p>
    <w:p>
      <w:pPr>
        <w:ind w:firstLine="560"/>
        <w:rPr>
          <w:rFonts w:cs="Times New Roman"/>
          <w:highlight w:val="none"/>
        </w:rPr>
      </w:pPr>
      <w:r>
        <w:rPr>
          <w:rFonts w:cs="Times New Roman"/>
          <w:highlight w:val="none"/>
        </w:rPr>
        <w:t>（1）历史变迁资料；</w:t>
      </w:r>
    </w:p>
    <w:p>
      <w:pPr>
        <w:ind w:firstLine="560"/>
        <w:rPr>
          <w:rFonts w:cs="Times New Roman"/>
          <w:highlight w:val="none"/>
        </w:rPr>
      </w:pPr>
      <w:r>
        <w:rPr>
          <w:rFonts w:cs="Times New Roman"/>
          <w:highlight w:val="none"/>
        </w:rPr>
        <w:t>（2）土地使用</w:t>
      </w:r>
      <w:r>
        <w:rPr>
          <w:rFonts w:hint="eastAsia" w:cs="Times New Roman"/>
          <w:highlight w:val="none"/>
        </w:rPr>
        <w:t>历史、现状</w:t>
      </w:r>
      <w:r>
        <w:rPr>
          <w:rFonts w:cs="Times New Roman"/>
          <w:highlight w:val="none"/>
        </w:rPr>
        <w:t>和规划资料；</w:t>
      </w:r>
    </w:p>
    <w:p>
      <w:pPr>
        <w:ind w:firstLine="560"/>
        <w:rPr>
          <w:rFonts w:cs="Times New Roman"/>
          <w:highlight w:val="none"/>
        </w:rPr>
      </w:pPr>
      <w:r>
        <w:rPr>
          <w:rFonts w:cs="Times New Roman"/>
          <w:highlight w:val="none"/>
        </w:rPr>
        <w:t>（3）企业产品、原辅材料及中间体清单；</w:t>
      </w:r>
    </w:p>
    <w:p>
      <w:pPr>
        <w:ind w:firstLine="560"/>
        <w:rPr>
          <w:rFonts w:cs="Times New Roman"/>
          <w:highlight w:val="none"/>
        </w:rPr>
      </w:pPr>
      <w:r>
        <w:rPr>
          <w:rFonts w:cs="Times New Roman"/>
          <w:highlight w:val="none"/>
        </w:rPr>
        <w:t>（4）主要生产工艺流程及产排污环节；</w:t>
      </w:r>
    </w:p>
    <w:p>
      <w:pPr>
        <w:ind w:firstLine="560"/>
        <w:rPr>
          <w:rFonts w:cs="Times New Roman"/>
          <w:highlight w:val="none"/>
        </w:rPr>
      </w:pPr>
      <w:r>
        <w:rPr>
          <w:rFonts w:cs="Times New Roman"/>
          <w:highlight w:val="none"/>
        </w:rPr>
        <w:t>（5）化学品储存及使用清单、泄漏记录、废物管理记录；</w:t>
      </w:r>
    </w:p>
    <w:p>
      <w:pPr>
        <w:ind w:firstLine="560"/>
        <w:rPr>
          <w:rFonts w:cs="Times New Roman"/>
          <w:highlight w:val="none"/>
        </w:rPr>
      </w:pPr>
      <w:r>
        <w:rPr>
          <w:rFonts w:cs="Times New Roman"/>
          <w:highlight w:val="none"/>
        </w:rPr>
        <w:t>（6）历史上发生过倾倒、泄漏等污染事件信息；</w:t>
      </w:r>
    </w:p>
    <w:p>
      <w:pPr>
        <w:ind w:firstLine="560"/>
        <w:rPr>
          <w:rFonts w:cs="Times New Roman"/>
          <w:highlight w:val="none"/>
        </w:rPr>
      </w:pPr>
      <w:r>
        <w:rPr>
          <w:rFonts w:cs="Times New Roman"/>
          <w:highlight w:val="none"/>
        </w:rPr>
        <w:t>（7）平面布置图、地上及地下罐槽、管线图；</w:t>
      </w:r>
    </w:p>
    <w:p>
      <w:pPr>
        <w:ind w:firstLine="560"/>
        <w:rPr>
          <w:rFonts w:cs="Times New Roman"/>
          <w:highlight w:val="none"/>
        </w:rPr>
      </w:pPr>
      <w:r>
        <w:rPr>
          <w:rFonts w:cs="Times New Roman"/>
          <w:highlight w:val="none"/>
        </w:rPr>
        <w:t>（8）污染治理设施及污染物排放情况；</w:t>
      </w:r>
    </w:p>
    <w:p>
      <w:pPr>
        <w:ind w:firstLine="560"/>
        <w:rPr>
          <w:rFonts w:cs="Times New Roman"/>
          <w:highlight w:val="none"/>
        </w:rPr>
      </w:pPr>
      <w:r>
        <w:rPr>
          <w:rFonts w:cs="Times New Roman"/>
          <w:highlight w:val="none"/>
        </w:rPr>
        <w:t>（9）环境监测数据、环境影响评价报告书或表；</w:t>
      </w:r>
    </w:p>
    <w:p>
      <w:pPr>
        <w:ind w:firstLine="560"/>
        <w:rPr>
          <w:rFonts w:cs="Times New Roman"/>
          <w:highlight w:val="none"/>
        </w:rPr>
      </w:pPr>
      <w:r>
        <w:rPr>
          <w:rFonts w:cs="Times New Roman"/>
          <w:highlight w:val="none"/>
        </w:rPr>
        <w:t>（10）地块周边</w:t>
      </w:r>
      <w:r>
        <w:rPr>
          <w:rFonts w:hint="eastAsia" w:cs="Times New Roman"/>
          <w:highlight w:val="none"/>
        </w:rPr>
        <w:t>（1</w:t>
      </w:r>
      <w:r>
        <w:rPr>
          <w:rFonts w:cs="Times New Roman"/>
          <w:highlight w:val="none"/>
        </w:rPr>
        <w:t xml:space="preserve"> </w:t>
      </w:r>
      <w:r>
        <w:rPr>
          <w:rFonts w:hint="eastAsia" w:cs="Times New Roman"/>
          <w:highlight w:val="none"/>
        </w:rPr>
        <w:t>km范围内）</w:t>
      </w:r>
      <w:r>
        <w:rPr>
          <w:rFonts w:cs="Times New Roman"/>
          <w:highlight w:val="none"/>
        </w:rPr>
        <w:t>环境敏感目标及位置关系</w:t>
      </w:r>
      <w:r>
        <w:rPr>
          <w:rFonts w:hint="eastAsia" w:cs="Times New Roman"/>
          <w:highlight w:val="none"/>
        </w:rPr>
        <w:t>；</w:t>
      </w:r>
    </w:p>
    <w:p>
      <w:pPr>
        <w:ind w:firstLine="560"/>
        <w:rPr>
          <w:rFonts w:cs="Times New Roman"/>
          <w:highlight w:val="none"/>
        </w:rPr>
      </w:pPr>
      <w:r>
        <w:rPr>
          <w:rFonts w:hint="eastAsia" w:cs="Times New Roman"/>
          <w:highlight w:val="none"/>
        </w:rPr>
        <w:t>（11）地块周边（1</w:t>
      </w:r>
      <w:r>
        <w:rPr>
          <w:rFonts w:cs="Times New Roman"/>
          <w:highlight w:val="none"/>
        </w:rPr>
        <w:t xml:space="preserve"> </w:t>
      </w:r>
      <w:r>
        <w:rPr>
          <w:rFonts w:hint="eastAsia" w:cs="Times New Roman"/>
          <w:highlight w:val="none"/>
        </w:rPr>
        <w:t>km范围内）主要污染源及其主要污染物概况</w:t>
      </w:r>
      <w:r>
        <w:rPr>
          <w:rFonts w:cs="Times New Roman"/>
          <w:highlight w:val="none"/>
        </w:rPr>
        <w:t>。</w:t>
      </w:r>
    </w:p>
    <w:p>
      <w:pPr>
        <w:ind w:firstLine="562"/>
        <w:rPr>
          <w:rFonts w:cs="Times New Roman"/>
          <w:b/>
          <w:bCs/>
          <w:highlight w:val="none"/>
        </w:rPr>
      </w:pPr>
      <w:r>
        <w:rPr>
          <w:rFonts w:cs="Times New Roman"/>
          <w:b/>
          <w:bCs/>
          <w:highlight w:val="none"/>
        </w:rPr>
        <w:t>2、现场踏勘</w:t>
      </w:r>
    </w:p>
    <w:p>
      <w:pPr>
        <w:ind w:firstLine="560"/>
        <w:rPr>
          <w:rFonts w:cs="Times New Roman"/>
          <w:highlight w:val="none"/>
        </w:rPr>
      </w:pPr>
      <w:r>
        <w:rPr>
          <w:rFonts w:cs="Times New Roman"/>
          <w:highlight w:val="none"/>
        </w:rPr>
        <w:t xml:space="preserve">现场踏勘的重点内容应包括： </w:t>
      </w:r>
    </w:p>
    <w:p>
      <w:pPr>
        <w:ind w:firstLine="560"/>
        <w:rPr>
          <w:rFonts w:cs="Times New Roman"/>
          <w:highlight w:val="none"/>
        </w:rPr>
      </w:pPr>
      <w:r>
        <w:rPr>
          <w:rFonts w:cs="Times New Roman"/>
          <w:highlight w:val="none"/>
        </w:rPr>
        <w:t>（1）有毒有害物质的使用、储存、处理、处置场所；</w:t>
      </w:r>
    </w:p>
    <w:p>
      <w:pPr>
        <w:ind w:firstLine="560"/>
        <w:rPr>
          <w:rFonts w:cs="Times New Roman"/>
          <w:highlight w:val="none"/>
        </w:rPr>
      </w:pPr>
      <w:r>
        <w:rPr>
          <w:rFonts w:cs="Times New Roman"/>
          <w:highlight w:val="none"/>
        </w:rPr>
        <w:t>（2）生产过程和设备、储槽与管线；</w:t>
      </w:r>
    </w:p>
    <w:p>
      <w:pPr>
        <w:ind w:firstLine="560"/>
        <w:rPr>
          <w:rFonts w:cs="Times New Roman"/>
          <w:highlight w:val="none"/>
        </w:rPr>
      </w:pPr>
      <w:r>
        <w:rPr>
          <w:rFonts w:cs="Times New Roman"/>
          <w:highlight w:val="none"/>
        </w:rPr>
        <w:t>（3）恶臭、化学品味道和刺激性气味，污染和腐蚀的痕迹；</w:t>
      </w:r>
    </w:p>
    <w:p>
      <w:pPr>
        <w:ind w:firstLine="560"/>
        <w:rPr>
          <w:rFonts w:cs="Times New Roman"/>
          <w:highlight w:val="none"/>
        </w:rPr>
      </w:pPr>
      <w:r>
        <w:rPr>
          <w:rFonts w:cs="Times New Roman"/>
          <w:highlight w:val="none"/>
        </w:rPr>
        <w:t>（4）排水管、污水池或其他地表水体、固体废物和危险废物堆放处。</w:t>
      </w:r>
    </w:p>
    <w:p>
      <w:pPr>
        <w:ind w:firstLine="560"/>
        <w:rPr>
          <w:rFonts w:cs="Times New Roman"/>
          <w:b/>
          <w:bCs/>
          <w:highlight w:val="none"/>
        </w:rPr>
      </w:pPr>
      <w:r>
        <w:rPr>
          <w:rFonts w:cs="Times New Roman"/>
          <w:highlight w:val="none"/>
        </w:rPr>
        <w:t>同时，还</w:t>
      </w:r>
      <w:bookmarkStart w:id="4" w:name="_Hlk39651852"/>
      <w:r>
        <w:rPr>
          <w:rFonts w:cs="Times New Roman"/>
          <w:highlight w:val="none"/>
        </w:rPr>
        <w:t>应观察和记录地块及周围是否有可能受影响的居民区、学校、医院、水源保护区以及其他公共场所等，并在报告中明确其与地块的位置关系。</w:t>
      </w:r>
      <w:bookmarkEnd w:id="4"/>
    </w:p>
    <w:p>
      <w:pPr>
        <w:pStyle w:val="32"/>
        <w:ind w:firstLine="562"/>
        <w:rPr>
          <w:b/>
          <w:bCs/>
          <w:highlight w:val="none"/>
        </w:rPr>
      </w:pPr>
      <w:r>
        <w:rPr>
          <w:b/>
          <w:bCs/>
          <w:highlight w:val="none"/>
        </w:rPr>
        <w:t>3、人员访谈</w:t>
      </w:r>
    </w:p>
    <w:p>
      <w:pPr>
        <w:ind w:firstLine="560"/>
        <w:rPr>
          <w:rFonts w:cs="Times New Roman"/>
          <w:highlight w:val="none"/>
        </w:rPr>
      </w:pPr>
      <w:r>
        <w:rPr>
          <w:rFonts w:cs="Times New Roman"/>
          <w:highlight w:val="none"/>
        </w:rPr>
        <w:t>访谈内容：包括资料收集和现场踏勘所涉及的疑问，以及信息补充和已有资料的考证。</w:t>
      </w:r>
    </w:p>
    <w:p>
      <w:pPr>
        <w:ind w:firstLine="560"/>
        <w:rPr>
          <w:rFonts w:cs="Times New Roman"/>
          <w:highlight w:val="none"/>
        </w:rPr>
      </w:pPr>
      <w:r>
        <w:rPr>
          <w:rFonts w:cs="Times New Roman"/>
          <w:highlight w:val="none"/>
        </w:rPr>
        <w:t>访谈对象：受访者为地块现状或历史的知情人，如地块管理机构和地方政府官员、</w:t>
      </w:r>
      <w:r>
        <w:rPr>
          <w:rFonts w:cs="Times New Roman"/>
          <w:szCs w:val="30"/>
          <w:highlight w:val="none"/>
        </w:rPr>
        <w:t>自然资源</w:t>
      </w:r>
      <w:r>
        <w:rPr>
          <w:rFonts w:hint="eastAsia" w:cs="Times New Roman"/>
          <w:szCs w:val="30"/>
          <w:highlight w:val="none"/>
        </w:rPr>
        <w:t>、</w:t>
      </w:r>
      <w:r>
        <w:rPr>
          <w:rFonts w:cs="Times New Roman"/>
          <w:szCs w:val="30"/>
          <w:highlight w:val="none"/>
        </w:rPr>
        <w:t>工业和信息化</w:t>
      </w:r>
      <w:r>
        <w:rPr>
          <w:rFonts w:hint="eastAsia" w:cs="Times New Roman"/>
          <w:szCs w:val="30"/>
          <w:highlight w:val="none"/>
        </w:rPr>
        <w:t>、农业农村、</w:t>
      </w:r>
      <w:r>
        <w:rPr>
          <w:rFonts w:cs="Times New Roman"/>
          <w:highlight w:val="none"/>
        </w:rPr>
        <w:t>生态环境</w:t>
      </w:r>
      <w:r>
        <w:rPr>
          <w:rFonts w:hint="eastAsia" w:cs="Times New Roman"/>
          <w:highlight w:val="none"/>
        </w:rPr>
        <w:t>主管部门</w:t>
      </w:r>
      <w:r>
        <w:rPr>
          <w:rFonts w:cs="Times New Roman"/>
          <w:highlight w:val="none"/>
        </w:rPr>
        <w:t>、地块</w:t>
      </w:r>
      <w:r>
        <w:rPr>
          <w:rFonts w:hint="eastAsia" w:cs="Times New Roman"/>
          <w:highlight w:val="none"/>
        </w:rPr>
        <w:t>历史</w:t>
      </w:r>
      <w:r>
        <w:rPr>
          <w:rFonts w:cs="Times New Roman"/>
          <w:highlight w:val="none"/>
        </w:rPr>
        <w:t>和现在使用</w:t>
      </w:r>
      <w:r>
        <w:rPr>
          <w:rFonts w:hint="eastAsia" w:cs="Times New Roman"/>
          <w:highlight w:val="none"/>
        </w:rPr>
        <w:t>权人</w:t>
      </w:r>
      <w:r>
        <w:rPr>
          <w:rFonts w:cs="Times New Roman"/>
          <w:highlight w:val="none"/>
        </w:rPr>
        <w:t>，</w:t>
      </w:r>
      <w:r>
        <w:rPr>
          <w:rFonts w:hint="eastAsia" w:cs="Times New Roman"/>
          <w:highlight w:val="none"/>
        </w:rPr>
        <w:t>以及地块所在地或熟悉地块</w:t>
      </w:r>
      <w:r>
        <w:rPr>
          <w:rFonts w:cs="Times New Roman"/>
          <w:highlight w:val="none"/>
        </w:rPr>
        <w:t>的第三方（如相邻地块的工作人员和附近居民）</w:t>
      </w:r>
      <w:bookmarkStart w:id="5" w:name="_Hlk38353889"/>
      <w:r>
        <w:rPr>
          <w:rFonts w:hint="eastAsia" w:cs="Times New Roman"/>
          <w:highlight w:val="none"/>
        </w:rPr>
        <w:t>，受访者人数应至少3人。</w:t>
      </w:r>
    </w:p>
    <w:p>
      <w:pPr>
        <w:ind w:firstLine="560"/>
        <w:rPr>
          <w:rFonts w:cs="Times New Roman"/>
          <w:highlight w:val="none"/>
        </w:rPr>
      </w:pPr>
      <w:r>
        <w:rPr>
          <w:rFonts w:hint="eastAsia" w:cs="Times New Roman"/>
          <w:highlight w:val="none"/>
        </w:rPr>
        <w:t>人员访谈表可参照表1</w:t>
      </w:r>
      <w:r>
        <w:rPr>
          <w:rFonts w:cs="Times New Roman"/>
          <w:highlight w:val="none"/>
        </w:rPr>
        <w:t>-1</w:t>
      </w:r>
      <w:r>
        <w:rPr>
          <w:rFonts w:hint="eastAsia" w:cs="Times New Roman"/>
          <w:highlight w:val="none"/>
        </w:rPr>
        <w:t>。</w:t>
      </w:r>
    </w:p>
    <w:p>
      <w:pPr>
        <w:pStyle w:val="52"/>
        <w:tabs>
          <w:tab w:val="left" w:pos="180"/>
        </w:tabs>
        <w:spacing w:before="156" w:after="156"/>
        <w:ind w:firstLine="480"/>
        <w:rPr>
          <w:highlight w:val="none"/>
        </w:rPr>
      </w:pPr>
    </w:p>
    <w:p>
      <w:pPr>
        <w:pStyle w:val="52"/>
        <w:tabs>
          <w:tab w:val="left" w:pos="180"/>
        </w:tabs>
        <w:spacing w:before="156" w:after="156"/>
        <w:ind w:firstLine="480"/>
        <w:rPr>
          <w:highlight w:val="none"/>
        </w:rPr>
      </w:pPr>
    </w:p>
    <w:p>
      <w:pPr>
        <w:pStyle w:val="52"/>
        <w:tabs>
          <w:tab w:val="left" w:pos="180"/>
        </w:tabs>
        <w:spacing w:before="156" w:after="156"/>
        <w:ind w:firstLine="480"/>
        <w:rPr>
          <w:highlight w:val="none"/>
        </w:rPr>
      </w:pPr>
    </w:p>
    <w:p>
      <w:pPr>
        <w:pStyle w:val="52"/>
        <w:tabs>
          <w:tab w:val="left" w:pos="180"/>
        </w:tabs>
        <w:spacing w:before="156" w:after="156"/>
        <w:ind w:firstLine="480"/>
        <w:rPr>
          <w:highlight w:val="none"/>
        </w:rPr>
      </w:pPr>
    </w:p>
    <w:p>
      <w:pPr>
        <w:pStyle w:val="52"/>
        <w:tabs>
          <w:tab w:val="left" w:pos="180"/>
        </w:tabs>
        <w:spacing w:before="156" w:after="156"/>
        <w:ind w:firstLine="480"/>
        <w:rPr>
          <w:highlight w:val="none"/>
        </w:rPr>
      </w:pPr>
    </w:p>
    <w:p>
      <w:pPr>
        <w:pStyle w:val="52"/>
        <w:tabs>
          <w:tab w:val="left" w:pos="180"/>
        </w:tabs>
        <w:spacing w:before="156" w:after="156"/>
        <w:ind w:firstLine="480"/>
        <w:rPr>
          <w:highlight w:val="none"/>
        </w:rPr>
      </w:pPr>
    </w:p>
    <w:p>
      <w:pPr>
        <w:pStyle w:val="52"/>
        <w:tabs>
          <w:tab w:val="left" w:pos="180"/>
        </w:tabs>
        <w:spacing w:before="156" w:after="156"/>
        <w:ind w:firstLine="480"/>
        <w:rPr>
          <w:highlight w:val="none"/>
        </w:rPr>
      </w:pPr>
    </w:p>
    <w:p>
      <w:pPr>
        <w:pStyle w:val="52"/>
        <w:tabs>
          <w:tab w:val="left" w:pos="180"/>
        </w:tabs>
        <w:spacing w:before="156" w:after="156"/>
        <w:ind w:firstLine="480"/>
        <w:rPr>
          <w:highlight w:val="none"/>
        </w:rPr>
      </w:pPr>
    </w:p>
    <w:p>
      <w:pPr>
        <w:pStyle w:val="52"/>
        <w:tabs>
          <w:tab w:val="left" w:pos="180"/>
        </w:tabs>
        <w:spacing w:before="156" w:after="156"/>
        <w:ind w:firstLine="480"/>
        <w:rPr>
          <w:highlight w:val="none"/>
        </w:rPr>
      </w:pPr>
    </w:p>
    <w:p>
      <w:pPr>
        <w:pStyle w:val="52"/>
        <w:tabs>
          <w:tab w:val="left" w:pos="180"/>
        </w:tabs>
        <w:spacing w:before="156" w:after="156"/>
        <w:ind w:firstLine="480"/>
        <w:rPr>
          <w:highlight w:val="none"/>
        </w:rPr>
      </w:pPr>
    </w:p>
    <w:p>
      <w:pPr>
        <w:pStyle w:val="52"/>
        <w:tabs>
          <w:tab w:val="left" w:pos="180"/>
        </w:tabs>
        <w:spacing w:before="156" w:after="156"/>
        <w:ind w:firstLine="480"/>
        <w:rPr>
          <w:highlight w:val="none"/>
        </w:rPr>
      </w:pPr>
    </w:p>
    <w:p>
      <w:pPr>
        <w:pStyle w:val="52"/>
        <w:tabs>
          <w:tab w:val="left" w:pos="180"/>
        </w:tabs>
        <w:spacing w:before="156" w:after="156"/>
        <w:ind w:firstLine="480"/>
        <w:rPr>
          <w:highlight w:val="none"/>
        </w:rPr>
      </w:pPr>
    </w:p>
    <w:p>
      <w:pPr>
        <w:pStyle w:val="52"/>
        <w:tabs>
          <w:tab w:val="left" w:pos="180"/>
        </w:tabs>
        <w:spacing w:before="156" w:after="156"/>
        <w:ind w:firstLine="480"/>
        <w:rPr>
          <w:highlight w:val="none"/>
        </w:rPr>
      </w:pPr>
    </w:p>
    <w:p>
      <w:pPr>
        <w:pStyle w:val="52"/>
        <w:tabs>
          <w:tab w:val="left" w:pos="180"/>
        </w:tabs>
        <w:spacing w:before="156" w:after="156"/>
        <w:ind w:firstLine="480"/>
        <w:rPr>
          <w:highlight w:val="none"/>
        </w:rPr>
      </w:pPr>
    </w:p>
    <w:p>
      <w:pPr>
        <w:pStyle w:val="52"/>
        <w:tabs>
          <w:tab w:val="left" w:pos="180"/>
        </w:tabs>
        <w:spacing w:before="156" w:after="156"/>
        <w:ind w:firstLine="480"/>
        <w:rPr>
          <w:highlight w:val="none"/>
        </w:rPr>
      </w:pPr>
    </w:p>
    <w:p>
      <w:pPr>
        <w:pStyle w:val="52"/>
        <w:tabs>
          <w:tab w:val="left" w:pos="180"/>
        </w:tabs>
        <w:spacing w:before="156" w:after="156"/>
        <w:ind w:firstLine="480"/>
        <w:rPr>
          <w:highlight w:val="none"/>
        </w:rPr>
      </w:pPr>
    </w:p>
    <w:p>
      <w:pPr>
        <w:pStyle w:val="52"/>
        <w:tabs>
          <w:tab w:val="left" w:pos="180"/>
        </w:tabs>
        <w:spacing w:before="156" w:after="156"/>
        <w:ind w:firstLine="480"/>
        <w:rPr>
          <w:highlight w:val="none"/>
        </w:rPr>
      </w:pPr>
    </w:p>
    <w:p>
      <w:pPr>
        <w:pStyle w:val="52"/>
        <w:tabs>
          <w:tab w:val="left" w:pos="180"/>
        </w:tabs>
        <w:spacing w:before="156" w:after="156"/>
        <w:ind w:firstLine="480"/>
        <w:rPr>
          <w:highlight w:val="none"/>
        </w:rPr>
      </w:pPr>
    </w:p>
    <w:p>
      <w:pPr>
        <w:pStyle w:val="52"/>
        <w:tabs>
          <w:tab w:val="left" w:pos="180"/>
        </w:tabs>
        <w:spacing w:before="156" w:after="156"/>
        <w:ind w:firstLine="480"/>
        <w:rPr>
          <w:highlight w:val="none"/>
        </w:rPr>
      </w:pPr>
    </w:p>
    <w:p>
      <w:pPr>
        <w:pStyle w:val="52"/>
        <w:tabs>
          <w:tab w:val="left" w:pos="180"/>
        </w:tabs>
        <w:spacing w:before="156" w:after="156"/>
        <w:ind w:firstLine="480"/>
        <w:rPr>
          <w:highlight w:val="none"/>
        </w:rPr>
      </w:pPr>
    </w:p>
    <w:p>
      <w:pPr>
        <w:pStyle w:val="52"/>
        <w:tabs>
          <w:tab w:val="left" w:pos="180"/>
        </w:tabs>
        <w:spacing w:before="156" w:after="156"/>
        <w:ind w:firstLine="480"/>
        <w:rPr>
          <w:highlight w:val="none"/>
        </w:rPr>
      </w:pPr>
    </w:p>
    <w:p>
      <w:pPr>
        <w:pStyle w:val="52"/>
        <w:tabs>
          <w:tab w:val="left" w:pos="180"/>
        </w:tabs>
        <w:spacing w:before="156" w:after="156"/>
        <w:ind w:firstLine="480"/>
        <w:rPr>
          <w:highlight w:val="none"/>
        </w:rPr>
      </w:pPr>
      <w:r>
        <w:rPr>
          <w:rFonts w:hint="eastAsia"/>
          <w:highlight w:val="none"/>
        </w:rPr>
        <w:t>表1</w:t>
      </w:r>
      <w:r>
        <w:rPr>
          <w:highlight w:val="none"/>
        </w:rPr>
        <w:t>-1 XXXX</w:t>
      </w:r>
      <w:r>
        <w:rPr>
          <w:rFonts w:hint="eastAsia"/>
          <w:highlight w:val="none"/>
        </w:rPr>
        <w:t>地块土壤污染状况调查访谈表</w:t>
      </w:r>
    </w:p>
    <w:tbl>
      <w:tblPr>
        <w:tblStyle w:val="14"/>
        <w:tblW w:w="5246"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494"/>
        <w:gridCol w:w="976"/>
        <w:gridCol w:w="2126"/>
        <w:gridCol w:w="1278"/>
        <w:gridCol w:w="1247"/>
        <w:gridCol w:w="357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70" w:hRule="atLeast"/>
          <w:jc w:val="center"/>
        </w:trPr>
        <w:tc>
          <w:tcPr>
            <w:tcW w:w="758" w:type="pct"/>
            <w:gridSpan w:val="2"/>
            <w:tcBorders>
              <w:top w:val="single" w:color="000000" w:sz="4" w:space="0"/>
              <w:left w:val="single" w:color="000000" w:sz="4" w:space="0"/>
              <w:bottom w:val="single" w:color="000000" w:sz="4" w:space="0"/>
              <w:right w:val="single" w:color="000000" w:sz="4" w:space="0"/>
            </w:tcBorders>
            <w:vAlign w:val="center"/>
          </w:tcPr>
          <w:p>
            <w:pPr>
              <w:ind w:firstLine="0" w:firstLineChars="0"/>
              <w:jc w:val="center"/>
              <w:rPr>
                <w:rFonts w:ascii="宋体"/>
                <w:bCs/>
                <w:sz w:val="24"/>
                <w:szCs w:val="24"/>
                <w:highlight w:val="none"/>
              </w:rPr>
            </w:pPr>
            <w:r>
              <w:rPr>
                <w:rFonts w:hint="eastAsia" w:ascii="宋体" w:hAnsi="宋体"/>
                <w:bCs/>
                <w:sz w:val="24"/>
                <w:szCs w:val="24"/>
                <w:highlight w:val="none"/>
              </w:rPr>
              <w:t>受访者姓名</w:t>
            </w:r>
          </w:p>
        </w:tc>
        <w:tc>
          <w:tcPr>
            <w:tcW w:w="1755" w:type="pct"/>
            <w:gridSpan w:val="2"/>
            <w:tcBorders>
              <w:top w:val="single" w:color="000000" w:sz="4" w:space="0"/>
              <w:left w:val="single" w:color="000000" w:sz="4" w:space="0"/>
              <w:bottom w:val="single" w:color="000000" w:sz="4" w:space="0"/>
              <w:right w:val="single" w:color="000000" w:sz="4" w:space="0"/>
            </w:tcBorders>
            <w:vAlign w:val="center"/>
          </w:tcPr>
          <w:p>
            <w:pPr>
              <w:ind w:firstLine="0" w:firstLineChars="0"/>
              <w:jc w:val="center"/>
              <w:rPr>
                <w:rFonts w:ascii="宋体"/>
                <w:bCs/>
                <w:sz w:val="24"/>
                <w:szCs w:val="24"/>
                <w:highlight w:val="none"/>
              </w:rPr>
            </w:pPr>
          </w:p>
        </w:tc>
        <w:tc>
          <w:tcPr>
            <w:tcW w:w="643" w:type="pct"/>
            <w:tcBorders>
              <w:top w:val="single" w:color="000000" w:sz="4" w:space="0"/>
              <w:left w:val="single" w:color="000000" w:sz="4" w:space="0"/>
              <w:bottom w:val="single" w:color="000000" w:sz="4" w:space="0"/>
              <w:right w:val="single" w:color="000000" w:sz="4" w:space="0"/>
            </w:tcBorders>
            <w:vAlign w:val="center"/>
          </w:tcPr>
          <w:p>
            <w:pPr>
              <w:ind w:firstLine="0" w:firstLineChars="0"/>
              <w:jc w:val="center"/>
              <w:rPr>
                <w:rFonts w:ascii="宋体"/>
                <w:bCs/>
                <w:sz w:val="24"/>
                <w:szCs w:val="24"/>
                <w:highlight w:val="none"/>
              </w:rPr>
            </w:pPr>
            <w:r>
              <w:rPr>
                <w:rFonts w:hint="eastAsia" w:ascii="宋体" w:hAnsi="宋体"/>
                <w:bCs/>
                <w:sz w:val="24"/>
                <w:szCs w:val="24"/>
                <w:highlight w:val="none"/>
              </w:rPr>
              <w:t>联系方式</w:t>
            </w:r>
          </w:p>
        </w:tc>
        <w:tc>
          <w:tcPr>
            <w:tcW w:w="1844" w:type="pct"/>
            <w:tcBorders>
              <w:top w:val="single" w:color="000000" w:sz="4" w:space="0"/>
              <w:left w:val="single" w:color="000000" w:sz="4" w:space="0"/>
              <w:bottom w:val="single" w:color="000000" w:sz="4" w:space="0"/>
              <w:right w:val="single" w:color="000000" w:sz="4" w:space="0"/>
            </w:tcBorders>
            <w:vAlign w:val="center"/>
          </w:tcPr>
          <w:p>
            <w:pPr>
              <w:ind w:firstLine="480"/>
              <w:jc w:val="center"/>
              <w:rPr>
                <w:rFonts w:ascii="宋体"/>
                <w:bCs/>
                <w:sz w:val="24"/>
                <w:szCs w:val="24"/>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70" w:hRule="atLeast"/>
          <w:jc w:val="center"/>
        </w:trPr>
        <w:tc>
          <w:tcPr>
            <w:tcW w:w="758" w:type="pct"/>
            <w:gridSpan w:val="2"/>
            <w:vMerge w:val="restart"/>
            <w:tcBorders>
              <w:top w:val="single" w:color="000000" w:sz="4" w:space="0"/>
              <w:left w:val="single" w:color="000000" w:sz="4" w:space="0"/>
              <w:right w:val="single" w:color="000000" w:sz="4" w:space="0"/>
            </w:tcBorders>
            <w:vAlign w:val="center"/>
          </w:tcPr>
          <w:p>
            <w:pPr>
              <w:ind w:firstLine="0" w:firstLineChars="0"/>
              <w:jc w:val="center"/>
              <w:rPr>
                <w:rFonts w:ascii="宋体"/>
                <w:bCs/>
                <w:sz w:val="24"/>
                <w:szCs w:val="24"/>
                <w:highlight w:val="none"/>
              </w:rPr>
            </w:pPr>
            <w:r>
              <w:rPr>
                <w:rFonts w:hint="eastAsia" w:ascii="宋体"/>
                <w:bCs/>
                <w:sz w:val="24"/>
                <w:szCs w:val="24"/>
                <w:highlight w:val="none"/>
              </w:rPr>
              <w:t>与地块关联</w:t>
            </w:r>
          </w:p>
          <w:p>
            <w:pPr>
              <w:ind w:firstLine="0" w:firstLineChars="0"/>
              <w:jc w:val="center"/>
              <w:rPr>
                <w:rFonts w:ascii="宋体" w:hAnsi="宋体"/>
                <w:bCs/>
                <w:sz w:val="24"/>
                <w:szCs w:val="24"/>
                <w:highlight w:val="none"/>
              </w:rPr>
            </w:pPr>
            <w:r>
              <w:rPr>
                <w:rFonts w:hint="eastAsia" w:ascii="宋体"/>
                <w:bCs/>
                <w:sz w:val="24"/>
                <w:szCs w:val="24"/>
                <w:highlight w:val="none"/>
              </w:rPr>
              <w:t>信息</w:t>
            </w:r>
          </w:p>
        </w:tc>
        <w:tc>
          <w:tcPr>
            <w:tcW w:w="4242" w:type="pct"/>
            <w:gridSpan w:val="4"/>
            <w:tcBorders>
              <w:top w:val="single" w:color="000000" w:sz="4" w:space="0"/>
              <w:left w:val="single" w:color="000000" w:sz="4" w:space="0"/>
              <w:bottom w:val="single" w:color="000000" w:sz="4" w:space="0"/>
              <w:right w:val="single" w:color="000000" w:sz="4" w:space="0"/>
            </w:tcBorders>
            <w:vAlign w:val="center"/>
          </w:tcPr>
          <w:p>
            <w:pPr>
              <w:ind w:firstLine="0" w:firstLineChars="0"/>
              <w:rPr>
                <w:rFonts w:ascii="宋体"/>
                <w:bCs/>
                <w:sz w:val="24"/>
                <w:szCs w:val="24"/>
                <w:highlight w:val="none"/>
              </w:rPr>
            </w:pPr>
            <w:r>
              <w:rPr>
                <w:rFonts w:hint="eastAsia" w:ascii="宋体"/>
                <w:bCs/>
                <w:sz w:val="24"/>
                <w:szCs w:val="24"/>
                <w:highlight w:val="none"/>
              </w:rPr>
              <w:t>□地块使用权人   □管理部门工作人员   □相邻地块工作人员或附近居民   □其他</w:t>
            </w:r>
            <w:r>
              <w:rPr>
                <w:rFonts w:hint="eastAsia" w:ascii="宋体"/>
                <w:bCs/>
                <w:sz w:val="24"/>
                <w:szCs w:val="24"/>
                <w:highlight w:val="none"/>
                <w:u w:val="single"/>
              </w:rPr>
              <w:t xml:space="preserve">                  </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70" w:hRule="atLeast"/>
          <w:jc w:val="center"/>
        </w:trPr>
        <w:tc>
          <w:tcPr>
            <w:tcW w:w="758" w:type="pct"/>
            <w:gridSpan w:val="2"/>
            <w:vMerge w:val="continue"/>
            <w:tcBorders>
              <w:left w:val="single" w:color="000000" w:sz="4" w:space="0"/>
              <w:bottom w:val="single" w:color="000000" w:sz="4" w:space="0"/>
              <w:right w:val="single" w:color="000000" w:sz="4" w:space="0"/>
            </w:tcBorders>
            <w:vAlign w:val="center"/>
          </w:tcPr>
          <w:p>
            <w:pPr>
              <w:ind w:firstLine="0" w:firstLineChars="0"/>
              <w:rPr>
                <w:rFonts w:ascii="宋体"/>
                <w:bCs/>
                <w:sz w:val="24"/>
                <w:szCs w:val="24"/>
                <w:highlight w:val="none"/>
              </w:rPr>
            </w:pPr>
          </w:p>
        </w:tc>
        <w:tc>
          <w:tcPr>
            <w:tcW w:w="1096" w:type="pct"/>
            <w:tcBorders>
              <w:top w:val="single" w:color="000000" w:sz="4" w:space="0"/>
              <w:left w:val="single" w:color="000000" w:sz="4" w:space="0"/>
              <w:bottom w:val="single" w:color="000000" w:sz="4" w:space="0"/>
              <w:right w:val="single" w:color="000000" w:sz="4" w:space="0"/>
            </w:tcBorders>
            <w:vAlign w:val="center"/>
          </w:tcPr>
          <w:p>
            <w:pPr>
              <w:ind w:firstLine="0" w:firstLineChars="0"/>
              <w:jc w:val="center"/>
              <w:rPr>
                <w:rFonts w:ascii="宋体"/>
                <w:bCs/>
                <w:sz w:val="24"/>
                <w:szCs w:val="24"/>
                <w:highlight w:val="none"/>
              </w:rPr>
            </w:pPr>
            <w:r>
              <w:rPr>
                <w:rFonts w:hint="eastAsia" w:ascii="宋体" w:hAnsi="宋体"/>
                <w:bCs/>
                <w:sz w:val="24"/>
                <w:szCs w:val="24"/>
                <w:highlight w:val="none"/>
              </w:rPr>
              <w:t>所在单位及职位</w:t>
            </w:r>
          </w:p>
        </w:tc>
        <w:tc>
          <w:tcPr>
            <w:tcW w:w="658" w:type="pct"/>
            <w:tcBorders>
              <w:top w:val="single" w:color="000000" w:sz="4" w:space="0"/>
              <w:left w:val="single" w:color="000000" w:sz="4" w:space="0"/>
              <w:bottom w:val="single" w:color="000000" w:sz="4" w:space="0"/>
              <w:right w:val="single" w:color="000000" w:sz="4" w:space="0"/>
            </w:tcBorders>
            <w:vAlign w:val="center"/>
          </w:tcPr>
          <w:p>
            <w:pPr>
              <w:ind w:firstLine="0" w:firstLineChars="0"/>
              <w:jc w:val="center"/>
              <w:rPr>
                <w:rFonts w:ascii="宋体"/>
                <w:bCs/>
                <w:sz w:val="24"/>
                <w:szCs w:val="24"/>
                <w:highlight w:val="none"/>
              </w:rPr>
            </w:pPr>
          </w:p>
        </w:tc>
        <w:tc>
          <w:tcPr>
            <w:tcW w:w="643" w:type="pct"/>
            <w:tcBorders>
              <w:top w:val="single" w:color="000000" w:sz="4" w:space="0"/>
              <w:left w:val="single" w:color="000000" w:sz="4" w:space="0"/>
              <w:bottom w:val="single" w:color="000000" w:sz="4" w:space="0"/>
              <w:right w:val="single" w:color="auto" w:sz="4" w:space="0"/>
            </w:tcBorders>
            <w:vAlign w:val="center"/>
          </w:tcPr>
          <w:p>
            <w:pPr>
              <w:ind w:firstLine="0" w:firstLineChars="0"/>
              <w:jc w:val="center"/>
              <w:rPr>
                <w:rFonts w:ascii="宋体"/>
                <w:bCs/>
                <w:sz w:val="24"/>
                <w:szCs w:val="24"/>
                <w:highlight w:val="none"/>
              </w:rPr>
            </w:pPr>
            <w:r>
              <w:rPr>
                <w:rFonts w:hint="eastAsia" w:ascii="宋体" w:hAnsi="宋体"/>
                <w:bCs/>
                <w:sz w:val="24"/>
                <w:szCs w:val="24"/>
                <w:highlight w:val="none"/>
              </w:rPr>
              <w:t>工作时间</w:t>
            </w:r>
          </w:p>
        </w:tc>
        <w:tc>
          <w:tcPr>
            <w:tcW w:w="1844" w:type="pct"/>
            <w:tcBorders>
              <w:top w:val="single" w:color="000000" w:sz="4" w:space="0"/>
              <w:left w:val="single" w:color="auto" w:sz="4" w:space="0"/>
              <w:bottom w:val="single" w:color="000000" w:sz="4" w:space="0"/>
              <w:right w:val="single" w:color="000000" w:sz="4" w:space="0"/>
            </w:tcBorders>
            <w:vAlign w:val="center"/>
          </w:tcPr>
          <w:p>
            <w:pPr>
              <w:ind w:firstLine="0" w:firstLineChars="0"/>
              <w:jc w:val="center"/>
              <w:rPr>
                <w:rFonts w:ascii="宋体"/>
                <w:bCs/>
                <w:sz w:val="24"/>
                <w:szCs w:val="24"/>
                <w:highlight w:val="none"/>
              </w:rPr>
            </w:pPr>
            <w:r>
              <w:rPr>
                <w:rFonts w:hint="eastAsia" w:ascii="宋体"/>
                <w:bCs/>
                <w:sz w:val="24"/>
                <w:szCs w:val="24"/>
                <w:highlight w:val="none"/>
              </w:rPr>
              <w:t>自</w:t>
            </w:r>
            <w:r>
              <w:rPr>
                <w:rFonts w:hint="eastAsia" w:ascii="宋体"/>
                <w:bCs/>
                <w:sz w:val="24"/>
                <w:szCs w:val="24"/>
                <w:highlight w:val="none"/>
                <w:u w:val="single"/>
              </w:rPr>
              <w:t xml:space="preserve">    </w:t>
            </w:r>
            <w:r>
              <w:rPr>
                <w:rFonts w:hint="eastAsia" w:ascii="宋体"/>
                <w:bCs/>
                <w:sz w:val="24"/>
                <w:szCs w:val="24"/>
                <w:highlight w:val="none"/>
              </w:rPr>
              <w:t>年</w:t>
            </w:r>
            <w:r>
              <w:rPr>
                <w:rFonts w:hint="eastAsia" w:ascii="宋体"/>
                <w:bCs/>
                <w:sz w:val="24"/>
                <w:szCs w:val="24"/>
                <w:highlight w:val="none"/>
                <w:u w:val="single"/>
              </w:rPr>
              <w:t xml:space="preserve">   </w:t>
            </w:r>
            <w:r>
              <w:rPr>
                <w:rFonts w:hint="eastAsia" w:ascii="宋体"/>
                <w:bCs/>
                <w:sz w:val="24"/>
                <w:szCs w:val="24"/>
                <w:highlight w:val="none"/>
              </w:rPr>
              <w:t>月至</w:t>
            </w:r>
            <w:r>
              <w:rPr>
                <w:rFonts w:hint="eastAsia" w:ascii="宋体"/>
                <w:bCs/>
                <w:sz w:val="24"/>
                <w:szCs w:val="24"/>
                <w:highlight w:val="none"/>
                <w:u w:val="single"/>
              </w:rPr>
              <w:t xml:space="preserve">    </w:t>
            </w:r>
            <w:r>
              <w:rPr>
                <w:rFonts w:hint="eastAsia" w:ascii="宋体"/>
                <w:bCs/>
                <w:sz w:val="24"/>
                <w:szCs w:val="24"/>
                <w:highlight w:val="none"/>
              </w:rPr>
              <w:t>年</w:t>
            </w:r>
            <w:r>
              <w:rPr>
                <w:rFonts w:hint="eastAsia" w:ascii="宋体"/>
                <w:bCs/>
                <w:sz w:val="24"/>
                <w:szCs w:val="24"/>
                <w:highlight w:val="none"/>
                <w:u w:val="single"/>
              </w:rPr>
              <w:t xml:space="preserve">    </w:t>
            </w:r>
            <w:r>
              <w:rPr>
                <w:rFonts w:hint="eastAsia" w:ascii="宋体"/>
                <w:bCs/>
                <w:sz w:val="24"/>
                <w:szCs w:val="24"/>
                <w:highlight w:val="none"/>
              </w:rPr>
              <w:t>月</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285" w:hRule="atLeast"/>
          <w:jc w:val="center"/>
        </w:trPr>
        <w:tc>
          <w:tcPr>
            <w:tcW w:w="255" w:type="pct"/>
            <w:tcBorders>
              <w:top w:val="single" w:color="000000" w:sz="4" w:space="0"/>
              <w:left w:val="single" w:color="000000" w:sz="4" w:space="0"/>
              <w:right w:val="single" w:color="auto" w:sz="4" w:space="0"/>
            </w:tcBorders>
            <w:vAlign w:val="center"/>
          </w:tcPr>
          <w:p>
            <w:pPr>
              <w:ind w:firstLine="0" w:firstLineChars="0"/>
              <w:rPr>
                <w:rFonts w:ascii="宋体"/>
                <w:bCs/>
                <w:sz w:val="24"/>
                <w:szCs w:val="24"/>
                <w:highlight w:val="none"/>
              </w:rPr>
            </w:pPr>
            <w:r>
              <w:rPr>
                <w:rFonts w:hint="eastAsia" w:ascii="宋体" w:hAnsi="宋体"/>
                <w:bCs/>
                <w:sz w:val="24"/>
                <w:szCs w:val="24"/>
                <w:highlight w:val="none"/>
              </w:rPr>
              <w:t>访谈内容记录</w:t>
            </w:r>
          </w:p>
        </w:tc>
        <w:tc>
          <w:tcPr>
            <w:tcW w:w="4745" w:type="pct"/>
            <w:gridSpan w:val="5"/>
            <w:tcBorders>
              <w:top w:val="single" w:color="000000" w:sz="4" w:space="0"/>
              <w:left w:val="single" w:color="auto" w:sz="4" w:space="0"/>
              <w:right w:val="single" w:color="000000" w:sz="4" w:space="0"/>
            </w:tcBorders>
            <w:vAlign w:val="center"/>
          </w:tcPr>
          <w:p>
            <w:pPr>
              <w:numPr>
                <w:ilvl w:val="0"/>
                <w:numId w:val="1"/>
              </w:numPr>
              <w:spacing w:line="600" w:lineRule="auto"/>
              <w:ind w:firstLine="0" w:firstLineChars="0"/>
              <w:jc w:val="left"/>
              <w:rPr>
                <w:rFonts w:cs="Times New Roman"/>
                <w:bCs/>
                <w:sz w:val="24"/>
                <w:szCs w:val="24"/>
                <w:highlight w:val="none"/>
              </w:rPr>
            </w:pPr>
            <w:r>
              <w:rPr>
                <w:rFonts w:cs="Times New Roman"/>
                <w:bCs/>
                <w:sz w:val="24"/>
                <w:szCs w:val="24"/>
                <w:highlight w:val="none"/>
              </w:rPr>
              <w:t>地块利用历史和用途变迁；</w:t>
            </w:r>
          </w:p>
          <w:p>
            <w:pPr>
              <w:numPr>
                <w:ilvl w:val="0"/>
                <w:numId w:val="1"/>
              </w:numPr>
              <w:spacing w:line="600" w:lineRule="auto"/>
              <w:ind w:firstLine="0" w:firstLineChars="0"/>
              <w:jc w:val="left"/>
              <w:rPr>
                <w:rFonts w:cs="Times New Roman"/>
                <w:bCs/>
                <w:sz w:val="24"/>
                <w:szCs w:val="24"/>
                <w:highlight w:val="none"/>
              </w:rPr>
            </w:pPr>
            <w:r>
              <w:rPr>
                <w:rFonts w:cs="Times New Roman"/>
                <w:bCs/>
                <w:sz w:val="24"/>
                <w:szCs w:val="24"/>
                <w:highlight w:val="none"/>
              </w:rPr>
              <w:t>原有企业工艺简介及变化情况；</w:t>
            </w:r>
          </w:p>
          <w:p>
            <w:pPr>
              <w:numPr>
                <w:ilvl w:val="0"/>
                <w:numId w:val="1"/>
              </w:numPr>
              <w:spacing w:line="600" w:lineRule="auto"/>
              <w:ind w:firstLine="0" w:firstLineChars="0"/>
              <w:jc w:val="left"/>
              <w:rPr>
                <w:rFonts w:cs="Times New Roman"/>
                <w:bCs/>
                <w:sz w:val="24"/>
                <w:szCs w:val="24"/>
                <w:highlight w:val="none"/>
              </w:rPr>
            </w:pPr>
            <w:r>
              <w:rPr>
                <w:rFonts w:cs="Times New Roman"/>
                <w:bCs/>
                <w:sz w:val="24"/>
                <w:szCs w:val="24"/>
                <w:highlight w:val="none"/>
              </w:rPr>
              <w:t>是否有发生突发环境事件及处置措施情况；</w:t>
            </w:r>
          </w:p>
          <w:p>
            <w:pPr>
              <w:numPr>
                <w:ilvl w:val="0"/>
                <w:numId w:val="1"/>
              </w:numPr>
              <w:spacing w:line="600" w:lineRule="auto"/>
              <w:ind w:firstLine="0" w:firstLineChars="0"/>
              <w:jc w:val="left"/>
              <w:rPr>
                <w:rFonts w:cs="Times New Roman"/>
                <w:bCs/>
                <w:sz w:val="24"/>
                <w:szCs w:val="24"/>
                <w:highlight w:val="none"/>
              </w:rPr>
            </w:pPr>
            <w:r>
              <w:rPr>
                <w:rFonts w:cs="Times New Roman"/>
                <w:bCs/>
                <w:sz w:val="24"/>
                <w:szCs w:val="24"/>
                <w:highlight w:val="none"/>
              </w:rPr>
              <w:t>原、辅材料、有毒有害危险化学品、危险废物储存、运输、装卸情况；</w:t>
            </w:r>
          </w:p>
          <w:p>
            <w:pPr>
              <w:numPr>
                <w:ilvl w:val="0"/>
                <w:numId w:val="1"/>
              </w:numPr>
              <w:spacing w:line="600" w:lineRule="auto"/>
              <w:ind w:firstLine="0" w:firstLineChars="0"/>
              <w:jc w:val="left"/>
              <w:rPr>
                <w:rFonts w:cs="Times New Roman"/>
                <w:bCs/>
                <w:sz w:val="24"/>
                <w:szCs w:val="24"/>
                <w:highlight w:val="none"/>
              </w:rPr>
            </w:pPr>
            <w:r>
              <w:rPr>
                <w:rFonts w:cs="Times New Roman"/>
                <w:bCs/>
                <w:sz w:val="24"/>
                <w:szCs w:val="24"/>
                <w:highlight w:val="none"/>
              </w:rPr>
              <w:t>地下储罐、储槽和管线情况；</w:t>
            </w:r>
          </w:p>
          <w:p>
            <w:pPr>
              <w:numPr>
                <w:ilvl w:val="0"/>
                <w:numId w:val="1"/>
              </w:numPr>
              <w:spacing w:line="600" w:lineRule="auto"/>
              <w:ind w:firstLine="0" w:firstLineChars="0"/>
              <w:jc w:val="left"/>
              <w:rPr>
                <w:rFonts w:cs="Times New Roman"/>
                <w:bCs/>
                <w:sz w:val="24"/>
                <w:szCs w:val="24"/>
                <w:highlight w:val="none"/>
              </w:rPr>
            </w:pPr>
            <w:r>
              <w:rPr>
                <w:rFonts w:cs="Times New Roman"/>
                <w:bCs/>
                <w:sz w:val="24"/>
                <w:szCs w:val="24"/>
                <w:highlight w:val="none"/>
              </w:rPr>
              <w:t>原有企业变压器的使用时间和位置等情况；</w:t>
            </w:r>
          </w:p>
          <w:p>
            <w:pPr>
              <w:numPr>
                <w:ilvl w:val="0"/>
                <w:numId w:val="1"/>
              </w:numPr>
              <w:spacing w:line="600" w:lineRule="auto"/>
              <w:ind w:firstLine="0" w:firstLineChars="0"/>
              <w:jc w:val="left"/>
              <w:rPr>
                <w:rFonts w:cs="Times New Roman"/>
                <w:bCs/>
                <w:sz w:val="24"/>
                <w:szCs w:val="24"/>
                <w:highlight w:val="none"/>
              </w:rPr>
            </w:pPr>
            <w:r>
              <w:rPr>
                <w:rFonts w:cs="Times New Roman"/>
                <w:bCs/>
                <w:sz w:val="24"/>
                <w:szCs w:val="24"/>
                <w:highlight w:val="none"/>
              </w:rPr>
              <w:t>有无放射源；</w:t>
            </w:r>
          </w:p>
          <w:p>
            <w:pPr>
              <w:numPr>
                <w:ilvl w:val="0"/>
                <w:numId w:val="1"/>
              </w:numPr>
              <w:spacing w:line="600" w:lineRule="auto"/>
              <w:ind w:firstLine="0" w:firstLineChars="0"/>
              <w:jc w:val="left"/>
              <w:rPr>
                <w:rFonts w:cs="Times New Roman"/>
                <w:bCs/>
                <w:sz w:val="24"/>
                <w:szCs w:val="24"/>
                <w:highlight w:val="none"/>
              </w:rPr>
            </w:pPr>
            <w:r>
              <w:rPr>
                <w:rFonts w:cs="Times New Roman"/>
                <w:bCs/>
                <w:sz w:val="24"/>
                <w:szCs w:val="24"/>
                <w:highlight w:val="none"/>
              </w:rPr>
              <w:t>原有企业污染治理设施及升级改造情况和污染物排放情况；</w:t>
            </w:r>
          </w:p>
          <w:p>
            <w:pPr>
              <w:numPr>
                <w:ilvl w:val="0"/>
                <w:numId w:val="1"/>
              </w:numPr>
              <w:spacing w:line="600" w:lineRule="auto"/>
              <w:ind w:firstLine="0" w:firstLineChars="0"/>
              <w:jc w:val="left"/>
              <w:rPr>
                <w:rFonts w:cs="Times New Roman"/>
                <w:bCs/>
                <w:sz w:val="24"/>
                <w:szCs w:val="24"/>
                <w:highlight w:val="none"/>
              </w:rPr>
            </w:pPr>
            <w:r>
              <w:rPr>
                <w:rFonts w:hint="eastAsia" w:cs="Times New Roman"/>
                <w:bCs/>
                <w:sz w:val="24"/>
                <w:szCs w:val="24"/>
                <w:highlight w:val="none"/>
              </w:rPr>
              <w:t>周边潜在污染源的情况；</w:t>
            </w:r>
          </w:p>
          <w:p>
            <w:pPr>
              <w:numPr>
                <w:ilvl w:val="0"/>
                <w:numId w:val="1"/>
              </w:numPr>
              <w:spacing w:line="600" w:lineRule="auto"/>
              <w:ind w:firstLine="0" w:firstLineChars="0"/>
              <w:jc w:val="left"/>
              <w:rPr>
                <w:rFonts w:ascii="宋体"/>
                <w:bCs/>
                <w:sz w:val="24"/>
                <w:szCs w:val="24"/>
                <w:highlight w:val="none"/>
              </w:rPr>
            </w:pPr>
            <w:r>
              <w:rPr>
                <w:rFonts w:cs="Times New Roman"/>
                <w:bCs/>
                <w:sz w:val="24"/>
                <w:szCs w:val="24"/>
                <w:highlight w:val="none"/>
              </w:rPr>
              <w:t>其它内容。</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84" w:hRule="atLeast"/>
          <w:jc w:val="center"/>
        </w:trPr>
        <w:tc>
          <w:tcPr>
            <w:tcW w:w="5000" w:type="pct"/>
            <w:gridSpan w:val="6"/>
            <w:tcBorders>
              <w:top w:val="single" w:color="000000" w:sz="4" w:space="0"/>
              <w:left w:val="single" w:color="000000" w:sz="4" w:space="0"/>
              <w:bottom w:val="single" w:color="000000" w:sz="4" w:space="0"/>
              <w:right w:val="single" w:color="000000" w:sz="4" w:space="0"/>
            </w:tcBorders>
            <w:vAlign w:val="center"/>
          </w:tcPr>
          <w:p>
            <w:pPr>
              <w:ind w:firstLine="480"/>
              <w:rPr>
                <w:rFonts w:ascii="宋体" w:hAnsi="宋体"/>
                <w:bCs/>
                <w:sz w:val="24"/>
                <w:szCs w:val="24"/>
                <w:highlight w:val="none"/>
              </w:rPr>
            </w:pPr>
            <w:r>
              <w:rPr>
                <w:rFonts w:hint="eastAsia" w:ascii="宋体" w:hAnsi="宋体"/>
                <w:bCs/>
                <w:sz w:val="24"/>
                <w:szCs w:val="24"/>
                <w:highlight w:val="none"/>
              </w:rPr>
              <w:t>受访人签名：</w:t>
            </w:r>
            <w:r>
              <w:rPr>
                <w:rFonts w:ascii="宋体" w:hAnsi="宋体"/>
                <w:bCs/>
                <w:sz w:val="24"/>
                <w:szCs w:val="24"/>
                <w:highlight w:val="none"/>
              </w:rPr>
              <w:t xml:space="preserve">    </w:t>
            </w:r>
            <w:r>
              <w:rPr>
                <w:rFonts w:hint="eastAsia" w:ascii="宋体" w:hAnsi="宋体"/>
                <w:bCs/>
                <w:sz w:val="24"/>
                <w:szCs w:val="24"/>
                <w:highlight w:val="none"/>
              </w:rPr>
              <w:t xml:space="preserve">              访谈人签名：</w:t>
            </w:r>
            <w:r>
              <w:rPr>
                <w:rFonts w:ascii="宋体" w:hAnsi="宋体"/>
                <w:bCs/>
                <w:sz w:val="24"/>
                <w:szCs w:val="24"/>
                <w:highlight w:val="none"/>
              </w:rPr>
              <w:t xml:space="preserve">                             </w:t>
            </w:r>
          </w:p>
          <w:p>
            <w:pPr>
              <w:ind w:firstLine="480"/>
              <w:rPr>
                <w:rFonts w:ascii="宋体" w:hAnsi="宋体"/>
                <w:bCs/>
                <w:sz w:val="24"/>
                <w:szCs w:val="24"/>
                <w:highlight w:val="none"/>
              </w:rPr>
            </w:pPr>
          </w:p>
          <w:p>
            <w:pPr>
              <w:ind w:firstLine="7159" w:firstLineChars="2983"/>
              <w:rPr>
                <w:rFonts w:ascii="宋体"/>
                <w:bCs/>
                <w:sz w:val="24"/>
                <w:szCs w:val="24"/>
                <w:highlight w:val="none"/>
              </w:rPr>
            </w:pPr>
            <w:r>
              <w:rPr>
                <w:rFonts w:ascii="宋体" w:hAnsi="宋体"/>
                <w:bCs/>
                <w:sz w:val="24"/>
                <w:szCs w:val="24"/>
                <w:highlight w:val="none"/>
              </w:rPr>
              <w:t xml:space="preserve">   </w:t>
            </w:r>
            <w:r>
              <w:rPr>
                <w:rFonts w:hint="eastAsia" w:ascii="宋体" w:hAnsi="宋体"/>
                <w:bCs/>
                <w:sz w:val="24"/>
                <w:szCs w:val="24"/>
                <w:highlight w:val="none"/>
              </w:rPr>
              <w:t>年</w:t>
            </w:r>
            <w:r>
              <w:rPr>
                <w:rFonts w:ascii="宋体" w:hAnsi="宋体"/>
                <w:bCs/>
                <w:sz w:val="24"/>
                <w:szCs w:val="24"/>
                <w:highlight w:val="none"/>
              </w:rPr>
              <w:t xml:space="preserve">    </w:t>
            </w:r>
            <w:r>
              <w:rPr>
                <w:rFonts w:hint="eastAsia" w:ascii="宋体" w:hAnsi="宋体"/>
                <w:bCs/>
                <w:sz w:val="24"/>
                <w:szCs w:val="24"/>
                <w:highlight w:val="none"/>
              </w:rPr>
              <w:t>月</w:t>
            </w:r>
            <w:r>
              <w:rPr>
                <w:rFonts w:ascii="宋体" w:hAnsi="宋体"/>
                <w:bCs/>
                <w:sz w:val="24"/>
                <w:szCs w:val="24"/>
                <w:highlight w:val="none"/>
              </w:rPr>
              <w:t xml:space="preserve">    </w:t>
            </w:r>
            <w:r>
              <w:rPr>
                <w:rFonts w:hint="eastAsia" w:ascii="宋体" w:hAnsi="宋体"/>
                <w:bCs/>
                <w:sz w:val="24"/>
                <w:szCs w:val="24"/>
                <w:highlight w:val="none"/>
              </w:rPr>
              <w:t>日</w:t>
            </w:r>
          </w:p>
        </w:tc>
      </w:tr>
    </w:tbl>
    <w:p>
      <w:pPr>
        <w:ind w:firstLine="0" w:firstLineChars="0"/>
        <w:rPr>
          <w:rFonts w:cs="Times New Roman"/>
          <w:highlight w:val="none"/>
        </w:rPr>
      </w:pPr>
      <w:r>
        <w:rPr>
          <w:rFonts w:hint="eastAsia" w:cs="Times New Roman"/>
          <w:highlight w:val="none"/>
        </w:rPr>
        <w:t>备注：因地</w:t>
      </w:r>
      <w:r>
        <w:rPr>
          <w:rFonts w:hint="eastAsia" w:cs="Times New Roman"/>
          <w:szCs w:val="28"/>
          <w:highlight w:val="none"/>
        </w:rPr>
        <w:t>块情</w:t>
      </w:r>
      <w:r>
        <w:rPr>
          <w:rFonts w:hint="eastAsia" w:cs="Times New Roman"/>
          <w:highlight w:val="none"/>
        </w:rPr>
        <w:t>况各异，可增加或删减相关访谈内容。</w:t>
      </w:r>
    </w:p>
    <w:bookmarkEnd w:id="5"/>
    <w:p>
      <w:pPr>
        <w:pStyle w:val="32"/>
        <w:ind w:firstLine="562"/>
        <w:rPr>
          <w:b/>
          <w:bCs/>
          <w:highlight w:val="none"/>
        </w:rPr>
      </w:pPr>
      <w:r>
        <w:rPr>
          <w:b/>
          <w:bCs/>
          <w:highlight w:val="none"/>
        </w:rPr>
        <w:t>4、污染识别信息分析及结论</w:t>
      </w:r>
    </w:p>
    <w:p>
      <w:pPr>
        <w:ind w:firstLine="560"/>
        <w:rPr>
          <w:rFonts w:cs="Times New Roman"/>
          <w:highlight w:val="none"/>
        </w:rPr>
      </w:pPr>
      <w:r>
        <w:rPr>
          <w:rFonts w:cs="Times New Roman"/>
          <w:highlight w:val="none"/>
        </w:rPr>
        <w:t>明确地块内及周边区域</w:t>
      </w:r>
      <w:r>
        <w:rPr>
          <w:rFonts w:hint="eastAsia" w:cs="Times New Roman"/>
          <w:highlight w:val="none"/>
        </w:rPr>
        <w:t>当前和历史上均</w:t>
      </w:r>
      <w:r>
        <w:rPr>
          <w:rFonts w:cs="Times New Roman"/>
          <w:highlight w:val="none"/>
        </w:rPr>
        <w:t>有无可能的污染源，并进行不确定性分析。若无可能的污染源，可以结束调查工作；若有可能的污染源，应说明可能的污染类型、污染来源</w:t>
      </w:r>
      <w:r>
        <w:rPr>
          <w:rFonts w:hint="eastAsia" w:cs="Times New Roman"/>
          <w:highlight w:val="none"/>
        </w:rPr>
        <w:t>、污染状况</w:t>
      </w:r>
      <w:r>
        <w:rPr>
          <w:rFonts w:cs="Times New Roman"/>
          <w:highlight w:val="none"/>
        </w:rPr>
        <w:t>和</w:t>
      </w:r>
      <w:r>
        <w:rPr>
          <w:rFonts w:hint="eastAsia" w:cs="Times New Roman"/>
          <w:highlight w:val="none"/>
        </w:rPr>
        <w:t>污染重点</w:t>
      </w:r>
      <w:r>
        <w:rPr>
          <w:rFonts w:cs="Times New Roman"/>
          <w:highlight w:val="none"/>
        </w:rPr>
        <w:t>区域，明确地块特征污染物（关注污染物），并提出初步采样调查建议。</w:t>
      </w:r>
    </w:p>
    <w:p>
      <w:pPr>
        <w:pStyle w:val="3"/>
        <w:rPr>
          <w:rFonts w:cs="Times New Roman"/>
          <w:highlight w:val="none"/>
        </w:rPr>
      </w:pPr>
      <w:r>
        <w:rPr>
          <w:rFonts w:cs="Times New Roman"/>
          <w:highlight w:val="none"/>
        </w:rPr>
        <w:t>二、</w:t>
      </w:r>
      <w:r>
        <w:rPr>
          <w:rFonts w:hint="eastAsia" w:cs="Times New Roman"/>
          <w:highlight w:val="none"/>
        </w:rPr>
        <w:t>第二阶段土壤污染状况调查</w:t>
      </w:r>
    </w:p>
    <w:p>
      <w:pPr>
        <w:ind w:firstLine="560"/>
        <w:outlineLvl w:val="2"/>
        <w:rPr>
          <w:highlight w:val="none"/>
        </w:rPr>
      </w:pPr>
      <w:r>
        <w:rPr>
          <w:rFonts w:hint="eastAsia" w:ascii="黑体" w:hAnsi="黑体" w:eastAsia="黑体"/>
          <w:highlight w:val="none"/>
        </w:rPr>
        <w:t>（一）初步调查监测方案</w:t>
      </w:r>
    </w:p>
    <w:p>
      <w:pPr>
        <w:ind w:firstLine="560"/>
        <w:rPr>
          <w:rFonts w:cs="Times New Roman"/>
          <w:highlight w:val="none"/>
        </w:rPr>
      </w:pPr>
      <w:r>
        <w:rPr>
          <w:rFonts w:cs="Times New Roman"/>
          <w:highlight w:val="none"/>
        </w:rPr>
        <w:t>初步调查监测方案，应明确监测范围、监测介质、监测项目以及监测点位布设等。</w:t>
      </w:r>
    </w:p>
    <w:p>
      <w:pPr>
        <w:ind w:firstLine="562"/>
        <w:rPr>
          <w:rFonts w:cs="Times New Roman"/>
          <w:b/>
          <w:bCs/>
          <w:highlight w:val="none"/>
        </w:rPr>
      </w:pPr>
      <w:r>
        <w:rPr>
          <w:rFonts w:cs="Times New Roman"/>
          <w:b/>
          <w:bCs/>
          <w:highlight w:val="none"/>
        </w:rPr>
        <w:t>1、调查范围</w:t>
      </w:r>
    </w:p>
    <w:p>
      <w:pPr>
        <w:ind w:firstLine="560"/>
        <w:rPr>
          <w:rFonts w:cs="Times New Roman"/>
          <w:highlight w:val="none"/>
        </w:rPr>
      </w:pPr>
      <w:r>
        <w:rPr>
          <w:rFonts w:hint="eastAsia" w:cs="Times New Roman"/>
          <w:highlight w:val="none"/>
        </w:rPr>
        <w:t>监测范围通常为地块的边界范围内，即前期环境调查初步确定的地块边界范围。</w:t>
      </w:r>
    </w:p>
    <w:p>
      <w:pPr>
        <w:ind w:firstLine="562"/>
        <w:rPr>
          <w:rFonts w:cs="Times New Roman"/>
          <w:b/>
          <w:bCs/>
          <w:highlight w:val="none"/>
        </w:rPr>
      </w:pPr>
      <w:r>
        <w:rPr>
          <w:rFonts w:cs="Times New Roman"/>
          <w:b/>
          <w:bCs/>
          <w:highlight w:val="none"/>
        </w:rPr>
        <w:t>2、监测介质</w:t>
      </w:r>
    </w:p>
    <w:p>
      <w:pPr>
        <w:ind w:firstLine="560"/>
        <w:rPr>
          <w:rFonts w:cs="Times New Roman"/>
          <w:highlight w:val="none"/>
        </w:rPr>
      </w:pPr>
      <w:r>
        <w:rPr>
          <w:rFonts w:cs="Times New Roman"/>
          <w:highlight w:val="none"/>
        </w:rPr>
        <w:t>监测介质主要为地块土壤和地下水，根据地块具体情况还可能包括地表水、底泥和</w:t>
      </w:r>
      <w:r>
        <w:rPr>
          <w:rFonts w:hint="eastAsia" w:cs="Times New Roman"/>
          <w:highlight w:val="none"/>
        </w:rPr>
        <w:t>残余废弃物</w:t>
      </w:r>
      <w:r>
        <w:rPr>
          <w:rFonts w:cs="Times New Roman"/>
          <w:highlight w:val="none"/>
        </w:rPr>
        <w:t>等。</w:t>
      </w:r>
    </w:p>
    <w:p>
      <w:pPr>
        <w:ind w:firstLine="562"/>
        <w:rPr>
          <w:rFonts w:cs="Times New Roman"/>
          <w:b/>
          <w:bCs/>
          <w:highlight w:val="none"/>
        </w:rPr>
      </w:pPr>
      <w:r>
        <w:rPr>
          <w:rFonts w:cs="Times New Roman"/>
          <w:b/>
          <w:bCs/>
          <w:highlight w:val="none"/>
        </w:rPr>
        <w:t>3、监测项目</w:t>
      </w:r>
    </w:p>
    <w:p>
      <w:pPr>
        <w:ind w:firstLine="560"/>
        <w:rPr>
          <w:rFonts w:cs="Times New Roman"/>
          <w:highlight w:val="none"/>
        </w:rPr>
      </w:pPr>
      <w:r>
        <w:rPr>
          <w:rFonts w:hint="eastAsia" w:cs="Times New Roman"/>
          <w:highlight w:val="none"/>
        </w:rPr>
        <w:t>检测项目一般</w:t>
      </w:r>
      <w:r>
        <w:rPr>
          <w:rFonts w:cs="Times New Roman"/>
          <w:highlight w:val="none"/>
        </w:rPr>
        <w:t>包括重金属、挥发性有机物(VOCs)、半挥发性有机物(SVOCs)、总石油烃(TPH)、持久性有机污染物(POPs)、氰化物、氟化物、氨氮、农药等。实际环境调查过程中应根据地块具体情况进行分析确定</w:t>
      </w:r>
      <w:r>
        <w:rPr>
          <w:rFonts w:hint="eastAsia" w:cs="Times New Roman"/>
          <w:highlight w:val="none"/>
        </w:rPr>
        <w:t>监测</w:t>
      </w:r>
      <w:r>
        <w:rPr>
          <w:rFonts w:cs="Times New Roman"/>
          <w:highlight w:val="none"/>
        </w:rPr>
        <w:t>因子，且地块历史若涉及多个不同行业类型，潜在特征污染物监测因子要叠加。</w:t>
      </w:r>
    </w:p>
    <w:p>
      <w:pPr>
        <w:ind w:firstLine="560"/>
        <w:rPr>
          <w:rFonts w:cs="Times New Roman"/>
          <w:bCs/>
          <w:highlight w:val="none"/>
        </w:rPr>
      </w:pPr>
      <w:r>
        <w:rPr>
          <w:rFonts w:cs="Times New Roman"/>
          <w:highlight w:val="none"/>
        </w:rPr>
        <w:t>（1）土壤检测项目</w:t>
      </w:r>
      <w:r>
        <w:rPr>
          <w:rFonts w:hint="eastAsia" w:cs="Times New Roman"/>
          <w:highlight w:val="none"/>
        </w:rPr>
        <w:t>：土壤必测项目</w:t>
      </w:r>
      <w:r>
        <w:rPr>
          <w:rFonts w:cs="Times New Roman"/>
          <w:highlight w:val="none"/>
        </w:rPr>
        <w:t>按《土壤环境质量 建设用地土壤污染风险管控标准》（GB36600）</w:t>
      </w:r>
      <w:r>
        <w:rPr>
          <w:rFonts w:hint="eastAsia" w:cs="Times New Roman"/>
          <w:highlight w:val="none"/>
        </w:rPr>
        <w:t>表1</w:t>
      </w:r>
      <w:r>
        <w:rPr>
          <w:rFonts w:cs="Times New Roman"/>
          <w:highlight w:val="none"/>
        </w:rPr>
        <w:t>执行</w:t>
      </w:r>
      <w:r>
        <w:rPr>
          <w:rFonts w:hint="eastAsia" w:cs="Times New Roman"/>
          <w:highlight w:val="none"/>
        </w:rPr>
        <w:t>。</w:t>
      </w:r>
      <w:r>
        <w:rPr>
          <w:rFonts w:hint="eastAsia" w:cs="Times New Roman"/>
          <w:bCs/>
          <w:highlight w:val="none"/>
        </w:rPr>
        <w:t>选测项目</w:t>
      </w:r>
      <w:r>
        <w:rPr>
          <w:rFonts w:cs="Times New Roman"/>
          <w:bCs/>
          <w:highlight w:val="none"/>
        </w:rPr>
        <w:t>应根据地块污染识别</w:t>
      </w:r>
      <w:r>
        <w:rPr>
          <w:rFonts w:hint="eastAsia" w:cs="Times New Roman"/>
          <w:bCs/>
          <w:highlight w:val="none"/>
        </w:rPr>
        <w:t>确定的特征污染物</w:t>
      </w:r>
      <w:r>
        <w:rPr>
          <w:rFonts w:cs="Times New Roman"/>
          <w:bCs/>
          <w:highlight w:val="none"/>
        </w:rPr>
        <w:t>选取</w:t>
      </w:r>
      <w:r>
        <w:rPr>
          <w:rFonts w:hint="eastAsia" w:cs="Times New Roman"/>
          <w:bCs/>
          <w:highlight w:val="none"/>
        </w:rPr>
        <w:t>。</w:t>
      </w:r>
    </w:p>
    <w:p>
      <w:pPr>
        <w:ind w:firstLine="560"/>
        <w:rPr>
          <w:rFonts w:cs="Times New Roman"/>
          <w:bCs/>
          <w:highlight w:val="none"/>
        </w:rPr>
      </w:pPr>
      <w:r>
        <w:rPr>
          <w:rFonts w:hint="eastAsia" w:cs="Times New Roman"/>
          <w:bCs/>
          <w:highlight w:val="none"/>
        </w:rPr>
        <w:t>（2）地下水检测项目：地下水不设必测项目，选测项目</w:t>
      </w:r>
      <w:r>
        <w:rPr>
          <w:rFonts w:cs="Times New Roman"/>
          <w:bCs/>
          <w:highlight w:val="none"/>
        </w:rPr>
        <w:t>应根据地块污染识别</w:t>
      </w:r>
      <w:r>
        <w:rPr>
          <w:rFonts w:hint="eastAsia" w:cs="Times New Roman"/>
          <w:bCs/>
          <w:highlight w:val="none"/>
        </w:rPr>
        <w:t>确定的特征污染物</w:t>
      </w:r>
      <w:r>
        <w:rPr>
          <w:rFonts w:cs="Times New Roman"/>
          <w:bCs/>
          <w:highlight w:val="none"/>
        </w:rPr>
        <w:t>选取</w:t>
      </w:r>
      <w:r>
        <w:rPr>
          <w:rFonts w:hint="eastAsia" w:cs="Times New Roman"/>
          <w:bCs/>
          <w:highlight w:val="none"/>
        </w:rPr>
        <w:t>。</w:t>
      </w:r>
    </w:p>
    <w:p>
      <w:pPr>
        <w:ind w:firstLine="560"/>
        <w:rPr>
          <w:rFonts w:cs="Times New Roman"/>
          <w:bCs/>
          <w:highlight w:val="none"/>
        </w:rPr>
      </w:pPr>
      <w:r>
        <w:rPr>
          <w:rFonts w:hint="eastAsia" w:cs="Times New Roman"/>
          <w:bCs/>
          <w:highlight w:val="none"/>
        </w:rPr>
        <w:t>（3）底泥检测项目：参照土壤检测项目执行。</w:t>
      </w:r>
    </w:p>
    <w:p>
      <w:pPr>
        <w:ind w:firstLine="560"/>
        <w:rPr>
          <w:rFonts w:cs="Times New Roman"/>
          <w:bCs/>
          <w:highlight w:val="none"/>
        </w:rPr>
      </w:pPr>
      <w:r>
        <w:rPr>
          <w:rFonts w:hint="eastAsia" w:cs="Times New Roman"/>
          <w:bCs/>
          <w:highlight w:val="none"/>
        </w:rPr>
        <w:t>（4）地表水检测项目：参照地下水检测项目执行。</w:t>
      </w:r>
    </w:p>
    <w:p>
      <w:pPr>
        <w:ind w:firstLine="560"/>
        <w:rPr>
          <w:rFonts w:cs="Times New Roman"/>
          <w:bCs/>
          <w:highlight w:val="none"/>
        </w:rPr>
      </w:pPr>
      <w:r>
        <w:rPr>
          <w:rFonts w:hint="eastAsia" w:cs="Times New Roman"/>
          <w:bCs/>
          <w:highlight w:val="none"/>
        </w:rPr>
        <w:t>（5）残余废弃物检测项目：</w:t>
      </w:r>
      <w:r>
        <w:rPr>
          <w:rFonts w:cs="Times New Roman"/>
          <w:bCs/>
          <w:highlight w:val="none"/>
        </w:rPr>
        <w:t>根据地块污染识别</w:t>
      </w:r>
      <w:r>
        <w:rPr>
          <w:rFonts w:hint="eastAsia" w:cs="Times New Roman"/>
          <w:bCs/>
          <w:highlight w:val="none"/>
        </w:rPr>
        <w:t>确定的特征污染物</w:t>
      </w:r>
      <w:r>
        <w:rPr>
          <w:rFonts w:cs="Times New Roman"/>
          <w:bCs/>
          <w:highlight w:val="none"/>
        </w:rPr>
        <w:t>选取</w:t>
      </w:r>
      <w:r>
        <w:rPr>
          <w:rFonts w:hint="eastAsia" w:cs="Times New Roman"/>
          <w:bCs/>
          <w:highlight w:val="none"/>
        </w:rPr>
        <w:t>检测</w:t>
      </w:r>
      <w:r>
        <w:rPr>
          <w:rFonts w:cs="Times New Roman"/>
          <w:bCs/>
          <w:highlight w:val="none"/>
        </w:rPr>
        <w:t>项目</w:t>
      </w:r>
      <w:r>
        <w:rPr>
          <w:rFonts w:hint="eastAsia" w:cs="Times New Roman"/>
          <w:bCs/>
          <w:highlight w:val="none"/>
        </w:rPr>
        <w:t>。</w:t>
      </w:r>
    </w:p>
    <w:p>
      <w:pPr>
        <w:ind w:firstLine="562"/>
        <w:rPr>
          <w:rFonts w:cs="Times New Roman"/>
          <w:b/>
          <w:bCs/>
          <w:highlight w:val="none"/>
        </w:rPr>
      </w:pPr>
      <w:r>
        <w:rPr>
          <w:rFonts w:cs="Times New Roman"/>
          <w:b/>
          <w:bCs/>
          <w:highlight w:val="none"/>
        </w:rPr>
        <w:t>4、点位布设</w:t>
      </w:r>
    </w:p>
    <w:p>
      <w:pPr>
        <w:ind w:firstLine="562"/>
        <w:rPr>
          <w:rFonts w:cs="Times New Roman"/>
          <w:b/>
          <w:bCs/>
          <w:highlight w:val="none"/>
        </w:rPr>
      </w:pPr>
      <w:r>
        <w:rPr>
          <w:rFonts w:cs="Times New Roman"/>
          <w:b/>
          <w:bCs/>
          <w:highlight w:val="none"/>
        </w:rPr>
        <w:t>（1）土壤点位布设</w:t>
      </w:r>
    </w:p>
    <w:p>
      <w:pPr>
        <w:ind w:firstLine="560"/>
        <w:rPr>
          <w:rFonts w:cs="Times New Roman"/>
          <w:highlight w:val="none"/>
        </w:rPr>
      </w:pPr>
      <w:r>
        <w:rPr>
          <w:rFonts w:cs="Times New Roman"/>
          <w:highlight w:val="none"/>
        </w:rPr>
        <w:t xml:space="preserve">初步调查采样点可采用“专业判断+系统布点”原则布设，布设在重点区域和其他区域内的关键疑似污染位置。 </w:t>
      </w:r>
    </w:p>
    <w:p>
      <w:pPr>
        <w:ind w:firstLine="560"/>
        <w:rPr>
          <w:rFonts w:cs="Times New Roman"/>
          <w:highlight w:val="none"/>
        </w:rPr>
      </w:pPr>
      <w:r>
        <w:rPr>
          <w:rFonts w:cs="Times New Roman"/>
          <w:highlight w:val="none"/>
        </w:rPr>
        <w:t>土壤监测点位数量应满足：地块面积≤5000 m</w:t>
      </w:r>
      <w:r>
        <w:rPr>
          <w:rFonts w:cs="Times New Roman"/>
          <w:highlight w:val="none"/>
          <w:vertAlign w:val="superscript"/>
        </w:rPr>
        <w:t>2</w:t>
      </w:r>
      <w:r>
        <w:rPr>
          <w:rFonts w:cs="Times New Roman"/>
          <w:highlight w:val="none"/>
        </w:rPr>
        <w:t>，土壤采样点位数不少于3个；地块面积＞5000 m</w:t>
      </w:r>
      <w:r>
        <w:rPr>
          <w:rFonts w:cs="Times New Roman"/>
          <w:highlight w:val="none"/>
          <w:vertAlign w:val="superscript"/>
        </w:rPr>
        <w:t>2</w:t>
      </w:r>
      <w:r>
        <w:rPr>
          <w:rFonts w:cs="Times New Roman"/>
          <w:highlight w:val="none"/>
        </w:rPr>
        <w:t>，土壤采样点位数不少于6个。</w:t>
      </w:r>
    </w:p>
    <w:p>
      <w:pPr>
        <w:ind w:firstLine="562"/>
        <w:rPr>
          <w:rFonts w:cs="Times New Roman"/>
          <w:highlight w:val="none"/>
        </w:rPr>
      </w:pPr>
      <w:r>
        <w:rPr>
          <w:rFonts w:cs="Times New Roman"/>
          <w:b/>
          <w:bCs/>
          <w:highlight w:val="none"/>
        </w:rPr>
        <w:fldChar w:fldCharType="begin"/>
      </w:r>
      <w:r>
        <w:rPr>
          <w:rFonts w:cs="Times New Roman"/>
          <w:b/>
          <w:bCs/>
          <w:highlight w:val="none"/>
        </w:rPr>
        <w:instrText xml:space="preserve"> = 1 \* GB3 </w:instrText>
      </w:r>
      <w:r>
        <w:rPr>
          <w:rFonts w:cs="Times New Roman"/>
          <w:b/>
          <w:bCs/>
          <w:highlight w:val="none"/>
        </w:rPr>
        <w:fldChar w:fldCharType="separate"/>
      </w:r>
      <w:r>
        <w:rPr>
          <w:rFonts w:hint="eastAsia" w:ascii="宋体" w:hAnsi="宋体" w:eastAsia="宋体" w:cs="宋体"/>
          <w:b/>
          <w:bCs/>
          <w:highlight w:val="none"/>
        </w:rPr>
        <w:t>①</w:t>
      </w:r>
      <w:r>
        <w:rPr>
          <w:rFonts w:cs="Times New Roman"/>
          <w:b/>
          <w:bCs/>
          <w:highlight w:val="none"/>
        </w:rPr>
        <w:fldChar w:fldCharType="end"/>
      </w:r>
      <w:r>
        <w:rPr>
          <w:rFonts w:cs="Times New Roman"/>
          <w:b/>
          <w:bCs/>
          <w:highlight w:val="none"/>
        </w:rPr>
        <w:t>重点区域</w:t>
      </w:r>
      <w:r>
        <w:rPr>
          <w:rFonts w:cs="Times New Roman"/>
          <w:highlight w:val="none"/>
        </w:rPr>
        <w:t>：</w:t>
      </w:r>
    </w:p>
    <w:p>
      <w:pPr>
        <w:ind w:firstLine="560"/>
        <w:rPr>
          <w:rFonts w:cs="Times New Roman"/>
          <w:highlight w:val="none"/>
        </w:rPr>
      </w:pPr>
      <w:r>
        <w:rPr>
          <w:rFonts w:cs="Times New Roman"/>
          <w:highlight w:val="none"/>
        </w:rPr>
        <w:t>包括：</w:t>
      </w:r>
    </w:p>
    <w:p>
      <w:pPr>
        <w:ind w:firstLine="560"/>
        <w:rPr>
          <w:rFonts w:cs="Times New Roman"/>
          <w:highlight w:val="none"/>
        </w:rPr>
      </w:pPr>
      <w:r>
        <w:rPr>
          <w:rFonts w:cs="Times New Roman"/>
          <w:highlight w:val="none"/>
        </w:rPr>
        <w:t>a)</w:t>
      </w:r>
      <w:r>
        <w:rPr>
          <w:rFonts w:cs="Times New Roman"/>
          <w:highlight w:val="none"/>
        </w:rPr>
        <w:tab/>
      </w:r>
      <w:r>
        <w:rPr>
          <w:rFonts w:cs="Times New Roman"/>
          <w:highlight w:val="none"/>
        </w:rPr>
        <w:t>涉及有毒有害物质的生产装置区和辅助设施区；</w:t>
      </w:r>
    </w:p>
    <w:p>
      <w:pPr>
        <w:ind w:firstLine="560"/>
        <w:rPr>
          <w:rFonts w:cs="Times New Roman"/>
          <w:highlight w:val="none"/>
        </w:rPr>
      </w:pPr>
      <w:r>
        <w:rPr>
          <w:rFonts w:cs="Times New Roman"/>
          <w:highlight w:val="none"/>
        </w:rPr>
        <w:t>b)</w:t>
      </w:r>
      <w:r>
        <w:rPr>
          <w:rFonts w:cs="Times New Roman"/>
          <w:highlight w:val="none"/>
        </w:rPr>
        <w:tab/>
      </w:r>
      <w:r>
        <w:rPr>
          <w:rFonts w:cs="Times New Roman"/>
          <w:highlight w:val="none"/>
        </w:rPr>
        <w:t>涉及有毒有害物质的储槽、储罐等储存及装卸区域；</w:t>
      </w:r>
    </w:p>
    <w:p>
      <w:pPr>
        <w:ind w:firstLine="560"/>
        <w:rPr>
          <w:rFonts w:cs="Times New Roman"/>
          <w:highlight w:val="none"/>
        </w:rPr>
      </w:pPr>
      <w:r>
        <w:rPr>
          <w:rFonts w:cs="Times New Roman"/>
          <w:highlight w:val="none"/>
        </w:rPr>
        <w:t>c)</w:t>
      </w:r>
      <w:r>
        <w:rPr>
          <w:rFonts w:cs="Times New Roman"/>
          <w:highlight w:val="none"/>
        </w:rPr>
        <w:tab/>
      </w:r>
      <w:r>
        <w:rPr>
          <w:rFonts w:cs="Times New Roman"/>
          <w:highlight w:val="none"/>
        </w:rPr>
        <w:t>有毒有害物质输送管廊、地下输送管线；</w:t>
      </w:r>
    </w:p>
    <w:p>
      <w:pPr>
        <w:ind w:firstLine="560"/>
        <w:rPr>
          <w:rFonts w:cs="Times New Roman"/>
          <w:highlight w:val="none"/>
        </w:rPr>
      </w:pPr>
      <w:r>
        <w:rPr>
          <w:rFonts w:cs="Times New Roman"/>
          <w:highlight w:val="none"/>
        </w:rPr>
        <w:t>d)</w:t>
      </w:r>
      <w:r>
        <w:rPr>
          <w:rFonts w:cs="Times New Roman"/>
          <w:highlight w:val="none"/>
        </w:rPr>
        <w:tab/>
      </w:r>
      <w:r>
        <w:rPr>
          <w:rFonts w:cs="Times New Roman"/>
          <w:highlight w:val="none"/>
        </w:rPr>
        <w:t>污染处理设施区域；</w:t>
      </w:r>
    </w:p>
    <w:p>
      <w:pPr>
        <w:ind w:firstLine="560"/>
        <w:rPr>
          <w:rFonts w:cs="Times New Roman"/>
          <w:highlight w:val="none"/>
        </w:rPr>
      </w:pPr>
      <w:r>
        <w:rPr>
          <w:rFonts w:cs="Times New Roman"/>
          <w:highlight w:val="none"/>
        </w:rPr>
        <w:t>e)</w:t>
      </w:r>
      <w:r>
        <w:rPr>
          <w:rFonts w:cs="Times New Roman"/>
          <w:highlight w:val="none"/>
        </w:rPr>
        <w:tab/>
      </w:r>
      <w:r>
        <w:rPr>
          <w:rFonts w:cs="Times New Roman"/>
          <w:highlight w:val="none"/>
        </w:rPr>
        <w:t>危险废物储存库；</w:t>
      </w:r>
    </w:p>
    <w:p>
      <w:pPr>
        <w:ind w:firstLine="560"/>
        <w:rPr>
          <w:rFonts w:cs="Times New Roman"/>
          <w:highlight w:val="none"/>
        </w:rPr>
      </w:pPr>
      <w:r>
        <w:rPr>
          <w:rFonts w:cs="Times New Roman"/>
          <w:highlight w:val="none"/>
        </w:rPr>
        <w:t>f)</w:t>
      </w:r>
      <w:r>
        <w:rPr>
          <w:rFonts w:cs="Times New Roman"/>
          <w:highlight w:val="none"/>
        </w:rPr>
        <w:tab/>
      </w:r>
      <w:r>
        <w:rPr>
          <w:rFonts w:cs="Times New Roman"/>
          <w:highlight w:val="none"/>
        </w:rPr>
        <w:t>历史上可能</w:t>
      </w:r>
      <w:r>
        <w:rPr>
          <w:rFonts w:hint="eastAsia" w:cs="Times New Roman"/>
          <w:highlight w:val="none"/>
          <w:lang w:eastAsia="zh-CN"/>
        </w:rPr>
        <w:t>存在</w:t>
      </w:r>
      <w:r>
        <w:rPr>
          <w:rFonts w:cs="Times New Roman"/>
          <w:highlight w:val="none"/>
        </w:rPr>
        <w:t>废渣地下填埋</w:t>
      </w:r>
      <w:r>
        <w:rPr>
          <w:rFonts w:hint="eastAsia" w:cs="Times New Roman"/>
          <w:highlight w:val="none"/>
          <w:lang w:eastAsia="zh-CN"/>
        </w:rPr>
        <w:t>的</w:t>
      </w:r>
      <w:r>
        <w:rPr>
          <w:rFonts w:cs="Times New Roman"/>
          <w:highlight w:val="none"/>
        </w:rPr>
        <w:t>区</w:t>
      </w:r>
      <w:r>
        <w:rPr>
          <w:rFonts w:hint="eastAsia" w:cs="Times New Roman"/>
          <w:highlight w:val="none"/>
          <w:lang w:eastAsia="zh-CN"/>
        </w:rPr>
        <w:t>域</w:t>
      </w:r>
      <w:r>
        <w:rPr>
          <w:rFonts w:cs="Times New Roman"/>
          <w:highlight w:val="none"/>
        </w:rPr>
        <w:t>；</w:t>
      </w:r>
    </w:p>
    <w:p>
      <w:pPr>
        <w:ind w:firstLine="560"/>
        <w:rPr>
          <w:rFonts w:cs="Times New Roman"/>
          <w:highlight w:val="none"/>
        </w:rPr>
      </w:pPr>
      <w:r>
        <w:rPr>
          <w:rFonts w:cs="Times New Roman"/>
          <w:highlight w:val="none"/>
        </w:rPr>
        <w:t>g)</w:t>
      </w:r>
      <w:r>
        <w:rPr>
          <w:rFonts w:cs="Times New Roman"/>
          <w:highlight w:val="none"/>
        </w:rPr>
        <w:tab/>
      </w:r>
      <w:r>
        <w:rPr>
          <w:rFonts w:cs="Times New Roman"/>
          <w:highlight w:val="none"/>
        </w:rPr>
        <w:t>污染事故影响区域；</w:t>
      </w:r>
    </w:p>
    <w:p>
      <w:pPr>
        <w:ind w:firstLine="560"/>
        <w:rPr>
          <w:rFonts w:cs="Times New Roman"/>
          <w:highlight w:val="none"/>
        </w:rPr>
      </w:pPr>
      <w:r>
        <w:rPr>
          <w:rFonts w:cs="Times New Roman"/>
          <w:highlight w:val="none"/>
        </w:rPr>
        <w:t>h)</w:t>
      </w:r>
      <w:r>
        <w:rPr>
          <w:rFonts w:cs="Times New Roman"/>
          <w:highlight w:val="none"/>
        </w:rPr>
        <w:tab/>
      </w:r>
      <w:r>
        <w:rPr>
          <w:rFonts w:cs="Times New Roman"/>
          <w:highlight w:val="none"/>
        </w:rPr>
        <w:t>有异味、异色和明显污染痕迹的区域；</w:t>
      </w:r>
    </w:p>
    <w:p>
      <w:pPr>
        <w:ind w:firstLine="560"/>
        <w:rPr>
          <w:rFonts w:cs="Times New Roman"/>
          <w:highlight w:val="none"/>
        </w:rPr>
      </w:pPr>
      <w:r>
        <w:rPr>
          <w:rFonts w:cs="Times New Roman"/>
          <w:highlight w:val="none"/>
        </w:rPr>
        <w:t>i)</w:t>
      </w:r>
      <w:r>
        <w:rPr>
          <w:rFonts w:cs="Times New Roman"/>
          <w:highlight w:val="none"/>
        </w:rPr>
        <w:tab/>
      </w:r>
      <w:r>
        <w:rPr>
          <w:rFonts w:cs="Times New Roman"/>
          <w:highlight w:val="none"/>
        </w:rPr>
        <w:t>其他涉及有毒有害物质的区域等。</w:t>
      </w:r>
    </w:p>
    <w:p>
      <w:pPr>
        <w:ind w:firstLine="560"/>
        <w:rPr>
          <w:rFonts w:cs="Times New Roman"/>
          <w:highlight w:val="none"/>
        </w:rPr>
      </w:pPr>
      <w:r>
        <w:rPr>
          <w:rFonts w:cs="Times New Roman"/>
          <w:highlight w:val="none"/>
        </w:rPr>
        <w:t>重点区域应采用专业判断布点法</w:t>
      </w:r>
      <w:r>
        <w:rPr>
          <w:rFonts w:hint="eastAsia" w:cs="Times New Roman"/>
          <w:highlight w:val="none"/>
        </w:rPr>
        <w:t>和</w:t>
      </w:r>
      <w:r>
        <w:rPr>
          <w:rFonts w:cs="Times New Roman"/>
          <w:highlight w:val="none"/>
        </w:rPr>
        <w:t>系统布点法布设采样点。专业判断布点法采样点应尽可能接近区域内的关键疑似污染位置；系统布点法应按正方形网格划分采样单元，在每个采样单元中布设采样点，采样密度保证单个采样单元面积原则上不超过40 m×40 m。当无法在疑似污染区域，特别是罐槽、污染设施等底部采样时，可作适当偏移。</w:t>
      </w:r>
    </w:p>
    <w:p>
      <w:pPr>
        <w:ind w:firstLine="560"/>
        <w:rPr>
          <w:rFonts w:cs="Times New Roman"/>
          <w:highlight w:val="none"/>
        </w:rPr>
      </w:pPr>
      <w:r>
        <w:rPr>
          <w:rFonts w:cs="Times New Roman"/>
          <w:highlight w:val="none"/>
        </w:rPr>
        <w:t xml:space="preserve"> </w:t>
      </w:r>
      <w:r>
        <w:rPr>
          <w:rFonts w:cs="Times New Roman"/>
          <w:b/>
          <w:bCs/>
          <w:highlight w:val="none"/>
        </w:rPr>
        <w:fldChar w:fldCharType="begin"/>
      </w:r>
      <w:r>
        <w:rPr>
          <w:rFonts w:cs="Times New Roman"/>
          <w:b/>
          <w:bCs/>
          <w:highlight w:val="none"/>
        </w:rPr>
        <w:instrText xml:space="preserve"> = 2 \* GB3 </w:instrText>
      </w:r>
      <w:r>
        <w:rPr>
          <w:rFonts w:cs="Times New Roman"/>
          <w:b/>
          <w:bCs/>
          <w:highlight w:val="none"/>
        </w:rPr>
        <w:fldChar w:fldCharType="separate"/>
      </w:r>
      <w:r>
        <w:rPr>
          <w:rFonts w:hint="eastAsia" w:ascii="宋体" w:hAnsi="宋体" w:eastAsia="宋体" w:cs="宋体"/>
          <w:b/>
          <w:bCs/>
          <w:highlight w:val="none"/>
        </w:rPr>
        <w:t>②</w:t>
      </w:r>
      <w:r>
        <w:rPr>
          <w:rFonts w:cs="Times New Roman"/>
          <w:b/>
          <w:bCs/>
          <w:highlight w:val="none"/>
        </w:rPr>
        <w:fldChar w:fldCharType="end"/>
      </w:r>
      <w:r>
        <w:rPr>
          <w:rFonts w:cs="Times New Roman"/>
          <w:b/>
          <w:bCs/>
          <w:highlight w:val="none"/>
        </w:rPr>
        <w:t>其他区域：</w:t>
      </w:r>
      <w:r>
        <w:rPr>
          <w:rFonts w:cs="Times New Roman"/>
          <w:highlight w:val="none"/>
        </w:rPr>
        <w:t>对于历史上未包含上述重点区域建设内容且未发生过污染事故的生活和办公等其他区域，初步调查阶段可采取系统随机布点法和</w:t>
      </w:r>
      <w:r>
        <w:rPr>
          <w:rFonts w:cs="Times New Roman"/>
          <w:color w:val="auto"/>
          <w:highlight w:val="none"/>
        </w:rPr>
        <w:t>分区布点法，布设少量采样点位</w:t>
      </w:r>
      <w:r>
        <w:rPr>
          <w:rFonts w:hint="eastAsia" w:cs="Times New Roman"/>
          <w:color w:val="auto"/>
          <w:highlight w:val="none"/>
        </w:rPr>
        <w:t>，采样密度保证每个采样单元面积原则上不超过100</w:t>
      </w:r>
      <w:r>
        <w:rPr>
          <w:rFonts w:cs="Times New Roman"/>
          <w:color w:val="auto"/>
          <w:highlight w:val="none"/>
        </w:rPr>
        <w:t xml:space="preserve"> m×100 </w:t>
      </w:r>
      <w:r>
        <w:rPr>
          <w:rFonts w:hint="eastAsia" w:cs="Times New Roman"/>
          <w:color w:val="auto"/>
          <w:highlight w:val="none"/>
        </w:rPr>
        <w:t>m，若</w:t>
      </w:r>
      <w:r>
        <w:rPr>
          <w:rFonts w:hint="eastAsia" w:cs="Times New Roman"/>
          <w:color w:val="auto"/>
          <w:highlight w:val="none"/>
          <w:lang w:val="en"/>
        </w:rPr>
        <w:t>地块面积≤5000m</w:t>
      </w:r>
      <w:r>
        <w:rPr>
          <w:rFonts w:cs="Times New Roman"/>
          <w:color w:val="auto"/>
          <w:highlight w:val="none"/>
          <w:vertAlign w:val="superscript"/>
          <w:lang w:val="en"/>
        </w:rPr>
        <w:t>2</w:t>
      </w:r>
      <w:r>
        <w:rPr>
          <w:rFonts w:hint="eastAsia" w:cs="Times New Roman"/>
          <w:color w:val="auto"/>
          <w:highlight w:val="none"/>
          <w:lang w:val="en"/>
        </w:rPr>
        <w:t>，土壤采样点位数不少于3个；若地块面积＞5000m</w:t>
      </w:r>
      <w:r>
        <w:rPr>
          <w:rFonts w:cs="Times New Roman"/>
          <w:color w:val="auto"/>
          <w:highlight w:val="none"/>
          <w:vertAlign w:val="superscript"/>
          <w:lang w:val="en"/>
        </w:rPr>
        <w:t>2</w:t>
      </w:r>
      <w:r>
        <w:rPr>
          <w:rFonts w:hint="eastAsia" w:cs="Times New Roman"/>
          <w:color w:val="auto"/>
          <w:highlight w:val="none"/>
          <w:lang w:val="en"/>
        </w:rPr>
        <w:t>，土壤采样点位数不少于6个</w:t>
      </w:r>
      <w:r>
        <w:rPr>
          <w:rFonts w:hint="eastAsia" w:cs="Times New Roman"/>
          <w:color w:val="auto"/>
          <w:highlight w:val="none"/>
        </w:rPr>
        <w:t>。</w:t>
      </w:r>
    </w:p>
    <w:p>
      <w:pPr>
        <w:ind w:firstLine="562"/>
        <w:rPr>
          <w:rFonts w:cs="Times New Roman"/>
          <w:b/>
          <w:bCs/>
          <w:highlight w:val="none"/>
        </w:rPr>
      </w:pPr>
      <w:r>
        <w:rPr>
          <w:rFonts w:cs="Times New Roman"/>
          <w:b/>
          <w:bCs/>
          <w:highlight w:val="none"/>
        </w:rPr>
        <w:t>（2）地下水点位布设</w:t>
      </w:r>
      <w:bookmarkStart w:id="6" w:name="_Hlk39654045"/>
    </w:p>
    <w:p>
      <w:pPr>
        <w:ind w:firstLine="560"/>
        <w:rPr>
          <w:rFonts w:cs="Times New Roman"/>
          <w:highlight w:val="none"/>
        </w:rPr>
      </w:pPr>
      <w:r>
        <w:rPr>
          <w:rFonts w:hint="eastAsia" w:cs="Times New Roman"/>
          <w:highlight w:val="none"/>
        </w:rPr>
        <w:t>1）</w:t>
      </w:r>
      <w:r>
        <w:rPr>
          <w:rFonts w:cs="Times New Roman"/>
          <w:highlight w:val="none"/>
        </w:rPr>
        <w:t>地下水采样点的布设应考虑地下水的流向、水力坡降、含水层渗透性、埋深和厚度等水文地质条件及污染源和污染物迁移转化等因素</w:t>
      </w:r>
      <w:r>
        <w:rPr>
          <w:rFonts w:hint="eastAsia" w:cs="Times New Roman"/>
          <w:highlight w:val="none"/>
        </w:rPr>
        <w:t>；</w:t>
      </w:r>
      <w:r>
        <w:rPr>
          <w:rFonts w:cs="Times New Roman"/>
          <w:highlight w:val="none"/>
        </w:rPr>
        <w:t>如果地块地下水流向未知，应结合相关污染信息，间隔一定距离按三角形或四边形布设3~4 个地下水点位判断地下水流向。</w:t>
      </w:r>
    </w:p>
    <w:p>
      <w:pPr>
        <w:ind w:firstLine="560"/>
        <w:rPr>
          <w:rFonts w:cs="Times New Roman"/>
          <w:highlight w:val="none"/>
        </w:rPr>
      </w:pPr>
      <w:r>
        <w:rPr>
          <w:rFonts w:hint="eastAsia" w:cs="Times New Roman"/>
          <w:highlight w:val="none"/>
        </w:rPr>
        <w:t>2）地下水监测点应以地下水流向为主与垂直地下水流向为辅相结合布设监测点。监测点位布设在地下水流向上下游、地下水疑似污染区域和垂直于地下水流方向调查区的两侧。若地块的面积较大，地下水污染较重且地下水较丰富，可在地下水上游和下游各增加1个</w:t>
      </w:r>
      <w:r>
        <w:rPr>
          <w:rFonts w:hint="eastAsia" w:cs="Times New Roman"/>
          <w:highlight w:val="none"/>
          <w:lang w:val="en-US" w:eastAsia="zh-CN"/>
        </w:rPr>
        <w:t>~</w:t>
      </w:r>
      <w:r>
        <w:rPr>
          <w:rFonts w:cs="Times New Roman"/>
          <w:highlight w:val="none"/>
        </w:rPr>
        <w:t>2</w:t>
      </w:r>
      <w:r>
        <w:rPr>
          <w:rFonts w:hint="eastAsia" w:cs="Times New Roman"/>
          <w:highlight w:val="none"/>
        </w:rPr>
        <w:t>个监测井。</w:t>
      </w:r>
    </w:p>
    <w:p>
      <w:pPr>
        <w:ind w:firstLine="560"/>
        <w:rPr>
          <w:rFonts w:cs="Times New Roman"/>
          <w:highlight w:val="none"/>
        </w:rPr>
      </w:pPr>
      <w:r>
        <w:rPr>
          <w:rFonts w:hint="eastAsia" w:cs="Times New Roman"/>
          <w:highlight w:val="none"/>
        </w:rPr>
        <w:t>3）</w:t>
      </w:r>
      <w:r>
        <w:rPr>
          <w:rFonts w:cs="Times New Roman"/>
          <w:highlight w:val="none"/>
        </w:rPr>
        <w:t>地下水以调查浅层地下水为主</w:t>
      </w:r>
      <w:r>
        <w:rPr>
          <w:rFonts w:hint="eastAsia" w:cs="Times New Roman"/>
          <w:highlight w:val="none"/>
        </w:rPr>
        <w:t>，钻孔深度以揭露浅层地下水，且不穿透浅层地下水隔水板为准；若浅层地下水污染严重，且存在深层地下水时，可在做好分层止水的条件下增加一口深井至深层地下水；</w:t>
      </w:r>
      <w:r>
        <w:rPr>
          <w:rFonts w:cs="Times New Roman"/>
          <w:highlight w:val="none"/>
        </w:rPr>
        <w:t>若地块调查至基岩或风化层仍无地下水，须提供各地下水监测点位现场岩芯照片或其他可靠的佐证材料，可结束该地块地下水调查。</w:t>
      </w:r>
    </w:p>
    <w:p>
      <w:pPr>
        <w:ind w:firstLine="560"/>
        <w:rPr>
          <w:rFonts w:cs="Times New Roman"/>
          <w:highlight w:val="none"/>
        </w:rPr>
      </w:pPr>
      <w:r>
        <w:rPr>
          <w:rFonts w:hint="eastAsia" w:cs="Times New Roman"/>
          <w:highlight w:val="none"/>
        </w:rPr>
        <w:t>4）一般情况下，应在地下水流向上游的一定距离设置对照监测井。</w:t>
      </w:r>
      <w:r>
        <w:rPr>
          <w:rFonts w:cs="Times New Roman"/>
          <w:highlight w:val="none"/>
        </w:rPr>
        <w:t>对于地块内现有地下水监测井，如果符合地下水环境监测技术规范，则可以作为地下水的取样点或对照点。</w:t>
      </w:r>
    </w:p>
    <w:bookmarkEnd w:id="6"/>
    <w:p>
      <w:pPr>
        <w:ind w:firstLine="560"/>
        <w:rPr>
          <w:rFonts w:cs="Times New Roman"/>
          <w:highlight w:val="none"/>
        </w:rPr>
      </w:pPr>
      <w:r>
        <w:rPr>
          <w:rFonts w:cs="Times New Roman"/>
          <w:highlight w:val="none"/>
        </w:rPr>
        <w:t>地下水监测井建井和洗井应遵循表</w:t>
      </w:r>
      <w:r>
        <w:rPr>
          <w:rFonts w:hint="eastAsia" w:cs="Times New Roman"/>
          <w:highlight w:val="none"/>
        </w:rPr>
        <w:t>1</w:t>
      </w:r>
      <w:r>
        <w:rPr>
          <w:rFonts w:cs="Times New Roman"/>
          <w:highlight w:val="none"/>
        </w:rPr>
        <w:t>-2的要求：</w:t>
      </w:r>
    </w:p>
    <w:p>
      <w:pPr>
        <w:spacing w:line="590" w:lineRule="exact"/>
        <w:ind w:firstLine="480"/>
        <w:jc w:val="center"/>
        <w:rPr>
          <w:rFonts w:eastAsia="黑体" w:cs="Times New Roman"/>
          <w:sz w:val="24"/>
          <w:szCs w:val="24"/>
          <w:highlight w:val="none"/>
        </w:rPr>
      </w:pPr>
      <w:r>
        <w:rPr>
          <w:rFonts w:eastAsia="黑体" w:cs="Times New Roman"/>
          <w:sz w:val="24"/>
          <w:szCs w:val="24"/>
          <w:highlight w:val="none"/>
        </w:rPr>
        <w:t>表</w:t>
      </w:r>
      <w:r>
        <w:rPr>
          <w:rFonts w:hint="eastAsia" w:eastAsia="黑体" w:cs="Times New Roman"/>
          <w:sz w:val="24"/>
          <w:szCs w:val="24"/>
          <w:highlight w:val="none"/>
        </w:rPr>
        <w:t>1</w:t>
      </w:r>
      <w:r>
        <w:rPr>
          <w:rFonts w:eastAsia="黑体" w:cs="Times New Roman"/>
          <w:sz w:val="24"/>
          <w:szCs w:val="24"/>
          <w:highlight w:val="none"/>
        </w:rPr>
        <w:t>-2 地下水监测井建井洗井要求</w:t>
      </w:r>
    </w:p>
    <w:tbl>
      <w:tblPr>
        <w:tblStyle w:val="14"/>
        <w:tblW w:w="943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534"/>
        <w:gridCol w:w="1134"/>
        <w:gridCol w:w="776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33" w:hRule="atLeast"/>
        </w:trPr>
        <w:tc>
          <w:tcPr>
            <w:tcW w:w="534"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eastAsia="黑体" w:cs="Times New Roman"/>
                <w:sz w:val="24"/>
                <w:highlight w:val="none"/>
              </w:rPr>
            </w:pPr>
            <w:r>
              <w:rPr>
                <w:rFonts w:eastAsia="黑体" w:cs="Times New Roman"/>
                <w:sz w:val="24"/>
                <w:highlight w:val="none"/>
              </w:rPr>
              <w:t>序号</w:t>
            </w:r>
          </w:p>
        </w:tc>
        <w:tc>
          <w:tcPr>
            <w:tcW w:w="1134"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eastAsia="黑体" w:cs="Times New Roman"/>
                <w:sz w:val="24"/>
                <w:highlight w:val="none"/>
              </w:rPr>
            </w:pPr>
            <w:r>
              <w:rPr>
                <w:rFonts w:eastAsia="黑体" w:cs="Times New Roman"/>
                <w:sz w:val="24"/>
                <w:highlight w:val="none"/>
              </w:rPr>
              <w:t>工作</w:t>
            </w:r>
          </w:p>
          <w:p>
            <w:pPr>
              <w:spacing w:line="240" w:lineRule="auto"/>
              <w:ind w:firstLine="0" w:firstLineChars="0"/>
              <w:jc w:val="center"/>
              <w:rPr>
                <w:rFonts w:eastAsia="黑体" w:cs="Times New Roman"/>
                <w:sz w:val="24"/>
                <w:highlight w:val="none"/>
              </w:rPr>
            </w:pPr>
            <w:r>
              <w:rPr>
                <w:rFonts w:eastAsia="黑体" w:cs="Times New Roman"/>
                <w:sz w:val="24"/>
                <w:highlight w:val="none"/>
              </w:rPr>
              <w:t>步骤</w:t>
            </w:r>
          </w:p>
        </w:tc>
        <w:tc>
          <w:tcPr>
            <w:tcW w:w="776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480"/>
              <w:jc w:val="center"/>
              <w:rPr>
                <w:rFonts w:eastAsia="黑体" w:cs="Times New Roman"/>
                <w:sz w:val="24"/>
                <w:highlight w:val="none"/>
              </w:rPr>
            </w:pPr>
            <w:r>
              <w:rPr>
                <w:rFonts w:eastAsia="黑体" w:cs="Times New Roman"/>
                <w:sz w:val="24"/>
                <w:highlight w:val="none"/>
              </w:rPr>
              <w:t>要求</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4"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sz w:val="24"/>
                <w:szCs w:val="21"/>
                <w:highlight w:val="none"/>
              </w:rPr>
            </w:pPr>
            <w:r>
              <w:rPr>
                <w:rFonts w:cs="Times New Roman"/>
                <w:sz w:val="24"/>
                <w:szCs w:val="21"/>
                <w:highlight w:val="none"/>
              </w:rPr>
              <w:t>1</w:t>
            </w:r>
          </w:p>
        </w:tc>
        <w:tc>
          <w:tcPr>
            <w:tcW w:w="1134"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sz w:val="24"/>
                <w:szCs w:val="21"/>
                <w:highlight w:val="none"/>
              </w:rPr>
            </w:pPr>
            <w:r>
              <w:rPr>
                <w:rFonts w:cs="Times New Roman"/>
                <w:sz w:val="24"/>
                <w:szCs w:val="21"/>
                <w:highlight w:val="none"/>
              </w:rPr>
              <w:t>建立监测井</w:t>
            </w:r>
          </w:p>
        </w:tc>
        <w:tc>
          <w:tcPr>
            <w:tcW w:w="776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rPr>
                <w:rFonts w:cs="Times New Roman"/>
                <w:sz w:val="24"/>
                <w:szCs w:val="21"/>
                <w:highlight w:val="none"/>
              </w:rPr>
            </w:pPr>
            <w:r>
              <w:rPr>
                <w:rFonts w:cs="Times New Roman"/>
                <w:sz w:val="24"/>
                <w:szCs w:val="21"/>
                <w:highlight w:val="none"/>
              </w:rPr>
              <w:t>井管材料要有一定的强度，耐腐蚀，对地下水无污染。监测井井管内径不宜小于10 cm，以能够满足洗井和取水要求的口径为准。</w:t>
            </w:r>
            <w:r>
              <w:rPr>
                <w:rFonts w:hint="eastAsia" w:cs="Times New Roman"/>
                <w:sz w:val="24"/>
                <w:szCs w:val="21"/>
                <w:highlight w:val="none"/>
              </w:rPr>
              <w:t>井管连接不应使用有机粘接剂。监测井可根据实际情况设置为平台式或者隐蔽式监测井，井外设标示牌并注明相关信息。</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4" w:type="dxa"/>
            <w:vMerge w:val="restart"/>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sz w:val="24"/>
                <w:szCs w:val="21"/>
                <w:highlight w:val="none"/>
              </w:rPr>
            </w:pPr>
            <w:r>
              <w:rPr>
                <w:rFonts w:cs="Times New Roman"/>
                <w:sz w:val="24"/>
                <w:szCs w:val="21"/>
                <w:highlight w:val="none"/>
              </w:rPr>
              <w:t>2</w:t>
            </w:r>
          </w:p>
        </w:tc>
        <w:tc>
          <w:tcPr>
            <w:tcW w:w="1134" w:type="dxa"/>
            <w:vMerge w:val="restart"/>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sz w:val="24"/>
                <w:szCs w:val="21"/>
                <w:highlight w:val="none"/>
              </w:rPr>
            </w:pPr>
            <w:r>
              <w:rPr>
                <w:rFonts w:cs="Times New Roman"/>
                <w:sz w:val="24"/>
                <w:szCs w:val="21"/>
                <w:highlight w:val="none"/>
              </w:rPr>
              <w:t>洗井</w:t>
            </w:r>
          </w:p>
        </w:tc>
        <w:tc>
          <w:tcPr>
            <w:tcW w:w="776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rPr>
                <w:rFonts w:cs="Times New Roman"/>
                <w:sz w:val="24"/>
                <w:szCs w:val="21"/>
                <w:highlight w:val="none"/>
              </w:rPr>
            </w:pPr>
            <w:r>
              <w:rPr>
                <w:rFonts w:cs="Times New Roman"/>
                <w:sz w:val="24"/>
                <w:szCs w:val="21"/>
                <w:highlight w:val="none"/>
              </w:rPr>
              <w:t>1、建井后洗井：采样井建成24 h后洗井，洗井产生的水用专用容器收集，洗井水体积达到3倍以上井内水体积。</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34"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240" w:lineRule="auto"/>
              <w:ind w:firstLine="480"/>
              <w:jc w:val="center"/>
              <w:rPr>
                <w:rFonts w:cs="Times New Roman"/>
                <w:sz w:val="24"/>
                <w:szCs w:val="21"/>
                <w:highlight w:val="none"/>
              </w:rPr>
            </w:pPr>
          </w:p>
        </w:tc>
        <w:tc>
          <w:tcPr>
            <w:tcW w:w="1134"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240" w:lineRule="auto"/>
              <w:ind w:firstLine="480"/>
              <w:jc w:val="center"/>
              <w:rPr>
                <w:rFonts w:cs="Times New Roman"/>
                <w:sz w:val="24"/>
                <w:szCs w:val="21"/>
                <w:highlight w:val="none"/>
              </w:rPr>
            </w:pPr>
          </w:p>
        </w:tc>
        <w:tc>
          <w:tcPr>
            <w:tcW w:w="776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rPr>
                <w:rFonts w:cs="Times New Roman"/>
                <w:sz w:val="24"/>
                <w:szCs w:val="21"/>
                <w:highlight w:val="none"/>
              </w:rPr>
            </w:pPr>
            <w:r>
              <w:rPr>
                <w:rFonts w:cs="Times New Roman"/>
                <w:sz w:val="24"/>
                <w:szCs w:val="21"/>
                <w:highlight w:val="none"/>
              </w:rPr>
              <w:t>2、采样前洗井：在第一次洗井48 h后进行。采用贝勒管洗井的其洗出的水量要达到井中储水体积的3倍以上；采用气囊泵或低流量潜水泵洗井的，洗井过程地下水位下降小于10 cm；pH、温度、电导率、氧化还原点位、溶解氧及浊度连续三次测定</w:t>
            </w:r>
            <w:r>
              <w:rPr>
                <w:rFonts w:hint="eastAsia" w:cs="Times New Roman"/>
                <w:sz w:val="24"/>
                <w:szCs w:val="21"/>
                <w:highlight w:val="none"/>
              </w:rPr>
              <w:t>误差小于1</w:t>
            </w:r>
            <w:r>
              <w:rPr>
                <w:rFonts w:cs="Times New Roman"/>
                <w:sz w:val="24"/>
                <w:szCs w:val="21"/>
                <w:highlight w:val="none"/>
              </w:rPr>
              <w:t>0%。</w:t>
            </w:r>
          </w:p>
        </w:tc>
      </w:tr>
    </w:tbl>
    <w:p>
      <w:pPr>
        <w:spacing w:before="120" w:beforeLines="50"/>
        <w:ind w:firstLine="562"/>
        <w:rPr>
          <w:rFonts w:cs="Times New Roman"/>
          <w:b/>
          <w:bCs/>
          <w:highlight w:val="none"/>
        </w:rPr>
      </w:pPr>
      <w:r>
        <w:rPr>
          <w:rFonts w:cs="Times New Roman"/>
          <w:b/>
          <w:bCs/>
          <w:highlight w:val="none"/>
        </w:rPr>
        <w:t>（3）地表水点位布设</w:t>
      </w:r>
    </w:p>
    <w:p>
      <w:pPr>
        <w:ind w:firstLine="560"/>
        <w:rPr>
          <w:rFonts w:cs="Times New Roman"/>
          <w:highlight w:val="none"/>
        </w:rPr>
      </w:pPr>
      <w:r>
        <w:rPr>
          <w:rFonts w:cs="Times New Roman"/>
          <w:highlight w:val="none"/>
        </w:rPr>
        <w:t>如果地块内存在地表水，则在疑似污染严重的位置布设地表水和底泥采样点。</w:t>
      </w:r>
    </w:p>
    <w:p>
      <w:pPr>
        <w:ind w:firstLine="562"/>
        <w:rPr>
          <w:rFonts w:cs="Times New Roman"/>
          <w:b/>
          <w:bCs/>
          <w:highlight w:val="none"/>
        </w:rPr>
      </w:pPr>
      <w:r>
        <w:rPr>
          <w:rFonts w:hint="eastAsia" w:cs="Times New Roman"/>
          <w:b/>
          <w:bCs/>
          <w:highlight w:val="none"/>
        </w:rPr>
        <w:t>（4）</w:t>
      </w:r>
      <w:r>
        <w:rPr>
          <w:rFonts w:cs="Times New Roman"/>
          <w:b/>
          <w:bCs/>
          <w:highlight w:val="none"/>
        </w:rPr>
        <w:t>底泥点位布设</w:t>
      </w:r>
    </w:p>
    <w:p>
      <w:pPr>
        <w:ind w:firstLine="560"/>
        <w:rPr>
          <w:rFonts w:cs="Times New Roman"/>
          <w:highlight w:val="none"/>
        </w:rPr>
      </w:pPr>
      <w:r>
        <w:rPr>
          <w:rFonts w:hint="eastAsia" w:cs="Times New Roman"/>
          <w:highlight w:val="none"/>
        </w:rPr>
        <w:t>底泥样品在地表水点位进行布设。</w:t>
      </w:r>
    </w:p>
    <w:p>
      <w:pPr>
        <w:ind w:firstLine="562"/>
        <w:rPr>
          <w:rFonts w:cs="Times New Roman"/>
          <w:b/>
          <w:bCs/>
          <w:highlight w:val="none"/>
        </w:rPr>
      </w:pPr>
      <w:r>
        <w:rPr>
          <w:rFonts w:hint="eastAsia" w:cs="Times New Roman"/>
          <w:b/>
          <w:bCs/>
          <w:highlight w:val="none"/>
        </w:rPr>
        <w:t>（5）残余废弃物</w:t>
      </w:r>
    </w:p>
    <w:p>
      <w:pPr>
        <w:ind w:firstLine="560"/>
        <w:rPr>
          <w:rFonts w:hint="eastAsia" w:cs="Times New Roman"/>
          <w:highlight w:val="none"/>
        </w:rPr>
      </w:pPr>
      <w:r>
        <w:rPr>
          <w:rFonts w:hint="eastAsia" w:cs="Times New Roman"/>
          <w:highlight w:val="none"/>
        </w:rPr>
        <w:t>根据前期调查结果，对可能为危险废物的残余废弃物按照《危险废物鉴别技术规范》（H</w:t>
      </w:r>
      <w:r>
        <w:rPr>
          <w:rFonts w:cs="Times New Roman"/>
          <w:highlight w:val="none"/>
        </w:rPr>
        <w:t>J 298</w:t>
      </w:r>
      <w:r>
        <w:rPr>
          <w:rFonts w:hint="eastAsia" w:cs="Times New Roman"/>
          <w:highlight w:val="none"/>
        </w:rPr>
        <w:t>）相关要求进行布点采样。</w:t>
      </w:r>
    </w:p>
    <w:p>
      <w:pPr>
        <w:ind w:firstLine="560"/>
        <w:outlineLvl w:val="2"/>
        <w:rPr>
          <w:rFonts w:ascii="黑体" w:hAnsi="黑体"/>
          <w:highlight w:val="none"/>
        </w:rPr>
      </w:pPr>
      <w:r>
        <w:rPr>
          <w:rFonts w:hint="eastAsia" w:ascii="黑体" w:hAnsi="黑体" w:eastAsia="黑体"/>
          <w:highlight w:val="none"/>
        </w:rPr>
        <w:t>（二）详细调查监测方案</w:t>
      </w:r>
    </w:p>
    <w:p>
      <w:pPr>
        <w:ind w:firstLine="562"/>
        <w:rPr>
          <w:rFonts w:cs="Times New Roman"/>
          <w:b/>
          <w:bCs/>
          <w:highlight w:val="none"/>
        </w:rPr>
      </w:pPr>
      <w:r>
        <w:rPr>
          <w:rFonts w:cs="Times New Roman"/>
          <w:b/>
          <w:bCs/>
          <w:highlight w:val="none"/>
        </w:rPr>
        <w:t>1、调查范围</w:t>
      </w:r>
    </w:p>
    <w:p>
      <w:pPr>
        <w:ind w:firstLine="560"/>
        <w:rPr>
          <w:rFonts w:cs="Times New Roman"/>
          <w:highlight w:val="none"/>
        </w:rPr>
      </w:pPr>
      <w:r>
        <w:rPr>
          <w:rFonts w:hint="eastAsia" w:cs="Times New Roman"/>
          <w:highlight w:val="none"/>
        </w:rPr>
        <w:t>详细调查监测工作范围为初步调查监测中污染物含量超过相关标准的监测区域。</w:t>
      </w:r>
    </w:p>
    <w:p>
      <w:pPr>
        <w:ind w:firstLine="562"/>
        <w:rPr>
          <w:rFonts w:cs="Times New Roman"/>
          <w:b/>
          <w:bCs/>
          <w:highlight w:val="none"/>
        </w:rPr>
      </w:pPr>
      <w:r>
        <w:rPr>
          <w:rFonts w:cs="Times New Roman"/>
          <w:b/>
          <w:bCs/>
          <w:highlight w:val="none"/>
        </w:rPr>
        <w:t>2、监测介质</w:t>
      </w:r>
    </w:p>
    <w:p>
      <w:pPr>
        <w:ind w:firstLine="560"/>
        <w:rPr>
          <w:rFonts w:cs="Times New Roman"/>
          <w:highlight w:val="none"/>
        </w:rPr>
      </w:pPr>
      <w:r>
        <w:rPr>
          <w:rFonts w:cs="Times New Roman"/>
          <w:highlight w:val="none"/>
        </w:rPr>
        <w:t>监测介质为初步调查中发现存在超标的环境介质。</w:t>
      </w:r>
    </w:p>
    <w:p>
      <w:pPr>
        <w:ind w:firstLine="562"/>
        <w:rPr>
          <w:rFonts w:cs="Times New Roman"/>
          <w:b/>
          <w:bCs/>
          <w:highlight w:val="none"/>
        </w:rPr>
      </w:pPr>
      <w:r>
        <w:rPr>
          <w:rFonts w:cs="Times New Roman"/>
          <w:b/>
          <w:bCs/>
          <w:highlight w:val="none"/>
        </w:rPr>
        <w:t>3、监测项目</w:t>
      </w:r>
    </w:p>
    <w:p>
      <w:pPr>
        <w:ind w:firstLine="560"/>
        <w:rPr>
          <w:rFonts w:cs="Times New Roman"/>
          <w:highlight w:val="none"/>
        </w:rPr>
      </w:pPr>
      <w:r>
        <w:rPr>
          <w:rFonts w:cs="Times New Roman"/>
          <w:highlight w:val="none"/>
        </w:rPr>
        <w:t>监测项目应包含初步调查确定的地块土壤和地下水超标污染物</w:t>
      </w:r>
      <w:r>
        <w:rPr>
          <w:rFonts w:hint="eastAsia" w:cs="Times New Roman"/>
          <w:highlight w:val="none"/>
        </w:rPr>
        <w:t>，以及其他环境介质（地表水和底泥）中的超标污染物。</w:t>
      </w:r>
    </w:p>
    <w:p>
      <w:pPr>
        <w:ind w:firstLine="562"/>
        <w:rPr>
          <w:rFonts w:cs="Times New Roman"/>
          <w:b/>
          <w:bCs/>
          <w:highlight w:val="none"/>
        </w:rPr>
      </w:pPr>
      <w:r>
        <w:rPr>
          <w:rFonts w:cs="Times New Roman"/>
          <w:b/>
          <w:bCs/>
          <w:highlight w:val="none"/>
        </w:rPr>
        <w:t>4、土壤点位布设</w:t>
      </w:r>
    </w:p>
    <w:p>
      <w:pPr>
        <w:ind w:firstLine="560"/>
        <w:rPr>
          <w:rFonts w:cs="Times New Roman"/>
          <w:highlight w:val="none"/>
        </w:rPr>
      </w:pPr>
      <w:r>
        <w:rPr>
          <w:rFonts w:cs="Times New Roman"/>
          <w:highlight w:val="none"/>
        </w:rPr>
        <w:t>采用系统布点法对初步调查</w:t>
      </w:r>
      <w:r>
        <w:rPr>
          <w:rFonts w:hint="eastAsia" w:cs="Times New Roman"/>
          <w:highlight w:val="none"/>
        </w:rPr>
        <w:t>中确定的污染区域</w:t>
      </w:r>
      <w:r>
        <w:rPr>
          <w:rFonts w:cs="Times New Roman"/>
          <w:highlight w:val="none"/>
        </w:rPr>
        <w:t>开展加密调查，原则上土壤点位每400 m</w:t>
      </w:r>
      <w:r>
        <w:rPr>
          <w:rFonts w:cs="Times New Roman"/>
          <w:highlight w:val="none"/>
          <w:vertAlign w:val="superscript"/>
        </w:rPr>
        <w:t>2</w:t>
      </w:r>
      <w:r>
        <w:rPr>
          <w:rFonts w:cs="Times New Roman"/>
          <w:highlight w:val="none"/>
        </w:rPr>
        <w:t xml:space="preserve"> （20m × 20 m网格）不少于1个。</w:t>
      </w:r>
      <w:r>
        <w:rPr>
          <w:rFonts w:hint="eastAsia" w:cs="Times New Roman"/>
          <w:highlight w:val="none"/>
          <w:lang w:val="en"/>
        </w:rPr>
        <w:t>其他区域每1600m</w:t>
      </w:r>
      <w:r>
        <w:rPr>
          <w:rFonts w:hint="eastAsia" w:cs="Times New Roman"/>
          <w:highlight w:val="none"/>
          <w:vertAlign w:val="superscript"/>
          <w:lang w:val="en"/>
        </w:rPr>
        <w:t>2</w:t>
      </w:r>
      <w:r>
        <w:rPr>
          <w:rFonts w:cs="Times New Roman"/>
          <w:highlight w:val="none"/>
        </w:rPr>
        <w:t>（</w:t>
      </w:r>
      <w:r>
        <w:rPr>
          <w:rFonts w:hint="eastAsia" w:cs="Times New Roman"/>
          <w:highlight w:val="none"/>
        </w:rPr>
        <w:t>4</w:t>
      </w:r>
      <w:r>
        <w:rPr>
          <w:rFonts w:cs="Times New Roman"/>
          <w:highlight w:val="none"/>
        </w:rPr>
        <w:t xml:space="preserve">0m × </w:t>
      </w:r>
      <w:r>
        <w:rPr>
          <w:rFonts w:hint="eastAsia" w:cs="Times New Roman"/>
          <w:highlight w:val="none"/>
        </w:rPr>
        <w:t>4</w:t>
      </w:r>
      <w:r>
        <w:rPr>
          <w:rFonts w:cs="Times New Roman"/>
          <w:highlight w:val="none"/>
        </w:rPr>
        <w:t>0 m网格）</w:t>
      </w:r>
      <w:r>
        <w:rPr>
          <w:rFonts w:hint="eastAsia" w:cs="Times New Roman"/>
          <w:highlight w:val="none"/>
          <w:lang w:val="en"/>
        </w:rPr>
        <w:t>不少于1个。有污染历史复杂、水文地质条件复杂或者信息缺失严重的区域可根据实际情况布设点位。</w:t>
      </w:r>
    </w:p>
    <w:p>
      <w:pPr>
        <w:ind w:firstLine="562"/>
        <w:rPr>
          <w:rFonts w:cs="Times New Roman"/>
          <w:b/>
          <w:bCs/>
          <w:highlight w:val="none"/>
        </w:rPr>
      </w:pPr>
      <w:r>
        <w:rPr>
          <w:rFonts w:cs="Times New Roman"/>
          <w:b/>
          <w:bCs/>
          <w:highlight w:val="none"/>
        </w:rPr>
        <w:t>5、地下水点位布设</w:t>
      </w:r>
    </w:p>
    <w:p>
      <w:pPr>
        <w:ind w:firstLine="560"/>
        <w:rPr>
          <w:rFonts w:cs="Times New Roman"/>
          <w:highlight w:val="none"/>
        </w:rPr>
      </w:pPr>
      <w:r>
        <w:rPr>
          <w:rFonts w:hint="eastAsia" w:cs="Times New Roman"/>
          <w:highlight w:val="none"/>
        </w:rPr>
        <w:t>原则上在初步调查确定的污染区域加密布点，地下水采样点位数原则上每</w:t>
      </w:r>
      <w:r>
        <w:rPr>
          <w:rFonts w:cs="Times New Roman"/>
          <w:highlight w:val="none"/>
        </w:rPr>
        <w:t>6400 m</w:t>
      </w:r>
      <w:r>
        <w:rPr>
          <w:rFonts w:cs="Times New Roman"/>
          <w:highlight w:val="none"/>
          <w:vertAlign w:val="superscript"/>
        </w:rPr>
        <w:t>2</w:t>
      </w:r>
      <w:r>
        <w:rPr>
          <w:rFonts w:hint="eastAsia" w:cs="Times New Roman"/>
          <w:highlight w:val="none"/>
        </w:rPr>
        <w:t>（</w:t>
      </w:r>
      <w:r>
        <w:rPr>
          <w:rFonts w:cs="Times New Roman"/>
          <w:highlight w:val="none"/>
        </w:rPr>
        <w:t xml:space="preserve">80 m </w:t>
      </w:r>
      <w:r>
        <w:rPr>
          <w:rFonts w:hint="eastAsia" w:cs="Times New Roman"/>
          <w:highlight w:val="none"/>
        </w:rPr>
        <w:t>×</w:t>
      </w:r>
      <w:r>
        <w:rPr>
          <w:rFonts w:cs="Times New Roman"/>
          <w:highlight w:val="none"/>
        </w:rPr>
        <w:t xml:space="preserve"> 80 m</w:t>
      </w:r>
      <w:r>
        <w:rPr>
          <w:rFonts w:hint="eastAsia" w:cs="Times New Roman"/>
          <w:highlight w:val="none"/>
        </w:rPr>
        <w:t>）不少于</w:t>
      </w:r>
      <w:r>
        <w:rPr>
          <w:rFonts w:cs="Times New Roman"/>
          <w:highlight w:val="none"/>
        </w:rPr>
        <w:t xml:space="preserve">1 </w:t>
      </w:r>
      <w:r>
        <w:rPr>
          <w:rFonts w:hint="eastAsia" w:cs="Times New Roman"/>
          <w:highlight w:val="none"/>
        </w:rPr>
        <w:t>个，也可根据实际情况布设点位。</w:t>
      </w:r>
    </w:p>
    <w:p>
      <w:pPr>
        <w:pStyle w:val="3"/>
        <w:rPr>
          <w:rFonts w:cs="Times New Roman"/>
          <w:highlight w:val="none"/>
        </w:rPr>
      </w:pPr>
      <w:r>
        <w:rPr>
          <w:rFonts w:hint="eastAsia" w:cs="Times New Roman"/>
          <w:highlight w:val="none"/>
        </w:rPr>
        <w:t>三</w:t>
      </w:r>
      <w:r>
        <w:rPr>
          <w:rFonts w:cs="Times New Roman"/>
          <w:highlight w:val="none"/>
        </w:rPr>
        <w:t>、水文地质调查</w:t>
      </w:r>
    </w:p>
    <w:p>
      <w:pPr>
        <w:ind w:firstLine="560"/>
        <w:rPr>
          <w:rFonts w:cs="Times New Roman"/>
          <w:highlight w:val="none"/>
        </w:rPr>
      </w:pPr>
      <w:r>
        <w:rPr>
          <w:rFonts w:hint="eastAsia" w:cs="Times New Roman"/>
          <w:highlight w:val="none"/>
        </w:rPr>
        <w:t>水文地质调查应包括地层结构、分布、地下水位、水力梯度、地下水流速及流向等内容；土壤理化样品应检测土壤pH、粒径分布、土壤容重、土壤密度、含水率、饱和度、孔隙度、有机质含量、渗透系数（横向/纵向）等指标。按照地下水采样点位，结合环境物探、勘察基本确定调查区水文地质条件，如包气带、含水岩组的岩性结构、厚度与分布、边界条件，基本摸清调查对象周边地下水补径排条件。</w:t>
      </w:r>
    </w:p>
    <w:p>
      <w:pPr>
        <w:ind w:firstLine="560"/>
        <w:rPr>
          <w:rFonts w:cs="Times New Roman"/>
          <w:highlight w:val="none"/>
        </w:rPr>
      </w:pPr>
      <w:r>
        <w:rPr>
          <w:rFonts w:hint="eastAsia" w:cs="Times New Roman"/>
          <w:highlight w:val="none"/>
        </w:rPr>
        <w:t>应在地块内均匀布设不少于3个水文地质勘探点，地势特点差异大的地块应适当做加密布点。</w:t>
      </w:r>
    </w:p>
    <w:p>
      <w:pPr>
        <w:pStyle w:val="3"/>
        <w:rPr>
          <w:rFonts w:cs="Times New Roman"/>
          <w:highlight w:val="none"/>
        </w:rPr>
      </w:pPr>
      <w:r>
        <w:rPr>
          <w:rFonts w:cs="Times New Roman"/>
          <w:highlight w:val="none"/>
        </w:rPr>
        <w:t>四、样品采集与分析</w:t>
      </w:r>
    </w:p>
    <w:p>
      <w:pPr>
        <w:ind w:firstLine="562"/>
        <w:rPr>
          <w:rFonts w:cs="Times New Roman"/>
          <w:b/>
          <w:bCs/>
          <w:highlight w:val="none"/>
        </w:rPr>
      </w:pPr>
      <w:r>
        <w:rPr>
          <w:rFonts w:cs="Times New Roman"/>
          <w:b/>
          <w:bCs/>
          <w:highlight w:val="none"/>
        </w:rPr>
        <w:t>1、土壤样品采集</w:t>
      </w:r>
    </w:p>
    <w:p>
      <w:pPr>
        <w:ind w:firstLine="560"/>
        <w:rPr>
          <w:rFonts w:cs="Times New Roman"/>
          <w:highlight w:val="none"/>
        </w:rPr>
      </w:pPr>
      <w:bookmarkStart w:id="7" w:name="_Hlk42765826"/>
      <w:r>
        <w:rPr>
          <w:rFonts w:cs="Times New Roman"/>
          <w:highlight w:val="none"/>
        </w:rPr>
        <w:t>非扰动采样，一般应采集表层土壤、下层土壤以及饱和带土壤。对于地下水位较浅，无法采集下层土壤的监测点位，可分两层采样，分别采集表层土壤和饱和带土壤；根据地块地层实际情况确定最大采样深度。</w:t>
      </w:r>
    </w:p>
    <w:p>
      <w:pPr>
        <w:ind w:firstLine="560"/>
        <w:rPr>
          <w:rFonts w:cs="Times New Roman"/>
          <w:highlight w:val="none"/>
        </w:rPr>
      </w:pPr>
      <w:r>
        <w:rPr>
          <w:rFonts w:cs="Times New Roman"/>
          <w:highlight w:val="none"/>
        </w:rPr>
        <w:t>每个土壤钻孔原则上采集不少于3个样品进行实验室分析，对于发现有污染痕迹的点位，应增加送检样品的数量。土壤样品采集和送检原则如下：</w:t>
      </w:r>
    </w:p>
    <w:p>
      <w:pPr>
        <w:ind w:firstLine="560"/>
        <w:rPr>
          <w:rFonts w:cs="Times New Roman"/>
          <w:highlight w:val="none"/>
        </w:rPr>
      </w:pPr>
      <w:r>
        <w:rPr>
          <w:rFonts w:cs="Times New Roman"/>
          <w:highlight w:val="none"/>
        </w:rPr>
        <w:t>（1）表层土壤：一般应在0~0.5 m采集和送检1个样品。地面存在硬化层（如混凝土、沥青、石材、面砖）一般不作为表层土壤，计量采样深度时应扣除地表硬化层厚度。</w:t>
      </w:r>
    </w:p>
    <w:p>
      <w:pPr>
        <w:ind w:firstLine="560"/>
        <w:rPr>
          <w:rFonts w:cs="Times New Roman"/>
          <w:highlight w:val="none"/>
        </w:rPr>
      </w:pPr>
      <w:r>
        <w:rPr>
          <w:rFonts w:cs="Times New Roman"/>
          <w:highlight w:val="none"/>
        </w:rPr>
        <w:t>（2）下层土壤（表层土壤底部至地下水水位以上）：至少采集和送检1个土壤样品。可根据判断布点法采集，建议下层土壤垂向采样间隔不超过2 m；不同性质土层至少采集一个土壤样品，同一性质土层厚度较大或出现明显污染痕迹时，根据实际情况在该层位增加垂向采样数量。</w:t>
      </w:r>
    </w:p>
    <w:p>
      <w:pPr>
        <w:ind w:firstLine="560"/>
        <w:rPr>
          <w:rFonts w:cs="Times New Roman"/>
          <w:highlight w:val="none"/>
        </w:rPr>
      </w:pPr>
      <w:r>
        <w:rPr>
          <w:rFonts w:cs="Times New Roman"/>
          <w:highlight w:val="none"/>
        </w:rPr>
        <w:t>（3）饱和带土壤：至少采集和送检1个土壤样品</w:t>
      </w:r>
      <w:r>
        <w:rPr>
          <w:rFonts w:hint="eastAsia" w:cs="Times New Roman"/>
          <w:highlight w:val="none"/>
        </w:rPr>
        <w:t>，采样间隔不超过2 m，对于垂直方向结构特征不同的土壤，应根据土壤结构的变化和污染物迁移规律适当调整垂直方向点位的间隔</w:t>
      </w:r>
      <w:r>
        <w:rPr>
          <w:rFonts w:cs="Times New Roman"/>
          <w:highlight w:val="none"/>
        </w:rPr>
        <w:t>如饱和带土壤存在明显污染痕迹，应适当增加送检样品。</w:t>
      </w:r>
    </w:p>
    <w:p>
      <w:pPr>
        <w:ind w:firstLine="560"/>
        <w:rPr>
          <w:rFonts w:cs="Times New Roman"/>
          <w:highlight w:val="none"/>
        </w:rPr>
      </w:pPr>
    </w:p>
    <w:p>
      <w:pPr>
        <w:ind w:firstLine="0" w:firstLineChars="0"/>
        <w:jc w:val="center"/>
        <w:rPr>
          <w:rFonts w:cs="Times New Roman"/>
          <w:highlight w:val="none"/>
        </w:rPr>
      </w:pPr>
      <w:r>
        <w:rPr>
          <w:rFonts w:cs="Times New Roman"/>
          <w:highlight w:val="none"/>
        </w:rPr>
        <w:drawing>
          <wp:inline distT="0" distB="0" distL="0" distR="0">
            <wp:extent cx="4904105" cy="240284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4917750" cy="2409839"/>
                    </a:xfrm>
                    <a:prstGeom prst="rect">
                      <a:avLst/>
                    </a:prstGeom>
                    <a:noFill/>
                    <a:ln>
                      <a:noFill/>
                    </a:ln>
                  </pic:spPr>
                </pic:pic>
              </a:graphicData>
            </a:graphic>
          </wp:inline>
        </w:drawing>
      </w:r>
    </w:p>
    <w:p>
      <w:pPr>
        <w:ind w:firstLine="0" w:firstLineChars="0"/>
        <w:jc w:val="center"/>
        <w:rPr>
          <w:rFonts w:eastAsia="黑体" w:cs="Times New Roman"/>
          <w:sz w:val="22"/>
          <w:szCs w:val="21"/>
          <w:highlight w:val="none"/>
        </w:rPr>
      </w:pPr>
      <w:r>
        <w:rPr>
          <w:rFonts w:eastAsia="黑体" w:cs="Times New Roman"/>
          <w:sz w:val="22"/>
          <w:szCs w:val="21"/>
          <w:highlight w:val="none"/>
        </w:rPr>
        <w:t>图1-1 土壤样品分层示意图</w:t>
      </w:r>
    </w:p>
    <w:p>
      <w:pPr>
        <w:ind w:firstLine="560"/>
        <w:rPr>
          <w:rFonts w:cs="Times New Roman"/>
          <w:highlight w:val="none"/>
        </w:rPr>
      </w:pPr>
      <w:r>
        <w:rPr>
          <w:rFonts w:cs="Times New Roman"/>
          <w:highlight w:val="none"/>
        </w:rPr>
        <w:t>表层土壤和下层土壤具体深度的划分应考虑地块回填土的情况、地块土壤自然分层情况、构筑物及管线埋深和破损情况、污染物释放和迁移情况、土壤特征等因素综合确定。</w:t>
      </w:r>
      <w:r>
        <w:rPr>
          <w:rFonts w:hint="eastAsia" w:cs="Times New Roman"/>
          <w:highlight w:val="none"/>
        </w:rPr>
        <w:t>如果采样过程中发现有疑似重质非水相液体污染，可根据现场情况增加采样深度。（无污染，停止）</w:t>
      </w:r>
    </w:p>
    <w:p>
      <w:pPr>
        <w:ind w:firstLine="560"/>
        <w:rPr>
          <w:rFonts w:cs="Times New Roman"/>
          <w:highlight w:val="none"/>
        </w:rPr>
      </w:pPr>
      <w:r>
        <w:rPr>
          <w:rFonts w:cs="Times New Roman"/>
          <w:highlight w:val="none"/>
        </w:rPr>
        <w:t>优先采集用于测定挥发性有机物（VOCs）的土壤样品。用于检测VOCs的土壤样品不允许进行均质化处理，也不得采集混合样。</w:t>
      </w:r>
      <w:bookmarkStart w:id="8" w:name="_Hlk42766126"/>
      <w:r>
        <w:rPr>
          <w:rFonts w:cs="Times New Roman"/>
          <w:highlight w:val="none"/>
        </w:rPr>
        <w:t>采样时应用非扰动采样器采集不少于5 g土壤样品推入加有10 mL甲醇（色谱级或农残级）保护剂的40 mL棕色样品瓶内。检测VOCs的土壤样品应采集双份，一份用于检测，一份留作备份。</w:t>
      </w:r>
    </w:p>
    <w:bookmarkEnd w:id="7"/>
    <w:bookmarkEnd w:id="8"/>
    <w:p>
      <w:pPr>
        <w:ind w:firstLine="562"/>
        <w:rPr>
          <w:rFonts w:cs="Times New Roman"/>
          <w:b/>
          <w:bCs/>
          <w:highlight w:val="none"/>
        </w:rPr>
      </w:pPr>
      <w:r>
        <w:rPr>
          <w:rFonts w:cs="Times New Roman"/>
          <w:b/>
          <w:bCs/>
          <w:highlight w:val="none"/>
        </w:rPr>
        <w:t>2、地下水样品采集</w:t>
      </w:r>
    </w:p>
    <w:p>
      <w:pPr>
        <w:ind w:firstLine="560"/>
        <w:rPr>
          <w:rFonts w:cs="Times New Roman"/>
          <w:highlight w:val="none"/>
        </w:rPr>
      </w:pPr>
      <w:r>
        <w:rPr>
          <w:rFonts w:hint="eastAsia" w:cs="Times New Roman"/>
          <w:highlight w:val="none"/>
        </w:rPr>
        <w:t>1）取样前进行洗井，采用便携设备测试水量、p</w:t>
      </w:r>
      <w:r>
        <w:rPr>
          <w:rFonts w:cs="Times New Roman"/>
          <w:highlight w:val="none"/>
        </w:rPr>
        <w:t>H</w:t>
      </w:r>
      <w:r>
        <w:rPr>
          <w:rFonts w:hint="eastAsia" w:cs="Times New Roman"/>
          <w:highlight w:val="none"/>
        </w:rPr>
        <w:t>值、氧化还原电位、温度、电导率及浊度等。连续三次的测试误差小于1</w:t>
      </w:r>
      <w:r>
        <w:rPr>
          <w:rFonts w:cs="Times New Roman"/>
          <w:highlight w:val="none"/>
        </w:rPr>
        <w:t>0%</w:t>
      </w:r>
      <w:r>
        <w:rPr>
          <w:rFonts w:hint="eastAsia" w:cs="Times New Roman"/>
          <w:highlight w:val="none"/>
        </w:rPr>
        <w:t>后，才可取样。</w:t>
      </w:r>
    </w:p>
    <w:p>
      <w:pPr>
        <w:ind w:firstLine="560"/>
        <w:rPr>
          <w:rFonts w:cs="Times New Roman"/>
          <w:highlight w:val="none"/>
        </w:rPr>
      </w:pPr>
      <w:r>
        <w:rPr>
          <w:rFonts w:hint="eastAsia" w:cs="Times New Roman"/>
          <w:highlight w:val="none"/>
        </w:rPr>
        <w:t>2）取样洗井结束后应在2</w:t>
      </w:r>
      <w:r>
        <w:rPr>
          <w:rFonts w:cs="Times New Roman"/>
          <w:highlight w:val="none"/>
        </w:rPr>
        <w:t xml:space="preserve"> h</w:t>
      </w:r>
      <w:r>
        <w:rPr>
          <w:rFonts w:hint="eastAsia" w:cs="Times New Roman"/>
          <w:highlight w:val="none"/>
        </w:rPr>
        <w:t>内采集地下水样品，取样设备宜与洗井设备一致，采用低流量泵进行取样，取样深度不应小于0</w:t>
      </w:r>
      <w:r>
        <w:rPr>
          <w:rFonts w:cs="Times New Roman"/>
          <w:highlight w:val="none"/>
        </w:rPr>
        <w:t>.5 m</w:t>
      </w:r>
      <w:r>
        <w:rPr>
          <w:rFonts w:hint="eastAsia" w:cs="Times New Roman"/>
          <w:highlight w:val="none"/>
        </w:rPr>
        <w:t>，流速应控制在2</w:t>
      </w:r>
      <w:r>
        <w:rPr>
          <w:rFonts w:cs="Times New Roman"/>
          <w:highlight w:val="none"/>
        </w:rPr>
        <w:t>00</w:t>
      </w:r>
      <w:r>
        <w:rPr>
          <w:rFonts w:hint="eastAsia" w:cs="Times New Roman"/>
          <w:highlight w:val="none"/>
          <w:lang w:val="en-US" w:eastAsia="zh-CN"/>
        </w:rPr>
        <w:t xml:space="preserve"> </w:t>
      </w:r>
      <w:r>
        <w:rPr>
          <w:rFonts w:cs="Times New Roman"/>
          <w:highlight w:val="none"/>
        </w:rPr>
        <w:t>mL/min</w:t>
      </w:r>
      <w:r>
        <w:rPr>
          <w:rFonts w:hint="eastAsia" w:cs="Times New Roman"/>
          <w:highlight w:val="none"/>
        </w:rPr>
        <w:t>以下，管线中应无气泡存在。当采集含挥发性污染物的水样时不应使用蠕动泵。当采用贝勒管取样时，宜降低对水体的扰动，出水口宜配置流速调节阀，使水样经由调节阀转移至样品保存瓶内；</w:t>
      </w:r>
    </w:p>
    <w:p>
      <w:pPr>
        <w:ind w:firstLine="560"/>
        <w:rPr>
          <w:rFonts w:cs="Times New Roman"/>
          <w:highlight w:val="none"/>
        </w:rPr>
      </w:pPr>
      <w:r>
        <w:rPr>
          <w:rFonts w:cs="Times New Roman"/>
          <w:highlight w:val="none"/>
        </w:rPr>
        <w:t>3</w:t>
      </w:r>
      <w:r>
        <w:rPr>
          <w:rFonts w:hint="eastAsia" w:cs="Times New Roman"/>
          <w:highlight w:val="none"/>
        </w:rPr>
        <w:t>）当地下水监测井内存在非水相液体时，可利用油水界面仪在地下水洗井取样前测试非水相液体的厚度，并利用可调节取样深度的取样器采取非水相液体样品。取样</w:t>
      </w:r>
      <w:r>
        <w:rPr>
          <w:rFonts w:cs="Times New Roman"/>
          <w:highlight w:val="none"/>
        </w:rPr>
        <w:t>对于存在低密度非水溶性有机物污染物（比重小于水、与水不相溶的有机相，如汽油、柴油、煤油等），采样深度应在含水层顶部；对于存在高密度非水溶性有机污染物（比重大于水、与水不相溶的有机相，如三氯乙烯、四氯乙烯、四氯化碳等含氯有机溶剂、煤焦油等），采样深度应在含水层底部和不透水层顶部。</w:t>
      </w:r>
    </w:p>
    <w:p>
      <w:pPr>
        <w:ind w:firstLine="562"/>
        <w:rPr>
          <w:rFonts w:cs="Times New Roman"/>
          <w:b/>
          <w:bCs/>
          <w:highlight w:val="none"/>
        </w:rPr>
      </w:pPr>
      <w:r>
        <w:rPr>
          <w:rFonts w:cs="Times New Roman"/>
          <w:b/>
          <w:bCs/>
          <w:highlight w:val="none"/>
        </w:rPr>
        <w:t>3、地表水</w:t>
      </w:r>
    </w:p>
    <w:p>
      <w:pPr>
        <w:ind w:firstLine="560"/>
        <w:rPr>
          <w:rFonts w:cs="Times New Roman"/>
          <w:highlight w:val="none"/>
        </w:rPr>
      </w:pPr>
      <w:r>
        <w:rPr>
          <w:rFonts w:cs="Times New Roman"/>
          <w:highlight w:val="none"/>
        </w:rPr>
        <w:t>地表水采样时避免扰动水底沉积物。为反映地表水与地下水的水力联系，地表水的采样频次与采样时间应尽量与地下水采样保持一致。</w:t>
      </w:r>
    </w:p>
    <w:p>
      <w:pPr>
        <w:ind w:firstLine="562"/>
        <w:rPr>
          <w:rFonts w:cs="Times New Roman"/>
          <w:highlight w:val="none"/>
        </w:rPr>
      </w:pPr>
      <w:r>
        <w:rPr>
          <w:rFonts w:hint="eastAsia" w:cs="Times New Roman"/>
          <w:b/>
          <w:bCs/>
          <w:highlight w:val="none"/>
        </w:rPr>
        <w:t>4、</w:t>
      </w:r>
      <w:r>
        <w:rPr>
          <w:rFonts w:cs="Times New Roman"/>
          <w:b/>
          <w:bCs/>
          <w:highlight w:val="none"/>
        </w:rPr>
        <w:t>底泥样品采集</w:t>
      </w:r>
    </w:p>
    <w:p>
      <w:pPr>
        <w:ind w:firstLine="560"/>
        <w:rPr>
          <w:rFonts w:cs="Times New Roman"/>
          <w:highlight w:val="none"/>
        </w:rPr>
      </w:pPr>
      <w:r>
        <w:rPr>
          <w:rFonts w:cs="Times New Roman"/>
          <w:highlight w:val="none"/>
        </w:rPr>
        <w:t>底泥样品可在地表水采样点协同采集，一般用采泥器采集表层底泥样品，必要时可用柱状采样器采集下层底泥样品。</w:t>
      </w:r>
    </w:p>
    <w:p>
      <w:pPr>
        <w:ind w:firstLine="562"/>
        <w:rPr>
          <w:rFonts w:cs="Times New Roman"/>
          <w:b/>
          <w:bCs/>
          <w:highlight w:val="none"/>
        </w:rPr>
      </w:pPr>
      <w:r>
        <w:rPr>
          <w:rFonts w:cs="Times New Roman"/>
          <w:b/>
          <w:bCs/>
          <w:highlight w:val="none"/>
        </w:rPr>
        <w:t>5</w:t>
      </w:r>
      <w:r>
        <w:rPr>
          <w:rFonts w:hint="eastAsia" w:cs="Times New Roman"/>
          <w:b/>
          <w:bCs/>
          <w:highlight w:val="none"/>
        </w:rPr>
        <w:t>、残余废弃物</w:t>
      </w:r>
    </w:p>
    <w:p>
      <w:pPr>
        <w:ind w:firstLine="560"/>
        <w:rPr>
          <w:rFonts w:cs="Times New Roman"/>
          <w:highlight w:val="none"/>
        </w:rPr>
      </w:pPr>
      <w:r>
        <w:rPr>
          <w:rFonts w:hint="eastAsia" w:cs="Times New Roman"/>
          <w:highlight w:val="none"/>
        </w:rPr>
        <w:t>地块内残余的固态废弃物可选用尖头铁锹、钢锤、采样钻、取样铲等采样工具进行采样；</w:t>
      </w:r>
    </w:p>
    <w:p>
      <w:pPr>
        <w:ind w:firstLine="560"/>
        <w:rPr>
          <w:rFonts w:cs="Times New Roman"/>
          <w:highlight w:val="none"/>
        </w:rPr>
      </w:pPr>
      <w:r>
        <w:rPr>
          <w:rFonts w:hint="eastAsia" w:cs="Times New Roman"/>
          <w:highlight w:val="none"/>
        </w:rPr>
        <w:t>地块内残余的液态废弃物可选用采样勺、采样管、采样瓶、采样罐、搅拌器等工具进行采样；</w:t>
      </w:r>
    </w:p>
    <w:p>
      <w:pPr>
        <w:ind w:firstLine="560"/>
        <w:rPr>
          <w:rFonts w:cs="Times New Roman"/>
          <w:highlight w:val="none"/>
        </w:rPr>
      </w:pPr>
      <w:r>
        <w:rPr>
          <w:rFonts w:hint="eastAsia" w:cs="Times New Roman"/>
          <w:highlight w:val="none"/>
        </w:rPr>
        <w:t>地块内残余的半固态废弃污染物应根据废物的流动性按照固态废弃物采样或者液态废弃物的采样规定进行样品采集</w:t>
      </w:r>
    </w:p>
    <w:p>
      <w:pPr>
        <w:ind w:firstLine="560"/>
        <w:rPr>
          <w:rFonts w:cs="Times New Roman"/>
          <w:highlight w:val="none"/>
        </w:rPr>
      </w:pPr>
      <w:r>
        <w:rPr>
          <w:rFonts w:hint="eastAsia" w:cs="Times New Roman"/>
          <w:highlight w:val="none"/>
        </w:rPr>
        <w:t>具体残余废弃物样品的采集应按照《工业固体废物采样制样技术规范》（HJ/T 20）及《危险废物鉴别技术规范》（H</w:t>
      </w:r>
      <w:r>
        <w:rPr>
          <w:rFonts w:cs="Times New Roman"/>
          <w:highlight w:val="none"/>
        </w:rPr>
        <w:t>J 298</w:t>
      </w:r>
      <w:r>
        <w:rPr>
          <w:rFonts w:hint="eastAsia" w:cs="Times New Roman"/>
          <w:highlight w:val="none"/>
        </w:rPr>
        <w:t>）的要求进行。</w:t>
      </w:r>
    </w:p>
    <w:p>
      <w:pPr>
        <w:ind w:firstLine="562"/>
        <w:rPr>
          <w:rFonts w:cs="Times New Roman"/>
          <w:b/>
          <w:bCs/>
          <w:highlight w:val="none"/>
        </w:rPr>
      </w:pPr>
      <w:r>
        <w:rPr>
          <w:rFonts w:cs="Times New Roman"/>
          <w:b/>
          <w:bCs/>
          <w:highlight w:val="none"/>
        </w:rPr>
        <w:t>6、样品保存、流转与运输</w:t>
      </w:r>
    </w:p>
    <w:p>
      <w:pPr>
        <w:ind w:firstLine="560"/>
        <w:rPr>
          <w:rFonts w:cs="Times New Roman"/>
          <w:highlight w:val="none"/>
        </w:rPr>
      </w:pPr>
      <w:r>
        <w:rPr>
          <w:rFonts w:cs="Times New Roman"/>
          <w:highlight w:val="none"/>
        </w:rPr>
        <w:t>土壤样品保存、流转与运输应参照《土壤环境监测技术规范》（HJ/T 166）等技术文件的要求进行，其中六价铬土壤样品保存按照《土壤和沉积物六价铬的测定碱溶液提取-火焰原子吸收分光光度法》（HJ1082-2019）要求进行；地下水样品保存、流转与运输应参照《地下水环境监测技术规范》（HJ/T 164）等技术文件的要求进行；地表水样品保存、流转与运输按照《地表水和污水监测技术规范》（HJ/T 91）和《水质采样样品的保存和管理技术规定》（HJ/T 493）进行；底泥样品保存、流转与运输按照《海洋监测规范第3 部分：样品采集、贮存与运输》（GB 17378.3）进行</w:t>
      </w:r>
      <w:r>
        <w:rPr>
          <w:rFonts w:hint="eastAsia" w:cs="Times New Roman"/>
          <w:highlight w:val="none"/>
        </w:rPr>
        <w:t>；残余废弃物的保存与流转按照《工业固体废物采样制样技术规范》（HJ/T 20）及《危险废物鉴别技术规范》（H</w:t>
      </w:r>
      <w:r>
        <w:rPr>
          <w:rFonts w:cs="Times New Roman"/>
          <w:highlight w:val="none"/>
        </w:rPr>
        <w:t>J 298</w:t>
      </w:r>
      <w:r>
        <w:rPr>
          <w:rFonts w:hint="eastAsia" w:cs="Times New Roman"/>
          <w:highlight w:val="none"/>
        </w:rPr>
        <w:t>）的要求进行。</w:t>
      </w:r>
    </w:p>
    <w:p>
      <w:pPr>
        <w:ind w:firstLine="562"/>
        <w:rPr>
          <w:rFonts w:cs="Times New Roman"/>
          <w:b/>
          <w:bCs/>
          <w:highlight w:val="none"/>
        </w:rPr>
      </w:pPr>
      <w:r>
        <w:rPr>
          <w:rFonts w:cs="Times New Roman"/>
          <w:b/>
          <w:bCs/>
          <w:highlight w:val="none"/>
        </w:rPr>
        <w:t>5、采样与流转过程资料留痕</w:t>
      </w:r>
    </w:p>
    <w:p>
      <w:pPr>
        <w:ind w:firstLine="560"/>
        <w:rPr>
          <w:rFonts w:cs="Times New Roman"/>
          <w:highlight w:val="none"/>
        </w:rPr>
      </w:pPr>
      <w:r>
        <w:rPr>
          <w:rFonts w:cs="Times New Roman"/>
          <w:highlight w:val="none"/>
        </w:rPr>
        <w:t>样品采集过程中应对采样位置、采样工具、取样过程、样品瓶编号、岩芯、现场检测等关键环节进行拍照或视频记录，每个关键环节至少1 张照片。样品保存、流转各工作环节应有相关影像资料存留。</w:t>
      </w:r>
    </w:p>
    <w:p>
      <w:pPr>
        <w:ind w:firstLine="562"/>
        <w:rPr>
          <w:rFonts w:cs="Times New Roman"/>
          <w:highlight w:val="none"/>
        </w:rPr>
      </w:pPr>
      <w:r>
        <w:rPr>
          <w:rFonts w:cs="Times New Roman"/>
          <w:b/>
          <w:bCs/>
          <w:highlight w:val="none"/>
        </w:rPr>
        <w:t>6、实验室样品分析</w:t>
      </w:r>
    </w:p>
    <w:p>
      <w:pPr>
        <w:ind w:firstLine="560"/>
        <w:rPr>
          <w:rFonts w:cs="Times New Roman"/>
          <w:highlight w:val="none"/>
        </w:rPr>
      </w:pPr>
      <w:r>
        <w:rPr>
          <w:rFonts w:cs="Times New Roman"/>
          <w:highlight w:val="none"/>
        </w:rPr>
        <w:t>土壤与底泥样品的分析测试应参照GB 36600中的指定方法；地下水样品的分析测试</w:t>
      </w:r>
      <w:r>
        <w:rPr>
          <w:rFonts w:hint="eastAsia" w:cs="Times New Roman"/>
          <w:highlight w:val="none"/>
        </w:rPr>
        <w:t>可</w:t>
      </w:r>
      <w:r>
        <w:rPr>
          <w:rFonts w:cs="Times New Roman"/>
          <w:highlight w:val="none"/>
        </w:rPr>
        <w:t>参照GB/T14848中的</w:t>
      </w:r>
      <w:r>
        <w:rPr>
          <w:rFonts w:hint="eastAsia" w:cs="Times New Roman"/>
          <w:highlight w:val="none"/>
        </w:rPr>
        <w:t>推荐分析</w:t>
      </w:r>
      <w:r>
        <w:rPr>
          <w:rFonts w:cs="Times New Roman"/>
          <w:highlight w:val="none"/>
        </w:rPr>
        <w:t>方法；地表水样品的分析测试</w:t>
      </w:r>
      <w:r>
        <w:rPr>
          <w:rFonts w:hint="eastAsia" w:cs="Times New Roman"/>
          <w:highlight w:val="none"/>
        </w:rPr>
        <w:t>可优先</w:t>
      </w:r>
      <w:r>
        <w:rPr>
          <w:rFonts w:cs="Times New Roman"/>
          <w:highlight w:val="none"/>
        </w:rPr>
        <w:t>参照GB 3838中的</w:t>
      </w:r>
      <w:r>
        <w:rPr>
          <w:rFonts w:hint="eastAsia" w:cs="Times New Roman"/>
          <w:highlight w:val="none"/>
        </w:rPr>
        <w:t>分析</w:t>
      </w:r>
      <w:r>
        <w:rPr>
          <w:rFonts w:cs="Times New Roman"/>
          <w:highlight w:val="none"/>
        </w:rPr>
        <w:t>方法。</w:t>
      </w:r>
    </w:p>
    <w:p>
      <w:pPr>
        <w:ind w:firstLine="560"/>
        <w:rPr>
          <w:rFonts w:cs="Times New Roman"/>
          <w:highlight w:val="none"/>
        </w:rPr>
      </w:pPr>
      <w:r>
        <w:rPr>
          <w:rFonts w:cs="Times New Roman"/>
          <w:highlight w:val="none"/>
        </w:rPr>
        <w:t>未有国家标准和环境行业标准检测方法的，可参考国内其他行业标准、国际标准以及其他国家现行有效的标准检测方法进行。</w:t>
      </w:r>
    </w:p>
    <w:p>
      <w:pPr>
        <w:ind w:firstLine="560"/>
        <w:rPr>
          <w:rFonts w:cs="Times New Roman"/>
          <w:highlight w:val="none"/>
        </w:rPr>
      </w:pPr>
      <w:r>
        <w:rPr>
          <w:rFonts w:cs="Times New Roman"/>
          <w:highlight w:val="none"/>
        </w:rPr>
        <w:t>检测方法检出限原则上应满足评价标准的要求。</w:t>
      </w:r>
    </w:p>
    <w:p>
      <w:pPr>
        <w:ind w:firstLine="562"/>
        <w:rPr>
          <w:rFonts w:cs="Times New Roman"/>
          <w:highlight w:val="none"/>
        </w:rPr>
      </w:pPr>
      <w:r>
        <w:rPr>
          <w:rFonts w:cs="Times New Roman"/>
          <w:b/>
          <w:bCs/>
          <w:highlight w:val="none"/>
        </w:rPr>
        <w:t>6、异常点排查</w:t>
      </w:r>
    </w:p>
    <w:p>
      <w:pPr>
        <w:ind w:firstLine="560"/>
        <w:rPr>
          <w:rFonts w:cs="Times New Roman"/>
          <w:highlight w:val="none"/>
        </w:rPr>
      </w:pPr>
      <w:r>
        <w:rPr>
          <w:rFonts w:cs="Times New Roman"/>
          <w:highlight w:val="none"/>
        </w:rPr>
        <w:t>超标点位检测数据应同时满足以下条件，可进行异常点位排查：</w:t>
      </w:r>
    </w:p>
    <w:p>
      <w:pPr>
        <w:ind w:firstLine="560"/>
        <w:rPr>
          <w:rFonts w:cs="Times New Roman"/>
          <w:highlight w:val="none"/>
        </w:rPr>
      </w:pPr>
      <w:r>
        <w:rPr>
          <w:rFonts w:hint="eastAsia" w:ascii="宋体" w:hAnsi="宋体" w:eastAsia="宋体" w:cs="宋体"/>
          <w:highlight w:val="none"/>
        </w:rPr>
        <w:t>①</w:t>
      </w:r>
      <w:r>
        <w:rPr>
          <w:rFonts w:hint="eastAsia" w:cs="Times New Roman"/>
          <w:highlight w:val="none"/>
        </w:rPr>
        <w:t>充足的前期调查表明，超标的污染物非该地块特征污染物</w:t>
      </w:r>
      <w:r>
        <w:rPr>
          <w:rFonts w:cs="Times New Roman"/>
          <w:highlight w:val="none"/>
        </w:rPr>
        <w:t>；</w:t>
      </w:r>
    </w:p>
    <w:p>
      <w:pPr>
        <w:ind w:firstLine="560"/>
        <w:rPr>
          <w:rFonts w:cs="Times New Roman"/>
          <w:highlight w:val="none"/>
        </w:rPr>
      </w:pPr>
      <w:r>
        <w:rPr>
          <w:rFonts w:hint="eastAsia" w:ascii="宋体" w:hAnsi="宋体" w:eastAsia="宋体" w:cs="宋体"/>
          <w:highlight w:val="none"/>
        </w:rPr>
        <w:t>②</w:t>
      </w:r>
      <w:r>
        <w:rPr>
          <w:rFonts w:cs="Times New Roman"/>
          <w:highlight w:val="none"/>
        </w:rPr>
        <w:t>孤立的点位（周边40 m范围内无超筛选值点位）；</w:t>
      </w:r>
    </w:p>
    <w:p>
      <w:pPr>
        <w:ind w:firstLine="560"/>
        <w:rPr>
          <w:rFonts w:cs="Times New Roman"/>
          <w:highlight w:val="none"/>
        </w:rPr>
      </w:pPr>
      <w:r>
        <w:rPr>
          <w:rFonts w:hint="eastAsia" w:ascii="宋体" w:hAnsi="宋体" w:eastAsia="宋体" w:cs="宋体"/>
          <w:highlight w:val="none"/>
        </w:rPr>
        <w:t>③</w:t>
      </w:r>
      <w:r>
        <w:rPr>
          <w:rFonts w:hint="eastAsia" w:cs="Times New Roman"/>
          <w:highlight w:val="none"/>
        </w:rPr>
        <w:t>极</w:t>
      </w:r>
      <w:r>
        <w:rPr>
          <w:rFonts w:cs="Times New Roman"/>
          <w:highlight w:val="none"/>
        </w:rPr>
        <w:t>个别的点位（≤3个或采样点总数的5%）；</w:t>
      </w:r>
    </w:p>
    <w:p>
      <w:pPr>
        <w:ind w:firstLine="560"/>
        <w:rPr>
          <w:rFonts w:cs="Times New Roman"/>
          <w:highlight w:val="none"/>
        </w:rPr>
      </w:pPr>
      <w:r>
        <w:rPr>
          <w:rFonts w:hint="eastAsia" w:ascii="宋体" w:hAnsi="宋体" w:eastAsia="宋体" w:cs="宋体"/>
          <w:highlight w:val="none"/>
        </w:rPr>
        <w:t>④</w:t>
      </w:r>
      <w:r>
        <w:rPr>
          <w:rFonts w:cs="Times New Roman"/>
          <w:highlight w:val="none"/>
        </w:rPr>
        <w:t>与周边其他点位污染物检测浓度存在较大差异；</w:t>
      </w:r>
    </w:p>
    <w:p>
      <w:pPr>
        <w:ind w:firstLine="560"/>
        <w:rPr>
          <w:rFonts w:cs="Times New Roman"/>
          <w:highlight w:val="none"/>
        </w:rPr>
      </w:pPr>
      <w:r>
        <w:rPr>
          <w:rFonts w:hint="eastAsia" w:ascii="宋体" w:hAnsi="宋体" w:eastAsia="宋体" w:cs="宋体"/>
          <w:highlight w:val="none"/>
        </w:rPr>
        <w:t>⑤</w:t>
      </w:r>
      <w:r>
        <w:rPr>
          <w:rFonts w:cs="Times New Roman"/>
          <w:highlight w:val="none"/>
        </w:rPr>
        <w:t>该点位周边已按照每个采样单元面积不大于400 m</w:t>
      </w:r>
      <w:r>
        <w:rPr>
          <w:rFonts w:cs="Times New Roman"/>
          <w:highlight w:val="none"/>
          <w:vertAlign w:val="superscript"/>
        </w:rPr>
        <w:t>2</w:t>
      </w:r>
      <w:r>
        <w:rPr>
          <w:rFonts w:cs="Times New Roman"/>
          <w:highlight w:val="none"/>
        </w:rPr>
        <w:t>进行调查，且疑似异常污染物均未超过筛选值；</w:t>
      </w:r>
    </w:p>
    <w:p>
      <w:pPr>
        <w:ind w:firstLine="560"/>
        <w:rPr>
          <w:rFonts w:cs="Times New Roman"/>
          <w:highlight w:val="none"/>
        </w:rPr>
      </w:pPr>
      <w:r>
        <w:rPr>
          <w:rFonts w:cs="Times New Roman"/>
          <w:highlight w:val="none"/>
        </w:rPr>
        <w:t>异常点位排查可采用下列方法之一排查：</w:t>
      </w:r>
    </w:p>
    <w:p>
      <w:pPr>
        <w:ind w:firstLine="560"/>
        <w:rPr>
          <w:rFonts w:cs="Times New Roman"/>
          <w:highlight w:val="none"/>
        </w:rPr>
      </w:pPr>
      <w:r>
        <w:rPr>
          <w:rFonts w:cs="Times New Roman"/>
          <w:highlight w:val="none"/>
        </w:rPr>
        <w:t>a）在疑似异常点位四个垂直轴向上</w:t>
      </w:r>
      <w:r>
        <w:rPr>
          <w:rFonts w:hint="eastAsia" w:cs="Times New Roman"/>
          <w:highlight w:val="none"/>
        </w:rPr>
        <w:t>1</w:t>
      </w:r>
      <w:r>
        <w:rPr>
          <w:rFonts w:cs="Times New Roman"/>
          <w:highlight w:val="none"/>
        </w:rPr>
        <w:t xml:space="preserve"> m范围内共布设</w:t>
      </w:r>
      <w:r>
        <w:rPr>
          <w:rFonts w:hint="eastAsia" w:cs="Times New Roman"/>
          <w:highlight w:val="none"/>
        </w:rPr>
        <w:t>4</w:t>
      </w:r>
      <w:r>
        <w:rPr>
          <w:rFonts w:cs="Times New Roman"/>
          <w:highlight w:val="none"/>
        </w:rPr>
        <w:t>个采样点</w:t>
      </w:r>
      <w:r>
        <w:rPr>
          <w:rFonts w:hint="eastAsia" w:cs="Times New Roman"/>
          <w:highlight w:val="none"/>
        </w:rPr>
        <w:t>，</w:t>
      </w:r>
      <w:r>
        <w:rPr>
          <w:rFonts w:cs="Times New Roman"/>
          <w:highlight w:val="none"/>
        </w:rPr>
        <w:t>每个采样点位至少采集5个土壤样品，原则上应包含排查目标深度及其上、下各两层的土样，分层间隔为0.5 m。如检测结果显示各土壤样品均达标，则可认为该疑似异常点位对于本地块不具代表性，可予以排除。</w:t>
      </w:r>
    </w:p>
    <w:p>
      <w:pPr>
        <w:ind w:firstLine="560"/>
        <w:rPr>
          <w:rFonts w:cs="Times New Roman"/>
          <w:highlight w:val="none"/>
        </w:rPr>
      </w:pPr>
      <w:r>
        <w:rPr>
          <w:rFonts w:cs="Times New Roman"/>
          <w:highlight w:val="none"/>
        </w:rPr>
        <w:t>b）在疑似异常点位周边不超标点位连线范围内开展异常点位排查，在疑似异常点位周边1米范围内布设1个采样点位，其他点位使用系统布点法加密布设对超筛选值的疑似异常污染物进行监测，采样深度分层间隔为0.5</w:t>
      </w:r>
      <w:r>
        <w:rPr>
          <w:rFonts w:hint="eastAsia" w:cs="Times New Roman"/>
          <w:highlight w:val="none"/>
          <w:lang w:val="en-US" w:eastAsia="zh-CN"/>
        </w:rPr>
        <w:t>~</w:t>
      </w:r>
      <w:r>
        <w:rPr>
          <w:rFonts w:cs="Times New Roman"/>
          <w:highlight w:val="none"/>
        </w:rPr>
        <w:t>1米，每个采样点位至少采集5个土壤样品，样品总数不少于25个。通过对异常点位排查区域范围内的所有样品（含异常点位）进行统计分析，如样品均值的95%置信上限小于等于相应的筛选值，且排除的土壤量不大于25 m</w:t>
      </w:r>
      <w:r>
        <w:rPr>
          <w:rFonts w:cs="Times New Roman"/>
          <w:highlight w:val="none"/>
          <w:vertAlign w:val="superscript"/>
        </w:rPr>
        <w:t>3</w:t>
      </w:r>
      <w:r>
        <w:rPr>
          <w:rFonts w:cs="Times New Roman"/>
          <w:highlight w:val="none"/>
        </w:rPr>
        <w:t>（采用不超标点位连线法估算），则可认为该疑似异常点位对于本地块不具代表性，可予以排除。</w:t>
      </w:r>
    </w:p>
    <w:p>
      <w:pPr>
        <w:pStyle w:val="3"/>
        <w:ind w:firstLine="560"/>
        <w:rPr>
          <w:rFonts w:cs="Times New Roman"/>
          <w:highlight w:val="none"/>
        </w:rPr>
      </w:pPr>
      <w:r>
        <w:rPr>
          <w:rFonts w:hint="eastAsia" w:cs="Times New Roman"/>
          <w:highlight w:val="none"/>
        </w:rPr>
        <w:t>五</w:t>
      </w:r>
      <w:r>
        <w:rPr>
          <w:rFonts w:cs="Times New Roman"/>
          <w:highlight w:val="none"/>
        </w:rPr>
        <w:t>、质量保证与质量控制</w:t>
      </w:r>
    </w:p>
    <w:p>
      <w:pPr>
        <w:ind w:firstLine="560"/>
        <w:rPr>
          <w:rFonts w:cs="Times New Roman"/>
          <w:highlight w:val="none"/>
        </w:rPr>
      </w:pPr>
      <w:r>
        <w:rPr>
          <w:rFonts w:cs="Times New Roman"/>
          <w:highlight w:val="none"/>
        </w:rPr>
        <w:t>按各检测方法的规定做好现场平行样、</w:t>
      </w:r>
      <w:r>
        <w:rPr>
          <w:rFonts w:hint="eastAsia" w:cs="Times New Roman"/>
          <w:highlight w:val="none"/>
        </w:rPr>
        <w:t>现场空白、</w:t>
      </w:r>
      <w:r>
        <w:rPr>
          <w:rFonts w:cs="Times New Roman"/>
          <w:highlight w:val="none"/>
        </w:rPr>
        <w:t>运输空白、实验室空白、实验室平行样、质控样、加标回收等质控措施。</w:t>
      </w:r>
      <w:r>
        <w:rPr>
          <w:rFonts w:hint="eastAsia" w:cs="Times New Roman"/>
          <w:highlight w:val="none"/>
        </w:rPr>
        <w:t>报告中</w:t>
      </w:r>
      <w:r>
        <w:rPr>
          <w:rFonts w:cs="Times New Roman"/>
          <w:highlight w:val="none"/>
        </w:rPr>
        <w:t xml:space="preserve">形成质控统计表。 </w:t>
      </w:r>
    </w:p>
    <w:p>
      <w:pPr>
        <w:ind w:firstLine="560"/>
        <w:rPr>
          <w:rFonts w:cs="Times New Roman"/>
          <w:highlight w:val="none"/>
        </w:rPr>
      </w:pPr>
      <w:r>
        <w:rPr>
          <w:rFonts w:hint="eastAsia" w:cs="Times New Roman"/>
          <w:highlight w:val="none"/>
        </w:rPr>
        <w:t>现场采样时，土壤和地下水样品应按照1</w:t>
      </w:r>
      <w:r>
        <w:rPr>
          <w:rFonts w:cs="Times New Roman"/>
          <w:highlight w:val="none"/>
        </w:rPr>
        <w:t>0%</w:t>
      </w:r>
      <w:r>
        <w:rPr>
          <w:rFonts w:hint="eastAsia" w:cs="Times New Roman"/>
          <w:highlight w:val="none"/>
        </w:rPr>
        <w:t>比例采取现场平行样，每批次送检样品应设置不少于1个的现场空白样和运输空白样。</w:t>
      </w:r>
    </w:p>
    <w:p>
      <w:pPr>
        <w:ind w:firstLine="560"/>
        <w:rPr>
          <w:rFonts w:cs="Times New Roman"/>
          <w:highlight w:val="none"/>
        </w:rPr>
      </w:pPr>
      <w:r>
        <w:rPr>
          <w:rFonts w:cs="Times New Roman"/>
          <w:highlight w:val="none"/>
        </w:rPr>
        <w:t>连续进样分析时，每分析测试20个样品，应测定一次校准曲线中间浓度点，确认分析仪器校准曲线是否发生显著变化。分析测试方法有规定的，按分析测试方法的规定进行。</w:t>
      </w:r>
    </w:p>
    <w:p>
      <w:pPr>
        <w:ind w:firstLine="560"/>
        <w:rPr>
          <w:rFonts w:cs="Times New Roman"/>
          <w:highlight w:val="none"/>
        </w:rPr>
      </w:pPr>
      <w:r>
        <w:rPr>
          <w:rFonts w:cs="Times New Roman"/>
          <w:highlight w:val="none"/>
        </w:rPr>
        <w:t xml:space="preserve">每批次样品分析时，每个检测项目（除挥发性有机物外）均须做实验室平行样分析。在每批次分析样品中，应随机抽取5%的样品进行实验室平行样分析；当批次样品数≤20时，应至少随机抽取2个样品进行实验室平行样分析。 </w:t>
      </w:r>
    </w:p>
    <w:p>
      <w:pPr>
        <w:ind w:firstLine="560"/>
        <w:rPr>
          <w:rFonts w:cs="Times New Roman"/>
          <w:highlight w:val="none"/>
        </w:rPr>
      </w:pPr>
      <w:r>
        <w:rPr>
          <w:rFonts w:cs="Times New Roman"/>
          <w:highlight w:val="none"/>
        </w:rPr>
        <w:t xml:space="preserve">当具备与被测土壤或地下水样品基体相同或类似的有证标准物质时，应在每批次样品分析时同步均匀插入与被测样品含量水平相当的有证标准物质样品进行分析测试。每批次同类型分析样品要求按样品数5%的比例插入标准物质样品；当批次分析样品数≤20时，应至少插入2个标准物质样品。 </w:t>
      </w:r>
    </w:p>
    <w:p>
      <w:pPr>
        <w:ind w:firstLine="560"/>
        <w:rPr>
          <w:rFonts w:cs="Times New Roman"/>
          <w:highlight w:val="none"/>
        </w:rPr>
      </w:pPr>
      <w:r>
        <w:rPr>
          <w:rFonts w:cs="Times New Roman"/>
          <w:highlight w:val="none"/>
        </w:rPr>
        <w:t>当没有合适的土壤或地下水基体有证标准物质时，应采用基体加标回收率试验对准确度进行控制。每批次同类型分析样品中，应随机抽取5％的样品进行加标回收率试验；当批次分析样品数≤20时，应至少随机抽取 2个样品进行加标回收率试验。此外，在进行有机污染物样品分析时，最好能进行替代物加标回收率试验。</w:t>
      </w:r>
    </w:p>
    <w:p>
      <w:pPr>
        <w:ind w:firstLine="560"/>
        <w:rPr>
          <w:rFonts w:cs="Times New Roman"/>
          <w:highlight w:val="none"/>
        </w:rPr>
      </w:pPr>
      <w:r>
        <w:rPr>
          <w:rFonts w:cs="Times New Roman"/>
          <w:highlight w:val="none"/>
        </w:rPr>
        <w:t>具体工作按现行有效的监测技术规范、检测方法相关要求执行，并满足以上质量控制的比例要求，将相关的记录体现在测试报告中。质控样分析结果不合格时，应查找原因，并将同批样品重新分析。</w:t>
      </w:r>
    </w:p>
    <w:p>
      <w:pPr>
        <w:ind w:firstLine="560"/>
        <w:rPr>
          <w:rFonts w:cs="Times New Roman"/>
          <w:highlight w:val="none"/>
        </w:rPr>
      </w:pPr>
      <w:r>
        <w:rPr>
          <w:rFonts w:cs="Times New Roman"/>
          <w:highlight w:val="none"/>
        </w:rPr>
        <w:t>精密度、准确度的评判标准按现行有效的监测技术规范、检测方法相关要求执行，并满足以上质量控制的比例要求，未有规定的建议参照《重点行业企业用地调查质量保证与质量控制技术规定（试行）》中精密度及准确度的要求。</w:t>
      </w:r>
    </w:p>
    <w:p>
      <w:pPr>
        <w:pStyle w:val="3"/>
        <w:rPr>
          <w:rFonts w:cs="Times New Roman"/>
          <w:highlight w:val="none"/>
        </w:rPr>
      </w:pPr>
      <w:r>
        <w:rPr>
          <w:rFonts w:hint="eastAsia" w:cs="Times New Roman"/>
          <w:highlight w:val="none"/>
        </w:rPr>
        <w:t>六</w:t>
      </w:r>
      <w:r>
        <w:rPr>
          <w:rFonts w:cs="Times New Roman"/>
          <w:highlight w:val="none"/>
        </w:rPr>
        <w:t>、数据分析与评价</w:t>
      </w:r>
    </w:p>
    <w:p>
      <w:pPr>
        <w:ind w:firstLine="562"/>
        <w:rPr>
          <w:rFonts w:cs="Times New Roman"/>
          <w:b/>
          <w:highlight w:val="none"/>
        </w:rPr>
      </w:pPr>
      <w:r>
        <w:rPr>
          <w:rFonts w:cs="Times New Roman"/>
          <w:b/>
          <w:bCs/>
          <w:highlight w:val="none"/>
        </w:rPr>
        <w:t>1、筛选值的选取</w:t>
      </w:r>
    </w:p>
    <w:p>
      <w:pPr>
        <w:ind w:firstLine="562"/>
        <w:rPr>
          <w:rFonts w:cs="Times New Roman"/>
          <w:b/>
          <w:bCs/>
          <w:highlight w:val="none"/>
        </w:rPr>
      </w:pPr>
      <w:r>
        <w:rPr>
          <w:rFonts w:cs="Times New Roman"/>
          <w:b/>
          <w:bCs/>
          <w:highlight w:val="none"/>
        </w:rPr>
        <w:t>（1）土壤污染风险筛选值</w:t>
      </w:r>
    </w:p>
    <w:p>
      <w:pPr>
        <w:ind w:firstLine="560"/>
        <w:rPr>
          <w:rFonts w:cs="Times New Roman"/>
          <w:highlight w:val="none"/>
        </w:rPr>
      </w:pPr>
      <w:r>
        <w:rPr>
          <w:rFonts w:cs="Times New Roman"/>
          <w:highlight w:val="none"/>
        </w:rPr>
        <w:t>按照《土壤环境质量 建设用地土壤污染风险管控标准（试行）》（GB 36600）的规定执行。</w:t>
      </w:r>
      <w:r>
        <w:rPr>
          <w:rFonts w:hint="eastAsia" w:cs="Times New Roman"/>
          <w:highlight w:val="none"/>
        </w:rPr>
        <w:t>广西壮族自治区如按照相关法律法规出台土壤污染风险管控标准，优先执行。</w:t>
      </w:r>
    </w:p>
    <w:p>
      <w:pPr>
        <w:ind w:firstLine="560"/>
        <w:rPr>
          <w:rFonts w:cs="Times New Roman"/>
          <w:highlight w:val="none"/>
        </w:rPr>
      </w:pPr>
      <w:r>
        <w:rPr>
          <w:rFonts w:cs="Times New Roman"/>
          <w:highlight w:val="none"/>
        </w:rPr>
        <w:t>国家及地方相关标准未涉及到的污染物，可依据《建设用地土壤污染风险评估技术导则》（HJ 25.3）推导特定污染物的土壤污染风险筛选值，但应列出推导筛选值所选择的暴露途径、迁移模型和参数值，相关参数优先采用HJ 25.3的推荐值。</w:t>
      </w:r>
      <w:r>
        <w:rPr>
          <w:rFonts w:hint="eastAsia" w:cs="Times New Roman"/>
          <w:highlight w:val="none"/>
        </w:rPr>
        <w:t>未涉及到的污染物也可参考国外相关标准。</w:t>
      </w:r>
    </w:p>
    <w:p>
      <w:pPr>
        <w:ind w:firstLine="560"/>
        <w:rPr>
          <w:rFonts w:cs="Times New Roman"/>
          <w:highlight w:val="none"/>
        </w:rPr>
      </w:pPr>
      <w:bookmarkStart w:id="9" w:name="_Hlk38354482"/>
      <w:r>
        <w:rPr>
          <w:rFonts w:cs="Times New Roman"/>
          <w:highlight w:val="none"/>
        </w:rPr>
        <w:t>如</w:t>
      </w:r>
      <w:r>
        <w:rPr>
          <w:rFonts w:hint="eastAsia" w:cs="Times New Roman"/>
          <w:highlight w:val="none"/>
        </w:rPr>
        <w:t>调查地块所在区域</w:t>
      </w:r>
      <w:r>
        <w:rPr>
          <w:rFonts w:cs="Times New Roman"/>
          <w:highlight w:val="none"/>
        </w:rPr>
        <w:t>的背景值高于通过上述方式选取的筛选值，则优先考虑土壤背景值作为筛选值，</w:t>
      </w:r>
      <w:r>
        <w:rPr>
          <w:rFonts w:hint="eastAsia" w:cs="Times New Roman"/>
          <w:highlight w:val="none"/>
        </w:rPr>
        <w:t>报告中应</w:t>
      </w:r>
      <w:r>
        <w:rPr>
          <w:rFonts w:cs="Times New Roman"/>
          <w:highlight w:val="none"/>
        </w:rPr>
        <w:t>明确土壤类型。</w:t>
      </w:r>
      <w:bookmarkEnd w:id="9"/>
      <w:bookmarkStart w:id="10" w:name="_Hlk38354516"/>
    </w:p>
    <w:bookmarkEnd w:id="10"/>
    <w:p>
      <w:pPr>
        <w:ind w:firstLine="562"/>
        <w:rPr>
          <w:rFonts w:cs="Times New Roman"/>
          <w:b/>
          <w:bCs/>
          <w:highlight w:val="none"/>
        </w:rPr>
      </w:pPr>
      <w:r>
        <w:rPr>
          <w:rFonts w:cs="Times New Roman"/>
          <w:b/>
          <w:bCs/>
          <w:highlight w:val="none"/>
        </w:rPr>
        <w:t>（2）地下水污染风险筛选值</w:t>
      </w:r>
    </w:p>
    <w:p>
      <w:pPr>
        <w:ind w:firstLine="560"/>
        <w:rPr>
          <w:rFonts w:cs="Times New Roman"/>
          <w:highlight w:val="none"/>
        </w:rPr>
      </w:pPr>
      <w:r>
        <w:rPr>
          <w:rFonts w:cs="Times New Roman"/>
          <w:highlight w:val="none"/>
        </w:rPr>
        <w:t>根据</w:t>
      </w:r>
      <w:r>
        <w:rPr>
          <w:rFonts w:hint="eastAsia" w:cs="Times New Roman"/>
          <w:highlight w:val="none"/>
        </w:rPr>
        <w:t>地块</w:t>
      </w:r>
      <w:r>
        <w:rPr>
          <w:rFonts w:cs="Times New Roman"/>
          <w:highlight w:val="none"/>
        </w:rPr>
        <w:t>所在区域的地下水功能选取。地下水污染羽涉及地下水饮用水源（在用、备用、应急、规划水源）补给径流区和保护区，采用《地下水质量标准》（GB/T 14848）中的Ⅲ类标准限值；地下水污染羽不涉及地下水饮用水源（在用、备用、应急、规划水源）补给径流区和保护区，采用《地下水质量标准》（GB/T 14848）中的Ⅳ类标准。</w:t>
      </w:r>
      <w:r>
        <w:rPr>
          <w:rFonts w:hint="eastAsia" w:cs="Times New Roman"/>
          <w:highlight w:val="none"/>
        </w:rPr>
        <w:t>上述环境标准中未涉及到的污染物，</w:t>
      </w:r>
      <w:r>
        <w:rPr>
          <w:rFonts w:cs="Times New Roman"/>
          <w:highlight w:val="none"/>
        </w:rPr>
        <w:t>可参照《生活饮用水卫生标准》（GB 5749）</w:t>
      </w:r>
      <w:r>
        <w:rPr>
          <w:rFonts w:hint="eastAsia" w:cs="Times New Roman"/>
          <w:highlight w:val="none"/>
        </w:rPr>
        <w:t>和《地表水环境质量标准》(GB 3838)</w:t>
      </w:r>
      <w:r>
        <w:rPr>
          <w:rFonts w:cs="Times New Roman"/>
          <w:highlight w:val="none"/>
        </w:rPr>
        <w:t>等相关标准；国家及地方相关标准未涉及到的污染物，可依据《建设用地土壤污染风险评估技术导则》（HJ 25.3）推导特定污染物的地下水污染风险筛选值。</w:t>
      </w:r>
    </w:p>
    <w:p>
      <w:pPr>
        <w:ind w:firstLine="512" w:firstLineChars="182"/>
        <w:rPr>
          <w:rFonts w:cs="Times New Roman"/>
          <w:b/>
          <w:bCs/>
          <w:highlight w:val="none"/>
        </w:rPr>
      </w:pPr>
      <w:r>
        <w:rPr>
          <w:rFonts w:cs="Times New Roman"/>
          <w:b/>
          <w:bCs/>
          <w:highlight w:val="none"/>
        </w:rPr>
        <w:t>（3）底泥污染风险筛选值</w:t>
      </w:r>
    </w:p>
    <w:p>
      <w:pPr>
        <w:ind w:firstLine="560"/>
        <w:rPr>
          <w:rFonts w:cs="Times New Roman"/>
          <w:highlight w:val="none"/>
        </w:rPr>
      </w:pPr>
      <w:r>
        <w:rPr>
          <w:rFonts w:cs="Times New Roman"/>
          <w:highlight w:val="none"/>
        </w:rPr>
        <w:t>参照土壤污染风险筛选值。</w:t>
      </w:r>
    </w:p>
    <w:p>
      <w:pPr>
        <w:ind w:firstLine="562"/>
        <w:rPr>
          <w:rFonts w:cs="Times New Roman"/>
          <w:b/>
          <w:bCs/>
          <w:highlight w:val="none"/>
        </w:rPr>
      </w:pPr>
      <w:r>
        <w:rPr>
          <w:rFonts w:cs="Times New Roman"/>
          <w:b/>
          <w:bCs/>
          <w:highlight w:val="none"/>
        </w:rPr>
        <w:t>（4）地表水污染筛选值</w:t>
      </w:r>
    </w:p>
    <w:p>
      <w:pPr>
        <w:ind w:firstLine="560"/>
        <w:rPr>
          <w:rFonts w:cs="Times New Roman"/>
          <w:highlight w:val="none"/>
        </w:rPr>
      </w:pPr>
      <w:r>
        <w:rPr>
          <w:rFonts w:cs="Times New Roman"/>
          <w:highlight w:val="none"/>
        </w:rPr>
        <w:t>参照《地表水环境质量标准》（GB 3838）。</w:t>
      </w:r>
    </w:p>
    <w:p>
      <w:pPr>
        <w:ind w:firstLine="560"/>
        <w:rPr>
          <w:rFonts w:cs="Times New Roman"/>
          <w:highlight w:val="none"/>
        </w:rPr>
      </w:pPr>
      <w:r>
        <w:rPr>
          <w:rFonts w:hint="eastAsia" w:cs="Times New Roman"/>
          <w:highlight w:val="none"/>
        </w:rPr>
        <w:t>（5）残余废弃物</w:t>
      </w:r>
    </w:p>
    <w:p>
      <w:pPr>
        <w:ind w:firstLine="560"/>
        <w:rPr>
          <w:rFonts w:cs="Times New Roman"/>
          <w:highlight w:val="none"/>
        </w:rPr>
      </w:pPr>
      <w:r>
        <w:rPr>
          <w:rFonts w:hint="eastAsia" w:cs="Times New Roman"/>
          <w:highlight w:val="none"/>
        </w:rPr>
        <w:t>依据法律规定和《固体废物鉴别标准通则》（</w:t>
      </w:r>
      <w:r>
        <w:rPr>
          <w:rFonts w:cs="Times New Roman"/>
          <w:highlight w:val="none"/>
        </w:rPr>
        <w:t>GB34330</w:t>
      </w:r>
      <w:r>
        <w:rPr>
          <w:rFonts w:hint="eastAsia" w:cs="Times New Roman"/>
          <w:highlight w:val="none"/>
        </w:rPr>
        <w:t>），判断待鉴别的物品、物质是否属于固体废物，不属于固体废物的，则不属于危险废物。</w:t>
      </w:r>
    </w:p>
    <w:p>
      <w:pPr>
        <w:ind w:firstLine="560"/>
        <w:rPr>
          <w:rFonts w:cs="Times New Roman"/>
          <w:highlight w:val="none"/>
        </w:rPr>
      </w:pPr>
      <w:r>
        <w:rPr>
          <w:rFonts w:hint="eastAsia" w:cs="Times New Roman"/>
          <w:highlight w:val="none"/>
        </w:rPr>
        <w:t>判断属于固体废物的，首先根据《国家危险废物名录》鉴别，属于《国家危险废物名录》的固体废物，属于危险废物，不需要进行危险特性鉴别。</w:t>
      </w:r>
    </w:p>
    <w:p>
      <w:pPr>
        <w:ind w:firstLine="560"/>
        <w:rPr>
          <w:rFonts w:cs="Times New Roman"/>
          <w:highlight w:val="none"/>
        </w:rPr>
      </w:pPr>
      <w:r>
        <w:rPr>
          <w:rFonts w:hint="eastAsia" w:cs="Times New Roman"/>
          <w:highlight w:val="none"/>
        </w:rPr>
        <w:t>未列入《国家危险废物名录》，但不排除具有腐蚀性、毒性、易燃性、反应性的固体废物，依据GB5085.1、GB5085.2、GB5085.3、GB5085.4、GB5085.5和GB5085.6，以及HJ298进行鉴别。凡具有腐蚀性、毒性、易燃性、反应性中一种或一种以上危险特性的固体废物，属于危险废物。</w:t>
      </w:r>
    </w:p>
    <w:p>
      <w:pPr>
        <w:ind w:firstLine="562"/>
        <w:rPr>
          <w:rFonts w:cs="Times New Roman"/>
          <w:b/>
          <w:bCs/>
          <w:highlight w:val="none"/>
        </w:rPr>
      </w:pPr>
      <w:r>
        <w:rPr>
          <w:rFonts w:cs="Times New Roman"/>
          <w:b/>
          <w:bCs/>
          <w:highlight w:val="none"/>
        </w:rPr>
        <w:t>2、污染区域的划定</w:t>
      </w:r>
    </w:p>
    <w:p>
      <w:pPr>
        <w:ind w:firstLine="560"/>
        <w:rPr>
          <w:rFonts w:cs="Times New Roman"/>
          <w:highlight w:val="none"/>
        </w:rPr>
      </w:pPr>
      <w:r>
        <w:rPr>
          <w:rFonts w:cs="Times New Roman"/>
          <w:highlight w:val="none"/>
        </w:rPr>
        <w:t>根据地块实际情况，如果存在土壤和地下水超标情况，应采用无污染点位连线的方法结合地块功能分区划定土壤和地下水污染区域，作为详细调查的布点依据。</w:t>
      </w:r>
    </w:p>
    <w:p>
      <w:pPr>
        <w:pStyle w:val="3"/>
        <w:rPr>
          <w:rFonts w:cs="Times New Roman"/>
          <w:highlight w:val="none"/>
        </w:rPr>
      </w:pPr>
      <w:r>
        <w:rPr>
          <w:rFonts w:hint="eastAsia" w:cs="Times New Roman"/>
          <w:highlight w:val="none"/>
        </w:rPr>
        <w:t>七</w:t>
      </w:r>
      <w:r>
        <w:rPr>
          <w:rFonts w:cs="Times New Roman"/>
          <w:highlight w:val="none"/>
        </w:rPr>
        <w:t>、结论与建议</w:t>
      </w:r>
    </w:p>
    <w:p>
      <w:pPr>
        <w:ind w:firstLine="560"/>
        <w:rPr>
          <w:rFonts w:cs="Times New Roman"/>
          <w:highlight w:val="none"/>
        </w:rPr>
      </w:pPr>
      <w:r>
        <w:rPr>
          <w:rFonts w:cs="Times New Roman"/>
          <w:highlight w:val="none"/>
        </w:rPr>
        <w:t>1</w:t>
      </w:r>
      <w:r>
        <w:rPr>
          <w:rFonts w:hint="eastAsia" w:cs="Times New Roman"/>
          <w:highlight w:val="none"/>
        </w:rPr>
        <w:t>．</w:t>
      </w:r>
      <w:r>
        <w:rPr>
          <w:rFonts w:cs="Times New Roman"/>
          <w:highlight w:val="none"/>
        </w:rPr>
        <w:t>明确</w:t>
      </w:r>
      <w:r>
        <w:rPr>
          <w:rFonts w:hint="eastAsia" w:cs="Times New Roman"/>
          <w:highlight w:val="none"/>
        </w:rPr>
        <w:t>地块内</w:t>
      </w:r>
      <w:r>
        <w:rPr>
          <w:rFonts w:cs="Times New Roman"/>
          <w:highlight w:val="none"/>
        </w:rPr>
        <w:t>土壤和地下水是否受到污染，污染物含量是否超过土壤污染风险管控标准</w:t>
      </w:r>
      <w:r>
        <w:rPr>
          <w:rFonts w:hint="eastAsia" w:cs="Times New Roman"/>
          <w:highlight w:val="none"/>
        </w:rPr>
        <w:t>。污染物含量超过土壤污染风险管控标准的，明确污染物种类、浓度和空间分布，污染来源，</w:t>
      </w:r>
      <w:r>
        <w:rPr>
          <w:rFonts w:cs="Times New Roman"/>
          <w:highlight w:val="none"/>
        </w:rPr>
        <w:t>并提出是否需要开展进一步风险评估的建议。</w:t>
      </w:r>
    </w:p>
    <w:p>
      <w:pPr>
        <w:ind w:firstLine="560"/>
        <w:rPr>
          <w:rFonts w:cs="Times New Roman"/>
          <w:highlight w:val="none"/>
        </w:rPr>
      </w:pPr>
      <w:r>
        <w:rPr>
          <w:rFonts w:cs="Times New Roman"/>
          <w:highlight w:val="none"/>
        </w:rPr>
        <w:t>2</w:t>
      </w:r>
      <w:r>
        <w:rPr>
          <w:rFonts w:hint="eastAsia" w:cs="Times New Roman"/>
          <w:highlight w:val="none"/>
        </w:rPr>
        <w:t>.</w:t>
      </w:r>
      <w:r>
        <w:rPr>
          <w:rFonts w:cs="Times New Roman"/>
          <w:highlight w:val="none"/>
        </w:rPr>
        <w:t xml:space="preserve"> </w:t>
      </w:r>
      <w:r>
        <w:rPr>
          <w:rFonts w:hint="eastAsia" w:cs="Times New Roman"/>
          <w:highlight w:val="none"/>
        </w:rPr>
        <w:t>规划用途为第二类用地的地块，存在未超第二类用地筛选值标准但超过第一类用地标准的具有一定风险的土壤，且未来再开发利用过程中可能对该部分土壤进行开挖外运，无法确认接收地规划用途的，地块调查结论需对该用地提出后续环境管理要求。</w:t>
      </w:r>
    </w:p>
    <w:p>
      <w:pPr>
        <w:ind w:firstLine="560"/>
        <w:rPr>
          <w:rFonts w:cs="Times New Roman"/>
          <w:highlight w:val="none"/>
        </w:rPr>
        <w:sectPr>
          <w:footerReference r:id="rId10" w:type="default"/>
          <w:pgSz w:w="11906" w:h="16838"/>
          <w:pgMar w:top="1797" w:right="1440" w:bottom="1797" w:left="1440" w:header="851" w:footer="992" w:gutter="0"/>
          <w:cols w:space="425" w:num="1"/>
          <w:docGrid w:linePitch="435" w:charSpace="0"/>
        </w:sectPr>
      </w:pPr>
      <w:r>
        <w:rPr>
          <w:rFonts w:cs="Times New Roman"/>
          <w:highlight w:val="none"/>
        </w:rPr>
        <w:t>3</w:t>
      </w:r>
      <w:r>
        <w:rPr>
          <w:rFonts w:hint="eastAsia" w:cs="Times New Roman"/>
          <w:highlight w:val="none"/>
        </w:rPr>
        <w:t>.</w:t>
      </w:r>
      <w:r>
        <w:rPr>
          <w:rFonts w:cs="Times New Roman"/>
          <w:highlight w:val="none"/>
        </w:rPr>
        <w:t xml:space="preserve"> 对于地块存在尚未清理完毕的危废、固废、建筑物等，若清运或拆除过程新发现污染或产生二次污染，需对新发现污染或二次污染区域开展补充调查。</w:t>
      </w:r>
    </w:p>
    <w:p>
      <w:pPr>
        <w:pStyle w:val="2"/>
        <w:spacing w:before="120"/>
        <w:ind w:firstLine="562"/>
        <w:rPr>
          <w:highlight w:val="none"/>
        </w:rPr>
      </w:pPr>
      <w:bookmarkStart w:id="11" w:name="_Hlk38354655"/>
      <w:r>
        <w:rPr>
          <w:highlight w:val="none"/>
        </w:rPr>
        <w:t>第</w:t>
      </w:r>
      <w:r>
        <w:rPr>
          <w:rFonts w:hint="eastAsia"/>
          <w:highlight w:val="none"/>
        </w:rPr>
        <w:t>二</w:t>
      </w:r>
      <w:r>
        <w:rPr>
          <w:highlight w:val="none"/>
        </w:rPr>
        <w:t>章 建设用地土壤污染风险评估报告审查技术要点</w:t>
      </w:r>
    </w:p>
    <w:bookmarkEnd w:id="11"/>
    <w:p>
      <w:pPr>
        <w:ind w:firstLine="560"/>
        <w:rPr>
          <w:rFonts w:cs="Times New Roman"/>
          <w:highlight w:val="none"/>
        </w:rPr>
      </w:pPr>
      <w:r>
        <w:rPr>
          <w:rFonts w:cs="Times New Roman"/>
          <w:highlight w:val="none"/>
        </w:rPr>
        <w:t>土壤污染健康风险评估的工作内容包括危害识别、暴露评估、毒性评估、风险表征等，通过风险评估判断土壤和地下水污染造成的人体健康风险是否超过可接受水平，并计算土壤和地下水风险控制值，确定地块修复目标和修复范围。</w:t>
      </w:r>
    </w:p>
    <w:p>
      <w:pPr>
        <w:pStyle w:val="3"/>
        <w:rPr>
          <w:rFonts w:cs="Times New Roman"/>
          <w:highlight w:val="none"/>
        </w:rPr>
      </w:pPr>
      <w:r>
        <w:rPr>
          <w:rFonts w:cs="Times New Roman"/>
          <w:highlight w:val="none"/>
        </w:rPr>
        <w:t>一、危害识别</w:t>
      </w:r>
    </w:p>
    <w:p>
      <w:pPr>
        <w:ind w:firstLine="562"/>
        <w:rPr>
          <w:rFonts w:cs="Times New Roman"/>
          <w:b/>
          <w:bCs/>
          <w:highlight w:val="none"/>
        </w:rPr>
      </w:pPr>
      <w:r>
        <w:rPr>
          <w:rFonts w:cs="Times New Roman"/>
          <w:b/>
          <w:bCs/>
          <w:highlight w:val="none"/>
        </w:rPr>
        <w:t>1、土地利用方式</w:t>
      </w:r>
    </w:p>
    <w:p>
      <w:pPr>
        <w:ind w:firstLine="560"/>
        <w:rPr>
          <w:rFonts w:cs="Times New Roman"/>
          <w:highlight w:val="none"/>
        </w:rPr>
      </w:pPr>
      <w:r>
        <w:rPr>
          <w:rFonts w:cs="Times New Roman"/>
          <w:highlight w:val="none"/>
        </w:rPr>
        <w:t>确定地块未来土地利用方式以及敏感</w:t>
      </w:r>
      <w:r>
        <w:rPr>
          <w:rFonts w:hint="eastAsia" w:cs="Times New Roman"/>
          <w:highlight w:val="none"/>
        </w:rPr>
        <w:t>受体</w:t>
      </w:r>
      <w:r>
        <w:rPr>
          <w:rFonts w:cs="Times New Roman"/>
          <w:highlight w:val="none"/>
        </w:rPr>
        <w:t>，若无明确规划则应按照第一类用地进行风险评估。对于同时包括第一类用地和第二类用地的地块，可分区进行风险评估。</w:t>
      </w:r>
    </w:p>
    <w:p>
      <w:pPr>
        <w:ind w:firstLine="562"/>
        <w:rPr>
          <w:rFonts w:cs="Times New Roman"/>
          <w:b/>
          <w:bCs/>
          <w:highlight w:val="none"/>
        </w:rPr>
      </w:pPr>
      <w:r>
        <w:rPr>
          <w:rFonts w:cs="Times New Roman"/>
          <w:b/>
          <w:bCs/>
          <w:highlight w:val="none"/>
        </w:rPr>
        <w:t>2、地块环境调查资料</w:t>
      </w:r>
    </w:p>
    <w:p>
      <w:pPr>
        <w:ind w:firstLine="560"/>
        <w:rPr>
          <w:rFonts w:cs="Times New Roman"/>
          <w:highlight w:val="none"/>
        </w:rPr>
      </w:pPr>
      <w:r>
        <w:rPr>
          <w:rFonts w:cs="Times New Roman"/>
          <w:highlight w:val="none"/>
        </w:rPr>
        <w:t>地块环境调查资料应满足风险评估要求。</w:t>
      </w:r>
    </w:p>
    <w:p>
      <w:pPr>
        <w:ind w:firstLine="560"/>
        <w:rPr>
          <w:rFonts w:cs="Times New Roman"/>
          <w:highlight w:val="none"/>
        </w:rPr>
      </w:pPr>
      <w:r>
        <w:rPr>
          <w:rFonts w:cs="Times New Roman"/>
          <w:highlight w:val="none"/>
        </w:rPr>
        <w:t>应详细描述地块相关资料及历史信息，包括土壤理化性质</w:t>
      </w:r>
      <w:r>
        <w:rPr>
          <w:rFonts w:hint="eastAsia" w:cs="Times New Roman"/>
          <w:highlight w:val="none"/>
        </w:rPr>
        <w:t>数据、</w:t>
      </w:r>
      <w:r>
        <w:rPr>
          <w:rFonts w:cs="Times New Roman"/>
          <w:highlight w:val="none"/>
        </w:rPr>
        <w:t>区域气候、地块水文地质特征信息和数据</w:t>
      </w:r>
      <w:r>
        <w:rPr>
          <w:rFonts w:hint="eastAsia" w:cs="Times New Roman"/>
          <w:highlight w:val="none"/>
        </w:rPr>
        <w:t>、地块土壤和地下水污染数据</w:t>
      </w:r>
      <w:r>
        <w:rPr>
          <w:rFonts w:cs="Times New Roman"/>
          <w:highlight w:val="none"/>
        </w:rPr>
        <w:t>。</w:t>
      </w:r>
    </w:p>
    <w:p>
      <w:pPr>
        <w:ind w:firstLine="562"/>
        <w:rPr>
          <w:rFonts w:cs="Times New Roman"/>
          <w:b/>
          <w:bCs/>
          <w:highlight w:val="none"/>
        </w:rPr>
      </w:pPr>
      <w:r>
        <w:rPr>
          <w:rFonts w:hint="eastAsia" w:cs="Times New Roman"/>
          <w:b/>
          <w:bCs/>
          <w:highlight w:val="none"/>
        </w:rPr>
        <w:t>3.</w:t>
      </w:r>
      <w:r>
        <w:rPr>
          <w:rFonts w:cs="Times New Roman"/>
          <w:b/>
          <w:bCs/>
          <w:highlight w:val="none"/>
        </w:rPr>
        <w:t xml:space="preserve"> </w:t>
      </w:r>
      <w:r>
        <w:rPr>
          <w:rFonts w:hint="eastAsia" w:cs="Times New Roman"/>
          <w:b/>
          <w:bCs/>
          <w:highlight w:val="none"/>
        </w:rPr>
        <w:t>确定关注污染物</w:t>
      </w:r>
    </w:p>
    <w:p>
      <w:pPr>
        <w:ind w:firstLine="560"/>
        <w:rPr>
          <w:rFonts w:cs="Times New Roman"/>
          <w:highlight w:val="none"/>
        </w:rPr>
      </w:pPr>
      <w:r>
        <w:rPr>
          <w:rFonts w:hint="eastAsia" w:cs="Times New Roman"/>
          <w:highlight w:val="none"/>
        </w:rPr>
        <w:t>根据土壤污染状况调查和监测结果，将对人群等敏感受体具有潜在风险需要进行风险评估的污染物，确定为关注污染物。</w:t>
      </w:r>
    </w:p>
    <w:p>
      <w:pPr>
        <w:pStyle w:val="3"/>
        <w:rPr>
          <w:rFonts w:cs="Times New Roman"/>
          <w:highlight w:val="none"/>
        </w:rPr>
      </w:pPr>
      <w:bookmarkStart w:id="12" w:name="_Hlk40696554"/>
      <w:r>
        <w:rPr>
          <w:rFonts w:cs="Times New Roman"/>
          <w:highlight w:val="none"/>
        </w:rPr>
        <w:t>二、暴露评估</w:t>
      </w:r>
    </w:p>
    <w:p>
      <w:pPr>
        <w:ind w:firstLine="562"/>
        <w:rPr>
          <w:rFonts w:cs="Times New Roman"/>
          <w:b/>
          <w:bCs/>
          <w:highlight w:val="none"/>
        </w:rPr>
      </w:pPr>
      <w:r>
        <w:rPr>
          <w:rFonts w:cs="Times New Roman"/>
          <w:b/>
          <w:bCs/>
          <w:highlight w:val="none"/>
        </w:rPr>
        <w:t>1.</w:t>
      </w:r>
      <w:bookmarkStart w:id="13" w:name="_Hlk43022301"/>
      <w:r>
        <w:rPr>
          <w:rFonts w:cs="Times New Roman"/>
          <w:b/>
          <w:bCs/>
          <w:highlight w:val="none"/>
        </w:rPr>
        <w:t xml:space="preserve"> 暴露情景及暴露途径</w:t>
      </w:r>
    </w:p>
    <w:bookmarkEnd w:id="13"/>
    <w:p>
      <w:pPr>
        <w:ind w:firstLine="560"/>
        <w:rPr>
          <w:rFonts w:cs="Times New Roman"/>
          <w:highlight w:val="none"/>
        </w:rPr>
      </w:pPr>
      <w:r>
        <w:rPr>
          <w:rFonts w:hint="eastAsia" w:cs="Times New Roman"/>
          <w:highlight w:val="none"/>
        </w:rPr>
        <w:t>根据实际暴露场景确定受体暴露途径，土壤及地下水的</w:t>
      </w:r>
      <w:r>
        <w:rPr>
          <w:rFonts w:cs="Times New Roman"/>
          <w:highlight w:val="none"/>
        </w:rPr>
        <w:t>主要暴露途径见表</w:t>
      </w:r>
      <w:r>
        <w:rPr>
          <w:rFonts w:hint="eastAsia" w:cs="Times New Roman"/>
          <w:highlight w:val="none"/>
          <w:lang w:val="en-US" w:eastAsia="zh-CN"/>
        </w:rPr>
        <w:t>2</w:t>
      </w:r>
      <w:r>
        <w:rPr>
          <w:rFonts w:cs="Times New Roman"/>
          <w:highlight w:val="none"/>
        </w:rPr>
        <w:t>-1。</w:t>
      </w:r>
    </w:p>
    <w:p>
      <w:pPr>
        <w:ind w:firstLine="560"/>
        <w:rPr>
          <w:rFonts w:cs="Times New Roman"/>
          <w:highlight w:val="none"/>
        </w:rPr>
      </w:pPr>
      <w:r>
        <w:rPr>
          <w:rFonts w:hint="eastAsia" w:cs="Times New Roman"/>
          <w:highlight w:val="none"/>
        </w:rPr>
        <w:t>土壤污染物的主要</w:t>
      </w:r>
      <w:r>
        <w:rPr>
          <w:rFonts w:cs="Times New Roman"/>
          <w:highlight w:val="none"/>
        </w:rPr>
        <w:t>暴露途</w:t>
      </w:r>
      <w:r>
        <w:rPr>
          <w:rFonts w:hint="eastAsia" w:cs="Times New Roman"/>
          <w:highlight w:val="none"/>
        </w:rPr>
        <w:t>一般</w:t>
      </w:r>
      <w:r>
        <w:rPr>
          <w:rFonts w:cs="Times New Roman"/>
          <w:highlight w:val="none"/>
        </w:rPr>
        <w:t>选择表</w:t>
      </w:r>
      <w:r>
        <w:rPr>
          <w:rFonts w:hint="eastAsia" w:cs="Times New Roman"/>
          <w:highlight w:val="none"/>
          <w:lang w:val="en-US" w:eastAsia="zh-CN"/>
        </w:rPr>
        <w:t>2</w:t>
      </w:r>
      <w:r>
        <w:rPr>
          <w:rFonts w:cs="Times New Roman"/>
          <w:highlight w:val="none"/>
        </w:rPr>
        <w:t>-1的1-6，不开挖或不扰动的下层土壤暴露途径选择表</w:t>
      </w:r>
      <w:r>
        <w:rPr>
          <w:rFonts w:hint="eastAsia" w:cs="Times New Roman"/>
          <w:highlight w:val="none"/>
          <w:lang w:val="en-US" w:eastAsia="zh-CN"/>
        </w:rPr>
        <w:t>2</w:t>
      </w:r>
      <w:r>
        <w:rPr>
          <w:rFonts w:cs="Times New Roman"/>
          <w:highlight w:val="none"/>
        </w:rPr>
        <w:t>-1的5-6。如土壤中污染物可淋溶进入地下水，影响地下水环境质量，且地块地下水具有一定的保护和使用价值（例如作为饮用水、生活用水或工农业用水），则土壤污染物的暴露途径应选择 1</w:t>
      </w:r>
      <w:r>
        <w:rPr>
          <w:rFonts w:hint="eastAsia" w:cs="Times New Roman"/>
          <w:highlight w:val="none"/>
        </w:rPr>
        <w:t>-</w:t>
      </w:r>
      <w:r>
        <w:rPr>
          <w:rFonts w:cs="Times New Roman"/>
          <w:highlight w:val="none"/>
        </w:rPr>
        <w:t>7。</w:t>
      </w:r>
    </w:p>
    <w:p>
      <w:pPr>
        <w:ind w:firstLine="560"/>
        <w:rPr>
          <w:rFonts w:cs="Times New Roman"/>
          <w:highlight w:val="none"/>
        </w:rPr>
      </w:pPr>
      <w:r>
        <w:rPr>
          <w:rFonts w:hint="eastAsia" w:cs="Times New Roman"/>
          <w:highlight w:val="none"/>
        </w:rPr>
        <w:t>地下水污染物的主要暴露途径一般选择8-9；</w:t>
      </w:r>
      <w:r>
        <w:rPr>
          <w:rFonts w:cs="Times New Roman"/>
          <w:highlight w:val="none"/>
        </w:rPr>
        <w:t>如地块地下水可能被用作饮用水，则地下水污染物的暴露途径应选择8</w:t>
      </w:r>
      <w:r>
        <w:rPr>
          <w:rFonts w:hint="eastAsia" w:cs="Times New Roman"/>
          <w:highlight w:val="none"/>
          <w:lang w:val="en-US" w:eastAsia="zh-CN"/>
        </w:rPr>
        <w:t>-</w:t>
      </w:r>
      <w:r>
        <w:rPr>
          <w:rFonts w:cs="Times New Roman"/>
          <w:highlight w:val="none"/>
        </w:rPr>
        <w:t>10；如地块地下水中污染物可迁移扩散进入周边水体（包括地下水和地表水），影响周边水体环境质量，并且周边水体具有一定的保护和使用价值（例如作为饮用水、生活用水或工农业用水），地下水暴露途径还应</w:t>
      </w:r>
      <w:r>
        <w:rPr>
          <w:rFonts w:hint="eastAsia" w:cs="Times New Roman"/>
          <w:highlight w:val="none"/>
        </w:rPr>
        <w:t>增加</w:t>
      </w:r>
      <w:r>
        <w:rPr>
          <w:rFonts w:cs="Times New Roman"/>
          <w:highlight w:val="none"/>
        </w:rPr>
        <w:t>表2-1的1</w:t>
      </w:r>
      <w:r>
        <w:rPr>
          <w:rFonts w:hint="eastAsia" w:cs="Times New Roman"/>
          <w:highlight w:val="none"/>
        </w:rPr>
        <w:t>1</w:t>
      </w:r>
      <w:r>
        <w:rPr>
          <w:rFonts w:cs="Times New Roman"/>
          <w:highlight w:val="none"/>
        </w:rPr>
        <w:t>。</w:t>
      </w:r>
    </w:p>
    <w:p>
      <w:pPr>
        <w:ind w:firstLine="560"/>
        <w:rPr>
          <w:rFonts w:cs="Times New Roman"/>
          <w:highlight w:val="none"/>
        </w:rPr>
      </w:pPr>
    </w:p>
    <w:p>
      <w:pPr>
        <w:ind w:firstLine="182" w:firstLineChars="83"/>
        <w:jc w:val="center"/>
        <w:rPr>
          <w:rFonts w:eastAsia="黑体" w:cs="Times New Roman"/>
          <w:sz w:val="22"/>
          <w:szCs w:val="21"/>
          <w:highlight w:val="none"/>
        </w:rPr>
      </w:pPr>
      <w:r>
        <w:rPr>
          <w:rFonts w:eastAsia="黑体" w:cs="Times New Roman"/>
          <w:sz w:val="22"/>
          <w:szCs w:val="21"/>
          <w:highlight w:val="none"/>
        </w:rPr>
        <w:t>表2-1 暴露途径</w:t>
      </w:r>
    </w:p>
    <w:tbl>
      <w:tblPr>
        <w:tblStyle w:val="14"/>
        <w:tblW w:w="85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59"/>
        <w:gridCol w:w="1574"/>
        <w:gridCol w:w="56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59" w:type="dxa"/>
            <w:tcBorders>
              <w:top w:val="single" w:color="auto" w:sz="4" w:space="0"/>
              <w:left w:val="single" w:color="auto" w:sz="4" w:space="0"/>
              <w:bottom w:val="single" w:color="auto" w:sz="4" w:space="0"/>
              <w:right w:val="single" w:color="auto" w:sz="4" w:space="0"/>
            </w:tcBorders>
            <w:vAlign w:val="center"/>
          </w:tcPr>
          <w:p>
            <w:pPr>
              <w:spacing w:line="320" w:lineRule="exact"/>
              <w:ind w:firstLine="0" w:firstLineChars="0"/>
              <w:jc w:val="center"/>
              <w:rPr>
                <w:rFonts w:eastAsia="黑体" w:cs="Times New Roman"/>
                <w:sz w:val="22"/>
                <w:szCs w:val="21"/>
                <w:highlight w:val="none"/>
              </w:rPr>
            </w:pPr>
            <w:r>
              <w:rPr>
                <w:rFonts w:eastAsia="黑体" w:cs="Times New Roman"/>
                <w:sz w:val="22"/>
                <w:szCs w:val="21"/>
                <w:highlight w:val="none"/>
              </w:rPr>
              <w:t>序号</w:t>
            </w:r>
          </w:p>
        </w:tc>
        <w:tc>
          <w:tcPr>
            <w:tcW w:w="1574" w:type="dxa"/>
            <w:tcBorders>
              <w:top w:val="single" w:color="auto" w:sz="4" w:space="0"/>
              <w:left w:val="single" w:color="auto" w:sz="4" w:space="0"/>
              <w:bottom w:val="single" w:color="auto" w:sz="4" w:space="0"/>
              <w:right w:val="single" w:color="auto" w:sz="4" w:space="0"/>
            </w:tcBorders>
            <w:vAlign w:val="center"/>
          </w:tcPr>
          <w:p>
            <w:pPr>
              <w:spacing w:line="320" w:lineRule="exact"/>
              <w:ind w:firstLine="0" w:firstLineChars="0"/>
              <w:jc w:val="center"/>
              <w:rPr>
                <w:rFonts w:eastAsia="黑体" w:cs="Times New Roman"/>
                <w:sz w:val="22"/>
                <w:szCs w:val="21"/>
                <w:highlight w:val="none"/>
              </w:rPr>
            </w:pPr>
            <w:r>
              <w:rPr>
                <w:rFonts w:eastAsia="黑体" w:cs="Times New Roman"/>
                <w:sz w:val="22"/>
                <w:szCs w:val="21"/>
                <w:highlight w:val="none"/>
              </w:rPr>
              <w:t>分类</w:t>
            </w:r>
          </w:p>
        </w:tc>
        <w:tc>
          <w:tcPr>
            <w:tcW w:w="5667" w:type="dxa"/>
            <w:tcBorders>
              <w:top w:val="single" w:color="auto" w:sz="4" w:space="0"/>
              <w:left w:val="single" w:color="auto" w:sz="4" w:space="0"/>
              <w:bottom w:val="single" w:color="auto" w:sz="4" w:space="0"/>
              <w:right w:val="single" w:color="auto" w:sz="4" w:space="0"/>
            </w:tcBorders>
            <w:vAlign w:val="center"/>
          </w:tcPr>
          <w:p>
            <w:pPr>
              <w:spacing w:line="320" w:lineRule="exact"/>
              <w:ind w:firstLine="0" w:firstLineChars="0"/>
              <w:jc w:val="center"/>
              <w:rPr>
                <w:rFonts w:eastAsia="黑体" w:cs="Times New Roman"/>
                <w:sz w:val="22"/>
                <w:szCs w:val="21"/>
                <w:highlight w:val="none"/>
              </w:rPr>
            </w:pPr>
            <w:r>
              <w:rPr>
                <w:rFonts w:eastAsia="黑体" w:cs="Times New Roman"/>
                <w:sz w:val="22"/>
                <w:szCs w:val="21"/>
                <w:highlight w:val="none"/>
              </w:rPr>
              <w:t>暴露途径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59" w:type="dxa"/>
            <w:tcBorders>
              <w:top w:val="single" w:color="auto" w:sz="4" w:space="0"/>
              <w:left w:val="single" w:color="auto" w:sz="4" w:space="0"/>
              <w:bottom w:val="single" w:color="auto" w:sz="4" w:space="0"/>
              <w:right w:val="single" w:color="auto" w:sz="4" w:space="0"/>
            </w:tcBorders>
            <w:vAlign w:val="center"/>
          </w:tcPr>
          <w:p>
            <w:pPr>
              <w:spacing w:line="320" w:lineRule="exact"/>
              <w:ind w:firstLine="0" w:firstLineChars="0"/>
              <w:jc w:val="center"/>
              <w:rPr>
                <w:rFonts w:cs="Times New Roman"/>
                <w:sz w:val="22"/>
                <w:szCs w:val="21"/>
                <w:highlight w:val="none"/>
              </w:rPr>
            </w:pPr>
            <w:r>
              <w:rPr>
                <w:rFonts w:cs="Times New Roman"/>
                <w:sz w:val="22"/>
                <w:szCs w:val="21"/>
                <w:highlight w:val="none"/>
              </w:rPr>
              <w:t>1</w:t>
            </w:r>
          </w:p>
        </w:tc>
        <w:tc>
          <w:tcPr>
            <w:tcW w:w="1574" w:type="dxa"/>
            <w:vMerge w:val="restart"/>
            <w:tcBorders>
              <w:top w:val="single" w:color="auto" w:sz="4" w:space="0"/>
              <w:left w:val="single" w:color="auto" w:sz="4" w:space="0"/>
              <w:right w:val="single" w:color="auto" w:sz="4" w:space="0"/>
            </w:tcBorders>
            <w:vAlign w:val="center"/>
          </w:tcPr>
          <w:p>
            <w:pPr>
              <w:spacing w:line="320" w:lineRule="exact"/>
              <w:ind w:firstLine="0" w:firstLineChars="0"/>
              <w:jc w:val="center"/>
              <w:rPr>
                <w:rFonts w:cs="Times New Roman"/>
                <w:sz w:val="22"/>
                <w:szCs w:val="21"/>
                <w:highlight w:val="none"/>
              </w:rPr>
            </w:pPr>
            <w:r>
              <w:rPr>
                <w:rFonts w:cs="Times New Roman"/>
                <w:sz w:val="22"/>
                <w:szCs w:val="21"/>
                <w:highlight w:val="none"/>
              </w:rPr>
              <w:t>污染土壤暴露途径</w:t>
            </w:r>
          </w:p>
        </w:tc>
        <w:tc>
          <w:tcPr>
            <w:tcW w:w="5667" w:type="dxa"/>
            <w:tcBorders>
              <w:top w:val="single" w:color="auto" w:sz="4" w:space="0"/>
              <w:left w:val="single" w:color="auto" w:sz="4" w:space="0"/>
              <w:bottom w:val="single" w:color="auto" w:sz="4" w:space="0"/>
              <w:right w:val="single" w:color="auto" w:sz="4" w:space="0"/>
            </w:tcBorders>
            <w:vAlign w:val="center"/>
          </w:tcPr>
          <w:p>
            <w:pPr>
              <w:spacing w:line="320" w:lineRule="exact"/>
              <w:ind w:firstLine="0" w:firstLineChars="0"/>
              <w:rPr>
                <w:rFonts w:cs="Times New Roman"/>
                <w:sz w:val="22"/>
                <w:szCs w:val="21"/>
                <w:highlight w:val="none"/>
              </w:rPr>
            </w:pPr>
            <w:r>
              <w:rPr>
                <w:rFonts w:cs="Times New Roman"/>
                <w:sz w:val="22"/>
                <w:szCs w:val="21"/>
                <w:highlight w:val="none"/>
              </w:rPr>
              <w:t>经口摄入表层土壤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59" w:type="dxa"/>
            <w:tcBorders>
              <w:top w:val="single" w:color="auto" w:sz="4" w:space="0"/>
              <w:left w:val="single" w:color="auto" w:sz="4" w:space="0"/>
              <w:bottom w:val="single" w:color="auto" w:sz="4" w:space="0"/>
              <w:right w:val="single" w:color="auto" w:sz="4" w:space="0"/>
            </w:tcBorders>
            <w:vAlign w:val="center"/>
          </w:tcPr>
          <w:p>
            <w:pPr>
              <w:spacing w:line="320" w:lineRule="exact"/>
              <w:ind w:firstLine="0" w:firstLineChars="0"/>
              <w:jc w:val="center"/>
              <w:rPr>
                <w:rFonts w:cs="Times New Roman"/>
                <w:sz w:val="22"/>
                <w:szCs w:val="21"/>
                <w:highlight w:val="none"/>
              </w:rPr>
            </w:pPr>
            <w:r>
              <w:rPr>
                <w:rFonts w:cs="Times New Roman"/>
                <w:sz w:val="22"/>
                <w:szCs w:val="21"/>
                <w:highlight w:val="none"/>
              </w:rPr>
              <w:t>2</w:t>
            </w:r>
          </w:p>
        </w:tc>
        <w:tc>
          <w:tcPr>
            <w:tcW w:w="1574" w:type="dxa"/>
            <w:vMerge w:val="continue"/>
            <w:tcBorders>
              <w:left w:val="single" w:color="auto" w:sz="4" w:space="0"/>
              <w:right w:val="single" w:color="auto" w:sz="4" w:space="0"/>
            </w:tcBorders>
            <w:vAlign w:val="center"/>
          </w:tcPr>
          <w:p>
            <w:pPr>
              <w:widowControl/>
              <w:spacing w:line="320" w:lineRule="exact"/>
              <w:ind w:firstLine="440"/>
              <w:jc w:val="center"/>
              <w:rPr>
                <w:rFonts w:cs="Times New Roman"/>
                <w:sz w:val="22"/>
                <w:szCs w:val="21"/>
                <w:highlight w:val="none"/>
              </w:rPr>
            </w:pPr>
          </w:p>
        </w:tc>
        <w:tc>
          <w:tcPr>
            <w:tcW w:w="5667" w:type="dxa"/>
            <w:tcBorders>
              <w:top w:val="single" w:color="auto" w:sz="4" w:space="0"/>
              <w:left w:val="single" w:color="auto" w:sz="4" w:space="0"/>
              <w:bottom w:val="single" w:color="auto" w:sz="4" w:space="0"/>
              <w:right w:val="single" w:color="auto" w:sz="4" w:space="0"/>
            </w:tcBorders>
            <w:vAlign w:val="center"/>
          </w:tcPr>
          <w:p>
            <w:pPr>
              <w:spacing w:line="320" w:lineRule="exact"/>
              <w:ind w:firstLine="0" w:firstLineChars="0"/>
              <w:rPr>
                <w:rFonts w:cs="Times New Roman"/>
                <w:sz w:val="22"/>
                <w:szCs w:val="21"/>
                <w:highlight w:val="none"/>
              </w:rPr>
            </w:pPr>
            <w:r>
              <w:rPr>
                <w:rFonts w:cs="Times New Roman"/>
                <w:sz w:val="22"/>
                <w:szCs w:val="21"/>
                <w:highlight w:val="none"/>
              </w:rPr>
              <w:t>皮肤接触表层土壤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59" w:type="dxa"/>
            <w:tcBorders>
              <w:top w:val="single" w:color="auto" w:sz="4" w:space="0"/>
              <w:left w:val="single" w:color="auto" w:sz="4" w:space="0"/>
              <w:bottom w:val="single" w:color="auto" w:sz="4" w:space="0"/>
              <w:right w:val="single" w:color="auto" w:sz="4" w:space="0"/>
            </w:tcBorders>
            <w:vAlign w:val="center"/>
          </w:tcPr>
          <w:p>
            <w:pPr>
              <w:spacing w:line="320" w:lineRule="exact"/>
              <w:ind w:firstLine="0" w:firstLineChars="0"/>
              <w:jc w:val="center"/>
              <w:rPr>
                <w:rFonts w:cs="Times New Roman"/>
                <w:sz w:val="22"/>
                <w:szCs w:val="21"/>
                <w:highlight w:val="none"/>
              </w:rPr>
            </w:pPr>
            <w:r>
              <w:rPr>
                <w:rFonts w:cs="Times New Roman"/>
                <w:sz w:val="22"/>
                <w:szCs w:val="21"/>
                <w:highlight w:val="none"/>
              </w:rPr>
              <w:t>3</w:t>
            </w:r>
          </w:p>
        </w:tc>
        <w:tc>
          <w:tcPr>
            <w:tcW w:w="1574" w:type="dxa"/>
            <w:vMerge w:val="continue"/>
            <w:tcBorders>
              <w:left w:val="single" w:color="auto" w:sz="4" w:space="0"/>
              <w:right w:val="single" w:color="auto" w:sz="4" w:space="0"/>
            </w:tcBorders>
            <w:vAlign w:val="center"/>
          </w:tcPr>
          <w:p>
            <w:pPr>
              <w:widowControl/>
              <w:spacing w:line="320" w:lineRule="exact"/>
              <w:ind w:firstLine="440"/>
              <w:jc w:val="center"/>
              <w:rPr>
                <w:rFonts w:cs="Times New Roman"/>
                <w:sz w:val="22"/>
                <w:szCs w:val="21"/>
                <w:highlight w:val="none"/>
              </w:rPr>
            </w:pPr>
          </w:p>
        </w:tc>
        <w:tc>
          <w:tcPr>
            <w:tcW w:w="5667" w:type="dxa"/>
            <w:tcBorders>
              <w:top w:val="single" w:color="auto" w:sz="4" w:space="0"/>
              <w:left w:val="single" w:color="auto" w:sz="4" w:space="0"/>
              <w:bottom w:val="single" w:color="auto" w:sz="4" w:space="0"/>
              <w:right w:val="single" w:color="auto" w:sz="4" w:space="0"/>
            </w:tcBorders>
            <w:vAlign w:val="center"/>
          </w:tcPr>
          <w:p>
            <w:pPr>
              <w:spacing w:line="320" w:lineRule="exact"/>
              <w:ind w:firstLine="0" w:firstLineChars="0"/>
              <w:rPr>
                <w:rFonts w:cs="Times New Roman"/>
                <w:sz w:val="22"/>
                <w:szCs w:val="21"/>
                <w:highlight w:val="none"/>
              </w:rPr>
            </w:pPr>
            <w:r>
              <w:rPr>
                <w:rFonts w:cs="Times New Roman"/>
                <w:sz w:val="22"/>
                <w:szCs w:val="21"/>
                <w:highlight w:val="none"/>
              </w:rPr>
              <w:t>吸入表层土壤颗粒物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59" w:type="dxa"/>
            <w:tcBorders>
              <w:top w:val="single" w:color="auto" w:sz="4" w:space="0"/>
              <w:left w:val="single" w:color="auto" w:sz="4" w:space="0"/>
              <w:bottom w:val="single" w:color="auto" w:sz="4" w:space="0"/>
              <w:right w:val="single" w:color="auto" w:sz="4" w:space="0"/>
            </w:tcBorders>
            <w:vAlign w:val="center"/>
          </w:tcPr>
          <w:p>
            <w:pPr>
              <w:spacing w:line="320" w:lineRule="exact"/>
              <w:ind w:firstLine="0" w:firstLineChars="0"/>
              <w:jc w:val="center"/>
              <w:rPr>
                <w:rFonts w:cs="Times New Roman"/>
                <w:sz w:val="22"/>
                <w:szCs w:val="21"/>
                <w:highlight w:val="none"/>
              </w:rPr>
            </w:pPr>
            <w:r>
              <w:rPr>
                <w:rFonts w:cs="Times New Roman"/>
                <w:sz w:val="22"/>
                <w:szCs w:val="21"/>
                <w:highlight w:val="none"/>
              </w:rPr>
              <w:t>4</w:t>
            </w:r>
          </w:p>
        </w:tc>
        <w:tc>
          <w:tcPr>
            <w:tcW w:w="1574" w:type="dxa"/>
            <w:vMerge w:val="continue"/>
            <w:tcBorders>
              <w:left w:val="single" w:color="auto" w:sz="4" w:space="0"/>
              <w:right w:val="single" w:color="auto" w:sz="4" w:space="0"/>
            </w:tcBorders>
            <w:vAlign w:val="center"/>
          </w:tcPr>
          <w:p>
            <w:pPr>
              <w:widowControl/>
              <w:spacing w:line="320" w:lineRule="exact"/>
              <w:ind w:firstLine="440"/>
              <w:jc w:val="center"/>
              <w:rPr>
                <w:rFonts w:cs="Times New Roman"/>
                <w:sz w:val="22"/>
                <w:szCs w:val="21"/>
                <w:highlight w:val="none"/>
              </w:rPr>
            </w:pPr>
          </w:p>
        </w:tc>
        <w:tc>
          <w:tcPr>
            <w:tcW w:w="5667" w:type="dxa"/>
            <w:tcBorders>
              <w:top w:val="single" w:color="auto" w:sz="4" w:space="0"/>
              <w:left w:val="single" w:color="auto" w:sz="4" w:space="0"/>
              <w:bottom w:val="single" w:color="auto" w:sz="4" w:space="0"/>
              <w:right w:val="single" w:color="auto" w:sz="4" w:space="0"/>
            </w:tcBorders>
            <w:vAlign w:val="center"/>
          </w:tcPr>
          <w:p>
            <w:pPr>
              <w:spacing w:line="320" w:lineRule="exact"/>
              <w:ind w:firstLine="0" w:firstLineChars="0"/>
              <w:rPr>
                <w:rFonts w:cs="Times New Roman"/>
                <w:sz w:val="22"/>
                <w:szCs w:val="21"/>
                <w:highlight w:val="none"/>
              </w:rPr>
            </w:pPr>
            <w:r>
              <w:rPr>
                <w:rFonts w:cs="Times New Roman"/>
                <w:sz w:val="22"/>
                <w:szCs w:val="21"/>
                <w:highlight w:val="none"/>
              </w:rPr>
              <w:t>吸入室外空气中来自表层土壤的气态污染物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59" w:type="dxa"/>
            <w:tcBorders>
              <w:top w:val="single" w:color="auto" w:sz="4" w:space="0"/>
              <w:left w:val="single" w:color="auto" w:sz="4" w:space="0"/>
              <w:bottom w:val="single" w:color="auto" w:sz="4" w:space="0"/>
              <w:right w:val="single" w:color="auto" w:sz="4" w:space="0"/>
            </w:tcBorders>
            <w:vAlign w:val="center"/>
          </w:tcPr>
          <w:p>
            <w:pPr>
              <w:spacing w:line="320" w:lineRule="exact"/>
              <w:ind w:firstLine="0" w:firstLineChars="0"/>
              <w:jc w:val="center"/>
              <w:rPr>
                <w:rFonts w:cs="Times New Roman"/>
                <w:sz w:val="22"/>
                <w:szCs w:val="21"/>
                <w:highlight w:val="none"/>
              </w:rPr>
            </w:pPr>
            <w:r>
              <w:rPr>
                <w:rFonts w:cs="Times New Roman"/>
                <w:sz w:val="22"/>
                <w:szCs w:val="21"/>
                <w:highlight w:val="none"/>
              </w:rPr>
              <w:t>5</w:t>
            </w:r>
          </w:p>
        </w:tc>
        <w:tc>
          <w:tcPr>
            <w:tcW w:w="1574" w:type="dxa"/>
            <w:vMerge w:val="continue"/>
            <w:tcBorders>
              <w:left w:val="single" w:color="auto" w:sz="4" w:space="0"/>
              <w:right w:val="single" w:color="auto" w:sz="4" w:space="0"/>
            </w:tcBorders>
            <w:vAlign w:val="center"/>
          </w:tcPr>
          <w:p>
            <w:pPr>
              <w:widowControl/>
              <w:spacing w:line="320" w:lineRule="exact"/>
              <w:ind w:firstLine="440"/>
              <w:jc w:val="center"/>
              <w:rPr>
                <w:rFonts w:cs="Times New Roman"/>
                <w:sz w:val="22"/>
                <w:szCs w:val="21"/>
                <w:highlight w:val="none"/>
              </w:rPr>
            </w:pPr>
          </w:p>
        </w:tc>
        <w:tc>
          <w:tcPr>
            <w:tcW w:w="5667" w:type="dxa"/>
            <w:tcBorders>
              <w:top w:val="single" w:color="auto" w:sz="4" w:space="0"/>
              <w:left w:val="single" w:color="auto" w:sz="4" w:space="0"/>
              <w:bottom w:val="single" w:color="auto" w:sz="4" w:space="0"/>
              <w:right w:val="single" w:color="auto" w:sz="4" w:space="0"/>
            </w:tcBorders>
            <w:vAlign w:val="center"/>
          </w:tcPr>
          <w:p>
            <w:pPr>
              <w:spacing w:line="320" w:lineRule="exact"/>
              <w:ind w:firstLine="0" w:firstLineChars="0"/>
              <w:rPr>
                <w:rFonts w:cs="Times New Roman"/>
                <w:sz w:val="22"/>
                <w:szCs w:val="21"/>
                <w:highlight w:val="none"/>
              </w:rPr>
            </w:pPr>
            <w:r>
              <w:rPr>
                <w:rFonts w:cs="Times New Roman"/>
                <w:sz w:val="22"/>
                <w:szCs w:val="21"/>
                <w:highlight w:val="none"/>
              </w:rPr>
              <w:t>吸入室外空气中来自下层土壤的气态污染物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59" w:type="dxa"/>
            <w:tcBorders>
              <w:top w:val="single" w:color="auto" w:sz="4" w:space="0"/>
              <w:left w:val="single" w:color="auto" w:sz="4" w:space="0"/>
              <w:bottom w:val="single" w:color="auto" w:sz="4" w:space="0"/>
              <w:right w:val="single" w:color="auto" w:sz="4" w:space="0"/>
            </w:tcBorders>
            <w:vAlign w:val="center"/>
          </w:tcPr>
          <w:p>
            <w:pPr>
              <w:spacing w:line="320" w:lineRule="exact"/>
              <w:ind w:firstLine="0" w:firstLineChars="0"/>
              <w:jc w:val="center"/>
              <w:rPr>
                <w:rFonts w:cs="Times New Roman"/>
                <w:sz w:val="22"/>
                <w:szCs w:val="21"/>
                <w:highlight w:val="none"/>
              </w:rPr>
            </w:pPr>
            <w:r>
              <w:rPr>
                <w:rFonts w:cs="Times New Roman"/>
                <w:sz w:val="22"/>
                <w:szCs w:val="21"/>
                <w:highlight w:val="none"/>
              </w:rPr>
              <w:t>6</w:t>
            </w:r>
          </w:p>
        </w:tc>
        <w:tc>
          <w:tcPr>
            <w:tcW w:w="1574" w:type="dxa"/>
            <w:vMerge w:val="continue"/>
            <w:tcBorders>
              <w:left w:val="single" w:color="auto" w:sz="4" w:space="0"/>
              <w:right w:val="single" w:color="auto" w:sz="4" w:space="0"/>
            </w:tcBorders>
            <w:vAlign w:val="center"/>
          </w:tcPr>
          <w:p>
            <w:pPr>
              <w:widowControl/>
              <w:spacing w:line="320" w:lineRule="exact"/>
              <w:ind w:firstLine="440"/>
              <w:jc w:val="center"/>
              <w:rPr>
                <w:rFonts w:cs="Times New Roman"/>
                <w:sz w:val="22"/>
                <w:szCs w:val="21"/>
                <w:highlight w:val="none"/>
              </w:rPr>
            </w:pPr>
          </w:p>
        </w:tc>
        <w:tc>
          <w:tcPr>
            <w:tcW w:w="5667" w:type="dxa"/>
            <w:tcBorders>
              <w:top w:val="single" w:color="auto" w:sz="4" w:space="0"/>
              <w:left w:val="single" w:color="auto" w:sz="4" w:space="0"/>
              <w:bottom w:val="single" w:color="auto" w:sz="4" w:space="0"/>
              <w:right w:val="single" w:color="auto" w:sz="4" w:space="0"/>
            </w:tcBorders>
            <w:vAlign w:val="center"/>
          </w:tcPr>
          <w:p>
            <w:pPr>
              <w:spacing w:line="320" w:lineRule="exact"/>
              <w:ind w:firstLine="0" w:firstLineChars="0"/>
              <w:rPr>
                <w:rFonts w:cs="Times New Roman"/>
                <w:sz w:val="22"/>
                <w:szCs w:val="21"/>
                <w:highlight w:val="none"/>
              </w:rPr>
            </w:pPr>
            <w:r>
              <w:rPr>
                <w:rFonts w:cs="Times New Roman"/>
                <w:sz w:val="22"/>
                <w:szCs w:val="21"/>
                <w:highlight w:val="none"/>
              </w:rPr>
              <w:t>吸入室内空气中来自下层土壤的气态污染物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59" w:type="dxa"/>
            <w:tcBorders>
              <w:top w:val="single" w:color="auto" w:sz="4" w:space="0"/>
              <w:left w:val="single" w:color="auto" w:sz="4" w:space="0"/>
              <w:bottom w:val="single" w:color="auto" w:sz="4" w:space="0"/>
              <w:right w:val="single" w:color="auto" w:sz="4" w:space="0"/>
            </w:tcBorders>
            <w:vAlign w:val="center"/>
          </w:tcPr>
          <w:p>
            <w:pPr>
              <w:spacing w:line="320" w:lineRule="exact"/>
              <w:ind w:firstLine="0" w:firstLineChars="0"/>
              <w:jc w:val="center"/>
              <w:rPr>
                <w:rFonts w:cs="Times New Roman"/>
                <w:sz w:val="22"/>
                <w:szCs w:val="21"/>
                <w:highlight w:val="none"/>
              </w:rPr>
            </w:pPr>
            <w:r>
              <w:rPr>
                <w:rFonts w:hint="eastAsia" w:cs="Times New Roman"/>
                <w:sz w:val="22"/>
                <w:szCs w:val="21"/>
                <w:highlight w:val="none"/>
              </w:rPr>
              <w:t>7</w:t>
            </w:r>
          </w:p>
        </w:tc>
        <w:tc>
          <w:tcPr>
            <w:tcW w:w="1574" w:type="dxa"/>
            <w:vMerge w:val="continue"/>
            <w:tcBorders>
              <w:left w:val="single" w:color="auto" w:sz="4" w:space="0"/>
              <w:bottom w:val="single" w:color="auto" w:sz="4" w:space="0"/>
              <w:right w:val="single" w:color="auto" w:sz="4" w:space="0"/>
            </w:tcBorders>
            <w:vAlign w:val="center"/>
          </w:tcPr>
          <w:p>
            <w:pPr>
              <w:widowControl/>
              <w:spacing w:line="320" w:lineRule="exact"/>
              <w:ind w:firstLine="440"/>
              <w:jc w:val="center"/>
              <w:rPr>
                <w:rFonts w:cs="Times New Roman"/>
                <w:sz w:val="22"/>
                <w:szCs w:val="21"/>
                <w:highlight w:val="none"/>
              </w:rPr>
            </w:pPr>
          </w:p>
        </w:tc>
        <w:tc>
          <w:tcPr>
            <w:tcW w:w="5667" w:type="dxa"/>
            <w:tcBorders>
              <w:top w:val="single" w:color="auto" w:sz="4" w:space="0"/>
              <w:left w:val="single" w:color="auto" w:sz="4" w:space="0"/>
              <w:bottom w:val="single" w:color="auto" w:sz="4" w:space="0"/>
              <w:right w:val="single" w:color="auto" w:sz="4" w:space="0"/>
            </w:tcBorders>
            <w:vAlign w:val="center"/>
          </w:tcPr>
          <w:p>
            <w:pPr>
              <w:spacing w:line="320" w:lineRule="exact"/>
              <w:ind w:firstLine="0" w:firstLineChars="0"/>
              <w:rPr>
                <w:rFonts w:cs="Times New Roman"/>
                <w:sz w:val="22"/>
                <w:szCs w:val="21"/>
                <w:highlight w:val="none"/>
              </w:rPr>
            </w:pPr>
            <w:r>
              <w:rPr>
                <w:rFonts w:hint="eastAsia" w:cs="Times New Roman"/>
                <w:sz w:val="22"/>
                <w:szCs w:val="21"/>
                <w:highlight w:val="none"/>
              </w:rPr>
              <w:t>土壤污染物淋溶到地下水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59" w:type="dxa"/>
            <w:tcBorders>
              <w:top w:val="single" w:color="auto" w:sz="4" w:space="0"/>
              <w:left w:val="single" w:color="auto" w:sz="4" w:space="0"/>
              <w:bottom w:val="single" w:color="auto" w:sz="4" w:space="0"/>
              <w:right w:val="single" w:color="auto" w:sz="4" w:space="0"/>
            </w:tcBorders>
            <w:vAlign w:val="center"/>
          </w:tcPr>
          <w:p>
            <w:pPr>
              <w:spacing w:line="320" w:lineRule="exact"/>
              <w:ind w:firstLine="0" w:firstLineChars="0"/>
              <w:jc w:val="center"/>
              <w:rPr>
                <w:rFonts w:cs="Times New Roman"/>
                <w:sz w:val="22"/>
                <w:szCs w:val="21"/>
                <w:highlight w:val="none"/>
              </w:rPr>
            </w:pPr>
            <w:r>
              <w:rPr>
                <w:rFonts w:hint="eastAsia" w:cs="Times New Roman"/>
                <w:sz w:val="22"/>
                <w:szCs w:val="21"/>
                <w:highlight w:val="none"/>
              </w:rPr>
              <w:t>8</w:t>
            </w:r>
          </w:p>
        </w:tc>
        <w:tc>
          <w:tcPr>
            <w:tcW w:w="1574" w:type="dxa"/>
            <w:vMerge w:val="restart"/>
            <w:tcBorders>
              <w:top w:val="single" w:color="auto" w:sz="4" w:space="0"/>
              <w:left w:val="single" w:color="auto" w:sz="4" w:space="0"/>
              <w:right w:val="single" w:color="auto" w:sz="4" w:space="0"/>
            </w:tcBorders>
            <w:vAlign w:val="center"/>
          </w:tcPr>
          <w:p>
            <w:pPr>
              <w:spacing w:line="320" w:lineRule="exact"/>
              <w:ind w:firstLine="0" w:firstLineChars="0"/>
              <w:jc w:val="center"/>
              <w:rPr>
                <w:rFonts w:cs="Times New Roman"/>
                <w:sz w:val="22"/>
                <w:szCs w:val="21"/>
                <w:highlight w:val="none"/>
              </w:rPr>
            </w:pPr>
            <w:r>
              <w:rPr>
                <w:rFonts w:cs="Times New Roman"/>
                <w:sz w:val="22"/>
                <w:szCs w:val="21"/>
                <w:highlight w:val="none"/>
              </w:rPr>
              <w:t>污染地下水暴露途径</w:t>
            </w:r>
          </w:p>
        </w:tc>
        <w:tc>
          <w:tcPr>
            <w:tcW w:w="5667" w:type="dxa"/>
            <w:tcBorders>
              <w:top w:val="single" w:color="auto" w:sz="4" w:space="0"/>
              <w:left w:val="single" w:color="auto" w:sz="4" w:space="0"/>
              <w:bottom w:val="single" w:color="auto" w:sz="4" w:space="0"/>
              <w:right w:val="single" w:color="auto" w:sz="4" w:space="0"/>
            </w:tcBorders>
            <w:vAlign w:val="center"/>
          </w:tcPr>
          <w:p>
            <w:pPr>
              <w:spacing w:line="320" w:lineRule="exact"/>
              <w:ind w:firstLine="0" w:firstLineChars="0"/>
              <w:rPr>
                <w:rFonts w:cs="Times New Roman"/>
                <w:sz w:val="22"/>
                <w:szCs w:val="21"/>
                <w:highlight w:val="none"/>
              </w:rPr>
            </w:pPr>
            <w:r>
              <w:rPr>
                <w:rFonts w:cs="Times New Roman"/>
                <w:sz w:val="22"/>
                <w:szCs w:val="21"/>
                <w:highlight w:val="none"/>
              </w:rPr>
              <w:t>吸入室外空气中来自地下水的气态污染物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59" w:type="dxa"/>
            <w:tcBorders>
              <w:top w:val="single" w:color="auto" w:sz="4" w:space="0"/>
              <w:left w:val="single" w:color="auto" w:sz="4" w:space="0"/>
              <w:bottom w:val="single" w:color="auto" w:sz="4" w:space="0"/>
              <w:right w:val="single" w:color="auto" w:sz="4" w:space="0"/>
            </w:tcBorders>
            <w:vAlign w:val="center"/>
          </w:tcPr>
          <w:p>
            <w:pPr>
              <w:spacing w:line="320" w:lineRule="exact"/>
              <w:ind w:firstLine="0" w:firstLineChars="0"/>
              <w:jc w:val="center"/>
              <w:rPr>
                <w:rFonts w:cs="Times New Roman"/>
                <w:sz w:val="22"/>
                <w:szCs w:val="21"/>
                <w:highlight w:val="none"/>
              </w:rPr>
            </w:pPr>
            <w:r>
              <w:rPr>
                <w:rFonts w:hint="eastAsia" w:cs="Times New Roman"/>
                <w:sz w:val="22"/>
                <w:szCs w:val="21"/>
                <w:highlight w:val="none"/>
              </w:rPr>
              <w:t>9</w:t>
            </w:r>
          </w:p>
        </w:tc>
        <w:tc>
          <w:tcPr>
            <w:tcW w:w="1574" w:type="dxa"/>
            <w:vMerge w:val="continue"/>
            <w:tcBorders>
              <w:left w:val="single" w:color="auto" w:sz="4" w:space="0"/>
              <w:right w:val="single" w:color="auto" w:sz="4" w:space="0"/>
            </w:tcBorders>
            <w:vAlign w:val="center"/>
          </w:tcPr>
          <w:p>
            <w:pPr>
              <w:widowControl/>
              <w:spacing w:line="320" w:lineRule="exact"/>
              <w:ind w:firstLine="440"/>
              <w:jc w:val="left"/>
              <w:rPr>
                <w:rFonts w:cs="Times New Roman"/>
                <w:sz w:val="22"/>
                <w:szCs w:val="21"/>
                <w:highlight w:val="none"/>
              </w:rPr>
            </w:pPr>
          </w:p>
        </w:tc>
        <w:tc>
          <w:tcPr>
            <w:tcW w:w="5667" w:type="dxa"/>
            <w:tcBorders>
              <w:top w:val="single" w:color="auto" w:sz="4" w:space="0"/>
              <w:left w:val="single" w:color="auto" w:sz="4" w:space="0"/>
              <w:bottom w:val="single" w:color="auto" w:sz="4" w:space="0"/>
              <w:right w:val="single" w:color="auto" w:sz="4" w:space="0"/>
            </w:tcBorders>
            <w:vAlign w:val="center"/>
          </w:tcPr>
          <w:p>
            <w:pPr>
              <w:spacing w:line="320" w:lineRule="exact"/>
              <w:ind w:firstLine="0" w:firstLineChars="0"/>
              <w:rPr>
                <w:rFonts w:cs="Times New Roman"/>
                <w:sz w:val="22"/>
                <w:szCs w:val="21"/>
                <w:highlight w:val="none"/>
              </w:rPr>
            </w:pPr>
            <w:r>
              <w:rPr>
                <w:rFonts w:cs="Times New Roman"/>
                <w:sz w:val="22"/>
                <w:szCs w:val="21"/>
                <w:highlight w:val="none"/>
              </w:rPr>
              <w:t>吸入室内空气中来自地下水的气态污染物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59" w:type="dxa"/>
            <w:tcBorders>
              <w:top w:val="single" w:color="auto" w:sz="4" w:space="0"/>
              <w:left w:val="single" w:color="auto" w:sz="4" w:space="0"/>
              <w:bottom w:val="single" w:color="auto" w:sz="4" w:space="0"/>
              <w:right w:val="single" w:color="auto" w:sz="4" w:space="0"/>
            </w:tcBorders>
            <w:vAlign w:val="center"/>
          </w:tcPr>
          <w:p>
            <w:pPr>
              <w:spacing w:line="320" w:lineRule="exact"/>
              <w:ind w:firstLine="0" w:firstLineChars="0"/>
              <w:jc w:val="center"/>
              <w:rPr>
                <w:rFonts w:cs="Times New Roman"/>
                <w:sz w:val="22"/>
                <w:szCs w:val="21"/>
                <w:highlight w:val="none"/>
              </w:rPr>
            </w:pPr>
            <w:r>
              <w:rPr>
                <w:rFonts w:hint="eastAsia" w:cs="Times New Roman"/>
                <w:sz w:val="22"/>
                <w:szCs w:val="21"/>
                <w:highlight w:val="none"/>
              </w:rPr>
              <w:t>10</w:t>
            </w:r>
          </w:p>
        </w:tc>
        <w:tc>
          <w:tcPr>
            <w:tcW w:w="1574" w:type="dxa"/>
            <w:vMerge w:val="continue"/>
            <w:tcBorders>
              <w:left w:val="single" w:color="auto" w:sz="4" w:space="0"/>
              <w:right w:val="single" w:color="auto" w:sz="4" w:space="0"/>
            </w:tcBorders>
            <w:vAlign w:val="center"/>
          </w:tcPr>
          <w:p>
            <w:pPr>
              <w:widowControl/>
              <w:spacing w:line="320" w:lineRule="exact"/>
              <w:ind w:firstLine="440"/>
              <w:jc w:val="left"/>
              <w:rPr>
                <w:rFonts w:cs="Times New Roman"/>
                <w:sz w:val="22"/>
                <w:szCs w:val="21"/>
                <w:highlight w:val="none"/>
              </w:rPr>
            </w:pPr>
          </w:p>
        </w:tc>
        <w:tc>
          <w:tcPr>
            <w:tcW w:w="5667" w:type="dxa"/>
            <w:tcBorders>
              <w:top w:val="single" w:color="auto" w:sz="4" w:space="0"/>
              <w:left w:val="single" w:color="auto" w:sz="4" w:space="0"/>
              <w:bottom w:val="single" w:color="auto" w:sz="4" w:space="0"/>
              <w:right w:val="single" w:color="auto" w:sz="4" w:space="0"/>
            </w:tcBorders>
            <w:vAlign w:val="center"/>
          </w:tcPr>
          <w:p>
            <w:pPr>
              <w:spacing w:line="320" w:lineRule="exact"/>
              <w:ind w:firstLine="0" w:firstLineChars="0"/>
              <w:rPr>
                <w:rFonts w:cs="Times New Roman"/>
                <w:sz w:val="22"/>
                <w:szCs w:val="21"/>
                <w:highlight w:val="none"/>
              </w:rPr>
            </w:pPr>
            <w:r>
              <w:rPr>
                <w:rFonts w:cs="Times New Roman"/>
                <w:sz w:val="22"/>
                <w:szCs w:val="21"/>
                <w:highlight w:val="none"/>
              </w:rPr>
              <w:t>经口摄入地下水（具有饮用功能的地下水暴露途径）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59" w:type="dxa"/>
            <w:tcBorders>
              <w:top w:val="single" w:color="auto" w:sz="4" w:space="0"/>
              <w:left w:val="single" w:color="auto" w:sz="4" w:space="0"/>
              <w:bottom w:val="single" w:color="auto" w:sz="4" w:space="0"/>
              <w:right w:val="single" w:color="auto" w:sz="4" w:space="0"/>
            </w:tcBorders>
            <w:vAlign w:val="center"/>
          </w:tcPr>
          <w:p>
            <w:pPr>
              <w:spacing w:line="320" w:lineRule="exact"/>
              <w:ind w:firstLine="0" w:firstLineChars="0"/>
              <w:jc w:val="center"/>
              <w:rPr>
                <w:rFonts w:cs="Times New Roman"/>
                <w:sz w:val="22"/>
                <w:szCs w:val="21"/>
                <w:highlight w:val="none"/>
              </w:rPr>
            </w:pPr>
            <w:r>
              <w:rPr>
                <w:rFonts w:hint="eastAsia" w:cs="Times New Roman"/>
                <w:sz w:val="22"/>
                <w:szCs w:val="21"/>
                <w:highlight w:val="none"/>
              </w:rPr>
              <w:t>11</w:t>
            </w:r>
          </w:p>
        </w:tc>
        <w:tc>
          <w:tcPr>
            <w:tcW w:w="1574" w:type="dxa"/>
            <w:vMerge w:val="continue"/>
            <w:tcBorders>
              <w:left w:val="single" w:color="auto" w:sz="4" w:space="0"/>
              <w:bottom w:val="single" w:color="auto" w:sz="4" w:space="0"/>
              <w:right w:val="single" w:color="auto" w:sz="4" w:space="0"/>
            </w:tcBorders>
            <w:vAlign w:val="center"/>
          </w:tcPr>
          <w:p>
            <w:pPr>
              <w:widowControl/>
              <w:spacing w:line="320" w:lineRule="exact"/>
              <w:ind w:firstLine="440"/>
              <w:jc w:val="left"/>
              <w:rPr>
                <w:rFonts w:cs="Times New Roman"/>
                <w:sz w:val="22"/>
                <w:szCs w:val="21"/>
                <w:highlight w:val="none"/>
              </w:rPr>
            </w:pPr>
          </w:p>
        </w:tc>
        <w:tc>
          <w:tcPr>
            <w:tcW w:w="5667" w:type="dxa"/>
            <w:tcBorders>
              <w:top w:val="single" w:color="auto" w:sz="4" w:space="0"/>
              <w:left w:val="single" w:color="auto" w:sz="4" w:space="0"/>
              <w:bottom w:val="single" w:color="auto" w:sz="4" w:space="0"/>
              <w:right w:val="single" w:color="auto" w:sz="4" w:space="0"/>
            </w:tcBorders>
            <w:vAlign w:val="center"/>
          </w:tcPr>
          <w:p>
            <w:pPr>
              <w:spacing w:line="320" w:lineRule="exact"/>
              <w:ind w:firstLine="0" w:firstLineChars="0"/>
              <w:rPr>
                <w:rFonts w:cs="Times New Roman"/>
                <w:sz w:val="22"/>
                <w:szCs w:val="21"/>
                <w:highlight w:val="none"/>
              </w:rPr>
            </w:pPr>
            <w:r>
              <w:rPr>
                <w:rFonts w:hint="eastAsia" w:cs="Times New Roman"/>
                <w:sz w:val="22"/>
                <w:szCs w:val="21"/>
                <w:highlight w:val="none"/>
              </w:rPr>
              <w:t>地下水污染物迁移到周边水体</w:t>
            </w:r>
          </w:p>
        </w:tc>
      </w:tr>
    </w:tbl>
    <w:p>
      <w:pPr>
        <w:ind w:firstLine="232" w:firstLineChars="83"/>
        <w:rPr>
          <w:rFonts w:cs="Times New Roman"/>
          <w:highlight w:val="none"/>
        </w:rPr>
      </w:pPr>
    </w:p>
    <w:p>
      <w:pPr>
        <w:ind w:firstLine="233" w:firstLineChars="83"/>
        <w:rPr>
          <w:rFonts w:cs="Times New Roman"/>
          <w:b/>
          <w:bCs/>
          <w:highlight w:val="none"/>
        </w:rPr>
      </w:pPr>
      <w:r>
        <w:rPr>
          <w:rFonts w:cs="Times New Roman"/>
          <w:b/>
          <w:bCs/>
          <w:highlight w:val="none"/>
        </w:rPr>
        <w:t>2、</w:t>
      </w:r>
      <w:r>
        <w:rPr>
          <w:rFonts w:hint="eastAsia" w:cs="Times New Roman"/>
          <w:b/>
          <w:bCs/>
          <w:highlight w:val="none"/>
        </w:rPr>
        <w:t xml:space="preserve">风险评估的参数选择 </w:t>
      </w:r>
    </w:p>
    <w:p>
      <w:pPr>
        <w:ind w:firstLine="560"/>
        <w:rPr>
          <w:rFonts w:cs="Times New Roman"/>
          <w:highlight w:val="none"/>
        </w:rPr>
      </w:pPr>
      <w:r>
        <w:rPr>
          <w:rFonts w:hint="eastAsia" w:cs="Times New Roman"/>
          <w:highlight w:val="none"/>
        </w:rPr>
        <w:t>（1）污染物理化和毒性参数</w:t>
      </w:r>
    </w:p>
    <w:p>
      <w:pPr>
        <w:ind w:firstLine="560"/>
        <w:rPr>
          <w:rFonts w:cs="Times New Roman"/>
          <w:highlight w:val="none"/>
          <w:lang w:val="en"/>
        </w:rPr>
      </w:pPr>
      <w:r>
        <w:rPr>
          <w:rFonts w:hint="eastAsia" w:cs="Times New Roman"/>
          <w:highlight w:val="none"/>
          <w:lang w:val="en"/>
        </w:rPr>
        <w:t>原则上选择《污染场地风险评估技术导则》所规定的参数；《污染场地风险评估技术导则》未规定的，可引用国际上权威机构发布的具有较高认可度的数据库中的参数，并明确说明数据来源及选择依据。</w:t>
      </w:r>
    </w:p>
    <w:p>
      <w:pPr>
        <w:ind w:firstLine="560"/>
        <w:rPr>
          <w:rFonts w:cs="Times New Roman"/>
          <w:highlight w:val="none"/>
        </w:rPr>
      </w:pPr>
      <w:r>
        <w:rPr>
          <w:rFonts w:hint="eastAsia" w:cs="Times New Roman"/>
          <w:highlight w:val="none"/>
        </w:rPr>
        <w:t>（2）污染地块的特征参数</w:t>
      </w:r>
    </w:p>
    <w:p>
      <w:pPr>
        <w:ind w:firstLine="560"/>
        <w:rPr>
          <w:rFonts w:cs="Times New Roman"/>
          <w:highlight w:val="none"/>
        </w:rPr>
      </w:pPr>
      <w:r>
        <w:rPr>
          <w:rFonts w:cs="Times New Roman"/>
          <w:highlight w:val="none"/>
        </w:rPr>
        <w:t>对于</w:t>
      </w:r>
      <w:r>
        <w:rPr>
          <w:rFonts w:hint="eastAsia" w:cs="Times New Roman"/>
          <w:highlight w:val="none"/>
        </w:rPr>
        <w:t>各种暴露途径涉及的土壤和水文地质</w:t>
      </w:r>
      <w:r>
        <w:rPr>
          <w:rFonts w:cs="Times New Roman"/>
          <w:highlight w:val="none"/>
        </w:rPr>
        <w:t>的特征参数，应通过</w:t>
      </w:r>
      <w:r>
        <w:rPr>
          <w:rFonts w:hint="eastAsia" w:cs="Times New Roman"/>
          <w:highlight w:val="none"/>
          <w:lang w:val="en"/>
        </w:rPr>
        <w:t>水文地质调查、室内土工试验等方式获取实测数据</w:t>
      </w:r>
      <w:r>
        <w:rPr>
          <w:rFonts w:cs="Times New Roman"/>
          <w:highlight w:val="none"/>
        </w:rPr>
        <w:t>，对于面积较大且水文地质情况复杂的地块，可分区域获取地块特征参数，风险评估报告中应有参数选取的来源说明。其中，表2-2的参数值应根据地块实测数据定值。</w:t>
      </w:r>
    </w:p>
    <w:p>
      <w:pPr>
        <w:ind w:firstLine="0" w:firstLineChars="0"/>
        <w:jc w:val="center"/>
        <w:rPr>
          <w:rFonts w:eastAsia="黑体" w:cs="Times New Roman"/>
          <w:sz w:val="22"/>
          <w:szCs w:val="21"/>
          <w:highlight w:val="none"/>
        </w:rPr>
      </w:pPr>
      <w:r>
        <w:rPr>
          <w:rFonts w:eastAsia="黑体" w:cs="Times New Roman"/>
          <w:sz w:val="22"/>
          <w:szCs w:val="21"/>
          <w:highlight w:val="none"/>
        </w:rPr>
        <w:t xml:space="preserve">  表2-2 建设用地土壤污染风险评估应实测的参数和取值原则*</w:t>
      </w:r>
    </w:p>
    <w:tbl>
      <w:tblPr>
        <w:tblStyle w:val="14"/>
        <w:tblW w:w="7771" w:type="dxa"/>
        <w:jc w:val="center"/>
        <w:tblLayout w:type="fixed"/>
        <w:tblCellMar>
          <w:top w:w="0" w:type="dxa"/>
          <w:left w:w="108" w:type="dxa"/>
          <w:bottom w:w="0" w:type="dxa"/>
          <w:right w:w="108" w:type="dxa"/>
        </w:tblCellMar>
      </w:tblPr>
      <w:tblGrid>
        <w:gridCol w:w="1113"/>
        <w:gridCol w:w="2655"/>
        <w:gridCol w:w="1134"/>
        <w:gridCol w:w="2869"/>
      </w:tblGrid>
      <w:tr>
        <w:tblPrEx>
          <w:tblCellMar>
            <w:top w:w="0" w:type="dxa"/>
            <w:left w:w="108" w:type="dxa"/>
            <w:bottom w:w="0" w:type="dxa"/>
            <w:right w:w="108" w:type="dxa"/>
          </w:tblCellMar>
        </w:tblPrEx>
        <w:trPr>
          <w:trHeight w:val="576" w:hRule="atLeast"/>
          <w:tblHeader/>
          <w:jc w:val="center"/>
        </w:trPr>
        <w:tc>
          <w:tcPr>
            <w:tcW w:w="1113"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黑体" w:cs="Times New Roman"/>
                <w:sz w:val="22"/>
                <w:szCs w:val="21"/>
                <w:highlight w:val="none"/>
              </w:rPr>
            </w:pPr>
            <w:r>
              <w:rPr>
                <w:rFonts w:eastAsia="黑体" w:cs="Times New Roman"/>
                <w:sz w:val="22"/>
                <w:szCs w:val="21"/>
                <w:highlight w:val="none"/>
              </w:rPr>
              <w:t>参数符号</w:t>
            </w:r>
          </w:p>
        </w:tc>
        <w:tc>
          <w:tcPr>
            <w:tcW w:w="2655" w:type="dxa"/>
            <w:tcBorders>
              <w:top w:val="single" w:color="auto" w:sz="4" w:space="0"/>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黑体" w:cs="Times New Roman"/>
                <w:sz w:val="22"/>
                <w:szCs w:val="21"/>
                <w:highlight w:val="none"/>
              </w:rPr>
            </w:pPr>
            <w:r>
              <w:rPr>
                <w:rFonts w:eastAsia="黑体" w:cs="Times New Roman"/>
                <w:sz w:val="22"/>
                <w:szCs w:val="21"/>
                <w:highlight w:val="none"/>
              </w:rPr>
              <w:t>参数名称</w:t>
            </w:r>
          </w:p>
        </w:tc>
        <w:tc>
          <w:tcPr>
            <w:tcW w:w="1134" w:type="dxa"/>
            <w:tcBorders>
              <w:top w:val="single" w:color="auto" w:sz="4" w:space="0"/>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黑体" w:cs="Times New Roman"/>
                <w:sz w:val="22"/>
                <w:szCs w:val="21"/>
                <w:highlight w:val="none"/>
              </w:rPr>
            </w:pPr>
            <w:r>
              <w:rPr>
                <w:rFonts w:eastAsia="黑体" w:cs="Times New Roman"/>
                <w:sz w:val="22"/>
                <w:szCs w:val="21"/>
                <w:highlight w:val="none"/>
              </w:rPr>
              <w:t>单位</w:t>
            </w:r>
          </w:p>
        </w:tc>
        <w:tc>
          <w:tcPr>
            <w:tcW w:w="2869" w:type="dxa"/>
            <w:tcBorders>
              <w:top w:val="single" w:color="auto" w:sz="4" w:space="0"/>
              <w:left w:val="nil"/>
              <w:bottom w:val="single" w:color="auto" w:sz="4" w:space="0"/>
              <w:right w:val="single" w:color="auto" w:sz="4" w:space="0"/>
            </w:tcBorders>
            <w:vAlign w:val="center"/>
          </w:tcPr>
          <w:p>
            <w:pPr>
              <w:widowControl/>
              <w:spacing w:line="240" w:lineRule="auto"/>
              <w:ind w:firstLine="0" w:firstLineChars="0"/>
              <w:jc w:val="center"/>
              <w:rPr>
                <w:rFonts w:eastAsia="黑体" w:cs="Times New Roman"/>
                <w:sz w:val="22"/>
                <w:szCs w:val="21"/>
                <w:highlight w:val="none"/>
              </w:rPr>
            </w:pPr>
            <w:r>
              <w:rPr>
                <w:rFonts w:eastAsia="黑体" w:cs="Times New Roman"/>
                <w:sz w:val="22"/>
                <w:szCs w:val="21"/>
                <w:highlight w:val="none"/>
              </w:rPr>
              <w:t>取值原则</w:t>
            </w:r>
          </w:p>
        </w:tc>
      </w:tr>
      <w:tr>
        <w:tblPrEx>
          <w:tblCellMar>
            <w:top w:w="0" w:type="dxa"/>
            <w:left w:w="108" w:type="dxa"/>
            <w:bottom w:w="0" w:type="dxa"/>
            <w:right w:w="108" w:type="dxa"/>
          </w:tblCellMar>
        </w:tblPrEx>
        <w:trPr>
          <w:trHeight w:val="397" w:hRule="exact"/>
          <w:jc w:val="center"/>
        </w:trPr>
        <w:tc>
          <w:tcPr>
            <w:tcW w:w="1113" w:type="dxa"/>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i/>
                <w:iCs/>
                <w:color w:val="000000"/>
                <w:kern w:val="0"/>
                <w:sz w:val="21"/>
                <w:szCs w:val="21"/>
                <w:highlight w:val="none"/>
              </w:rPr>
            </w:pPr>
            <w:r>
              <w:rPr>
                <w:rFonts w:eastAsia="等线" w:cs="Times New Roman"/>
                <w:i/>
                <w:iCs/>
                <w:color w:val="000000"/>
                <w:kern w:val="0"/>
                <w:sz w:val="21"/>
                <w:szCs w:val="21"/>
                <w:highlight w:val="none"/>
              </w:rPr>
              <w:t>C</w:t>
            </w:r>
            <w:r>
              <w:rPr>
                <w:rFonts w:eastAsia="等线" w:cs="Times New Roman"/>
                <w:i/>
                <w:iCs/>
                <w:color w:val="000000"/>
                <w:kern w:val="0"/>
                <w:sz w:val="21"/>
                <w:szCs w:val="21"/>
                <w:highlight w:val="none"/>
                <w:vertAlign w:val="subscript"/>
              </w:rPr>
              <w:t>sur</w:t>
            </w:r>
            <w:r>
              <w:rPr>
                <w:rFonts w:eastAsia="等线" w:cs="Times New Roman"/>
                <w:i/>
                <w:iCs/>
                <w:color w:val="000000"/>
                <w:kern w:val="0"/>
                <w:sz w:val="21"/>
                <w:szCs w:val="21"/>
                <w:highlight w:val="none"/>
              </w:rPr>
              <w:t xml:space="preserve"> </w:t>
            </w:r>
          </w:p>
        </w:tc>
        <w:tc>
          <w:tcPr>
            <w:tcW w:w="2655"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cs="Times New Roman"/>
                <w:color w:val="000000"/>
                <w:kern w:val="0"/>
                <w:sz w:val="21"/>
                <w:szCs w:val="21"/>
                <w:highlight w:val="none"/>
              </w:rPr>
            </w:pPr>
            <w:r>
              <w:rPr>
                <w:rFonts w:cs="Times New Roman"/>
                <w:color w:val="000000"/>
                <w:kern w:val="0"/>
                <w:sz w:val="21"/>
                <w:szCs w:val="21"/>
                <w:highlight w:val="none"/>
              </w:rPr>
              <w:t>表层土壤中污染物浓度</w:t>
            </w:r>
          </w:p>
        </w:tc>
        <w:tc>
          <w:tcPr>
            <w:tcW w:w="1134"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1"/>
                <w:szCs w:val="21"/>
                <w:highlight w:val="none"/>
              </w:rPr>
            </w:pPr>
            <w:r>
              <w:rPr>
                <w:rFonts w:eastAsia="等线" w:cs="Times New Roman"/>
                <w:color w:val="000000"/>
                <w:kern w:val="0"/>
                <w:sz w:val="21"/>
                <w:szCs w:val="21"/>
                <w:highlight w:val="none"/>
              </w:rPr>
              <w:t>mg·kg</w:t>
            </w:r>
            <w:r>
              <w:rPr>
                <w:rFonts w:eastAsia="等线" w:cs="Times New Roman"/>
                <w:color w:val="000000"/>
                <w:kern w:val="0"/>
                <w:sz w:val="21"/>
                <w:szCs w:val="21"/>
                <w:highlight w:val="none"/>
                <w:vertAlign w:val="superscript"/>
              </w:rPr>
              <w:t>-1</w:t>
            </w:r>
          </w:p>
        </w:tc>
        <w:tc>
          <w:tcPr>
            <w:tcW w:w="2869" w:type="dxa"/>
            <w:tcBorders>
              <w:top w:val="nil"/>
              <w:left w:val="nil"/>
              <w:bottom w:val="single" w:color="auto" w:sz="4" w:space="0"/>
              <w:right w:val="single" w:color="auto" w:sz="4" w:space="0"/>
            </w:tcBorders>
            <w:vAlign w:val="center"/>
          </w:tcPr>
          <w:p>
            <w:pPr>
              <w:widowControl/>
              <w:spacing w:line="240" w:lineRule="auto"/>
              <w:ind w:firstLine="0" w:firstLineChars="0"/>
              <w:jc w:val="center"/>
              <w:rPr>
                <w:rFonts w:cs="Times New Roman"/>
                <w:color w:val="000000"/>
                <w:kern w:val="0"/>
                <w:sz w:val="21"/>
                <w:szCs w:val="21"/>
                <w:highlight w:val="none"/>
              </w:rPr>
            </w:pPr>
            <w:r>
              <w:rPr>
                <w:rFonts w:cs="Times New Roman"/>
                <w:color w:val="000000"/>
                <w:kern w:val="0"/>
                <w:sz w:val="21"/>
                <w:szCs w:val="21"/>
                <w:highlight w:val="none"/>
              </w:rPr>
              <w:t>最大值</w:t>
            </w:r>
          </w:p>
        </w:tc>
      </w:tr>
      <w:tr>
        <w:tblPrEx>
          <w:tblCellMar>
            <w:top w:w="0" w:type="dxa"/>
            <w:left w:w="108" w:type="dxa"/>
            <w:bottom w:w="0" w:type="dxa"/>
            <w:right w:w="108" w:type="dxa"/>
          </w:tblCellMar>
        </w:tblPrEx>
        <w:trPr>
          <w:trHeight w:val="397" w:hRule="exact"/>
          <w:jc w:val="center"/>
        </w:trPr>
        <w:tc>
          <w:tcPr>
            <w:tcW w:w="1113" w:type="dxa"/>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i/>
                <w:iCs/>
                <w:color w:val="000000"/>
                <w:kern w:val="0"/>
                <w:sz w:val="21"/>
                <w:szCs w:val="21"/>
                <w:highlight w:val="none"/>
              </w:rPr>
            </w:pPr>
            <w:r>
              <w:rPr>
                <w:rFonts w:eastAsia="等线" w:cs="Times New Roman"/>
                <w:i/>
                <w:iCs/>
                <w:color w:val="000000"/>
                <w:kern w:val="0"/>
                <w:sz w:val="21"/>
                <w:szCs w:val="21"/>
                <w:highlight w:val="none"/>
              </w:rPr>
              <w:t>C</w:t>
            </w:r>
            <w:r>
              <w:rPr>
                <w:rFonts w:eastAsia="等线" w:cs="Times New Roman"/>
                <w:i/>
                <w:iCs/>
                <w:color w:val="000000"/>
                <w:kern w:val="0"/>
                <w:sz w:val="21"/>
                <w:szCs w:val="21"/>
                <w:highlight w:val="none"/>
                <w:vertAlign w:val="subscript"/>
              </w:rPr>
              <w:t>sub</w:t>
            </w:r>
            <w:r>
              <w:rPr>
                <w:rFonts w:eastAsia="等线" w:cs="Times New Roman"/>
                <w:i/>
                <w:iCs/>
                <w:color w:val="000000"/>
                <w:kern w:val="0"/>
                <w:sz w:val="21"/>
                <w:szCs w:val="21"/>
                <w:highlight w:val="none"/>
              </w:rPr>
              <w:t xml:space="preserve"> </w:t>
            </w:r>
          </w:p>
        </w:tc>
        <w:tc>
          <w:tcPr>
            <w:tcW w:w="2655"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cs="Times New Roman"/>
                <w:color w:val="000000"/>
                <w:kern w:val="0"/>
                <w:sz w:val="21"/>
                <w:szCs w:val="21"/>
                <w:highlight w:val="none"/>
              </w:rPr>
            </w:pPr>
            <w:bookmarkStart w:id="14" w:name="RANGE!B3"/>
            <w:r>
              <w:rPr>
                <w:rFonts w:cs="Times New Roman"/>
                <w:color w:val="000000"/>
                <w:kern w:val="0"/>
                <w:sz w:val="21"/>
                <w:szCs w:val="21"/>
                <w:highlight w:val="none"/>
              </w:rPr>
              <w:t xml:space="preserve">下层土壤中污染物浓度 </w:t>
            </w:r>
            <w:bookmarkEnd w:id="14"/>
          </w:p>
        </w:tc>
        <w:tc>
          <w:tcPr>
            <w:tcW w:w="1134"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1"/>
                <w:szCs w:val="21"/>
                <w:highlight w:val="none"/>
              </w:rPr>
            </w:pPr>
            <w:r>
              <w:rPr>
                <w:rFonts w:eastAsia="等线" w:cs="Times New Roman"/>
                <w:color w:val="000000"/>
                <w:kern w:val="0"/>
                <w:sz w:val="21"/>
                <w:szCs w:val="21"/>
                <w:highlight w:val="none"/>
              </w:rPr>
              <w:t>mg·kg</w:t>
            </w:r>
            <w:r>
              <w:rPr>
                <w:rFonts w:eastAsia="等线" w:cs="Times New Roman"/>
                <w:color w:val="000000"/>
                <w:kern w:val="0"/>
                <w:sz w:val="21"/>
                <w:szCs w:val="21"/>
                <w:highlight w:val="none"/>
                <w:vertAlign w:val="superscript"/>
              </w:rPr>
              <w:t>-1</w:t>
            </w:r>
          </w:p>
        </w:tc>
        <w:tc>
          <w:tcPr>
            <w:tcW w:w="2869" w:type="dxa"/>
            <w:tcBorders>
              <w:top w:val="nil"/>
              <w:left w:val="nil"/>
              <w:bottom w:val="single" w:color="auto" w:sz="4" w:space="0"/>
              <w:right w:val="single" w:color="auto" w:sz="4" w:space="0"/>
            </w:tcBorders>
            <w:vAlign w:val="center"/>
          </w:tcPr>
          <w:p>
            <w:pPr>
              <w:widowControl/>
              <w:spacing w:line="240" w:lineRule="auto"/>
              <w:ind w:firstLine="0" w:firstLineChars="0"/>
              <w:jc w:val="center"/>
              <w:rPr>
                <w:rFonts w:cs="Times New Roman"/>
                <w:color w:val="000000"/>
                <w:kern w:val="0"/>
                <w:sz w:val="21"/>
                <w:szCs w:val="21"/>
                <w:highlight w:val="none"/>
              </w:rPr>
            </w:pPr>
            <w:r>
              <w:rPr>
                <w:rFonts w:cs="Times New Roman"/>
                <w:color w:val="000000"/>
                <w:kern w:val="0"/>
                <w:sz w:val="21"/>
                <w:szCs w:val="21"/>
                <w:highlight w:val="none"/>
              </w:rPr>
              <w:t>最大值</w:t>
            </w:r>
          </w:p>
        </w:tc>
      </w:tr>
      <w:tr>
        <w:tblPrEx>
          <w:tblCellMar>
            <w:top w:w="0" w:type="dxa"/>
            <w:left w:w="108" w:type="dxa"/>
            <w:bottom w:w="0" w:type="dxa"/>
            <w:right w:w="108" w:type="dxa"/>
          </w:tblCellMar>
        </w:tblPrEx>
        <w:trPr>
          <w:trHeight w:val="416" w:hRule="atLeast"/>
          <w:jc w:val="center"/>
        </w:trPr>
        <w:tc>
          <w:tcPr>
            <w:tcW w:w="1113" w:type="dxa"/>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i/>
                <w:iCs/>
                <w:color w:val="000000"/>
                <w:kern w:val="0"/>
                <w:sz w:val="21"/>
                <w:szCs w:val="21"/>
                <w:highlight w:val="none"/>
              </w:rPr>
            </w:pPr>
            <w:r>
              <w:rPr>
                <w:rFonts w:eastAsia="等线" w:cs="Times New Roman"/>
                <w:i/>
                <w:iCs/>
                <w:color w:val="000000"/>
                <w:kern w:val="0"/>
                <w:sz w:val="21"/>
                <w:szCs w:val="21"/>
                <w:highlight w:val="none"/>
              </w:rPr>
              <w:t>d</w:t>
            </w:r>
          </w:p>
        </w:tc>
        <w:tc>
          <w:tcPr>
            <w:tcW w:w="2655"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cs="Times New Roman"/>
                <w:color w:val="000000"/>
                <w:kern w:val="0"/>
                <w:sz w:val="21"/>
                <w:szCs w:val="21"/>
                <w:highlight w:val="none"/>
              </w:rPr>
            </w:pPr>
            <w:r>
              <w:rPr>
                <w:rFonts w:cs="Times New Roman"/>
                <w:color w:val="000000"/>
                <w:kern w:val="0"/>
                <w:sz w:val="21"/>
                <w:szCs w:val="21"/>
                <w:highlight w:val="none"/>
              </w:rPr>
              <w:t xml:space="preserve">表层污染土壤层厚度 </w:t>
            </w:r>
          </w:p>
        </w:tc>
        <w:tc>
          <w:tcPr>
            <w:tcW w:w="1134"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1"/>
                <w:szCs w:val="21"/>
                <w:highlight w:val="none"/>
              </w:rPr>
            </w:pPr>
            <w:r>
              <w:rPr>
                <w:rFonts w:eastAsia="等线" w:cs="Times New Roman"/>
                <w:color w:val="000000"/>
                <w:kern w:val="0"/>
                <w:sz w:val="21"/>
                <w:szCs w:val="21"/>
                <w:highlight w:val="none"/>
              </w:rPr>
              <w:t>cm</w:t>
            </w:r>
          </w:p>
        </w:tc>
        <w:tc>
          <w:tcPr>
            <w:tcW w:w="2869" w:type="dxa"/>
            <w:tcBorders>
              <w:top w:val="nil"/>
              <w:left w:val="nil"/>
              <w:bottom w:val="single" w:color="auto" w:sz="4" w:space="0"/>
              <w:right w:val="single" w:color="auto" w:sz="4" w:space="0"/>
            </w:tcBorders>
            <w:vAlign w:val="center"/>
          </w:tcPr>
          <w:p>
            <w:pPr>
              <w:widowControl/>
              <w:spacing w:line="240" w:lineRule="auto"/>
              <w:ind w:firstLine="0" w:firstLineChars="0"/>
              <w:jc w:val="center"/>
              <w:rPr>
                <w:rFonts w:cs="Times New Roman"/>
                <w:kern w:val="0"/>
                <w:sz w:val="21"/>
                <w:szCs w:val="21"/>
                <w:highlight w:val="none"/>
              </w:rPr>
            </w:pPr>
            <w:r>
              <w:rPr>
                <w:rFonts w:cs="Times New Roman"/>
                <w:kern w:val="0"/>
                <w:sz w:val="21"/>
                <w:szCs w:val="21"/>
                <w:highlight w:val="none"/>
              </w:rPr>
              <w:t>开发建设需开挖的污染土壤厚度</w:t>
            </w:r>
          </w:p>
        </w:tc>
      </w:tr>
      <w:tr>
        <w:tblPrEx>
          <w:tblCellMar>
            <w:top w:w="0" w:type="dxa"/>
            <w:left w:w="108" w:type="dxa"/>
            <w:bottom w:w="0" w:type="dxa"/>
            <w:right w:w="108" w:type="dxa"/>
          </w:tblCellMar>
        </w:tblPrEx>
        <w:trPr>
          <w:trHeight w:val="409" w:hRule="atLeast"/>
          <w:jc w:val="center"/>
        </w:trPr>
        <w:tc>
          <w:tcPr>
            <w:tcW w:w="1113" w:type="dxa"/>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i/>
                <w:iCs/>
                <w:color w:val="000000"/>
                <w:kern w:val="0"/>
                <w:sz w:val="21"/>
                <w:szCs w:val="21"/>
                <w:highlight w:val="none"/>
              </w:rPr>
            </w:pPr>
            <w:r>
              <w:rPr>
                <w:rFonts w:eastAsia="等线" w:cs="Times New Roman"/>
                <w:i/>
                <w:iCs/>
                <w:color w:val="000000"/>
                <w:kern w:val="0"/>
                <w:sz w:val="21"/>
                <w:szCs w:val="21"/>
                <w:highlight w:val="none"/>
              </w:rPr>
              <w:t>L</w:t>
            </w:r>
            <w:r>
              <w:rPr>
                <w:rFonts w:eastAsia="等线" w:cs="Times New Roman"/>
                <w:i/>
                <w:iCs/>
                <w:color w:val="000000"/>
                <w:kern w:val="0"/>
                <w:sz w:val="21"/>
                <w:szCs w:val="21"/>
                <w:highlight w:val="none"/>
                <w:vertAlign w:val="subscript"/>
              </w:rPr>
              <w:t>S</w:t>
            </w:r>
          </w:p>
        </w:tc>
        <w:tc>
          <w:tcPr>
            <w:tcW w:w="2655"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cs="Times New Roman"/>
                <w:color w:val="000000"/>
                <w:kern w:val="0"/>
                <w:sz w:val="21"/>
                <w:szCs w:val="21"/>
                <w:highlight w:val="none"/>
              </w:rPr>
            </w:pPr>
            <w:r>
              <w:rPr>
                <w:rFonts w:cs="Times New Roman"/>
                <w:color w:val="000000"/>
                <w:kern w:val="0"/>
                <w:sz w:val="21"/>
                <w:szCs w:val="21"/>
                <w:highlight w:val="none"/>
              </w:rPr>
              <w:t xml:space="preserve">下层污染土壤层埋深 </w:t>
            </w:r>
          </w:p>
        </w:tc>
        <w:tc>
          <w:tcPr>
            <w:tcW w:w="1134"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1"/>
                <w:szCs w:val="21"/>
                <w:highlight w:val="none"/>
              </w:rPr>
            </w:pPr>
            <w:r>
              <w:rPr>
                <w:rFonts w:eastAsia="等线" w:cs="Times New Roman"/>
                <w:color w:val="000000"/>
                <w:kern w:val="0"/>
                <w:sz w:val="21"/>
                <w:szCs w:val="21"/>
                <w:highlight w:val="none"/>
              </w:rPr>
              <w:t>cm</w:t>
            </w:r>
          </w:p>
        </w:tc>
        <w:tc>
          <w:tcPr>
            <w:tcW w:w="2869" w:type="dxa"/>
            <w:tcBorders>
              <w:top w:val="nil"/>
              <w:left w:val="nil"/>
              <w:bottom w:val="single" w:color="auto" w:sz="4" w:space="0"/>
              <w:right w:val="single" w:color="auto" w:sz="4" w:space="0"/>
            </w:tcBorders>
            <w:vAlign w:val="center"/>
          </w:tcPr>
          <w:p>
            <w:pPr>
              <w:widowControl/>
              <w:spacing w:line="240" w:lineRule="auto"/>
              <w:ind w:firstLine="0" w:firstLineChars="0"/>
              <w:jc w:val="center"/>
              <w:rPr>
                <w:rFonts w:cs="Times New Roman"/>
                <w:kern w:val="0"/>
                <w:sz w:val="21"/>
                <w:szCs w:val="21"/>
                <w:highlight w:val="none"/>
              </w:rPr>
            </w:pPr>
            <w:r>
              <w:rPr>
                <w:rFonts w:cs="Times New Roman"/>
                <w:kern w:val="0"/>
                <w:sz w:val="21"/>
                <w:szCs w:val="21"/>
                <w:highlight w:val="none"/>
              </w:rPr>
              <w:t>下层不开挖污染土壤的顶板埋深</w:t>
            </w:r>
          </w:p>
        </w:tc>
      </w:tr>
      <w:tr>
        <w:tblPrEx>
          <w:tblCellMar>
            <w:top w:w="0" w:type="dxa"/>
            <w:left w:w="108" w:type="dxa"/>
            <w:bottom w:w="0" w:type="dxa"/>
            <w:right w:w="108" w:type="dxa"/>
          </w:tblCellMar>
        </w:tblPrEx>
        <w:trPr>
          <w:trHeight w:val="383" w:hRule="atLeast"/>
          <w:jc w:val="center"/>
        </w:trPr>
        <w:tc>
          <w:tcPr>
            <w:tcW w:w="1113" w:type="dxa"/>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cs="Times New Roman"/>
                <w:i/>
                <w:iCs/>
                <w:color w:val="000000"/>
                <w:kern w:val="0"/>
                <w:sz w:val="21"/>
                <w:szCs w:val="21"/>
                <w:highlight w:val="none"/>
              </w:rPr>
            </w:pPr>
            <w:r>
              <w:rPr>
                <w:rFonts w:cs="Times New Roman"/>
                <w:i/>
                <w:iCs/>
                <w:color w:val="000000"/>
                <w:kern w:val="0"/>
                <w:sz w:val="21"/>
                <w:szCs w:val="21"/>
                <w:highlight w:val="none"/>
              </w:rPr>
              <w:t>d</w:t>
            </w:r>
            <w:r>
              <w:rPr>
                <w:rFonts w:cs="Times New Roman"/>
                <w:i/>
                <w:iCs/>
                <w:color w:val="000000"/>
                <w:kern w:val="0"/>
                <w:sz w:val="21"/>
                <w:szCs w:val="21"/>
                <w:highlight w:val="none"/>
                <w:vertAlign w:val="subscript"/>
              </w:rPr>
              <w:t>sub</w:t>
            </w:r>
          </w:p>
        </w:tc>
        <w:tc>
          <w:tcPr>
            <w:tcW w:w="2655"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cs="Times New Roman"/>
                <w:color w:val="000000"/>
                <w:kern w:val="0"/>
                <w:sz w:val="21"/>
                <w:szCs w:val="21"/>
                <w:highlight w:val="none"/>
              </w:rPr>
            </w:pPr>
            <w:r>
              <w:rPr>
                <w:rFonts w:cs="Times New Roman"/>
                <w:color w:val="000000"/>
                <w:kern w:val="0"/>
                <w:sz w:val="21"/>
                <w:szCs w:val="21"/>
                <w:highlight w:val="none"/>
              </w:rPr>
              <w:t>下层污染土壤层厚度</w:t>
            </w:r>
          </w:p>
        </w:tc>
        <w:tc>
          <w:tcPr>
            <w:tcW w:w="1134"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cs="Times New Roman"/>
                <w:color w:val="000000"/>
                <w:kern w:val="0"/>
                <w:sz w:val="21"/>
                <w:szCs w:val="21"/>
                <w:highlight w:val="none"/>
              </w:rPr>
            </w:pPr>
            <w:r>
              <w:rPr>
                <w:rFonts w:cs="Times New Roman"/>
                <w:color w:val="000000"/>
                <w:kern w:val="0"/>
                <w:sz w:val="21"/>
                <w:szCs w:val="21"/>
                <w:highlight w:val="none"/>
              </w:rPr>
              <w:t>cm</w:t>
            </w:r>
          </w:p>
        </w:tc>
        <w:tc>
          <w:tcPr>
            <w:tcW w:w="2869" w:type="dxa"/>
            <w:tcBorders>
              <w:top w:val="nil"/>
              <w:left w:val="nil"/>
              <w:bottom w:val="single" w:color="auto" w:sz="4" w:space="0"/>
              <w:right w:val="single" w:color="auto" w:sz="4" w:space="0"/>
            </w:tcBorders>
            <w:vAlign w:val="center"/>
          </w:tcPr>
          <w:p>
            <w:pPr>
              <w:widowControl/>
              <w:spacing w:line="240" w:lineRule="auto"/>
              <w:ind w:firstLine="0" w:firstLineChars="0"/>
              <w:jc w:val="center"/>
              <w:rPr>
                <w:rFonts w:cs="Times New Roman"/>
                <w:kern w:val="0"/>
                <w:sz w:val="21"/>
                <w:szCs w:val="21"/>
                <w:highlight w:val="none"/>
              </w:rPr>
            </w:pPr>
            <w:r>
              <w:rPr>
                <w:rFonts w:cs="Times New Roman"/>
                <w:kern w:val="0"/>
                <w:sz w:val="21"/>
                <w:szCs w:val="21"/>
                <w:highlight w:val="none"/>
              </w:rPr>
              <w:t>下层不开挖污染土壤的厚度</w:t>
            </w:r>
          </w:p>
        </w:tc>
      </w:tr>
      <w:tr>
        <w:tblPrEx>
          <w:tblCellMar>
            <w:top w:w="0" w:type="dxa"/>
            <w:left w:w="108" w:type="dxa"/>
            <w:bottom w:w="0" w:type="dxa"/>
            <w:right w:w="108" w:type="dxa"/>
          </w:tblCellMar>
        </w:tblPrEx>
        <w:trPr>
          <w:trHeight w:val="397" w:hRule="exact"/>
          <w:jc w:val="center"/>
        </w:trPr>
        <w:tc>
          <w:tcPr>
            <w:tcW w:w="1113" w:type="dxa"/>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i/>
                <w:iCs/>
                <w:color w:val="000000"/>
                <w:kern w:val="0"/>
                <w:sz w:val="21"/>
                <w:szCs w:val="21"/>
                <w:highlight w:val="none"/>
              </w:rPr>
            </w:pPr>
            <w:r>
              <w:rPr>
                <w:rFonts w:eastAsia="等线" w:cs="Times New Roman"/>
                <w:i/>
                <w:iCs/>
                <w:color w:val="000000"/>
                <w:kern w:val="0"/>
                <w:sz w:val="21"/>
                <w:szCs w:val="21"/>
                <w:highlight w:val="none"/>
              </w:rPr>
              <w:t>C</w:t>
            </w:r>
            <w:r>
              <w:rPr>
                <w:rFonts w:eastAsia="等线" w:cs="Times New Roman"/>
                <w:i/>
                <w:iCs/>
                <w:color w:val="000000"/>
                <w:kern w:val="0"/>
                <w:sz w:val="21"/>
                <w:szCs w:val="21"/>
                <w:highlight w:val="none"/>
                <w:vertAlign w:val="subscript"/>
              </w:rPr>
              <w:t>gw</w:t>
            </w:r>
            <w:r>
              <w:rPr>
                <w:rFonts w:eastAsia="等线" w:cs="Times New Roman"/>
                <w:i/>
                <w:iCs/>
                <w:color w:val="000000"/>
                <w:kern w:val="0"/>
                <w:sz w:val="21"/>
                <w:szCs w:val="21"/>
                <w:highlight w:val="none"/>
              </w:rPr>
              <w:t xml:space="preserve"> </w:t>
            </w:r>
          </w:p>
        </w:tc>
        <w:tc>
          <w:tcPr>
            <w:tcW w:w="2655"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cs="Times New Roman"/>
                <w:color w:val="000000"/>
                <w:kern w:val="0"/>
                <w:sz w:val="21"/>
                <w:szCs w:val="21"/>
                <w:highlight w:val="none"/>
              </w:rPr>
            </w:pPr>
            <w:r>
              <w:rPr>
                <w:rFonts w:cs="Times New Roman"/>
                <w:color w:val="000000"/>
                <w:kern w:val="0"/>
                <w:sz w:val="21"/>
                <w:szCs w:val="21"/>
                <w:highlight w:val="none"/>
              </w:rPr>
              <w:t xml:space="preserve">地下水中污染物浓度 </w:t>
            </w:r>
          </w:p>
        </w:tc>
        <w:tc>
          <w:tcPr>
            <w:tcW w:w="1134"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1"/>
                <w:szCs w:val="21"/>
                <w:highlight w:val="none"/>
              </w:rPr>
            </w:pPr>
            <w:r>
              <w:rPr>
                <w:rFonts w:eastAsia="等线" w:cs="Times New Roman"/>
                <w:color w:val="000000"/>
                <w:kern w:val="0"/>
                <w:sz w:val="21"/>
                <w:szCs w:val="21"/>
                <w:highlight w:val="none"/>
              </w:rPr>
              <w:t>mg·L</w:t>
            </w:r>
            <w:r>
              <w:rPr>
                <w:rFonts w:eastAsia="等线" w:cs="Times New Roman"/>
                <w:color w:val="000000"/>
                <w:kern w:val="0"/>
                <w:sz w:val="21"/>
                <w:szCs w:val="21"/>
                <w:highlight w:val="none"/>
                <w:vertAlign w:val="superscript"/>
              </w:rPr>
              <w:t>-1</w:t>
            </w:r>
          </w:p>
        </w:tc>
        <w:tc>
          <w:tcPr>
            <w:tcW w:w="2869" w:type="dxa"/>
            <w:tcBorders>
              <w:top w:val="nil"/>
              <w:left w:val="nil"/>
              <w:bottom w:val="single" w:color="auto" w:sz="4" w:space="0"/>
              <w:right w:val="single" w:color="auto" w:sz="4" w:space="0"/>
            </w:tcBorders>
            <w:vAlign w:val="center"/>
          </w:tcPr>
          <w:p>
            <w:pPr>
              <w:widowControl/>
              <w:spacing w:line="240" w:lineRule="auto"/>
              <w:ind w:firstLine="0" w:firstLineChars="0"/>
              <w:jc w:val="center"/>
              <w:rPr>
                <w:rFonts w:cs="Times New Roman"/>
                <w:color w:val="000000"/>
                <w:kern w:val="0"/>
                <w:sz w:val="21"/>
                <w:szCs w:val="21"/>
                <w:highlight w:val="none"/>
              </w:rPr>
            </w:pPr>
            <w:r>
              <w:rPr>
                <w:rFonts w:cs="Times New Roman"/>
                <w:color w:val="000000"/>
                <w:kern w:val="0"/>
                <w:sz w:val="21"/>
                <w:szCs w:val="21"/>
                <w:highlight w:val="none"/>
              </w:rPr>
              <w:t>最大值</w:t>
            </w:r>
          </w:p>
        </w:tc>
      </w:tr>
      <w:tr>
        <w:tblPrEx>
          <w:tblCellMar>
            <w:top w:w="0" w:type="dxa"/>
            <w:left w:w="108" w:type="dxa"/>
            <w:bottom w:w="0" w:type="dxa"/>
            <w:right w:w="108" w:type="dxa"/>
          </w:tblCellMar>
        </w:tblPrEx>
        <w:trPr>
          <w:trHeight w:val="397" w:hRule="exact"/>
          <w:jc w:val="center"/>
        </w:trPr>
        <w:tc>
          <w:tcPr>
            <w:tcW w:w="1113" w:type="dxa"/>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i/>
                <w:iCs/>
                <w:color w:val="000000"/>
                <w:kern w:val="0"/>
                <w:sz w:val="21"/>
                <w:szCs w:val="21"/>
                <w:highlight w:val="none"/>
              </w:rPr>
            </w:pPr>
            <w:r>
              <w:rPr>
                <w:rFonts w:eastAsia="等线" w:cs="Times New Roman"/>
                <w:i/>
                <w:iCs/>
                <w:color w:val="000000"/>
                <w:kern w:val="0"/>
                <w:sz w:val="21"/>
                <w:szCs w:val="21"/>
                <w:highlight w:val="none"/>
              </w:rPr>
              <w:t>L</w:t>
            </w:r>
            <w:r>
              <w:rPr>
                <w:rFonts w:eastAsia="等线" w:cs="Times New Roman"/>
                <w:i/>
                <w:iCs/>
                <w:color w:val="000000"/>
                <w:kern w:val="0"/>
                <w:sz w:val="21"/>
                <w:szCs w:val="21"/>
                <w:highlight w:val="none"/>
                <w:vertAlign w:val="subscript"/>
              </w:rPr>
              <w:t>gw</w:t>
            </w:r>
            <w:r>
              <w:rPr>
                <w:rFonts w:eastAsia="等线" w:cs="Times New Roman"/>
                <w:i/>
                <w:iCs/>
                <w:color w:val="000000"/>
                <w:kern w:val="0"/>
                <w:sz w:val="21"/>
                <w:szCs w:val="21"/>
                <w:highlight w:val="none"/>
              </w:rPr>
              <w:t xml:space="preserve"> </w:t>
            </w:r>
          </w:p>
        </w:tc>
        <w:tc>
          <w:tcPr>
            <w:tcW w:w="2655"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cs="Times New Roman"/>
                <w:color w:val="000000"/>
                <w:kern w:val="0"/>
                <w:sz w:val="21"/>
                <w:szCs w:val="21"/>
                <w:highlight w:val="none"/>
              </w:rPr>
            </w:pPr>
            <w:r>
              <w:rPr>
                <w:rFonts w:cs="Times New Roman"/>
                <w:color w:val="000000"/>
                <w:kern w:val="0"/>
                <w:sz w:val="21"/>
                <w:szCs w:val="21"/>
                <w:highlight w:val="none"/>
              </w:rPr>
              <w:t xml:space="preserve">地下水埋深 </w:t>
            </w:r>
          </w:p>
        </w:tc>
        <w:tc>
          <w:tcPr>
            <w:tcW w:w="1134"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1"/>
                <w:szCs w:val="21"/>
                <w:highlight w:val="none"/>
              </w:rPr>
            </w:pPr>
            <w:r>
              <w:rPr>
                <w:rFonts w:eastAsia="等线" w:cs="Times New Roman"/>
                <w:color w:val="000000"/>
                <w:kern w:val="0"/>
                <w:sz w:val="21"/>
                <w:szCs w:val="21"/>
                <w:highlight w:val="none"/>
              </w:rPr>
              <w:t>cm</w:t>
            </w:r>
          </w:p>
        </w:tc>
        <w:tc>
          <w:tcPr>
            <w:tcW w:w="2869" w:type="dxa"/>
            <w:tcBorders>
              <w:top w:val="nil"/>
              <w:left w:val="nil"/>
              <w:bottom w:val="single" w:color="auto" w:sz="4" w:space="0"/>
              <w:right w:val="single" w:color="auto" w:sz="4" w:space="0"/>
            </w:tcBorders>
            <w:vAlign w:val="center"/>
          </w:tcPr>
          <w:p>
            <w:pPr>
              <w:widowControl/>
              <w:spacing w:line="240" w:lineRule="auto"/>
              <w:ind w:firstLine="0" w:firstLineChars="0"/>
              <w:jc w:val="center"/>
              <w:rPr>
                <w:rFonts w:cs="Times New Roman"/>
                <w:color w:val="000000"/>
                <w:kern w:val="0"/>
                <w:sz w:val="21"/>
                <w:szCs w:val="21"/>
                <w:highlight w:val="none"/>
              </w:rPr>
            </w:pPr>
            <w:r>
              <w:rPr>
                <w:rFonts w:cs="Times New Roman"/>
                <w:color w:val="000000"/>
                <w:kern w:val="0"/>
                <w:sz w:val="21"/>
                <w:szCs w:val="21"/>
                <w:highlight w:val="none"/>
              </w:rPr>
              <w:t>平均值</w:t>
            </w:r>
          </w:p>
        </w:tc>
      </w:tr>
      <w:tr>
        <w:tblPrEx>
          <w:tblCellMar>
            <w:top w:w="0" w:type="dxa"/>
            <w:left w:w="108" w:type="dxa"/>
            <w:bottom w:w="0" w:type="dxa"/>
            <w:right w:w="108" w:type="dxa"/>
          </w:tblCellMar>
        </w:tblPrEx>
        <w:trPr>
          <w:trHeight w:val="397" w:hRule="exact"/>
          <w:jc w:val="center"/>
        </w:trPr>
        <w:tc>
          <w:tcPr>
            <w:tcW w:w="1113" w:type="dxa"/>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i/>
                <w:iCs/>
                <w:color w:val="000000"/>
                <w:kern w:val="0"/>
                <w:sz w:val="21"/>
                <w:szCs w:val="21"/>
                <w:highlight w:val="none"/>
              </w:rPr>
            </w:pPr>
            <w:r>
              <w:rPr>
                <w:rFonts w:eastAsia="等线" w:cs="Times New Roman"/>
                <w:i/>
                <w:iCs/>
                <w:color w:val="000000"/>
                <w:kern w:val="0"/>
                <w:sz w:val="21"/>
                <w:szCs w:val="21"/>
                <w:highlight w:val="none"/>
              </w:rPr>
              <w:t>h</w:t>
            </w:r>
            <w:r>
              <w:rPr>
                <w:rFonts w:eastAsia="等线" w:cs="Times New Roman"/>
                <w:i/>
                <w:iCs/>
                <w:color w:val="000000"/>
                <w:kern w:val="0"/>
                <w:sz w:val="21"/>
                <w:szCs w:val="21"/>
                <w:highlight w:val="none"/>
                <w:vertAlign w:val="subscript"/>
              </w:rPr>
              <w:t>v</w:t>
            </w:r>
            <w:r>
              <w:rPr>
                <w:rFonts w:eastAsia="等线" w:cs="Times New Roman"/>
                <w:i/>
                <w:iCs/>
                <w:color w:val="000000"/>
                <w:kern w:val="0"/>
                <w:sz w:val="21"/>
                <w:szCs w:val="21"/>
                <w:highlight w:val="none"/>
              </w:rPr>
              <w:t xml:space="preserve"> </w:t>
            </w:r>
          </w:p>
        </w:tc>
        <w:tc>
          <w:tcPr>
            <w:tcW w:w="2655"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cs="Times New Roman"/>
                <w:color w:val="000000"/>
                <w:kern w:val="0"/>
                <w:sz w:val="21"/>
                <w:szCs w:val="21"/>
                <w:highlight w:val="none"/>
              </w:rPr>
            </w:pPr>
            <w:r>
              <w:rPr>
                <w:rFonts w:cs="Times New Roman"/>
                <w:kern w:val="0"/>
                <w:sz w:val="21"/>
                <w:szCs w:val="21"/>
                <w:highlight w:val="none"/>
              </w:rPr>
              <w:t xml:space="preserve">非饱和土层厚度 </w:t>
            </w:r>
          </w:p>
        </w:tc>
        <w:tc>
          <w:tcPr>
            <w:tcW w:w="1134"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1"/>
                <w:szCs w:val="21"/>
                <w:highlight w:val="none"/>
              </w:rPr>
            </w:pPr>
            <w:r>
              <w:rPr>
                <w:rFonts w:eastAsia="等线" w:cs="Times New Roman"/>
                <w:color w:val="000000"/>
                <w:kern w:val="0"/>
                <w:sz w:val="21"/>
                <w:szCs w:val="21"/>
                <w:highlight w:val="none"/>
              </w:rPr>
              <w:t>cm</w:t>
            </w:r>
          </w:p>
        </w:tc>
        <w:tc>
          <w:tcPr>
            <w:tcW w:w="2869" w:type="dxa"/>
            <w:tcBorders>
              <w:top w:val="nil"/>
              <w:left w:val="nil"/>
              <w:bottom w:val="single" w:color="auto" w:sz="4" w:space="0"/>
              <w:right w:val="single" w:color="auto" w:sz="4" w:space="0"/>
            </w:tcBorders>
            <w:vAlign w:val="center"/>
          </w:tcPr>
          <w:p>
            <w:pPr>
              <w:widowControl/>
              <w:spacing w:line="240" w:lineRule="auto"/>
              <w:ind w:firstLine="0" w:firstLineChars="0"/>
              <w:jc w:val="center"/>
              <w:rPr>
                <w:rFonts w:cs="Times New Roman"/>
                <w:color w:val="000000"/>
                <w:kern w:val="0"/>
                <w:sz w:val="21"/>
                <w:szCs w:val="21"/>
                <w:highlight w:val="none"/>
              </w:rPr>
            </w:pPr>
            <w:r>
              <w:rPr>
                <w:rFonts w:cs="Times New Roman"/>
                <w:color w:val="000000"/>
                <w:kern w:val="0"/>
                <w:sz w:val="21"/>
                <w:szCs w:val="21"/>
                <w:highlight w:val="none"/>
              </w:rPr>
              <w:t>平均值</w:t>
            </w:r>
          </w:p>
        </w:tc>
      </w:tr>
      <w:tr>
        <w:tblPrEx>
          <w:tblCellMar>
            <w:top w:w="0" w:type="dxa"/>
            <w:left w:w="108" w:type="dxa"/>
            <w:bottom w:w="0" w:type="dxa"/>
            <w:right w:w="108" w:type="dxa"/>
          </w:tblCellMar>
        </w:tblPrEx>
        <w:trPr>
          <w:trHeight w:val="397" w:hRule="exact"/>
          <w:jc w:val="center"/>
        </w:trPr>
        <w:tc>
          <w:tcPr>
            <w:tcW w:w="1113" w:type="dxa"/>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i/>
                <w:iCs/>
                <w:color w:val="000000"/>
                <w:kern w:val="0"/>
                <w:sz w:val="21"/>
                <w:szCs w:val="21"/>
                <w:highlight w:val="none"/>
              </w:rPr>
            </w:pPr>
            <w:r>
              <w:rPr>
                <w:rFonts w:eastAsia="等线" w:cs="Times New Roman"/>
                <w:i/>
                <w:iCs/>
                <w:color w:val="000000"/>
                <w:kern w:val="0"/>
                <w:sz w:val="21"/>
                <w:szCs w:val="21"/>
                <w:highlight w:val="none"/>
              </w:rPr>
              <w:t>f</w:t>
            </w:r>
            <w:r>
              <w:rPr>
                <w:rFonts w:eastAsia="等线" w:cs="Times New Roman"/>
                <w:i/>
                <w:iCs/>
                <w:color w:val="000000"/>
                <w:kern w:val="0"/>
                <w:sz w:val="21"/>
                <w:szCs w:val="21"/>
                <w:highlight w:val="none"/>
                <w:vertAlign w:val="subscript"/>
              </w:rPr>
              <w:t>om</w:t>
            </w:r>
            <w:r>
              <w:rPr>
                <w:rFonts w:eastAsia="等线" w:cs="Times New Roman"/>
                <w:i/>
                <w:iCs/>
                <w:color w:val="000000"/>
                <w:kern w:val="0"/>
                <w:sz w:val="21"/>
                <w:szCs w:val="21"/>
                <w:highlight w:val="none"/>
              </w:rPr>
              <w:t xml:space="preserve"> </w:t>
            </w:r>
          </w:p>
        </w:tc>
        <w:tc>
          <w:tcPr>
            <w:tcW w:w="2655"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cs="Times New Roman"/>
                <w:color w:val="000000"/>
                <w:kern w:val="0"/>
                <w:sz w:val="21"/>
                <w:szCs w:val="21"/>
                <w:highlight w:val="none"/>
              </w:rPr>
            </w:pPr>
            <w:r>
              <w:rPr>
                <w:rFonts w:cs="Times New Roman"/>
                <w:color w:val="000000"/>
                <w:kern w:val="0"/>
                <w:sz w:val="21"/>
                <w:szCs w:val="21"/>
                <w:highlight w:val="none"/>
              </w:rPr>
              <w:t xml:space="preserve">土壤有机质含量 </w:t>
            </w:r>
          </w:p>
        </w:tc>
        <w:tc>
          <w:tcPr>
            <w:tcW w:w="1134"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1"/>
                <w:szCs w:val="21"/>
                <w:highlight w:val="none"/>
              </w:rPr>
            </w:pPr>
            <w:r>
              <w:rPr>
                <w:rFonts w:eastAsia="等线" w:cs="Times New Roman"/>
                <w:color w:val="000000"/>
                <w:kern w:val="0"/>
                <w:sz w:val="21"/>
                <w:szCs w:val="21"/>
                <w:highlight w:val="none"/>
              </w:rPr>
              <w:t>g·kg</w:t>
            </w:r>
            <w:r>
              <w:rPr>
                <w:rFonts w:eastAsia="等线" w:cs="Times New Roman"/>
                <w:color w:val="000000"/>
                <w:kern w:val="0"/>
                <w:sz w:val="21"/>
                <w:szCs w:val="21"/>
                <w:highlight w:val="none"/>
                <w:vertAlign w:val="superscript"/>
              </w:rPr>
              <w:t>-1</w:t>
            </w:r>
          </w:p>
        </w:tc>
        <w:tc>
          <w:tcPr>
            <w:tcW w:w="2869" w:type="dxa"/>
            <w:tcBorders>
              <w:top w:val="nil"/>
              <w:left w:val="nil"/>
              <w:bottom w:val="single" w:color="auto" w:sz="4" w:space="0"/>
              <w:right w:val="single" w:color="auto" w:sz="4" w:space="0"/>
            </w:tcBorders>
            <w:vAlign w:val="center"/>
          </w:tcPr>
          <w:p>
            <w:pPr>
              <w:widowControl/>
              <w:spacing w:line="240" w:lineRule="auto"/>
              <w:ind w:firstLine="0" w:firstLineChars="0"/>
              <w:jc w:val="center"/>
              <w:rPr>
                <w:rFonts w:cs="Times New Roman"/>
                <w:color w:val="000000"/>
                <w:kern w:val="0"/>
                <w:sz w:val="21"/>
                <w:szCs w:val="21"/>
                <w:highlight w:val="none"/>
              </w:rPr>
            </w:pPr>
            <w:r>
              <w:rPr>
                <w:rFonts w:cs="Times New Roman"/>
                <w:color w:val="000000"/>
                <w:kern w:val="0"/>
                <w:sz w:val="21"/>
                <w:szCs w:val="21"/>
                <w:highlight w:val="none"/>
              </w:rPr>
              <w:t>平均值</w:t>
            </w:r>
          </w:p>
        </w:tc>
      </w:tr>
      <w:tr>
        <w:tblPrEx>
          <w:tblCellMar>
            <w:top w:w="0" w:type="dxa"/>
            <w:left w:w="108" w:type="dxa"/>
            <w:bottom w:w="0" w:type="dxa"/>
            <w:right w:w="108" w:type="dxa"/>
          </w:tblCellMar>
        </w:tblPrEx>
        <w:trPr>
          <w:trHeight w:val="397" w:hRule="exact"/>
          <w:jc w:val="center"/>
        </w:trPr>
        <w:tc>
          <w:tcPr>
            <w:tcW w:w="1113" w:type="dxa"/>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i/>
                <w:iCs/>
                <w:color w:val="000000"/>
                <w:kern w:val="0"/>
                <w:sz w:val="21"/>
                <w:szCs w:val="21"/>
                <w:highlight w:val="none"/>
              </w:rPr>
            </w:pPr>
            <w:r>
              <w:rPr>
                <w:rFonts w:eastAsia="等线" w:cs="Times New Roman"/>
                <w:i/>
                <w:iCs/>
                <w:color w:val="000000"/>
                <w:kern w:val="0"/>
                <w:sz w:val="21"/>
                <w:szCs w:val="21"/>
                <w:highlight w:val="none"/>
              </w:rPr>
              <w:t>ρ</w:t>
            </w:r>
            <w:r>
              <w:rPr>
                <w:rFonts w:eastAsia="等线" w:cs="Times New Roman"/>
                <w:i/>
                <w:iCs/>
                <w:color w:val="000000"/>
                <w:kern w:val="0"/>
                <w:sz w:val="21"/>
                <w:szCs w:val="21"/>
                <w:highlight w:val="none"/>
                <w:vertAlign w:val="subscript"/>
              </w:rPr>
              <w:t>b</w:t>
            </w:r>
          </w:p>
        </w:tc>
        <w:tc>
          <w:tcPr>
            <w:tcW w:w="2655"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cs="Times New Roman"/>
                <w:color w:val="000000"/>
                <w:kern w:val="0"/>
                <w:sz w:val="21"/>
                <w:szCs w:val="21"/>
                <w:highlight w:val="none"/>
              </w:rPr>
            </w:pPr>
            <w:r>
              <w:rPr>
                <w:rFonts w:cs="Times New Roman"/>
                <w:color w:val="000000"/>
                <w:kern w:val="0"/>
                <w:sz w:val="21"/>
                <w:szCs w:val="21"/>
                <w:highlight w:val="none"/>
              </w:rPr>
              <w:t xml:space="preserve">土壤容重 </w:t>
            </w:r>
          </w:p>
        </w:tc>
        <w:tc>
          <w:tcPr>
            <w:tcW w:w="1134"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1"/>
                <w:szCs w:val="21"/>
                <w:highlight w:val="none"/>
              </w:rPr>
            </w:pPr>
            <w:r>
              <w:rPr>
                <w:rFonts w:eastAsia="等线" w:cs="Times New Roman"/>
                <w:color w:val="000000"/>
                <w:kern w:val="0"/>
                <w:sz w:val="21"/>
                <w:szCs w:val="21"/>
                <w:highlight w:val="none"/>
              </w:rPr>
              <w:t>kg·dm</w:t>
            </w:r>
            <w:r>
              <w:rPr>
                <w:rFonts w:eastAsia="等线" w:cs="Times New Roman"/>
                <w:color w:val="000000"/>
                <w:kern w:val="0"/>
                <w:sz w:val="21"/>
                <w:szCs w:val="21"/>
                <w:highlight w:val="none"/>
                <w:vertAlign w:val="superscript"/>
              </w:rPr>
              <w:t>-3</w:t>
            </w:r>
          </w:p>
        </w:tc>
        <w:tc>
          <w:tcPr>
            <w:tcW w:w="2869" w:type="dxa"/>
            <w:tcBorders>
              <w:top w:val="nil"/>
              <w:left w:val="nil"/>
              <w:bottom w:val="single" w:color="auto" w:sz="4" w:space="0"/>
              <w:right w:val="single" w:color="auto" w:sz="4" w:space="0"/>
            </w:tcBorders>
            <w:vAlign w:val="center"/>
          </w:tcPr>
          <w:p>
            <w:pPr>
              <w:widowControl/>
              <w:spacing w:line="240" w:lineRule="auto"/>
              <w:ind w:firstLine="0" w:firstLineChars="0"/>
              <w:jc w:val="center"/>
              <w:rPr>
                <w:rFonts w:cs="Times New Roman"/>
                <w:color w:val="000000"/>
                <w:kern w:val="0"/>
                <w:sz w:val="21"/>
                <w:szCs w:val="21"/>
                <w:highlight w:val="none"/>
              </w:rPr>
            </w:pPr>
            <w:r>
              <w:rPr>
                <w:rFonts w:cs="Times New Roman"/>
                <w:color w:val="000000"/>
                <w:kern w:val="0"/>
                <w:sz w:val="21"/>
                <w:szCs w:val="21"/>
                <w:highlight w:val="none"/>
              </w:rPr>
              <w:t>平均值</w:t>
            </w:r>
          </w:p>
        </w:tc>
      </w:tr>
      <w:tr>
        <w:tblPrEx>
          <w:tblCellMar>
            <w:top w:w="0" w:type="dxa"/>
            <w:left w:w="108" w:type="dxa"/>
            <w:bottom w:w="0" w:type="dxa"/>
            <w:right w:w="108" w:type="dxa"/>
          </w:tblCellMar>
        </w:tblPrEx>
        <w:trPr>
          <w:trHeight w:val="397" w:hRule="exact"/>
          <w:jc w:val="center"/>
        </w:trPr>
        <w:tc>
          <w:tcPr>
            <w:tcW w:w="1113" w:type="dxa"/>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i/>
                <w:iCs/>
                <w:color w:val="000000"/>
                <w:kern w:val="0"/>
                <w:sz w:val="21"/>
                <w:szCs w:val="21"/>
                <w:highlight w:val="none"/>
              </w:rPr>
            </w:pPr>
            <w:r>
              <w:rPr>
                <w:rFonts w:eastAsia="等线" w:cs="Times New Roman"/>
                <w:i/>
                <w:iCs/>
                <w:color w:val="000000"/>
                <w:kern w:val="0"/>
                <w:sz w:val="21"/>
                <w:szCs w:val="21"/>
                <w:highlight w:val="none"/>
              </w:rPr>
              <w:t>P</w:t>
            </w:r>
            <w:r>
              <w:rPr>
                <w:rFonts w:eastAsia="等线" w:cs="Times New Roman"/>
                <w:i/>
                <w:iCs/>
                <w:color w:val="000000"/>
                <w:kern w:val="0"/>
                <w:sz w:val="21"/>
                <w:szCs w:val="21"/>
                <w:highlight w:val="none"/>
                <w:vertAlign w:val="subscript"/>
              </w:rPr>
              <w:t>ws</w:t>
            </w:r>
          </w:p>
        </w:tc>
        <w:tc>
          <w:tcPr>
            <w:tcW w:w="2655"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cs="Times New Roman"/>
                <w:color w:val="000000"/>
                <w:kern w:val="0"/>
                <w:sz w:val="21"/>
                <w:szCs w:val="21"/>
                <w:highlight w:val="none"/>
              </w:rPr>
            </w:pPr>
            <w:r>
              <w:rPr>
                <w:rFonts w:cs="Times New Roman"/>
                <w:color w:val="000000"/>
                <w:kern w:val="0"/>
                <w:sz w:val="21"/>
                <w:szCs w:val="21"/>
                <w:highlight w:val="none"/>
              </w:rPr>
              <w:t xml:space="preserve">土壤含水率 </w:t>
            </w:r>
          </w:p>
        </w:tc>
        <w:tc>
          <w:tcPr>
            <w:tcW w:w="1134"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1"/>
                <w:szCs w:val="21"/>
                <w:highlight w:val="none"/>
              </w:rPr>
            </w:pPr>
            <w:r>
              <w:rPr>
                <w:rFonts w:eastAsia="等线" w:cs="Times New Roman"/>
                <w:color w:val="000000"/>
                <w:kern w:val="0"/>
                <w:sz w:val="21"/>
                <w:szCs w:val="21"/>
                <w:highlight w:val="none"/>
              </w:rPr>
              <w:t>kg·kg</w:t>
            </w:r>
            <w:r>
              <w:rPr>
                <w:rFonts w:eastAsia="等线" w:cs="Times New Roman"/>
                <w:color w:val="000000"/>
                <w:kern w:val="0"/>
                <w:sz w:val="21"/>
                <w:szCs w:val="21"/>
                <w:highlight w:val="none"/>
                <w:vertAlign w:val="superscript"/>
              </w:rPr>
              <w:t>-1</w:t>
            </w:r>
          </w:p>
        </w:tc>
        <w:tc>
          <w:tcPr>
            <w:tcW w:w="2869" w:type="dxa"/>
            <w:tcBorders>
              <w:top w:val="nil"/>
              <w:left w:val="nil"/>
              <w:bottom w:val="single" w:color="auto" w:sz="4" w:space="0"/>
              <w:right w:val="single" w:color="auto" w:sz="4" w:space="0"/>
            </w:tcBorders>
            <w:vAlign w:val="center"/>
          </w:tcPr>
          <w:p>
            <w:pPr>
              <w:widowControl/>
              <w:spacing w:line="240" w:lineRule="auto"/>
              <w:ind w:firstLine="0" w:firstLineChars="0"/>
              <w:jc w:val="center"/>
              <w:rPr>
                <w:rFonts w:cs="Times New Roman"/>
                <w:color w:val="000000"/>
                <w:kern w:val="0"/>
                <w:sz w:val="21"/>
                <w:szCs w:val="21"/>
                <w:highlight w:val="none"/>
              </w:rPr>
            </w:pPr>
            <w:r>
              <w:rPr>
                <w:rFonts w:cs="Times New Roman"/>
                <w:color w:val="000000"/>
                <w:kern w:val="0"/>
                <w:sz w:val="21"/>
                <w:szCs w:val="21"/>
                <w:highlight w:val="none"/>
              </w:rPr>
              <w:t>平均值</w:t>
            </w:r>
          </w:p>
        </w:tc>
      </w:tr>
      <w:tr>
        <w:tblPrEx>
          <w:tblCellMar>
            <w:top w:w="0" w:type="dxa"/>
            <w:left w:w="108" w:type="dxa"/>
            <w:bottom w:w="0" w:type="dxa"/>
            <w:right w:w="108" w:type="dxa"/>
          </w:tblCellMar>
        </w:tblPrEx>
        <w:trPr>
          <w:trHeight w:val="397" w:hRule="exact"/>
          <w:jc w:val="center"/>
        </w:trPr>
        <w:tc>
          <w:tcPr>
            <w:tcW w:w="1113" w:type="dxa"/>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i/>
                <w:iCs/>
                <w:color w:val="000000"/>
                <w:kern w:val="0"/>
                <w:sz w:val="21"/>
                <w:szCs w:val="21"/>
                <w:highlight w:val="none"/>
              </w:rPr>
            </w:pPr>
            <w:r>
              <w:rPr>
                <w:rFonts w:eastAsia="等线" w:cs="Times New Roman"/>
                <w:i/>
                <w:iCs/>
                <w:color w:val="000000"/>
                <w:kern w:val="0"/>
                <w:sz w:val="21"/>
                <w:szCs w:val="21"/>
                <w:highlight w:val="none"/>
              </w:rPr>
              <w:t>ρ</w:t>
            </w:r>
            <w:r>
              <w:rPr>
                <w:rFonts w:eastAsia="等线" w:cs="Times New Roman"/>
                <w:i/>
                <w:iCs/>
                <w:color w:val="000000"/>
                <w:kern w:val="0"/>
                <w:sz w:val="21"/>
                <w:szCs w:val="21"/>
                <w:highlight w:val="none"/>
                <w:vertAlign w:val="subscript"/>
              </w:rPr>
              <w:t>s</w:t>
            </w:r>
          </w:p>
        </w:tc>
        <w:tc>
          <w:tcPr>
            <w:tcW w:w="2655"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cs="Times New Roman"/>
                <w:color w:val="000000"/>
                <w:kern w:val="0"/>
                <w:sz w:val="21"/>
                <w:szCs w:val="21"/>
                <w:highlight w:val="none"/>
              </w:rPr>
            </w:pPr>
            <w:r>
              <w:rPr>
                <w:rFonts w:cs="Times New Roman"/>
                <w:color w:val="000000"/>
                <w:kern w:val="0"/>
                <w:sz w:val="21"/>
                <w:szCs w:val="21"/>
                <w:highlight w:val="none"/>
              </w:rPr>
              <w:t xml:space="preserve">土壤颗粒密度 </w:t>
            </w:r>
          </w:p>
        </w:tc>
        <w:tc>
          <w:tcPr>
            <w:tcW w:w="1134"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1"/>
                <w:szCs w:val="21"/>
                <w:highlight w:val="none"/>
              </w:rPr>
            </w:pPr>
            <w:r>
              <w:rPr>
                <w:rFonts w:eastAsia="等线" w:cs="Times New Roman"/>
                <w:color w:val="000000"/>
                <w:kern w:val="0"/>
                <w:sz w:val="21"/>
                <w:szCs w:val="21"/>
                <w:highlight w:val="none"/>
              </w:rPr>
              <w:t>kg·dm</w:t>
            </w:r>
            <w:r>
              <w:rPr>
                <w:rFonts w:eastAsia="等线" w:cs="Times New Roman"/>
                <w:color w:val="000000"/>
                <w:kern w:val="0"/>
                <w:sz w:val="21"/>
                <w:szCs w:val="21"/>
                <w:highlight w:val="none"/>
                <w:vertAlign w:val="superscript"/>
              </w:rPr>
              <w:t>-3</w:t>
            </w:r>
          </w:p>
        </w:tc>
        <w:tc>
          <w:tcPr>
            <w:tcW w:w="2869" w:type="dxa"/>
            <w:tcBorders>
              <w:top w:val="nil"/>
              <w:left w:val="nil"/>
              <w:bottom w:val="single" w:color="auto" w:sz="4" w:space="0"/>
              <w:right w:val="single" w:color="auto" w:sz="4" w:space="0"/>
            </w:tcBorders>
            <w:vAlign w:val="center"/>
          </w:tcPr>
          <w:p>
            <w:pPr>
              <w:widowControl/>
              <w:spacing w:line="240" w:lineRule="auto"/>
              <w:ind w:firstLine="0" w:firstLineChars="0"/>
              <w:jc w:val="center"/>
              <w:rPr>
                <w:rFonts w:cs="Times New Roman"/>
                <w:color w:val="000000"/>
                <w:kern w:val="0"/>
                <w:sz w:val="21"/>
                <w:szCs w:val="21"/>
                <w:highlight w:val="none"/>
              </w:rPr>
            </w:pPr>
            <w:r>
              <w:rPr>
                <w:rFonts w:cs="Times New Roman"/>
                <w:color w:val="000000"/>
                <w:kern w:val="0"/>
                <w:sz w:val="21"/>
                <w:szCs w:val="21"/>
                <w:highlight w:val="none"/>
              </w:rPr>
              <w:t>平均值</w:t>
            </w:r>
          </w:p>
        </w:tc>
      </w:tr>
      <w:tr>
        <w:tblPrEx>
          <w:tblCellMar>
            <w:top w:w="0" w:type="dxa"/>
            <w:left w:w="108" w:type="dxa"/>
            <w:bottom w:w="0" w:type="dxa"/>
            <w:right w:w="108" w:type="dxa"/>
          </w:tblCellMar>
        </w:tblPrEx>
        <w:trPr>
          <w:trHeight w:val="629" w:hRule="exact"/>
          <w:jc w:val="center"/>
        </w:trPr>
        <w:tc>
          <w:tcPr>
            <w:tcW w:w="1113"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i/>
                <w:iCs/>
                <w:color w:val="000000"/>
                <w:kern w:val="0"/>
                <w:sz w:val="21"/>
                <w:szCs w:val="21"/>
                <w:highlight w:val="none"/>
              </w:rPr>
            </w:pPr>
            <w:r>
              <w:rPr>
                <w:rFonts w:eastAsia="等线" w:cs="Times New Roman"/>
                <w:i/>
                <w:iCs/>
                <w:color w:val="000000"/>
                <w:kern w:val="0"/>
                <w:sz w:val="21"/>
                <w:szCs w:val="21"/>
                <w:highlight w:val="none"/>
              </w:rPr>
              <w:t>A</w:t>
            </w:r>
          </w:p>
        </w:tc>
        <w:tc>
          <w:tcPr>
            <w:tcW w:w="2655" w:type="dxa"/>
            <w:tcBorders>
              <w:top w:val="single" w:color="auto" w:sz="4" w:space="0"/>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cs="Times New Roman"/>
                <w:color w:val="000000"/>
                <w:kern w:val="0"/>
                <w:sz w:val="21"/>
                <w:szCs w:val="21"/>
                <w:highlight w:val="none"/>
              </w:rPr>
            </w:pPr>
            <w:r>
              <w:rPr>
                <w:rFonts w:cs="Times New Roman"/>
                <w:color w:val="000000"/>
                <w:kern w:val="0"/>
                <w:sz w:val="21"/>
                <w:szCs w:val="21"/>
                <w:highlight w:val="none"/>
              </w:rPr>
              <w:t>污染源区面积</w:t>
            </w:r>
          </w:p>
        </w:tc>
        <w:tc>
          <w:tcPr>
            <w:tcW w:w="1134" w:type="dxa"/>
            <w:tcBorders>
              <w:top w:val="single" w:color="auto" w:sz="4" w:space="0"/>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1"/>
                <w:szCs w:val="21"/>
                <w:highlight w:val="none"/>
              </w:rPr>
            </w:pPr>
            <w:r>
              <w:rPr>
                <w:rFonts w:eastAsia="等线" w:cs="Times New Roman"/>
                <w:color w:val="000000"/>
                <w:kern w:val="0"/>
                <w:sz w:val="21"/>
                <w:szCs w:val="21"/>
                <w:highlight w:val="none"/>
              </w:rPr>
              <w:t>cm</w:t>
            </w:r>
            <w:r>
              <w:rPr>
                <w:rFonts w:eastAsia="等线" w:cs="Times New Roman"/>
                <w:color w:val="000000"/>
                <w:kern w:val="0"/>
                <w:sz w:val="21"/>
                <w:szCs w:val="21"/>
                <w:highlight w:val="none"/>
                <w:vertAlign w:val="superscript"/>
              </w:rPr>
              <w:t>2</w:t>
            </w:r>
          </w:p>
        </w:tc>
        <w:tc>
          <w:tcPr>
            <w:tcW w:w="2869" w:type="dxa"/>
            <w:tcBorders>
              <w:top w:val="single" w:color="auto" w:sz="4" w:space="0"/>
              <w:left w:val="nil"/>
              <w:bottom w:val="single" w:color="auto" w:sz="4" w:space="0"/>
              <w:right w:val="single" w:color="auto" w:sz="4" w:space="0"/>
            </w:tcBorders>
            <w:vAlign w:val="center"/>
          </w:tcPr>
          <w:p>
            <w:pPr>
              <w:widowControl/>
              <w:spacing w:line="240" w:lineRule="auto"/>
              <w:ind w:firstLine="0" w:firstLineChars="0"/>
              <w:jc w:val="center"/>
              <w:rPr>
                <w:rFonts w:cs="Times New Roman"/>
                <w:color w:val="000000"/>
                <w:kern w:val="0"/>
                <w:sz w:val="21"/>
                <w:szCs w:val="21"/>
                <w:highlight w:val="none"/>
              </w:rPr>
            </w:pPr>
            <w:r>
              <w:rPr>
                <w:rFonts w:cs="Times New Roman"/>
                <w:color w:val="000000"/>
                <w:kern w:val="0"/>
                <w:sz w:val="21"/>
                <w:szCs w:val="21"/>
                <w:highlight w:val="none"/>
              </w:rPr>
              <w:t>地块</w:t>
            </w:r>
            <w:r>
              <w:rPr>
                <w:rFonts w:hint="eastAsia" w:cs="Times New Roman"/>
                <w:color w:val="000000"/>
                <w:kern w:val="0"/>
                <w:sz w:val="21"/>
                <w:szCs w:val="21"/>
                <w:highlight w:val="none"/>
              </w:rPr>
              <w:t>挥发性污染物</w:t>
            </w:r>
            <w:r>
              <w:rPr>
                <w:rFonts w:cs="Times New Roman"/>
                <w:color w:val="000000"/>
                <w:kern w:val="0"/>
                <w:sz w:val="21"/>
                <w:szCs w:val="21"/>
                <w:highlight w:val="none"/>
              </w:rPr>
              <w:t>超筛选值区域面积总和</w:t>
            </w:r>
          </w:p>
        </w:tc>
      </w:tr>
      <w:tr>
        <w:tblPrEx>
          <w:tblCellMar>
            <w:top w:w="0" w:type="dxa"/>
            <w:left w:w="108" w:type="dxa"/>
            <w:bottom w:w="0" w:type="dxa"/>
            <w:right w:w="108" w:type="dxa"/>
          </w:tblCellMar>
        </w:tblPrEx>
        <w:trPr>
          <w:trHeight w:val="796" w:hRule="exact"/>
          <w:jc w:val="center"/>
        </w:trPr>
        <w:tc>
          <w:tcPr>
            <w:tcW w:w="1113"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i/>
                <w:iCs/>
                <w:color w:val="000000"/>
                <w:kern w:val="0"/>
                <w:sz w:val="21"/>
                <w:szCs w:val="21"/>
                <w:highlight w:val="none"/>
              </w:rPr>
            </w:pPr>
            <w:r>
              <w:rPr>
                <w:rFonts w:eastAsia="等线" w:cs="Times New Roman"/>
                <w:i/>
                <w:iCs/>
                <w:color w:val="000000"/>
                <w:kern w:val="0"/>
                <w:sz w:val="21"/>
                <w:szCs w:val="21"/>
                <w:highlight w:val="none"/>
              </w:rPr>
              <w:t>W</w:t>
            </w:r>
          </w:p>
        </w:tc>
        <w:tc>
          <w:tcPr>
            <w:tcW w:w="2655" w:type="dxa"/>
            <w:tcBorders>
              <w:top w:val="single" w:color="auto" w:sz="4" w:space="0"/>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cs="Times New Roman"/>
                <w:color w:val="000000"/>
                <w:kern w:val="0"/>
                <w:sz w:val="21"/>
                <w:szCs w:val="21"/>
                <w:highlight w:val="none"/>
              </w:rPr>
            </w:pPr>
            <w:r>
              <w:rPr>
                <w:rFonts w:cs="Times New Roman"/>
                <w:color w:val="000000"/>
                <w:kern w:val="0"/>
                <w:sz w:val="21"/>
                <w:szCs w:val="21"/>
                <w:highlight w:val="none"/>
              </w:rPr>
              <w:t>污染源区宽度</w:t>
            </w:r>
          </w:p>
        </w:tc>
        <w:tc>
          <w:tcPr>
            <w:tcW w:w="1134" w:type="dxa"/>
            <w:tcBorders>
              <w:top w:val="single" w:color="auto" w:sz="4" w:space="0"/>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1"/>
                <w:szCs w:val="21"/>
                <w:highlight w:val="none"/>
              </w:rPr>
            </w:pPr>
            <w:r>
              <w:rPr>
                <w:rFonts w:eastAsia="等线" w:cs="Times New Roman"/>
                <w:color w:val="000000"/>
                <w:kern w:val="0"/>
                <w:sz w:val="21"/>
                <w:szCs w:val="21"/>
                <w:highlight w:val="none"/>
              </w:rPr>
              <w:t>cm</w:t>
            </w:r>
          </w:p>
        </w:tc>
        <w:tc>
          <w:tcPr>
            <w:tcW w:w="2869" w:type="dxa"/>
            <w:tcBorders>
              <w:top w:val="single" w:color="auto" w:sz="4" w:space="0"/>
              <w:left w:val="nil"/>
              <w:bottom w:val="single" w:color="auto" w:sz="4" w:space="0"/>
              <w:right w:val="single" w:color="auto" w:sz="4" w:space="0"/>
            </w:tcBorders>
            <w:vAlign w:val="center"/>
          </w:tcPr>
          <w:p>
            <w:pPr>
              <w:widowControl/>
              <w:spacing w:line="240" w:lineRule="auto"/>
              <w:ind w:firstLine="0" w:firstLineChars="0"/>
              <w:jc w:val="center"/>
              <w:rPr>
                <w:rFonts w:cs="Times New Roman"/>
                <w:color w:val="000000"/>
                <w:kern w:val="0"/>
                <w:sz w:val="21"/>
                <w:szCs w:val="21"/>
                <w:highlight w:val="none"/>
              </w:rPr>
            </w:pPr>
            <w:r>
              <w:rPr>
                <w:rFonts w:cs="Times New Roman"/>
                <w:color w:val="000000"/>
                <w:kern w:val="0"/>
                <w:sz w:val="21"/>
                <w:szCs w:val="21"/>
                <w:highlight w:val="none"/>
              </w:rPr>
              <w:t>地块</w:t>
            </w:r>
            <w:r>
              <w:rPr>
                <w:rFonts w:hint="eastAsia" w:cs="Times New Roman"/>
                <w:color w:val="000000"/>
                <w:kern w:val="0"/>
                <w:sz w:val="21"/>
                <w:szCs w:val="21"/>
                <w:highlight w:val="none"/>
              </w:rPr>
              <w:t>挥发性污染物</w:t>
            </w:r>
            <w:r>
              <w:rPr>
                <w:rFonts w:cs="Times New Roman"/>
                <w:color w:val="000000"/>
                <w:kern w:val="0"/>
                <w:sz w:val="21"/>
                <w:szCs w:val="21"/>
                <w:highlight w:val="none"/>
              </w:rPr>
              <w:t>超筛选值区域与风向垂向交界面长度</w:t>
            </w:r>
          </w:p>
        </w:tc>
      </w:tr>
    </w:tbl>
    <w:p>
      <w:pPr>
        <w:ind w:firstLine="174" w:firstLineChars="83"/>
        <w:rPr>
          <w:rFonts w:cs="Times New Roman"/>
          <w:color w:val="000000"/>
          <w:kern w:val="0"/>
          <w:sz w:val="21"/>
          <w:szCs w:val="21"/>
          <w:highlight w:val="none"/>
        </w:rPr>
      </w:pPr>
      <w:r>
        <w:rPr>
          <w:rFonts w:cs="Times New Roman"/>
          <w:color w:val="000000"/>
          <w:kern w:val="0"/>
          <w:sz w:val="21"/>
          <w:szCs w:val="21"/>
          <w:highlight w:val="none"/>
        </w:rPr>
        <w:t>*注：（1）表层土壤：主要指地块中与人体直接接触暴露（经口摄入土壤、皮肤接触土壤和吸入土壤颗粒物）相关的土壤，包括地表的填土，但不包括地表的硬化层。</w:t>
      </w:r>
    </w:p>
    <w:p>
      <w:pPr>
        <w:ind w:firstLine="174" w:firstLineChars="83"/>
        <w:rPr>
          <w:rFonts w:cs="Times New Roman"/>
          <w:color w:val="000000"/>
          <w:kern w:val="0"/>
          <w:sz w:val="21"/>
          <w:szCs w:val="21"/>
          <w:highlight w:val="none"/>
        </w:rPr>
      </w:pPr>
      <w:r>
        <w:rPr>
          <w:rFonts w:cs="Times New Roman"/>
          <w:color w:val="000000"/>
          <w:kern w:val="0"/>
          <w:sz w:val="21"/>
          <w:szCs w:val="21"/>
          <w:highlight w:val="none"/>
        </w:rPr>
        <w:t>（2）下层土壤：表层土壤以下一定深度范围内的土壤，主要指地块中表层土壤以下可能受到污染物迁移扩散影响的土壤。</w:t>
      </w:r>
    </w:p>
    <w:p>
      <w:pPr>
        <w:ind w:firstLine="174" w:firstLineChars="83"/>
        <w:rPr>
          <w:rFonts w:cs="Times New Roman"/>
          <w:color w:val="000000"/>
          <w:kern w:val="0"/>
          <w:sz w:val="21"/>
          <w:szCs w:val="21"/>
          <w:highlight w:val="none"/>
        </w:rPr>
      </w:pPr>
      <w:r>
        <w:rPr>
          <w:rFonts w:cs="Times New Roman"/>
          <w:color w:val="000000"/>
          <w:kern w:val="0"/>
          <w:sz w:val="21"/>
          <w:szCs w:val="21"/>
          <w:highlight w:val="none"/>
        </w:rPr>
        <w:t>（3）表层污染土壤层厚度、下层污染土壤层埋深和下层污染土壤层厚度的示意如下图:</w:t>
      </w:r>
    </w:p>
    <w:p>
      <w:pPr>
        <w:ind w:firstLine="232" w:firstLineChars="83"/>
        <w:jc w:val="center"/>
        <w:rPr>
          <w:rFonts w:cs="Times New Roman"/>
          <w:b/>
          <w:bCs/>
          <w:color w:val="000000"/>
          <w:kern w:val="0"/>
          <w:sz w:val="21"/>
          <w:szCs w:val="21"/>
          <w:highlight w:val="none"/>
        </w:rPr>
      </w:pPr>
      <w:r>
        <w:rPr>
          <w:rFonts w:cs="Times New Roman"/>
          <w:highlight w:val="none"/>
        </w:rPr>
        <w:drawing>
          <wp:inline distT="0" distB="0" distL="0" distR="0">
            <wp:extent cx="4419600" cy="2794635"/>
            <wp:effectExtent l="0" t="0" r="0" b="571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4438207" cy="2806703"/>
                    </a:xfrm>
                    <a:prstGeom prst="rect">
                      <a:avLst/>
                    </a:prstGeom>
                    <a:noFill/>
                    <a:ln>
                      <a:noFill/>
                    </a:ln>
                  </pic:spPr>
                </pic:pic>
              </a:graphicData>
            </a:graphic>
          </wp:inline>
        </w:drawing>
      </w:r>
    </w:p>
    <w:p>
      <w:pPr>
        <w:ind w:firstLine="175" w:firstLineChars="83"/>
        <w:jc w:val="center"/>
        <w:rPr>
          <w:rFonts w:cs="Times New Roman"/>
          <w:b/>
          <w:bCs/>
          <w:color w:val="000000"/>
          <w:kern w:val="0"/>
          <w:sz w:val="21"/>
          <w:szCs w:val="21"/>
          <w:highlight w:val="none"/>
        </w:rPr>
      </w:pPr>
    </w:p>
    <w:p>
      <w:pPr>
        <w:ind w:firstLine="232" w:firstLineChars="83"/>
        <w:rPr>
          <w:rFonts w:cs="Times New Roman"/>
          <w:highlight w:val="none"/>
        </w:rPr>
      </w:pPr>
      <w:r>
        <w:rPr>
          <w:rFonts w:hint="eastAsia" w:cs="Times New Roman"/>
          <w:highlight w:val="none"/>
        </w:rPr>
        <w:t>（3）人体暴露特征参数</w:t>
      </w:r>
      <w:r>
        <w:rPr>
          <w:rFonts w:cs="Times New Roman"/>
          <w:highlight w:val="none"/>
        </w:rPr>
        <w:t xml:space="preserve">  </w:t>
      </w:r>
    </w:p>
    <w:p>
      <w:pPr>
        <w:ind w:firstLine="560"/>
        <w:rPr>
          <w:rFonts w:cs="Times New Roman"/>
          <w:highlight w:val="none"/>
          <w:lang w:val="en"/>
        </w:rPr>
      </w:pPr>
      <w:r>
        <w:rPr>
          <w:rFonts w:hint="eastAsia" w:cs="Times New Roman"/>
          <w:highlight w:val="none"/>
          <w:lang w:val="en"/>
        </w:rPr>
        <w:t>原则上采用《污染场地风险评估技术导则》规定的参数推荐值；确需调整的，应参照国家或地方权威部门发布的数据，并明确说明数据来源及选择依据。</w:t>
      </w:r>
    </w:p>
    <w:p>
      <w:pPr>
        <w:ind w:firstLine="233" w:firstLineChars="83"/>
        <w:rPr>
          <w:rFonts w:cs="Times New Roman"/>
          <w:b/>
          <w:bCs/>
          <w:highlight w:val="none"/>
        </w:rPr>
      </w:pPr>
      <w:r>
        <w:rPr>
          <w:rFonts w:cs="Times New Roman"/>
          <w:b/>
          <w:bCs/>
          <w:highlight w:val="none"/>
        </w:rPr>
        <w:t>4、暴露量</w:t>
      </w:r>
    </w:p>
    <w:p>
      <w:pPr>
        <w:ind w:firstLine="560"/>
        <w:rPr>
          <w:rFonts w:cs="Times New Roman"/>
          <w:highlight w:val="none"/>
        </w:rPr>
      </w:pPr>
      <w:r>
        <w:rPr>
          <w:rFonts w:cs="Times New Roman"/>
          <w:highlight w:val="none"/>
        </w:rPr>
        <w:t>参照《建设用地土壤污染风险评估技术导则》（HJ25.3）和《地下水污染健康风险评估工作指南》计算敏感人群对土壤和地下水中污染物的暴露量，并详细说明暴露量的计算过程和参数取值及依据。</w:t>
      </w:r>
    </w:p>
    <w:p>
      <w:pPr>
        <w:pStyle w:val="3"/>
        <w:spacing w:before="120" w:beforeLines="50"/>
        <w:rPr>
          <w:rFonts w:cs="Times New Roman"/>
          <w:highlight w:val="none"/>
        </w:rPr>
      </w:pPr>
      <w:r>
        <w:rPr>
          <w:rFonts w:cs="Times New Roman"/>
          <w:highlight w:val="none"/>
        </w:rPr>
        <w:t>三、毒性评估</w:t>
      </w:r>
    </w:p>
    <w:p>
      <w:pPr>
        <w:ind w:firstLine="560"/>
        <w:rPr>
          <w:rFonts w:cs="Times New Roman"/>
          <w:highlight w:val="none"/>
        </w:rPr>
      </w:pPr>
      <w:r>
        <w:rPr>
          <w:rFonts w:cs="Times New Roman"/>
          <w:highlight w:val="none"/>
        </w:rPr>
        <w:t>关注污染物的毒性参数和理化性质参数值应参考《建设用地土壤污染风险评估技术导则》（HJ 25.3）。HJ 25.3未规定的，可参考国内地方风险评估技术导则推荐的参数值；HJ 25.3和地方风险评估技术导则均未规定的，可引用国际权威机构发布的具有较高认可度的参数值，并说明数据来源及选择依据。</w:t>
      </w:r>
    </w:p>
    <w:p>
      <w:pPr>
        <w:ind w:firstLine="512" w:firstLineChars="183"/>
        <w:rPr>
          <w:rFonts w:cs="Times New Roman"/>
          <w:highlight w:val="none"/>
        </w:rPr>
      </w:pPr>
      <w:bookmarkStart w:id="15" w:name="_Hlk37079152"/>
      <w:r>
        <w:rPr>
          <w:rFonts w:cs="Times New Roman"/>
          <w:highlight w:val="none"/>
        </w:rPr>
        <w:t>石油烃（C</w:t>
      </w:r>
      <w:r>
        <w:rPr>
          <w:rFonts w:cs="Times New Roman"/>
          <w:highlight w:val="none"/>
          <w:vertAlign w:val="subscript"/>
        </w:rPr>
        <w:t>10</w:t>
      </w:r>
      <w:r>
        <w:rPr>
          <w:rFonts w:cs="Times New Roman"/>
          <w:highlight w:val="none"/>
        </w:rPr>
        <w:t>-C</w:t>
      </w:r>
      <w:r>
        <w:rPr>
          <w:rFonts w:cs="Times New Roman"/>
          <w:highlight w:val="none"/>
          <w:vertAlign w:val="subscript"/>
        </w:rPr>
        <w:t>40</w:t>
      </w:r>
      <w:r>
        <w:rPr>
          <w:rFonts w:cs="Times New Roman"/>
          <w:highlight w:val="none"/>
        </w:rPr>
        <w:t>）</w:t>
      </w:r>
      <w:bookmarkStart w:id="16" w:name="_Hlk39520556"/>
      <w:r>
        <w:rPr>
          <w:rFonts w:cs="Times New Roman"/>
          <w:highlight w:val="none"/>
        </w:rPr>
        <w:t>采取相对毒性较高的芳香类（C</w:t>
      </w:r>
      <w:r>
        <w:rPr>
          <w:rFonts w:cs="Times New Roman"/>
          <w:highlight w:val="none"/>
          <w:vertAlign w:val="subscript"/>
        </w:rPr>
        <w:t>10</w:t>
      </w:r>
      <w:r>
        <w:rPr>
          <w:rFonts w:cs="Times New Roman"/>
          <w:highlight w:val="none"/>
        </w:rPr>
        <w:t>-C</w:t>
      </w:r>
      <w:r>
        <w:rPr>
          <w:rFonts w:cs="Times New Roman"/>
          <w:highlight w:val="none"/>
          <w:vertAlign w:val="subscript"/>
        </w:rPr>
        <w:t>16</w:t>
      </w:r>
      <w:r>
        <w:rPr>
          <w:rFonts w:cs="Times New Roman"/>
          <w:highlight w:val="none"/>
        </w:rPr>
        <w:t>）段的毒性参数代表石油烃（C</w:t>
      </w:r>
      <w:r>
        <w:rPr>
          <w:rFonts w:cs="Times New Roman"/>
          <w:highlight w:val="none"/>
          <w:vertAlign w:val="subscript"/>
        </w:rPr>
        <w:t>10</w:t>
      </w:r>
      <w:r>
        <w:rPr>
          <w:rFonts w:cs="Times New Roman"/>
          <w:highlight w:val="none"/>
        </w:rPr>
        <w:t>-C</w:t>
      </w:r>
      <w:r>
        <w:rPr>
          <w:rFonts w:cs="Times New Roman"/>
          <w:highlight w:val="none"/>
          <w:vertAlign w:val="subscript"/>
        </w:rPr>
        <w:t>40</w:t>
      </w:r>
      <w:r>
        <w:rPr>
          <w:rFonts w:cs="Times New Roman"/>
          <w:highlight w:val="none"/>
        </w:rPr>
        <w:t>）进行风险评估</w:t>
      </w:r>
      <w:bookmarkEnd w:id="16"/>
      <w:bookmarkStart w:id="17" w:name="_Hlk39520533"/>
      <w:r>
        <w:rPr>
          <w:rFonts w:cs="Times New Roman"/>
          <w:highlight w:val="none"/>
        </w:rPr>
        <w:t>。</w:t>
      </w:r>
    </w:p>
    <w:p>
      <w:pPr>
        <w:ind w:firstLine="512" w:firstLineChars="183"/>
        <w:rPr>
          <w:rFonts w:cs="Times New Roman"/>
          <w:highlight w:val="none"/>
        </w:rPr>
      </w:pPr>
      <w:r>
        <w:rPr>
          <w:rFonts w:hint="eastAsia" w:cs="Times New Roman"/>
          <w:highlight w:val="none"/>
        </w:rPr>
        <w:t>建设用地土壤和地下水中石油烃（</w:t>
      </w:r>
      <w:r>
        <w:rPr>
          <w:rFonts w:cs="Times New Roman"/>
          <w:highlight w:val="none"/>
        </w:rPr>
        <w:t>C10-C16</w:t>
      </w:r>
      <w:r>
        <w:rPr>
          <w:rFonts w:hint="eastAsia" w:cs="Times New Roman"/>
          <w:highlight w:val="none"/>
        </w:rPr>
        <w:t>）健康风险评估也可采用石油烃分段评估的方式开展风险计算</w:t>
      </w:r>
      <w:bookmarkStart w:id="18" w:name="_Hlk36928668"/>
      <w:r>
        <w:rPr>
          <w:rFonts w:cs="Times New Roman"/>
          <w:highlight w:val="none"/>
        </w:rPr>
        <w:t xml:space="preserve">，不同类型石油烃各碳段的推荐分配比例见下表2-3，各碳段的理化参数和毒性参数见表2-4和2-5。 </w:t>
      </w:r>
    </w:p>
    <w:p>
      <w:pPr>
        <w:ind w:firstLine="182" w:firstLineChars="83"/>
        <w:jc w:val="center"/>
        <w:rPr>
          <w:rFonts w:eastAsia="黑体" w:cs="Times New Roman"/>
          <w:sz w:val="22"/>
          <w:szCs w:val="21"/>
          <w:highlight w:val="none"/>
        </w:rPr>
      </w:pPr>
      <w:r>
        <w:rPr>
          <w:rFonts w:eastAsia="黑体" w:cs="Times New Roman"/>
          <w:sz w:val="22"/>
          <w:szCs w:val="21"/>
          <w:highlight w:val="none"/>
        </w:rPr>
        <w:t>表2-3 石油烃（C</w:t>
      </w:r>
      <w:r>
        <w:rPr>
          <w:rFonts w:eastAsia="黑体" w:cs="Times New Roman"/>
          <w:sz w:val="22"/>
          <w:szCs w:val="21"/>
          <w:highlight w:val="none"/>
          <w:vertAlign w:val="subscript"/>
        </w:rPr>
        <w:t>10</w:t>
      </w:r>
      <w:r>
        <w:rPr>
          <w:rFonts w:eastAsia="黑体" w:cs="Times New Roman"/>
          <w:sz w:val="22"/>
          <w:szCs w:val="21"/>
          <w:highlight w:val="none"/>
        </w:rPr>
        <w:t>-C</w:t>
      </w:r>
      <w:r>
        <w:rPr>
          <w:rFonts w:eastAsia="黑体" w:cs="Times New Roman"/>
          <w:sz w:val="22"/>
          <w:szCs w:val="21"/>
          <w:highlight w:val="none"/>
          <w:vertAlign w:val="subscript"/>
        </w:rPr>
        <w:t>40</w:t>
      </w:r>
      <w:r>
        <w:rPr>
          <w:rFonts w:eastAsia="黑体" w:cs="Times New Roman"/>
          <w:sz w:val="22"/>
          <w:szCs w:val="21"/>
          <w:highlight w:val="none"/>
        </w:rPr>
        <w:t>）各碳段推荐分配比例*</w:t>
      </w:r>
    </w:p>
    <w:tbl>
      <w:tblPr>
        <w:tblStyle w:val="1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22"/>
        <w:gridCol w:w="1275"/>
        <w:gridCol w:w="1276"/>
        <w:gridCol w:w="1276"/>
        <w:gridCol w:w="1134"/>
        <w:gridCol w:w="121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22"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分段名称</w:t>
            </w:r>
          </w:p>
        </w:tc>
        <w:tc>
          <w:tcPr>
            <w:tcW w:w="1275"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原油类%</w:t>
            </w:r>
          </w:p>
        </w:tc>
        <w:tc>
          <w:tcPr>
            <w:tcW w:w="1276"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汽油类%</w:t>
            </w:r>
          </w:p>
        </w:tc>
        <w:tc>
          <w:tcPr>
            <w:tcW w:w="1276"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柴油类%</w:t>
            </w:r>
          </w:p>
        </w:tc>
        <w:tc>
          <w:tcPr>
            <w:tcW w:w="1134"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润滑油类%</w:t>
            </w:r>
          </w:p>
        </w:tc>
        <w:tc>
          <w:tcPr>
            <w:tcW w:w="1213"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混合油类%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2122"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脂肪烃C</w:t>
            </w:r>
            <w:r>
              <w:rPr>
                <w:rFonts w:cs="Times New Roman"/>
                <w:sz w:val="21"/>
                <w:szCs w:val="21"/>
                <w:highlight w:val="none"/>
                <w:vertAlign w:val="subscript"/>
              </w:rPr>
              <w:t>10</w:t>
            </w:r>
            <w:r>
              <w:rPr>
                <w:rFonts w:cs="Times New Roman"/>
                <w:sz w:val="21"/>
                <w:szCs w:val="21"/>
                <w:highlight w:val="none"/>
              </w:rPr>
              <w:t>-C</w:t>
            </w:r>
            <w:r>
              <w:rPr>
                <w:rFonts w:cs="Times New Roman"/>
                <w:sz w:val="21"/>
                <w:szCs w:val="21"/>
                <w:highlight w:val="none"/>
                <w:vertAlign w:val="subscript"/>
              </w:rPr>
              <w:t>12</w:t>
            </w:r>
          </w:p>
        </w:tc>
        <w:tc>
          <w:tcPr>
            <w:tcW w:w="1275"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6.6</w:t>
            </w:r>
          </w:p>
        </w:tc>
        <w:tc>
          <w:tcPr>
            <w:tcW w:w="1276"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29.3</w:t>
            </w:r>
          </w:p>
        </w:tc>
        <w:tc>
          <w:tcPr>
            <w:tcW w:w="1276"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12.9</w:t>
            </w:r>
          </w:p>
        </w:tc>
        <w:tc>
          <w:tcPr>
            <w:tcW w:w="1134"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3.8</w:t>
            </w:r>
          </w:p>
        </w:tc>
        <w:tc>
          <w:tcPr>
            <w:tcW w:w="1213"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2122"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脂肪烃C</w:t>
            </w:r>
            <w:r>
              <w:rPr>
                <w:rFonts w:cs="Times New Roman"/>
                <w:sz w:val="21"/>
                <w:szCs w:val="21"/>
                <w:highlight w:val="none"/>
                <w:vertAlign w:val="subscript"/>
              </w:rPr>
              <w:t>13</w:t>
            </w:r>
            <w:r>
              <w:rPr>
                <w:rFonts w:cs="Times New Roman"/>
                <w:sz w:val="21"/>
                <w:szCs w:val="21"/>
                <w:highlight w:val="none"/>
              </w:rPr>
              <w:t>-C</w:t>
            </w:r>
            <w:r>
              <w:rPr>
                <w:rFonts w:cs="Times New Roman"/>
                <w:sz w:val="21"/>
                <w:szCs w:val="21"/>
                <w:highlight w:val="none"/>
                <w:vertAlign w:val="subscript"/>
              </w:rPr>
              <w:t>16</w:t>
            </w:r>
          </w:p>
        </w:tc>
        <w:tc>
          <w:tcPr>
            <w:tcW w:w="1275"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13.5</w:t>
            </w:r>
          </w:p>
        </w:tc>
        <w:tc>
          <w:tcPr>
            <w:tcW w:w="1276"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12.8</w:t>
            </w:r>
          </w:p>
        </w:tc>
        <w:tc>
          <w:tcPr>
            <w:tcW w:w="1276"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15.4</w:t>
            </w:r>
          </w:p>
        </w:tc>
        <w:tc>
          <w:tcPr>
            <w:tcW w:w="1134"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6.6</w:t>
            </w:r>
          </w:p>
        </w:tc>
        <w:tc>
          <w:tcPr>
            <w:tcW w:w="1213"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16.2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2122"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脂肪烃C</w:t>
            </w:r>
            <w:r>
              <w:rPr>
                <w:rFonts w:cs="Times New Roman"/>
                <w:sz w:val="21"/>
                <w:szCs w:val="21"/>
                <w:highlight w:val="none"/>
                <w:vertAlign w:val="subscript"/>
              </w:rPr>
              <w:t>17</w:t>
            </w:r>
            <w:r>
              <w:rPr>
                <w:rFonts w:cs="Times New Roman"/>
                <w:sz w:val="21"/>
                <w:szCs w:val="21"/>
                <w:highlight w:val="none"/>
              </w:rPr>
              <w:t>-C</w:t>
            </w:r>
            <w:r>
              <w:rPr>
                <w:rFonts w:cs="Times New Roman"/>
                <w:sz w:val="21"/>
                <w:szCs w:val="21"/>
                <w:highlight w:val="none"/>
                <w:vertAlign w:val="subscript"/>
              </w:rPr>
              <w:t>21</w:t>
            </w:r>
          </w:p>
        </w:tc>
        <w:tc>
          <w:tcPr>
            <w:tcW w:w="1275"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25.4</w:t>
            </w:r>
          </w:p>
        </w:tc>
        <w:tc>
          <w:tcPr>
            <w:tcW w:w="1276"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12.6</w:t>
            </w:r>
          </w:p>
        </w:tc>
        <w:tc>
          <w:tcPr>
            <w:tcW w:w="1276"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26.2</w:t>
            </w:r>
          </w:p>
        </w:tc>
        <w:tc>
          <w:tcPr>
            <w:tcW w:w="1134"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20.0</w:t>
            </w:r>
          </w:p>
        </w:tc>
        <w:tc>
          <w:tcPr>
            <w:tcW w:w="1213"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34.2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2122"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脂肪烃C</w:t>
            </w:r>
            <w:r>
              <w:rPr>
                <w:rFonts w:cs="Times New Roman"/>
                <w:sz w:val="21"/>
                <w:szCs w:val="21"/>
                <w:highlight w:val="none"/>
                <w:vertAlign w:val="subscript"/>
              </w:rPr>
              <w:t>22</w:t>
            </w:r>
            <w:r>
              <w:rPr>
                <w:rFonts w:cs="Times New Roman"/>
                <w:sz w:val="21"/>
                <w:szCs w:val="21"/>
                <w:highlight w:val="none"/>
              </w:rPr>
              <w:t>-C</w:t>
            </w:r>
            <w:r>
              <w:rPr>
                <w:rFonts w:cs="Times New Roman"/>
                <w:sz w:val="21"/>
                <w:szCs w:val="21"/>
                <w:highlight w:val="none"/>
                <w:vertAlign w:val="subscript"/>
              </w:rPr>
              <w:t>40</w:t>
            </w:r>
          </w:p>
        </w:tc>
        <w:tc>
          <w:tcPr>
            <w:tcW w:w="1275"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40.2</w:t>
            </w:r>
          </w:p>
        </w:tc>
        <w:tc>
          <w:tcPr>
            <w:tcW w:w="1276"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8.1</w:t>
            </w:r>
          </w:p>
        </w:tc>
        <w:tc>
          <w:tcPr>
            <w:tcW w:w="1276"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8.1</w:t>
            </w:r>
          </w:p>
        </w:tc>
        <w:tc>
          <w:tcPr>
            <w:tcW w:w="1134"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47.3</w:t>
            </w:r>
          </w:p>
        </w:tc>
        <w:tc>
          <w:tcPr>
            <w:tcW w:w="1213"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11.5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2122"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芳香烃C</w:t>
            </w:r>
            <w:r>
              <w:rPr>
                <w:rFonts w:cs="Times New Roman"/>
                <w:sz w:val="21"/>
                <w:szCs w:val="21"/>
                <w:highlight w:val="none"/>
                <w:vertAlign w:val="subscript"/>
              </w:rPr>
              <w:t>10</w:t>
            </w:r>
            <w:r>
              <w:rPr>
                <w:rFonts w:cs="Times New Roman"/>
                <w:sz w:val="21"/>
                <w:szCs w:val="21"/>
                <w:highlight w:val="none"/>
              </w:rPr>
              <w:t>-C</w:t>
            </w:r>
            <w:r>
              <w:rPr>
                <w:rFonts w:cs="Times New Roman"/>
                <w:sz w:val="21"/>
                <w:szCs w:val="21"/>
                <w:highlight w:val="none"/>
                <w:vertAlign w:val="subscript"/>
              </w:rPr>
              <w:t>12</w:t>
            </w:r>
          </w:p>
        </w:tc>
        <w:tc>
          <w:tcPr>
            <w:tcW w:w="1275"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1.1</w:t>
            </w:r>
          </w:p>
        </w:tc>
        <w:tc>
          <w:tcPr>
            <w:tcW w:w="1276"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17.0</w:t>
            </w:r>
          </w:p>
        </w:tc>
        <w:tc>
          <w:tcPr>
            <w:tcW w:w="1276"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6.5</w:t>
            </w:r>
          </w:p>
        </w:tc>
        <w:tc>
          <w:tcPr>
            <w:tcW w:w="1134"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0.4</w:t>
            </w:r>
          </w:p>
        </w:tc>
        <w:tc>
          <w:tcPr>
            <w:tcW w:w="1213"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2122"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芳香烃C</w:t>
            </w:r>
            <w:r>
              <w:rPr>
                <w:rFonts w:cs="Times New Roman"/>
                <w:sz w:val="21"/>
                <w:szCs w:val="21"/>
                <w:highlight w:val="none"/>
                <w:vertAlign w:val="subscript"/>
              </w:rPr>
              <w:t>13</w:t>
            </w:r>
            <w:r>
              <w:rPr>
                <w:rFonts w:cs="Times New Roman"/>
                <w:sz w:val="21"/>
                <w:szCs w:val="21"/>
                <w:highlight w:val="none"/>
              </w:rPr>
              <w:t>-C</w:t>
            </w:r>
            <w:r>
              <w:rPr>
                <w:rFonts w:cs="Times New Roman"/>
                <w:sz w:val="21"/>
                <w:szCs w:val="21"/>
                <w:highlight w:val="none"/>
                <w:vertAlign w:val="subscript"/>
              </w:rPr>
              <w:t>16</w:t>
            </w:r>
          </w:p>
        </w:tc>
        <w:tc>
          <w:tcPr>
            <w:tcW w:w="1275"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2.0</w:t>
            </w:r>
          </w:p>
        </w:tc>
        <w:tc>
          <w:tcPr>
            <w:tcW w:w="1276"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10.3</w:t>
            </w:r>
          </w:p>
        </w:tc>
        <w:tc>
          <w:tcPr>
            <w:tcW w:w="1276"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12.3</w:t>
            </w:r>
          </w:p>
        </w:tc>
        <w:tc>
          <w:tcPr>
            <w:tcW w:w="1134"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1.3</w:t>
            </w:r>
          </w:p>
        </w:tc>
        <w:tc>
          <w:tcPr>
            <w:tcW w:w="1213"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2122"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芳香烃C</w:t>
            </w:r>
            <w:r>
              <w:rPr>
                <w:rFonts w:cs="Times New Roman"/>
                <w:sz w:val="21"/>
                <w:szCs w:val="21"/>
                <w:highlight w:val="none"/>
                <w:vertAlign w:val="subscript"/>
              </w:rPr>
              <w:t>17</w:t>
            </w:r>
            <w:r>
              <w:rPr>
                <w:rFonts w:cs="Times New Roman"/>
                <w:sz w:val="21"/>
                <w:szCs w:val="21"/>
                <w:highlight w:val="none"/>
              </w:rPr>
              <w:t>-C</w:t>
            </w:r>
            <w:r>
              <w:rPr>
                <w:rFonts w:cs="Times New Roman"/>
                <w:sz w:val="21"/>
                <w:szCs w:val="21"/>
                <w:highlight w:val="none"/>
                <w:vertAlign w:val="subscript"/>
              </w:rPr>
              <w:t>21</w:t>
            </w:r>
          </w:p>
        </w:tc>
        <w:tc>
          <w:tcPr>
            <w:tcW w:w="1275"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4.2</w:t>
            </w:r>
          </w:p>
        </w:tc>
        <w:tc>
          <w:tcPr>
            <w:tcW w:w="1276"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9.3</w:t>
            </w:r>
          </w:p>
        </w:tc>
        <w:tc>
          <w:tcPr>
            <w:tcW w:w="1276"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14.0</w:t>
            </w:r>
          </w:p>
        </w:tc>
        <w:tc>
          <w:tcPr>
            <w:tcW w:w="1134"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4.6</w:t>
            </w:r>
          </w:p>
        </w:tc>
        <w:tc>
          <w:tcPr>
            <w:tcW w:w="1213"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22.4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2122"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芳香烃C</w:t>
            </w:r>
            <w:r>
              <w:rPr>
                <w:rFonts w:cs="Times New Roman"/>
                <w:sz w:val="21"/>
                <w:szCs w:val="21"/>
                <w:highlight w:val="none"/>
                <w:vertAlign w:val="subscript"/>
              </w:rPr>
              <w:t>22</w:t>
            </w:r>
            <w:r>
              <w:rPr>
                <w:rFonts w:cs="Times New Roman"/>
                <w:sz w:val="21"/>
                <w:szCs w:val="21"/>
                <w:highlight w:val="none"/>
              </w:rPr>
              <w:t>-C</w:t>
            </w:r>
            <w:r>
              <w:rPr>
                <w:rFonts w:cs="Times New Roman"/>
                <w:sz w:val="21"/>
                <w:szCs w:val="21"/>
                <w:highlight w:val="none"/>
                <w:vertAlign w:val="subscript"/>
              </w:rPr>
              <w:t>40</w:t>
            </w:r>
          </w:p>
        </w:tc>
        <w:tc>
          <w:tcPr>
            <w:tcW w:w="1275"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7.0</w:t>
            </w:r>
          </w:p>
        </w:tc>
        <w:tc>
          <w:tcPr>
            <w:tcW w:w="1276"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0.6</w:t>
            </w:r>
          </w:p>
        </w:tc>
        <w:tc>
          <w:tcPr>
            <w:tcW w:w="1276"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4.6</w:t>
            </w:r>
          </w:p>
        </w:tc>
        <w:tc>
          <w:tcPr>
            <w:tcW w:w="1134"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16.0</w:t>
            </w:r>
          </w:p>
        </w:tc>
        <w:tc>
          <w:tcPr>
            <w:tcW w:w="1213"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9.2</w:t>
            </w:r>
          </w:p>
        </w:tc>
      </w:tr>
    </w:tbl>
    <w:p>
      <w:pPr>
        <w:ind w:firstLine="182" w:firstLineChars="83"/>
        <w:rPr>
          <w:rFonts w:cs="Times New Roman"/>
          <w:sz w:val="22"/>
          <w:szCs w:val="21"/>
          <w:highlight w:val="none"/>
        </w:rPr>
      </w:pPr>
      <w:r>
        <w:rPr>
          <w:rFonts w:cs="Times New Roman"/>
          <w:sz w:val="22"/>
          <w:szCs w:val="21"/>
          <w:highlight w:val="none"/>
        </w:rPr>
        <w:t>*注：（1）加油站的汽油罐区和柴油罐区，分别归属于汽油类污染和柴油类污染进行甄别；</w:t>
      </w:r>
    </w:p>
    <w:p>
      <w:pPr>
        <w:ind w:firstLine="182" w:firstLineChars="83"/>
        <w:rPr>
          <w:rFonts w:cs="Times New Roman"/>
          <w:sz w:val="22"/>
          <w:szCs w:val="21"/>
          <w:highlight w:val="none"/>
        </w:rPr>
      </w:pPr>
      <w:r>
        <w:rPr>
          <w:rFonts w:cs="Times New Roman"/>
          <w:sz w:val="22"/>
          <w:szCs w:val="21"/>
          <w:highlight w:val="none"/>
        </w:rPr>
        <w:t>（2）石油加工行业涉及到的原油提炼生产加工以及油品的储存区域，应根据不通同油品库归属不同类型污染进行甄别；</w:t>
      </w:r>
    </w:p>
    <w:p>
      <w:pPr>
        <w:ind w:firstLine="182" w:firstLineChars="83"/>
        <w:rPr>
          <w:rFonts w:cs="Times New Roman"/>
          <w:sz w:val="22"/>
          <w:szCs w:val="21"/>
          <w:highlight w:val="none"/>
        </w:rPr>
      </w:pPr>
      <w:r>
        <w:rPr>
          <w:rFonts w:cs="Times New Roman"/>
          <w:sz w:val="22"/>
          <w:szCs w:val="21"/>
          <w:highlight w:val="none"/>
        </w:rPr>
        <w:t>（3）金属制品、化学原料和化学制造、医药制造、计算机通讯和其他电子设备制造、电力热力生产和供应、生态环境治理等行业的生产加工区域归属于润滑油类污染进行甄别，行业地块内有汽油储罐或柴油储罐的区域归属于汽油类或柴油类污染进行甄别；</w:t>
      </w:r>
    </w:p>
    <w:p>
      <w:pPr>
        <w:ind w:firstLine="182" w:firstLineChars="83"/>
        <w:rPr>
          <w:rFonts w:cs="Times New Roman"/>
          <w:sz w:val="22"/>
          <w:szCs w:val="21"/>
          <w:highlight w:val="none"/>
        </w:rPr>
      </w:pPr>
      <w:r>
        <w:rPr>
          <w:rFonts w:cs="Times New Roman"/>
          <w:sz w:val="22"/>
          <w:szCs w:val="21"/>
          <w:highlight w:val="none"/>
        </w:rPr>
        <w:t>（4）通过调查甄别如发现地块同一区域内有2种或2种以上的石油类污染，或者石油类污染来源不明的，归属于混合油类污染。上海的补充规定2020.4</w:t>
      </w:r>
    </w:p>
    <w:p>
      <w:pPr>
        <w:ind w:firstLine="182" w:firstLineChars="83"/>
        <w:jc w:val="center"/>
        <w:rPr>
          <w:rFonts w:eastAsia="黑体" w:cs="Times New Roman"/>
          <w:sz w:val="22"/>
          <w:szCs w:val="21"/>
          <w:highlight w:val="none"/>
        </w:rPr>
      </w:pPr>
      <w:r>
        <w:rPr>
          <w:rFonts w:eastAsia="黑体" w:cs="Times New Roman"/>
          <w:sz w:val="22"/>
          <w:szCs w:val="21"/>
          <w:highlight w:val="none"/>
        </w:rPr>
        <w:t>表2-4石油烃（C</w:t>
      </w:r>
      <w:r>
        <w:rPr>
          <w:rFonts w:eastAsia="黑体" w:cs="Times New Roman"/>
          <w:sz w:val="22"/>
          <w:szCs w:val="21"/>
          <w:highlight w:val="none"/>
          <w:vertAlign w:val="subscript"/>
        </w:rPr>
        <w:t>10</w:t>
      </w:r>
      <w:r>
        <w:rPr>
          <w:rFonts w:eastAsia="黑体" w:cs="Times New Roman"/>
          <w:sz w:val="22"/>
          <w:szCs w:val="21"/>
          <w:highlight w:val="none"/>
        </w:rPr>
        <w:t>-C</w:t>
      </w:r>
      <w:r>
        <w:rPr>
          <w:rFonts w:eastAsia="黑体" w:cs="Times New Roman"/>
          <w:sz w:val="22"/>
          <w:szCs w:val="21"/>
          <w:highlight w:val="none"/>
          <w:vertAlign w:val="subscript"/>
        </w:rPr>
        <w:t>40</w:t>
      </w:r>
      <w:r>
        <w:rPr>
          <w:rFonts w:eastAsia="黑体" w:cs="Times New Roman"/>
          <w:sz w:val="22"/>
          <w:szCs w:val="21"/>
          <w:highlight w:val="none"/>
        </w:rPr>
        <w:t>）各碳段的理化参数</w:t>
      </w:r>
    </w:p>
    <w:tbl>
      <w:tblPr>
        <w:tblStyle w:val="14"/>
        <w:tblW w:w="935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12"/>
        <w:gridCol w:w="1122"/>
        <w:gridCol w:w="1012"/>
        <w:gridCol w:w="1047"/>
        <w:gridCol w:w="1061"/>
        <w:gridCol w:w="992"/>
        <w:gridCol w:w="1227"/>
        <w:gridCol w:w="11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712"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分段名称</w:t>
            </w:r>
          </w:p>
        </w:tc>
        <w:tc>
          <w:tcPr>
            <w:tcW w:w="1122"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分子量g/mol</w:t>
            </w:r>
          </w:p>
        </w:tc>
        <w:tc>
          <w:tcPr>
            <w:tcW w:w="1012"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水中  溶解度mg/L</w:t>
            </w:r>
          </w:p>
        </w:tc>
        <w:tc>
          <w:tcPr>
            <w:tcW w:w="1047"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蒸气压mmHg</w:t>
            </w:r>
          </w:p>
        </w:tc>
        <w:tc>
          <w:tcPr>
            <w:tcW w:w="1061"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亨利常数</w:t>
            </w:r>
          </w:p>
        </w:tc>
        <w:tc>
          <w:tcPr>
            <w:tcW w:w="992"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空气中扩散系数m</w:t>
            </w:r>
            <w:r>
              <w:rPr>
                <w:rFonts w:cs="Times New Roman"/>
                <w:sz w:val="21"/>
                <w:szCs w:val="21"/>
                <w:highlight w:val="none"/>
                <w:vertAlign w:val="superscript"/>
              </w:rPr>
              <w:t>2</w:t>
            </w:r>
            <w:r>
              <w:rPr>
                <w:rFonts w:cs="Times New Roman"/>
                <w:sz w:val="21"/>
                <w:szCs w:val="21"/>
                <w:highlight w:val="none"/>
              </w:rPr>
              <w:t>/s</w:t>
            </w:r>
          </w:p>
        </w:tc>
        <w:tc>
          <w:tcPr>
            <w:tcW w:w="1227"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水中扩散系数m</w:t>
            </w:r>
            <w:r>
              <w:rPr>
                <w:rFonts w:cs="Times New Roman"/>
                <w:sz w:val="21"/>
                <w:szCs w:val="21"/>
                <w:highlight w:val="none"/>
                <w:vertAlign w:val="superscript"/>
              </w:rPr>
              <w:t>2</w:t>
            </w:r>
            <w:r>
              <w:rPr>
                <w:rFonts w:cs="Times New Roman"/>
                <w:sz w:val="21"/>
                <w:szCs w:val="21"/>
                <w:highlight w:val="none"/>
              </w:rPr>
              <w:t>/s</w:t>
            </w:r>
          </w:p>
        </w:tc>
        <w:tc>
          <w:tcPr>
            <w:tcW w:w="1178" w:type="dxa"/>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土壤有机碳水分配系数cm</w:t>
            </w:r>
            <w:r>
              <w:rPr>
                <w:rFonts w:cs="Times New Roman"/>
                <w:sz w:val="21"/>
                <w:szCs w:val="21"/>
                <w:highlight w:val="none"/>
                <w:vertAlign w:val="superscript"/>
              </w:rPr>
              <w:t>3</w:t>
            </w:r>
            <w:r>
              <w:rPr>
                <w:rFonts w:cs="Times New Roman"/>
                <w:sz w:val="21"/>
                <w:szCs w:val="21"/>
                <w:highlight w:val="none"/>
              </w:rPr>
              <w:t>/g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712"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脂肪烃C</w:t>
            </w:r>
            <w:r>
              <w:rPr>
                <w:rFonts w:cs="Times New Roman"/>
                <w:sz w:val="21"/>
                <w:szCs w:val="21"/>
                <w:highlight w:val="none"/>
                <w:vertAlign w:val="subscript"/>
              </w:rPr>
              <w:t>10</w:t>
            </w:r>
            <w:r>
              <w:rPr>
                <w:rFonts w:cs="Times New Roman"/>
                <w:sz w:val="21"/>
                <w:szCs w:val="21"/>
                <w:highlight w:val="none"/>
              </w:rPr>
              <w:t>-C</w:t>
            </w:r>
            <w:r>
              <w:rPr>
                <w:rFonts w:cs="Times New Roman"/>
                <w:sz w:val="21"/>
                <w:szCs w:val="21"/>
                <w:highlight w:val="none"/>
                <w:vertAlign w:val="subscript"/>
              </w:rPr>
              <w:t>12</w:t>
            </w:r>
          </w:p>
        </w:tc>
        <w:tc>
          <w:tcPr>
            <w:tcW w:w="1122"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1.60E+02</w:t>
            </w:r>
          </w:p>
        </w:tc>
        <w:tc>
          <w:tcPr>
            <w:tcW w:w="1012"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3.40E-02</w:t>
            </w:r>
          </w:p>
        </w:tc>
        <w:tc>
          <w:tcPr>
            <w:tcW w:w="1047"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4.79E-01</w:t>
            </w:r>
          </w:p>
        </w:tc>
        <w:tc>
          <w:tcPr>
            <w:tcW w:w="1061"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1.20E+02</w:t>
            </w:r>
          </w:p>
        </w:tc>
        <w:tc>
          <w:tcPr>
            <w:tcW w:w="992"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1.00E-05</w:t>
            </w:r>
          </w:p>
        </w:tc>
        <w:tc>
          <w:tcPr>
            <w:tcW w:w="1227"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1.00E-09</w:t>
            </w:r>
          </w:p>
        </w:tc>
        <w:tc>
          <w:tcPr>
            <w:tcW w:w="1178"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2.51E+05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712"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脂肪烃C</w:t>
            </w:r>
            <w:r>
              <w:rPr>
                <w:rFonts w:cs="Times New Roman"/>
                <w:sz w:val="21"/>
                <w:szCs w:val="21"/>
                <w:highlight w:val="none"/>
                <w:vertAlign w:val="subscript"/>
              </w:rPr>
              <w:t>13</w:t>
            </w:r>
            <w:r>
              <w:rPr>
                <w:rFonts w:cs="Times New Roman"/>
                <w:sz w:val="21"/>
                <w:szCs w:val="21"/>
                <w:highlight w:val="none"/>
              </w:rPr>
              <w:t>-C</w:t>
            </w:r>
            <w:r>
              <w:rPr>
                <w:rFonts w:cs="Times New Roman"/>
                <w:sz w:val="21"/>
                <w:szCs w:val="21"/>
                <w:highlight w:val="none"/>
                <w:vertAlign w:val="subscript"/>
              </w:rPr>
              <w:t>16</w:t>
            </w:r>
          </w:p>
        </w:tc>
        <w:tc>
          <w:tcPr>
            <w:tcW w:w="1122"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2.00E+02</w:t>
            </w:r>
          </w:p>
        </w:tc>
        <w:tc>
          <w:tcPr>
            <w:tcW w:w="1012"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7.60E-02</w:t>
            </w:r>
          </w:p>
        </w:tc>
        <w:tc>
          <w:tcPr>
            <w:tcW w:w="1047" w:type="dxa"/>
            <w:vAlign w:val="center"/>
          </w:tcPr>
          <w:p>
            <w:pPr>
              <w:spacing w:line="240" w:lineRule="auto"/>
              <w:ind w:firstLine="0" w:firstLineChars="0"/>
              <w:rPr>
                <w:rFonts w:cs="Times New Roman"/>
                <w:b/>
                <w:bCs/>
                <w:sz w:val="21"/>
                <w:szCs w:val="21"/>
                <w:highlight w:val="none"/>
              </w:rPr>
            </w:pPr>
            <w:r>
              <w:rPr>
                <w:rFonts w:cs="Times New Roman"/>
                <w:sz w:val="21"/>
                <w:szCs w:val="21"/>
                <w:highlight w:val="none"/>
              </w:rPr>
              <w:t>3.65E-02</w:t>
            </w:r>
          </w:p>
        </w:tc>
        <w:tc>
          <w:tcPr>
            <w:tcW w:w="1061"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5.20E+02</w:t>
            </w:r>
          </w:p>
        </w:tc>
        <w:tc>
          <w:tcPr>
            <w:tcW w:w="992"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1.00E-05</w:t>
            </w:r>
          </w:p>
        </w:tc>
        <w:tc>
          <w:tcPr>
            <w:tcW w:w="1227"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1.00E-09</w:t>
            </w:r>
          </w:p>
        </w:tc>
        <w:tc>
          <w:tcPr>
            <w:tcW w:w="1178"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5.01E+06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712"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脂肪烃C</w:t>
            </w:r>
            <w:r>
              <w:rPr>
                <w:rFonts w:cs="Times New Roman"/>
                <w:sz w:val="21"/>
                <w:szCs w:val="21"/>
                <w:highlight w:val="none"/>
                <w:vertAlign w:val="subscript"/>
              </w:rPr>
              <w:t>17</w:t>
            </w:r>
            <w:r>
              <w:rPr>
                <w:rFonts w:cs="Times New Roman"/>
                <w:sz w:val="21"/>
                <w:szCs w:val="21"/>
                <w:highlight w:val="none"/>
              </w:rPr>
              <w:t>-C</w:t>
            </w:r>
            <w:r>
              <w:rPr>
                <w:rFonts w:cs="Times New Roman"/>
                <w:sz w:val="21"/>
                <w:szCs w:val="21"/>
                <w:highlight w:val="none"/>
                <w:vertAlign w:val="subscript"/>
              </w:rPr>
              <w:t>21</w:t>
            </w:r>
          </w:p>
        </w:tc>
        <w:tc>
          <w:tcPr>
            <w:tcW w:w="1122"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2.70E+02</w:t>
            </w:r>
          </w:p>
        </w:tc>
        <w:tc>
          <w:tcPr>
            <w:tcW w:w="1012"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2.50E-02</w:t>
            </w:r>
          </w:p>
        </w:tc>
        <w:tc>
          <w:tcPr>
            <w:tcW w:w="1047"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8.40E-04</w:t>
            </w:r>
          </w:p>
        </w:tc>
        <w:tc>
          <w:tcPr>
            <w:tcW w:w="1061"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4.90E+03</w:t>
            </w:r>
          </w:p>
        </w:tc>
        <w:tc>
          <w:tcPr>
            <w:tcW w:w="992"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1.00E-05</w:t>
            </w:r>
          </w:p>
        </w:tc>
        <w:tc>
          <w:tcPr>
            <w:tcW w:w="1227"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1.00E-09</w:t>
            </w:r>
          </w:p>
        </w:tc>
        <w:tc>
          <w:tcPr>
            <w:tcW w:w="1178"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6.31E+08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712"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脂肪烃C</w:t>
            </w:r>
            <w:r>
              <w:rPr>
                <w:rFonts w:cs="Times New Roman"/>
                <w:sz w:val="21"/>
                <w:szCs w:val="21"/>
                <w:highlight w:val="none"/>
                <w:vertAlign w:val="subscript"/>
              </w:rPr>
              <w:t>22</w:t>
            </w:r>
            <w:r>
              <w:rPr>
                <w:rFonts w:cs="Times New Roman"/>
                <w:sz w:val="21"/>
                <w:szCs w:val="21"/>
                <w:highlight w:val="none"/>
              </w:rPr>
              <w:t>-C</w:t>
            </w:r>
            <w:r>
              <w:rPr>
                <w:rFonts w:cs="Times New Roman"/>
                <w:sz w:val="21"/>
                <w:szCs w:val="21"/>
                <w:highlight w:val="none"/>
                <w:vertAlign w:val="subscript"/>
              </w:rPr>
              <w:t>40</w:t>
            </w:r>
          </w:p>
        </w:tc>
        <w:tc>
          <w:tcPr>
            <w:tcW w:w="1122"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4.00E+02</w:t>
            </w:r>
          </w:p>
        </w:tc>
        <w:tc>
          <w:tcPr>
            <w:tcW w:w="1012"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2.50E-02</w:t>
            </w:r>
          </w:p>
        </w:tc>
        <w:tc>
          <w:tcPr>
            <w:tcW w:w="1047"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8.40E-04</w:t>
            </w:r>
          </w:p>
        </w:tc>
        <w:tc>
          <w:tcPr>
            <w:tcW w:w="1061"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4.90E+03</w:t>
            </w:r>
          </w:p>
        </w:tc>
        <w:tc>
          <w:tcPr>
            <w:tcW w:w="992"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1.00E-05</w:t>
            </w:r>
          </w:p>
        </w:tc>
        <w:tc>
          <w:tcPr>
            <w:tcW w:w="1227"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1.00E-09</w:t>
            </w:r>
          </w:p>
        </w:tc>
        <w:tc>
          <w:tcPr>
            <w:tcW w:w="1178"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6.31E+08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712"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芳香烃C</w:t>
            </w:r>
            <w:r>
              <w:rPr>
                <w:rFonts w:cs="Times New Roman"/>
                <w:sz w:val="21"/>
                <w:szCs w:val="21"/>
                <w:highlight w:val="none"/>
                <w:vertAlign w:val="subscript"/>
              </w:rPr>
              <w:t>10</w:t>
            </w:r>
            <w:r>
              <w:rPr>
                <w:rFonts w:cs="Times New Roman"/>
                <w:sz w:val="21"/>
                <w:szCs w:val="21"/>
                <w:highlight w:val="none"/>
              </w:rPr>
              <w:t>-C</w:t>
            </w:r>
            <w:r>
              <w:rPr>
                <w:rFonts w:cs="Times New Roman"/>
                <w:sz w:val="21"/>
                <w:szCs w:val="21"/>
                <w:highlight w:val="none"/>
                <w:vertAlign w:val="subscript"/>
              </w:rPr>
              <w:t>12</w:t>
            </w:r>
          </w:p>
        </w:tc>
        <w:tc>
          <w:tcPr>
            <w:tcW w:w="1122"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1.30E+02</w:t>
            </w:r>
          </w:p>
        </w:tc>
        <w:tc>
          <w:tcPr>
            <w:tcW w:w="1012"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2.50E-02</w:t>
            </w:r>
          </w:p>
        </w:tc>
        <w:tc>
          <w:tcPr>
            <w:tcW w:w="1047"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4.79E-01</w:t>
            </w:r>
          </w:p>
        </w:tc>
        <w:tc>
          <w:tcPr>
            <w:tcW w:w="1061"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1.40E-01</w:t>
            </w:r>
          </w:p>
        </w:tc>
        <w:tc>
          <w:tcPr>
            <w:tcW w:w="992"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1.00E-05</w:t>
            </w:r>
          </w:p>
        </w:tc>
        <w:tc>
          <w:tcPr>
            <w:tcW w:w="1227"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1.00E-09</w:t>
            </w:r>
          </w:p>
        </w:tc>
        <w:tc>
          <w:tcPr>
            <w:tcW w:w="1178"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2.51E+03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712"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芳香烃C</w:t>
            </w:r>
            <w:r>
              <w:rPr>
                <w:rFonts w:cs="Times New Roman"/>
                <w:sz w:val="21"/>
                <w:szCs w:val="21"/>
                <w:highlight w:val="none"/>
                <w:vertAlign w:val="subscript"/>
              </w:rPr>
              <w:t>13</w:t>
            </w:r>
            <w:r>
              <w:rPr>
                <w:rFonts w:cs="Times New Roman"/>
                <w:sz w:val="21"/>
                <w:szCs w:val="21"/>
                <w:highlight w:val="none"/>
              </w:rPr>
              <w:t>-C</w:t>
            </w:r>
            <w:r>
              <w:rPr>
                <w:rFonts w:cs="Times New Roman"/>
                <w:sz w:val="21"/>
                <w:szCs w:val="21"/>
                <w:highlight w:val="none"/>
                <w:vertAlign w:val="subscript"/>
              </w:rPr>
              <w:t>16</w:t>
            </w:r>
          </w:p>
        </w:tc>
        <w:tc>
          <w:tcPr>
            <w:tcW w:w="1122"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1.50E+02</w:t>
            </w:r>
          </w:p>
        </w:tc>
        <w:tc>
          <w:tcPr>
            <w:tcW w:w="1012"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5.80E-02</w:t>
            </w:r>
          </w:p>
        </w:tc>
        <w:tc>
          <w:tcPr>
            <w:tcW w:w="1047"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3.65E-02</w:t>
            </w:r>
          </w:p>
        </w:tc>
        <w:tc>
          <w:tcPr>
            <w:tcW w:w="1061"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5.30E-02</w:t>
            </w:r>
          </w:p>
        </w:tc>
        <w:tc>
          <w:tcPr>
            <w:tcW w:w="992"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1.00E-05</w:t>
            </w:r>
          </w:p>
        </w:tc>
        <w:tc>
          <w:tcPr>
            <w:tcW w:w="1227"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1.00E-09</w:t>
            </w:r>
          </w:p>
        </w:tc>
        <w:tc>
          <w:tcPr>
            <w:tcW w:w="1178"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5.01E+03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712"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芳香烃C</w:t>
            </w:r>
            <w:r>
              <w:rPr>
                <w:rFonts w:cs="Times New Roman"/>
                <w:sz w:val="21"/>
                <w:szCs w:val="21"/>
                <w:highlight w:val="none"/>
                <w:vertAlign w:val="subscript"/>
              </w:rPr>
              <w:t>17</w:t>
            </w:r>
            <w:r>
              <w:rPr>
                <w:rFonts w:cs="Times New Roman"/>
                <w:sz w:val="21"/>
                <w:szCs w:val="21"/>
                <w:highlight w:val="none"/>
              </w:rPr>
              <w:t>-C</w:t>
            </w:r>
            <w:r>
              <w:rPr>
                <w:rFonts w:cs="Times New Roman"/>
                <w:sz w:val="21"/>
                <w:szCs w:val="21"/>
                <w:highlight w:val="none"/>
                <w:vertAlign w:val="subscript"/>
              </w:rPr>
              <w:t>21</w:t>
            </w:r>
          </w:p>
        </w:tc>
        <w:tc>
          <w:tcPr>
            <w:tcW w:w="1122"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1.90E+02</w:t>
            </w:r>
          </w:p>
        </w:tc>
        <w:tc>
          <w:tcPr>
            <w:tcW w:w="1012"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6.50E-02</w:t>
            </w:r>
          </w:p>
        </w:tc>
        <w:tc>
          <w:tcPr>
            <w:tcW w:w="1047"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8.40E-04</w:t>
            </w:r>
          </w:p>
        </w:tc>
        <w:tc>
          <w:tcPr>
            <w:tcW w:w="1061"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1.30E-02</w:t>
            </w:r>
          </w:p>
        </w:tc>
        <w:tc>
          <w:tcPr>
            <w:tcW w:w="992"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1.00E-05</w:t>
            </w:r>
          </w:p>
        </w:tc>
        <w:tc>
          <w:tcPr>
            <w:tcW w:w="1227"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1.00E-09</w:t>
            </w:r>
          </w:p>
        </w:tc>
        <w:tc>
          <w:tcPr>
            <w:tcW w:w="1178"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1.58E+04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712"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芳香烃C</w:t>
            </w:r>
            <w:r>
              <w:rPr>
                <w:rFonts w:cs="Times New Roman"/>
                <w:sz w:val="21"/>
                <w:szCs w:val="21"/>
                <w:highlight w:val="none"/>
                <w:vertAlign w:val="subscript"/>
              </w:rPr>
              <w:t>22</w:t>
            </w:r>
            <w:r>
              <w:rPr>
                <w:rFonts w:cs="Times New Roman"/>
                <w:sz w:val="21"/>
                <w:szCs w:val="21"/>
                <w:highlight w:val="none"/>
              </w:rPr>
              <w:t>-C</w:t>
            </w:r>
            <w:r>
              <w:rPr>
                <w:rFonts w:cs="Times New Roman"/>
                <w:sz w:val="21"/>
                <w:szCs w:val="21"/>
                <w:highlight w:val="none"/>
                <w:vertAlign w:val="subscript"/>
              </w:rPr>
              <w:t>40</w:t>
            </w:r>
          </w:p>
        </w:tc>
        <w:tc>
          <w:tcPr>
            <w:tcW w:w="1122"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2.40E+02</w:t>
            </w:r>
          </w:p>
        </w:tc>
        <w:tc>
          <w:tcPr>
            <w:tcW w:w="1012"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6.60E-02</w:t>
            </w:r>
          </w:p>
        </w:tc>
        <w:tc>
          <w:tcPr>
            <w:tcW w:w="1047"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3.30E-07</w:t>
            </w:r>
          </w:p>
        </w:tc>
        <w:tc>
          <w:tcPr>
            <w:tcW w:w="1061"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6.70E-04</w:t>
            </w:r>
          </w:p>
        </w:tc>
        <w:tc>
          <w:tcPr>
            <w:tcW w:w="992"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1.00E-05</w:t>
            </w:r>
          </w:p>
        </w:tc>
        <w:tc>
          <w:tcPr>
            <w:tcW w:w="1227"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1.00E-09</w:t>
            </w:r>
          </w:p>
        </w:tc>
        <w:tc>
          <w:tcPr>
            <w:tcW w:w="1178" w:type="dxa"/>
            <w:vAlign w:val="center"/>
          </w:tcPr>
          <w:p>
            <w:pPr>
              <w:spacing w:line="240" w:lineRule="auto"/>
              <w:ind w:firstLine="0" w:firstLineChars="0"/>
              <w:rPr>
                <w:rFonts w:cs="Times New Roman"/>
                <w:sz w:val="21"/>
                <w:szCs w:val="21"/>
                <w:highlight w:val="none"/>
              </w:rPr>
            </w:pPr>
            <w:r>
              <w:rPr>
                <w:rFonts w:cs="Times New Roman"/>
                <w:sz w:val="21"/>
                <w:szCs w:val="21"/>
                <w:highlight w:val="none"/>
              </w:rPr>
              <w:t>1.26E+05</w:t>
            </w:r>
          </w:p>
        </w:tc>
      </w:tr>
    </w:tbl>
    <w:p>
      <w:pPr>
        <w:ind w:firstLine="232" w:firstLineChars="83"/>
        <w:rPr>
          <w:rFonts w:cs="Times New Roman"/>
          <w:highlight w:val="none"/>
        </w:rPr>
      </w:pPr>
    </w:p>
    <w:p>
      <w:pPr>
        <w:ind w:firstLine="182" w:firstLineChars="83"/>
        <w:jc w:val="center"/>
        <w:rPr>
          <w:rFonts w:eastAsia="黑体" w:cs="Times New Roman"/>
          <w:sz w:val="22"/>
          <w:szCs w:val="21"/>
          <w:highlight w:val="none"/>
        </w:rPr>
      </w:pPr>
      <w:r>
        <w:rPr>
          <w:rFonts w:eastAsia="黑体" w:cs="Times New Roman"/>
          <w:sz w:val="22"/>
          <w:szCs w:val="21"/>
          <w:highlight w:val="none"/>
        </w:rPr>
        <w:t>表2-5 石油烃（C</w:t>
      </w:r>
      <w:r>
        <w:rPr>
          <w:rFonts w:eastAsia="黑体" w:cs="Times New Roman"/>
          <w:sz w:val="22"/>
          <w:szCs w:val="21"/>
          <w:highlight w:val="none"/>
          <w:vertAlign w:val="subscript"/>
        </w:rPr>
        <w:t>10</w:t>
      </w:r>
      <w:r>
        <w:rPr>
          <w:rFonts w:eastAsia="黑体" w:cs="Times New Roman"/>
          <w:sz w:val="22"/>
          <w:szCs w:val="21"/>
          <w:highlight w:val="none"/>
        </w:rPr>
        <w:t>-C</w:t>
      </w:r>
      <w:r>
        <w:rPr>
          <w:rFonts w:eastAsia="黑体" w:cs="Times New Roman"/>
          <w:sz w:val="22"/>
          <w:szCs w:val="21"/>
          <w:highlight w:val="none"/>
          <w:vertAlign w:val="subscript"/>
        </w:rPr>
        <w:t>40</w:t>
      </w:r>
      <w:r>
        <w:rPr>
          <w:rFonts w:eastAsia="黑体" w:cs="Times New Roman"/>
          <w:sz w:val="22"/>
          <w:szCs w:val="21"/>
          <w:highlight w:val="none"/>
        </w:rPr>
        <w:t>）各碳段的毒性参数*</w:t>
      </w:r>
    </w:p>
    <w:tbl>
      <w:tblPr>
        <w:tblStyle w:val="14"/>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206"/>
        <w:gridCol w:w="1564"/>
        <w:gridCol w:w="1346"/>
        <w:gridCol w:w="1394"/>
        <w:gridCol w:w="1412"/>
        <w:gridCol w:w="13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93"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分段名称</w:t>
            </w:r>
          </w:p>
        </w:tc>
        <w:tc>
          <w:tcPr>
            <w:tcW w:w="846"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经口摄入参考剂量mg/kg/d</w:t>
            </w:r>
          </w:p>
        </w:tc>
        <w:tc>
          <w:tcPr>
            <w:tcW w:w="728"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呼吸吸入 参考浓度mg/m</w:t>
            </w:r>
            <w:r>
              <w:rPr>
                <w:rFonts w:cs="Times New Roman"/>
                <w:sz w:val="21"/>
                <w:szCs w:val="21"/>
                <w:highlight w:val="none"/>
                <w:vertAlign w:val="superscript"/>
              </w:rPr>
              <w:t>3</w:t>
            </w:r>
          </w:p>
        </w:tc>
        <w:tc>
          <w:tcPr>
            <w:tcW w:w="754"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参考剂量分配比例</w:t>
            </w:r>
          </w:p>
        </w:tc>
        <w:tc>
          <w:tcPr>
            <w:tcW w:w="764"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消化道吸收因子</w:t>
            </w:r>
          </w:p>
        </w:tc>
        <w:tc>
          <w:tcPr>
            <w:tcW w:w="714"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皮肤吸收效率因子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193"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脂肪烃C</w:t>
            </w:r>
            <w:r>
              <w:rPr>
                <w:rFonts w:cs="Times New Roman"/>
                <w:sz w:val="21"/>
                <w:szCs w:val="21"/>
                <w:highlight w:val="none"/>
                <w:vertAlign w:val="subscript"/>
              </w:rPr>
              <w:t>10</w:t>
            </w:r>
            <w:r>
              <w:rPr>
                <w:rFonts w:cs="Times New Roman"/>
                <w:sz w:val="21"/>
                <w:szCs w:val="21"/>
                <w:highlight w:val="none"/>
              </w:rPr>
              <w:t>-C</w:t>
            </w:r>
            <w:r>
              <w:rPr>
                <w:rFonts w:cs="Times New Roman"/>
                <w:sz w:val="21"/>
                <w:szCs w:val="21"/>
                <w:highlight w:val="none"/>
                <w:vertAlign w:val="subscript"/>
              </w:rPr>
              <w:t>12</w:t>
            </w:r>
          </w:p>
        </w:tc>
        <w:tc>
          <w:tcPr>
            <w:tcW w:w="846"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1.00E-01</w:t>
            </w:r>
          </w:p>
        </w:tc>
        <w:tc>
          <w:tcPr>
            <w:tcW w:w="728"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5.00E-01</w:t>
            </w:r>
          </w:p>
        </w:tc>
        <w:tc>
          <w:tcPr>
            <w:tcW w:w="754"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5.00E-01</w:t>
            </w:r>
          </w:p>
        </w:tc>
        <w:tc>
          <w:tcPr>
            <w:tcW w:w="764"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5.00E-01</w:t>
            </w:r>
          </w:p>
        </w:tc>
        <w:tc>
          <w:tcPr>
            <w:tcW w:w="714"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1.00E-01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193"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脂肪烃C</w:t>
            </w:r>
            <w:r>
              <w:rPr>
                <w:rFonts w:cs="Times New Roman"/>
                <w:sz w:val="21"/>
                <w:szCs w:val="21"/>
                <w:highlight w:val="none"/>
                <w:vertAlign w:val="subscript"/>
              </w:rPr>
              <w:t>13</w:t>
            </w:r>
            <w:r>
              <w:rPr>
                <w:rFonts w:cs="Times New Roman"/>
                <w:sz w:val="21"/>
                <w:szCs w:val="21"/>
                <w:highlight w:val="none"/>
              </w:rPr>
              <w:t>-C</w:t>
            </w:r>
            <w:r>
              <w:rPr>
                <w:rFonts w:cs="Times New Roman"/>
                <w:sz w:val="21"/>
                <w:szCs w:val="21"/>
                <w:highlight w:val="none"/>
                <w:vertAlign w:val="subscript"/>
              </w:rPr>
              <w:t>16</w:t>
            </w:r>
          </w:p>
        </w:tc>
        <w:tc>
          <w:tcPr>
            <w:tcW w:w="846"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1.00E-01</w:t>
            </w:r>
          </w:p>
        </w:tc>
        <w:tc>
          <w:tcPr>
            <w:tcW w:w="728"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5.00E-01</w:t>
            </w:r>
          </w:p>
        </w:tc>
        <w:tc>
          <w:tcPr>
            <w:tcW w:w="754" w:type="pct"/>
            <w:vAlign w:val="center"/>
          </w:tcPr>
          <w:p>
            <w:pPr>
              <w:spacing w:line="240" w:lineRule="auto"/>
              <w:ind w:firstLine="0" w:firstLineChars="0"/>
              <w:jc w:val="center"/>
              <w:rPr>
                <w:rFonts w:cs="Times New Roman"/>
                <w:b/>
                <w:bCs/>
                <w:sz w:val="21"/>
                <w:szCs w:val="21"/>
                <w:highlight w:val="none"/>
              </w:rPr>
            </w:pPr>
            <w:r>
              <w:rPr>
                <w:rFonts w:cs="Times New Roman"/>
                <w:sz w:val="21"/>
                <w:szCs w:val="21"/>
                <w:highlight w:val="none"/>
              </w:rPr>
              <w:t>5.00E-01</w:t>
            </w:r>
          </w:p>
        </w:tc>
        <w:tc>
          <w:tcPr>
            <w:tcW w:w="764"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5.00E-01</w:t>
            </w:r>
          </w:p>
        </w:tc>
        <w:tc>
          <w:tcPr>
            <w:tcW w:w="714"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1.00E-01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193"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脂肪烃C</w:t>
            </w:r>
            <w:r>
              <w:rPr>
                <w:rFonts w:cs="Times New Roman"/>
                <w:sz w:val="21"/>
                <w:szCs w:val="21"/>
                <w:highlight w:val="none"/>
                <w:vertAlign w:val="subscript"/>
              </w:rPr>
              <w:t>17</w:t>
            </w:r>
            <w:r>
              <w:rPr>
                <w:rFonts w:cs="Times New Roman"/>
                <w:sz w:val="21"/>
                <w:szCs w:val="21"/>
                <w:highlight w:val="none"/>
              </w:rPr>
              <w:t>-C</w:t>
            </w:r>
            <w:r>
              <w:rPr>
                <w:rFonts w:cs="Times New Roman"/>
                <w:sz w:val="21"/>
                <w:szCs w:val="21"/>
                <w:highlight w:val="none"/>
                <w:vertAlign w:val="subscript"/>
              </w:rPr>
              <w:t>21</w:t>
            </w:r>
          </w:p>
        </w:tc>
        <w:tc>
          <w:tcPr>
            <w:tcW w:w="846"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2.00E+00</w:t>
            </w:r>
          </w:p>
        </w:tc>
        <w:tc>
          <w:tcPr>
            <w:tcW w:w="728"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w:t>
            </w:r>
          </w:p>
        </w:tc>
        <w:tc>
          <w:tcPr>
            <w:tcW w:w="754"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5.00E-01</w:t>
            </w:r>
          </w:p>
        </w:tc>
        <w:tc>
          <w:tcPr>
            <w:tcW w:w="764"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5.00E-01</w:t>
            </w:r>
          </w:p>
        </w:tc>
        <w:tc>
          <w:tcPr>
            <w:tcW w:w="714"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1.00E-01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193"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脂肪烃C</w:t>
            </w:r>
            <w:r>
              <w:rPr>
                <w:rFonts w:cs="Times New Roman"/>
                <w:sz w:val="21"/>
                <w:szCs w:val="21"/>
                <w:highlight w:val="none"/>
                <w:vertAlign w:val="subscript"/>
              </w:rPr>
              <w:t>22</w:t>
            </w:r>
            <w:r>
              <w:rPr>
                <w:rFonts w:cs="Times New Roman"/>
                <w:sz w:val="21"/>
                <w:szCs w:val="21"/>
                <w:highlight w:val="none"/>
              </w:rPr>
              <w:t>-C</w:t>
            </w:r>
            <w:r>
              <w:rPr>
                <w:rFonts w:cs="Times New Roman"/>
                <w:sz w:val="21"/>
                <w:szCs w:val="21"/>
                <w:highlight w:val="none"/>
                <w:vertAlign w:val="subscript"/>
              </w:rPr>
              <w:t>40</w:t>
            </w:r>
          </w:p>
        </w:tc>
        <w:tc>
          <w:tcPr>
            <w:tcW w:w="846"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2.00E+00</w:t>
            </w:r>
          </w:p>
        </w:tc>
        <w:tc>
          <w:tcPr>
            <w:tcW w:w="728"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w:t>
            </w:r>
          </w:p>
        </w:tc>
        <w:tc>
          <w:tcPr>
            <w:tcW w:w="754"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5.00E-01</w:t>
            </w:r>
          </w:p>
        </w:tc>
        <w:tc>
          <w:tcPr>
            <w:tcW w:w="764"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5.00E-01</w:t>
            </w:r>
          </w:p>
        </w:tc>
        <w:tc>
          <w:tcPr>
            <w:tcW w:w="714"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1.00E-01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193"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芳香烃C</w:t>
            </w:r>
            <w:r>
              <w:rPr>
                <w:rFonts w:cs="Times New Roman"/>
                <w:sz w:val="21"/>
                <w:szCs w:val="21"/>
                <w:highlight w:val="none"/>
                <w:vertAlign w:val="subscript"/>
              </w:rPr>
              <w:t>10</w:t>
            </w:r>
            <w:r>
              <w:rPr>
                <w:rFonts w:cs="Times New Roman"/>
                <w:sz w:val="21"/>
                <w:szCs w:val="21"/>
                <w:highlight w:val="none"/>
              </w:rPr>
              <w:t>-C</w:t>
            </w:r>
            <w:r>
              <w:rPr>
                <w:rFonts w:cs="Times New Roman"/>
                <w:sz w:val="21"/>
                <w:szCs w:val="21"/>
                <w:highlight w:val="none"/>
                <w:vertAlign w:val="subscript"/>
              </w:rPr>
              <w:t>12</w:t>
            </w:r>
          </w:p>
        </w:tc>
        <w:tc>
          <w:tcPr>
            <w:tcW w:w="846"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4.00E-02</w:t>
            </w:r>
          </w:p>
        </w:tc>
        <w:tc>
          <w:tcPr>
            <w:tcW w:w="728"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2.00E-01</w:t>
            </w:r>
          </w:p>
        </w:tc>
        <w:tc>
          <w:tcPr>
            <w:tcW w:w="754"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5.00E-01</w:t>
            </w:r>
          </w:p>
        </w:tc>
        <w:tc>
          <w:tcPr>
            <w:tcW w:w="764"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5.00E-01</w:t>
            </w:r>
          </w:p>
        </w:tc>
        <w:tc>
          <w:tcPr>
            <w:tcW w:w="714"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1.00E-01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193"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芳香烃C</w:t>
            </w:r>
            <w:r>
              <w:rPr>
                <w:rFonts w:cs="Times New Roman"/>
                <w:sz w:val="21"/>
                <w:szCs w:val="21"/>
                <w:highlight w:val="none"/>
                <w:vertAlign w:val="subscript"/>
              </w:rPr>
              <w:t>13</w:t>
            </w:r>
            <w:r>
              <w:rPr>
                <w:rFonts w:cs="Times New Roman"/>
                <w:sz w:val="21"/>
                <w:szCs w:val="21"/>
                <w:highlight w:val="none"/>
              </w:rPr>
              <w:t>-C</w:t>
            </w:r>
            <w:r>
              <w:rPr>
                <w:rFonts w:cs="Times New Roman"/>
                <w:sz w:val="21"/>
                <w:szCs w:val="21"/>
                <w:highlight w:val="none"/>
                <w:vertAlign w:val="subscript"/>
              </w:rPr>
              <w:t>16</w:t>
            </w:r>
          </w:p>
        </w:tc>
        <w:tc>
          <w:tcPr>
            <w:tcW w:w="846"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4.00E-02</w:t>
            </w:r>
          </w:p>
        </w:tc>
        <w:tc>
          <w:tcPr>
            <w:tcW w:w="728"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2.00E-01</w:t>
            </w:r>
          </w:p>
        </w:tc>
        <w:tc>
          <w:tcPr>
            <w:tcW w:w="754"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5.00E-01</w:t>
            </w:r>
          </w:p>
        </w:tc>
        <w:tc>
          <w:tcPr>
            <w:tcW w:w="764"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5.00E-01</w:t>
            </w:r>
          </w:p>
        </w:tc>
        <w:tc>
          <w:tcPr>
            <w:tcW w:w="714"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1.00E-01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193"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芳香烃C</w:t>
            </w:r>
            <w:r>
              <w:rPr>
                <w:rFonts w:cs="Times New Roman"/>
                <w:sz w:val="21"/>
                <w:szCs w:val="21"/>
                <w:highlight w:val="none"/>
                <w:vertAlign w:val="subscript"/>
              </w:rPr>
              <w:t>17</w:t>
            </w:r>
            <w:r>
              <w:rPr>
                <w:rFonts w:cs="Times New Roman"/>
                <w:sz w:val="21"/>
                <w:szCs w:val="21"/>
                <w:highlight w:val="none"/>
              </w:rPr>
              <w:t>-C</w:t>
            </w:r>
            <w:r>
              <w:rPr>
                <w:rFonts w:cs="Times New Roman"/>
                <w:sz w:val="21"/>
                <w:szCs w:val="21"/>
                <w:highlight w:val="none"/>
                <w:vertAlign w:val="subscript"/>
              </w:rPr>
              <w:t>21</w:t>
            </w:r>
          </w:p>
        </w:tc>
        <w:tc>
          <w:tcPr>
            <w:tcW w:w="846"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3.00E-02</w:t>
            </w:r>
          </w:p>
        </w:tc>
        <w:tc>
          <w:tcPr>
            <w:tcW w:w="728"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w:t>
            </w:r>
          </w:p>
        </w:tc>
        <w:tc>
          <w:tcPr>
            <w:tcW w:w="754"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5.00E-01</w:t>
            </w:r>
          </w:p>
        </w:tc>
        <w:tc>
          <w:tcPr>
            <w:tcW w:w="764"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5.00E-01</w:t>
            </w:r>
          </w:p>
        </w:tc>
        <w:tc>
          <w:tcPr>
            <w:tcW w:w="714"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1.00E-01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193"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芳香烃C</w:t>
            </w:r>
            <w:r>
              <w:rPr>
                <w:rFonts w:cs="Times New Roman"/>
                <w:sz w:val="21"/>
                <w:szCs w:val="21"/>
                <w:highlight w:val="none"/>
                <w:vertAlign w:val="subscript"/>
              </w:rPr>
              <w:t>22</w:t>
            </w:r>
            <w:r>
              <w:rPr>
                <w:rFonts w:cs="Times New Roman"/>
                <w:sz w:val="21"/>
                <w:szCs w:val="21"/>
                <w:highlight w:val="none"/>
              </w:rPr>
              <w:t>-C</w:t>
            </w:r>
            <w:r>
              <w:rPr>
                <w:rFonts w:cs="Times New Roman"/>
                <w:sz w:val="21"/>
                <w:szCs w:val="21"/>
                <w:highlight w:val="none"/>
                <w:vertAlign w:val="subscript"/>
              </w:rPr>
              <w:t>40</w:t>
            </w:r>
          </w:p>
        </w:tc>
        <w:tc>
          <w:tcPr>
            <w:tcW w:w="846"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3.00E-02</w:t>
            </w:r>
          </w:p>
        </w:tc>
        <w:tc>
          <w:tcPr>
            <w:tcW w:w="728"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w:t>
            </w:r>
          </w:p>
        </w:tc>
        <w:tc>
          <w:tcPr>
            <w:tcW w:w="754"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5.00E-01</w:t>
            </w:r>
          </w:p>
        </w:tc>
        <w:tc>
          <w:tcPr>
            <w:tcW w:w="764"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5.00E-01</w:t>
            </w:r>
          </w:p>
        </w:tc>
        <w:tc>
          <w:tcPr>
            <w:tcW w:w="714" w:type="pct"/>
            <w:vAlign w:val="center"/>
          </w:tcPr>
          <w:p>
            <w:pPr>
              <w:spacing w:line="240" w:lineRule="auto"/>
              <w:ind w:firstLine="0" w:firstLineChars="0"/>
              <w:jc w:val="center"/>
              <w:rPr>
                <w:rFonts w:cs="Times New Roman"/>
                <w:sz w:val="21"/>
                <w:szCs w:val="21"/>
                <w:highlight w:val="none"/>
              </w:rPr>
            </w:pPr>
            <w:r>
              <w:rPr>
                <w:rFonts w:cs="Times New Roman"/>
                <w:sz w:val="21"/>
                <w:szCs w:val="21"/>
                <w:highlight w:val="none"/>
              </w:rPr>
              <w:t>1.00E-01</w:t>
            </w:r>
          </w:p>
        </w:tc>
      </w:tr>
    </w:tbl>
    <w:p>
      <w:pPr>
        <w:ind w:firstLine="0" w:firstLineChars="0"/>
        <w:rPr>
          <w:rFonts w:cs="Times New Roman"/>
          <w:sz w:val="24"/>
          <w:szCs w:val="21"/>
          <w:highlight w:val="none"/>
        </w:rPr>
      </w:pPr>
      <w:r>
        <w:rPr>
          <w:rFonts w:cs="Times New Roman"/>
          <w:sz w:val="24"/>
          <w:szCs w:val="21"/>
          <w:highlight w:val="none"/>
        </w:rPr>
        <w:t>*注：“/”表示无该参数。</w:t>
      </w:r>
    </w:p>
    <w:bookmarkEnd w:id="12"/>
    <w:bookmarkEnd w:id="15"/>
    <w:bookmarkEnd w:id="17"/>
    <w:bookmarkEnd w:id="18"/>
    <w:p>
      <w:pPr>
        <w:pStyle w:val="3"/>
        <w:rPr>
          <w:rFonts w:cs="Times New Roman"/>
          <w:highlight w:val="none"/>
        </w:rPr>
      </w:pPr>
      <w:r>
        <w:rPr>
          <w:rFonts w:cs="Times New Roman"/>
          <w:highlight w:val="none"/>
        </w:rPr>
        <w:t>四、风险评估模型</w:t>
      </w:r>
    </w:p>
    <w:p>
      <w:pPr>
        <w:ind w:firstLine="560"/>
        <w:rPr>
          <w:rFonts w:cs="Times New Roman"/>
          <w:highlight w:val="none"/>
        </w:rPr>
      </w:pPr>
      <w:r>
        <w:rPr>
          <w:rFonts w:cs="Times New Roman"/>
          <w:highlight w:val="none"/>
        </w:rPr>
        <w:t>按照《建设用地土壤污染风险评估技术导则》（HJ 25.3）推荐的模型。</w:t>
      </w:r>
    </w:p>
    <w:p>
      <w:pPr>
        <w:ind w:firstLine="560"/>
        <w:rPr>
          <w:rFonts w:cs="Times New Roman"/>
          <w:highlight w:val="none"/>
        </w:rPr>
      </w:pPr>
      <w:bookmarkStart w:id="19" w:name="_Hlk39520653"/>
      <w:r>
        <w:rPr>
          <w:rFonts w:cs="Times New Roman"/>
          <w:highlight w:val="none"/>
        </w:rPr>
        <w:t>在我国建设用地土壤铅污染风险评估技术导则发布前，可参考和使用美国EPA的IEUBK（计算儿童血铅浓度）模型和ALM（计算成人血铅浓度）模型开展土壤铅污染健康风险评估，我国导则发布后则采用国内导则。</w:t>
      </w:r>
    </w:p>
    <w:bookmarkEnd w:id="19"/>
    <w:p>
      <w:pPr>
        <w:pStyle w:val="3"/>
        <w:rPr>
          <w:rFonts w:cs="Times New Roman"/>
          <w:highlight w:val="none"/>
        </w:rPr>
      </w:pPr>
      <w:r>
        <w:rPr>
          <w:rFonts w:cs="Times New Roman"/>
          <w:highlight w:val="none"/>
        </w:rPr>
        <w:t>五、风险表征</w:t>
      </w:r>
    </w:p>
    <w:p>
      <w:pPr>
        <w:ind w:firstLine="560"/>
        <w:rPr>
          <w:rFonts w:cs="Times New Roman"/>
          <w:highlight w:val="none"/>
        </w:rPr>
      </w:pPr>
      <w:r>
        <w:rPr>
          <w:rFonts w:cs="Times New Roman"/>
          <w:highlight w:val="none"/>
        </w:rPr>
        <w:t>风险表征应根据每个采样点样品中关注污染物的检测数据，选择表层和下层土壤或地下水中检测数据的最大值计算污染物的致癌风险和危害商。</w:t>
      </w:r>
    </w:p>
    <w:p>
      <w:pPr>
        <w:ind w:firstLine="560"/>
        <w:rPr>
          <w:rFonts w:cs="Times New Roman"/>
          <w:highlight w:val="none"/>
        </w:rPr>
      </w:pPr>
      <w:r>
        <w:rPr>
          <w:rFonts w:cs="Times New Roman"/>
          <w:highlight w:val="none"/>
        </w:rPr>
        <w:t>计算得到的土壤/地下水中单一污染物的致癌风险超过10</w:t>
      </w:r>
      <w:r>
        <w:rPr>
          <w:rFonts w:cs="Times New Roman"/>
          <w:highlight w:val="none"/>
          <w:vertAlign w:val="superscript"/>
        </w:rPr>
        <w:t>-6</w:t>
      </w:r>
      <w:r>
        <w:rPr>
          <w:rFonts w:cs="Times New Roman"/>
          <w:highlight w:val="none"/>
        </w:rPr>
        <w:t>或非致癌危害商值超过1的</w:t>
      </w:r>
      <w:r>
        <w:rPr>
          <w:rFonts w:hint="eastAsia" w:cs="Times New Roman"/>
          <w:highlight w:val="none"/>
        </w:rPr>
        <w:t>采样点</w:t>
      </w:r>
      <w:r>
        <w:rPr>
          <w:rFonts w:cs="Times New Roman"/>
          <w:highlight w:val="none"/>
        </w:rPr>
        <w:t>，</w:t>
      </w:r>
      <w:r>
        <w:rPr>
          <w:rFonts w:hint="eastAsia" w:cs="Times New Roman"/>
          <w:highlight w:val="none"/>
        </w:rPr>
        <w:t>其代表的地块区域应划定为不可接受的污染区域</w:t>
      </w:r>
      <w:r>
        <w:rPr>
          <w:rFonts w:cs="Times New Roman"/>
          <w:highlight w:val="none"/>
        </w:rPr>
        <w:t>。</w:t>
      </w:r>
    </w:p>
    <w:p>
      <w:pPr>
        <w:pStyle w:val="3"/>
        <w:rPr>
          <w:rFonts w:cs="Times New Roman"/>
          <w:highlight w:val="none"/>
        </w:rPr>
      </w:pPr>
      <w:r>
        <w:rPr>
          <w:rFonts w:cs="Times New Roman"/>
          <w:highlight w:val="none"/>
        </w:rPr>
        <w:t>六、风险控制值</w:t>
      </w:r>
    </w:p>
    <w:p>
      <w:pPr>
        <w:ind w:firstLine="560"/>
        <w:rPr>
          <w:rFonts w:eastAsia="黑体" w:cs="Times New Roman"/>
          <w:sz w:val="22"/>
          <w:szCs w:val="21"/>
          <w:highlight w:val="none"/>
        </w:rPr>
      </w:pPr>
      <w:r>
        <w:rPr>
          <w:rFonts w:cs="Times New Roman"/>
          <w:highlight w:val="none"/>
        </w:rPr>
        <w:t>对于致癌风险超过10</w:t>
      </w:r>
      <w:r>
        <w:rPr>
          <w:rFonts w:cs="Times New Roman"/>
          <w:highlight w:val="none"/>
          <w:vertAlign w:val="superscript"/>
        </w:rPr>
        <w:t>-6</w:t>
      </w:r>
      <w:r>
        <w:rPr>
          <w:rFonts w:cs="Times New Roman"/>
          <w:highlight w:val="none"/>
        </w:rPr>
        <w:t>或危害商超过1的关注污染物需按照表2-6的要求计算风险控制值。土壤和地下水风险控制值是确定污染地块土壤和地下水修复目标值的主要参考值。</w:t>
      </w:r>
    </w:p>
    <w:p>
      <w:pPr>
        <w:ind w:firstLine="182" w:firstLineChars="83"/>
        <w:jc w:val="center"/>
        <w:rPr>
          <w:rFonts w:eastAsia="黑体" w:cs="Times New Roman"/>
          <w:sz w:val="22"/>
          <w:szCs w:val="21"/>
          <w:highlight w:val="none"/>
        </w:rPr>
      </w:pPr>
      <w:r>
        <w:rPr>
          <w:rFonts w:eastAsia="黑体" w:cs="Times New Roman"/>
          <w:sz w:val="22"/>
          <w:szCs w:val="21"/>
          <w:highlight w:val="none"/>
        </w:rPr>
        <w:t>表2-6 风险控制值的计算</w:t>
      </w:r>
    </w:p>
    <w:tbl>
      <w:tblPr>
        <w:tblStyle w:val="14"/>
        <w:tblW w:w="8374"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859"/>
        <w:gridCol w:w="1276"/>
        <w:gridCol w:w="4239"/>
        <w:gridCol w:w="200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exact"/>
          <w:jc w:val="center"/>
        </w:trPr>
        <w:tc>
          <w:tcPr>
            <w:tcW w:w="859" w:type="dxa"/>
            <w:vAlign w:val="center"/>
          </w:tcPr>
          <w:p>
            <w:pPr>
              <w:pStyle w:val="31"/>
              <w:ind w:right="104"/>
              <w:rPr>
                <w:rFonts w:ascii="Times New Roman" w:hAnsi="Times New Roman" w:eastAsia="黑体" w:cs="Times New Roman"/>
                <w:kern w:val="2"/>
                <w:szCs w:val="21"/>
                <w:highlight w:val="none"/>
                <w:lang w:eastAsia="zh-CN"/>
              </w:rPr>
            </w:pPr>
            <w:r>
              <w:rPr>
                <w:rFonts w:ascii="Times New Roman" w:hAnsi="Times New Roman" w:eastAsia="黑体" w:cs="Times New Roman"/>
                <w:kern w:val="2"/>
                <w:szCs w:val="21"/>
                <w:highlight w:val="none"/>
                <w:lang w:eastAsia="zh-CN"/>
              </w:rPr>
              <w:t>序号</w:t>
            </w:r>
          </w:p>
        </w:tc>
        <w:tc>
          <w:tcPr>
            <w:tcW w:w="1276" w:type="dxa"/>
            <w:vAlign w:val="center"/>
          </w:tcPr>
          <w:p>
            <w:pPr>
              <w:pStyle w:val="31"/>
              <w:ind w:right="116"/>
              <w:jc w:val="center"/>
              <w:rPr>
                <w:rFonts w:ascii="Times New Roman" w:hAnsi="Times New Roman" w:eastAsia="黑体" w:cs="Times New Roman"/>
                <w:kern w:val="2"/>
                <w:szCs w:val="21"/>
                <w:highlight w:val="none"/>
                <w:lang w:eastAsia="zh-CN"/>
              </w:rPr>
            </w:pPr>
            <w:r>
              <w:rPr>
                <w:rFonts w:ascii="Times New Roman" w:hAnsi="Times New Roman" w:eastAsia="黑体" w:cs="Times New Roman"/>
                <w:kern w:val="2"/>
                <w:szCs w:val="21"/>
                <w:highlight w:val="none"/>
                <w:lang w:eastAsia="zh-CN"/>
              </w:rPr>
              <w:t>类型</w:t>
            </w:r>
          </w:p>
        </w:tc>
        <w:tc>
          <w:tcPr>
            <w:tcW w:w="4239" w:type="dxa"/>
            <w:vAlign w:val="bottom"/>
          </w:tcPr>
          <w:p>
            <w:pPr>
              <w:pStyle w:val="31"/>
              <w:ind w:right="1690"/>
              <w:jc w:val="center"/>
              <w:rPr>
                <w:rFonts w:ascii="Times New Roman" w:hAnsi="Times New Roman" w:eastAsia="黑体" w:cs="Times New Roman"/>
                <w:kern w:val="2"/>
                <w:szCs w:val="21"/>
                <w:highlight w:val="none"/>
                <w:lang w:eastAsia="zh-CN"/>
              </w:rPr>
            </w:pPr>
            <w:r>
              <w:rPr>
                <w:rFonts w:ascii="Times New Roman" w:hAnsi="Times New Roman" w:eastAsia="黑体" w:cs="Times New Roman"/>
                <w:kern w:val="2"/>
                <w:szCs w:val="21"/>
                <w:highlight w:val="none"/>
                <w:lang w:eastAsia="zh-CN"/>
              </w:rPr>
              <w:t xml:space="preserve">            计算内容</w:t>
            </w:r>
          </w:p>
          <w:p>
            <w:pPr>
              <w:pStyle w:val="31"/>
              <w:ind w:right="1690"/>
              <w:jc w:val="center"/>
              <w:rPr>
                <w:rFonts w:ascii="Times New Roman" w:hAnsi="Times New Roman" w:eastAsia="黑体" w:cs="Times New Roman"/>
                <w:kern w:val="2"/>
                <w:szCs w:val="21"/>
                <w:highlight w:val="none"/>
                <w:lang w:eastAsia="zh-CN"/>
              </w:rPr>
            </w:pPr>
          </w:p>
        </w:tc>
        <w:tc>
          <w:tcPr>
            <w:tcW w:w="2000" w:type="dxa"/>
            <w:vAlign w:val="center"/>
          </w:tcPr>
          <w:p>
            <w:pPr>
              <w:pStyle w:val="31"/>
              <w:jc w:val="center"/>
              <w:rPr>
                <w:rFonts w:ascii="Times New Roman" w:hAnsi="Times New Roman" w:eastAsia="黑体" w:cs="Times New Roman"/>
                <w:kern w:val="2"/>
                <w:szCs w:val="21"/>
                <w:highlight w:val="none"/>
                <w:lang w:eastAsia="zh-CN"/>
              </w:rPr>
            </w:pPr>
            <w:r>
              <w:rPr>
                <w:rFonts w:ascii="Times New Roman" w:hAnsi="Times New Roman" w:eastAsia="黑体" w:cs="Times New Roman"/>
                <w:kern w:val="2"/>
                <w:szCs w:val="21"/>
                <w:highlight w:val="none"/>
                <w:lang w:eastAsia="zh-CN"/>
              </w:rPr>
              <w:t>取值方法</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exact"/>
          <w:jc w:val="center"/>
        </w:trPr>
        <w:tc>
          <w:tcPr>
            <w:tcW w:w="859" w:type="dxa"/>
          </w:tcPr>
          <w:p>
            <w:pPr>
              <w:pStyle w:val="31"/>
              <w:spacing w:before="18"/>
              <w:ind w:right="1"/>
              <w:jc w:val="center"/>
              <w:rPr>
                <w:rFonts w:ascii="Times New Roman" w:hAnsi="Times New Roman" w:cs="Times New Roman"/>
                <w:sz w:val="21"/>
                <w:szCs w:val="21"/>
                <w:highlight w:val="none"/>
              </w:rPr>
            </w:pPr>
            <w:r>
              <w:rPr>
                <w:rFonts w:ascii="Times New Roman" w:hAnsi="Times New Roman" w:cs="Times New Roman"/>
                <w:sz w:val="21"/>
                <w:szCs w:val="21"/>
                <w:highlight w:val="none"/>
              </w:rPr>
              <w:t>1</w:t>
            </w:r>
          </w:p>
        </w:tc>
        <w:tc>
          <w:tcPr>
            <w:tcW w:w="1276" w:type="dxa"/>
            <w:vMerge w:val="restart"/>
          </w:tcPr>
          <w:p>
            <w:pPr>
              <w:pStyle w:val="31"/>
              <w:spacing w:before="158"/>
              <w:ind w:right="116"/>
              <w:jc w:val="center"/>
              <w:rPr>
                <w:rFonts w:ascii="Times New Roman" w:hAnsi="Times New Roman" w:cs="Times New Roman"/>
                <w:sz w:val="21"/>
                <w:szCs w:val="21"/>
                <w:highlight w:val="none"/>
              </w:rPr>
            </w:pPr>
            <w:r>
              <w:rPr>
                <w:rFonts w:ascii="Times New Roman" w:hAnsi="Times New Roman" w:cs="Times New Roman"/>
                <w:sz w:val="21"/>
                <w:szCs w:val="21"/>
                <w:highlight w:val="none"/>
              </w:rPr>
              <w:t>土壤风险控制值</w:t>
            </w:r>
          </w:p>
        </w:tc>
        <w:tc>
          <w:tcPr>
            <w:tcW w:w="4239" w:type="dxa"/>
            <w:vAlign w:val="center"/>
          </w:tcPr>
          <w:p>
            <w:pPr>
              <w:pStyle w:val="31"/>
              <w:jc w:val="center"/>
              <w:rPr>
                <w:rFonts w:ascii="Times New Roman" w:hAnsi="Times New Roman" w:cs="Times New Roman"/>
                <w:sz w:val="21"/>
                <w:szCs w:val="21"/>
                <w:highlight w:val="none"/>
                <w:lang w:eastAsia="zh-CN"/>
              </w:rPr>
            </w:pPr>
            <w:r>
              <w:rPr>
                <w:rFonts w:ascii="Times New Roman" w:hAnsi="Times New Roman" w:cs="Times New Roman"/>
                <w:sz w:val="21"/>
                <w:szCs w:val="21"/>
                <w:highlight w:val="none"/>
                <w:lang w:eastAsia="zh-CN"/>
              </w:rPr>
              <w:t>基于致癌效应的土壤风险控制值</w:t>
            </w:r>
          </w:p>
        </w:tc>
        <w:tc>
          <w:tcPr>
            <w:tcW w:w="2000" w:type="dxa"/>
            <w:vMerge w:val="restart"/>
          </w:tcPr>
          <w:p>
            <w:pPr>
              <w:pStyle w:val="31"/>
              <w:spacing w:before="158"/>
              <w:jc w:val="center"/>
              <w:rPr>
                <w:rFonts w:ascii="Times New Roman" w:hAnsi="Times New Roman" w:cs="Times New Roman"/>
                <w:sz w:val="21"/>
                <w:szCs w:val="21"/>
                <w:highlight w:val="none"/>
                <w:lang w:eastAsia="zh-CN"/>
              </w:rPr>
            </w:pPr>
            <w:r>
              <w:rPr>
                <w:rFonts w:ascii="Times New Roman" w:hAnsi="Times New Roman" w:cs="Times New Roman"/>
                <w:sz w:val="21"/>
                <w:szCs w:val="21"/>
                <w:highlight w:val="none"/>
                <w:lang w:eastAsia="zh-CN"/>
              </w:rPr>
              <w:t>取最小值作为土壤风险控制值</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exact"/>
          <w:jc w:val="center"/>
        </w:trPr>
        <w:tc>
          <w:tcPr>
            <w:tcW w:w="859" w:type="dxa"/>
          </w:tcPr>
          <w:p>
            <w:pPr>
              <w:pStyle w:val="31"/>
              <w:spacing w:before="17"/>
              <w:ind w:right="1"/>
              <w:jc w:val="center"/>
              <w:rPr>
                <w:rFonts w:ascii="Times New Roman" w:hAnsi="Times New Roman" w:cs="Times New Roman"/>
                <w:sz w:val="21"/>
                <w:szCs w:val="21"/>
                <w:highlight w:val="none"/>
              </w:rPr>
            </w:pPr>
            <w:r>
              <w:rPr>
                <w:rFonts w:ascii="Times New Roman" w:hAnsi="Times New Roman" w:cs="Times New Roman"/>
                <w:sz w:val="21"/>
                <w:szCs w:val="21"/>
                <w:highlight w:val="none"/>
              </w:rPr>
              <w:t>2</w:t>
            </w:r>
          </w:p>
        </w:tc>
        <w:tc>
          <w:tcPr>
            <w:tcW w:w="1276" w:type="dxa"/>
            <w:vMerge w:val="continue"/>
          </w:tcPr>
          <w:p>
            <w:pPr>
              <w:spacing w:line="240" w:lineRule="auto"/>
              <w:ind w:firstLine="420"/>
              <w:jc w:val="center"/>
              <w:rPr>
                <w:rFonts w:cs="Times New Roman"/>
                <w:sz w:val="21"/>
                <w:szCs w:val="21"/>
                <w:highlight w:val="none"/>
              </w:rPr>
            </w:pPr>
          </w:p>
        </w:tc>
        <w:tc>
          <w:tcPr>
            <w:tcW w:w="4239" w:type="dxa"/>
            <w:vAlign w:val="center"/>
          </w:tcPr>
          <w:p>
            <w:pPr>
              <w:pStyle w:val="31"/>
              <w:jc w:val="center"/>
              <w:rPr>
                <w:rFonts w:ascii="Times New Roman" w:hAnsi="Times New Roman" w:cs="Times New Roman"/>
                <w:sz w:val="21"/>
                <w:szCs w:val="21"/>
                <w:highlight w:val="none"/>
                <w:lang w:eastAsia="zh-CN"/>
              </w:rPr>
            </w:pPr>
            <w:r>
              <w:rPr>
                <w:rFonts w:ascii="Times New Roman" w:hAnsi="Times New Roman" w:cs="Times New Roman"/>
                <w:sz w:val="21"/>
                <w:szCs w:val="21"/>
                <w:highlight w:val="none"/>
                <w:lang w:eastAsia="zh-CN"/>
              </w:rPr>
              <w:t>基于非致癌效应的土壤风险控制值</w:t>
            </w:r>
          </w:p>
        </w:tc>
        <w:tc>
          <w:tcPr>
            <w:tcW w:w="2000" w:type="dxa"/>
            <w:vMerge w:val="continue"/>
          </w:tcPr>
          <w:p>
            <w:pPr>
              <w:spacing w:line="240" w:lineRule="auto"/>
              <w:ind w:firstLine="420"/>
              <w:jc w:val="center"/>
              <w:rPr>
                <w:rFonts w:cs="Times New Roman"/>
                <w:sz w:val="21"/>
                <w:szCs w:val="21"/>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exact"/>
          <w:jc w:val="center"/>
        </w:trPr>
        <w:tc>
          <w:tcPr>
            <w:tcW w:w="859" w:type="dxa"/>
          </w:tcPr>
          <w:p>
            <w:pPr>
              <w:pStyle w:val="31"/>
              <w:spacing w:before="17"/>
              <w:ind w:right="1"/>
              <w:jc w:val="center"/>
              <w:rPr>
                <w:rFonts w:ascii="Times New Roman" w:hAnsi="Times New Roman" w:cs="Times New Roman"/>
                <w:sz w:val="21"/>
                <w:szCs w:val="21"/>
                <w:highlight w:val="none"/>
              </w:rPr>
            </w:pPr>
            <w:r>
              <w:rPr>
                <w:rFonts w:ascii="Times New Roman" w:hAnsi="Times New Roman" w:cs="Times New Roman"/>
                <w:sz w:val="21"/>
                <w:szCs w:val="21"/>
                <w:highlight w:val="none"/>
              </w:rPr>
              <w:t>3</w:t>
            </w:r>
          </w:p>
        </w:tc>
        <w:tc>
          <w:tcPr>
            <w:tcW w:w="1276" w:type="dxa"/>
            <w:vMerge w:val="continue"/>
          </w:tcPr>
          <w:p>
            <w:pPr>
              <w:spacing w:line="240" w:lineRule="auto"/>
              <w:ind w:firstLine="420"/>
              <w:jc w:val="center"/>
              <w:rPr>
                <w:rFonts w:cs="Times New Roman"/>
                <w:sz w:val="21"/>
                <w:szCs w:val="21"/>
                <w:highlight w:val="none"/>
              </w:rPr>
            </w:pPr>
          </w:p>
        </w:tc>
        <w:tc>
          <w:tcPr>
            <w:tcW w:w="4239" w:type="dxa"/>
            <w:vAlign w:val="center"/>
          </w:tcPr>
          <w:p>
            <w:pPr>
              <w:pStyle w:val="31"/>
              <w:jc w:val="center"/>
              <w:rPr>
                <w:rFonts w:ascii="Times New Roman" w:hAnsi="Times New Roman" w:cs="Times New Roman"/>
                <w:sz w:val="21"/>
                <w:szCs w:val="21"/>
                <w:highlight w:val="none"/>
                <w:lang w:eastAsia="zh-CN"/>
              </w:rPr>
            </w:pPr>
            <w:r>
              <w:rPr>
                <w:rFonts w:ascii="Times New Roman" w:hAnsi="Times New Roman" w:cs="Times New Roman"/>
                <w:sz w:val="21"/>
                <w:szCs w:val="21"/>
                <w:highlight w:val="none"/>
                <w:lang w:eastAsia="zh-CN"/>
              </w:rPr>
              <w:t>基于保护地下水的土壤风险控制值</w:t>
            </w:r>
          </w:p>
        </w:tc>
        <w:tc>
          <w:tcPr>
            <w:tcW w:w="2000" w:type="dxa"/>
            <w:vMerge w:val="continue"/>
          </w:tcPr>
          <w:p>
            <w:pPr>
              <w:spacing w:line="240" w:lineRule="auto"/>
              <w:ind w:firstLine="420"/>
              <w:jc w:val="center"/>
              <w:rPr>
                <w:rFonts w:cs="Times New Roman"/>
                <w:sz w:val="21"/>
                <w:szCs w:val="21"/>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exact"/>
          <w:jc w:val="center"/>
        </w:trPr>
        <w:tc>
          <w:tcPr>
            <w:tcW w:w="859" w:type="dxa"/>
          </w:tcPr>
          <w:p>
            <w:pPr>
              <w:pStyle w:val="31"/>
              <w:spacing w:before="18"/>
              <w:ind w:right="1"/>
              <w:jc w:val="center"/>
              <w:rPr>
                <w:rFonts w:ascii="Times New Roman" w:hAnsi="Times New Roman" w:cs="Times New Roman"/>
                <w:sz w:val="21"/>
                <w:szCs w:val="21"/>
                <w:highlight w:val="none"/>
              </w:rPr>
            </w:pPr>
            <w:r>
              <w:rPr>
                <w:rFonts w:ascii="Times New Roman" w:hAnsi="Times New Roman" w:cs="Times New Roman"/>
                <w:sz w:val="21"/>
                <w:szCs w:val="21"/>
                <w:highlight w:val="none"/>
              </w:rPr>
              <w:t>4</w:t>
            </w:r>
          </w:p>
        </w:tc>
        <w:tc>
          <w:tcPr>
            <w:tcW w:w="1276" w:type="dxa"/>
            <w:vMerge w:val="restart"/>
            <w:vAlign w:val="center"/>
          </w:tcPr>
          <w:p>
            <w:pPr>
              <w:pStyle w:val="31"/>
              <w:ind w:right="113"/>
              <w:jc w:val="center"/>
              <w:rPr>
                <w:rFonts w:ascii="Times New Roman" w:hAnsi="Times New Roman" w:cs="Times New Roman"/>
                <w:sz w:val="21"/>
                <w:szCs w:val="21"/>
                <w:highlight w:val="none"/>
              </w:rPr>
            </w:pPr>
            <w:r>
              <w:rPr>
                <w:rFonts w:ascii="Times New Roman" w:hAnsi="Times New Roman" w:cs="Times New Roman"/>
                <w:sz w:val="21"/>
                <w:szCs w:val="21"/>
                <w:highlight w:val="none"/>
              </w:rPr>
              <w:t>地下水</w:t>
            </w:r>
          </w:p>
          <w:p>
            <w:pPr>
              <w:pStyle w:val="31"/>
              <w:ind w:right="113"/>
              <w:jc w:val="center"/>
              <w:rPr>
                <w:rFonts w:ascii="Times New Roman" w:hAnsi="Times New Roman" w:cs="Times New Roman"/>
                <w:sz w:val="21"/>
                <w:szCs w:val="21"/>
                <w:highlight w:val="none"/>
              </w:rPr>
            </w:pPr>
            <w:r>
              <w:rPr>
                <w:rFonts w:ascii="Times New Roman" w:hAnsi="Times New Roman" w:cs="Times New Roman"/>
                <w:sz w:val="21"/>
                <w:szCs w:val="21"/>
                <w:highlight w:val="none"/>
              </w:rPr>
              <w:t>风险控值</w:t>
            </w:r>
          </w:p>
        </w:tc>
        <w:tc>
          <w:tcPr>
            <w:tcW w:w="4239" w:type="dxa"/>
            <w:vAlign w:val="center"/>
          </w:tcPr>
          <w:p>
            <w:pPr>
              <w:pStyle w:val="31"/>
              <w:jc w:val="center"/>
              <w:rPr>
                <w:rFonts w:ascii="Times New Roman" w:hAnsi="Times New Roman" w:cs="Times New Roman"/>
                <w:sz w:val="21"/>
                <w:szCs w:val="21"/>
                <w:highlight w:val="none"/>
                <w:lang w:eastAsia="zh-CN"/>
              </w:rPr>
            </w:pPr>
            <w:r>
              <w:rPr>
                <w:rFonts w:ascii="Times New Roman" w:hAnsi="Times New Roman" w:cs="Times New Roman"/>
                <w:sz w:val="21"/>
                <w:szCs w:val="21"/>
                <w:highlight w:val="none"/>
                <w:lang w:eastAsia="zh-CN"/>
              </w:rPr>
              <w:t>基于致癌效应的地下水风险控制值</w:t>
            </w:r>
          </w:p>
        </w:tc>
        <w:tc>
          <w:tcPr>
            <w:tcW w:w="2000" w:type="dxa"/>
            <w:vMerge w:val="restart"/>
          </w:tcPr>
          <w:p>
            <w:pPr>
              <w:pStyle w:val="31"/>
              <w:spacing w:before="158"/>
              <w:jc w:val="center"/>
              <w:rPr>
                <w:rFonts w:ascii="Times New Roman" w:hAnsi="Times New Roman" w:cs="Times New Roman"/>
                <w:sz w:val="21"/>
                <w:szCs w:val="21"/>
                <w:highlight w:val="none"/>
                <w:lang w:eastAsia="zh-CN"/>
              </w:rPr>
            </w:pPr>
            <w:r>
              <w:rPr>
                <w:rFonts w:ascii="Times New Roman" w:hAnsi="Times New Roman" w:cs="Times New Roman"/>
                <w:sz w:val="21"/>
                <w:szCs w:val="21"/>
                <w:highlight w:val="none"/>
                <w:lang w:eastAsia="zh-CN"/>
              </w:rPr>
              <w:t>取最小值作为地下水风险控制值</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exact"/>
          <w:jc w:val="center"/>
        </w:trPr>
        <w:tc>
          <w:tcPr>
            <w:tcW w:w="859" w:type="dxa"/>
          </w:tcPr>
          <w:p>
            <w:pPr>
              <w:pStyle w:val="31"/>
              <w:spacing w:before="17"/>
              <w:ind w:right="1"/>
              <w:jc w:val="center"/>
              <w:rPr>
                <w:rFonts w:ascii="Times New Roman" w:hAnsi="Times New Roman" w:cs="Times New Roman"/>
                <w:sz w:val="21"/>
                <w:szCs w:val="21"/>
                <w:highlight w:val="none"/>
              </w:rPr>
            </w:pPr>
            <w:r>
              <w:rPr>
                <w:rFonts w:ascii="Times New Roman" w:hAnsi="Times New Roman" w:cs="Times New Roman"/>
                <w:sz w:val="21"/>
                <w:szCs w:val="21"/>
                <w:highlight w:val="none"/>
              </w:rPr>
              <w:t>5</w:t>
            </w:r>
          </w:p>
        </w:tc>
        <w:tc>
          <w:tcPr>
            <w:tcW w:w="1276" w:type="dxa"/>
            <w:vMerge w:val="continue"/>
          </w:tcPr>
          <w:p>
            <w:pPr>
              <w:spacing w:line="240" w:lineRule="auto"/>
              <w:ind w:firstLine="420"/>
              <w:jc w:val="center"/>
              <w:rPr>
                <w:rFonts w:cs="Times New Roman"/>
                <w:sz w:val="21"/>
                <w:szCs w:val="21"/>
                <w:highlight w:val="none"/>
              </w:rPr>
            </w:pPr>
          </w:p>
        </w:tc>
        <w:tc>
          <w:tcPr>
            <w:tcW w:w="4239" w:type="dxa"/>
            <w:vAlign w:val="center"/>
          </w:tcPr>
          <w:p>
            <w:pPr>
              <w:pStyle w:val="31"/>
              <w:jc w:val="center"/>
              <w:rPr>
                <w:rFonts w:ascii="Times New Roman" w:hAnsi="Times New Roman" w:cs="Times New Roman"/>
                <w:sz w:val="21"/>
                <w:szCs w:val="21"/>
                <w:highlight w:val="none"/>
                <w:lang w:eastAsia="zh-CN"/>
              </w:rPr>
            </w:pPr>
            <w:r>
              <w:rPr>
                <w:rFonts w:ascii="Times New Roman" w:hAnsi="Times New Roman" w:cs="Times New Roman"/>
                <w:sz w:val="21"/>
                <w:szCs w:val="21"/>
                <w:highlight w:val="none"/>
                <w:lang w:eastAsia="zh-CN"/>
              </w:rPr>
              <w:t>基于非致癌效应的地下水风险控制值</w:t>
            </w:r>
          </w:p>
        </w:tc>
        <w:tc>
          <w:tcPr>
            <w:tcW w:w="2000" w:type="dxa"/>
            <w:vMerge w:val="continue"/>
          </w:tcPr>
          <w:p>
            <w:pPr>
              <w:spacing w:line="240" w:lineRule="auto"/>
              <w:ind w:firstLine="420"/>
              <w:jc w:val="center"/>
              <w:rPr>
                <w:rFonts w:cs="Times New Roman"/>
                <w:sz w:val="21"/>
                <w:szCs w:val="21"/>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exact"/>
          <w:jc w:val="center"/>
        </w:trPr>
        <w:tc>
          <w:tcPr>
            <w:tcW w:w="859" w:type="dxa"/>
          </w:tcPr>
          <w:p>
            <w:pPr>
              <w:pStyle w:val="31"/>
              <w:spacing w:before="17"/>
              <w:ind w:right="1"/>
              <w:jc w:val="center"/>
              <w:rPr>
                <w:rFonts w:ascii="Times New Roman" w:hAnsi="Times New Roman" w:cs="Times New Roman"/>
                <w:sz w:val="21"/>
                <w:szCs w:val="21"/>
                <w:highlight w:val="none"/>
              </w:rPr>
            </w:pPr>
            <w:r>
              <w:rPr>
                <w:rFonts w:ascii="Times New Roman" w:hAnsi="Times New Roman" w:cs="Times New Roman"/>
                <w:sz w:val="21"/>
                <w:szCs w:val="21"/>
                <w:highlight w:val="none"/>
              </w:rPr>
              <w:t>6</w:t>
            </w:r>
          </w:p>
        </w:tc>
        <w:tc>
          <w:tcPr>
            <w:tcW w:w="1276" w:type="dxa"/>
            <w:vMerge w:val="continue"/>
          </w:tcPr>
          <w:p>
            <w:pPr>
              <w:spacing w:line="240" w:lineRule="auto"/>
              <w:ind w:firstLine="420"/>
              <w:jc w:val="center"/>
              <w:rPr>
                <w:rFonts w:cs="Times New Roman"/>
                <w:sz w:val="21"/>
                <w:szCs w:val="21"/>
                <w:highlight w:val="none"/>
              </w:rPr>
            </w:pPr>
          </w:p>
        </w:tc>
        <w:tc>
          <w:tcPr>
            <w:tcW w:w="4239" w:type="dxa"/>
            <w:vAlign w:val="center"/>
          </w:tcPr>
          <w:p>
            <w:pPr>
              <w:pStyle w:val="31"/>
              <w:jc w:val="center"/>
              <w:rPr>
                <w:rFonts w:ascii="Times New Roman" w:hAnsi="Times New Roman" w:cs="Times New Roman"/>
                <w:sz w:val="21"/>
                <w:szCs w:val="21"/>
                <w:highlight w:val="none"/>
                <w:lang w:eastAsia="zh-CN"/>
              </w:rPr>
            </w:pPr>
            <w:r>
              <w:rPr>
                <w:rFonts w:ascii="Times New Roman" w:hAnsi="Times New Roman" w:cs="Times New Roman"/>
                <w:sz w:val="21"/>
                <w:szCs w:val="21"/>
                <w:highlight w:val="none"/>
                <w:lang w:eastAsia="zh-CN"/>
              </w:rPr>
              <w:t>基于保护周边水体的地下水风险控制值</w:t>
            </w:r>
          </w:p>
        </w:tc>
        <w:tc>
          <w:tcPr>
            <w:tcW w:w="2000" w:type="dxa"/>
            <w:vMerge w:val="continue"/>
          </w:tcPr>
          <w:p>
            <w:pPr>
              <w:spacing w:line="240" w:lineRule="auto"/>
              <w:ind w:firstLine="420"/>
              <w:jc w:val="center"/>
              <w:rPr>
                <w:rFonts w:cs="Times New Roman"/>
                <w:sz w:val="21"/>
                <w:szCs w:val="21"/>
                <w:highlight w:val="none"/>
              </w:rPr>
            </w:pPr>
          </w:p>
        </w:tc>
      </w:tr>
    </w:tbl>
    <w:p>
      <w:pPr>
        <w:ind w:firstLine="560"/>
        <w:jc w:val="left"/>
        <w:rPr>
          <w:rFonts w:cs="Times New Roman"/>
          <w:highlight w:val="none"/>
        </w:rPr>
      </w:pPr>
    </w:p>
    <w:p>
      <w:pPr>
        <w:ind w:firstLine="560"/>
        <w:jc w:val="left"/>
        <w:rPr>
          <w:rFonts w:cs="Times New Roman"/>
          <w:highlight w:val="none"/>
        </w:rPr>
      </w:pPr>
      <w:bookmarkStart w:id="20" w:name="_Hlk42778210"/>
      <w:bookmarkStart w:id="21" w:name="_Hlk43022471"/>
      <w:bookmarkStart w:id="22" w:name="_Hlk42853405"/>
      <w:r>
        <w:rPr>
          <w:rFonts w:cs="Times New Roman"/>
          <w:highlight w:val="none"/>
        </w:rPr>
        <w:t>1、检出污染物在饮用水相关标准内</w:t>
      </w:r>
      <w:bookmarkEnd w:id="20"/>
    </w:p>
    <w:p>
      <w:pPr>
        <w:ind w:firstLine="560"/>
        <w:jc w:val="left"/>
        <w:rPr>
          <w:rFonts w:cs="Times New Roman"/>
          <w:highlight w:val="none"/>
        </w:rPr>
      </w:pPr>
      <w:r>
        <w:rPr>
          <w:rFonts w:cs="Times New Roman"/>
          <w:highlight w:val="none"/>
        </w:rPr>
        <w:t>若污染地块地下水涉及地下水饮用水源（在用、备用、应急、规划水源）补给径流区和保护区，地下水可不开展地下水污染健康风险评估工作，而应基于《地下水质量标准》（GB/T 14848）中的</w:t>
      </w:r>
      <w:r>
        <w:rPr>
          <w:rFonts w:eastAsia="宋体" w:cs="Times New Roman"/>
          <w:highlight w:val="none"/>
        </w:rPr>
        <w:t>Ⅲ</w:t>
      </w:r>
      <w:r>
        <w:rPr>
          <w:rFonts w:cs="Times New Roman"/>
          <w:highlight w:val="none"/>
        </w:rPr>
        <w:t>类标准、《生活饮用水卫生标准》（GB 5749）等标准值</w:t>
      </w:r>
      <w:r>
        <w:rPr>
          <w:rFonts w:hint="eastAsia" w:cs="Times New Roman"/>
          <w:highlight w:val="none"/>
        </w:rPr>
        <w:t>作为风险控制值</w:t>
      </w:r>
      <w:r>
        <w:rPr>
          <w:rFonts w:cs="Times New Roman"/>
          <w:highlight w:val="none"/>
        </w:rPr>
        <w:t>。</w:t>
      </w:r>
    </w:p>
    <w:p>
      <w:pPr>
        <w:ind w:firstLine="560"/>
        <w:jc w:val="left"/>
        <w:rPr>
          <w:rFonts w:cs="Times New Roman"/>
          <w:highlight w:val="none"/>
        </w:rPr>
      </w:pPr>
      <w:r>
        <w:rPr>
          <w:rFonts w:hint="eastAsia" w:cs="Times New Roman"/>
          <w:highlight w:val="none"/>
        </w:rPr>
        <w:t>若不涉及地下水饮用水源（在用、备用、应急、规划水源）和补给径流区、保护区，当污染物浓度超过《地下水质量标准》（</w:t>
      </w:r>
      <w:r>
        <w:rPr>
          <w:rFonts w:cs="Times New Roman"/>
          <w:highlight w:val="none"/>
        </w:rPr>
        <w:t>GB/T 14848</w:t>
      </w:r>
      <w:r>
        <w:rPr>
          <w:rFonts w:hint="eastAsia" w:cs="Times New Roman"/>
          <w:highlight w:val="none"/>
        </w:rPr>
        <w:t>）Ⅳ类标准等相关标准时，应根据</w:t>
      </w:r>
      <w:r>
        <w:rPr>
          <w:rFonts w:cs="Times New Roman"/>
          <w:highlight w:val="none"/>
        </w:rPr>
        <w:t xml:space="preserve">HJ 25.3 </w:t>
      </w:r>
      <w:r>
        <w:rPr>
          <w:rFonts w:hint="eastAsia" w:cs="Times New Roman"/>
          <w:highlight w:val="none"/>
        </w:rPr>
        <w:t>相关要求计算地下水的风险控制值。当计算得到的风险控制值低于筛选值时，可采用筛选值作为风险控制值。</w:t>
      </w:r>
    </w:p>
    <w:p>
      <w:pPr>
        <w:ind w:firstLine="560"/>
        <w:jc w:val="left"/>
        <w:rPr>
          <w:rFonts w:cs="Times New Roman"/>
          <w:highlight w:val="none"/>
        </w:rPr>
      </w:pPr>
      <w:r>
        <w:rPr>
          <w:rFonts w:cs="Times New Roman"/>
          <w:highlight w:val="none"/>
        </w:rPr>
        <w:t>2、检出污染物不在饮用水相关标准内</w:t>
      </w:r>
    </w:p>
    <w:p>
      <w:pPr>
        <w:ind w:firstLine="560"/>
        <w:jc w:val="left"/>
        <w:rPr>
          <w:rFonts w:cs="Times New Roman"/>
          <w:highlight w:val="none"/>
        </w:rPr>
      </w:pPr>
      <w:r>
        <w:rPr>
          <w:rFonts w:cs="Times New Roman"/>
          <w:highlight w:val="none"/>
        </w:rPr>
        <w:t>标准中未列出的污染物只要检出，</w:t>
      </w:r>
      <w:r>
        <w:rPr>
          <w:rFonts w:hint="eastAsia" w:cs="Times New Roman"/>
          <w:highlight w:val="none"/>
        </w:rPr>
        <w:t>应根据H</w:t>
      </w:r>
      <w:r>
        <w:rPr>
          <w:rFonts w:cs="Times New Roman"/>
          <w:highlight w:val="none"/>
        </w:rPr>
        <w:t>J</w:t>
      </w:r>
      <w:r>
        <w:rPr>
          <w:rFonts w:hint="eastAsia" w:cs="Times New Roman"/>
          <w:highlight w:val="none"/>
        </w:rPr>
        <w:t>25.3相关要求计算地下水的风险控制值</w:t>
      </w:r>
      <w:r>
        <w:rPr>
          <w:rFonts w:cs="Times New Roman"/>
          <w:highlight w:val="none"/>
        </w:rPr>
        <w:t>。</w:t>
      </w:r>
    </w:p>
    <w:bookmarkEnd w:id="21"/>
    <w:bookmarkEnd w:id="22"/>
    <w:p>
      <w:pPr>
        <w:pStyle w:val="3"/>
        <w:rPr>
          <w:rFonts w:cs="Times New Roman"/>
          <w:highlight w:val="none"/>
        </w:rPr>
      </w:pPr>
      <w:r>
        <w:rPr>
          <w:rFonts w:cs="Times New Roman"/>
          <w:highlight w:val="none"/>
        </w:rPr>
        <w:t>七、风险管控和修复目标与范围</w:t>
      </w:r>
    </w:p>
    <w:p>
      <w:pPr>
        <w:ind w:firstLine="562"/>
        <w:rPr>
          <w:rFonts w:cs="Times New Roman"/>
          <w:b/>
          <w:bCs/>
          <w:highlight w:val="none"/>
        </w:rPr>
      </w:pPr>
      <w:r>
        <w:rPr>
          <w:rFonts w:cs="Times New Roman"/>
          <w:b/>
          <w:bCs/>
          <w:highlight w:val="none"/>
        </w:rPr>
        <w:t xml:space="preserve">1. </w:t>
      </w:r>
      <w:r>
        <w:rPr>
          <w:rFonts w:hint="eastAsia" w:cs="Times New Roman"/>
          <w:b/>
          <w:bCs/>
          <w:highlight w:val="none"/>
        </w:rPr>
        <w:t>土壤</w:t>
      </w:r>
      <w:r>
        <w:rPr>
          <w:rFonts w:cs="Times New Roman"/>
          <w:b/>
          <w:bCs/>
          <w:highlight w:val="none"/>
        </w:rPr>
        <w:t>风险管控和修复目标值</w:t>
      </w:r>
    </w:p>
    <w:p>
      <w:pPr>
        <w:ind w:firstLine="560"/>
        <w:rPr>
          <w:rFonts w:cs="Times New Roman"/>
          <w:highlight w:val="none"/>
        </w:rPr>
      </w:pPr>
      <w:r>
        <w:rPr>
          <w:rFonts w:cs="Times New Roman"/>
          <w:highlight w:val="none"/>
        </w:rPr>
        <w:t>原则上</w:t>
      </w:r>
      <w:r>
        <w:rPr>
          <w:rFonts w:hint="eastAsia" w:cs="Times New Roman"/>
          <w:highlight w:val="none"/>
        </w:rPr>
        <w:t>一般</w:t>
      </w:r>
      <w:r>
        <w:rPr>
          <w:rFonts w:cs="Times New Roman"/>
          <w:highlight w:val="none"/>
        </w:rPr>
        <w:t>用风险控制值作为修复目标值，风险控制值低于筛选值的，则采用筛选值作为修复目标值；修复目标值应小于GB 36600风险管制值。</w:t>
      </w:r>
    </w:p>
    <w:p>
      <w:pPr>
        <w:ind w:firstLine="560"/>
        <w:rPr>
          <w:rFonts w:cs="Times New Roman"/>
          <w:highlight w:val="none"/>
        </w:rPr>
      </w:pPr>
      <w:r>
        <w:rPr>
          <w:rFonts w:cs="Times New Roman"/>
          <w:highlight w:val="none"/>
        </w:rPr>
        <w:t>如</w:t>
      </w:r>
      <w:r>
        <w:rPr>
          <w:rFonts w:hint="eastAsia" w:cs="Times New Roman"/>
          <w:highlight w:val="none"/>
        </w:rPr>
        <w:t>地块所在区域</w:t>
      </w:r>
      <w:r>
        <w:rPr>
          <w:rFonts w:cs="Times New Roman"/>
          <w:highlight w:val="none"/>
        </w:rPr>
        <w:t>背景值高于筛选值和风险控制值，则选取背景值作为修复目标值。</w:t>
      </w:r>
    </w:p>
    <w:p>
      <w:pPr>
        <w:ind w:firstLine="562"/>
        <w:rPr>
          <w:rFonts w:ascii="仿宋_GB2312"/>
          <w:b/>
          <w:bCs/>
          <w:highlight w:val="none"/>
        </w:rPr>
      </w:pPr>
      <w:r>
        <w:rPr>
          <w:rFonts w:hint="eastAsia"/>
          <w:b/>
          <w:bCs/>
          <w:highlight w:val="none"/>
        </w:rPr>
        <w:t>2</w:t>
      </w:r>
      <w:r>
        <w:rPr>
          <w:b/>
          <w:bCs/>
          <w:highlight w:val="none"/>
        </w:rPr>
        <w:t xml:space="preserve">. </w:t>
      </w:r>
      <w:r>
        <w:rPr>
          <w:rFonts w:hint="eastAsia" w:ascii="仿宋_GB2312"/>
          <w:b/>
          <w:bCs/>
          <w:highlight w:val="none"/>
        </w:rPr>
        <w:t>地下水风险管控与修复目标值</w:t>
      </w:r>
    </w:p>
    <w:p>
      <w:pPr>
        <w:ind w:firstLine="560"/>
        <w:jc w:val="left"/>
        <w:rPr>
          <w:rFonts w:ascii="仿宋_GB2312"/>
          <w:highlight w:val="none"/>
        </w:rPr>
      </w:pPr>
      <w:r>
        <w:rPr>
          <w:rFonts w:hint="eastAsia" w:ascii="仿宋_GB2312"/>
          <w:highlight w:val="none"/>
        </w:rPr>
        <w:t>参照H</w:t>
      </w:r>
      <w:r>
        <w:rPr>
          <w:rFonts w:ascii="仿宋_GB2312"/>
          <w:highlight w:val="none"/>
        </w:rPr>
        <w:t>J25.6</w:t>
      </w:r>
      <w:r>
        <w:rPr>
          <w:rFonts w:hint="eastAsia" w:ascii="仿宋_GB2312"/>
          <w:highlight w:val="none"/>
        </w:rPr>
        <w:t>污染地块位于地下水型饮用水源保护区及补给区和其他区域确定风险管控与修复目标值。</w:t>
      </w:r>
    </w:p>
    <w:p>
      <w:pPr>
        <w:ind w:firstLine="560"/>
        <w:jc w:val="left"/>
        <w:rPr>
          <w:rFonts w:ascii="仿宋_GB2312"/>
          <w:highlight w:val="none"/>
        </w:rPr>
      </w:pPr>
      <w:r>
        <w:rPr>
          <w:rFonts w:hint="eastAsia" w:ascii="仿宋_GB2312"/>
          <w:highlight w:val="none"/>
        </w:rPr>
        <w:t>当选择相关标准或风险评估计算出的风险值低于地下水中环境背景值，可选择背景值作为修复目标值。</w:t>
      </w:r>
    </w:p>
    <w:p>
      <w:pPr>
        <w:ind w:firstLine="562"/>
        <w:rPr>
          <w:rFonts w:cs="Times New Roman"/>
          <w:b/>
          <w:bCs/>
          <w:highlight w:val="none"/>
        </w:rPr>
      </w:pPr>
      <w:r>
        <w:rPr>
          <w:rFonts w:hint="eastAsia" w:cs="Times New Roman"/>
          <w:b/>
          <w:bCs/>
          <w:highlight w:val="none"/>
        </w:rPr>
        <w:t>3</w:t>
      </w:r>
      <w:r>
        <w:rPr>
          <w:rFonts w:cs="Times New Roman"/>
          <w:b/>
          <w:bCs/>
          <w:highlight w:val="none"/>
        </w:rPr>
        <w:t>. 风险管控、修复范围</w:t>
      </w:r>
    </w:p>
    <w:p>
      <w:pPr>
        <w:ind w:firstLine="560"/>
        <w:rPr>
          <w:rFonts w:cs="Times New Roman"/>
          <w:highlight w:val="none"/>
        </w:rPr>
      </w:pPr>
      <w:bookmarkStart w:id="23" w:name="_Hlk38354869"/>
      <w:r>
        <w:rPr>
          <w:rFonts w:cs="Times New Roman"/>
          <w:highlight w:val="none"/>
        </w:rPr>
        <w:t>风险管控和修复范围可采用无污染点位连线法或污染物浓度插值计算法进行确定，优先采用无污染点位连线法，确需采用插值计算法的，需在加密布点的基础上进行，采用规范的方法和合理的参数并进行详细的说明。</w:t>
      </w:r>
    </w:p>
    <w:p>
      <w:pPr>
        <w:ind w:firstLine="560"/>
        <w:rPr>
          <w:rFonts w:cs="Times New Roman"/>
          <w:highlight w:val="none"/>
        </w:rPr>
      </w:pPr>
      <w:r>
        <w:rPr>
          <w:rFonts w:hint="eastAsia" w:cs="Times New Roman"/>
          <w:highlight w:val="none"/>
        </w:rPr>
        <w:t>若修复范围不能完全反映地块实际情况，可结合监测点位置、生产设施布局、修复施工可行性及污染物的迁移转化规律对修复范围进行截弯取直。如果污染范围在边界附近，且边界无控制点，则以垂直于边界进行范围确定。</w:t>
      </w:r>
    </w:p>
    <w:p>
      <w:pPr>
        <w:ind w:firstLine="560"/>
        <w:rPr>
          <w:rFonts w:cs="Times New Roman"/>
          <w:highlight w:val="none"/>
        </w:rPr>
      </w:pPr>
      <w:r>
        <w:rPr>
          <w:rFonts w:cs="Times New Roman"/>
          <w:highlight w:val="none"/>
        </w:rPr>
        <w:t>修复范围应根据不同深度的污染程度分别划定。确定修复范围图须提供拐点坐标、分层图示，明确分层污染土方量。总体修复范围需在总图上确定。</w:t>
      </w:r>
      <w:bookmarkEnd w:id="23"/>
    </w:p>
    <w:p>
      <w:pPr>
        <w:pStyle w:val="3"/>
        <w:rPr>
          <w:rFonts w:cs="Times New Roman"/>
          <w:highlight w:val="none"/>
        </w:rPr>
      </w:pPr>
      <w:r>
        <w:rPr>
          <w:rFonts w:cs="Times New Roman"/>
          <w:highlight w:val="none"/>
        </w:rPr>
        <w:t>八、结论与建议</w:t>
      </w:r>
    </w:p>
    <w:p>
      <w:pPr>
        <w:ind w:firstLine="560"/>
        <w:rPr>
          <w:rFonts w:cs="Times New Roman"/>
          <w:highlight w:val="none"/>
        </w:rPr>
      </w:pPr>
      <w:r>
        <w:rPr>
          <w:rFonts w:cs="Times New Roman"/>
          <w:highlight w:val="none"/>
        </w:rPr>
        <w:t>1</w:t>
      </w:r>
      <w:r>
        <w:rPr>
          <w:rFonts w:hint="eastAsia" w:cs="Times New Roman"/>
          <w:highlight w:val="none"/>
        </w:rPr>
        <w:t>.</w:t>
      </w:r>
      <w:r>
        <w:rPr>
          <w:rFonts w:cs="Times New Roman"/>
          <w:highlight w:val="none"/>
        </w:rPr>
        <w:t xml:space="preserve"> 风险评估报告结论应明确主要污染物状况、土壤及地下水污染范围、</w:t>
      </w:r>
      <w:r>
        <w:rPr>
          <w:rFonts w:hint="eastAsia" w:cs="Times New Roman"/>
          <w:highlight w:val="none"/>
        </w:rPr>
        <w:t>暴露情景和公众</w:t>
      </w:r>
      <w:r>
        <w:rPr>
          <w:rFonts w:cs="Times New Roman"/>
          <w:highlight w:val="none"/>
        </w:rPr>
        <w:t>健康风险、</w:t>
      </w:r>
      <w:r>
        <w:rPr>
          <w:rFonts w:hint="eastAsia" w:cs="Times New Roman"/>
          <w:highlight w:val="none"/>
        </w:rPr>
        <w:t>风险控制值、</w:t>
      </w:r>
      <w:r>
        <w:rPr>
          <w:rFonts w:cs="Times New Roman"/>
          <w:highlight w:val="none"/>
        </w:rPr>
        <w:t>风险管控和修复目标等，并对存在风险的土壤和地下水提出是否需要实施风险管控、修复</w:t>
      </w:r>
      <w:r>
        <w:rPr>
          <w:rFonts w:hint="eastAsia" w:cs="Times New Roman"/>
          <w:highlight w:val="none"/>
        </w:rPr>
        <w:t>治理</w:t>
      </w:r>
      <w:r>
        <w:rPr>
          <w:rFonts w:cs="Times New Roman"/>
          <w:highlight w:val="none"/>
        </w:rPr>
        <w:t>或环境管理建议。</w:t>
      </w:r>
    </w:p>
    <w:p>
      <w:pPr>
        <w:ind w:firstLine="560"/>
        <w:rPr>
          <w:rFonts w:cs="Times New Roman"/>
          <w:highlight w:val="none"/>
        </w:rPr>
      </w:pPr>
      <w:r>
        <w:rPr>
          <w:rFonts w:cs="Times New Roman"/>
          <w:highlight w:val="none"/>
        </w:rPr>
        <w:t>2</w:t>
      </w:r>
      <w:r>
        <w:rPr>
          <w:rFonts w:hint="eastAsia" w:cs="Times New Roman"/>
          <w:highlight w:val="none"/>
        </w:rPr>
        <w:t>.</w:t>
      </w:r>
      <w:r>
        <w:rPr>
          <w:rFonts w:cs="Times New Roman"/>
          <w:highlight w:val="none"/>
        </w:rPr>
        <w:t xml:space="preserve"> </w:t>
      </w:r>
      <w:r>
        <w:rPr>
          <w:rFonts w:hint="eastAsia" w:cs="Times New Roman"/>
          <w:highlight w:val="none"/>
        </w:rPr>
        <w:t>地下水不作为饮用水或功能目标为Ⅲ类水标准的，调查发现地下水超标但风险可接受的地块，须明确地下水长期环境管理建议。</w:t>
      </w:r>
    </w:p>
    <w:p>
      <w:pPr>
        <w:ind w:firstLine="560"/>
        <w:rPr>
          <w:rFonts w:cs="Times New Roman"/>
          <w:highlight w:val="none"/>
        </w:rPr>
      </w:pPr>
    </w:p>
    <w:p>
      <w:pPr>
        <w:ind w:firstLine="560"/>
        <w:rPr>
          <w:rFonts w:cs="Times New Roman"/>
          <w:highlight w:val="none"/>
        </w:rPr>
        <w:sectPr>
          <w:pgSz w:w="11906" w:h="16838"/>
          <w:pgMar w:top="1797" w:right="1440" w:bottom="1797" w:left="1440" w:header="851" w:footer="992" w:gutter="0"/>
          <w:cols w:space="425" w:num="1"/>
          <w:docGrid w:linePitch="435" w:charSpace="0"/>
        </w:sectPr>
      </w:pPr>
    </w:p>
    <w:p>
      <w:pPr>
        <w:pStyle w:val="2"/>
        <w:spacing w:before="120"/>
        <w:ind w:firstLine="562"/>
        <w:rPr>
          <w:highlight w:val="none"/>
        </w:rPr>
      </w:pPr>
      <w:bookmarkStart w:id="24" w:name="_Hlk38355710"/>
      <w:r>
        <w:rPr>
          <w:highlight w:val="none"/>
        </w:rPr>
        <w:t>第</w:t>
      </w:r>
      <w:r>
        <w:rPr>
          <w:rFonts w:hint="eastAsia"/>
          <w:highlight w:val="none"/>
        </w:rPr>
        <w:t>三</w:t>
      </w:r>
      <w:r>
        <w:rPr>
          <w:highlight w:val="none"/>
        </w:rPr>
        <w:t>章 建设用地</w:t>
      </w:r>
      <w:bookmarkStart w:id="25" w:name="_Hlk42957702"/>
      <w:r>
        <w:rPr>
          <w:highlight w:val="none"/>
        </w:rPr>
        <w:t xml:space="preserve">土壤污染修复（含风险管控）效果评估报告  </w:t>
      </w:r>
      <w:bookmarkEnd w:id="25"/>
      <w:r>
        <w:rPr>
          <w:highlight w:val="none"/>
        </w:rPr>
        <w:t xml:space="preserve">      审查技术要点</w:t>
      </w:r>
    </w:p>
    <w:p>
      <w:pPr>
        <w:ind w:firstLine="560"/>
        <w:rPr>
          <w:rFonts w:cs="Times New Roman"/>
          <w:highlight w:val="none"/>
        </w:rPr>
      </w:pPr>
      <w:r>
        <w:rPr>
          <w:rFonts w:cs="Times New Roman"/>
          <w:highlight w:val="none"/>
        </w:rPr>
        <w:t>修复（含风险管控）效果评估报告申请人提出申请时，应提交以下材料：用于评审的土壤污染修复（含风险管控）效果评估报告，相关检测报告、修复（风险管控）方案，修复（风险管控）设计方案，施工方案，</w:t>
      </w:r>
      <w:r>
        <w:rPr>
          <w:rFonts w:hint="eastAsia" w:cs="Times New Roman"/>
          <w:highlight w:val="none"/>
        </w:rPr>
        <w:t>环境监理总结报告、施工总结报告</w:t>
      </w:r>
      <w:r>
        <w:rPr>
          <w:rFonts w:cs="Times New Roman"/>
          <w:highlight w:val="none"/>
        </w:rPr>
        <w:t>。</w:t>
      </w:r>
    </w:p>
    <w:bookmarkEnd w:id="24"/>
    <w:p>
      <w:pPr>
        <w:pStyle w:val="3"/>
        <w:rPr>
          <w:rFonts w:cs="Times New Roman"/>
          <w:highlight w:val="none"/>
        </w:rPr>
      </w:pPr>
      <w:r>
        <w:rPr>
          <w:rFonts w:cs="Times New Roman"/>
          <w:highlight w:val="none"/>
        </w:rPr>
        <w:t>一、修复效果评估</w:t>
      </w:r>
      <w:r>
        <w:rPr>
          <w:rFonts w:hint="eastAsia" w:cs="Times New Roman"/>
          <w:highlight w:val="none"/>
        </w:rPr>
        <w:t>审查要点</w:t>
      </w:r>
    </w:p>
    <w:p>
      <w:pPr>
        <w:ind w:firstLine="562"/>
        <w:rPr>
          <w:rFonts w:cs="Times New Roman"/>
          <w:b/>
          <w:bCs/>
          <w:highlight w:val="none"/>
        </w:rPr>
      </w:pPr>
      <w:r>
        <w:rPr>
          <w:rFonts w:cs="Times New Roman"/>
          <w:b/>
          <w:bCs/>
          <w:highlight w:val="none"/>
        </w:rPr>
        <w:t>1、效果评估</w:t>
      </w:r>
      <w:r>
        <w:rPr>
          <w:rFonts w:hint="eastAsia" w:cs="Times New Roman"/>
          <w:b/>
          <w:bCs/>
          <w:highlight w:val="none"/>
        </w:rPr>
        <w:t>监测</w:t>
      </w:r>
      <w:r>
        <w:rPr>
          <w:rFonts w:cs="Times New Roman"/>
          <w:b/>
          <w:bCs/>
          <w:highlight w:val="none"/>
        </w:rPr>
        <w:t>程序</w:t>
      </w:r>
    </w:p>
    <w:p>
      <w:pPr>
        <w:ind w:firstLine="560"/>
        <w:rPr>
          <w:rFonts w:cs="Times New Roman"/>
          <w:highlight w:val="none"/>
        </w:rPr>
      </w:pPr>
      <w:r>
        <w:rPr>
          <w:rFonts w:cs="Times New Roman"/>
          <w:highlight w:val="none"/>
        </w:rPr>
        <w:t>对于采取原位修复模式进行修复的污染地块，应在修复工程完成后进行效果评估监测。</w:t>
      </w:r>
    </w:p>
    <w:p>
      <w:pPr>
        <w:ind w:firstLine="560"/>
        <w:rPr>
          <w:rFonts w:cs="Times New Roman"/>
          <w:highlight w:val="none"/>
        </w:rPr>
      </w:pPr>
      <w:r>
        <w:rPr>
          <w:rFonts w:cs="Times New Roman"/>
          <w:highlight w:val="none"/>
        </w:rPr>
        <w:t>对于采取原地异位修复模式进行修复的污染地块，应在基坑回填之前对基坑和土壤进行效果评估监测；对于采取异地修复模式进行修复的土壤和地下水，</w:t>
      </w:r>
      <w:r>
        <w:rPr>
          <w:rFonts w:hint="eastAsia" w:cs="Times New Roman"/>
          <w:highlight w:val="none"/>
        </w:rPr>
        <w:t>可根据施工计划，</w:t>
      </w:r>
      <w:r>
        <w:rPr>
          <w:rFonts w:cs="Times New Roman"/>
          <w:highlight w:val="none"/>
        </w:rPr>
        <w:t>分阶段</w:t>
      </w:r>
      <w:r>
        <w:rPr>
          <w:rFonts w:hint="eastAsia" w:cs="Times New Roman"/>
          <w:highlight w:val="none"/>
        </w:rPr>
        <w:t>分批次</w:t>
      </w:r>
      <w:r>
        <w:rPr>
          <w:rFonts w:cs="Times New Roman"/>
          <w:highlight w:val="none"/>
        </w:rPr>
        <w:t>对原地清挖现场及接收地异位修复的土壤和地下水进行效果评估监测。</w:t>
      </w:r>
    </w:p>
    <w:p>
      <w:pPr>
        <w:ind w:firstLine="562"/>
        <w:rPr>
          <w:rFonts w:cs="Times New Roman"/>
          <w:b/>
          <w:bCs/>
          <w:highlight w:val="none"/>
        </w:rPr>
      </w:pPr>
      <w:r>
        <w:rPr>
          <w:rFonts w:cs="Times New Roman"/>
          <w:b/>
          <w:bCs/>
          <w:highlight w:val="none"/>
        </w:rPr>
        <w:t>2、效果评估监测范围</w:t>
      </w:r>
    </w:p>
    <w:p>
      <w:pPr>
        <w:ind w:firstLine="560"/>
        <w:rPr>
          <w:rFonts w:cs="Times New Roman"/>
          <w:highlight w:val="none"/>
        </w:rPr>
      </w:pPr>
      <w:r>
        <w:rPr>
          <w:rFonts w:cs="Times New Roman"/>
          <w:highlight w:val="none"/>
        </w:rPr>
        <w:t xml:space="preserve">采用原位修复技术的，监测范围应与污染地块修复方案中确定的修复范围一致；采用异位修复技术的，监测范围应包括污染土壤清挖区域和开展异位修复的土壤和地下水；当修复范围和工程量发生变更时，应根据实际情况对效果评估范围进行调整。 </w:t>
      </w:r>
    </w:p>
    <w:p>
      <w:pPr>
        <w:ind w:firstLine="562"/>
        <w:rPr>
          <w:rFonts w:cs="Times New Roman"/>
          <w:b/>
          <w:bCs/>
          <w:highlight w:val="none"/>
        </w:rPr>
      </w:pPr>
      <w:r>
        <w:rPr>
          <w:rFonts w:hint="eastAsia" w:cs="Times New Roman"/>
          <w:b/>
          <w:bCs/>
          <w:highlight w:val="none"/>
        </w:rPr>
        <w:t>3、效果评估监测介质与项目</w:t>
      </w:r>
    </w:p>
    <w:p>
      <w:pPr>
        <w:ind w:firstLine="560"/>
        <w:rPr>
          <w:rFonts w:cs="Times New Roman"/>
          <w:highlight w:val="none"/>
        </w:rPr>
      </w:pPr>
      <w:r>
        <w:rPr>
          <w:rFonts w:hint="eastAsia" w:cs="Times New Roman"/>
          <w:highlight w:val="none"/>
        </w:rPr>
        <w:t>监测介质主要为地块修复范围内的土壤和地下水，或经异位修复处理后的土壤和地下水，其它监测介质可根据具体修复技术工艺确定。</w:t>
      </w:r>
    </w:p>
    <w:p>
      <w:pPr>
        <w:ind w:firstLine="560"/>
        <w:rPr>
          <w:rFonts w:cs="Times New Roman"/>
          <w:highlight w:val="none"/>
        </w:rPr>
      </w:pPr>
      <w:r>
        <w:rPr>
          <w:rFonts w:hint="eastAsia" w:cs="Times New Roman"/>
          <w:highlight w:val="none"/>
        </w:rPr>
        <w:t>监测项目主要为地块修复技术方案中确定的土壤和地下水关注污染物。如果污染土壤和地下水修复中加入了修复药剂，监测项目还应包含修复药剂可能产生的污染因子。当地下水异位修复达标后进行排放时，其监测因子除目标污染物外，还应包括国家或广西壮族自治区相关废水排放标准中的主要监测因子。如果污染地块修复工程还包括地块地表水和底泥，则具体监测项目应根据污染地块修复技术方案确定。</w:t>
      </w:r>
    </w:p>
    <w:p>
      <w:pPr>
        <w:ind w:firstLine="562"/>
        <w:rPr>
          <w:rFonts w:cs="Times New Roman"/>
          <w:b/>
          <w:bCs/>
          <w:highlight w:val="none"/>
        </w:rPr>
      </w:pPr>
      <w:r>
        <w:rPr>
          <w:rFonts w:hint="eastAsia" w:cs="Times New Roman"/>
          <w:b/>
          <w:bCs/>
          <w:highlight w:val="none"/>
        </w:rPr>
        <w:t>4</w:t>
      </w:r>
      <w:r>
        <w:rPr>
          <w:rFonts w:cs="Times New Roman"/>
          <w:b/>
          <w:bCs/>
          <w:highlight w:val="none"/>
        </w:rPr>
        <w:t>、主体修复工程实施情况</w:t>
      </w:r>
    </w:p>
    <w:p>
      <w:pPr>
        <w:ind w:firstLine="560"/>
        <w:rPr>
          <w:rFonts w:cs="Times New Roman"/>
          <w:highlight w:val="none"/>
        </w:rPr>
      </w:pPr>
      <w:r>
        <w:rPr>
          <w:rFonts w:cs="Times New Roman"/>
          <w:highlight w:val="none"/>
        </w:rPr>
        <w:t>明确主体修复工程实施情况与地块环境调查、地块修复实施方案的一致性；明确修复后土方量及最终去向</w:t>
      </w:r>
      <w:r>
        <w:rPr>
          <w:rFonts w:hint="eastAsia" w:cs="Times New Roman"/>
          <w:highlight w:val="none"/>
        </w:rPr>
        <w:t>（如委外处置，需出具相关接收证明和土壤污染防治法律责任转移文件）</w:t>
      </w:r>
      <w:r>
        <w:rPr>
          <w:rFonts w:cs="Times New Roman"/>
          <w:highlight w:val="none"/>
        </w:rPr>
        <w:t>；明确工程实施过程中有无投诉，有无风险事故及是否存在工程变更等情况。如通过资料审查形式获得，明确资料来源。</w:t>
      </w:r>
    </w:p>
    <w:p>
      <w:pPr>
        <w:ind w:firstLine="562"/>
        <w:rPr>
          <w:rFonts w:cs="Times New Roman"/>
          <w:b/>
          <w:bCs/>
          <w:highlight w:val="none"/>
        </w:rPr>
      </w:pPr>
      <w:r>
        <w:rPr>
          <w:rFonts w:hint="eastAsia" w:cs="Times New Roman"/>
          <w:b/>
          <w:bCs/>
          <w:highlight w:val="none"/>
        </w:rPr>
        <w:t>4</w:t>
      </w:r>
      <w:r>
        <w:rPr>
          <w:rFonts w:cs="Times New Roman"/>
          <w:b/>
          <w:bCs/>
          <w:highlight w:val="none"/>
        </w:rPr>
        <w:t>、更新地块概念模型</w:t>
      </w:r>
    </w:p>
    <w:p>
      <w:pPr>
        <w:ind w:firstLine="560"/>
        <w:rPr>
          <w:rFonts w:cs="Times New Roman"/>
          <w:highlight w:val="none"/>
        </w:rPr>
      </w:pPr>
      <w:r>
        <w:rPr>
          <w:rFonts w:cs="Times New Roman"/>
          <w:highlight w:val="none"/>
        </w:rPr>
        <w:t>在资料回顾、现场踏勘、人员访谈基础上，掌握地块风险管控与修复工程情况，结合地块地质与水文地质情况、污染空间分布、修复技术特点、修复设施布局等，对地块概念模型进行更新，完善地块实施风险管控与修复后的概念模型。</w:t>
      </w:r>
    </w:p>
    <w:p>
      <w:pPr>
        <w:ind w:firstLine="560"/>
        <w:rPr>
          <w:rFonts w:cs="Times New Roman"/>
          <w:highlight w:val="none"/>
        </w:rPr>
      </w:pPr>
      <w:r>
        <w:rPr>
          <w:rFonts w:cs="Times New Roman"/>
          <w:highlight w:val="none"/>
        </w:rPr>
        <w:t>地块概念模型包括地块风险管控与修复情况、关注污染物情况、地质与水文地质情况和潜在受体与周边环境情况。可用文字、图、表等方式表达，作为确定效果评估范围、采样节点、布点位置等的依据。</w:t>
      </w:r>
    </w:p>
    <w:p>
      <w:pPr>
        <w:pStyle w:val="3"/>
        <w:rPr>
          <w:rFonts w:cs="Times New Roman"/>
          <w:highlight w:val="none"/>
        </w:rPr>
      </w:pPr>
      <w:r>
        <w:rPr>
          <w:rFonts w:cs="Times New Roman"/>
          <w:highlight w:val="none"/>
        </w:rPr>
        <w:t>二、修复效果评估采样布点方法</w:t>
      </w:r>
    </w:p>
    <w:p>
      <w:pPr>
        <w:ind w:firstLine="562"/>
        <w:rPr>
          <w:rFonts w:cs="Times New Roman"/>
          <w:b/>
          <w:bCs/>
          <w:highlight w:val="none"/>
        </w:rPr>
      </w:pPr>
      <w:r>
        <w:rPr>
          <w:rFonts w:cs="Times New Roman"/>
          <w:b/>
          <w:bCs/>
          <w:highlight w:val="none"/>
        </w:rPr>
        <w:t>1、土壤采样布点</w:t>
      </w:r>
    </w:p>
    <w:p>
      <w:pPr>
        <w:ind w:firstLine="560"/>
        <w:rPr>
          <w:rFonts w:cs="Times New Roman"/>
          <w:highlight w:val="none"/>
        </w:rPr>
      </w:pPr>
      <w:r>
        <w:rPr>
          <w:rFonts w:cs="Times New Roman"/>
          <w:highlight w:val="none"/>
        </w:rPr>
        <w:t>（1）土壤异位修复</w:t>
      </w:r>
    </w:p>
    <w:p>
      <w:pPr>
        <w:ind w:firstLine="560"/>
        <w:rPr>
          <w:rFonts w:cs="Times New Roman"/>
          <w:highlight w:val="none"/>
        </w:rPr>
      </w:pPr>
      <w:r>
        <w:rPr>
          <w:rFonts w:cs="Times New Roman"/>
          <w:highlight w:val="none"/>
        </w:rPr>
        <w:fldChar w:fldCharType="begin"/>
      </w:r>
      <w:r>
        <w:rPr>
          <w:rFonts w:cs="Times New Roman"/>
          <w:highlight w:val="none"/>
        </w:rPr>
        <w:instrText xml:space="preserve"> = 1 \* GB3 </w:instrText>
      </w:r>
      <w:r>
        <w:rPr>
          <w:rFonts w:cs="Times New Roman"/>
          <w:highlight w:val="none"/>
        </w:rPr>
        <w:fldChar w:fldCharType="separate"/>
      </w:r>
      <w:r>
        <w:rPr>
          <w:rFonts w:hint="eastAsia" w:ascii="宋体" w:hAnsi="宋体" w:eastAsia="宋体" w:cs="宋体"/>
          <w:highlight w:val="none"/>
        </w:rPr>
        <w:t>①</w:t>
      </w:r>
      <w:r>
        <w:rPr>
          <w:rFonts w:cs="Times New Roman"/>
          <w:highlight w:val="none"/>
        </w:rPr>
        <w:fldChar w:fldCharType="end"/>
      </w:r>
      <w:r>
        <w:rPr>
          <w:rFonts w:cs="Times New Roman"/>
          <w:highlight w:val="none"/>
        </w:rPr>
        <w:t>基坑底部和侧壁采样布点</w:t>
      </w:r>
    </w:p>
    <w:p>
      <w:pPr>
        <w:ind w:firstLine="560"/>
        <w:rPr>
          <w:rFonts w:cs="Times New Roman"/>
          <w:highlight w:val="none"/>
        </w:rPr>
      </w:pPr>
      <w:r>
        <w:rPr>
          <w:rFonts w:cs="Times New Roman"/>
          <w:highlight w:val="none"/>
        </w:rPr>
        <w:t>基坑底部：采用系统布点法划分采样单元，</w:t>
      </w:r>
      <w:r>
        <w:rPr>
          <w:rFonts w:hint="eastAsia" w:cs="Times New Roman"/>
          <w:highlight w:val="none"/>
        </w:rPr>
        <w:t>将底部均分采样单元，每个</w:t>
      </w:r>
      <w:r>
        <w:rPr>
          <w:rFonts w:cs="Times New Roman"/>
          <w:highlight w:val="none"/>
        </w:rPr>
        <w:t>采样单元原则上网格大小不超过</w:t>
      </w:r>
      <w:r>
        <w:rPr>
          <w:rFonts w:hint="eastAsia" w:cs="Times New Roman"/>
          <w:highlight w:val="none"/>
        </w:rPr>
        <w:t>2</w:t>
      </w:r>
      <w:r>
        <w:rPr>
          <w:rFonts w:cs="Times New Roman"/>
          <w:highlight w:val="none"/>
        </w:rPr>
        <w:t xml:space="preserve">0 m × </w:t>
      </w:r>
      <w:r>
        <w:rPr>
          <w:rFonts w:hint="eastAsia" w:cs="Times New Roman"/>
          <w:highlight w:val="none"/>
        </w:rPr>
        <w:t>2</w:t>
      </w:r>
      <w:r>
        <w:rPr>
          <w:rFonts w:cs="Times New Roman"/>
          <w:highlight w:val="none"/>
        </w:rPr>
        <w:t>0 m</w:t>
      </w:r>
      <w:r>
        <w:rPr>
          <w:rFonts w:hint="eastAsia" w:cs="Times New Roman"/>
          <w:highlight w:val="none"/>
        </w:rPr>
        <w:t>，</w:t>
      </w:r>
      <w:r>
        <w:rPr>
          <w:rFonts w:cs="Times New Roman"/>
          <w:highlight w:val="none"/>
        </w:rPr>
        <w:t>在每个采样单元中均匀分布地采集9个表层土壤样品制成混合样（测定挥发性有机物项目的样品除外），挥发性有机物项目监测点位布设参照对角线法进行，每个采样单元不少于4个土壤样品。</w:t>
      </w:r>
    </w:p>
    <w:p>
      <w:pPr>
        <w:ind w:firstLine="560"/>
        <w:rPr>
          <w:rFonts w:cs="Times New Roman"/>
          <w:highlight w:val="none"/>
        </w:rPr>
      </w:pPr>
      <w:r>
        <w:rPr>
          <w:rFonts w:cs="Times New Roman"/>
          <w:highlight w:val="none"/>
        </w:rPr>
        <w:t>基坑侧壁：</w:t>
      </w:r>
      <w:r>
        <w:rPr>
          <w:rFonts w:hint="eastAsia" w:cs="Times New Roman"/>
          <w:highlight w:val="none"/>
        </w:rPr>
        <w:t>根据基坑侧壁长度确定样品数量，</w:t>
      </w:r>
      <w:r>
        <w:rPr>
          <w:rFonts w:cs="Times New Roman"/>
          <w:highlight w:val="none"/>
        </w:rPr>
        <w:t>采用等距离布点法划分横向采样单元，横向采样单元原则上不超过40 m；当修复深度≤1 m时，侧壁不进行垂向分层采样；当基坑深度＞1 m时，侧壁应进行垂向分层采样，各层采样点之间垂向距离≤3 m。</w:t>
      </w:r>
    </w:p>
    <w:p>
      <w:pPr>
        <w:ind w:firstLine="560"/>
        <w:rPr>
          <w:rFonts w:cs="Times New Roman"/>
          <w:highlight w:val="none"/>
        </w:rPr>
      </w:pPr>
      <w:r>
        <w:rPr>
          <w:rFonts w:cs="Times New Roman"/>
          <w:highlight w:val="none"/>
        </w:rPr>
        <w:fldChar w:fldCharType="begin"/>
      </w:r>
      <w:r>
        <w:rPr>
          <w:rFonts w:cs="Times New Roman"/>
          <w:highlight w:val="none"/>
        </w:rPr>
        <w:instrText xml:space="preserve"> = 2 \* GB3 </w:instrText>
      </w:r>
      <w:r>
        <w:rPr>
          <w:rFonts w:cs="Times New Roman"/>
          <w:highlight w:val="none"/>
        </w:rPr>
        <w:fldChar w:fldCharType="separate"/>
      </w:r>
      <w:r>
        <w:rPr>
          <w:rFonts w:hint="eastAsia" w:ascii="宋体" w:hAnsi="宋体" w:eastAsia="宋体" w:cs="宋体"/>
          <w:highlight w:val="none"/>
        </w:rPr>
        <w:t>②</w:t>
      </w:r>
      <w:r>
        <w:rPr>
          <w:rFonts w:cs="Times New Roman"/>
          <w:highlight w:val="none"/>
        </w:rPr>
        <w:fldChar w:fldCharType="end"/>
      </w:r>
      <w:r>
        <w:rPr>
          <w:rFonts w:cs="Times New Roman"/>
          <w:highlight w:val="none"/>
        </w:rPr>
        <w:t xml:space="preserve"> 对原地异位修复后土壤采样布点</w:t>
      </w:r>
    </w:p>
    <w:p>
      <w:pPr>
        <w:ind w:firstLine="560"/>
        <w:rPr>
          <w:rFonts w:cs="Times New Roman"/>
          <w:highlight w:val="none"/>
        </w:rPr>
      </w:pPr>
      <w:r>
        <w:rPr>
          <w:rFonts w:cs="Times New Roman"/>
          <w:highlight w:val="none"/>
        </w:rPr>
        <w:t>修复后的土壤等以500 m</w:t>
      </w:r>
      <w:r>
        <w:rPr>
          <w:rFonts w:cs="Times New Roman"/>
          <w:highlight w:val="none"/>
          <w:vertAlign w:val="superscript"/>
        </w:rPr>
        <w:t>3</w:t>
      </w:r>
      <w:r>
        <w:rPr>
          <w:rFonts w:cs="Times New Roman"/>
          <w:highlight w:val="none"/>
        </w:rPr>
        <w:t>为一个采样单元，在土壤堆体</w:t>
      </w:r>
      <w:r>
        <w:rPr>
          <w:rFonts w:hint="eastAsia" w:cs="Times New Roman"/>
          <w:highlight w:val="none"/>
        </w:rPr>
        <w:t>表层、</w:t>
      </w:r>
      <w:r>
        <w:rPr>
          <w:rFonts w:cs="Times New Roman"/>
          <w:highlight w:val="none"/>
        </w:rPr>
        <w:t>中间</w:t>
      </w:r>
      <w:r>
        <w:rPr>
          <w:rFonts w:hint="eastAsia" w:cs="Times New Roman"/>
          <w:highlight w:val="none"/>
        </w:rPr>
        <w:t>和底层分别采集土壤样品制成一个混合样品（挥发性有机物修复除外）</w:t>
      </w:r>
      <w:r>
        <w:rPr>
          <w:rFonts w:cs="Times New Roman"/>
          <w:highlight w:val="none"/>
        </w:rPr>
        <w:t>。当修复量不超过500 m</w:t>
      </w:r>
      <w:r>
        <w:rPr>
          <w:rFonts w:cs="Times New Roman"/>
          <w:highlight w:val="none"/>
          <w:vertAlign w:val="superscript"/>
        </w:rPr>
        <w:t>3</w:t>
      </w:r>
      <w:r>
        <w:rPr>
          <w:rFonts w:cs="Times New Roman"/>
          <w:highlight w:val="none"/>
        </w:rPr>
        <w:t>时，应同时采集1个平行样品。</w:t>
      </w:r>
    </w:p>
    <w:p>
      <w:pPr>
        <w:ind w:firstLine="560"/>
        <w:rPr>
          <w:rFonts w:cs="Times New Roman"/>
          <w:highlight w:val="none"/>
        </w:rPr>
      </w:pPr>
      <w:r>
        <w:rPr>
          <w:rFonts w:hint="eastAsia" w:cs="Times New Roman"/>
          <w:highlight w:val="none"/>
        </w:rPr>
        <w:t>针对挥发性有机物污染土壤不宜采用混合取样，应在每个采样单元表观最严重的区域采集1个土壤样品，可借助PID等现场检测仪器确定采样区域。</w:t>
      </w:r>
    </w:p>
    <w:p>
      <w:pPr>
        <w:ind w:firstLine="560"/>
        <w:rPr>
          <w:rFonts w:cs="Times New Roman"/>
          <w:highlight w:val="none"/>
        </w:rPr>
      </w:pPr>
      <w:r>
        <w:rPr>
          <w:rFonts w:cs="Times New Roman"/>
          <w:highlight w:val="none"/>
        </w:rPr>
        <w:t>（2）土壤原位修复</w:t>
      </w:r>
    </w:p>
    <w:p>
      <w:pPr>
        <w:ind w:firstLine="560"/>
        <w:rPr>
          <w:rFonts w:cs="Times New Roman"/>
          <w:highlight w:val="none"/>
        </w:rPr>
      </w:pPr>
      <w:r>
        <w:rPr>
          <w:rFonts w:hint="eastAsia" w:cs="Times New Roman"/>
          <w:highlight w:val="none"/>
        </w:rPr>
        <w:t>对修复范围内的土壤进行钻孔分层采样，在每一个水平采样单元采集土壤样品。</w:t>
      </w:r>
      <w:r>
        <w:rPr>
          <w:rFonts w:cs="Times New Roman"/>
          <w:highlight w:val="none"/>
        </w:rPr>
        <w:t>水平（顶部和底部）采样单元面积按上述基坑底部采样布点方法确定，修复范围边界采样单元长度按上述基坑侧壁采样布点方法确定。垂直方向上采样深度应</w:t>
      </w:r>
      <w:r>
        <w:rPr>
          <w:rFonts w:hint="eastAsia" w:cs="Times New Roman"/>
          <w:highlight w:val="none"/>
        </w:rPr>
        <w:t>大于</w:t>
      </w:r>
      <w:r>
        <w:rPr>
          <w:rFonts w:cs="Times New Roman"/>
          <w:highlight w:val="none"/>
        </w:rPr>
        <w:t>调查评估确定的污染深度以及修复可能造成的污染物迁移的深度，根据土层性质设置采样点，原则上垂向采样点之间距离不大于3 m。</w:t>
      </w:r>
    </w:p>
    <w:p>
      <w:pPr>
        <w:ind w:firstLine="560"/>
        <w:rPr>
          <w:rFonts w:cs="Times New Roman"/>
          <w:highlight w:val="none"/>
        </w:rPr>
      </w:pPr>
      <w:r>
        <w:rPr>
          <w:rFonts w:cs="Times New Roman"/>
          <w:highlight w:val="none"/>
        </w:rPr>
        <w:t>（3）土壤修复二次污染区域布点</w:t>
      </w:r>
    </w:p>
    <w:p>
      <w:pPr>
        <w:ind w:firstLine="560"/>
        <w:rPr>
          <w:rFonts w:cs="Times New Roman"/>
          <w:highlight w:val="none"/>
        </w:rPr>
      </w:pPr>
      <w:r>
        <w:rPr>
          <w:rFonts w:cs="Times New Roman"/>
          <w:highlight w:val="none"/>
        </w:rPr>
        <w:t>重点关注污染土壤暂存区、固体废物堆放区、异位土壤修复处置区、尾水尾气处置区、运输车辆临时道路等区域。</w:t>
      </w:r>
    </w:p>
    <w:p>
      <w:pPr>
        <w:ind w:firstLine="560"/>
        <w:rPr>
          <w:rFonts w:cs="Times New Roman"/>
          <w:highlight w:val="none"/>
        </w:rPr>
      </w:pPr>
      <w:r>
        <w:rPr>
          <w:rFonts w:cs="Times New Roman"/>
          <w:highlight w:val="none"/>
        </w:rPr>
        <w:t>参照基坑底部和侧壁的采样方法进行采样。</w:t>
      </w:r>
    </w:p>
    <w:p>
      <w:pPr>
        <w:ind w:firstLine="562"/>
        <w:rPr>
          <w:rFonts w:cs="Times New Roman"/>
          <w:b/>
          <w:bCs/>
          <w:highlight w:val="none"/>
        </w:rPr>
      </w:pPr>
      <w:r>
        <w:rPr>
          <w:rFonts w:cs="Times New Roman"/>
          <w:b/>
          <w:bCs/>
          <w:highlight w:val="none"/>
        </w:rPr>
        <w:t>2、地下水采样布点</w:t>
      </w:r>
    </w:p>
    <w:p>
      <w:pPr>
        <w:ind w:firstLine="560"/>
        <w:rPr>
          <w:rFonts w:cs="Times New Roman"/>
          <w:highlight w:val="none"/>
        </w:rPr>
      </w:pPr>
      <w:r>
        <w:rPr>
          <w:rFonts w:cs="Times New Roman"/>
          <w:highlight w:val="none"/>
        </w:rPr>
        <w:t>（1）地下水原位修复</w:t>
      </w:r>
    </w:p>
    <w:p>
      <w:pPr>
        <w:ind w:firstLine="560"/>
        <w:rPr>
          <w:rFonts w:cs="Times New Roman"/>
          <w:highlight w:val="none"/>
        </w:rPr>
      </w:pPr>
      <w:r>
        <w:rPr>
          <w:rFonts w:cs="Times New Roman"/>
          <w:highlight w:val="none"/>
        </w:rPr>
        <w:fldChar w:fldCharType="begin"/>
      </w:r>
      <w:r>
        <w:rPr>
          <w:rFonts w:cs="Times New Roman"/>
          <w:highlight w:val="none"/>
        </w:rPr>
        <w:instrText xml:space="preserve"> = 1 \* GB3 </w:instrText>
      </w:r>
      <w:r>
        <w:rPr>
          <w:rFonts w:cs="Times New Roman"/>
          <w:highlight w:val="none"/>
        </w:rPr>
        <w:fldChar w:fldCharType="separate"/>
      </w:r>
      <w:r>
        <w:rPr>
          <w:rFonts w:hint="eastAsia" w:ascii="宋体" w:hAnsi="宋体" w:eastAsia="宋体" w:cs="宋体"/>
          <w:highlight w:val="none"/>
        </w:rPr>
        <w:t>①</w:t>
      </w:r>
      <w:r>
        <w:rPr>
          <w:rFonts w:cs="Times New Roman"/>
          <w:highlight w:val="none"/>
        </w:rPr>
        <w:fldChar w:fldCharType="end"/>
      </w:r>
      <w:r>
        <w:rPr>
          <w:rFonts w:cs="Times New Roman"/>
          <w:highlight w:val="none"/>
        </w:rPr>
        <w:t>地下水监测井应依据地下水的流向及污染区域地理位置进行设置，修复范围上游地下水采样点不少于1个，修复范围内采样点不少于3个，修复范围下游采样点不少于2个。</w:t>
      </w:r>
    </w:p>
    <w:p>
      <w:pPr>
        <w:ind w:firstLine="560"/>
        <w:rPr>
          <w:rFonts w:cs="Times New Roman"/>
          <w:highlight w:val="none"/>
        </w:rPr>
      </w:pPr>
      <w:r>
        <w:rPr>
          <w:rFonts w:cs="Times New Roman"/>
          <w:highlight w:val="none"/>
        </w:rPr>
        <w:fldChar w:fldCharType="begin"/>
      </w:r>
      <w:r>
        <w:rPr>
          <w:rFonts w:cs="Times New Roman"/>
          <w:highlight w:val="none"/>
        </w:rPr>
        <w:instrText xml:space="preserve"> = 2 \* GB3 </w:instrText>
      </w:r>
      <w:r>
        <w:rPr>
          <w:rFonts w:cs="Times New Roman"/>
          <w:highlight w:val="none"/>
        </w:rPr>
        <w:fldChar w:fldCharType="separate"/>
      </w:r>
      <w:r>
        <w:rPr>
          <w:rFonts w:hint="eastAsia" w:ascii="宋体" w:hAnsi="宋体" w:eastAsia="宋体" w:cs="宋体"/>
          <w:highlight w:val="none"/>
        </w:rPr>
        <w:t>②</w:t>
      </w:r>
      <w:r>
        <w:rPr>
          <w:rFonts w:cs="Times New Roman"/>
          <w:highlight w:val="none"/>
        </w:rPr>
        <w:fldChar w:fldCharType="end"/>
      </w:r>
      <w:r>
        <w:rPr>
          <w:rFonts w:cs="Times New Roman"/>
          <w:highlight w:val="none"/>
        </w:rPr>
        <w:t>地块环境调查和修复过程建设的监测井也可用于效果评估监测采样，但其数量不应超过效果评估时监测井总数的60%；不可利用原位修复的注入井/抽提井进行地下水效果评估采样。</w:t>
      </w:r>
    </w:p>
    <w:p>
      <w:pPr>
        <w:ind w:firstLine="560"/>
        <w:rPr>
          <w:rFonts w:cs="Times New Roman"/>
          <w:highlight w:val="none"/>
        </w:rPr>
      </w:pPr>
      <w:bookmarkStart w:id="26" w:name="_Hlk38358704"/>
      <w:r>
        <w:rPr>
          <w:rFonts w:cs="Times New Roman"/>
          <w:highlight w:val="none"/>
        </w:rPr>
        <w:fldChar w:fldCharType="begin"/>
      </w:r>
      <w:r>
        <w:rPr>
          <w:rFonts w:cs="Times New Roman"/>
          <w:highlight w:val="none"/>
        </w:rPr>
        <w:instrText xml:space="preserve"> = 3 \* GB3 </w:instrText>
      </w:r>
      <w:r>
        <w:rPr>
          <w:rFonts w:cs="Times New Roman"/>
          <w:highlight w:val="none"/>
        </w:rPr>
        <w:fldChar w:fldCharType="separate"/>
      </w:r>
      <w:r>
        <w:rPr>
          <w:rFonts w:hint="eastAsia" w:ascii="宋体" w:hAnsi="宋体" w:eastAsia="宋体" w:cs="宋体"/>
          <w:highlight w:val="none"/>
        </w:rPr>
        <w:t>③</w:t>
      </w:r>
      <w:r>
        <w:rPr>
          <w:rFonts w:cs="Times New Roman"/>
          <w:highlight w:val="none"/>
        </w:rPr>
        <w:fldChar w:fldCharType="end"/>
      </w:r>
      <w:r>
        <w:rPr>
          <w:rFonts w:cs="Times New Roman"/>
          <w:highlight w:val="none"/>
        </w:rPr>
        <w:t>应初判</w:t>
      </w:r>
      <w:r>
        <w:rPr>
          <w:rFonts w:hint="eastAsia" w:cs="Times New Roman"/>
          <w:highlight w:val="none"/>
        </w:rPr>
        <w:t>地下水</w:t>
      </w:r>
      <w:r>
        <w:rPr>
          <w:rFonts w:cs="Times New Roman"/>
          <w:highlight w:val="none"/>
        </w:rPr>
        <w:t>污染物稳定达标且地下水流场达到稳定状态时，方可进入地下水修复效果评估阶段。原则上采用修复工程运行阶段监测数据进行修复达标初判，至少需要连续4个批次的样品进行修复达标初判，采样周期应涵盖地下水丰、平、枯水期。</w:t>
      </w:r>
    </w:p>
    <w:p>
      <w:pPr>
        <w:ind w:firstLine="560"/>
        <w:rPr>
          <w:rFonts w:cs="Times New Roman"/>
          <w:highlight w:val="none"/>
        </w:rPr>
      </w:pPr>
      <w:bookmarkStart w:id="27" w:name="_Hlk43022641"/>
      <w:r>
        <w:rPr>
          <w:rFonts w:hint="eastAsia" w:ascii="宋体" w:hAnsi="宋体" w:eastAsia="宋体" w:cs="宋体"/>
          <w:highlight w:val="none"/>
        </w:rPr>
        <w:t>④</w:t>
      </w:r>
      <w:r>
        <w:rPr>
          <w:rFonts w:cs="Times New Roman"/>
          <w:highlight w:val="none"/>
        </w:rPr>
        <w:t>修复效果评估阶段应至少采集8个批次的样品，采样持续时间至少为1年，应涵盖地下水丰、平、枯水期，原则上采样频次为每季度一次，两个批次之间间隔不得少于1个月。对于地下水流场变化较大的地块可适当增加采样频次。</w:t>
      </w:r>
    </w:p>
    <w:bookmarkEnd w:id="26"/>
    <w:bookmarkEnd w:id="27"/>
    <w:p>
      <w:pPr>
        <w:pStyle w:val="7"/>
        <w:ind w:firstLine="560"/>
        <w:rPr>
          <w:rFonts w:eastAsia="仿宋_GB2312"/>
          <w:sz w:val="28"/>
          <w:szCs w:val="22"/>
          <w:highlight w:val="none"/>
        </w:rPr>
      </w:pPr>
      <w:r>
        <w:rPr>
          <w:rFonts w:eastAsia="仿宋_GB2312"/>
          <w:sz w:val="28"/>
          <w:szCs w:val="22"/>
          <w:highlight w:val="none"/>
        </w:rPr>
        <w:t>（2）地下水异位修复</w:t>
      </w:r>
    </w:p>
    <w:p>
      <w:pPr>
        <w:ind w:firstLine="560"/>
        <w:rPr>
          <w:rFonts w:cs="Times New Roman"/>
          <w:highlight w:val="none"/>
        </w:rPr>
      </w:pPr>
      <w:r>
        <w:rPr>
          <w:rFonts w:cs="Times New Roman"/>
          <w:highlight w:val="none"/>
        </w:rPr>
        <w:t>对地下水污染抽提范围内的效果评估监测采样参照地下水原位修复效果评估监测采样方法执行。</w:t>
      </w:r>
    </w:p>
    <w:p>
      <w:pPr>
        <w:ind w:firstLine="560"/>
        <w:rPr>
          <w:rFonts w:cs="Times New Roman"/>
          <w:highlight w:val="none"/>
        </w:rPr>
      </w:pPr>
      <w:r>
        <w:rPr>
          <w:rFonts w:cs="Times New Roman"/>
          <w:highlight w:val="none"/>
        </w:rPr>
        <w:t>对抽提后完成修复的地下水，效果评估监测采样按下述方法执行：</w:t>
      </w:r>
    </w:p>
    <w:p>
      <w:pPr>
        <w:ind w:firstLine="560"/>
        <w:rPr>
          <w:rFonts w:cs="Times New Roman"/>
          <w:highlight w:val="none"/>
        </w:rPr>
      </w:pPr>
      <w:r>
        <w:rPr>
          <w:rFonts w:cs="Times New Roman"/>
          <w:highlight w:val="none"/>
        </w:rPr>
        <w:fldChar w:fldCharType="begin"/>
      </w:r>
      <w:r>
        <w:rPr>
          <w:rFonts w:cs="Times New Roman"/>
          <w:highlight w:val="none"/>
        </w:rPr>
        <w:instrText xml:space="preserve"> = 1 \* GB3 </w:instrText>
      </w:r>
      <w:r>
        <w:rPr>
          <w:rFonts w:cs="Times New Roman"/>
          <w:highlight w:val="none"/>
        </w:rPr>
        <w:fldChar w:fldCharType="separate"/>
      </w:r>
      <w:r>
        <w:rPr>
          <w:rFonts w:hint="eastAsia" w:ascii="宋体" w:hAnsi="宋体" w:eastAsia="宋体" w:cs="宋体"/>
          <w:highlight w:val="none"/>
        </w:rPr>
        <w:t>①</w:t>
      </w:r>
      <w:r>
        <w:rPr>
          <w:rFonts w:cs="Times New Roman"/>
          <w:highlight w:val="none"/>
        </w:rPr>
        <w:fldChar w:fldCharType="end"/>
      </w:r>
      <w:r>
        <w:rPr>
          <w:rFonts w:cs="Times New Roman"/>
          <w:highlight w:val="none"/>
        </w:rPr>
        <w:t>采用序批处理方式对污染地下水进行修复时，效果评估监测采样可以每1个批次地下水为1个采样单元；</w:t>
      </w:r>
    </w:p>
    <w:p>
      <w:pPr>
        <w:ind w:firstLine="560"/>
        <w:rPr>
          <w:rFonts w:cs="Times New Roman"/>
          <w:highlight w:val="none"/>
        </w:rPr>
      </w:pPr>
      <w:r>
        <w:rPr>
          <w:rFonts w:cs="Times New Roman"/>
          <w:highlight w:val="none"/>
        </w:rPr>
        <w:fldChar w:fldCharType="begin"/>
      </w:r>
      <w:r>
        <w:rPr>
          <w:rFonts w:cs="Times New Roman"/>
          <w:highlight w:val="none"/>
        </w:rPr>
        <w:instrText xml:space="preserve"> = 2 \* GB3 </w:instrText>
      </w:r>
      <w:r>
        <w:rPr>
          <w:rFonts w:cs="Times New Roman"/>
          <w:highlight w:val="none"/>
        </w:rPr>
        <w:fldChar w:fldCharType="separate"/>
      </w:r>
      <w:r>
        <w:rPr>
          <w:rFonts w:hint="eastAsia" w:ascii="宋体" w:hAnsi="宋体" w:eastAsia="宋体" w:cs="宋体"/>
          <w:highlight w:val="none"/>
        </w:rPr>
        <w:t>②</w:t>
      </w:r>
      <w:r>
        <w:rPr>
          <w:rFonts w:cs="Times New Roman"/>
          <w:highlight w:val="none"/>
        </w:rPr>
        <w:fldChar w:fldCharType="end"/>
      </w:r>
      <w:r>
        <w:rPr>
          <w:rFonts w:cs="Times New Roman"/>
          <w:highlight w:val="none"/>
        </w:rPr>
        <w:t>采用连续处理方式对污染地下水进行修复时，可在单日施工周期内于出水口位置每2 h采集一个样品，制成1个混合样；</w:t>
      </w:r>
    </w:p>
    <w:p>
      <w:pPr>
        <w:ind w:firstLine="560"/>
        <w:rPr>
          <w:rFonts w:cs="Times New Roman"/>
          <w:highlight w:val="none"/>
        </w:rPr>
      </w:pPr>
      <w:r>
        <w:rPr>
          <w:rFonts w:cs="Times New Roman"/>
          <w:highlight w:val="none"/>
        </w:rPr>
        <w:fldChar w:fldCharType="begin"/>
      </w:r>
      <w:r>
        <w:rPr>
          <w:rFonts w:cs="Times New Roman"/>
          <w:highlight w:val="none"/>
        </w:rPr>
        <w:instrText xml:space="preserve"> = 3 \* GB3 </w:instrText>
      </w:r>
      <w:r>
        <w:rPr>
          <w:rFonts w:cs="Times New Roman"/>
          <w:highlight w:val="none"/>
        </w:rPr>
        <w:fldChar w:fldCharType="separate"/>
      </w:r>
      <w:r>
        <w:rPr>
          <w:rFonts w:hint="eastAsia" w:ascii="宋体" w:hAnsi="宋体" w:eastAsia="宋体" w:cs="宋体"/>
          <w:highlight w:val="none"/>
        </w:rPr>
        <w:t>③</w:t>
      </w:r>
      <w:r>
        <w:rPr>
          <w:rFonts w:cs="Times New Roman"/>
          <w:highlight w:val="none"/>
        </w:rPr>
        <w:fldChar w:fldCharType="end"/>
      </w:r>
      <w:r>
        <w:rPr>
          <w:rFonts w:cs="Times New Roman"/>
          <w:highlight w:val="none"/>
        </w:rPr>
        <w:t>对挥发性有机物污染地下水，不宜采用混合取样。</w:t>
      </w:r>
    </w:p>
    <w:p>
      <w:pPr>
        <w:pStyle w:val="3"/>
        <w:rPr>
          <w:rFonts w:cs="Times New Roman"/>
          <w:bCs w:val="0"/>
          <w:highlight w:val="none"/>
        </w:rPr>
      </w:pPr>
      <w:r>
        <w:rPr>
          <w:rFonts w:cs="Times New Roman"/>
          <w:highlight w:val="none"/>
        </w:rPr>
        <w:t>三、风险管控效果评估程序和采样布点方法</w:t>
      </w:r>
    </w:p>
    <w:p>
      <w:pPr>
        <w:ind w:firstLine="562"/>
        <w:rPr>
          <w:rFonts w:cs="Times New Roman"/>
          <w:highlight w:val="none"/>
        </w:rPr>
      </w:pPr>
      <w:r>
        <w:rPr>
          <w:rFonts w:cs="Times New Roman"/>
          <w:b/>
          <w:bCs/>
          <w:highlight w:val="none"/>
        </w:rPr>
        <w:t>1、风险管控工程实施效果</w:t>
      </w:r>
    </w:p>
    <w:p>
      <w:pPr>
        <w:pStyle w:val="32"/>
        <w:ind w:firstLine="560"/>
        <w:rPr>
          <w:highlight w:val="none"/>
        </w:rPr>
      </w:pPr>
      <w:r>
        <w:rPr>
          <w:highlight w:val="none"/>
        </w:rPr>
        <w:t>工程实施效果评估主要内容包括：</w:t>
      </w:r>
    </w:p>
    <w:p>
      <w:pPr>
        <w:pStyle w:val="32"/>
        <w:ind w:firstLine="560"/>
        <w:rPr>
          <w:highlight w:val="none"/>
        </w:rPr>
      </w:pPr>
      <w:r>
        <w:rPr>
          <w:rFonts w:hint="eastAsia" w:ascii="宋体" w:hAnsi="宋体" w:eastAsia="宋体" w:cs="宋体"/>
          <w:highlight w:val="none"/>
        </w:rPr>
        <w:t>①</w:t>
      </w:r>
      <w:r>
        <w:rPr>
          <w:highlight w:val="none"/>
        </w:rPr>
        <w:t>通过审查相关运输清单和接收函件，审核材料用量和使用计划是否与方案一致；通过审查地块风险管控过程监理记录和监测数据，核实材料的用量、施工进度和施工方法落实情况；</w:t>
      </w:r>
    </w:p>
    <w:p>
      <w:pPr>
        <w:pStyle w:val="32"/>
        <w:ind w:firstLine="560"/>
        <w:rPr>
          <w:highlight w:val="none"/>
        </w:rPr>
      </w:pPr>
      <w:r>
        <w:rPr>
          <w:rFonts w:hint="eastAsia" w:ascii="宋体" w:hAnsi="宋体" w:eastAsia="宋体" w:cs="宋体"/>
          <w:highlight w:val="none"/>
        </w:rPr>
        <w:t>②</w:t>
      </w:r>
      <w:r>
        <w:rPr>
          <w:highlight w:val="none"/>
        </w:rPr>
        <w:t>通过监测地下水中污染物浓度、阻隔墙的渗透性和垂直阻隔墙连续性等参数评估地下水阻隔性能；</w:t>
      </w:r>
    </w:p>
    <w:p>
      <w:pPr>
        <w:pStyle w:val="32"/>
        <w:ind w:firstLine="560"/>
        <w:rPr>
          <w:highlight w:val="none"/>
        </w:rPr>
      </w:pPr>
      <w:r>
        <w:rPr>
          <w:rFonts w:hint="eastAsia" w:ascii="宋体" w:hAnsi="宋体" w:eastAsia="宋体" w:cs="宋体"/>
          <w:highlight w:val="none"/>
        </w:rPr>
        <w:t>③</w:t>
      </w:r>
      <w:r>
        <w:rPr>
          <w:highlight w:val="none"/>
        </w:rPr>
        <w:t>对于明确要求不允许开发利用的污染地块，通过审查隔离设施、设立的风险标识牌、定期发布的监测公告等内容，评估制度控制的落实情况。</w:t>
      </w:r>
    </w:p>
    <w:p>
      <w:pPr>
        <w:pStyle w:val="32"/>
        <w:ind w:firstLine="562"/>
        <w:rPr>
          <w:highlight w:val="none"/>
        </w:rPr>
      </w:pPr>
      <w:r>
        <w:rPr>
          <w:b/>
          <w:bCs/>
          <w:iCs w:val="0"/>
          <w:kern w:val="2"/>
          <w:szCs w:val="22"/>
          <w:highlight w:val="none"/>
        </w:rPr>
        <w:t>2、风险管控效果评估采样布点</w:t>
      </w:r>
    </w:p>
    <w:p>
      <w:pPr>
        <w:pStyle w:val="32"/>
        <w:ind w:firstLine="560"/>
        <w:rPr>
          <w:highlight w:val="none"/>
        </w:rPr>
      </w:pPr>
      <w:r>
        <w:rPr>
          <w:highlight w:val="none"/>
        </w:rPr>
        <w:t>对于固化/稳定化、封顶、阻隔填埋、地下水阻隔墙、可渗透反应墙等管控措施的布点：</w:t>
      </w:r>
    </w:p>
    <w:p>
      <w:pPr>
        <w:pStyle w:val="32"/>
        <w:ind w:firstLine="560"/>
        <w:rPr>
          <w:highlight w:val="none"/>
        </w:rPr>
      </w:pPr>
      <w:r>
        <w:rPr>
          <w:highlight w:val="none"/>
        </w:rPr>
        <w:t>布点数量与位置：</w:t>
      </w:r>
      <w:r>
        <w:rPr>
          <w:rFonts w:hint="eastAsia"/>
          <w:highlight w:val="none"/>
        </w:rPr>
        <w:t>结合风险管控措施的布置，</w:t>
      </w:r>
      <w:r>
        <w:rPr>
          <w:highlight w:val="none"/>
        </w:rPr>
        <w:t>在风险管控范围上游、内部、下游，以及可能涉及的潜在二次污染区域设置地下水监测井，利用调查评估与修复阶段监测井的，须符合修复效果评估采样条件。</w:t>
      </w:r>
    </w:p>
    <w:p>
      <w:pPr>
        <w:pStyle w:val="32"/>
        <w:ind w:firstLine="560"/>
        <w:rPr>
          <w:highlight w:val="none"/>
        </w:rPr>
      </w:pPr>
      <w:r>
        <w:rPr>
          <w:highlight w:val="none"/>
        </w:rPr>
        <w:t>采样周期和频次：一般在工程设施完工1年内开展；工程性能指标应按照工程实施评估周期和频次进行评估；污染物指标应采集4个批次的数据，建议每个季度采样一次，也可根据风险管控工程设计标准适当</w:t>
      </w:r>
      <w:r>
        <w:rPr>
          <w:rFonts w:hint="eastAsia"/>
          <w:highlight w:val="none"/>
        </w:rPr>
        <w:t>优化</w:t>
      </w:r>
      <w:r>
        <w:rPr>
          <w:highlight w:val="none"/>
        </w:rPr>
        <w:t>采样间隔，但应涵盖地下水丰、平、枯水期。</w:t>
      </w:r>
    </w:p>
    <w:p>
      <w:pPr>
        <w:pStyle w:val="3"/>
        <w:rPr>
          <w:rFonts w:cs="Times New Roman"/>
          <w:highlight w:val="none"/>
        </w:rPr>
      </w:pPr>
      <w:r>
        <w:rPr>
          <w:rFonts w:cs="Times New Roman"/>
          <w:bCs w:val="0"/>
          <w:highlight w:val="none"/>
        </w:rPr>
        <w:t>四、现场采样与实验室检测</w:t>
      </w:r>
      <w:r>
        <w:rPr>
          <w:rFonts w:cs="Times New Roman"/>
          <w:highlight w:val="none"/>
        </w:rPr>
        <w:t xml:space="preserve"> </w:t>
      </w:r>
    </w:p>
    <w:p>
      <w:pPr>
        <w:ind w:firstLine="562"/>
        <w:rPr>
          <w:rFonts w:cs="Times New Roman"/>
          <w:b/>
          <w:bCs/>
          <w:highlight w:val="none"/>
        </w:rPr>
      </w:pPr>
      <w:bookmarkStart w:id="28" w:name="_Hlk36908599"/>
      <w:r>
        <w:rPr>
          <w:rFonts w:cs="Times New Roman"/>
          <w:b/>
          <w:bCs/>
          <w:highlight w:val="none"/>
        </w:rPr>
        <w:t>1、现场采样要求</w:t>
      </w:r>
    </w:p>
    <w:p>
      <w:pPr>
        <w:ind w:firstLine="560"/>
        <w:rPr>
          <w:rFonts w:cs="Times New Roman"/>
          <w:highlight w:val="none"/>
        </w:rPr>
      </w:pPr>
      <w:r>
        <w:rPr>
          <w:rFonts w:cs="Times New Roman"/>
          <w:highlight w:val="none"/>
        </w:rPr>
        <w:t>土壤、地下水、底泥、地表水和残余废弃物样品的采样按照HJ 25.2-2019的要求执行。</w:t>
      </w:r>
    </w:p>
    <w:p>
      <w:pPr>
        <w:ind w:firstLine="562"/>
        <w:rPr>
          <w:rFonts w:cs="Times New Roman"/>
          <w:b/>
          <w:bCs/>
          <w:highlight w:val="none"/>
        </w:rPr>
      </w:pPr>
      <w:r>
        <w:rPr>
          <w:rFonts w:cs="Times New Roman"/>
          <w:b/>
          <w:bCs/>
          <w:highlight w:val="none"/>
        </w:rPr>
        <w:t>2、检测指标</w:t>
      </w:r>
    </w:p>
    <w:p>
      <w:pPr>
        <w:ind w:firstLine="560"/>
        <w:rPr>
          <w:rFonts w:cs="Times New Roman"/>
          <w:highlight w:val="none"/>
        </w:rPr>
      </w:pPr>
      <w:r>
        <w:rPr>
          <w:rFonts w:cs="Times New Roman"/>
          <w:highlight w:val="none"/>
        </w:rPr>
        <w:t>（1）基坑土壤：为对应修复范围内土壤中目标污染物，存在相邻基坑时，应考虑相邻基坑土壤中的目标污染物。</w:t>
      </w:r>
    </w:p>
    <w:p>
      <w:pPr>
        <w:ind w:firstLine="560"/>
        <w:rPr>
          <w:rFonts w:cs="Times New Roman"/>
          <w:highlight w:val="none"/>
        </w:rPr>
      </w:pPr>
      <w:r>
        <w:rPr>
          <w:rFonts w:cs="Times New Roman"/>
          <w:highlight w:val="none"/>
        </w:rPr>
        <w:t>（2）异位修复后土壤的检测指标：修复方案中确定的目标污染物，若外运到其他地块，应根据接受地环境要求增加检测指标。</w:t>
      </w:r>
    </w:p>
    <w:p>
      <w:pPr>
        <w:ind w:firstLine="560"/>
        <w:rPr>
          <w:rFonts w:cs="Times New Roman"/>
          <w:highlight w:val="none"/>
        </w:rPr>
      </w:pPr>
      <w:r>
        <w:rPr>
          <w:rFonts w:cs="Times New Roman"/>
          <w:highlight w:val="none"/>
        </w:rPr>
        <w:t>（3）原位修复后的土壤：修复方案中确定的目标污染物。</w:t>
      </w:r>
    </w:p>
    <w:p>
      <w:pPr>
        <w:ind w:firstLine="560"/>
        <w:rPr>
          <w:rFonts w:cs="Times New Roman"/>
          <w:highlight w:val="none"/>
        </w:rPr>
      </w:pPr>
      <w:r>
        <w:rPr>
          <w:rFonts w:cs="Times New Roman"/>
          <w:highlight w:val="none"/>
        </w:rPr>
        <w:t>（4）化学氧化/还原修复、微生物修复后土壤：产生的二次污染物，原则上根据修复方案中的可行性分析结果确定。</w:t>
      </w:r>
    </w:p>
    <w:p>
      <w:pPr>
        <w:ind w:firstLine="560"/>
        <w:rPr>
          <w:rFonts w:cs="Times New Roman"/>
          <w:highlight w:val="none"/>
        </w:rPr>
      </w:pPr>
      <w:r>
        <w:rPr>
          <w:rFonts w:cs="Times New Roman"/>
          <w:highlight w:val="none"/>
        </w:rPr>
        <w:t>（5）风险管控效果评估指标：包括工程性能指标（抗压强度、渗透性能、阻隔性能、工程设施连续性与完整性等）和污染物指标（关注污染物浓度、浸出浓度、土壤气、室内空气等）。</w:t>
      </w:r>
    </w:p>
    <w:p>
      <w:pPr>
        <w:ind w:firstLine="560"/>
        <w:rPr>
          <w:rFonts w:cs="Times New Roman"/>
          <w:highlight w:val="none"/>
        </w:rPr>
      </w:pPr>
      <w:r>
        <w:rPr>
          <w:rFonts w:cs="Times New Roman"/>
          <w:highlight w:val="none"/>
        </w:rPr>
        <w:t>（6）土壤理化指标（必要时）：包括地下水水位、地下水流速、地球化学参数等。</w:t>
      </w:r>
    </w:p>
    <w:p>
      <w:pPr>
        <w:ind w:firstLine="562"/>
        <w:rPr>
          <w:rFonts w:cs="Times New Roman"/>
          <w:b/>
          <w:bCs/>
          <w:highlight w:val="none"/>
        </w:rPr>
      </w:pPr>
      <w:r>
        <w:rPr>
          <w:rFonts w:cs="Times New Roman"/>
          <w:b/>
          <w:bCs/>
          <w:highlight w:val="none"/>
        </w:rPr>
        <w:t>3、实验室检测要求</w:t>
      </w:r>
    </w:p>
    <w:p>
      <w:pPr>
        <w:ind w:firstLine="560"/>
        <w:rPr>
          <w:rFonts w:cs="Times New Roman"/>
          <w:highlight w:val="none"/>
        </w:rPr>
      </w:pPr>
      <w:r>
        <w:rPr>
          <w:rFonts w:cs="Times New Roman"/>
          <w:highlight w:val="none"/>
        </w:rPr>
        <w:t>效果评估检测过程选用的方法检测限应低于对应的污染物修复目标值。效果评估单位需委托具备相应检测资质的第三方机构开展样品分析工作。</w:t>
      </w:r>
    </w:p>
    <w:p>
      <w:pPr>
        <w:pStyle w:val="3"/>
        <w:rPr>
          <w:rFonts w:cs="Times New Roman"/>
          <w:highlight w:val="none"/>
        </w:rPr>
      </w:pPr>
      <w:r>
        <w:rPr>
          <w:rFonts w:cs="Times New Roman"/>
          <w:highlight w:val="none"/>
        </w:rPr>
        <w:t>五、土壤修复效果评估方法</w:t>
      </w:r>
    </w:p>
    <w:p>
      <w:pPr>
        <w:ind w:firstLine="562"/>
        <w:rPr>
          <w:rFonts w:cs="Times New Roman"/>
          <w:b/>
          <w:bCs/>
          <w:highlight w:val="none"/>
        </w:rPr>
      </w:pPr>
      <w:r>
        <w:rPr>
          <w:rFonts w:cs="Times New Roman"/>
          <w:b/>
          <w:bCs/>
          <w:highlight w:val="none"/>
        </w:rPr>
        <w:t>1、评估标准</w:t>
      </w:r>
    </w:p>
    <w:p>
      <w:pPr>
        <w:ind w:firstLine="560"/>
        <w:rPr>
          <w:rFonts w:cs="Times New Roman"/>
          <w:highlight w:val="none"/>
        </w:rPr>
      </w:pPr>
      <w:r>
        <w:rPr>
          <w:rFonts w:cs="Times New Roman"/>
          <w:highlight w:val="none"/>
        </w:rPr>
        <w:t>（1）基坑土壤：为地块风险评估报告中确定的修复目标值。</w:t>
      </w:r>
    </w:p>
    <w:p>
      <w:pPr>
        <w:ind w:firstLine="560"/>
        <w:rPr>
          <w:rFonts w:hint="eastAsia" w:eastAsia="仿宋_GB2312" w:cs="Times New Roman"/>
          <w:highlight w:val="none"/>
          <w:lang w:eastAsia="zh-CN"/>
        </w:rPr>
      </w:pPr>
      <w:r>
        <w:rPr>
          <w:rFonts w:cs="Times New Roman"/>
          <w:highlight w:val="none"/>
        </w:rPr>
        <w:t>（2）异位修复后的土壤：应根据其去向确定</w:t>
      </w:r>
      <w:r>
        <w:rPr>
          <w:rFonts w:hint="eastAsia" w:cs="Times New Roman"/>
          <w:highlight w:val="none"/>
          <w:lang w:eastAsia="zh-CN"/>
        </w:rPr>
        <w:t>。</w:t>
      </w:r>
    </w:p>
    <w:p>
      <w:pPr>
        <w:ind w:firstLine="560"/>
        <w:rPr>
          <w:rFonts w:cs="Times New Roman"/>
          <w:highlight w:val="none"/>
        </w:rPr>
      </w:pPr>
      <w:r>
        <w:rPr>
          <w:rFonts w:cs="Times New Roman"/>
          <w:highlight w:val="none"/>
        </w:rPr>
        <w:t>若修复后回填到原基坑，评估标准为风险评估报告中确定的目标污染物的修复目标值；</w:t>
      </w:r>
    </w:p>
    <w:p>
      <w:pPr>
        <w:ind w:firstLine="560"/>
        <w:rPr>
          <w:rFonts w:cs="Times New Roman"/>
          <w:highlight w:val="none"/>
        </w:rPr>
      </w:pPr>
      <w:r>
        <w:rPr>
          <w:rFonts w:cs="Times New Roman"/>
          <w:highlight w:val="none"/>
        </w:rPr>
        <w:t>若修复后外运到其他地块，应根据接收地土壤暴露情景进行风险评估确定评估标准值，或采用GB 36600中接收地用地类型对应的筛选值，取两者中的较高者作为评估标准值，并确保接收地的地下水和环境安全。</w:t>
      </w:r>
    </w:p>
    <w:p>
      <w:pPr>
        <w:ind w:firstLine="560"/>
        <w:rPr>
          <w:rFonts w:cs="Times New Roman"/>
          <w:highlight w:val="none"/>
        </w:rPr>
      </w:pPr>
      <w:r>
        <w:rPr>
          <w:rFonts w:cs="Times New Roman"/>
          <w:highlight w:val="none"/>
        </w:rPr>
        <w:t>（3）原位修复后的土壤：为地块修复方案或实施方案中确定的修复目标值。</w:t>
      </w:r>
    </w:p>
    <w:p>
      <w:pPr>
        <w:ind w:firstLine="560"/>
        <w:rPr>
          <w:rFonts w:cs="Times New Roman"/>
          <w:highlight w:val="none"/>
        </w:rPr>
      </w:pPr>
      <w:r>
        <w:rPr>
          <w:rFonts w:cs="Times New Roman"/>
          <w:highlight w:val="none"/>
        </w:rPr>
        <w:t>（4）化学氧化/还原修复、微生物修复潜在二次污染物的评估标准值，根据暴露情景进行风险评估确定其评估标准值。</w:t>
      </w:r>
    </w:p>
    <w:p>
      <w:pPr>
        <w:ind w:firstLine="560"/>
        <w:rPr>
          <w:rFonts w:cs="Times New Roman"/>
          <w:highlight w:val="none"/>
        </w:rPr>
      </w:pPr>
      <w:bookmarkStart w:id="29" w:name="_Hlk38486204"/>
      <w:r>
        <w:rPr>
          <w:rFonts w:cs="Times New Roman"/>
          <w:highlight w:val="none"/>
        </w:rPr>
        <w:t>（</w:t>
      </w:r>
      <w:r>
        <w:rPr>
          <w:rFonts w:hint="eastAsia" w:cs="Times New Roman"/>
          <w:highlight w:val="none"/>
        </w:rPr>
        <w:t>5</w:t>
      </w:r>
      <w:r>
        <w:rPr>
          <w:rFonts w:cs="Times New Roman"/>
          <w:highlight w:val="none"/>
        </w:rPr>
        <w:t>）采用固化/稳定化处理且回填的土壤：根据固化/稳定化产物的处置方式和去向执行相应的标准要求。</w:t>
      </w:r>
      <w:bookmarkEnd w:id="28"/>
      <w:bookmarkEnd w:id="29"/>
    </w:p>
    <w:p>
      <w:pPr>
        <w:ind w:firstLine="562"/>
        <w:rPr>
          <w:rFonts w:cs="Times New Roman"/>
          <w:b/>
          <w:bCs/>
          <w:highlight w:val="none"/>
        </w:rPr>
      </w:pPr>
      <w:r>
        <w:rPr>
          <w:rFonts w:cs="Times New Roman"/>
          <w:b/>
          <w:bCs/>
          <w:highlight w:val="none"/>
        </w:rPr>
        <w:t>2、评估方法</w:t>
      </w:r>
    </w:p>
    <w:p>
      <w:pPr>
        <w:pStyle w:val="32"/>
        <w:ind w:firstLine="560"/>
        <w:rPr>
          <w:highlight w:val="none"/>
        </w:rPr>
      </w:pPr>
      <w:r>
        <w:rPr>
          <w:highlight w:val="none"/>
        </w:rPr>
        <w:t>样品采集和检测后，应分析检测数据，根据污染物浓度是否达到效果评估标准，判定地块是否达到修复目标要求。若效果评估未通过，应指出不达标区域，便于项目后期管理。</w:t>
      </w:r>
    </w:p>
    <w:p>
      <w:pPr>
        <w:pStyle w:val="32"/>
        <w:ind w:firstLine="560"/>
        <w:rPr>
          <w:highlight w:val="none"/>
        </w:rPr>
      </w:pPr>
      <w:r>
        <w:rPr>
          <w:highlight w:val="none"/>
        </w:rPr>
        <w:t>原则上统计分析法应在单个基坑或单个修复范围（即效果评估单元）内分别进行。</w:t>
      </w:r>
    </w:p>
    <w:p>
      <w:pPr>
        <w:pStyle w:val="32"/>
        <w:ind w:firstLine="560"/>
        <w:rPr>
          <w:highlight w:val="none"/>
        </w:rPr>
      </w:pPr>
      <w:r>
        <w:rPr>
          <w:highlight w:val="none"/>
        </w:rPr>
        <w:t>（1）当效果评估单元样本数量＜8个时，将样品检测值与修复效果评估标准逐个对比，样品检测值低于或等于评估标准时，则判定该样品点位为合格点位。</w:t>
      </w:r>
    </w:p>
    <w:p>
      <w:pPr>
        <w:pStyle w:val="32"/>
        <w:ind w:firstLine="560"/>
        <w:rPr>
          <w:highlight w:val="none"/>
        </w:rPr>
      </w:pPr>
      <w:r>
        <w:rPr>
          <w:highlight w:val="none"/>
        </w:rPr>
        <w:t>（2）当效果评估单元样本数量≥8个时，可采用统计分析法或逐个比对法进行评估：</w:t>
      </w:r>
    </w:p>
    <w:p>
      <w:pPr>
        <w:pStyle w:val="32"/>
        <w:ind w:firstLine="560"/>
        <w:rPr>
          <w:highlight w:val="none"/>
        </w:rPr>
      </w:pPr>
      <w:r>
        <w:rPr>
          <w:highlight w:val="none"/>
        </w:rPr>
        <w:fldChar w:fldCharType="begin"/>
      </w:r>
      <w:r>
        <w:rPr>
          <w:highlight w:val="none"/>
        </w:rPr>
        <w:instrText xml:space="preserve"> = 1 \* GB3 </w:instrText>
      </w:r>
      <w:r>
        <w:rPr>
          <w:highlight w:val="none"/>
        </w:rPr>
        <w:fldChar w:fldCharType="separate"/>
      </w:r>
      <w:r>
        <w:rPr>
          <w:rFonts w:hint="eastAsia" w:ascii="宋体" w:hAnsi="宋体" w:eastAsia="宋体" w:cs="宋体"/>
          <w:highlight w:val="none"/>
        </w:rPr>
        <w:t>①</w:t>
      </w:r>
      <w:r>
        <w:rPr>
          <w:highlight w:val="none"/>
        </w:rPr>
        <w:fldChar w:fldCharType="end"/>
      </w:r>
      <w:r>
        <w:rPr>
          <w:highlight w:val="none"/>
        </w:rPr>
        <w:t>统计分析法</w:t>
      </w:r>
    </w:p>
    <w:p>
      <w:pPr>
        <w:pStyle w:val="32"/>
        <w:ind w:firstLine="560"/>
        <w:rPr>
          <w:highlight w:val="none"/>
        </w:rPr>
      </w:pPr>
      <w:r>
        <w:rPr>
          <w:highlight w:val="none"/>
        </w:rPr>
        <w:t>效果评估单元样品均值的95%置信上限小于等于评估标准，且样品浓度最大值不超过修复效果评估标准值的2倍时，认为评估单元达到修复效果。</w:t>
      </w:r>
    </w:p>
    <w:p>
      <w:pPr>
        <w:pStyle w:val="32"/>
        <w:ind w:firstLine="560"/>
        <w:rPr>
          <w:highlight w:val="none"/>
        </w:rPr>
      </w:pPr>
      <w:r>
        <w:rPr>
          <w:highlight w:val="none"/>
        </w:rPr>
        <w:t>对于单个点位修复未达标的污染土壤不超过25 m</w:t>
      </w:r>
      <w:r>
        <w:rPr>
          <w:highlight w:val="none"/>
          <w:vertAlign w:val="superscript"/>
        </w:rPr>
        <w:t>3</w:t>
      </w:r>
      <w:r>
        <w:rPr>
          <w:highlight w:val="none"/>
        </w:rPr>
        <w:t>的，整个地块修复未达标土方量不超过75 m</w:t>
      </w:r>
      <w:r>
        <w:rPr>
          <w:highlight w:val="none"/>
          <w:vertAlign w:val="superscript"/>
        </w:rPr>
        <w:t>3</w:t>
      </w:r>
      <w:r>
        <w:rPr>
          <w:highlight w:val="none"/>
        </w:rPr>
        <w:t>的，则可认为地块总体达到修复效果。</w:t>
      </w:r>
    </w:p>
    <w:p>
      <w:pPr>
        <w:pStyle w:val="32"/>
        <w:ind w:firstLine="560"/>
        <w:rPr>
          <w:highlight w:val="none"/>
        </w:rPr>
      </w:pPr>
      <w:r>
        <w:rPr>
          <w:highlight w:val="none"/>
        </w:rPr>
        <w:t>对于低于报告限的数据，用报告限数值进行统计分析。</w:t>
      </w:r>
    </w:p>
    <w:p>
      <w:pPr>
        <w:pStyle w:val="32"/>
        <w:ind w:firstLine="560"/>
        <w:rPr>
          <w:highlight w:val="none"/>
        </w:rPr>
      </w:pPr>
      <w:r>
        <w:rPr>
          <w:highlight w:val="none"/>
        </w:rPr>
        <w:fldChar w:fldCharType="begin"/>
      </w:r>
      <w:r>
        <w:rPr>
          <w:highlight w:val="none"/>
        </w:rPr>
        <w:instrText xml:space="preserve"> = 2 \* GB3 </w:instrText>
      </w:r>
      <w:r>
        <w:rPr>
          <w:highlight w:val="none"/>
        </w:rPr>
        <w:fldChar w:fldCharType="separate"/>
      </w:r>
      <w:r>
        <w:rPr>
          <w:rFonts w:hint="eastAsia" w:ascii="宋体" w:hAnsi="宋体" w:eastAsia="宋体" w:cs="宋体"/>
          <w:highlight w:val="none"/>
        </w:rPr>
        <w:t>②</w:t>
      </w:r>
      <w:r>
        <w:rPr>
          <w:highlight w:val="none"/>
        </w:rPr>
        <w:fldChar w:fldCharType="end"/>
      </w:r>
      <w:r>
        <w:rPr>
          <w:highlight w:val="none"/>
        </w:rPr>
        <w:t>逐个比对法</w:t>
      </w:r>
    </w:p>
    <w:p>
      <w:pPr>
        <w:pStyle w:val="32"/>
        <w:ind w:firstLine="560"/>
        <w:rPr>
          <w:highlight w:val="none"/>
        </w:rPr>
      </w:pPr>
      <w:r>
        <w:rPr>
          <w:highlight w:val="none"/>
        </w:rPr>
        <w:t>当同一效果评估单元的同一污染物平行样数量≥4组时，结合t检验（参照HJ 25.5 附录C）分析采样和检测过程中的误差，确定检测值与修复效果评估值的差异。</w:t>
      </w:r>
    </w:p>
    <w:p>
      <w:pPr>
        <w:pStyle w:val="32"/>
        <w:ind w:firstLine="560"/>
        <w:rPr>
          <w:highlight w:val="none"/>
        </w:rPr>
      </w:pPr>
      <w:r>
        <w:rPr>
          <w:highlight w:val="none"/>
        </w:rPr>
        <w:t>若各样检测值显著低于评估标准或与评估标准差异不显著，则认为评估单元达到修复效果。若某样品的检测结果显著高于评估标准，则认为未达到修复效果。</w:t>
      </w:r>
    </w:p>
    <w:p>
      <w:pPr>
        <w:pStyle w:val="3"/>
        <w:rPr>
          <w:rFonts w:cs="Times New Roman"/>
          <w:highlight w:val="none"/>
        </w:rPr>
      </w:pPr>
      <w:r>
        <w:rPr>
          <w:rFonts w:cs="Times New Roman"/>
          <w:highlight w:val="none"/>
        </w:rPr>
        <w:t>六、地下水修复效果评估方法</w:t>
      </w:r>
    </w:p>
    <w:p>
      <w:pPr>
        <w:pStyle w:val="32"/>
        <w:ind w:firstLine="560"/>
        <w:rPr>
          <w:rFonts w:eastAsia="黑体"/>
          <w:bCs/>
          <w:iCs w:val="0"/>
          <w:kern w:val="2"/>
          <w:szCs w:val="32"/>
          <w:highlight w:val="none"/>
        </w:rPr>
      </w:pPr>
      <w:r>
        <w:rPr>
          <w:rFonts w:eastAsia="黑体"/>
          <w:bCs/>
          <w:iCs w:val="0"/>
          <w:kern w:val="2"/>
          <w:szCs w:val="32"/>
          <w:highlight w:val="none"/>
        </w:rPr>
        <w:t>1、评估标准</w:t>
      </w:r>
    </w:p>
    <w:p>
      <w:pPr>
        <w:pStyle w:val="32"/>
        <w:ind w:firstLine="576" w:firstLineChars="0"/>
        <w:rPr>
          <w:iCs w:val="0"/>
          <w:kern w:val="2"/>
          <w:szCs w:val="22"/>
          <w:highlight w:val="none"/>
        </w:rPr>
      </w:pPr>
      <w:r>
        <w:rPr>
          <w:iCs w:val="0"/>
          <w:kern w:val="2"/>
          <w:szCs w:val="22"/>
          <w:highlight w:val="none"/>
        </w:rPr>
        <w:t>（1）修复后地下水的评估标准值为地块修复方案中的目标污染物的修复目标值。</w:t>
      </w:r>
    </w:p>
    <w:p>
      <w:pPr>
        <w:pStyle w:val="32"/>
        <w:ind w:firstLine="576" w:firstLineChars="0"/>
        <w:rPr>
          <w:iCs w:val="0"/>
          <w:kern w:val="2"/>
          <w:szCs w:val="22"/>
          <w:highlight w:val="none"/>
        </w:rPr>
      </w:pPr>
      <w:r>
        <w:rPr>
          <w:iCs w:val="0"/>
          <w:kern w:val="2"/>
          <w:szCs w:val="22"/>
          <w:highlight w:val="none"/>
        </w:rPr>
        <w:t>（2）若修复目标值有变，应结合修复工程实际情况与管理要求调整修复效果评估标准值，</w:t>
      </w:r>
    </w:p>
    <w:p>
      <w:pPr>
        <w:pStyle w:val="32"/>
        <w:ind w:firstLine="576" w:firstLineChars="0"/>
        <w:rPr>
          <w:iCs w:val="0"/>
          <w:kern w:val="2"/>
          <w:szCs w:val="22"/>
          <w:highlight w:val="none"/>
        </w:rPr>
      </w:pPr>
      <w:r>
        <w:rPr>
          <w:iCs w:val="0"/>
          <w:kern w:val="2"/>
          <w:szCs w:val="22"/>
          <w:highlight w:val="none"/>
        </w:rPr>
        <w:t>（3）化学氧化、化学还原、微生物修复产生的二次污染的评估标准，原则上应根据修复技术方案中的可行性分析结果确定，也可参照GB/T 14848中地下水使用功能对应标准值执行，或根据暴露情景进行风险评估确定，风险评估可参照HJ 25.3执行。</w:t>
      </w:r>
    </w:p>
    <w:p>
      <w:pPr>
        <w:ind w:firstLine="562"/>
        <w:rPr>
          <w:rFonts w:cs="Times New Roman"/>
          <w:b/>
          <w:bCs/>
          <w:highlight w:val="none"/>
        </w:rPr>
      </w:pPr>
      <w:r>
        <w:rPr>
          <w:rFonts w:cs="Times New Roman"/>
          <w:b/>
          <w:bCs/>
          <w:highlight w:val="none"/>
        </w:rPr>
        <w:t>2、评估方法</w:t>
      </w:r>
    </w:p>
    <w:p>
      <w:pPr>
        <w:pStyle w:val="32"/>
        <w:ind w:firstLine="576" w:firstLineChars="0"/>
        <w:rPr>
          <w:iCs w:val="0"/>
          <w:kern w:val="2"/>
          <w:szCs w:val="22"/>
          <w:highlight w:val="none"/>
        </w:rPr>
      </w:pPr>
      <w:r>
        <w:rPr>
          <w:iCs w:val="0"/>
          <w:kern w:val="2"/>
          <w:szCs w:val="22"/>
          <w:highlight w:val="none"/>
        </w:rPr>
        <w:t>（1）每口监测井中的检测指标均持续稳定达标，可认为地下水达到修复效果。</w:t>
      </w:r>
    </w:p>
    <w:p>
      <w:pPr>
        <w:pStyle w:val="32"/>
        <w:ind w:firstLine="576" w:firstLineChars="0"/>
        <w:rPr>
          <w:iCs w:val="0"/>
          <w:kern w:val="2"/>
          <w:szCs w:val="22"/>
          <w:highlight w:val="none"/>
        </w:rPr>
      </w:pPr>
      <w:r>
        <w:rPr>
          <w:iCs w:val="0"/>
          <w:kern w:val="2"/>
          <w:szCs w:val="22"/>
          <w:highlight w:val="none"/>
        </w:rPr>
        <w:t>（2）地下水中污染物浓度呈现稳态或下降趋势，可判断地下水达到修复效果。</w:t>
      </w:r>
    </w:p>
    <w:p>
      <w:pPr>
        <w:pStyle w:val="32"/>
        <w:ind w:firstLine="576" w:firstLineChars="0"/>
        <w:rPr>
          <w:iCs w:val="0"/>
          <w:kern w:val="2"/>
          <w:szCs w:val="22"/>
          <w:highlight w:val="none"/>
        </w:rPr>
      </w:pPr>
      <w:r>
        <w:rPr>
          <w:iCs w:val="0"/>
          <w:kern w:val="2"/>
          <w:szCs w:val="22"/>
          <w:highlight w:val="none"/>
        </w:rPr>
        <w:t>（3）采用地下水中污染物浓度趋势分析确定污染物浓度呈现稳态进行判断。在95%置信水平下，趋势线斜率与0没有显著差异，说明浓度呈现稳。</w:t>
      </w:r>
    </w:p>
    <w:p>
      <w:pPr>
        <w:pStyle w:val="3"/>
        <w:rPr>
          <w:rFonts w:cs="Times New Roman"/>
          <w:highlight w:val="none"/>
        </w:rPr>
      </w:pPr>
      <w:r>
        <w:rPr>
          <w:rFonts w:cs="Times New Roman"/>
          <w:highlight w:val="none"/>
        </w:rPr>
        <w:t>七、风险管控效果评估方法</w:t>
      </w:r>
    </w:p>
    <w:p>
      <w:pPr>
        <w:ind w:firstLine="562"/>
        <w:rPr>
          <w:rFonts w:cs="Times New Roman"/>
          <w:b/>
          <w:bCs/>
          <w:highlight w:val="none"/>
        </w:rPr>
      </w:pPr>
      <w:r>
        <w:rPr>
          <w:rFonts w:cs="Times New Roman"/>
          <w:b/>
          <w:bCs/>
          <w:highlight w:val="none"/>
        </w:rPr>
        <w:t>1、评估标准</w:t>
      </w:r>
    </w:p>
    <w:p>
      <w:pPr>
        <w:ind w:firstLine="560"/>
        <w:rPr>
          <w:rFonts w:cs="Times New Roman"/>
          <w:highlight w:val="none"/>
        </w:rPr>
      </w:pPr>
      <w:r>
        <w:rPr>
          <w:rFonts w:cs="Times New Roman"/>
          <w:highlight w:val="none"/>
        </w:rPr>
        <w:t>风险管控措施下游地下水中污染物浓度应持续下降，固化/稳定化后土壤中污染物浸出浓度应达到接受地地下水用途对应标准或不会对地下水造成危害。</w:t>
      </w:r>
    </w:p>
    <w:p>
      <w:pPr>
        <w:ind w:firstLine="560"/>
        <w:rPr>
          <w:rFonts w:cs="Times New Roman"/>
          <w:highlight w:val="none"/>
        </w:rPr>
      </w:pPr>
      <w:r>
        <w:rPr>
          <w:rFonts w:cs="Times New Roman"/>
          <w:highlight w:val="none"/>
        </w:rPr>
        <w:t>2</w:t>
      </w:r>
      <w:r>
        <w:rPr>
          <w:rFonts w:cs="Times New Roman"/>
          <w:b/>
          <w:bCs/>
          <w:highlight w:val="none"/>
        </w:rPr>
        <w:t>、评估方法</w:t>
      </w:r>
    </w:p>
    <w:p>
      <w:pPr>
        <w:ind w:firstLine="560"/>
        <w:rPr>
          <w:rFonts w:cs="Times New Roman"/>
          <w:highlight w:val="none"/>
        </w:rPr>
      </w:pPr>
      <w:r>
        <w:rPr>
          <w:rFonts w:cs="Times New Roman"/>
          <w:highlight w:val="none"/>
        </w:rPr>
        <w:t>若工程性指标和污染物指标均达到评估标准，则判断风险管控达到预期效果，可对风险管控措施开展运行与维护。</w:t>
      </w:r>
    </w:p>
    <w:p>
      <w:pPr>
        <w:ind w:firstLine="560"/>
        <w:rPr>
          <w:rFonts w:cs="Times New Roman"/>
          <w:highlight w:val="none"/>
        </w:rPr>
      </w:pPr>
      <w:r>
        <w:rPr>
          <w:rFonts w:cs="Times New Roman"/>
          <w:highlight w:val="none"/>
        </w:rPr>
        <w:t>若工程性能指标或污染物指标未达到评估标准，则判断风险管控未达到预期效果，须对风险管控措施进行优化或修理。</w:t>
      </w:r>
    </w:p>
    <w:p>
      <w:pPr>
        <w:pStyle w:val="3"/>
        <w:rPr>
          <w:rFonts w:cs="Times New Roman"/>
          <w:highlight w:val="none"/>
        </w:rPr>
      </w:pPr>
      <w:r>
        <w:rPr>
          <w:rFonts w:cs="Times New Roman"/>
          <w:highlight w:val="none"/>
        </w:rPr>
        <w:t xml:space="preserve">八、后期环境管理计划  </w:t>
      </w:r>
    </w:p>
    <w:p>
      <w:pPr>
        <w:ind w:firstLine="560"/>
        <w:rPr>
          <w:rFonts w:cs="Times New Roman"/>
          <w:highlight w:val="none"/>
        </w:rPr>
      </w:pPr>
      <w:r>
        <w:rPr>
          <w:rFonts w:cs="Times New Roman"/>
          <w:highlight w:val="none"/>
        </w:rPr>
        <w:t>需进行后期环境管理的地块类型：对于修复后土壤中污染物浓度未达到GB 36600第一类用地筛选值的地块或实施风险管控的地块。</w:t>
      </w:r>
    </w:p>
    <w:p>
      <w:pPr>
        <w:ind w:firstLine="560"/>
        <w:rPr>
          <w:rFonts w:cs="Times New Roman"/>
          <w:highlight w:val="none"/>
        </w:rPr>
      </w:pPr>
      <w:r>
        <w:rPr>
          <w:rFonts w:cs="Times New Roman"/>
          <w:highlight w:val="none"/>
        </w:rPr>
        <w:t>后期环境管理的时限：直至地块土壤中污染物浓度达到GB 36600第一类用地筛选值、地下水中污染物达到GB/T 14848中地下水使用功能对应标准值为止。</w:t>
      </w:r>
    </w:p>
    <w:p>
      <w:pPr>
        <w:ind w:firstLine="560"/>
        <w:rPr>
          <w:rFonts w:cs="Times New Roman"/>
          <w:highlight w:val="none"/>
        </w:rPr>
      </w:pPr>
      <w:r>
        <w:rPr>
          <w:rFonts w:cs="Times New Roman"/>
          <w:highlight w:val="none"/>
        </w:rPr>
        <w:t>长期环境监测频率：地下水原则上每1~2年开展一次，可视情况调整。</w:t>
      </w:r>
    </w:p>
    <w:p>
      <w:pPr>
        <w:ind w:firstLine="560"/>
        <w:rPr>
          <w:rFonts w:cs="Times New Roman"/>
          <w:highlight w:val="none"/>
        </w:rPr>
      </w:pPr>
      <w:r>
        <w:rPr>
          <w:rFonts w:cs="Times New Roman"/>
          <w:highlight w:val="none"/>
        </w:rPr>
        <w:t>制度控制措施：明确制度控制的措施，如限制地块使用方式、限制地下水利用方式、通知和公告地块潜在风险、限制进入或使用条例等。</w:t>
      </w:r>
    </w:p>
    <w:p>
      <w:pPr>
        <w:ind w:firstLine="560"/>
        <w:rPr>
          <w:rFonts w:cs="Times New Roman"/>
          <w:highlight w:val="none"/>
        </w:rPr>
      </w:pPr>
      <w:r>
        <w:rPr>
          <w:rFonts w:cs="Times New Roman"/>
          <w:highlight w:val="none"/>
        </w:rPr>
        <w:t>对于周边存在污染的地块，建议做相应污染防控措施，防止地块外污染物向地块内迁移。</w:t>
      </w:r>
    </w:p>
    <w:p>
      <w:pPr>
        <w:pStyle w:val="3"/>
        <w:rPr>
          <w:rFonts w:cs="Times New Roman"/>
          <w:highlight w:val="none"/>
        </w:rPr>
      </w:pPr>
      <w:r>
        <w:rPr>
          <w:rFonts w:cs="Times New Roman"/>
          <w:highlight w:val="none"/>
        </w:rPr>
        <w:t>九、结论与建议</w:t>
      </w:r>
    </w:p>
    <w:p>
      <w:pPr>
        <w:ind w:firstLine="560"/>
        <w:rPr>
          <w:rFonts w:cs="Times New Roman"/>
          <w:highlight w:val="none"/>
        </w:rPr>
      </w:pPr>
      <w:r>
        <w:rPr>
          <w:rFonts w:cs="Times New Roman"/>
          <w:highlight w:val="none"/>
        </w:rPr>
        <w:t>明确地块是否达到土壤污染风险评估报告确定的风险管控、修复目标且可以安全利用</w:t>
      </w:r>
      <w:r>
        <w:rPr>
          <w:rFonts w:hint="eastAsia" w:cs="Times New Roman"/>
          <w:highlight w:val="none"/>
        </w:rPr>
        <w:t>等内容</w:t>
      </w:r>
      <w:r>
        <w:rPr>
          <w:rFonts w:cs="Times New Roman"/>
          <w:highlight w:val="none"/>
        </w:rPr>
        <w:t>，并对修复后土壤、地下水提出后期管理、长期监测等要求</w:t>
      </w:r>
      <w:r>
        <w:rPr>
          <w:rFonts w:hint="eastAsia" w:cs="Times New Roman"/>
          <w:highlight w:val="none"/>
        </w:rPr>
        <w:t>和建议</w:t>
      </w:r>
      <w:r>
        <w:rPr>
          <w:rFonts w:cs="Times New Roman"/>
          <w:highlight w:val="none"/>
        </w:rPr>
        <w:t>。</w:t>
      </w:r>
    </w:p>
    <w:p>
      <w:pPr>
        <w:ind w:firstLine="560"/>
        <w:rPr>
          <w:rFonts w:cs="Times New Roman"/>
          <w:highlight w:val="none"/>
        </w:rPr>
      </w:pPr>
    </w:p>
    <w:p>
      <w:pPr>
        <w:ind w:firstLine="560"/>
        <w:rPr>
          <w:rFonts w:cs="Times New Roman"/>
          <w:highlight w:val="none"/>
        </w:rPr>
        <w:sectPr>
          <w:pgSz w:w="11906" w:h="16838"/>
          <w:pgMar w:top="1797" w:right="1440" w:bottom="1797" w:left="1440" w:header="851" w:footer="992" w:gutter="0"/>
          <w:cols w:space="425" w:num="1"/>
          <w:docGrid w:linePitch="435" w:charSpace="0"/>
        </w:sectPr>
      </w:pPr>
    </w:p>
    <w:p>
      <w:pPr>
        <w:pStyle w:val="2"/>
        <w:spacing w:before="120"/>
        <w:ind w:firstLine="0" w:firstLineChars="0"/>
        <w:jc w:val="both"/>
        <w:rPr>
          <w:rFonts w:hint="eastAsia" w:eastAsia="黑体"/>
          <w:highlight w:val="none"/>
          <w:lang w:eastAsia="zh-CN"/>
        </w:rPr>
      </w:pPr>
      <w:r>
        <w:rPr>
          <w:highlight w:val="none"/>
        </w:rPr>
        <w:t xml:space="preserve">附件1 </w:t>
      </w:r>
      <w:bookmarkStart w:id="30" w:name="_Hlk42617593"/>
      <w:r>
        <w:rPr>
          <w:highlight w:val="none"/>
        </w:rPr>
        <w:t>建设用地土壤污染风险管控和修复相关报告</w:t>
      </w:r>
      <w:bookmarkEnd w:id="30"/>
      <w:r>
        <w:rPr>
          <w:rFonts w:hint="eastAsia"/>
          <w:highlight w:val="none"/>
          <w:lang w:eastAsia="zh-CN"/>
        </w:rPr>
        <w:t>编制大纲</w:t>
      </w:r>
    </w:p>
    <w:p>
      <w:pPr>
        <w:pStyle w:val="3"/>
        <w:rPr>
          <w:rFonts w:hint="eastAsia" w:eastAsia="黑体" w:cs="Times New Roman"/>
          <w:highlight w:val="none"/>
          <w:lang w:eastAsia="zh-CN"/>
        </w:rPr>
      </w:pPr>
      <w:r>
        <w:rPr>
          <w:rFonts w:cs="Times New Roman"/>
          <w:highlight w:val="none"/>
        </w:rPr>
        <w:t xml:space="preserve">附件1-1 </w:t>
      </w:r>
      <w:bookmarkStart w:id="31" w:name="_Hlk36890950"/>
      <w:r>
        <w:rPr>
          <w:rFonts w:cs="Times New Roman"/>
          <w:highlight w:val="none"/>
        </w:rPr>
        <w:t>建设用地土壤污染状况调查报告</w:t>
      </w:r>
      <w:bookmarkEnd w:id="31"/>
      <w:r>
        <w:rPr>
          <w:rFonts w:hint="eastAsia" w:cs="Times New Roman"/>
          <w:highlight w:val="none"/>
          <w:lang w:eastAsia="zh-CN"/>
        </w:rPr>
        <w:t>编制大纲</w:t>
      </w:r>
    </w:p>
    <w:p>
      <w:pPr>
        <w:ind w:firstLine="512" w:firstLineChars="183"/>
        <w:rPr>
          <w:rFonts w:cs="Times New Roman"/>
          <w:highlight w:val="none"/>
        </w:rPr>
      </w:pPr>
      <w:bookmarkStart w:id="32" w:name="_Hlk42762895"/>
      <w:r>
        <w:rPr>
          <w:rFonts w:cs="Times New Roman"/>
          <w:highlight w:val="none"/>
        </w:rPr>
        <w:t>建设用地土壤污染状况调查报告包括但不限于以下内容：</w:t>
      </w:r>
    </w:p>
    <w:bookmarkEnd w:id="32"/>
    <w:p>
      <w:pPr>
        <w:ind w:firstLine="0" w:firstLineChars="0"/>
        <w:rPr>
          <w:rFonts w:cs="Times New Roman"/>
          <w:highlight w:val="none"/>
        </w:rPr>
      </w:pPr>
      <w:r>
        <w:rPr>
          <w:rFonts w:hint="eastAsia" w:cs="Times New Roman"/>
          <w:highlight w:val="none"/>
        </w:rPr>
        <w:t>1</w:t>
      </w:r>
      <w:r>
        <w:rPr>
          <w:rFonts w:cs="Times New Roman"/>
          <w:highlight w:val="none"/>
        </w:rPr>
        <w:t xml:space="preserve"> </w:t>
      </w:r>
      <w:r>
        <w:rPr>
          <w:rFonts w:hint="eastAsia" w:cs="Times New Roman"/>
          <w:highlight w:val="none"/>
        </w:rPr>
        <w:t>摘要</w:t>
      </w:r>
    </w:p>
    <w:p>
      <w:pPr>
        <w:ind w:firstLine="0" w:firstLineChars="0"/>
        <w:rPr>
          <w:rFonts w:cs="Times New Roman"/>
          <w:highlight w:val="none"/>
        </w:rPr>
      </w:pPr>
      <w:r>
        <w:rPr>
          <w:rFonts w:cs="Times New Roman"/>
          <w:highlight w:val="none"/>
        </w:rPr>
        <w:t>2 项目概况</w:t>
      </w:r>
    </w:p>
    <w:p>
      <w:pPr>
        <w:ind w:firstLine="0" w:firstLineChars="0"/>
        <w:rPr>
          <w:rFonts w:cs="Times New Roman"/>
          <w:highlight w:val="none"/>
        </w:rPr>
      </w:pPr>
      <w:r>
        <w:rPr>
          <w:rFonts w:cs="Times New Roman"/>
          <w:highlight w:val="none"/>
        </w:rPr>
        <w:t xml:space="preserve">  2.1 项目背景和来由</w:t>
      </w:r>
    </w:p>
    <w:p>
      <w:pPr>
        <w:ind w:firstLine="0" w:firstLineChars="0"/>
        <w:rPr>
          <w:rFonts w:cs="Times New Roman"/>
          <w:highlight w:val="none"/>
        </w:rPr>
      </w:pPr>
      <w:r>
        <w:rPr>
          <w:rFonts w:cs="Times New Roman"/>
          <w:highlight w:val="none"/>
        </w:rPr>
        <w:t xml:space="preserve">  2.2 </w:t>
      </w:r>
      <w:r>
        <w:rPr>
          <w:rFonts w:hint="eastAsia" w:cs="Times New Roman"/>
          <w:highlight w:val="none"/>
        </w:rPr>
        <w:t>调查</w:t>
      </w:r>
      <w:r>
        <w:rPr>
          <w:rFonts w:cs="Times New Roman"/>
          <w:highlight w:val="none"/>
        </w:rPr>
        <w:t>目的和原则</w:t>
      </w:r>
    </w:p>
    <w:p>
      <w:pPr>
        <w:ind w:firstLine="280" w:firstLineChars="100"/>
        <w:rPr>
          <w:rFonts w:cs="Times New Roman"/>
          <w:highlight w:val="none"/>
        </w:rPr>
      </w:pPr>
      <w:r>
        <w:rPr>
          <w:rFonts w:cs="Times New Roman"/>
          <w:highlight w:val="none"/>
        </w:rPr>
        <w:t>2.3 调查范围</w:t>
      </w:r>
    </w:p>
    <w:p>
      <w:pPr>
        <w:ind w:firstLine="280" w:firstLineChars="100"/>
        <w:rPr>
          <w:rFonts w:cs="Times New Roman"/>
          <w:highlight w:val="none"/>
        </w:rPr>
      </w:pPr>
      <w:r>
        <w:rPr>
          <w:rFonts w:cs="Times New Roman"/>
          <w:highlight w:val="none"/>
        </w:rPr>
        <w:t xml:space="preserve">2.4 </w:t>
      </w:r>
      <w:r>
        <w:rPr>
          <w:rFonts w:hint="eastAsia" w:cs="Times New Roman"/>
          <w:highlight w:val="none"/>
        </w:rPr>
        <w:t>调查</w:t>
      </w:r>
      <w:r>
        <w:rPr>
          <w:rFonts w:cs="Times New Roman"/>
          <w:highlight w:val="none"/>
        </w:rPr>
        <w:t>依据</w:t>
      </w:r>
    </w:p>
    <w:p>
      <w:pPr>
        <w:ind w:firstLine="0" w:firstLineChars="0"/>
        <w:rPr>
          <w:rFonts w:cs="Times New Roman"/>
          <w:highlight w:val="none"/>
        </w:rPr>
      </w:pPr>
      <w:r>
        <w:rPr>
          <w:rFonts w:cs="Times New Roman"/>
          <w:highlight w:val="none"/>
        </w:rPr>
        <w:t xml:space="preserve">  2.5 调查方法</w:t>
      </w:r>
    </w:p>
    <w:p>
      <w:pPr>
        <w:ind w:firstLine="0" w:firstLineChars="0"/>
        <w:rPr>
          <w:rFonts w:cs="Times New Roman"/>
          <w:highlight w:val="none"/>
        </w:rPr>
      </w:pPr>
      <w:r>
        <w:rPr>
          <w:rFonts w:cs="Times New Roman"/>
          <w:highlight w:val="none"/>
        </w:rPr>
        <w:t xml:space="preserve">  2.6 技术路线</w:t>
      </w:r>
    </w:p>
    <w:p>
      <w:pPr>
        <w:ind w:firstLine="0" w:firstLineChars="0"/>
        <w:rPr>
          <w:rFonts w:cs="Times New Roman"/>
          <w:highlight w:val="none"/>
        </w:rPr>
      </w:pPr>
      <w:r>
        <w:rPr>
          <w:rFonts w:cs="Times New Roman"/>
          <w:highlight w:val="none"/>
        </w:rPr>
        <w:t>3 地块概况</w:t>
      </w:r>
    </w:p>
    <w:p>
      <w:pPr>
        <w:ind w:firstLine="0" w:firstLineChars="0"/>
        <w:rPr>
          <w:rFonts w:cs="Times New Roman"/>
          <w:highlight w:val="none"/>
        </w:rPr>
      </w:pPr>
      <w:r>
        <w:rPr>
          <w:rFonts w:cs="Times New Roman"/>
          <w:highlight w:val="none"/>
        </w:rPr>
        <w:t xml:space="preserve">  3.1 地块地理位置</w:t>
      </w:r>
    </w:p>
    <w:p>
      <w:pPr>
        <w:ind w:firstLine="280" w:firstLineChars="100"/>
        <w:rPr>
          <w:rFonts w:cs="Times New Roman"/>
          <w:highlight w:val="none"/>
        </w:rPr>
      </w:pPr>
      <w:r>
        <w:rPr>
          <w:rFonts w:cs="Times New Roman"/>
          <w:highlight w:val="none"/>
        </w:rPr>
        <w:t>3.2 区域环境概况</w:t>
      </w:r>
    </w:p>
    <w:p>
      <w:pPr>
        <w:ind w:firstLine="0" w:firstLineChars="0"/>
        <w:rPr>
          <w:rFonts w:cs="Times New Roman"/>
          <w:highlight w:val="none"/>
        </w:rPr>
      </w:pPr>
      <w:r>
        <w:rPr>
          <w:rFonts w:cs="Times New Roman"/>
          <w:highlight w:val="none"/>
        </w:rPr>
        <w:t xml:space="preserve">  3.3 周边敏感目标</w:t>
      </w:r>
    </w:p>
    <w:p>
      <w:pPr>
        <w:ind w:firstLine="0" w:firstLineChars="0"/>
        <w:rPr>
          <w:rFonts w:cs="Times New Roman"/>
          <w:highlight w:val="none"/>
        </w:rPr>
      </w:pPr>
      <w:r>
        <w:rPr>
          <w:rFonts w:cs="Times New Roman"/>
          <w:highlight w:val="none"/>
        </w:rPr>
        <w:t xml:space="preserve">  3.4 地块现状和历史</w:t>
      </w:r>
    </w:p>
    <w:p>
      <w:pPr>
        <w:ind w:firstLine="0" w:firstLineChars="0"/>
        <w:rPr>
          <w:rFonts w:cs="Times New Roman"/>
          <w:highlight w:val="none"/>
        </w:rPr>
      </w:pPr>
      <w:r>
        <w:rPr>
          <w:rFonts w:cs="Times New Roman"/>
          <w:highlight w:val="none"/>
        </w:rPr>
        <w:t xml:space="preserve">  3.5 相邻地块现状和历史</w:t>
      </w:r>
    </w:p>
    <w:p>
      <w:pPr>
        <w:ind w:firstLine="0" w:firstLineChars="0"/>
        <w:rPr>
          <w:rFonts w:cs="Times New Roman"/>
          <w:highlight w:val="none"/>
        </w:rPr>
      </w:pPr>
      <w:r>
        <w:rPr>
          <w:rFonts w:cs="Times New Roman"/>
          <w:highlight w:val="none"/>
        </w:rPr>
        <w:t xml:space="preserve">  3.6 地块利用规划</w:t>
      </w:r>
    </w:p>
    <w:p>
      <w:pPr>
        <w:ind w:firstLine="0" w:firstLineChars="0"/>
        <w:rPr>
          <w:rFonts w:cs="Times New Roman"/>
          <w:highlight w:val="none"/>
        </w:rPr>
      </w:pPr>
      <w:r>
        <w:rPr>
          <w:rFonts w:cs="Times New Roman"/>
          <w:highlight w:val="none"/>
        </w:rPr>
        <w:t>4 污染识别</w:t>
      </w:r>
    </w:p>
    <w:p>
      <w:pPr>
        <w:ind w:firstLine="0" w:firstLineChars="0"/>
        <w:rPr>
          <w:rFonts w:cs="Times New Roman"/>
          <w:highlight w:val="none"/>
        </w:rPr>
      </w:pPr>
      <w:r>
        <w:rPr>
          <w:rFonts w:cs="Times New Roman"/>
          <w:highlight w:val="none"/>
        </w:rPr>
        <w:t xml:space="preserve">  4.1 调查区域内污染源分布及环境影响分析</w:t>
      </w:r>
    </w:p>
    <w:p>
      <w:pPr>
        <w:ind w:firstLine="0" w:firstLineChars="0"/>
        <w:rPr>
          <w:rFonts w:cs="Times New Roman"/>
          <w:highlight w:val="none"/>
        </w:rPr>
      </w:pPr>
      <w:r>
        <w:rPr>
          <w:rFonts w:cs="Times New Roman"/>
          <w:highlight w:val="none"/>
        </w:rPr>
        <w:t xml:space="preserve">  4.2 调查区域周边污染源分布及环境影响分析</w:t>
      </w:r>
    </w:p>
    <w:p>
      <w:pPr>
        <w:ind w:firstLine="0" w:firstLineChars="0"/>
        <w:rPr>
          <w:rFonts w:cs="Times New Roman"/>
          <w:highlight w:val="none"/>
        </w:rPr>
      </w:pPr>
      <w:r>
        <w:rPr>
          <w:rFonts w:cs="Times New Roman"/>
          <w:highlight w:val="none"/>
        </w:rPr>
        <w:t xml:space="preserve">  4.3 现场踏勘与人员访谈</w:t>
      </w:r>
    </w:p>
    <w:p>
      <w:pPr>
        <w:ind w:firstLine="0" w:firstLineChars="0"/>
        <w:rPr>
          <w:rFonts w:cs="Times New Roman"/>
          <w:highlight w:val="none"/>
        </w:rPr>
      </w:pPr>
      <w:r>
        <w:rPr>
          <w:rFonts w:cs="Times New Roman"/>
          <w:highlight w:val="none"/>
        </w:rPr>
        <w:t xml:space="preserve">  4.4 地块前期监测资料</w:t>
      </w:r>
    </w:p>
    <w:p>
      <w:pPr>
        <w:ind w:firstLine="0" w:firstLineChars="0"/>
        <w:rPr>
          <w:rFonts w:cs="Times New Roman"/>
          <w:highlight w:val="none"/>
        </w:rPr>
      </w:pPr>
      <w:r>
        <w:rPr>
          <w:rFonts w:cs="Times New Roman"/>
          <w:highlight w:val="none"/>
        </w:rPr>
        <w:t xml:space="preserve">  4.5 地块概念模型</w:t>
      </w:r>
    </w:p>
    <w:p>
      <w:pPr>
        <w:ind w:firstLine="0" w:firstLineChars="0"/>
        <w:rPr>
          <w:rFonts w:cs="Times New Roman"/>
          <w:highlight w:val="none"/>
        </w:rPr>
      </w:pPr>
      <w:r>
        <w:rPr>
          <w:rFonts w:cs="Times New Roman"/>
          <w:highlight w:val="none"/>
        </w:rPr>
        <w:t xml:space="preserve">  4.6 污染识别结论</w:t>
      </w:r>
    </w:p>
    <w:p>
      <w:pPr>
        <w:ind w:firstLine="0" w:firstLineChars="0"/>
        <w:rPr>
          <w:rFonts w:cs="Times New Roman"/>
          <w:highlight w:val="none"/>
        </w:rPr>
      </w:pPr>
      <w:r>
        <w:rPr>
          <w:rFonts w:cs="Times New Roman"/>
          <w:highlight w:val="none"/>
        </w:rPr>
        <w:t xml:space="preserve">5 </w:t>
      </w:r>
      <w:r>
        <w:rPr>
          <w:rFonts w:hint="eastAsia" w:cs="Times New Roman"/>
          <w:highlight w:val="none"/>
        </w:rPr>
        <w:t>现场勘察和采样方案</w:t>
      </w:r>
    </w:p>
    <w:p>
      <w:pPr>
        <w:ind w:firstLine="0" w:firstLineChars="0"/>
        <w:rPr>
          <w:rFonts w:cs="Times New Roman"/>
          <w:highlight w:val="none"/>
        </w:rPr>
      </w:pPr>
      <w:r>
        <w:rPr>
          <w:rFonts w:cs="Times New Roman"/>
          <w:highlight w:val="none"/>
        </w:rPr>
        <w:t xml:space="preserve">  5.1 </w:t>
      </w:r>
      <w:r>
        <w:rPr>
          <w:rFonts w:hint="eastAsia" w:cs="Times New Roman"/>
          <w:highlight w:val="none"/>
        </w:rPr>
        <w:t>布点原则</w:t>
      </w:r>
    </w:p>
    <w:p>
      <w:pPr>
        <w:ind w:firstLine="0" w:firstLineChars="0"/>
        <w:rPr>
          <w:rFonts w:cs="Times New Roman"/>
          <w:highlight w:val="none"/>
        </w:rPr>
      </w:pPr>
      <w:r>
        <w:rPr>
          <w:rFonts w:cs="Times New Roman"/>
          <w:highlight w:val="none"/>
        </w:rPr>
        <w:t xml:space="preserve">  </w:t>
      </w:r>
      <w:r>
        <w:rPr>
          <w:rFonts w:hint="eastAsia" w:cs="Times New Roman"/>
          <w:highlight w:val="none"/>
        </w:rPr>
        <w:t>5</w:t>
      </w:r>
      <w:r>
        <w:rPr>
          <w:rFonts w:cs="Times New Roman"/>
          <w:highlight w:val="none"/>
        </w:rPr>
        <w:t xml:space="preserve">.2 </w:t>
      </w:r>
      <w:r>
        <w:rPr>
          <w:rFonts w:hint="eastAsia" w:cs="Times New Roman"/>
          <w:highlight w:val="none"/>
        </w:rPr>
        <w:t>布点方案</w:t>
      </w:r>
    </w:p>
    <w:p>
      <w:pPr>
        <w:ind w:firstLine="0" w:firstLineChars="0"/>
        <w:rPr>
          <w:rFonts w:cs="Times New Roman"/>
          <w:highlight w:val="none"/>
        </w:rPr>
      </w:pPr>
      <w:r>
        <w:rPr>
          <w:rFonts w:cs="Times New Roman"/>
          <w:highlight w:val="none"/>
        </w:rPr>
        <w:t xml:space="preserve">  5.</w:t>
      </w:r>
      <w:r>
        <w:rPr>
          <w:rFonts w:hint="eastAsia" w:cs="Times New Roman"/>
          <w:highlight w:val="none"/>
          <w:lang w:val="en-US" w:eastAsia="zh-CN"/>
        </w:rPr>
        <w:t>3</w:t>
      </w:r>
      <w:r>
        <w:rPr>
          <w:rFonts w:cs="Times New Roman"/>
          <w:highlight w:val="none"/>
        </w:rPr>
        <w:t xml:space="preserve"> 样品采集</w:t>
      </w:r>
      <w:r>
        <w:rPr>
          <w:rFonts w:hint="eastAsia" w:cs="Times New Roman"/>
          <w:highlight w:val="none"/>
        </w:rPr>
        <w:t>方案</w:t>
      </w:r>
    </w:p>
    <w:p>
      <w:pPr>
        <w:ind w:firstLine="0" w:firstLineChars="0"/>
        <w:rPr>
          <w:rFonts w:cs="Times New Roman"/>
          <w:highlight w:val="none"/>
        </w:rPr>
      </w:pPr>
      <w:r>
        <w:rPr>
          <w:rFonts w:cs="Times New Roman"/>
          <w:highlight w:val="none"/>
        </w:rPr>
        <w:t xml:space="preserve">  5</w:t>
      </w:r>
      <w:r>
        <w:rPr>
          <w:rFonts w:hint="eastAsia" w:cs="Times New Roman"/>
          <w:highlight w:val="none"/>
          <w:lang w:val="en-US" w:eastAsia="zh-CN"/>
        </w:rPr>
        <w:t>.4</w:t>
      </w:r>
      <w:r>
        <w:rPr>
          <w:rFonts w:cs="Times New Roman"/>
          <w:highlight w:val="none"/>
        </w:rPr>
        <w:t xml:space="preserve"> 样品保存与流转</w:t>
      </w:r>
    </w:p>
    <w:p>
      <w:pPr>
        <w:ind w:firstLine="0" w:firstLineChars="0"/>
        <w:rPr>
          <w:rFonts w:cs="Times New Roman"/>
          <w:highlight w:val="none"/>
        </w:rPr>
      </w:pPr>
      <w:r>
        <w:rPr>
          <w:rFonts w:cs="Times New Roman"/>
          <w:highlight w:val="none"/>
        </w:rPr>
        <w:t xml:space="preserve">  </w:t>
      </w:r>
      <w:r>
        <w:rPr>
          <w:rFonts w:hint="eastAsia" w:cs="Times New Roman"/>
          <w:highlight w:val="none"/>
          <w:lang w:val="en-US" w:eastAsia="zh-CN"/>
        </w:rPr>
        <w:t>5</w:t>
      </w:r>
      <w:r>
        <w:rPr>
          <w:rFonts w:cs="Times New Roman"/>
          <w:highlight w:val="none"/>
        </w:rPr>
        <w:t>.4 样品分析</w:t>
      </w:r>
      <w:r>
        <w:rPr>
          <w:rFonts w:hint="eastAsia" w:cs="Times New Roman"/>
          <w:highlight w:val="none"/>
        </w:rPr>
        <w:t>检测</w:t>
      </w:r>
      <w:r>
        <w:rPr>
          <w:rFonts w:cs="Times New Roman"/>
          <w:highlight w:val="none"/>
        </w:rPr>
        <w:t>方案</w:t>
      </w:r>
    </w:p>
    <w:p>
      <w:pPr>
        <w:ind w:firstLine="0" w:firstLineChars="0"/>
        <w:rPr>
          <w:rFonts w:cs="Times New Roman"/>
          <w:highlight w:val="none"/>
        </w:rPr>
      </w:pPr>
      <w:r>
        <w:rPr>
          <w:rFonts w:cs="Times New Roman"/>
          <w:highlight w:val="none"/>
        </w:rPr>
        <w:t xml:space="preserve">  </w:t>
      </w:r>
      <w:r>
        <w:rPr>
          <w:rFonts w:hint="eastAsia" w:cs="Times New Roman"/>
          <w:highlight w:val="none"/>
          <w:lang w:val="en-US" w:eastAsia="zh-CN"/>
        </w:rPr>
        <w:t>5</w:t>
      </w:r>
      <w:r>
        <w:rPr>
          <w:rFonts w:cs="Times New Roman"/>
          <w:highlight w:val="none"/>
        </w:rPr>
        <w:t>.</w:t>
      </w:r>
      <w:r>
        <w:rPr>
          <w:rFonts w:hint="eastAsia" w:cs="Times New Roman"/>
          <w:highlight w:val="none"/>
          <w:lang w:val="en-US" w:eastAsia="zh-CN"/>
        </w:rPr>
        <w:t>6</w:t>
      </w:r>
      <w:r>
        <w:rPr>
          <w:rFonts w:cs="Times New Roman"/>
          <w:highlight w:val="none"/>
        </w:rPr>
        <w:t xml:space="preserve"> 质量保证与质量控制</w:t>
      </w:r>
    </w:p>
    <w:p>
      <w:pPr>
        <w:ind w:firstLine="0" w:firstLineChars="0"/>
        <w:rPr>
          <w:rFonts w:hint="eastAsia" w:cs="Times New Roman"/>
          <w:highlight w:val="none"/>
        </w:rPr>
      </w:pPr>
      <w:r>
        <w:rPr>
          <w:rFonts w:cs="Times New Roman"/>
          <w:highlight w:val="none"/>
        </w:rPr>
        <w:t xml:space="preserve">6 </w:t>
      </w:r>
      <w:r>
        <w:rPr>
          <w:rFonts w:hint="eastAsia" w:cs="Times New Roman"/>
          <w:highlight w:val="none"/>
        </w:rPr>
        <w:t>水文地质勘察结果和分析</w:t>
      </w:r>
    </w:p>
    <w:p>
      <w:pPr>
        <w:ind w:firstLine="0" w:firstLineChars="0"/>
        <w:rPr>
          <w:rFonts w:cs="Times New Roman"/>
          <w:highlight w:val="none"/>
        </w:rPr>
      </w:pPr>
      <w:r>
        <w:rPr>
          <w:rFonts w:hint="eastAsia" w:cs="Times New Roman"/>
          <w:highlight w:val="none"/>
        </w:rPr>
        <w:t>7</w:t>
      </w:r>
      <w:r>
        <w:rPr>
          <w:rFonts w:cs="Times New Roman"/>
          <w:highlight w:val="none"/>
        </w:rPr>
        <w:t xml:space="preserve"> 调查结果分析与评价</w:t>
      </w:r>
    </w:p>
    <w:p>
      <w:pPr>
        <w:ind w:firstLine="0" w:firstLineChars="0"/>
        <w:rPr>
          <w:rFonts w:cs="Times New Roman"/>
          <w:highlight w:val="none"/>
        </w:rPr>
      </w:pPr>
      <w:r>
        <w:rPr>
          <w:rFonts w:cs="Times New Roman"/>
          <w:highlight w:val="none"/>
        </w:rPr>
        <w:t xml:space="preserve">  7.1 筛选标准</w:t>
      </w:r>
    </w:p>
    <w:p>
      <w:pPr>
        <w:ind w:firstLine="0" w:firstLineChars="0"/>
        <w:rPr>
          <w:rFonts w:cs="Times New Roman"/>
          <w:highlight w:val="none"/>
        </w:rPr>
      </w:pPr>
      <w:r>
        <w:rPr>
          <w:rFonts w:cs="Times New Roman"/>
          <w:highlight w:val="none"/>
        </w:rPr>
        <w:t xml:space="preserve">  7.2 检测结果分析与评价</w:t>
      </w:r>
    </w:p>
    <w:p>
      <w:pPr>
        <w:ind w:firstLine="280" w:firstLineChars="100"/>
        <w:rPr>
          <w:rFonts w:cs="Times New Roman"/>
          <w:highlight w:val="none"/>
        </w:rPr>
      </w:pPr>
      <w:r>
        <w:rPr>
          <w:rFonts w:cs="Times New Roman"/>
          <w:highlight w:val="none"/>
        </w:rPr>
        <w:t xml:space="preserve">7.3 </w:t>
      </w:r>
      <w:r>
        <w:rPr>
          <w:rFonts w:hint="eastAsia" w:cs="Times New Roman"/>
          <w:highlight w:val="none"/>
        </w:rPr>
        <w:t>结果分析和评价</w:t>
      </w:r>
    </w:p>
    <w:p>
      <w:pPr>
        <w:ind w:firstLine="0" w:firstLineChars="0"/>
        <w:rPr>
          <w:rFonts w:cs="Times New Roman"/>
          <w:highlight w:val="none"/>
        </w:rPr>
      </w:pPr>
      <w:r>
        <w:rPr>
          <w:rFonts w:cs="Times New Roman"/>
          <w:highlight w:val="none"/>
        </w:rPr>
        <w:t>8 结论与建议</w:t>
      </w:r>
    </w:p>
    <w:p>
      <w:pPr>
        <w:ind w:firstLine="0" w:firstLineChars="0"/>
        <w:rPr>
          <w:rFonts w:cs="Times New Roman"/>
          <w:highlight w:val="none"/>
        </w:rPr>
      </w:pPr>
      <w:r>
        <w:rPr>
          <w:rFonts w:cs="Times New Roman"/>
          <w:highlight w:val="none"/>
        </w:rPr>
        <w:t>9</w:t>
      </w:r>
      <w:r>
        <w:rPr>
          <w:rFonts w:hint="eastAsia" w:cs="Times New Roman"/>
          <w:highlight w:val="none"/>
        </w:rPr>
        <w:t xml:space="preserve"> </w:t>
      </w:r>
      <w:r>
        <w:rPr>
          <w:rFonts w:cs="Times New Roman"/>
          <w:highlight w:val="none"/>
        </w:rPr>
        <w:t>附件（地块权属信息、</w:t>
      </w:r>
      <w:r>
        <w:rPr>
          <w:rFonts w:cs="Times New Roman"/>
          <w:kern w:val="0"/>
          <w:sz w:val="30"/>
          <w:szCs w:val="30"/>
          <w:highlight w:val="none"/>
        </w:rPr>
        <w:t>市级生态环境主管部门的备案意见、</w:t>
      </w:r>
      <w:r>
        <w:rPr>
          <w:rFonts w:cs="Times New Roman"/>
          <w:highlight w:val="none"/>
        </w:rPr>
        <w:t>现场踏勘照片、人员访谈记录表、现场记录照片、现场采样记录单、监测井建设记录、实验室检测报告（加盖CMA章）、质量控制结果、样品追踪监管记录</w:t>
      </w:r>
      <w:r>
        <w:rPr>
          <w:rFonts w:hint="eastAsia" w:cs="Times New Roman"/>
          <w:highlight w:val="none"/>
        </w:rPr>
        <w:t>、水文地质勘察报告</w:t>
      </w:r>
      <w:r>
        <w:rPr>
          <w:rFonts w:cs="Times New Roman"/>
          <w:highlight w:val="none"/>
        </w:rPr>
        <w:t>等）</w:t>
      </w:r>
    </w:p>
    <w:p>
      <w:pPr>
        <w:ind w:firstLine="560"/>
        <w:rPr>
          <w:highlight w:val="none"/>
        </w:rPr>
      </w:pPr>
      <w:bookmarkStart w:id="33" w:name="_Hlk36890867"/>
    </w:p>
    <w:p>
      <w:pPr>
        <w:ind w:firstLine="560"/>
        <w:rPr>
          <w:highlight w:val="none"/>
        </w:rPr>
      </w:pPr>
    </w:p>
    <w:p>
      <w:pPr>
        <w:ind w:firstLine="560"/>
        <w:rPr>
          <w:highlight w:val="none"/>
        </w:rPr>
      </w:pPr>
    </w:p>
    <w:p>
      <w:pPr>
        <w:ind w:firstLine="560"/>
        <w:rPr>
          <w:highlight w:val="none"/>
        </w:rPr>
      </w:pPr>
    </w:p>
    <w:p>
      <w:pPr>
        <w:ind w:firstLine="560"/>
        <w:rPr>
          <w:highlight w:val="none"/>
        </w:rPr>
      </w:pPr>
    </w:p>
    <w:p>
      <w:pPr>
        <w:ind w:firstLine="560"/>
        <w:rPr>
          <w:highlight w:val="none"/>
        </w:rPr>
      </w:pPr>
    </w:p>
    <w:p>
      <w:pPr>
        <w:ind w:firstLine="560"/>
        <w:rPr>
          <w:highlight w:val="none"/>
        </w:rPr>
      </w:pPr>
    </w:p>
    <w:p>
      <w:pPr>
        <w:pStyle w:val="3"/>
        <w:rPr>
          <w:rFonts w:hint="eastAsia" w:eastAsia="黑体" w:cs="Times New Roman"/>
          <w:highlight w:val="none"/>
          <w:lang w:eastAsia="zh-CN"/>
        </w:rPr>
      </w:pPr>
      <w:r>
        <w:rPr>
          <w:rFonts w:cs="Times New Roman"/>
          <w:highlight w:val="none"/>
        </w:rPr>
        <w:t>附件1-2 建设用地土壤污染风险评估报告</w:t>
      </w:r>
      <w:bookmarkEnd w:id="33"/>
      <w:r>
        <w:rPr>
          <w:rFonts w:hint="eastAsia" w:cs="Times New Roman"/>
          <w:highlight w:val="none"/>
          <w:lang w:eastAsia="zh-CN"/>
        </w:rPr>
        <w:t>编制大纲</w:t>
      </w:r>
    </w:p>
    <w:p>
      <w:pPr>
        <w:ind w:firstLine="512" w:firstLineChars="183"/>
        <w:rPr>
          <w:rFonts w:cs="Times New Roman"/>
          <w:highlight w:val="none"/>
        </w:rPr>
      </w:pPr>
      <w:r>
        <w:rPr>
          <w:rFonts w:cs="Times New Roman"/>
          <w:highlight w:val="none"/>
        </w:rPr>
        <w:t xml:space="preserve">建设用地土壤污染风险评估报告包括但不限于以下内容： </w:t>
      </w:r>
    </w:p>
    <w:p>
      <w:pPr>
        <w:ind w:firstLine="232" w:firstLineChars="83"/>
        <w:rPr>
          <w:rFonts w:cs="Times New Roman"/>
          <w:highlight w:val="none"/>
        </w:rPr>
      </w:pPr>
      <w:r>
        <w:rPr>
          <w:rFonts w:cs="Times New Roman"/>
          <w:highlight w:val="none"/>
        </w:rPr>
        <w:t>1 项目概况</w:t>
      </w:r>
    </w:p>
    <w:p>
      <w:pPr>
        <w:ind w:firstLine="232" w:firstLineChars="83"/>
        <w:rPr>
          <w:rFonts w:cs="Times New Roman"/>
          <w:highlight w:val="none"/>
        </w:rPr>
      </w:pPr>
      <w:r>
        <w:rPr>
          <w:rFonts w:cs="Times New Roman"/>
          <w:highlight w:val="none"/>
        </w:rPr>
        <w:t>2 地块概况</w:t>
      </w:r>
    </w:p>
    <w:p>
      <w:pPr>
        <w:ind w:firstLine="232" w:firstLineChars="83"/>
        <w:rPr>
          <w:rFonts w:cs="Times New Roman"/>
          <w:highlight w:val="none"/>
        </w:rPr>
      </w:pPr>
      <w:r>
        <w:rPr>
          <w:rFonts w:cs="Times New Roman"/>
          <w:highlight w:val="none"/>
        </w:rPr>
        <w:t xml:space="preserve">  2.1 地块描述</w:t>
      </w:r>
    </w:p>
    <w:p>
      <w:pPr>
        <w:ind w:firstLine="232" w:firstLineChars="83"/>
        <w:rPr>
          <w:rFonts w:cs="Times New Roman"/>
          <w:highlight w:val="none"/>
        </w:rPr>
      </w:pPr>
      <w:r>
        <w:rPr>
          <w:rFonts w:cs="Times New Roman"/>
          <w:highlight w:val="none"/>
        </w:rPr>
        <w:t xml:space="preserve">  2.2 地块敏感目标</w:t>
      </w:r>
    </w:p>
    <w:p>
      <w:pPr>
        <w:ind w:firstLine="232" w:firstLineChars="83"/>
        <w:rPr>
          <w:rFonts w:cs="Times New Roman"/>
          <w:highlight w:val="none"/>
        </w:rPr>
      </w:pPr>
      <w:r>
        <w:rPr>
          <w:rFonts w:cs="Times New Roman"/>
          <w:highlight w:val="none"/>
        </w:rPr>
        <w:t xml:space="preserve">  2.3 前期土壤污染状况调查工作回顾与结论</w:t>
      </w:r>
    </w:p>
    <w:p>
      <w:pPr>
        <w:ind w:firstLine="232" w:firstLineChars="83"/>
        <w:rPr>
          <w:rFonts w:cs="Times New Roman"/>
          <w:highlight w:val="none"/>
        </w:rPr>
      </w:pPr>
      <w:r>
        <w:rPr>
          <w:rFonts w:cs="Times New Roman"/>
          <w:highlight w:val="none"/>
        </w:rPr>
        <w:t>3 评估方法</w:t>
      </w:r>
    </w:p>
    <w:p>
      <w:pPr>
        <w:ind w:firstLine="232" w:firstLineChars="83"/>
        <w:rPr>
          <w:rFonts w:cs="Times New Roman"/>
          <w:highlight w:val="none"/>
        </w:rPr>
      </w:pPr>
      <w:r>
        <w:rPr>
          <w:rFonts w:cs="Times New Roman"/>
          <w:highlight w:val="none"/>
        </w:rPr>
        <w:t>4 危害识别</w:t>
      </w:r>
    </w:p>
    <w:p>
      <w:pPr>
        <w:ind w:firstLine="232" w:firstLineChars="83"/>
        <w:rPr>
          <w:rFonts w:cs="Times New Roman"/>
          <w:highlight w:val="none"/>
        </w:rPr>
      </w:pPr>
      <w:r>
        <w:rPr>
          <w:rFonts w:cs="Times New Roman"/>
          <w:highlight w:val="none"/>
        </w:rPr>
        <w:t xml:space="preserve">  4.1污染源分析</w:t>
      </w:r>
    </w:p>
    <w:p>
      <w:pPr>
        <w:ind w:firstLine="232" w:firstLineChars="83"/>
        <w:rPr>
          <w:rFonts w:cs="Times New Roman"/>
          <w:highlight w:val="none"/>
        </w:rPr>
      </w:pPr>
      <w:r>
        <w:rPr>
          <w:rFonts w:cs="Times New Roman"/>
          <w:highlight w:val="none"/>
        </w:rPr>
        <w:t xml:space="preserve">  4.2 关注污染物筛选</w:t>
      </w:r>
    </w:p>
    <w:p>
      <w:pPr>
        <w:ind w:firstLine="232" w:firstLineChars="83"/>
        <w:rPr>
          <w:rFonts w:cs="Times New Roman"/>
          <w:highlight w:val="none"/>
        </w:rPr>
      </w:pPr>
      <w:r>
        <w:rPr>
          <w:rFonts w:cs="Times New Roman"/>
          <w:highlight w:val="none"/>
        </w:rPr>
        <w:t xml:space="preserve">  4.3 受体分析</w:t>
      </w:r>
    </w:p>
    <w:p>
      <w:pPr>
        <w:ind w:firstLine="232" w:firstLineChars="83"/>
        <w:rPr>
          <w:rFonts w:cs="Times New Roman"/>
          <w:highlight w:val="none"/>
        </w:rPr>
      </w:pPr>
      <w:r>
        <w:rPr>
          <w:rFonts w:cs="Times New Roman"/>
          <w:highlight w:val="none"/>
        </w:rPr>
        <w:t>5 暴露评估</w:t>
      </w:r>
    </w:p>
    <w:p>
      <w:pPr>
        <w:ind w:firstLine="232" w:firstLineChars="83"/>
        <w:rPr>
          <w:rFonts w:cs="Times New Roman"/>
          <w:highlight w:val="none"/>
        </w:rPr>
      </w:pPr>
      <w:r>
        <w:rPr>
          <w:rFonts w:cs="Times New Roman"/>
          <w:highlight w:val="none"/>
        </w:rPr>
        <w:t xml:space="preserve">  5.1 暴露情景</w:t>
      </w:r>
    </w:p>
    <w:p>
      <w:pPr>
        <w:ind w:firstLine="232" w:firstLineChars="83"/>
        <w:rPr>
          <w:rFonts w:cs="Times New Roman"/>
          <w:highlight w:val="none"/>
        </w:rPr>
      </w:pPr>
      <w:r>
        <w:rPr>
          <w:rFonts w:cs="Times New Roman"/>
          <w:highlight w:val="none"/>
        </w:rPr>
        <w:t xml:space="preserve">  5.2 暴露途径</w:t>
      </w:r>
    </w:p>
    <w:p>
      <w:pPr>
        <w:ind w:firstLine="232" w:firstLineChars="83"/>
        <w:rPr>
          <w:rFonts w:cs="Times New Roman"/>
          <w:highlight w:val="none"/>
        </w:rPr>
      </w:pPr>
      <w:r>
        <w:rPr>
          <w:rFonts w:cs="Times New Roman"/>
          <w:highlight w:val="none"/>
        </w:rPr>
        <w:t xml:space="preserve">  5.3 地块概念模型</w:t>
      </w:r>
    </w:p>
    <w:p>
      <w:pPr>
        <w:ind w:firstLine="232" w:firstLineChars="83"/>
        <w:rPr>
          <w:rFonts w:cs="Times New Roman"/>
          <w:highlight w:val="none"/>
        </w:rPr>
      </w:pPr>
      <w:r>
        <w:rPr>
          <w:rFonts w:cs="Times New Roman"/>
          <w:highlight w:val="none"/>
        </w:rPr>
        <w:t xml:space="preserve">  5.4 模型参数取值</w:t>
      </w:r>
    </w:p>
    <w:p>
      <w:pPr>
        <w:ind w:firstLine="232" w:firstLineChars="83"/>
        <w:rPr>
          <w:rFonts w:cs="Times New Roman"/>
          <w:highlight w:val="none"/>
        </w:rPr>
      </w:pPr>
      <w:r>
        <w:rPr>
          <w:rFonts w:cs="Times New Roman"/>
          <w:highlight w:val="none"/>
        </w:rPr>
        <w:t>6 毒性评估</w:t>
      </w:r>
    </w:p>
    <w:p>
      <w:pPr>
        <w:ind w:firstLine="232" w:firstLineChars="83"/>
        <w:rPr>
          <w:rFonts w:cs="Times New Roman"/>
          <w:highlight w:val="none"/>
        </w:rPr>
      </w:pPr>
      <w:r>
        <w:rPr>
          <w:rFonts w:cs="Times New Roman"/>
          <w:highlight w:val="none"/>
        </w:rPr>
        <w:t xml:space="preserve">  6.1 污染物毒性特征</w:t>
      </w:r>
    </w:p>
    <w:p>
      <w:pPr>
        <w:ind w:firstLine="232" w:firstLineChars="83"/>
        <w:rPr>
          <w:rFonts w:cs="Times New Roman"/>
          <w:highlight w:val="none"/>
        </w:rPr>
      </w:pPr>
      <w:r>
        <w:rPr>
          <w:rFonts w:cs="Times New Roman"/>
          <w:highlight w:val="none"/>
        </w:rPr>
        <w:t xml:space="preserve">  6.2 毒性参数取值</w:t>
      </w:r>
    </w:p>
    <w:p>
      <w:pPr>
        <w:ind w:firstLine="232" w:firstLineChars="83"/>
        <w:rPr>
          <w:rFonts w:cs="Times New Roman"/>
          <w:highlight w:val="none"/>
        </w:rPr>
      </w:pPr>
      <w:r>
        <w:rPr>
          <w:rFonts w:cs="Times New Roman"/>
          <w:highlight w:val="none"/>
        </w:rPr>
        <w:t>7 风险表征</w:t>
      </w:r>
    </w:p>
    <w:p>
      <w:pPr>
        <w:ind w:firstLine="232" w:firstLineChars="83"/>
        <w:rPr>
          <w:rFonts w:cs="Times New Roman"/>
          <w:highlight w:val="none"/>
        </w:rPr>
      </w:pPr>
      <w:r>
        <w:rPr>
          <w:rFonts w:cs="Times New Roman"/>
          <w:highlight w:val="none"/>
        </w:rPr>
        <w:t xml:space="preserve">  7.1 土壤风险表征</w:t>
      </w:r>
    </w:p>
    <w:p>
      <w:pPr>
        <w:ind w:firstLine="232" w:firstLineChars="83"/>
        <w:rPr>
          <w:rFonts w:cs="Times New Roman"/>
          <w:highlight w:val="none"/>
        </w:rPr>
      </w:pPr>
      <w:r>
        <w:rPr>
          <w:rFonts w:cs="Times New Roman"/>
          <w:highlight w:val="none"/>
        </w:rPr>
        <w:t xml:space="preserve">  7.2 地下水风险表征</w:t>
      </w:r>
    </w:p>
    <w:p>
      <w:pPr>
        <w:ind w:firstLine="232" w:firstLineChars="83"/>
        <w:rPr>
          <w:rFonts w:cs="Times New Roman"/>
          <w:highlight w:val="none"/>
        </w:rPr>
      </w:pPr>
      <w:r>
        <w:rPr>
          <w:rFonts w:cs="Times New Roman"/>
          <w:highlight w:val="none"/>
        </w:rPr>
        <w:t xml:space="preserve">  7.3 不确定性分析</w:t>
      </w:r>
    </w:p>
    <w:p>
      <w:pPr>
        <w:ind w:firstLine="232" w:firstLineChars="83"/>
        <w:rPr>
          <w:rFonts w:cs="Times New Roman"/>
          <w:highlight w:val="none"/>
        </w:rPr>
      </w:pPr>
      <w:r>
        <w:rPr>
          <w:rFonts w:cs="Times New Roman"/>
          <w:highlight w:val="none"/>
        </w:rPr>
        <w:t>8 风险控制值</w:t>
      </w:r>
    </w:p>
    <w:p>
      <w:pPr>
        <w:ind w:firstLine="232" w:firstLineChars="83"/>
        <w:rPr>
          <w:rFonts w:cs="Times New Roman"/>
          <w:highlight w:val="none"/>
        </w:rPr>
      </w:pPr>
      <w:r>
        <w:rPr>
          <w:rFonts w:cs="Times New Roman"/>
          <w:highlight w:val="none"/>
        </w:rPr>
        <w:t>9 修复目标值</w:t>
      </w:r>
    </w:p>
    <w:p>
      <w:pPr>
        <w:ind w:firstLine="232" w:firstLineChars="83"/>
        <w:rPr>
          <w:rFonts w:cs="Times New Roman"/>
          <w:highlight w:val="none"/>
        </w:rPr>
      </w:pPr>
      <w:r>
        <w:rPr>
          <w:rFonts w:cs="Times New Roman"/>
          <w:highlight w:val="none"/>
        </w:rPr>
        <w:t xml:space="preserve">  9.1 风险管控目标</w:t>
      </w:r>
    </w:p>
    <w:p>
      <w:pPr>
        <w:ind w:firstLine="232" w:firstLineChars="83"/>
        <w:rPr>
          <w:rFonts w:cs="Times New Roman"/>
          <w:highlight w:val="none"/>
        </w:rPr>
      </w:pPr>
      <w:r>
        <w:rPr>
          <w:rFonts w:cs="Times New Roman"/>
          <w:highlight w:val="none"/>
        </w:rPr>
        <w:t xml:space="preserve">  9.2 修复目标值</w:t>
      </w:r>
    </w:p>
    <w:p>
      <w:pPr>
        <w:ind w:firstLine="232" w:firstLineChars="83"/>
        <w:rPr>
          <w:rFonts w:cs="Times New Roman"/>
          <w:highlight w:val="none"/>
        </w:rPr>
      </w:pPr>
      <w:r>
        <w:rPr>
          <w:rFonts w:cs="Times New Roman"/>
          <w:highlight w:val="none"/>
        </w:rPr>
        <w:t>10 风险管控/修复范围</w:t>
      </w:r>
    </w:p>
    <w:p>
      <w:pPr>
        <w:ind w:firstLine="232" w:firstLineChars="83"/>
        <w:rPr>
          <w:rFonts w:cs="Times New Roman"/>
          <w:highlight w:val="none"/>
        </w:rPr>
      </w:pPr>
      <w:r>
        <w:rPr>
          <w:rFonts w:cs="Times New Roman"/>
          <w:highlight w:val="none"/>
        </w:rPr>
        <w:t>11 结论与建议</w:t>
      </w:r>
    </w:p>
    <w:p>
      <w:pPr>
        <w:ind w:firstLine="232" w:firstLineChars="83"/>
        <w:rPr>
          <w:rFonts w:cs="Times New Roman"/>
          <w:highlight w:val="none"/>
        </w:rPr>
      </w:pPr>
      <w:r>
        <w:rPr>
          <w:rFonts w:cs="Times New Roman"/>
          <w:highlight w:val="none"/>
        </w:rPr>
        <w:t>1</w:t>
      </w:r>
      <w:r>
        <w:rPr>
          <w:rFonts w:hint="eastAsia" w:cs="Times New Roman"/>
          <w:highlight w:val="none"/>
        </w:rPr>
        <w:t>2</w:t>
      </w:r>
      <w:r>
        <w:rPr>
          <w:rFonts w:cs="Times New Roman"/>
          <w:highlight w:val="none"/>
        </w:rPr>
        <w:t xml:space="preserve"> 附件（地块土壤污染状况调查报告及市级生态环境主管部门备案意见）</w:t>
      </w:r>
    </w:p>
    <w:p>
      <w:pPr>
        <w:ind w:firstLine="232" w:firstLineChars="83"/>
        <w:rPr>
          <w:rFonts w:cs="Times New Roman"/>
          <w:highlight w:val="none"/>
        </w:rPr>
      </w:pPr>
    </w:p>
    <w:p>
      <w:pPr>
        <w:ind w:firstLine="232" w:firstLineChars="83"/>
        <w:rPr>
          <w:rFonts w:cs="Times New Roman"/>
          <w:highlight w:val="none"/>
        </w:rPr>
      </w:pPr>
    </w:p>
    <w:p>
      <w:pPr>
        <w:ind w:firstLine="232" w:firstLineChars="83"/>
        <w:rPr>
          <w:rFonts w:cs="Times New Roman"/>
          <w:highlight w:val="none"/>
        </w:rPr>
      </w:pPr>
    </w:p>
    <w:p>
      <w:pPr>
        <w:ind w:firstLine="232" w:firstLineChars="83"/>
        <w:rPr>
          <w:rFonts w:cs="Times New Roman"/>
          <w:highlight w:val="none"/>
        </w:rPr>
      </w:pPr>
    </w:p>
    <w:p>
      <w:pPr>
        <w:ind w:firstLine="232" w:firstLineChars="83"/>
        <w:rPr>
          <w:rFonts w:cs="Times New Roman"/>
          <w:highlight w:val="none"/>
        </w:rPr>
      </w:pPr>
    </w:p>
    <w:p>
      <w:pPr>
        <w:ind w:firstLine="232" w:firstLineChars="83"/>
        <w:rPr>
          <w:rFonts w:cs="Times New Roman"/>
          <w:highlight w:val="none"/>
        </w:rPr>
      </w:pPr>
    </w:p>
    <w:p>
      <w:pPr>
        <w:ind w:firstLine="232" w:firstLineChars="83"/>
        <w:rPr>
          <w:rFonts w:cs="Times New Roman"/>
          <w:highlight w:val="none"/>
        </w:rPr>
      </w:pPr>
    </w:p>
    <w:p>
      <w:pPr>
        <w:ind w:firstLine="232" w:firstLineChars="83"/>
        <w:rPr>
          <w:rFonts w:cs="Times New Roman"/>
          <w:highlight w:val="none"/>
        </w:rPr>
      </w:pPr>
    </w:p>
    <w:p>
      <w:pPr>
        <w:ind w:firstLine="232" w:firstLineChars="83"/>
        <w:rPr>
          <w:rFonts w:cs="Times New Roman"/>
          <w:highlight w:val="none"/>
        </w:rPr>
      </w:pPr>
    </w:p>
    <w:p>
      <w:pPr>
        <w:ind w:firstLine="232" w:firstLineChars="83"/>
        <w:rPr>
          <w:rFonts w:cs="Times New Roman"/>
          <w:highlight w:val="none"/>
        </w:rPr>
      </w:pPr>
    </w:p>
    <w:p>
      <w:pPr>
        <w:ind w:firstLine="232" w:firstLineChars="83"/>
        <w:rPr>
          <w:rFonts w:cs="Times New Roman"/>
          <w:highlight w:val="none"/>
        </w:rPr>
      </w:pPr>
    </w:p>
    <w:p>
      <w:pPr>
        <w:ind w:firstLine="232" w:firstLineChars="83"/>
        <w:rPr>
          <w:rFonts w:cs="Times New Roman"/>
          <w:highlight w:val="none"/>
        </w:rPr>
      </w:pPr>
    </w:p>
    <w:p>
      <w:pPr>
        <w:ind w:firstLine="232" w:firstLineChars="83"/>
        <w:rPr>
          <w:rFonts w:cs="Times New Roman"/>
          <w:highlight w:val="none"/>
        </w:rPr>
      </w:pPr>
    </w:p>
    <w:p>
      <w:pPr>
        <w:ind w:firstLine="232" w:firstLineChars="83"/>
        <w:rPr>
          <w:rFonts w:cs="Times New Roman"/>
          <w:highlight w:val="none"/>
        </w:rPr>
      </w:pPr>
    </w:p>
    <w:p>
      <w:pPr>
        <w:ind w:firstLine="232" w:firstLineChars="83"/>
        <w:rPr>
          <w:rFonts w:cs="Times New Roman"/>
          <w:highlight w:val="none"/>
        </w:rPr>
      </w:pPr>
    </w:p>
    <w:p>
      <w:pPr>
        <w:ind w:firstLine="232" w:firstLineChars="83"/>
        <w:rPr>
          <w:rFonts w:cs="Times New Roman"/>
          <w:highlight w:val="none"/>
        </w:rPr>
      </w:pPr>
    </w:p>
    <w:p>
      <w:pPr>
        <w:ind w:firstLine="232" w:firstLineChars="83"/>
        <w:rPr>
          <w:rFonts w:cs="Times New Roman"/>
          <w:highlight w:val="none"/>
        </w:rPr>
      </w:pPr>
    </w:p>
    <w:p>
      <w:pPr>
        <w:pStyle w:val="3"/>
        <w:rPr>
          <w:rFonts w:hint="eastAsia" w:eastAsia="黑体" w:cs="Times New Roman"/>
          <w:highlight w:val="none"/>
          <w:lang w:eastAsia="zh-CN"/>
        </w:rPr>
      </w:pPr>
      <w:r>
        <w:rPr>
          <w:rFonts w:cs="Times New Roman"/>
          <w:highlight w:val="none"/>
        </w:rPr>
        <w:t>附件1-3 建设用地土壤污染修复（含风险管控）效果评估报告</w:t>
      </w:r>
      <w:r>
        <w:rPr>
          <w:rFonts w:hint="eastAsia" w:cs="Times New Roman"/>
          <w:highlight w:val="none"/>
          <w:lang w:eastAsia="zh-CN"/>
        </w:rPr>
        <w:t>编制大纲</w:t>
      </w:r>
    </w:p>
    <w:p>
      <w:pPr>
        <w:ind w:firstLine="560"/>
        <w:rPr>
          <w:rFonts w:cs="Times New Roman"/>
          <w:highlight w:val="none"/>
        </w:rPr>
      </w:pPr>
      <w:r>
        <w:rPr>
          <w:rFonts w:cs="Times New Roman"/>
          <w:highlight w:val="none"/>
        </w:rPr>
        <w:t>建设用地土壤污染修复（含风险管控）效果评估报告包括但不限于以下内容：</w:t>
      </w:r>
    </w:p>
    <w:p>
      <w:pPr>
        <w:ind w:firstLine="560"/>
        <w:rPr>
          <w:rFonts w:cs="Times New Roman"/>
          <w:highlight w:val="none"/>
        </w:rPr>
      </w:pPr>
      <w:r>
        <w:rPr>
          <w:rFonts w:cs="Times New Roman"/>
          <w:highlight w:val="none"/>
        </w:rPr>
        <w:t>1 项目背景</w:t>
      </w:r>
    </w:p>
    <w:p>
      <w:pPr>
        <w:ind w:firstLine="560"/>
        <w:rPr>
          <w:rFonts w:cs="Times New Roman"/>
          <w:highlight w:val="none"/>
        </w:rPr>
      </w:pPr>
      <w:r>
        <w:rPr>
          <w:rFonts w:cs="Times New Roman"/>
          <w:highlight w:val="none"/>
        </w:rPr>
        <w:t>2 工作依据</w:t>
      </w:r>
    </w:p>
    <w:p>
      <w:pPr>
        <w:ind w:firstLine="560"/>
        <w:rPr>
          <w:rFonts w:cs="Times New Roman"/>
          <w:highlight w:val="none"/>
        </w:rPr>
      </w:pPr>
      <w:r>
        <w:rPr>
          <w:rFonts w:cs="Times New Roman"/>
          <w:highlight w:val="none"/>
        </w:rPr>
        <w:t xml:space="preserve">  2.1 法律法规</w:t>
      </w:r>
    </w:p>
    <w:p>
      <w:pPr>
        <w:ind w:firstLine="560"/>
        <w:rPr>
          <w:rFonts w:cs="Times New Roman"/>
          <w:highlight w:val="none"/>
        </w:rPr>
      </w:pPr>
      <w:r>
        <w:rPr>
          <w:rFonts w:cs="Times New Roman"/>
          <w:highlight w:val="none"/>
        </w:rPr>
        <w:t xml:space="preserve">  2.2 标准规范</w:t>
      </w:r>
    </w:p>
    <w:p>
      <w:pPr>
        <w:ind w:firstLine="560"/>
        <w:rPr>
          <w:rFonts w:cs="Times New Roman"/>
          <w:highlight w:val="none"/>
        </w:rPr>
      </w:pPr>
      <w:r>
        <w:rPr>
          <w:rFonts w:cs="Times New Roman"/>
          <w:highlight w:val="none"/>
        </w:rPr>
        <w:t xml:space="preserve">  2.3 项目文件</w:t>
      </w:r>
    </w:p>
    <w:p>
      <w:pPr>
        <w:ind w:firstLine="560"/>
        <w:rPr>
          <w:rFonts w:cs="Times New Roman"/>
          <w:highlight w:val="none"/>
        </w:rPr>
      </w:pPr>
      <w:r>
        <w:rPr>
          <w:rFonts w:cs="Times New Roman"/>
          <w:highlight w:val="none"/>
        </w:rPr>
        <w:t>3 地块概况</w:t>
      </w:r>
    </w:p>
    <w:p>
      <w:pPr>
        <w:ind w:firstLine="560"/>
        <w:rPr>
          <w:rFonts w:cs="Times New Roman"/>
          <w:highlight w:val="none"/>
        </w:rPr>
      </w:pPr>
      <w:r>
        <w:rPr>
          <w:rFonts w:cs="Times New Roman"/>
          <w:highlight w:val="none"/>
        </w:rPr>
        <w:t xml:space="preserve">  3.1 地块调查评价结论</w:t>
      </w:r>
    </w:p>
    <w:p>
      <w:pPr>
        <w:ind w:firstLine="560"/>
        <w:rPr>
          <w:rFonts w:cs="Times New Roman"/>
          <w:highlight w:val="none"/>
        </w:rPr>
      </w:pPr>
      <w:r>
        <w:rPr>
          <w:rFonts w:cs="Times New Roman"/>
          <w:highlight w:val="none"/>
        </w:rPr>
        <w:t xml:space="preserve">  3.2 风险管控或修复方案</w:t>
      </w:r>
    </w:p>
    <w:p>
      <w:pPr>
        <w:ind w:firstLine="560"/>
        <w:rPr>
          <w:rFonts w:cs="Times New Roman"/>
          <w:highlight w:val="none"/>
        </w:rPr>
      </w:pPr>
      <w:r>
        <w:rPr>
          <w:rFonts w:cs="Times New Roman"/>
          <w:highlight w:val="none"/>
        </w:rPr>
        <w:t xml:space="preserve">  3.3 风险管控或修复实施情况</w:t>
      </w:r>
    </w:p>
    <w:p>
      <w:pPr>
        <w:ind w:firstLine="560"/>
        <w:rPr>
          <w:rFonts w:cs="Times New Roman"/>
          <w:highlight w:val="none"/>
        </w:rPr>
      </w:pPr>
      <w:r>
        <w:rPr>
          <w:rFonts w:cs="Times New Roman"/>
          <w:highlight w:val="none"/>
        </w:rPr>
        <w:t xml:space="preserve">  3.4 环境保护措施落实情况</w:t>
      </w:r>
    </w:p>
    <w:p>
      <w:pPr>
        <w:ind w:firstLine="560"/>
        <w:rPr>
          <w:rFonts w:cs="Times New Roman"/>
          <w:highlight w:val="none"/>
        </w:rPr>
      </w:pPr>
      <w:r>
        <w:rPr>
          <w:rFonts w:cs="Times New Roman"/>
          <w:highlight w:val="none"/>
        </w:rPr>
        <w:t>4 地块概念模型</w:t>
      </w:r>
    </w:p>
    <w:p>
      <w:pPr>
        <w:ind w:firstLine="560"/>
        <w:rPr>
          <w:rFonts w:cs="Times New Roman"/>
          <w:highlight w:val="none"/>
        </w:rPr>
      </w:pPr>
      <w:r>
        <w:rPr>
          <w:rFonts w:cs="Times New Roman"/>
          <w:highlight w:val="none"/>
        </w:rPr>
        <w:t xml:space="preserve">  4.1 资料回顾</w:t>
      </w:r>
    </w:p>
    <w:p>
      <w:pPr>
        <w:ind w:firstLine="560"/>
        <w:rPr>
          <w:rFonts w:cs="Times New Roman"/>
          <w:highlight w:val="none"/>
        </w:rPr>
      </w:pPr>
      <w:r>
        <w:rPr>
          <w:rFonts w:cs="Times New Roman"/>
          <w:highlight w:val="none"/>
        </w:rPr>
        <w:t xml:space="preserve">  4.2 现场踏勘</w:t>
      </w:r>
    </w:p>
    <w:p>
      <w:pPr>
        <w:ind w:firstLine="560"/>
        <w:rPr>
          <w:rFonts w:cs="Times New Roman"/>
          <w:highlight w:val="none"/>
        </w:rPr>
      </w:pPr>
      <w:r>
        <w:rPr>
          <w:rFonts w:cs="Times New Roman"/>
          <w:highlight w:val="none"/>
        </w:rPr>
        <w:t xml:space="preserve">  4.3 人员访谈</w:t>
      </w:r>
    </w:p>
    <w:p>
      <w:pPr>
        <w:ind w:firstLine="560"/>
        <w:rPr>
          <w:rFonts w:cs="Times New Roman"/>
          <w:highlight w:val="none"/>
        </w:rPr>
      </w:pPr>
      <w:r>
        <w:rPr>
          <w:rFonts w:cs="Times New Roman"/>
          <w:highlight w:val="none"/>
        </w:rPr>
        <w:t xml:space="preserve">  4.4 地块概念模型</w:t>
      </w:r>
    </w:p>
    <w:p>
      <w:pPr>
        <w:ind w:firstLine="560"/>
        <w:rPr>
          <w:rFonts w:cs="Times New Roman"/>
          <w:highlight w:val="none"/>
        </w:rPr>
      </w:pPr>
      <w:r>
        <w:rPr>
          <w:rFonts w:cs="Times New Roman"/>
          <w:highlight w:val="none"/>
        </w:rPr>
        <w:t>5 效果评估布点方案</w:t>
      </w:r>
    </w:p>
    <w:p>
      <w:pPr>
        <w:ind w:firstLine="560"/>
        <w:rPr>
          <w:rFonts w:cs="Times New Roman"/>
          <w:highlight w:val="none"/>
        </w:rPr>
      </w:pPr>
      <w:r>
        <w:rPr>
          <w:rFonts w:cs="Times New Roman"/>
          <w:highlight w:val="none"/>
        </w:rPr>
        <w:t xml:space="preserve">  5.1 土壤修复效果评估布点</w:t>
      </w:r>
    </w:p>
    <w:p>
      <w:pPr>
        <w:ind w:firstLine="560"/>
        <w:rPr>
          <w:rFonts w:cs="Times New Roman"/>
          <w:highlight w:val="none"/>
        </w:rPr>
      </w:pPr>
      <w:r>
        <w:rPr>
          <w:rFonts w:cs="Times New Roman"/>
          <w:highlight w:val="none"/>
        </w:rPr>
        <w:t xml:space="preserve">  5.2 风险管控效果评估布点</w:t>
      </w:r>
    </w:p>
    <w:p>
      <w:pPr>
        <w:ind w:firstLine="560"/>
        <w:rPr>
          <w:rFonts w:cs="Times New Roman"/>
          <w:highlight w:val="none"/>
        </w:rPr>
      </w:pPr>
      <w:r>
        <w:rPr>
          <w:rFonts w:cs="Times New Roman"/>
          <w:highlight w:val="none"/>
        </w:rPr>
        <w:t>6 现场采样与实验室检测</w:t>
      </w:r>
    </w:p>
    <w:p>
      <w:pPr>
        <w:ind w:firstLine="560"/>
        <w:rPr>
          <w:rFonts w:cs="Times New Roman"/>
          <w:highlight w:val="none"/>
        </w:rPr>
      </w:pPr>
      <w:r>
        <w:rPr>
          <w:rFonts w:cs="Times New Roman"/>
          <w:highlight w:val="none"/>
        </w:rPr>
        <w:t xml:space="preserve">  6.1 样品采集</w:t>
      </w:r>
    </w:p>
    <w:p>
      <w:pPr>
        <w:ind w:firstLine="560"/>
        <w:rPr>
          <w:rFonts w:cs="Times New Roman"/>
          <w:highlight w:val="none"/>
        </w:rPr>
      </w:pPr>
      <w:r>
        <w:rPr>
          <w:rFonts w:cs="Times New Roman"/>
          <w:highlight w:val="none"/>
        </w:rPr>
        <w:t xml:space="preserve">  6.2 实验室检测</w:t>
      </w:r>
    </w:p>
    <w:p>
      <w:pPr>
        <w:ind w:firstLine="560"/>
        <w:rPr>
          <w:rFonts w:cs="Times New Roman"/>
          <w:highlight w:val="none"/>
        </w:rPr>
      </w:pPr>
      <w:r>
        <w:rPr>
          <w:rFonts w:cs="Times New Roman"/>
          <w:highlight w:val="none"/>
        </w:rPr>
        <w:t>7 效果评估</w:t>
      </w:r>
    </w:p>
    <w:p>
      <w:pPr>
        <w:ind w:firstLine="560"/>
        <w:rPr>
          <w:rFonts w:cs="Times New Roman"/>
          <w:highlight w:val="none"/>
        </w:rPr>
      </w:pPr>
      <w:r>
        <w:rPr>
          <w:rFonts w:cs="Times New Roman"/>
          <w:highlight w:val="none"/>
        </w:rPr>
        <w:t xml:space="preserve">  7.1 检测结果分析</w:t>
      </w:r>
    </w:p>
    <w:p>
      <w:pPr>
        <w:ind w:firstLine="560"/>
        <w:rPr>
          <w:rFonts w:cs="Times New Roman"/>
          <w:highlight w:val="none"/>
        </w:rPr>
      </w:pPr>
      <w:r>
        <w:rPr>
          <w:rFonts w:cs="Times New Roman"/>
          <w:highlight w:val="none"/>
        </w:rPr>
        <w:t xml:space="preserve">  7.2 效果评估</w:t>
      </w:r>
    </w:p>
    <w:p>
      <w:pPr>
        <w:ind w:firstLine="560"/>
        <w:rPr>
          <w:rFonts w:cs="Times New Roman"/>
          <w:highlight w:val="none"/>
        </w:rPr>
      </w:pPr>
      <w:r>
        <w:rPr>
          <w:rFonts w:cs="Times New Roman"/>
          <w:highlight w:val="none"/>
        </w:rPr>
        <w:t>8 结论与建议</w:t>
      </w:r>
    </w:p>
    <w:p>
      <w:pPr>
        <w:ind w:firstLine="560"/>
        <w:rPr>
          <w:rFonts w:cs="Times New Roman"/>
          <w:highlight w:val="none"/>
        </w:rPr>
      </w:pPr>
      <w:r>
        <w:rPr>
          <w:rFonts w:cs="Times New Roman"/>
          <w:highlight w:val="none"/>
        </w:rPr>
        <w:t xml:space="preserve">  8.1 效果评估结论</w:t>
      </w:r>
    </w:p>
    <w:p>
      <w:pPr>
        <w:ind w:firstLine="560"/>
        <w:rPr>
          <w:rFonts w:cs="Times New Roman"/>
          <w:highlight w:val="none"/>
        </w:rPr>
      </w:pPr>
      <w:r>
        <w:rPr>
          <w:rFonts w:cs="Times New Roman"/>
          <w:highlight w:val="none"/>
        </w:rPr>
        <w:t xml:space="preserve">  8.2 后期环境监管建议</w:t>
      </w:r>
    </w:p>
    <w:p>
      <w:pPr>
        <w:ind w:firstLine="560"/>
        <w:rPr>
          <w:rFonts w:cs="Times New Roman"/>
          <w:highlight w:val="none"/>
        </w:rPr>
      </w:pPr>
      <w:r>
        <w:rPr>
          <w:rFonts w:cs="Times New Roman"/>
          <w:highlight w:val="none"/>
        </w:rPr>
        <w:t>9 附件（</w:t>
      </w:r>
      <w:bookmarkStart w:id="34" w:name="_Hlk42979530"/>
      <w:r>
        <w:rPr>
          <w:rFonts w:cs="Times New Roman"/>
          <w:highlight w:val="none"/>
        </w:rPr>
        <w:t>地块权属信息、修复范围图、水文地质剖面图、钻孔结构图、岩心箱照片、采样记录单、建井结构图、洗井记录单、地下水采样记录单、实验室检测报告（加盖CMA章）、工程竣工报告或施工总结报告、环境监理总结报告、效果评估监测报告</w:t>
      </w:r>
      <w:bookmarkEnd w:id="34"/>
      <w:r>
        <w:rPr>
          <w:rFonts w:cs="Times New Roman"/>
          <w:highlight w:val="none"/>
        </w:rPr>
        <w:t>）</w:t>
      </w:r>
    </w:p>
    <w:p>
      <w:pPr>
        <w:ind w:firstLine="560"/>
        <w:rPr>
          <w:rFonts w:cs="Times New Roman"/>
          <w:highlight w:val="none"/>
        </w:rPr>
      </w:pPr>
    </w:p>
    <w:p>
      <w:pPr>
        <w:ind w:firstLine="560"/>
        <w:rPr>
          <w:rFonts w:cs="Times New Roman"/>
          <w:highlight w:val="none"/>
        </w:rPr>
      </w:pPr>
    </w:p>
    <w:p>
      <w:pPr>
        <w:ind w:firstLine="560"/>
        <w:rPr>
          <w:rFonts w:cs="Times New Roman"/>
          <w:highlight w:val="none"/>
        </w:rPr>
      </w:pPr>
    </w:p>
    <w:p>
      <w:pPr>
        <w:pStyle w:val="2"/>
        <w:spacing w:before="120"/>
        <w:ind w:firstLine="0" w:firstLineChars="0"/>
        <w:jc w:val="both"/>
        <w:rPr>
          <w:highlight w:val="none"/>
        </w:rPr>
        <w:sectPr>
          <w:pgSz w:w="11906" w:h="16838"/>
          <w:pgMar w:top="1797" w:right="1440" w:bottom="1797" w:left="1440" w:header="851" w:footer="992" w:gutter="0"/>
          <w:cols w:space="425" w:num="1"/>
          <w:docGrid w:linePitch="435" w:charSpace="0"/>
        </w:sectPr>
      </w:pPr>
    </w:p>
    <w:p>
      <w:pPr>
        <w:pStyle w:val="2"/>
        <w:spacing w:before="120"/>
        <w:ind w:firstLine="0" w:firstLineChars="0"/>
        <w:jc w:val="both"/>
        <w:rPr>
          <w:highlight w:val="none"/>
        </w:rPr>
      </w:pPr>
      <w:r>
        <w:rPr>
          <w:highlight w:val="none"/>
        </w:rPr>
        <w:t>附件2 建设用地土壤污染风险管控和修复相关报告审查评价表</w:t>
      </w:r>
      <w:r>
        <w:rPr>
          <w:rFonts w:hint="eastAsia"/>
          <w:highlight w:val="none"/>
        </w:rPr>
        <w:t>（形式审查一票否决，不必要打分）</w:t>
      </w:r>
    </w:p>
    <w:p>
      <w:pPr>
        <w:pStyle w:val="3"/>
        <w:pageBreakBefore w:val="0"/>
        <w:widowControl w:val="0"/>
        <w:kinsoku/>
        <w:wordWrap/>
        <w:overflowPunct/>
        <w:topLinePunct w:val="0"/>
        <w:autoSpaceDE/>
        <w:autoSpaceDN/>
        <w:bidi w:val="0"/>
        <w:adjustRightInd/>
        <w:snapToGrid/>
        <w:textAlignment w:val="auto"/>
        <w:rPr>
          <w:rFonts w:cs="Times New Roman"/>
          <w:highlight w:val="none"/>
        </w:rPr>
      </w:pPr>
      <w:r>
        <w:rPr>
          <w:rFonts w:cs="Times New Roman"/>
          <w:highlight w:val="none"/>
        </w:rPr>
        <w:t xml:space="preserve">附表2-1 </w:t>
      </w:r>
      <w:bookmarkStart w:id="35" w:name="_Hlk35866116"/>
      <w:r>
        <w:rPr>
          <w:rFonts w:cs="Times New Roman"/>
          <w:highlight w:val="none"/>
        </w:rPr>
        <w:t>建设用地土壤污染状况调查报告审查技术要点</w:t>
      </w:r>
      <w:bookmarkEnd w:id="35"/>
    </w:p>
    <w:p>
      <w:pPr>
        <w:pageBreakBefore w:val="0"/>
        <w:widowControl w:val="0"/>
        <w:kinsoku/>
        <w:wordWrap/>
        <w:overflowPunct/>
        <w:topLinePunct w:val="0"/>
        <w:autoSpaceDE/>
        <w:autoSpaceDN/>
        <w:bidi w:val="0"/>
        <w:adjustRightInd/>
        <w:snapToGrid/>
        <w:ind w:firstLine="0" w:firstLineChars="0"/>
        <w:jc w:val="left"/>
        <w:textAlignment w:val="auto"/>
        <w:rPr>
          <w:rFonts w:eastAsia="宋体" w:cs="Times New Roman"/>
          <w:color w:val="000000"/>
          <w:sz w:val="24"/>
          <w:szCs w:val="24"/>
          <w:highlight w:val="none"/>
        </w:rPr>
      </w:pPr>
      <w:r>
        <w:rPr>
          <w:rFonts w:eastAsia="宋体" w:cs="Times New Roman"/>
          <w:sz w:val="24"/>
          <w:szCs w:val="24"/>
          <w:highlight w:val="none"/>
        </w:rPr>
        <w:t>报告审查包括但不限于以下内容：</w:t>
      </w:r>
    </w:p>
    <w:p>
      <w:pPr>
        <w:ind w:firstLine="170" w:firstLineChars="71"/>
        <w:jc w:val="left"/>
        <w:rPr>
          <w:rFonts w:eastAsia="黑体" w:cs="Times New Roman"/>
          <w:color w:val="000000"/>
          <w:sz w:val="24"/>
          <w:szCs w:val="24"/>
          <w:highlight w:val="none"/>
        </w:rPr>
      </w:pPr>
      <w:r>
        <w:rPr>
          <w:rFonts w:eastAsia="宋体" w:cs="Times New Roman"/>
          <w:color w:val="000000"/>
          <w:sz w:val="24"/>
          <w:szCs w:val="24"/>
          <w:highlight w:val="none"/>
        </w:rPr>
        <w:t>项目名称：</w:t>
      </w:r>
      <w:r>
        <w:rPr>
          <w:rFonts w:eastAsia="宋体" w:cs="Times New Roman"/>
          <w:color w:val="000000"/>
          <w:sz w:val="24"/>
          <w:szCs w:val="24"/>
          <w:highlight w:val="none"/>
          <w:u w:val="single"/>
        </w:rPr>
        <w:t xml:space="preserve">                               </w:t>
      </w:r>
      <w:r>
        <w:rPr>
          <w:rFonts w:eastAsia="宋体" w:cs="Times New Roman"/>
          <w:color w:val="000000"/>
          <w:sz w:val="24"/>
          <w:szCs w:val="24"/>
          <w:highlight w:val="none"/>
        </w:rPr>
        <w:t xml:space="preserve">  评审专家：</w:t>
      </w:r>
      <w:r>
        <w:rPr>
          <w:rFonts w:eastAsia="宋体" w:cs="Times New Roman"/>
          <w:color w:val="000000"/>
          <w:sz w:val="24"/>
          <w:szCs w:val="24"/>
          <w:highlight w:val="none"/>
          <w:u w:val="single"/>
        </w:rPr>
        <w:t xml:space="preserve">              </w:t>
      </w:r>
      <w:r>
        <w:rPr>
          <w:rFonts w:eastAsia="宋体" w:cs="Times New Roman"/>
          <w:color w:val="000000"/>
          <w:sz w:val="24"/>
          <w:szCs w:val="24"/>
          <w:highlight w:val="none"/>
        </w:rPr>
        <w:t xml:space="preserve">  评审时间：</w:t>
      </w:r>
      <w:r>
        <w:rPr>
          <w:rFonts w:eastAsia="宋体" w:cs="Times New Roman"/>
          <w:color w:val="000000"/>
          <w:sz w:val="24"/>
          <w:szCs w:val="24"/>
          <w:highlight w:val="none"/>
          <w:u w:val="single"/>
        </w:rPr>
        <w:t xml:space="preserve">              </w:t>
      </w:r>
      <w:r>
        <w:rPr>
          <w:rFonts w:eastAsia="宋体" w:cs="Times New Roman"/>
          <w:color w:val="000000"/>
          <w:sz w:val="24"/>
          <w:szCs w:val="24"/>
          <w:highlight w:val="none"/>
        </w:rPr>
        <w:t xml:space="preserve"> </w:t>
      </w:r>
    </w:p>
    <w:tbl>
      <w:tblPr>
        <w:tblStyle w:val="14"/>
        <w:tblW w:w="13547" w:type="dxa"/>
        <w:jc w:val="center"/>
        <w:tblLayout w:type="fixed"/>
        <w:tblCellMar>
          <w:top w:w="0" w:type="dxa"/>
          <w:left w:w="108" w:type="dxa"/>
          <w:bottom w:w="0" w:type="dxa"/>
          <w:right w:w="108" w:type="dxa"/>
        </w:tblCellMar>
      </w:tblPr>
      <w:tblGrid>
        <w:gridCol w:w="501"/>
        <w:gridCol w:w="1243"/>
        <w:gridCol w:w="1423"/>
        <w:gridCol w:w="8180"/>
        <w:gridCol w:w="1100"/>
        <w:gridCol w:w="1100"/>
      </w:tblGrid>
      <w:tr>
        <w:tblPrEx>
          <w:tblCellMar>
            <w:top w:w="0" w:type="dxa"/>
            <w:left w:w="108" w:type="dxa"/>
            <w:bottom w:w="0" w:type="dxa"/>
            <w:right w:w="108" w:type="dxa"/>
          </w:tblCellMar>
        </w:tblPrEx>
        <w:trPr>
          <w:trHeight w:val="624" w:hRule="atLeast"/>
          <w:tblHeader/>
          <w:jc w:val="center"/>
        </w:trPr>
        <w:tc>
          <w:tcPr>
            <w:tcW w:w="501"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b/>
                <w:bCs/>
                <w:color w:val="000000"/>
                <w:kern w:val="0"/>
                <w:sz w:val="24"/>
                <w:szCs w:val="24"/>
                <w:highlight w:val="none"/>
              </w:rPr>
            </w:pPr>
            <w:r>
              <w:rPr>
                <w:rFonts w:eastAsia="宋体" w:cs="Times New Roman"/>
                <w:b/>
                <w:bCs/>
                <w:color w:val="000000"/>
                <w:kern w:val="0"/>
                <w:sz w:val="24"/>
                <w:szCs w:val="24"/>
                <w:highlight w:val="none"/>
              </w:rPr>
              <w:t>序号</w:t>
            </w:r>
          </w:p>
        </w:tc>
        <w:tc>
          <w:tcPr>
            <w:tcW w:w="1243" w:type="dxa"/>
            <w:tcBorders>
              <w:top w:val="single" w:color="auto" w:sz="4" w:space="0"/>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b/>
                <w:bCs/>
                <w:color w:val="000000"/>
                <w:kern w:val="0"/>
                <w:sz w:val="24"/>
                <w:szCs w:val="24"/>
                <w:highlight w:val="none"/>
              </w:rPr>
            </w:pPr>
            <w:r>
              <w:rPr>
                <w:rFonts w:eastAsia="宋体" w:cs="Times New Roman"/>
                <w:b/>
                <w:bCs/>
                <w:color w:val="000000"/>
                <w:kern w:val="0"/>
                <w:sz w:val="24"/>
                <w:szCs w:val="24"/>
                <w:highlight w:val="none"/>
              </w:rPr>
              <w:t>主要项目</w:t>
            </w:r>
          </w:p>
        </w:tc>
        <w:tc>
          <w:tcPr>
            <w:tcW w:w="1423" w:type="dxa"/>
            <w:tcBorders>
              <w:top w:val="single" w:color="auto" w:sz="4" w:space="0"/>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b/>
                <w:bCs/>
                <w:color w:val="000000"/>
                <w:kern w:val="0"/>
                <w:sz w:val="24"/>
                <w:szCs w:val="24"/>
                <w:highlight w:val="none"/>
              </w:rPr>
            </w:pPr>
            <w:r>
              <w:rPr>
                <w:rFonts w:eastAsia="宋体" w:cs="Times New Roman"/>
                <w:b/>
                <w:bCs/>
                <w:color w:val="000000"/>
                <w:kern w:val="0"/>
                <w:sz w:val="24"/>
                <w:szCs w:val="24"/>
                <w:highlight w:val="none"/>
              </w:rPr>
              <w:t>撰写内容</w:t>
            </w:r>
          </w:p>
        </w:tc>
        <w:tc>
          <w:tcPr>
            <w:tcW w:w="8180" w:type="dxa"/>
            <w:tcBorders>
              <w:top w:val="single" w:color="auto" w:sz="4" w:space="0"/>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b/>
                <w:bCs/>
                <w:color w:val="000000"/>
                <w:kern w:val="0"/>
                <w:sz w:val="24"/>
                <w:szCs w:val="24"/>
                <w:highlight w:val="none"/>
              </w:rPr>
            </w:pPr>
            <w:r>
              <w:rPr>
                <w:rFonts w:eastAsia="宋体" w:cs="Times New Roman"/>
                <w:b/>
                <w:bCs/>
                <w:color w:val="000000"/>
                <w:kern w:val="0"/>
                <w:sz w:val="24"/>
                <w:szCs w:val="24"/>
                <w:highlight w:val="none"/>
              </w:rPr>
              <w:t>审查要点</w:t>
            </w:r>
          </w:p>
        </w:tc>
        <w:tc>
          <w:tcPr>
            <w:tcW w:w="1100" w:type="dxa"/>
            <w:tcBorders>
              <w:top w:val="single" w:color="auto" w:sz="4" w:space="0"/>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b/>
                <w:bCs/>
                <w:color w:val="000000"/>
                <w:kern w:val="0"/>
                <w:sz w:val="24"/>
                <w:szCs w:val="24"/>
                <w:highlight w:val="none"/>
              </w:rPr>
            </w:pPr>
            <w:r>
              <w:rPr>
                <w:rFonts w:eastAsia="宋体" w:cs="Times New Roman"/>
                <w:b/>
                <w:bCs/>
                <w:color w:val="000000"/>
                <w:kern w:val="0"/>
                <w:sz w:val="24"/>
                <w:szCs w:val="24"/>
                <w:highlight w:val="none"/>
              </w:rPr>
              <w:t>分值</w:t>
            </w:r>
          </w:p>
        </w:tc>
        <w:tc>
          <w:tcPr>
            <w:tcW w:w="1100" w:type="dxa"/>
            <w:tcBorders>
              <w:top w:val="single" w:color="auto" w:sz="4" w:space="0"/>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b/>
                <w:bCs/>
                <w:color w:val="000000"/>
                <w:kern w:val="0"/>
                <w:sz w:val="24"/>
                <w:szCs w:val="24"/>
                <w:highlight w:val="none"/>
              </w:rPr>
            </w:pPr>
            <w:r>
              <w:rPr>
                <w:rFonts w:eastAsia="宋体" w:cs="Times New Roman"/>
                <w:b/>
                <w:bCs/>
                <w:color w:val="000000"/>
                <w:kern w:val="0"/>
                <w:sz w:val="24"/>
                <w:szCs w:val="24"/>
                <w:highlight w:val="none"/>
              </w:rPr>
              <w:t>打分</w:t>
            </w:r>
          </w:p>
        </w:tc>
      </w:tr>
      <w:tr>
        <w:tblPrEx>
          <w:tblCellMar>
            <w:top w:w="0" w:type="dxa"/>
            <w:left w:w="108" w:type="dxa"/>
            <w:bottom w:w="0" w:type="dxa"/>
            <w:right w:w="108" w:type="dxa"/>
          </w:tblCellMar>
        </w:tblPrEx>
        <w:trPr>
          <w:trHeight w:val="312" w:hRule="atLeast"/>
          <w:jc w:val="center"/>
        </w:trPr>
        <w:tc>
          <w:tcPr>
            <w:tcW w:w="501" w:type="dxa"/>
            <w:vMerge w:val="restart"/>
            <w:tcBorders>
              <w:top w:val="nil"/>
              <w:left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1</w:t>
            </w:r>
          </w:p>
        </w:tc>
        <w:tc>
          <w:tcPr>
            <w:tcW w:w="1243" w:type="dxa"/>
            <w:vMerge w:val="restart"/>
            <w:tcBorders>
              <w:top w:val="nil"/>
              <w:left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形式审查</w:t>
            </w:r>
          </w:p>
        </w:tc>
        <w:tc>
          <w:tcPr>
            <w:tcW w:w="1423" w:type="dxa"/>
            <w:vMerge w:val="restart"/>
            <w:tcBorders>
              <w:top w:val="nil"/>
              <w:left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　</w:t>
            </w: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地块权属信息*</w:t>
            </w:r>
          </w:p>
        </w:tc>
        <w:tc>
          <w:tcPr>
            <w:tcW w:w="1100"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hint="eastAsia" w:eastAsia="等线" w:cs="Times New Roman"/>
                <w:color w:val="000000"/>
                <w:kern w:val="0"/>
                <w:sz w:val="24"/>
                <w:szCs w:val="24"/>
                <w:highlight w:val="none"/>
              </w:rPr>
            </w:pPr>
            <w:r>
              <w:rPr>
                <w:rFonts w:hint="eastAsia" w:eastAsia="等线" w:cs="Times New Roman"/>
                <w:color w:val="000000"/>
                <w:kern w:val="0"/>
                <w:sz w:val="24"/>
                <w:szCs w:val="24"/>
                <w:highlight w:val="none"/>
              </w:rPr>
              <w:t>/</w:t>
            </w:r>
          </w:p>
          <w:p>
            <w:pPr>
              <w:widowControl/>
              <w:spacing w:line="240" w:lineRule="auto"/>
              <w:ind w:firstLine="0" w:firstLineChars="0"/>
              <w:jc w:val="center"/>
              <w:rPr>
                <w:rFonts w:eastAsia="等线" w:cs="Times New Roman"/>
                <w:color w:val="000000"/>
                <w:kern w:val="0"/>
                <w:sz w:val="24"/>
                <w:szCs w:val="24"/>
                <w:highlight w:val="none"/>
              </w:rPr>
            </w:pPr>
          </w:p>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421" w:hRule="atLeast"/>
          <w:jc w:val="center"/>
        </w:trPr>
        <w:tc>
          <w:tcPr>
            <w:tcW w:w="501"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43"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送审报告是否加盖从业单位和土地使用权人（或土壤污染责任人）的公章*</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12" w:hRule="atLeast"/>
          <w:jc w:val="center"/>
        </w:trPr>
        <w:tc>
          <w:tcPr>
            <w:tcW w:w="501"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43"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送审报告是否明确项目负责人和从业人员信息及亲笔签字*</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12" w:hRule="atLeast"/>
          <w:jc w:val="center"/>
        </w:trPr>
        <w:tc>
          <w:tcPr>
            <w:tcW w:w="501"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43"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检测实验室是否具有土壤和水质检测项目国家资质委员会认可的资质*</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501"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43"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sz w:val="24"/>
                <w:szCs w:val="24"/>
                <w:highlight w:val="none"/>
              </w:rPr>
              <w:t>是否提交国家资质委员会认可的实验室检测报告</w:t>
            </w:r>
            <w:r>
              <w:rPr>
                <w:rFonts w:eastAsia="宋体" w:cs="Times New Roman"/>
                <w:color w:val="000000"/>
                <w:kern w:val="0"/>
                <w:sz w:val="24"/>
                <w:szCs w:val="24"/>
                <w:highlight w:val="none"/>
              </w:rPr>
              <w:t>*</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501" w:type="dxa"/>
            <w:vMerge w:val="continue"/>
            <w:tcBorders>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43" w:type="dxa"/>
            <w:vMerge w:val="continue"/>
            <w:tcBorders>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continue"/>
            <w:tcBorders>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sz w:val="24"/>
                <w:szCs w:val="24"/>
                <w:highlight w:val="none"/>
              </w:rPr>
            </w:pPr>
            <w:r>
              <w:rPr>
                <w:rFonts w:eastAsia="宋体" w:cs="Times New Roman"/>
                <w:sz w:val="24"/>
                <w:szCs w:val="24"/>
                <w:highlight w:val="none"/>
              </w:rPr>
              <w:t>报告是否完整，包括摘要、正文和附件。</w:t>
            </w:r>
          </w:p>
        </w:tc>
        <w:tc>
          <w:tcPr>
            <w:tcW w:w="1100"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960" w:hRule="atLeast"/>
          <w:jc w:val="center"/>
        </w:trPr>
        <w:tc>
          <w:tcPr>
            <w:tcW w:w="501"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2</w:t>
            </w:r>
          </w:p>
        </w:tc>
        <w:tc>
          <w:tcPr>
            <w:tcW w:w="1243"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污染识别</w:t>
            </w:r>
          </w:p>
        </w:tc>
        <w:tc>
          <w:tcPr>
            <w:tcW w:w="1423"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资料收集</w:t>
            </w: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地块资料收集是否齐全</w:t>
            </w:r>
            <w:r>
              <w:rPr>
                <w:rFonts w:hint="eastAsia" w:eastAsia="宋体" w:cs="Times New Roman"/>
                <w:color w:val="000000"/>
                <w:kern w:val="0"/>
                <w:sz w:val="24"/>
                <w:szCs w:val="24"/>
                <w:highlight w:val="none"/>
              </w:rPr>
              <w:t>，</w:t>
            </w:r>
            <w:r>
              <w:rPr>
                <w:rFonts w:eastAsia="宋体" w:cs="Times New Roman"/>
                <w:color w:val="000000"/>
                <w:kern w:val="0"/>
                <w:sz w:val="24"/>
                <w:szCs w:val="24"/>
                <w:highlight w:val="none"/>
              </w:rPr>
              <w:t>包括：地理位置图、各历史时期地形图、产品、原辅材料及中间体清单、平面布置图、工艺流程图、地下管线图、化学化学品储存及使用清单、地勘报告等</w:t>
            </w:r>
          </w:p>
        </w:tc>
        <w:tc>
          <w:tcPr>
            <w:tcW w:w="1100"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p>
            <w:pPr>
              <w:widowControl/>
              <w:spacing w:line="240" w:lineRule="auto"/>
              <w:ind w:firstLine="0" w:firstLineChars="0"/>
              <w:jc w:val="center"/>
              <w:rPr>
                <w:rFonts w:eastAsia="等线" w:cs="Times New Roman"/>
                <w:color w:val="000000"/>
                <w:kern w:val="0"/>
                <w:sz w:val="24"/>
                <w:szCs w:val="24"/>
                <w:highlight w:val="none"/>
              </w:rPr>
            </w:pPr>
          </w:p>
          <w:p>
            <w:pPr>
              <w:widowControl/>
              <w:spacing w:line="240" w:lineRule="auto"/>
              <w:ind w:firstLine="0" w:firstLineChars="0"/>
              <w:jc w:val="center"/>
              <w:rPr>
                <w:rFonts w:eastAsia="等线" w:cs="Times New Roman"/>
                <w:color w:val="000000"/>
                <w:kern w:val="0"/>
                <w:sz w:val="24"/>
                <w:szCs w:val="24"/>
                <w:highlight w:val="none"/>
              </w:rPr>
            </w:pPr>
          </w:p>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10</w:t>
            </w:r>
          </w:p>
          <w:p>
            <w:pPr>
              <w:widowControl/>
              <w:spacing w:line="240" w:lineRule="auto"/>
              <w:ind w:firstLine="0" w:firstLineChars="0"/>
              <w:jc w:val="center"/>
              <w:rPr>
                <w:rFonts w:eastAsia="等线" w:cs="Times New Roman"/>
                <w:color w:val="000000"/>
                <w:kern w:val="0"/>
                <w:sz w:val="24"/>
                <w:szCs w:val="24"/>
                <w:highlight w:val="none"/>
              </w:rPr>
            </w:pPr>
          </w:p>
          <w:p>
            <w:pPr>
              <w:widowControl/>
              <w:spacing w:line="240" w:lineRule="auto"/>
              <w:ind w:firstLine="0" w:firstLineChars="0"/>
              <w:jc w:val="center"/>
              <w:rPr>
                <w:rFonts w:eastAsia="等线" w:cs="Times New Roman"/>
                <w:color w:val="000000"/>
                <w:kern w:val="0"/>
                <w:sz w:val="24"/>
                <w:szCs w:val="24"/>
                <w:highlight w:val="none"/>
              </w:rPr>
            </w:pPr>
          </w:p>
          <w:p>
            <w:pPr>
              <w:widowControl/>
              <w:spacing w:line="240" w:lineRule="auto"/>
              <w:ind w:firstLine="0" w:firstLineChars="0"/>
              <w:jc w:val="center"/>
              <w:rPr>
                <w:rFonts w:eastAsia="等线" w:cs="Times New Roman"/>
                <w:color w:val="000000"/>
                <w:kern w:val="0"/>
                <w:sz w:val="24"/>
                <w:szCs w:val="24"/>
                <w:highlight w:val="none"/>
              </w:rPr>
            </w:pPr>
          </w:p>
          <w:p>
            <w:pPr>
              <w:widowControl/>
              <w:spacing w:line="240" w:lineRule="auto"/>
              <w:ind w:firstLine="0" w:firstLineChars="0"/>
              <w:jc w:val="center"/>
              <w:rPr>
                <w:rFonts w:eastAsia="等线" w:cs="Times New Roman"/>
                <w:color w:val="000000"/>
                <w:kern w:val="0"/>
                <w:sz w:val="24"/>
                <w:szCs w:val="24"/>
                <w:highlight w:val="none"/>
              </w:rPr>
            </w:pPr>
          </w:p>
          <w:p>
            <w:pPr>
              <w:widowControl/>
              <w:spacing w:line="240" w:lineRule="auto"/>
              <w:ind w:firstLine="0" w:firstLineChars="0"/>
              <w:jc w:val="center"/>
              <w:rPr>
                <w:rFonts w:eastAsia="等线" w:cs="Times New Roman"/>
                <w:color w:val="000000"/>
                <w:kern w:val="0"/>
                <w:sz w:val="24"/>
                <w:szCs w:val="24"/>
                <w:highlight w:val="none"/>
              </w:rPr>
            </w:pPr>
          </w:p>
          <w:p>
            <w:pPr>
              <w:widowControl/>
              <w:spacing w:line="240" w:lineRule="auto"/>
              <w:ind w:firstLine="0" w:firstLineChars="0"/>
              <w:jc w:val="center"/>
              <w:rPr>
                <w:rFonts w:eastAsia="等线" w:cs="Times New Roman"/>
                <w:color w:val="000000"/>
                <w:kern w:val="0"/>
                <w:sz w:val="24"/>
                <w:szCs w:val="24"/>
                <w:highlight w:val="none"/>
              </w:rPr>
            </w:pPr>
          </w:p>
          <w:p>
            <w:pPr>
              <w:widowControl/>
              <w:spacing w:line="240" w:lineRule="auto"/>
              <w:ind w:firstLine="0" w:firstLineChars="0"/>
              <w:jc w:val="center"/>
              <w:rPr>
                <w:rFonts w:eastAsia="等线" w:cs="Times New Roman"/>
                <w:color w:val="000000"/>
                <w:kern w:val="0"/>
                <w:sz w:val="24"/>
                <w:szCs w:val="24"/>
                <w:highlight w:val="none"/>
              </w:rPr>
            </w:pPr>
          </w:p>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636" w:hRule="atLeast"/>
          <w:jc w:val="center"/>
        </w:trPr>
        <w:tc>
          <w:tcPr>
            <w:tcW w:w="501"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地块位置、面积、边界表述是否准确，包括：地块位置图、地块范围图、边界拐点坐标</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501"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地块周边现状与历史情况表述完整性与准确性</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501"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区域自然环境概况表述是否完整、准确</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501"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周边敏感目标描述是否完整、准确</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407" w:hRule="atLeast"/>
          <w:jc w:val="center"/>
        </w:trPr>
        <w:tc>
          <w:tcPr>
            <w:tcW w:w="501"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地块未来规划用途是否明确，如无明确规划应以最严格的方式进行调查</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501"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现场踏勘</w:t>
            </w: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是否进行踏勘</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1048" w:hRule="atLeast"/>
          <w:jc w:val="center"/>
        </w:trPr>
        <w:tc>
          <w:tcPr>
            <w:tcW w:w="501"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踏勘过程是否包括地块重点区域、污染痕迹、储槽与管线、化学品味道和刺激性气味、排水管/渠、污水或其他地表水体、废物堆放地、周边可能存在污染的企业以及周边敏感点，并描述与周边敏感点与地块的位置关系</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501"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人员访谈</w:t>
            </w: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是否进行人员访谈</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12" w:hRule="atLeast"/>
          <w:jc w:val="center"/>
        </w:trPr>
        <w:tc>
          <w:tcPr>
            <w:tcW w:w="501"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是否能准确体现地块及周边的环境状况</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501"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信息分析及结论</w:t>
            </w: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是否明确地块及周围区域有无可能的污染源</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501"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现场污染痕迹和潜在污染状况和污染因子识别的全面性与准确性</w:t>
            </w:r>
          </w:p>
        </w:tc>
        <w:tc>
          <w:tcPr>
            <w:tcW w:w="1100"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501" w:type="dxa"/>
            <w:vMerge w:val="restart"/>
            <w:tcBorders>
              <w:top w:val="nil"/>
              <w:left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3</w:t>
            </w:r>
          </w:p>
        </w:tc>
        <w:tc>
          <w:tcPr>
            <w:tcW w:w="1243"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初步采样布点方案</w:t>
            </w:r>
          </w:p>
        </w:tc>
        <w:tc>
          <w:tcPr>
            <w:tcW w:w="1423"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调查范围</w:t>
            </w: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调查范围是否合理</w:t>
            </w:r>
          </w:p>
        </w:tc>
        <w:tc>
          <w:tcPr>
            <w:tcW w:w="1100"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p>
            <w:pPr>
              <w:widowControl/>
              <w:spacing w:line="240" w:lineRule="auto"/>
              <w:ind w:firstLine="0" w:firstLineChars="0"/>
              <w:jc w:val="center"/>
              <w:rPr>
                <w:rFonts w:eastAsia="等线" w:cs="Times New Roman"/>
                <w:color w:val="000000"/>
                <w:kern w:val="0"/>
                <w:sz w:val="24"/>
                <w:szCs w:val="24"/>
                <w:highlight w:val="none"/>
              </w:rPr>
            </w:pPr>
          </w:p>
          <w:p>
            <w:pPr>
              <w:widowControl/>
              <w:spacing w:line="240" w:lineRule="auto"/>
              <w:ind w:firstLine="0" w:firstLineChars="0"/>
              <w:jc w:val="center"/>
              <w:rPr>
                <w:rFonts w:eastAsia="等线" w:cs="Times New Roman"/>
                <w:color w:val="000000"/>
                <w:kern w:val="0"/>
                <w:sz w:val="24"/>
                <w:szCs w:val="24"/>
                <w:highlight w:val="none"/>
              </w:rPr>
            </w:pPr>
          </w:p>
          <w:p>
            <w:pPr>
              <w:widowControl/>
              <w:spacing w:line="240" w:lineRule="auto"/>
              <w:ind w:firstLine="0" w:firstLineChars="0"/>
              <w:jc w:val="center"/>
              <w:rPr>
                <w:rFonts w:eastAsia="等线" w:cs="Times New Roman"/>
                <w:color w:val="000000"/>
                <w:kern w:val="0"/>
                <w:sz w:val="24"/>
                <w:szCs w:val="24"/>
                <w:highlight w:val="none"/>
              </w:rPr>
            </w:pPr>
          </w:p>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20</w:t>
            </w:r>
          </w:p>
          <w:p>
            <w:pPr>
              <w:widowControl/>
              <w:spacing w:line="240" w:lineRule="auto"/>
              <w:ind w:firstLine="0" w:firstLineChars="0"/>
              <w:jc w:val="center"/>
              <w:rPr>
                <w:rFonts w:eastAsia="等线" w:cs="Times New Roman"/>
                <w:color w:val="000000"/>
                <w:kern w:val="0"/>
                <w:sz w:val="24"/>
                <w:szCs w:val="24"/>
                <w:highlight w:val="none"/>
              </w:rPr>
            </w:pPr>
          </w:p>
          <w:p>
            <w:pPr>
              <w:widowControl/>
              <w:spacing w:line="240" w:lineRule="auto"/>
              <w:ind w:firstLine="0" w:firstLineChars="0"/>
              <w:jc w:val="center"/>
              <w:rPr>
                <w:rFonts w:eastAsia="等线" w:cs="Times New Roman"/>
                <w:color w:val="000000"/>
                <w:kern w:val="0"/>
                <w:sz w:val="24"/>
                <w:szCs w:val="24"/>
                <w:highlight w:val="none"/>
              </w:rPr>
            </w:pPr>
          </w:p>
          <w:p>
            <w:pPr>
              <w:widowControl/>
              <w:spacing w:line="240" w:lineRule="auto"/>
              <w:ind w:firstLine="0" w:firstLineChars="0"/>
              <w:jc w:val="center"/>
              <w:rPr>
                <w:rFonts w:eastAsia="等线" w:cs="Times New Roman"/>
                <w:color w:val="000000"/>
                <w:kern w:val="0"/>
                <w:sz w:val="24"/>
                <w:szCs w:val="24"/>
                <w:highlight w:val="none"/>
              </w:rPr>
            </w:pPr>
          </w:p>
          <w:p>
            <w:pPr>
              <w:widowControl/>
              <w:spacing w:line="240" w:lineRule="auto"/>
              <w:ind w:firstLine="0" w:firstLineChars="0"/>
              <w:jc w:val="center"/>
              <w:rPr>
                <w:rFonts w:eastAsia="等线" w:cs="Times New Roman"/>
                <w:color w:val="000000"/>
                <w:kern w:val="0"/>
                <w:sz w:val="24"/>
                <w:szCs w:val="24"/>
                <w:highlight w:val="none"/>
              </w:rPr>
            </w:pPr>
          </w:p>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501"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监测介质</w:t>
            </w: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是否调查地块内疑似污染的介质</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694" w:hRule="atLeast"/>
          <w:jc w:val="center"/>
        </w:trPr>
        <w:tc>
          <w:tcPr>
            <w:tcW w:w="501"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监测项目</w:t>
            </w: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土壤样品监测指标是否包含《土壤环境质量建设用地土壤污染风险管控标准》（GB 36600-2018）中的45项必测项和污染识别阶段确定的关注污染物</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501"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地下水监测指标是否包括污染识别阶段的所有污染物</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501"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土壤点位布设</w:t>
            </w: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采样点数量是否满足相关规范要求</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501"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布点位置的设置是否具有科学性、合理性、针对性</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501"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地下水点位布设</w:t>
            </w: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采样点数量是否满足相关规范要求</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501"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布点位置的设置是否具有科学性、合理性、针对性</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501"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地表水/底泥点位布设</w:t>
            </w: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采样点数量是否满足相关规范要求</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92" w:hRule="atLeast"/>
          <w:jc w:val="center"/>
        </w:trPr>
        <w:tc>
          <w:tcPr>
            <w:tcW w:w="501"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布点位置的设置是否具有科学性、合理性、针对性</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92" w:hRule="atLeast"/>
          <w:jc w:val="center"/>
        </w:trPr>
        <w:tc>
          <w:tcPr>
            <w:tcW w:w="501"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restart"/>
            <w:tcBorders>
              <w:top w:val="nil"/>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详细采样布点方案</w:t>
            </w:r>
          </w:p>
        </w:tc>
        <w:tc>
          <w:tcPr>
            <w:tcW w:w="1423"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调查范围</w:t>
            </w: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是否为初步调查中污染物含量超过本地块筛选值的区域</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92" w:hRule="atLeast"/>
          <w:jc w:val="center"/>
        </w:trPr>
        <w:tc>
          <w:tcPr>
            <w:tcW w:w="501"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监测介质</w:t>
            </w: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是否包括初步调查中发现存在超标情况的环境介质</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92" w:hRule="atLeast"/>
          <w:jc w:val="center"/>
        </w:trPr>
        <w:tc>
          <w:tcPr>
            <w:tcW w:w="501"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restart"/>
            <w:tcBorders>
              <w:top w:val="nil"/>
              <w:left w:val="single" w:color="auto" w:sz="4" w:space="0"/>
              <w:right w:val="single" w:color="auto" w:sz="4" w:space="0"/>
            </w:tcBorders>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土壤点位布设</w:t>
            </w: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采样点数量是否满足相关规范要求</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92" w:hRule="atLeast"/>
          <w:jc w:val="center"/>
        </w:trPr>
        <w:tc>
          <w:tcPr>
            <w:tcW w:w="501"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布点位置的设置是否具有科学性、合理性、针对性</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92" w:hRule="atLeast"/>
          <w:jc w:val="center"/>
        </w:trPr>
        <w:tc>
          <w:tcPr>
            <w:tcW w:w="501"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continue"/>
            <w:tcBorders>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采样深度是否大于初步调查监测污染的超标深度</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92" w:hRule="atLeast"/>
          <w:jc w:val="center"/>
        </w:trPr>
        <w:tc>
          <w:tcPr>
            <w:tcW w:w="501"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restart"/>
            <w:tcBorders>
              <w:top w:val="nil"/>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地下水点位布设</w:t>
            </w: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采样点数量是否满足相关规范要求</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92" w:hRule="atLeast"/>
          <w:jc w:val="center"/>
        </w:trPr>
        <w:tc>
          <w:tcPr>
            <w:tcW w:w="501" w:type="dxa"/>
            <w:vMerge w:val="continue"/>
            <w:tcBorders>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continue"/>
            <w:tcBorders>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布点位置的设置是否具有科学性、合理性、针对性</w:t>
            </w:r>
          </w:p>
        </w:tc>
        <w:tc>
          <w:tcPr>
            <w:tcW w:w="1100"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92" w:hRule="atLeast"/>
          <w:jc w:val="center"/>
        </w:trPr>
        <w:tc>
          <w:tcPr>
            <w:tcW w:w="501" w:type="dxa"/>
            <w:vMerge w:val="restart"/>
            <w:tcBorders>
              <w:top w:val="nil"/>
              <w:left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r>
              <w:rPr>
                <w:rFonts w:eastAsia="等线" w:cs="Times New Roman"/>
                <w:color w:val="000000"/>
                <w:kern w:val="0"/>
                <w:sz w:val="24"/>
                <w:szCs w:val="24"/>
                <w:highlight w:val="none"/>
              </w:rPr>
              <w:t>4</w:t>
            </w:r>
          </w:p>
        </w:tc>
        <w:tc>
          <w:tcPr>
            <w:tcW w:w="1243" w:type="dxa"/>
            <w:vMerge w:val="restart"/>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水文地质调查</w:t>
            </w:r>
          </w:p>
        </w:tc>
        <w:tc>
          <w:tcPr>
            <w:tcW w:w="1423" w:type="dxa"/>
            <w:vMerge w:val="restart"/>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调查内容</w:t>
            </w: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是否调查地块土层结构及分布情况</w:t>
            </w:r>
          </w:p>
        </w:tc>
        <w:tc>
          <w:tcPr>
            <w:tcW w:w="1100" w:type="dxa"/>
            <w:vMerge w:val="restart"/>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hint="eastAsia" w:eastAsia="等线" w:cs="Times New Roman"/>
                <w:color w:val="000000"/>
                <w:kern w:val="0"/>
                <w:sz w:val="24"/>
                <w:szCs w:val="24"/>
                <w:highlight w:val="none"/>
              </w:rPr>
              <w:t>5</w:t>
            </w:r>
          </w:p>
        </w:tc>
        <w:tc>
          <w:tcPr>
            <w:tcW w:w="1100" w:type="dxa"/>
            <w:vMerge w:val="restart"/>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92" w:hRule="atLeast"/>
          <w:jc w:val="center"/>
        </w:trPr>
        <w:tc>
          <w:tcPr>
            <w:tcW w:w="501" w:type="dxa"/>
            <w:vMerge w:val="continue"/>
            <w:tcBorders>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continue"/>
            <w:tcBorders>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是否包括地下水位、水力梯度、地下水流速及流向等内容</w:t>
            </w:r>
          </w:p>
        </w:tc>
        <w:tc>
          <w:tcPr>
            <w:tcW w:w="1100"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501" w:type="dxa"/>
            <w:vMerge w:val="restart"/>
            <w:tcBorders>
              <w:top w:val="nil"/>
              <w:left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5</w:t>
            </w:r>
          </w:p>
        </w:tc>
        <w:tc>
          <w:tcPr>
            <w:tcW w:w="1243" w:type="dxa"/>
            <w:vMerge w:val="restart"/>
            <w:tcBorders>
              <w:top w:val="nil"/>
              <w:left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样品采集和检测</w:t>
            </w:r>
          </w:p>
        </w:tc>
        <w:tc>
          <w:tcPr>
            <w:tcW w:w="1423"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土壤样品采集</w:t>
            </w: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采样深度是否合理</w:t>
            </w:r>
          </w:p>
        </w:tc>
        <w:tc>
          <w:tcPr>
            <w:tcW w:w="1100"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p>
            <w:pPr>
              <w:widowControl/>
              <w:spacing w:line="240" w:lineRule="auto"/>
              <w:ind w:firstLine="0" w:firstLineChars="0"/>
              <w:jc w:val="center"/>
              <w:rPr>
                <w:rFonts w:eastAsia="等线" w:cs="Times New Roman"/>
                <w:color w:val="000000"/>
                <w:kern w:val="0"/>
                <w:sz w:val="24"/>
                <w:szCs w:val="24"/>
                <w:highlight w:val="none"/>
              </w:rPr>
            </w:pPr>
          </w:p>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10</w:t>
            </w:r>
          </w:p>
          <w:p>
            <w:pPr>
              <w:widowControl/>
              <w:spacing w:line="240" w:lineRule="auto"/>
              <w:ind w:firstLine="0" w:firstLineChars="0"/>
              <w:jc w:val="center"/>
              <w:rPr>
                <w:rFonts w:eastAsia="等线" w:cs="Times New Roman"/>
                <w:color w:val="000000"/>
                <w:kern w:val="0"/>
                <w:sz w:val="24"/>
                <w:szCs w:val="24"/>
                <w:highlight w:val="none"/>
              </w:rPr>
            </w:pPr>
          </w:p>
          <w:p>
            <w:pPr>
              <w:widowControl/>
              <w:spacing w:line="240" w:lineRule="auto"/>
              <w:ind w:firstLine="0" w:firstLineChars="0"/>
              <w:jc w:val="center"/>
              <w:rPr>
                <w:rFonts w:eastAsia="等线" w:cs="Times New Roman"/>
                <w:color w:val="000000"/>
                <w:kern w:val="0"/>
                <w:sz w:val="24"/>
                <w:szCs w:val="24"/>
                <w:highlight w:val="none"/>
              </w:rPr>
            </w:pPr>
          </w:p>
          <w:p>
            <w:pPr>
              <w:widowControl/>
              <w:spacing w:line="240" w:lineRule="auto"/>
              <w:ind w:firstLine="0" w:firstLineChars="0"/>
              <w:jc w:val="center"/>
              <w:rPr>
                <w:rFonts w:eastAsia="等线" w:cs="Times New Roman"/>
                <w:color w:val="000000"/>
                <w:kern w:val="0"/>
                <w:sz w:val="24"/>
                <w:szCs w:val="24"/>
                <w:highlight w:val="none"/>
              </w:rPr>
            </w:pPr>
          </w:p>
          <w:p>
            <w:pPr>
              <w:widowControl/>
              <w:spacing w:line="240" w:lineRule="auto"/>
              <w:ind w:firstLine="0" w:firstLineChars="0"/>
              <w:jc w:val="center"/>
              <w:rPr>
                <w:rFonts w:eastAsia="等线" w:cs="Times New Roman"/>
                <w:color w:val="000000"/>
                <w:kern w:val="0"/>
                <w:sz w:val="24"/>
                <w:szCs w:val="24"/>
                <w:highlight w:val="none"/>
              </w:rPr>
            </w:pPr>
          </w:p>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501"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土壤采样方法是否规范</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501"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地下水样品采集</w:t>
            </w: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采样深度是否合理</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501"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地下水建井是否规范</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501"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地下水采样方法是否规范</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471" w:hRule="atLeast"/>
          <w:jc w:val="center"/>
        </w:trPr>
        <w:tc>
          <w:tcPr>
            <w:tcW w:w="501"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9603" w:type="dxa"/>
            <w:gridSpan w:val="2"/>
            <w:tcBorders>
              <w:top w:val="single" w:color="auto" w:sz="4" w:space="0"/>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样品保存、流转、运输过程是否规范</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636" w:hRule="atLeast"/>
          <w:jc w:val="center"/>
        </w:trPr>
        <w:tc>
          <w:tcPr>
            <w:tcW w:w="501" w:type="dxa"/>
            <w:vMerge w:val="continue"/>
            <w:tcBorders>
              <w:left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43" w:type="dxa"/>
            <w:vMerge w:val="continue"/>
            <w:tcBorders>
              <w:left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p>
        </w:tc>
        <w:tc>
          <w:tcPr>
            <w:tcW w:w="1423"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实验室资质</w:t>
            </w: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是否具有土壤和水质检测项目的CMA资质</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90" w:hRule="atLeast"/>
          <w:jc w:val="center"/>
        </w:trPr>
        <w:tc>
          <w:tcPr>
            <w:tcW w:w="501" w:type="dxa"/>
            <w:vMerge w:val="continue"/>
            <w:tcBorders>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分析测试方法</w:t>
            </w: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测试项目的分析测试方法是否明确，测试方法检出限是否满足要求</w:t>
            </w:r>
          </w:p>
        </w:tc>
        <w:tc>
          <w:tcPr>
            <w:tcW w:w="1100"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553" w:hRule="atLeast"/>
          <w:jc w:val="center"/>
        </w:trPr>
        <w:tc>
          <w:tcPr>
            <w:tcW w:w="501"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6</w:t>
            </w:r>
          </w:p>
        </w:tc>
        <w:tc>
          <w:tcPr>
            <w:tcW w:w="1243"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质量保证与质量控制</w:t>
            </w:r>
          </w:p>
        </w:tc>
        <w:tc>
          <w:tcPr>
            <w:tcW w:w="1423"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等线" w:cs="Times New Roman"/>
                <w:color w:val="000000"/>
                <w:kern w:val="0"/>
                <w:sz w:val="24"/>
                <w:szCs w:val="24"/>
                <w:highlight w:val="none"/>
              </w:rPr>
            </w:pPr>
            <w:r>
              <w:rPr>
                <w:rFonts w:eastAsia="等线" w:cs="Times New Roman"/>
                <w:color w:val="000000"/>
                <w:kern w:val="0"/>
                <w:sz w:val="24"/>
                <w:szCs w:val="24"/>
                <w:highlight w:val="none"/>
              </w:rPr>
              <w:t>　</w:t>
            </w: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样品采集、保存、流转的QA/QC是否符合要求</w:t>
            </w:r>
          </w:p>
        </w:tc>
        <w:tc>
          <w:tcPr>
            <w:tcW w:w="1100"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5</w:t>
            </w:r>
          </w:p>
        </w:tc>
        <w:tc>
          <w:tcPr>
            <w:tcW w:w="1100"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501"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等线" w:cs="Times New Roman"/>
                <w:color w:val="000000"/>
                <w:kern w:val="0"/>
                <w:sz w:val="24"/>
                <w:szCs w:val="24"/>
                <w:highlight w:val="none"/>
              </w:rPr>
            </w:pPr>
            <w:r>
              <w:rPr>
                <w:rFonts w:eastAsia="等线" w:cs="Times New Roman"/>
                <w:color w:val="000000"/>
                <w:kern w:val="0"/>
                <w:sz w:val="24"/>
                <w:szCs w:val="24"/>
                <w:highlight w:val="none"/>
              </w:rPr>
              <w:t>　</w:t>
            </w:r>
          </w:p>
        </w:tc>
        <w:tc>
          <w:tcPr>
            <w:tcW w:w="8180" w:type="dxa"/>
            <w:tcBorders>
              <w:top w:val="nil"/>
              <w:left w:val="nil"/>
              <w:bottom w:val="single" w:color="auto" w:sz="4" w:space="0"/>
              <w:right w:val="single" w:color="auto" w:sz="4" w:space="0"/>
            </w:tcBorders>
            <w:shd w:val="clear" w:color="000000" w:fill="FFFFFF"/>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样品检测方法及其过程的QA/QC是否符合要求</w:t>
            </w:r>
          </w:p>
        </w:tc>
        <w:tc>
          <w:tcPr>
            <w:tcW w:w="1100"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624" w:hRule="atLeast"/>
          <w:jc w:val="center"/>
        </w:trPr>
        <w:tc>
          <w:tcPr>
            <w:tcW w:w="501" w:type="dxa"/>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7</w:t>
            </w:r>
          </w:p>
        </w:tc>
        <w:tc>
          <w:tcPr>
            <w:tcW w:w="1243"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筛选值的选取</w:t>
            </w:r>
          </w:p>
        </w:tc>
        <w:tc>
          <w:tcPr>
            <w:tcW w:w="1423"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　</w:t>
            </w: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筛选值的选取是否合理</w:t>
            </w:r>
          </w:p>
        </w:tc>
        <w:tc>
          <w:tcPr>
            <w:tcW w:w="110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5</w:t>
            </w:r>
          </w:p>
        </w:tc>
        <w:tc>
          <w:tcPr>
            <w:tcW w:w="110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636" w:hRule="atLeast"/>
          <w:jc w:val="center"/>
        </w:trPr>
        <w:tc>
          <w:tcPr>
            <w:tcW w:w="501" w:type="dxa"/>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8</w:t>
            </w:r>
          </w:p>
        </w:tc>
        <w:tc>
          <w:tcPr>
            <w:tcW w:w="1243"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数据分析与评估</w:t>
            </w:r>
          </w:p>
        </w:tc>
        <w:tc>
          <w:tcPr>
            <w:tcW w:w="1423"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　</w:t>
            </w: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样品检测数据汇总整理、分析和表征是否科学、准确、全面，包含污染源解析和成因分析</w:t>
            </w:r>
          </w:p>
        </w:tc>
        <w:tc>
          <w:tcPr>
            <w:tcW w:w="110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15</w:t>
            </w:r>
          </w:p>
        </w:tc>
        <w:tc>
          <w:tcPr>
            <w:tcW w:w="110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501"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9</w:t>
            </w:r>
          </w:p>
        </w:tc>
        <w:tc>
          <w:tcPr>
            <w:tcW w:w="1243"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结论与建议</w:t>
            </w:r>
          </w:p>
        </w:tc>
        <w:tc>
          <w:tcPr>
            <w:tcW w:w="1423"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结论</w:t>
            </w: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是否明确土壤和地下水是否受到污染</w:t>
            </w:r>
          </w:p>
        </w:tc>
        <w:tc>
          <w:tcPr>
            <w:tcW w:w="1100"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20</w:t>
            </w:r>
          </w:p>
        </w:tc>
        <w:tc>
          <w:tcPr>
            <w:tcW w:w="1100"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501"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是否明确地块后续</w:t>
            </w:r>
            <w:r>
              <w:rPr>
                <w:rFonts w:hint="eastAsia" w:eastAsia="宋体" w:cs="Times New Roman"/>
                <w:color w:val="000000"/>
                <w:kern w:val="0"/>
                <w:sz w:val="24"/>
                <w:szCs w:val="24"/>
                <w:highlight w:val="none"/>
              </w:rPr>
              <w:t>风险评估</w:t>
            </w:r>
            <w:r>
              <w:rPr>
                <w:rFonts w:eastAsia="宋体" w:cs="Times New Roman"/>
                <w:color w:val="000000"/>
                <w:kern w:val="0"/>
                <w:sz w:val="24"/>
                <w:szCs w:val="24"/>
                <w:highlight w:val="none"/>
              </w:rPr>
              <w:t>工作的需求，以及污染物和污染区域</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495" w:hRule="atLeast"/>
          <w:jc w:val="center"/>
        </w:trPr>
        <w:tc>
          <w:tcPr>
            <w:tcW w:w="501"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建议</w:t>
            </w: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是否具有针对性、科学性和合理性</w:t>
            </w:r>
          </w:p>
        </w:tc>
        <w:tc>
          <w:tcPr>
            <w:tcW w:w="1100"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12" w:hRule="atLeast"/>
          <w:jc w:val="center"/>
        </w:trPr>
        <w:tc>
          <w:tcPr>
            <w:tcW w:w="501" w:type="dxa"/>
            <w:vMerge w:val="restart"/>
            <w:tcBorders>
              <w:top w:val="nil"/>
              <w:left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10</w:t>
            </w:r>
          </w:p>
        </w:tc>
        <w:tc>
          <w:tcPr>
            <w:tcW w:w="1243" w:type="dxa"/>
            <w:vMerge w:val="restart"/>
            <w:tcBorders>
              <w:top w:val="nil"/>
              <w:left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附件</w:t>
            </w:r>
          </w:p>
        </w:tc>
        <w:tc>
          <w:tcPr>
            <w:tcW w:w="1423" w:type="dxa"/>
            <w:vMerge w:val="restart"/>
            <w:tcBorders>
              <w:top w:val="nil"/>
              <w:left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　</w:t>
            </w: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人员访谈记录</w:t>
            </w:r>
          </w:p>
        </w:tc>
        <w:tc>
          <w:tcPr>
            <w:tcW w:w="1100"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10</w:t>
            </w:r>
          </w:p>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12" w:hRule="atLeast"/>
          <w:jc w:val="center"/>
        </w:trPr>
        <w:tc>
          <w:tcPr>
            <w:tcW w:w="501"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现场踏勘、现场记录照片</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12" w:hRule="atLeast"/>
          <w:jc w:val="center"/>
        </w:trPr>
        <w:tc>
          <w:tcPr>
            <w:tcW w:w="501"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土壤钻孔柱状图</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12" w:hRule="atLeast"/>
          <w:jc w:val="center"/>
        </w:trPr>
        <w:tc>
          <w:tcPr>
            <w:tcW w:w="501"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现场采样记录单、监测井建井记录、洗井记录表是否齐全、规范</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12" w:hRule="atLeast"/>
          <w:jc w:val="center"/>
        </w:trPr>
        <w:tc>
          <w:tcPr>
            <w:tcW w:w="501"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质量控制结果</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12" w:hRule="atLeast"/>
          <w:jc w:val="center"/>
        </w:trPr>
        <w:tc>
          <w:tcPr>
            <w:tcW w:w="501"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18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样品追踪监管记录</w:t>
            </w: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458" w:hRule="atLeast"/>
          <w:jc w:val="center"/>
        </w:trPr>
        <w:tc>
          <w:tcPr>
            <w:tcW w:w="501" w:type="dxa"/>
            <w:vMerge w:val="continue"/>
            <w:tcBorders>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43" w:type="dxa"/>
            <w:vMerge w:val="continue"/>
            <w:tcBorders>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23" w:type="dxa"/>
            <w:vMerge w:val="continue"/>
            <w:tcBorders>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180" w:type="dxa"/>
            <w:tcBorders>
              <w:top w:val="single" w:color="auto" w:sz="4" w:space="0"/>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水文地质勘察报告</w:t>
            </w:r>
          </w:p>
        </w:tc>
        <w:tc>
          <w:tcPr>
            <w:tcW w:w="1100"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100"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bl>
    <w:p>
      <w:pPr>
        <w:spacing w:line="440" w:lineRule="exact"/>
        <w:ind w:firstLine="560"/>
        <w:rPr>
          <w:highlight w:val="none"/>
        </w:rPr>
      </w:pPr>
      <w:r>
        <w:rPr>
          <w:rFonts w:hint="eastAsia"/>
          <w:highlight w:val="none"/>
        </w:rPr>
        <w:t>备注：1.表格中分值为单件评价量化分值。</w:t>
      </w:r>
    </w:p>
    <w:p>
      <w:pPr>
        <w:numPr>
          <w:ilvl w:val="0"/>
          <w:numId w:val="2"/>
        </w:numPr>
        <w:spacing w:line="440" w:lineRule="exact"/>
        <w:ind w:firstLine="1400" w:firstLineChars="500"/>
        <w:rPr>
          <w:highlight w:val="none"/>
        </w:rPr>
      </w:pPr>
      <w:r>
        <w:rPr>
          <w:rFonts w:hint="eastAsia"/>
          <w:highlight w:val="none"/>
        </w:rPr>
        <w:t>形式审查由评审组织单位审核，形式审查不通过则不予评审。</w:t>
      </w:r>
    </w:p>
    <w:p>
      <w:pPr>
        <w:numPr>
          <w:ilvl w:val="0"/>
          <w:numId w:val="2"/>
        </w:numPr>
        <w:spacing w:line="440" w:lineRule="exact"/>
        <w:ind w:firstLine="1400" w:firstLineChars="500"/>
        <w:rPr>
          <w:highlight w:val="none"/>
        </w:rPr>
      </w:pPr>
      <w:r>
        <w:rPr>
          <w:rFonts w:hint="eastAsia"/>
          <w:highlight w:val="none"/>
        </w:rPr>
        <w:t>评分为90分（含）以上的，技术文件直接评审通过；评分为60分（含）至90分的，技术文件评审通过但需修改；评分为60分以下的，技术文件不予评审通过。（此项中评分不包含形式审查项加分）</w:t>
      </w:r>
    </w:p>
    <w:p>
      <w:pPr>
        <w:tabs>
          <w:tab w:val="left" w:pos="1418"/>
          <w:tab w:val="left" w:pos="1843"/>
          <w:tab w:val="left" w:pos="2268"/>
        </w:tabs>
        <w:adjustRightInd w:val="0"/>
        <w:snapToGrid w:val="0"/>
        <w:ind w:firstLine="184" w:firstLineChars="66"/>
        <w:rPr>
          <w:rFonts w:cs="Times New Roman"/>
          <w:szCs w:val="30"/>
          <w:highlight w:val="none"/>
        </w:rPr>
      </w:pPr>
    </w:p>
    <w:p>
      <w:pPr>
        <w:tabs>
          <w:tab w:val="left" w:pos="1418"/>
          <w:tab w:val="left" w:pos="1843"/>
          <w:tab w:val="left" w:pos="2268"/>
        </w:tabs>
        <w:adjustRightInd w:val="0"/>
        <w:snapToGrid w:val="0"/>
        <w:ind w:firstLine="184" w:firstLineChars="66"/>
        <w:rPr>
          <w:rFonts w:cs="Times New Roman"/>
          <w:szCs w:val="30"/>
          <w:highlight w:val="none"/>
        </w:rPr>
      </w:pPr>
    </w:p>
    <w:p>
      <w:pPr>
        <w:tabs>
          <w:tab w:val="left" w:pos="1418"/>
          <w:tab w:val="left" w:pos="1843"/>
          <w:tab w:val="left" w:pos="2268"/>
        </w:tabs>
        <w:adjustRightInd w:val="0"/>
        <w:snapToGrid w:val="0"/>
        <w:ind w:firstLine="184" w:firstLineChars="66"/>
        <w:rPr>
          <w:rFonts w:cs="Times New Roman"/>
          <w:szCs w:val="30"/>
          <w:highlight w:val="none"/>
        </w:rPr>
        <w:sectPr>
          <w:pgSz w:w="16838" w:h="11906" w:orient="landscape"/>
          <w:pgMar w:top="1440" w:right="1797" w:bottom="1440" w:left="1797" w:header="851" w:footer="992" w:gutter="0"/>
          <w:cols w:space="425" w:num="1"/>
          <w:docGrid w:linePitch="435" w:charSpace="0"/>
        </w:sectPr>
      </w:pPr>
    </w:p>
    <w:p>
      <w:pPr>
        <w:pStyle w:val="3"/>
        <w:pageBreakBefore w:val="0"/>
        <w:widowControl w:val="0"/>
        <w:kinsoku/>
        <w:wordWrap/>
        <w:overflowPunct/>
        <w:topLinePunct w:val="0"/>
        <w:autoSpaceDE/>
        <w:autoSpaceDN/>
        <w:bidi w:val="0"/>
        <w:adjustRightInd/>
        <w:snapToGrid/>
        <w:textAlignment w:val="auto"/>
        <w:rPr>
          <w:rFonts w:cs="Times New Roman"/>
          <w:highlight w:val="none"/>
        </w:rPr>
      </w:pPr>
      <w:r>
        <w:rPr>
          <w:rFonts w:cs="Times New Roman"/>
          <w:highlight w:val="none"/>
        </w:rPr>
        <w:t xml:space="preserve">附表2-2 </w:t>
      </w:r>
      <w:bookmarkStart w:id="36" w:name="_Hlk35866144"/>
      <w:r>
        <w:rPr>
          <w:rFonts w:cs="Times New Roman"/>
          <w:highlight w:val="none"/>
        </w:rPr>
        <w:t>建设用地土壤污染状况风险评估报告审查技术要点</w:t>
      </w:r>
      <w:bookmarkEnd w:id="36"/>
    </w:p>
    <w:p>
      <w:pPr>
        <w:pageBreakBefore w:val="0"/>
        <w:widowControl w:val="0"/>
        <w:kinsoku/>
        <w:wordWrap/>
        <w:overflowPunct/>
        <w:topLinePunct w:val="0"/>
        <w:autoSpaceDE/>
        <w:autoSpaceDN/>
        <w:bidi w:val="0"/>
        <w:adjustRightInd/>
        <w:snapToGrid/>
        <w:ind w:firstLine="158" w:firstLineChars="66"/>
        <w:jc w:val="left"/>
        <w:textAlignment w:val="auto"/>
        <w:rPr>
          <w:rFonts w:eastAsia="宋体" w:cs="Times New Roman"/>
          <w:color w:val="000000"/>
          <w:sz w:val="24"/>
          <w:szCs w:val="24"/>
          <w:highlight w:val="none"/>
        </w:rPr>
      </w:pPr>
      <w:r>
        <w:rPr>
          <w:rFonts w:eastAsia="宋体" w:cs="Times New Roman"/>
          <w:sz w:val="24"/>
          <w:szCs w:val="24"/>
          <w:highlight w:val="none"/>
        </w:rPr>
        <w:t>报告审查包括但不限于以下内容：</w:t>
      </w:r>
    </w:p>
    <w:p>
      <w:pPr>
        <w:ind w:firstLine="170" w:firstLineChars="71"/>
        <w:jc w:val="left"/>
        <w:rPr>
          <w:rFonts w:eastAsia="宋体" w:cs="Times New Roman"/>
          <w:color w:val="000000"/>
          <w:sz w:val="24"/>
          <w:szCs w:val="24"/>
          <w:highlight w:val="none"/>
        </w:rPr>
      </w:pPr>
      <w:r>
        <w:rPr>
          <w:rFonts w:eastAsia="宋体" w:cs="Times New Roman"/>
          <w:color w:val="000000"/>
          <w:sz w:val="24"/>
          <w:szCs w:val="24"/>
          <w:highlight w:val="none"/>
        </w:rPr>
        <w:t>项目名称：</w:t>
      </w:r>
      <w:r>
        <w:rPr>
          <w:rFonts w:eastAsia="宋体" w:cs="Times New Roman"/>
          <w:color w:val="000000"/>
          <w:sz w:val="24"/>
          <w:szCs w:val="24"/>
          <w:highlight w:val="none"/>
          <w:u w:val="single"/>
        </w:rPr>
        <w:t xml:space="preserve">                               </w:t>
      </w:r>
      <w:r>
        <w:rPr>
          <w:rFonts w:eastAsia="宋体" w:cs="Times New Roman"/>
          <w:color w:val="000000"/>
          <w:sz w:val="24"/>
          <w:szCs w:val="24"/>
          <w:highlight w:val="none"/>
        </w:rPr>
        <w:t xml:space="preserve">  评审专家：</w:t>
      </w:r>
      <w:r>
        <w:rPr>
          <w:rFonts w:eastAsia="宋体" w:cs="Times New Roman"/>
          <w:color w:val="000000"/>
          <w:sz w:val="24"/>
          <w:szCs w:val="24"/>
          <w:highlight w:val="none"/>
          <w:u w:val="single"/>
        </w:rPr>
        <w:t xml:space="preserve">              </w:t>
      </w:r>
      <w:r>
        <w:rPr>
          <w:rFonts w:eastAsia="宋体" w:cs="Times New Roman"/>
          <w:color w:val="000000"/>
          <w:sz w:val="24"/>
          <w:szCs w:val="24"/>
          <w:highlight w:val="none"/>
        </w:rPr>
        <w:t xml:space="preserve">  评审时间：</w:t>
      </w:r>
      <w:r>
        <w:rPr>
          <w:rFonts w:eastAsia="宋体" w:cs="Times New Roman"/>
          <w:color w:val="000000"/>
          <w:sz w:val="24"/>
          <w:szCs w:val="24"/>
          <w:highlight w:val="none"/>
          <w:u w:val="single"/>
        </w:rPr>
        <w:t xml:space="preserve">              </w:t>
      </w:r>
      <w:r>
        <w:rPr>
          <w:rFonts w:eastAsia="宋体" w:cs="Times New Roman"/>
          <w:color w:val="000000"/>
          <w:sz w:val="24"/>
          <w:szCs w:val="24"/>
          <w:highlight w:val="none"/>
        </w:rPr>
        <w:t xml:space="preserve"> </w:t>
      </w:r>
    </w:p>
    <w:tbl>
      <w:tblPr>
        <w:tblStyle w:val="14"/>
        <w:tblW w:w="13964" w:type="dxa"/>
        <w:jc w:val="center"/>
        <w:tblLayout w:type="fixed"/>
        <w:tblCellMar>
          <w:top w:w="0" w:type="dxa"/>
          <w:left w:w="108" w:type="dxa"/>
          <w:bottom w:w="0" w:type="dxa"/>
          <w:right w:w="108" w:type="dxa"/>
        </w:tblCellMar>
      </w:tblPr>
      <w:tblGrid>
        <w:gridCol w:w="525"/>
        <w:gridCol w:w="1260"/>
        <w:gridCol w:w="1455"/>
        <w:gridCol w:w="8550"/>
        <w:gridCol w:w="867"/>
        <w:gridCol w:w="1307"/>
      </w:tblGrid>
      <w:tr>
        <w:tblPrEx>
          <w:tblCellMar>
            <w:top w:w="0" w:type="dxa"/>
            <w:left w:w="108" w:type="dxa"/>
            <w:bottom w:w="0" w:type="dxa"/>
            <w:right w:w="108" w:type="dxa"/>
          </w:tblCellMar>
        </w:tblPrEx>
        <w:trPr>
          <w:trHeight w:val="624" w:hRule="atLeast"/>
          <w:tblHeader/>
          <w:jc w:val="center"/>
        </w:trPr>
        <w:tc>
          <w:tcPr>
            <w:tcW w:w="525"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b/>
                <w:bCs/>
                <w:color w:val="000000"/>
                <w:kern w:val="0"/>
                <w:sz w:val="24"/>
                <w:szCs w:val="24"/>
                <w:highlight w:val="none"/>
              </w:rPr>
            </w:pPr>
            <w:r>
              <w:rPr>
                <w:rFonts w:eastAsia="宋体" w:cs="Times New Roman"/>
                <w:b/>
                <w:bCs/>
                <w:color w:val="000000"/>
                <w:kern w:val="0"/>
                <w:sz w:val="24"/>
                <w:szCs w:val="24"/>
                <w:highlight w:val="none"/>
              </w:rPr>
              <w:t>序号</w:t>
            </w:r>
          </w:p>
        </w:tc>
        <w:tc>
          <w:tcPr>
            <w:tcW w:w="1260" w:type="dxa"/>
            <w:tcBorders>
              <w:top w:val="single" w:color="auto" w:sz="4" w:space="0"/>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b/>
                <w:bCs/>
                <w:color w:val="000000"/>
                <w:kern w:val="0"/>
                <w:sz w:val="24"/>
                <w:szCs w:val="24"/>
                <w:highlight w:val="none"/>
              </w:rPr>
            </w:pPr>
            <w:r>
              <w:rPr>
                <w:rFonts w:eastAsia="宋体" w:cs="Times New Roman"/>
                <w:b/>
                <w:bCs/>
                <w:color w:val="000000"/>
                <w:kern w:val="0"/>
                <w:sz w:val="24"/>
                <w:szCs w:val="24"/>
                <w:highlight w:val="none"/>
              </w:rPr>
              <w:t>主要项目</w:t>
            </w:r>
          </w:p>
        </w:tc>
        <w:tc>
          <w:tcPr>
            <w:tcW w:w="1455" w:type="dxa"/>
            <w:tcBorders>
              <w:top w:val="single" w:color="auto" w:sz="4" w:space="0"/>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b/>
                <w:bCs/>
                <w:color w:val="000000"/>
                <w:kern w:val="0"/>
                <w:sz w:val="24"/>
                <w:szCs w:val="24"/>
                <w:highlight w:val="none"/>
              </w:rPr>
            </w:pPr>
            <w:r>
              <w:rPr>
                <w:rFonts w:eastAsia="宋体" w:cs="Times New Roman"/>
                <w:b/>
                <w:bCs/>
                <w:color w:val="000000"/>
                <w:kern w:val="0"/>
                <w:sz w:val="24"/>
                <w:szCs w:val="24"/>
                <w:highlight w:val="none"/>
              </w:rPr>
              <w:t>撰写内容</w:t>
            </w:r>
          </w:p>
        </w:tc>
        <w:tc>
          <w:tcPr>
            <w:tcW w:w="8550" w:type="dxa"/>
            <w:tcBorders>
              <w:top w:val="single" w:color="auto" w:sz="4" w:space="0"/>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b/>
                <w:bCs/>
                <w:color w:val="000000"/>
                <w:kern w:val="0"/>
                <w:sz w:val="24"/>
                <w:szCs w:val="24"/>
                <w:highlight w:val="none"/>
              </w:rPr>
            </w:pPr>
            <w:r>
              <w:rPr>
                <w:rFonts w:eastAsia="宋体" w:cs="Times New Roman"/>
                <w:b/>
                <w:bCs/>
                <w:color w:val="000000"/>
                <w:kern w:val="0"/>
                <w:sz w:val="24"/>
                <w:szCs w:val="24"/>
                <w:highlight w:val="none"/>
              </w:rPr>
              <w:t>审查要点</w:t>
            </w:r>
          </w:p>
        </w:tc>
        <w:tc>
          <w:tcPr>
            <w:tcW w:w="867" w:type="dxa"/>
            <w:tcBorders>
              <w:top w:val="single" w:color="auto" w:sz="4" w:space="0"/>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b/>
                <w:bCs/>
                <w:color w:val="000000"/>
                <w:kern w:val="0"/>
                <w:sz w:val="24"/>
                <w:szCs w:val="24"/>
                <w:highlight w:val="none"/>
              </w:rPr>
            </w:pPr>
            <w:r>
              <w:rPr>
                <w:rFonts w:eastAsia="宋体" w:cs="Times New Roman"/>
                <w:b/>
                <w:bCs/>
                <w:color w:val="000000"/>
                <w:kern w:val="0"/>
                <w:sz w:val="24"/>
                <w:szCs w:val="24"/>
                <w:highlight w:val="none"/>
              </w:rPr>
              <w:t>分值</w:t>
            </w:r>
          </w:p>
        </w:tc>
        <w:tc>
          <w:tcPr>
            <w:tcW w:w="1307" w:type="dxa"/>
            <w:tcBorders>
              <w:top w:val="single" w:color="auto" w:sz="4" w:space="0"/>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b/>
                <w:bCs/>
                <w:color w:val="000000"/>
                <w:kern w:val="0"/>
                <w:sz w:val="24"/>
                <w:szCs w:val="24"/>
                <w:highlight w:val="none"/>
              </w:rPr>
            </w:pPr>
            <w:r>
              <w:rPr>
                <w:rFonts w:eastAsia="宋体" w:cs="Times New Roman"/>
                <w:b/>
                <w:bCs/>
                <w:color w:val="000000"/>
                <w:kern w:val="0"/>
                <w:sz w:val="24"/>
                <w:szCs w:val="24"/>
                <w:highlight w:val="none"/>
              </w:rPr>
              <w:t>打分</w:t>
            </w:r>
          </w:p>
        </w:tc>
      </w:tr>
      <w:tr>
        <w:tblPrEx>
          <w:tblCellMar>
            <w:top w:w="0" w:type="dxa"/>
            <w:left w:w="108" w:type="dxa"/>
            <w:bottom w:w="0" w:type="dxa"/>
            <w:right w:w="108" w:type="dxa"/>
          </w:tblCellMar>
        </w:tblPrEx>
        <w:trPr>
          <w:trHeight w:val="312" w:hRule="atLeast"/>
          <w:jc w:val="center"/>
        </w:trPr>
        <w:tc>
          <w:tcPr>
            <w:tcW w:w="525" w:type="dxa"/>
            <w:vMerge w:val="restart"/>
            <w:tcBorders>
              <w:top w:val="nil"/>
              <w:left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1</w:t>
            </w:r>
          </w:p>
        </w:tc>
        <w:tc>
          <w:tcPr>
            <w:tcW w:w="1260" w:type="dxa"/>
            <w:vMerge w:val="restart"/>
            <w:tcBorders>
              <w:top w:val="nil"/>
              <w:left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形式审查</w:t>
            </w:r>
          </w:p>
        </w:tc>
        <w:tc>
          <w:tcPr>
            <w:tcW w:w="1455" w:type="dxa"/>
            <w:vMerge w:val="restart"/>
            <w:tcBorders>
              <w:top w:val="nil"/>
              <w:left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　</w:t>
            </w:r>
          </w:p>
        </w:tc>
        <w:tc>
          <w:tcPr>
            <w:tcW w:w="855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是否有地块调查市级生态环保主管部门备案意见*</w:t>
            </w:r>
          </w:p>
        </w:tc>
        <w:tc>
          <w:tcPr>
            <w:tcW w:w="867"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hint="eastAsia" w:eastAsia="等线" w:cs="Times New Roman"/>
                <w:color w:val="000000"/>
                <w:kern w:val="0"/>
                <w:sz w:val="24"/>
                <w:szCs w:val="24"/>
                <w:highlight w:val="none"/>
              </w:rPr>
              <w:t>/</w:t>
            </w:r>
          </w:p>
          <w:p>
            <w:pPr>
              <w:widowControl/>
              <w:spacing w:line="240" w:lineRule="auto"/>
              <w:ind w:firstLine="0" w:firstLineChars="0"/>
              <w:jc w:val="center"/>
              <w:rPr>
                <w:rFonts w:eastAsia="等线" w:cs="Times New Roman"/>
                <w:color w:val="000000"/>
                <w:kern w:val="0"/>
                <w:sz w:val="24"/>
                <w:szCs w:val="24"/>
                <w:highlight w:val="none"/>
              </w:rPr>
            </w:pPr>
          </w:p>
        </w:tc>
        <w:tc>
          <w:tcPr>
            <w:tcW w:w="1307"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12" w:hRule="atLeast"/>
          <w:jc w:val="center"/>
        </w:trPr>
        <w:tc>
          <w:tcPr>
            <w:tcW w:w="525"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60"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55"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550" w:type="dxa"/>
            <w:tcBorders>
              <w:top w:val="nil"/>
              <w:left w:val="nil"/>
              <w:bottom w:val="single" w:color="auto" w:sz="4" w:space="0"/>
              <w:right w:val="single" w:color="auto" w:sz="4" w:space="0"/>
            </w:tcBorders>
            <w:shd w:val="clear" w:color="auto" w:fill="auto"/>
            <w:vAlign w:val="bottom"/>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送审报告是否加盖从业单位和土地使用权人（或土壤污染责任人）的公章*</w:t>
            </w:r>
          </w:p>
        </w:tc>
        <w:tc>
          <w:tcPr>
            <w:tcW w:w="867"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307"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12" w:hRule="atLeast"/>
          <w:jc w:val="center"/>
        </w:trPr>
        <w:tc>
          <w:tcPr>
            <w:tcW w:w="525"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60"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55"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550" w:type="dxa"/>
            <w:tcBorders>
              <w:top w:val="nil"/>
              <w:left w:val="nil"/>
              <w:bottom w:val="single" w:color="auto" w:sz="4" w:space="0"/>
              <w:right w:val="single" w:color="auto" w:sz="4" w:space="0"/>
            </w:tcBorders>
            <w:shd w:val="clear" w:color="auto" w:fill="auto"/>
            <w:vAlign w:val="bottom"/>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送审报告是否明确项目负责人和从业人员信息及亲笔签字*</w:t>
            </w:r>
          </w:p>
        </w:tc>
        <w:tc>
          <w:tcPr>
            <w:tcW w:w="867"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307"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12" w:hRule="atLeast"/>
          <w:jc w:val="center"/>
        </w:trPr>
        <w:tc>
          <w:tcPr>
            <w:tcW w:w="525" w:type="dxa"/>
            <w:vMerge w:val="continue"/>
            <w:tcBorders>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60" w:type="dxa"/>
            <w:vMerge w:val="continue"/>
            <w:tcBorders>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55" w:type="dxa"/>
            <w:vMerge w:val="continue"/>
            <w:tcBorders>
              <w:left w:val="single" w:color="auto" w:sz="4" w:space="0"/>
              <w:bottom w:val="single" w:color="000000"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550" w:type="dxa"/>
            <w:tcBorders>
              <w:top w:val="nil"/>
              <w:left w:val="nil"/>
              <w:bottom w:val="single" w:color="auto" w:sz="4" w:space="0"/>
              <w:right w:val="single" w:color="auto" w:sz="4" w:space="0"/>
            </w:tcBorders>
            <w:shd w:val="clear" w:color="auto" w:fill="auto"/>
            <w:vAlign w:val="bottom"/>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报告是否完整，包括摘要、正文和附件。</w:t>
            </w:r>
          </w:p>
        </w:tc>
        <w:tc>
          <w:tcPr>
            <w:tcW w:w="867"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307"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636" w:hRule="atLeast"/>
          <w:jc w:val="center"/>
        </w:trPr>
        <w:tc>
          <w:tcPr>
            <w:tcW w:w="525"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2</w:t>
            </w:r>
          </w:p>
        </w:tc>
        <w:tc>
          <w:tcPr>
            <w:tcW w:w="1260"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危害识别</w:t>
            </w:r>
          </w:p>
        </w:tc>
        <w:tc>
          <w:tcPr>
            <w:tcW w:w="1455"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土地利用方式</w:t>
            </w:r>
          </w:p>
        </w:tc>
        <w:tc>
          <w:tcPr>
            <w:tcW w:w="855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未来土地利用方式及敏感人群是否明确，如无明确规划应以最严格的方式进行风险评估</w:t>
            </w:r>
          </w:p>
        </w:tc>
        <w:tc>
          <w:tcPr>
            <w:tcW w:w="867"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10</w:t>
            </w:r>
          </w:p>
        </w:tc>
        <w:tc>
          <w:tcPr>
            <w:tcW w:w="1307"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52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6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55"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关注污染物</w:t>
            </w:r>
          </w:p>
        </w:tc>
        <w:tc>
          <w:tcPr>
            <w:tcW w:w="855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关注污染物的确定是否合理，有无遗漏</w:t>
            </w:r>
          </w:p>
        </w:tc>
        <w:tc>
          <w:tcPr>
            <w:tcW w:w="867"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307"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52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6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55"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地块环境调查资料</w:t>
            </w:r>
          </w:p>
        </w:tc>
        <w:tc>
          <w:tcPr>
            <w:tcW w:w="855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土壤污染状况调查的数据是否能够满足风险评估的要求</w:t>
            </w:r>
          </w:p>
        </w:tc>
        <w:tc>
          <w:tcPr>
            <w:tcW w:w="867"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307"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12" w:hRule="atLeast"/>
          <w:jc w:val="center"/>
        </w:trPr>
        <w:tc>
          <w:tcPr>
            <w:tcW w:w="52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6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5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55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主要污染物状况、土壤及地下水的污染范围是否明确</w:t>
            </w:r>
          </w:p>
        </w:tc>
        <w:tc>
          <w:tcPr>
            <w:tcW w:w="867"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307"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12" w:hRule="atLeast"/>
          <w:jc w:val="center"/>
        </w:trPr>
        <w:tc>
          <w:tcPr>
            <w:tcW w:w="52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6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5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55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地块土壤和地下水的监测数据是否进行统计分析</w:t>
            </w:r>
          </w:p>
        </w:tc>
        <w:tc>
          <w:tcPr>
            <w:tcW w:w="867"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307"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12" w:hRule="atLeast"/>
          <w:jc w:val="center"/>
        </w:trPr>
        <w:tc>
          <w:tcPr>
            <w:tcW w:w="52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6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5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55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确定暴露点浓度的方式是否合理</w:t>
            </w:r>
          </w:p>
        </w:tc>
        <w:tc>
          <w:tcPr>
            <w:tcW w:w="867"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307"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636" w:hRule="atLeast"/>
          <w:jc w:val="center"/>
        </w:trPr>
        <w:tc>
          <w:tcPr>
            <w:tcW w:w="52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6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5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55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风险评估主要地块（土壤及地下水）的特征参数选择是否合理，是否明确出处来源</w:t>
            </w:r>
          </w:p>
        </w:tc>
        <w:tc>
          <w:tcPr>
            <w:tcW w:w="867"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307"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636" w:hRule="atLeast"/>
          <w:jc w:val="center"/>
        </w:trPr>
        <w:tc>
          <w:tcPr>
            <w:tcW w:w="525"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3</w:t>
            </w:r>
          </w:p>
        </w:tc>
        <w:tc>
          <w:tcPr>
            <w:tcW w:w="1260"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暴露评估</w:t>
            </w:r>
          </w:p>
        </w:tc>
        <w:tc>
          <w:tcPr>
            <w:tcW w:w="1455"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暴露情景及暴露途径</w:t>
            </w:r>
          </w:p>
        </w:tc>
        <w:tc>
          <w:tcPr>
            <w:tcW w:w="855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是否根据资料和实地调查情况，并结合未来土地规划，确定暴露情景及暴露途径</w:t>
            </w:r>
          </w:p>
        </w:tc>
        <w:tc>
          <w:tcPr>
            <w:tcW w:w="867"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10</w:t>
            </w:r>
          </w:p>
        </w:tc>
        <w:tc>
          <w:tcPr>
            <w:tcW w:w="1307"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96" w:hRule="atLeast"/>
          <w:jc w:val="center"/>
        </w:trPr>
        <w:tc>
          <w:tcPr>
            <w:tcW w:w="52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6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55"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暴露参数</w:t>
            </w:r>
          </w:p>
        </w:tc>
        <w:tc>
          <w:tcPr>
            <w:tcW w:w="855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是否确定了风险评估所需的主要暴露参数，取值是否合理，是否标明了出处来源</w:t>
            </w:r>
          </w:p>
        </w:tc>
        <w:tc>
          <w:tcPr>
            <w:tcW w:w="867"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307"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525"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4</w:t>
            </w:r>
          </w:p>
        </w:tc>
        <w:tc>
          <w:tcPr>
            <w:tcW w:w="1260"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毒性评估</w:t>
            </w:r>
          </w:p>
        </w:tc>
        <w:tc>
          <w:tcPr>
            <w:tcW w:w="1455"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污染物毒性效应</w:t>
            </w:r>
          </w:p>
        </w:tc>
        <w:tc>
          <w:tcPr>
            <w:tcW w:w="855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是否对关注污染物的非致癌毒性和致癌效应进行分析</w:t>
            </w:r>
          </w:p>
        </w:tc>
        <w:tc>
          <w:tcPr>
            <w:tcW w:w="867"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10</w:t>
            </w:r>
          </w:p>
        </w:tc>
        <w:tc>
          <w:tcPr>
            <w:tcW w:w="1307"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52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6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55"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rPr>
                <w:rFonts w:eastAsia="宋体" w:cs="Times New Roman"/>
                <w:color w:val="000000"/>
                <w:kern w:val="0"/>
                <w:sz w:val="24"/>
                <w:szCs w:val="24"/>
                <w:highlight w:val="none"/>
              </w:rPr>
            </w:pPr>
            <w:r>
              <w:rPr>
                <w:rFonts w:eastAsia="宋体" w:cs="Times New Roman"/>
                <w:color w:val="000000"/>
                <w:kern w:val="0"/>
                <w:sz w:val="24"/>
                <w:szCs w:val="24"/>
                <w:highlight w:val="none"/>
              </w:rPr>
              <w:t>毒理学参数</w:t>
            </w:r>
          </w:p>
        </w:tc>
        <w:tc>
          <w:tcPr>
            <w:tcW w:w="855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是否注明关注污染物毒性参数及来源</w:t>
            </w:r>
          </w:p>
        </w:tc>
        <w:tc>
          <w:tcPr>
            <w:tcW w:w="867"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307"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52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6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5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55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参数选取是否合理</w:t>
            </w:r>
          </w:p>
        </w:tc>
        <w:tc>
          <w:tcPr>
            <w:tcW w:w="867"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307"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525"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5</w:t>
            </w:r>
          </w:p>
        </w:tc>
        <w:tc>
          <w:tcPr>
            <w:tcW w:w="1260"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风险评估模型</w:t>
            </w:r>
          </w:p>
        </w:tc>
        <w:tc>
          <w:tcPr>
            <w:tcW w:w="1455"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模型选择</w:t>
            </w:r>
          </w:p>
        </w:tc>
        <w:tc>
          <w:tcPr>
            <w:tcW w:w="855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评估模型工具或方法是否合适</w:t>
            </w:r>
          </w:p>
        </w:tc>
        <w:tc>
          <w:tcPr>
            <w:tcW w:w="867"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10</w:t>
            </w:r>
          </w:p>
        </w:tc>
        <w:tc>
          <w:tcPr>
            <w:tcW w:w="1307"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94" w:hRule="atLeast"/>
          <w:jc w:val="center"/>
        </w:trPr>
        <w:tc>
          <w:tcPr>
            <w:tcW w:w="52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6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55"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铅（若有）</w:t>
            </w:r>
          </w:p>
        </w:tc>
        <w:tc>
          <w:tcPr>
            <w:tcW w:w="855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评估模型及参数的选择是否合理</w:t>
            </w:r>
          </w:p>
        </w:tc>
        <w:tc>
          <w:tcPr>
            <w:tcW w:w="867"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307"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12" w:hRule="atLeast"/>
          <w:jc w:val="center"/>
        </w:trPr>
        <w:tc>
          <w:tcPr>
            <w:tcW w:w="525"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6</w:t>
            </w:r>
          </w:p>
        </w:tc>
        <w:tc>
          <w:tcPr>
            <w:tcW w:w="1260"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风险表征</w:t>
            </w:r>
          </w:p>
        </w:tc>
        <w:tc>
          <w:tcPr>
            <w:tcW w:w="1455"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致癌/非致癌风险</w:t>
            </w:r>
          </w:p>
        </w:tc>
        <w:tc>
          <w:tcPr>
            <w:tcW w:w="855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致癌风险可接受水平设置是否合理</w:t>
            </w:r>
          </w:p>
        </w:tc>
        <w:tc>
          <w:tcPr>
            <w:tcW w:w="867"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10</w:t>
            </w:r>
          </w:p>
        </w:tc>
        <w:tc>
          <w:tcPr>
            <w:tcW w:w="1307"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12" w:hRule="atLeast"/>
          <w:jc w:val="center"/>
        </w:trPr>
        <w:tc>
          <w:tcPr>
            <w:tcW w:w="52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6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5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55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非致癌危害商设置是否合理</w:t>
            </w:r>
          </w:p>
        </w:tc>
        <w:tc>
          <w:tcPr>
            <w:tcW w:w="867"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307"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12" w:hRule="atLeast"/>
          <w:jc w:val="center"/>
        </w:trPr>
        <w:tc>
          <w:tcPr>
            <w:tcW w:w="52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6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55"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风险评估不确定性分析</w:t>
            </w:r>
          </w:p>
        </w:tc>
        <w:tc>
          <w:tcPr>
            <w:tcW w:w="855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暴露风险贡献率分析是否合理</w:t>
            </w:r>
          </w:p>
        </w:tc>
        <w:tc>
          <w:tcPr>
            <w:tcW w:w="867"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307"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12" w:hRule="atLeast"/>
          <w:jc w:val="center"/>
        </w:trPr>
        <w:tc>
          <w:tcPr>
            <w:tcW w:w="52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6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5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55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其他不确定性因素分析是否合理</w:t>
            </w:r>
          </w:p>
        </w:tc>
        <w:tc>
          <w:tcPr>
            <w:tcW w:w="867"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307"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67" w:hRule="atLeast"/>
          <w:jc w:val="center"/>
        </w:trPr>
        <w:tc>
          <w:tcPr>
            <w:tcW w:w="525" w:type="dxa"/>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7</w:t>
            </w:r>
          </w:p>
        </w:tc>
        <w:tc>
          <w:tcPr>
            <w:tcW w:w="126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风险控制值</w:t>
            </w:r>
          </w:p>
        </w:tc>
        <w:tc>
          <w:tcPr>
            <w:tcW w:w="1455"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等线" w:cs="Times New Roman"/>
                <w:color w:val="000000"/>
                <w:kern w:val="0"/>
                <w:sz w:val="24"/>
                <w:szCs w:val="24"/>
                <w:highlight w:val="none"/>
              </w:rPr>
            </w:pPr>
            <w:r>
              <w:rPr>
                <w:rFonts w:eastAsia="等线" w:cs="Times New Roman"/>
                <w:color w:val="000000"/>
                <w:kern w:val="0"/>
                <w:sz w:val="24"/>
                <w:szCs w:val="24"/>
                <w:highlight w:val="none"/>
              </w:rPr>
              <w:t>　</w:t>
            </w:r>
          </w:p>
        </w:tc>
        <w:tc>
          <w:tcPr>
            <w:tcW w:w="855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风险控制值的确定是否合理</w:t>
            </w:r>
          </w:p>
        </w:tc>
        <w:tc>
          <w:tcPr>
            <w:tcW w:w="867"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10</w:t>
            </w:r>
          </w:p>
        </w:tc>
        <w:tc>
          <w:tcPr>
            <w:tcW w:w="1307"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626" w:hRule="atLeast"/>
          <w:jc w:val="center"/>
        </w:trPr>
        <w:tc>
          <w:tcPr>
            <w:tcW w:w="525"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8</w:t>
            </w:r>
          </w:p>
        </w:tc>
        <w:tc>
          <w:tcPr>
            <w:tcW w:w="1260"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修复目标与修复范围</w:t>
            </w:r>
          </w:p>
        </w:tc>
        <w:tc>
          <w:tcPr>
            <w:tcW w:w="1455"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修复目标值</w:t>
            </w:r>
          </w:p>
        </w:tc>
        <w:tc>
          <w:tcPr>
            <w:tcW w:w="855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土壤和地下水的修复目标值是否合理，是否对修复目标的确定进行了说明</w:t>
            </w:r>
          </w:p>
        </w:tc>
        <w:tc>
          <w:tcPr>
            <w:tcW w:w="867"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10</w:t>
            </w:r>
          </w:p>
        </w:tc>
        <w:tc>
          <w:tcPr>
            <w:tcW w:w="1307"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660" w:hRule="atLeast"/>
          <w:jc w:val="center"/>
        </w:trPr>
        <w:tc>
          <w:tcPr>
            <w:tcW w:w="52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6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55"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修复范围</w:t>
            </w:r>
          </w:p>
        </w:tc>
        <w:tc>
          <w:tcPr>
            <w:tcW w:w="855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土壤的修复范围的确定是否合理，是否根据不同污染深度分别划定，并确定拐点坐标、估算修复方量，并提供修复范围分层图和总图</w:t>
            </w:r>
          </w:p>
        </w:tc>
        <w:tc>
          <w:tcPr>
            <w:tcW w:w="867"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307"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12" w:hRule="atLeast"/>
          <w:jc w:val="center"/>
        </w:trPr>
        <w:tc>
          <w:tcPr>
            <w:tcW w:w="52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6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5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55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地下水修复范围应估算方量并提供污染范围图</w:t>
            </w:r>
          </w:p>
        </w:tc>
        <w:tc>
          <w:tcPr>
            <w:tcW w:w="867"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307"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958" w:hRule="atLeast"/>
          <w:jc w:val="center"/>
        </w:trPr>
        <w:tc>
          <w:tcPr>
            <w:tcW w:w="525" w:type="dxa"/>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9</w:t>
            </w:r>
          </w:p>
        </w:tc>
        <w:tc>
          <w:tcPr>
            <w:tcW w:w="126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bookmarkStart w:id="37" w:name="RANGE!B27"/>
            <w:r>
              <w:rPr>
                <w:rFonts w:eastAsia="宋体" w:cs="Times New Roman"/>
                <w:color w:val="000000"/>
                <w:kern w:val="0"/>
                <w:sz w:val="24"/>
                <w:szCs w:val="24"/>
                <w:highlight w:val="none"/>
              </w:rPr>
              <w:t>修复技术筛选及修复/管控建议</w:t>
            </w:r>
            <w:bookmarkEnd w:id="37"/>
          </w:p>
        </w:tc>
        <w:tc>
          <w:tcPr>
            <w:tcW w:w="1455"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　</w:t>
            </w:r>
          </w:p>
        </w:tc>
        <w:tc>
          <w:tcPr>
            <w:tcW w:w="855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修复/管控策略或环境管理建议是否合理</w:t>
            </w:r>
          </w:p>
        </w:tc>
        <w:tc>
          <w:tcPr>
            <w:tcW w:w="867"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10</w:t>
            </w:r>
          </w:p>
        </w:tc>
        <w:tc>
          <w:tcPr>
            <w:tcW w:w="1307"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525"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10</w:t>
            </w:r>
          </w:p>
        </w:tc>
        <w:tc>
          <w:tcPr>
            <w:tcW w:w="1260"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结论与建议</w:t>
            </w:r>
          </w:p>
        </w:tc>
        <w:tc>
          <w:tcPr>
            <w:tcW w:w="1455"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结论</w:t>
            </w:r>
          </w:p>
        </w:tc>
        <w:tc>
          <w:tcPr>
            <w:tcW w:w="855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风险评估报告要点、结论及不确定性分析的是否准确、清晰</w:t>
            </w:r>
          </w:p>
        </w:tc>
        <w:tc>
          <w:tcPr>
            <w:tcW w:w="867"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20</w:t>
            </w:r>
          </w:p>
        </w:tc>
        <w:tc>
          <w:tcPr>
            <w:tcW w:w="1307"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12" w:hRule="atLeast"/>
          <w:jc w:val="center"/>
        </w:trPr>
        <w:tc>
          <w:tcPr>
            <w:tcW w:w="52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6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455"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建议</w:t>
            </w:r>
          </w:p>
        </w:tc>
        <w:tc>
          <w:tcPr>
            <w:tcW w:w="855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是否具有针对性、科学性、合理性</w:t>
            </w:r>
          </w:p>
        </w:tc>
        <w:tc>
          <w:tcPr>
            <w:tcW w:w="867"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307"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bl>
    <w:p>
      <w:pPr>
        <w:spacing w:line="440" w:lineRule="exact"/>
        <w:ind w:firstLine="560"/>
        <w:rPr>
          <w:highlight w:val="none"/>
        </w:rPr>
      </w:pPr>
      <w:r>
        <w:rPr>
          <w:rFonts w:hint="eastAsia"/>
          <w:highlight w:val="none"/>
        </w:rPr>
        <w:t>备注：1.表格中分值为单件评价量化分值。</w:t>
      </w:r>
    </w:p>
    <w:p>
      <w:pPr>
        <w:numPr>
          <w:ilvl w:val="0"/>
          <w:numId w:val="3"/>
        </w:numPr>
        <w:spacing w:line="440" w:lineRule="exact"/>
        <w:ind w:firstLine="1400" w:firstLineChars="0"/>
        <w:rPr>
          <w:highlight w:val="none"/>
        </w:rPr>
      </w:pPr>
      <w:r>
        <w:rPr>
          <w:rFonts w:hint="eastAsia"/>
          <w:highlight w:val="none"/>
        </w:rPr>
        <w:t>形式审查由评审组织单位审核，形式审查不通过则不予评审。</w:t>
      </w:r>
    </w:p>
    <w:p>
      <w:pPr>
        <w:numPr>
          <w:ilvl w:val="0"/>
          <w:numId w:val="3"/>
        </w:numPr>
        <w:spacing w:line="440" w:lineRule="exact"/>
        <w:ind w:firstLine="1400" w:firstLineChars="500"/>
        <w:rPr>
          <w:highlight w:val="none"/>
        </w:rPr>
      </w:pPr>
      <w:r>
        <w:rPr>
          <w:rFonts w:hint="eastAsia"/>
          <w:highlight w:val="none"/>
        </w:rPr>
        <w:t>评分为90分（含）以上的，技术文件直接评审通过；评分为60分（含）至90分的，技术文件评审通过但需修改；评分为60分以下的，技术文件不予评审通过。（此项中评分不包含形式审查项加分）</w:t>
      </w:r>
    </w:p>
    <w:p>
      <w:pPr>
        <w:ind w:left="0" w:leftChars="0" w:firstLine="0" w:firstLineChars="0"/>
        <w:jc w:val="left"/>
        <w:rPr>
          <w:rFonts w:eastAsia="宋体" w:cs="Times New Roman"/>
          <w:color w:val="000000"/>
          <w:sz w:val="24"/>
          <w:szCs w:val="24"/>
          <w:highlight w:val="none"/>
        </w:rPr>
        <w:sectPr>
          <w:pgSz w:w="16838" w:h="11906" w:orient="landscape"/>
          <w:pgMar w:top="1440" w:right="1797" w:bottom="1440" w:left="1797" w:header="851" w:footer="992" w:gutter="0"/>
          <w:cols w:space="425" w:num="1"/>
          <w:docGrid w:linePitch="435" w:charSpace="0"/>
        </w:sectPr>
      </w:pPr>
    </w:p>
    <w:p>
      <w:pPr>
        <w:pStyle w:val="3"/>
        <w:pageBreakBefore w:val="0"/>
        <w:widowControl w:val="0"/>
        <w:kinsoku/>
        <w:wordWrap/>
        <w:overflowPunct/>
        <w:topLinePunct w:val="0"/>
        <w:autoSpaceDE/>
        <w:autoSpaceDN/>
        <w:bidi w:val="0"/>
        <w:adjustRightInd/>
        <w:snapToGrid/>
        <w:textAlignment w:val="auto"/>
        <w:rPr>
          <w:rFonts w:cs="Times New Roman"/>
          <w:highlight w:val="none"/>
        </w:rPr>
      </w:pPr>
      <w:r>
        <w:rPr>
          <w:rFonts w:cs="Times New Roman"/>
          <w:highlight w:val="none"/>
        </w:rPr>
        <w:t xml:space="preserve">附表2-3 </w:t>
      </w:r>
      <w:bookmarkStart w:id="38" w:name="_Hlk35866197"/>
      <w:r>
        <w:rPr>
          <w:rFonts w:cs="Times New Roman"/>
          <w:highlight w:val="none"/>
        </w:rPr>
        <w:t>建设用地土壤污染修复（含风险管控）效果评估报告审查技术要点</w:t>
      </w:r>
    </w:p>
    <w:bookmarkEnd w:id="38"/>
    <w:p>
      <w:pPr>
        <w:pageBreakBefore w:val="0"/>
        <w:widowControl w:val="0"/>
        <w:kinsoku/>
        <w:wordWrap/>
        <w:overflowPunct/>
        <w:topLinePunct w:val="0"/>
        <w:autoSpaceDE/>
        <w:autoSpaceDN/>
        <w:bidi w:val="0"/>
        <w:adjustRightInd/>
        <w:snapToGrid/>
        <w:ind w:firstLine="158" w:firstLineChars="66"/>
        <w:jc w:val="left"/>
        <w:textAlignment w:val="auto"/>
        <w:rPr>
          <w:rFonts w:eastAsia="宋体" w:cs="Times New Roman"/>
          <w:color w:val="000000"/>
          <w:sz w:val="24"/>
          <w:szCs w:val="24"/>
          <w:highlight w:val="none"/>
        </w:rPr>
      </w:pPr>
      <w:r>
        <w:rPr>
          <w:rFonts w:eastAsia="宋体" w:cs="Times New Roman"/>
          <w:sz w:val="24"/>
          <w:szCs w:val="24"/>
          <w:highlight w:val="none"/>
        </w:rPr>
        <w:t>报告审查包括但不限于以下内容：</w:t>
      </w:r>
    </w:p>
    <w:p>
      <w:pPr>
        <w:ind w:firstLine="170" w:firstLineChars="71"/>
        <w:jc w:val="left"/>
        <w:rPr>
          <w:rFonts w:eastAsia="黑体" w:cs="Times New Roman"/>
          <w:color w:val="000000"/>
          <w:sz w:val="24"/>
          <w:szCs w:val="24"/>
          <w:highlight w:val="none"/>
        </w:rPr>
      </w:pPr>
      <w:r>
        <w:rPr>
          <w:rFonts w:eastAsia="宋体" w:cs="Times New Roman"/>
          <w:color w:val="000000"/>
          <w:sz w:val="24"/>
          <w:szCs w:val="24"/>
          <w:highlight w:val="none"/>
        </w:rPr>
        <w:t>项目名称：</w:t>
      </w:r>
      <w:r>
        <w:rPr>
          <w:rFonts w:eastAsia="宋体" w:cs="Times New Roman"/>
          <w:color w:val="000000"/>
          <w:sz w:val="24"/>
          <w:szCs w:val="24"/>
          <w:highlight w:val="none"/>
          <w:u w:val="single"/>
        </w:rPr>
        <w:t xml:space="preserve">                               </w:t>
      </w:r>
      <w:r>
        <w:rPr>
          <w:rFonts w:eastAsia="宋体" w:cs="Times New Roman"/>
          <w:color w:val="000000"/>
          <w:sz w:val="24"/>
          <w:szCs w:val="24"/>
          <w:highlight w:val="none"/>
        </w:rPr>
        <w:t xml:space="preserve">  评审专家：</w:t>
      </w:r>
      <w:r>
        <w:rPr>
          <w:rFonts w:eastAsia="宋体" w:cs="Times New Roman"/>
          <w:color w:val="000000"/>
          <w:sz w:val="24"/>
          <w:szCs w:val="24"/>
          <w:highlight w:val="none"/>
          <w:u w:val="single"/>
        </w:rPr>
        <w:t xml:space="preserve">              </w:t>
      </w:r>
      <w:r>
        <w:rPr>
          <w:rFonts w:eastAsia="宋体" w:cs="Times New Roman"/>
          <w:color w:val="000000"/>
          <w:sz w:val="24"/>
          <w:szCs w:val="24"/>
          <w:highlight w:val="none"/>
        </w:rPr>
        <w:t xml:space="preserve">  评审时间：</w:t>
      </w:r>
      <w:r>
        <w:rPr>
          <w:rFonts w:eastAsia="宋体" w:cs="Times New Roman"/>
          <w:color w:val="000000"/>
          <w:sz w:val="24"/>
          <w:szCs w:val="24"/>
          <w:highlight w:val="none"/>
          <w:u w:val="single"/>
        </w:rPr>
        <w:t xml:space="preserve">              </w:t>
      </w:r>
      <w:r>
        <w:rPr>
          <w:rFonts w:eastAsia="宋体" w:cs="Times New Roman"/>
          <w:color w:val="000000"/>
          <w:sz w:val="24"/>
          <w:szCs w:val="24"/>
          <w:highlight w:val="none"/>
        </w:rPr>
        <w:t xml:space="preserve"> </w:t>
      </w:r>
    </w:p>
    <w:tbl>
      <w:tblPr>
        <w:tblStyle w:val="14"/>
        <w:tblW w:w="14012" w:type="dxa"/>
        <w:jc w:val="center"/>
        <w:tblLayout w:type="fixed"/>
        <w:tblCellMar>
          <w:top w:w="0" w:type="dxa"/>
          <w:left w:w="108" w:type="dxa"/>
          <w:bottom w:w="0" w:type="dxa"/>
          <w:right w:w="108" w:type="dxa"/>
        </w:tblCellMar>
      </w:tblPr>
      <w:tblGrid>
        <w:gridCol w:w="429"/>
        <w:gridCol w:w="1200"/>
        <w:gridCol w:w="930"/>
        <w:gridCol w:w="1215"/>
        <w:gridCol w:w="8220"/>
        <w:gridCol w:w="795"/>
        <w:gridCol w:w="1223"/>
      </w:tblGrid>
      <w:tr>
        <w:tblPrEx>
          <w:tblCellMar>
            <w:top w:w="0" w:type="dxa"/>
            <w:left w:w="108" w:type="dxa"/>
            <w:bottom w:w="0" w:type="dxa"/>
            <w:right w:w="108" w:type="dxa"/>
          </w:tblCellMar>
        </w:tblPrEx>
        <w:trPr>
          <w:trHeight w:val="624" w:hRule="atLeast"/>
          <w:tblHeader/>
          <w:jc w:val="center"/>
        </w:trPr>
        <w:tc>
          <w:tcPr>
            <w:tcW w:w="429"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b/>
                <w:bCs/>
                <w:color w:val="000000"/>
                <w:kern w:val="0"/>
                <w:sz w:val="24"/>
                <w:szCs w:val="24"/>
                <w:highlight w:val="none"/>
              </w:rPr>
            </w:pPr>
            <w:r>
              <w:rPr>
                <w:rFonts w:eastAsia="宋体" w:cs="Times New Roman"/>
                <w:b/>
                <w:bCs/>
                <w:color w:val="000000"/>
                <w:kern w:val="0"/>
                <w:sz w:val="24"/>
                <w:szCs w:val="24"/>
                <w:highlight w:val="none"/>
              </w:rPr>
              <w:t>序号</w:t>
            </w:r>
          </w:p>
        </w:tc>
        <w:tc>
          <w:tcPr>
            <w:tcW w:w="1200" w:type="dxa"/>
            <w:tcBorders>
              <w:top w:val="single" w:color="auto" w:sz="4" w:space="0"/>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b/>
                <w:bCs/>
                <w:color w:val="000000"/>
                <w:kern w:val="0"/>
                <w:sz w:val="24"/>
                <w:szCs w:val="24"/>
                <w:highlight w:val="none"/>
              </w:rPr>
            </w:pPr>
            <w:r>
              <w:rPr>
                <w:rFonts w:eastAsia="宋体" w:cs="Times New Roman"/>
                <w:b/>
                <w:bCs/>
                <w:color w:val="000000"/>
                <w:kern w:val="0"/>
                <w:sz w:val="24"/>
                <w:szCs w:val="24"/>
                <w:highlight w:val="none"/>
              </w:rPr>
              <w:t>主要项目</w:t>
            </w:r>
          </w:p>
        </w:tc>
        <w:tc>
          <w:tcPr>
            <w:tcW w:w="2145" w:type="dxa"/>
            <w:gridSpan w:val="2"/>
            <w:tcBorders>
              <w:top w:val="single" w:color="auto" w:sz="4" w:space="0"/>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b/>
                <w:bCs/>
                <w:color w:val="000000"/>
                <w:kern w:val="0"/>
                <w:sz w:val="24"/>
                <w:szCs w:val="24"/>
                <w:highlight w:val="none"/>
              </w:rPr>
            </w:pPr>
            <w:r>
              <w:rPr>
                <w:rFonts w:eastAsia="宋体" w:cs="Times New Roman"/>
                <w:b/>
                <w:bCs/>
                <w:color w:val="000000"/>
                <w:kern w:val="0"/>
                <w:sz w:val="24"/>
                <w:szCs w:val="24"/>
                <w:highlight w:val="none"/>
              </w:rPr>
              <w:t>撰写内容</w:t>
            </w:r>
          </w:p>
        </w:tc>
        <w:tc>
          <w:tcPr>
            <w:tcW w:w="8220" w:type="dxa"/>
            <w:tcBorders>
              <w:top w:val="single" w:color="auto" w:sz="4" w:space="0"/>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b/>
                <w:bCs/>
                <w:color w:val="000000"/>
                <w:kern w:val="0"/>
                <w:sz w:val="24"/>
                <w:szCs w:val="24"/>
                <w:highlight w:val="none"/>
              </w:rPr>
            </w:pPr>
            <w:r>
              <w:rPr>
                <w:rFonts w:eastAsia="宋体" w:cs="Times New Roman"/>
                <w:b/>
                <w:bCs/>
                <w:color w:val="000000"/>
                <w:kern w:val="0"/>
                <w:sz w:val="24"/>
                <w:szCs w:val="24"/>
                <w:highlight w:val="none"/>
              </w:rPr>
              <w:t>审查要点</w:t>
            </w:r>
          </w:p>
        </w:tc>
        <w:tc>
          <w:tcPr>
            <w:tcW w:w="795" w:type="dxa"/>
            <w:tcBorders>
              <w:top w:val="single" w:color="auto" w:sz="4" w:space="0"/>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b/>
                <w:bCs/>
                <w:color w:val="000000"/>
                <w:kern w:val="0"/>
                <w:sz w:val="24"/>
                <w:szCs w:val="24"/>
                <w:highlight w:val="none"/>
              </w:rPr>
            </w:pPr>
            <w:r>
              <w:rPr>
                <w:rFonts w:eastAsia="宋体" w:cs="Times New Roman"/>
                <w:b/>
                <w:bCs/>
                <w:color w:val="000000"/>
                <w:kern w:val="0"/>
                <w:sz w:val="24"/>
                <w:szCs w:val="24"/>
                <w:highlight w:val="none"/>
              </w:rPr>
              <w:t>分值</w:t>
            </w:r>
          </w:p>
        </w:tc>
        <w:tc>
          <w:tcPr>
            <w:tcW w:w="1223" w:type="dxa"/>
            <w:tcBorders>
              <w:top w:val="single" w:color="auto" w:sz="4" w:space="0"/>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b/>
                <w:bCs/>
                <w:color w:val="000000"/>
                <w:kern w:val="0"/>
                <w:sz w:val="24"/>
                <w:szCs w:val="24"/>
                <w:highlight w:val="none"/>
              </w:rPr>
            </w:pPr>
            <w:r>
              <w:rPr>
                <w:rFonts w:eastAsia="宋体" w:cs="Times New Roman"/>
                <w:b/>
                <w:bCs/>
                <w:color w:val="000000"/>
                <w:kern w:val="0"/>
                <w:sz w:val="24"/>
                <w:szCs w:val="24"/>
                <w:highlight w:val="none"/>
              </w:rPr>
              <w:t>打分</w:t>
            </w:r>
          </w:p>
        </w:tc>
      </w:tr>
      <w:tr>
        <w:tblPrEx>
          <w:tblCellMar>
            <w:top w:w="0" w:type="dxa"/>
            <w:left w:w="108" w:type="dxa"/>
            <w:bottom w:w="0" w:type="dxa"/>
            <w:right w:w="108" w:type="dxa"/>
          </w:tblCellMar>
        </w:tblPrEx>
        <w:trPr>
          <w:trHeight w:val="312" w:hRule="atLeast"/>
          <w:jc w:val="center"/>
        </w:trPr>
        <w:tc>
          <w:tcPr>
            <w:tcW w:w="429" w:type="dxa"/>
            <w:vMerge w:val="restart"/>
            <w:tcBorders>
              <w:top w:val="nil"/>
              <w:left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1</w:t>
            </w:r>
          </w:p>
        </w:tc>
        <w:tc>
          <w:tcPr>
            <w:tcW w:w="1200" w:type="dxa"/>
            <w:vMerge w:val="restart"/>
            <w:tcBorders>
              <w:top w:val="nil"/>
              <w:left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形式审查</w:t>
            </w:r>
          </w:p>
        </w:tc>
        <w:tc>
          <w:tcPr>
            <w:tcW w:w="2145" w:type="dxa"/>
            <w:gridSpan w:val="2"/>
            <w:vMerge w:val="restart"/>
            <w:tcBorders>
              <w:top w:val="single" w:color="auto" w:sz="4" w:space="0"/>
              <w:left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　</w:t>
            </w: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送审报告是否加盖从业单位和土地使用权人（或土壤污染责任人）的公章*</w:t>
            </w:r>
          </w:p>
        </w:tc>
        <w:tc>
          <w:tcPr>
            <w:tcW w:w="795"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hint="eastAsia" w:eastAsia="等线" w:cs="Times New Roman"/>
                <w:color w:val="000000"/>
                <w:kern w:val="0"/>
                <w:sz w:val="24"/>
                <w:szCs w:val="24"/>
                <w:highlight w:val="none"/>
              </w:rPr>
              <w:t>/</w:t>
            </w:r>
          </w:p>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12" w:hRule="atLeast"/>
          <w:jc w:val="center"/>
        </w:trPr>
        <w:tc>
          <w:tcPr>
            <w:tcW w:w="429"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00"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送审报告是否明确项目负责人和从业人员信息及亲笔签字*</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00"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检测实验室是否具有土壤和水质检测项目国家资质委员会认可的资质*</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00"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sz w:val="24"/>
                <w:szCs w:val="24"/>
                <w:highlight w:val="none"/>
              </w:rPr>
              <w:t>是否提交国家资质委员会认可的实验室检测报告</w:t>
            </w:r>
            <w:r>
              <w:rPr>
                <w:rFonts w:eastAsia="宋体" w:cs="Times New Roman"/>
                <w:color w:val="000000"/>
                <w:kern w:val="0"/>
                <w:sz w:val="24"/>
                <w:szCs w:val="24"/>
                <w:highlight w:val="none"/>
              </w:rPr>
              <w:t>*</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00"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修复（风险管控方案）*</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00" w:type="dxa"/>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left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施工方案*</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00" w:type="dxa"/>
            <w:vMerge w:val="continue"/>
            <w:tcBorders>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方案是否完整，包括摘要，正文和附件。</w:t>
            </w:r>
          </w:p>
        </w:tc>
        <w:tc>
          <w:tcPr>
            <w:tcW w:w="795"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12" w:hRule="atLeast"/>
          <w:jc w:val="center"/>
        </w:trPr>
        <w:tc>
          <w:tcPr>
            <w:tcW w:w="429"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2</w:t>
            </w:r>
          </w:p>
        </w:tc>
        <w:tc>
          <w:tcPr>
            <w:tcW w:w="1200"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地块及工程基本情况</w:t>
            </w:r>
          </w:p>
        </w:tc>
        <w:tc>
          <w:tcPr>
            <w:tcW w:w="2145"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地块基本情况</w:t>
            </w: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是否包括了地块位置及现状等基本信息</w:t>
            </w:r>
          </w:p>
        </w:tc>
        <w:tc>
          <w:tcPr>
            <w:tcW w:w="795"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15</w:t>
            </w:r>
          </w:p>
        </w:tc>
        <w:tc>
          <w:tcPr>
            <w:tcW w:w="1223"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12"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是否包括了地块土地利用及地下水利用规划情况</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12"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是否包括了周边敏感点情况</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12"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是否包括了地块水文地质条件</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12"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是否包括了区域气候气象条件</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12"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地块污染与风险状况</w:t>
            </w: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是否包括了地块土壤和地下水中的主要污染物、污染范围和深度等有关内容</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12"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是否包括了地块风险状况等相关内容</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风险管控与修复方案情况</w:t>
            </w: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是否包括了修复与管控目标</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是否包括了修复与管控范围及其拐点坐标</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是否包括了修复工程量</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是否包括管控措施与修复方案</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是否包括了环境保护措施、环境监测计划及要求</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是否包括了效果评估方案及要求</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是否包括了风险防范及应急措施等内容和要求</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12"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风险管控或修复实施情况</w:t>
            </w: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是否包括工程基本情况</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是否包括了总平面布置图</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工程实施范围</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风险管控与修复工程技术路线</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948"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工程实施内容（包括采用的修复与管控技术与工艺，工程实施过程，修复后土壤的处置，质量控制，二次污染及风险防控措施，自验收监测结果，修复周期等内容，并提供相应的工作照片或证明文件）</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636"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异位修复工程各施工环节的工程量统计（污染土壤清挖、运输、处置及修复后土壤再利用等环节，应达到土方平衡）</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636"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修复过程有变更时，是否提供了变更说明或修复调整方案，变更的理由是否充分，是否得到了监理的认可</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环境保护措施落实情况</w:t>
            </w: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修复过程环境保护措施内容及效果</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风险防范措施内容及效果</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环境污染监测内容及监测结果的分析与评价</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对实施过程中发生的环境问题所采取的措施及有效性</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修复施工期间，是否设立公告牌，公开相关情况和环境保护措施</w:t>
            </w:r>
          </w:p>
        </w:tc>
        <w:tc>
          <w:tcPr>
            <w:tcW w:w="795"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3</w:t>
            </w:r>
          </w:p>
        </w:tc>
        <w:tc>
          <w:tcPr>
            <w:tcW w:w="1200"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更新地块概念模型</w:t>
            </w:r>
          </w:p>
        </w:tc>
        <w:tc>
          <w:tcPr>
            <w:tcW w:w="2145"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资料回顾</w:t>
            </w: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资料是否齐全</w:t>
            </w:r>
          </w:p>
        </w:tc>
        <w:tc>
          <w:tcPr>
            <w:tcW w:w="795"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15</w:t>
            </w:r>
          </w:p>
        </w:tc>
        <w:tc>
          <w:tcPr>
            <w:tcW w:w="1223"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12"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相关资料是否已通过专家评审并在环境部门进行了备案</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现场踏勘</w:t>
            </w: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是否按照导则HJ 25.1要求的程序和技术要求进行踏勘</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948"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踏勘内容是否包括了污染地块风险管控与修复工程的实施情况、现场遗留污染情况、风险管控期间地块及周边敏感区域限制、环境保护措施落实情况等内容</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12"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踏勘过程是否保留了照片、视频、录音、文字等</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12"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人员访谈</w:t>
            </w: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是否进行了人员访谈</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6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访谈内容是否包括污染地块风险管控与修复工程实施情况、环境保护措施落实情况等内容</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地块概念模型</w:t>
            </w: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是否结合工程实施后的地块特征，对地块的概念模型进行了更新</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地块概念模型内容的完整性</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更新后的地块概念模型是否可作为地块修复效果评估的依据</w:t>
            </w:r>
          </w:p>
        </w:tc>
        <w:tc>
          <w:tcPr>
            <w:tcW w:w="795"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4</w:t>
            </w:r>
          </w:p>
        </w:tc>
        <w:tc>
          <w:tcPr>
            <w:tcW w:w="1200"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布点采样与实验室检测</w:t>
            </w:r>
          </w:p>
        </w:tc>
        <w:tc>
          <w:tcPr>
            <w:tcW w:w="930"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土壤修复效果评估采样布点</w:t>
            </w:r>
          </w:p>
        </w:tc>
        <w:tc>
          <w:tcPr>
            <w:tcW w:w="1215"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基坑清挖效果评估</w:t>
            </w: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清挖范围与深度与已备案的风险管控和修复方案是否一致</w:t>
            </w:r>
          </w:p>
        </w:tc>
        <w:tc>
          <w:tcPr>
            <w:tcW w:w="795"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20</w:t>
            </w:r>
          </w:p>
        </w:tc>
        <w:tc>
          <w:tcPr>
            <w:tcW w:w="1223"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12"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93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是否包含了所有清挖基坑的底部与侧壁</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93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采样节点设置是否合理</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93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布点数量与位置是否符合要求</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93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基坑深度大于1米，是否进行了分层采样，间距是否符合要求</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93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15"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异位修复效果评估</w:t>
            </w: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是否包括了所有异位修复后的土壤</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93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采样节点设置是否合理</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93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布点数量与位置是否符合要求</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93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筛上物布点数量是否合理</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93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15"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原位修复效果评估</w:t>
            </w: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是否涵盖修复方案中划定的全部土壤</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93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在高浓度污染物聚集区、修复薄弱区、修复范围边界处是否布设了采样点</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93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采样节点设置是否合理</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93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布点数量与位置是否符合要求</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93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采样终点深度是否符合要求</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93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污染深度较深时，是否进行了分层采样，采样间距是否符合要求</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746"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93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15"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风险管控效果评估</w:t>
            </w: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采样节点设置是否合理</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93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15"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二次污染区域</w:t>
            </w: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是否包括了所有潜在的土壤二次污染区</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93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采样节点设置是否合理</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93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布点数量与位置是否符合要求</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12"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93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超标污染区域，采样深度及分层采样是否符合要求</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930"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地下水修复效果评估采样布点</w:t>
            </w:r>
          </w:p>
        </w:tc>
        <w:tc>
          <w:tcPr>
            <w:tcW w:w="1215"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原位修复</w:t>
            </w: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采样数量与位置是否符合要求</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93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采样时地下水修复活动是否已终止，并处于稳定阶段</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93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采样频率和采样持续时间是否合理</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636"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93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15"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异位修复</w:t>
            </w: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对于地下水抽提范围内，采样数量、位置、节点、频率等是否符合要求（同地下水原位修复）</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636"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93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对于抽提后修复完毕的地下水，采样单元、采样数量是否符合要求（针对挥发性有机物污染地下水不宜采用混合样）</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风险管控效果评估采样布点</w:t>
            </w: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采样周期和频次是否满足导则要求</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布点数量与位置是否符合要求</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930"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样品采集与分析</w:t>
            </w:r>
          </w:p>
        </w:tc>
        <w:tc>
          <w:tcPr>
            <w:tcW w:w="1215"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样品的采集、流转与保存</w:t>
            </w: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样品的采集、保存、流转方法是否符合要求</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93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土壤VOC样品取样深度是否符合要求</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636"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93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15"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样品分析</w:t>
            </w: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清挖基坑、原位修复、修复后土壤原地利用的，其土壤检测指标是否包含了修复方案中的所有目标污染物</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93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相邻基坑土壤的检测指标是否涵盖了相邻基坑土壤中的目标污染物</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93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修复后土壤异地利用的，检测指标是否考虑了接受地的环境要求</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648"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93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化学氧化/还原、微生物修复后的土壤检测指标是否包括二次污染物、中间产物等</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93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风险管控效果评估是否包括了污染物指标和工程性能指标</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93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样品的分析方法及其方法检出限是否符合要求</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93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15"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质量质控与治理保证</w:t>
            </w: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样品采集、保存、流转的QA/QC是否符合要求</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93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12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样品检测实验室资质、样品检测方法及其过程的QA/QC是否符合要求</w:t>
            </w:r>
          </w:p>
        </w:tc>
        <w:tc>
          <w:tcPr>
            <w:tcW w:w="795"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636" w:hRule="atLeast"/>
          <w:jc w:val="center"/>
        </w:trPr>
        <w:tc>
          <w:tcPr>
            <w:tcW w:w="429"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5</w:t>
            </w:r>
          </w:p>
        </w:tc>
        <w:tc>
          <w:tcPr>
            <w:tcW w:w="1200"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风险管控与土壤修复效果评估</w:t>
            </w:r>
          </w:p>
        </w:tc>
        <w:tc>
          <w:tcPr>
            <w:tcW w:w="2145"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土壤修复效果评估</w:t>
            </w: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基坑土壤、原位处置土壤、原地回填的修复后土壤评估标准值与地块调查评估、修复技术方案或实施方案中确定的修复目标值一致</w:t>
            </w:r>
          </w:p>
        </w:tc>
        <w:tc>
          <w:tcPr>
            <w:tcW w:w="795"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15</w:t>
            </w:r>
          </w:p>
        </w:tc>
        <w:tc>
          <w:tcPr>
            <w:tcW w:w="1223"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648"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修复后异地利用的土壤、采用化学氧化/还原和微生物修复后土壤是否重新制定了污染物的评估标准，标准是否合理</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评估方法是否符合要求</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是否达到了修复效果</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风险管控效果评估</w:t>
            </w: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风险管控评估指标是否包含了工程性能和污染物的相关标准</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评估方法是否符合要求</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工程指标是否满足了设计要求或不影响预期效果</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风险管控措施下游地下水中污染物浓度是否持续下降</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648"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固化/稳定化后土壤中污染物的浸出浓度是否满足接受地地下水用途对应标准或不会对地下水造成危害</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636"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当工程性能指标或污染物指标未达到评估标准时，是否对风险管控措施采取了优化或修理</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优化或修理后的风险管控措施是否满足要求</w:t>
            </w:r>
          </w:p>
        </w:tc>
        <w:tc>
          <w:tcPr>
            <w:tcW w:w="795"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6</w:t>
            </w:r>
          </w:p>
        </w:tc>
        <w:tc>
          <w:tcPr>
            <w:tcW w:w="1200"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后期环境管理建议</w:t>
            </w:r>
          </w:p>
        </w:tc>
        <w:tc>
          <w:tcPr>
            <w:tcW w:w="2145"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后期环境监管要求</w:t>
            </w: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是否明确提出了地块是否需要进行后期监管</w:t>
            </w:r>
          </w:p>
        </w:tc>
        <w:tc>
          <w:tcPr>
            <w:tcW w:w="795"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10</w:t>
            </w:r>
          </w:p>
        </w:tc>
        <w:tc>
          <w:tcPr>
            <w:tcW w:w="1223"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监管主体是否明确</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监管标准是否符合要求</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长期环境监测</w:t>
            </w: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对需要实施风险管控的地块，是否制定了详细的长期环境监测方案</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监测介质是否合理</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648"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采样点布设、监测指标、样品的采集与分析方法、QA/QC、监测节点与频次等是否符合要求</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长期监测的终止条件是否明确、合理</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制度控制</w:t>
            </w: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对需要进行制度控制的地块，是否制定了详细的制度控制方案</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制度控制方案是否合理可行</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制度控制的终止条件是否明确、合理</w:t>
            </w:r>
          </w:p>
        </w:tc>
        <w:tc>
          <w:tcPr>
            <w:tcW w:w="795"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636" w:hRule="atLeast"/>
          <w:jc w:val="center"/>
        </w:trPr>
        <w:tc>
          <w:tcPr>
            <w:tcW w:w="429"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7</w:t>
            </w:r>
          </w:p>
        </w:tc>
        <w:tc>
          <w:tcPr>
            <w:tcW w:w="1200"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结论与建议</w:t>
            </w:r>
          </w:p>
        </w:tc>
        <w:tc>
          <w:tcPr>
            <w:tcW w:w="2145"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　</w:t>
            </w: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是否涵盖风险管控或修复工程实施情况、环境保护措施落实情况、风险控制或修复效果评估情况方面的结论</w:t>
            </w:r>
          </w:p>
        </w:tc>
        <w:tc>
          <w:tcPr>
            <w:tcW w:w="795"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15</w:t>
            </w:r>
          </w:p>
        </w:tc>
        <w:tc>
          <w:tcPr>
            <w:tcW w:w="1223"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是否明确提出了地块可以安全利用的结论</w:t>
            </w:r>
          </w:p>
        </w:tc>
        <w:tc>
          <w:tcPr>
            <w:tcW w:w="795"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12" w:hRule="atLeast"/>
          <w:jc w:val="center"/>
        </w:trPr>
        <w:tc>
          <w:tcPr>
            <w:tcW w:w="429"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8</w:t>
            </w:r>
          </w:p>
        </w:tc>
        <w:tc>
          <w:tcPr>
            <w:tcW w:w="1200"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宋体" w:cs="Times New Roman"/>
                <w:color w:val="000000"/>
                <w:kern w:val="0"/>
                <w:sz w:val="24"/>
                <w:szCs w:val="24"/>
                <w:highlight w:val="none"/>
              </w:rPr>
            </w:pPr>
            <w:r>
              <w:rPr>
                <w:rFonts w:eastAsia="宋体" w:cs="Times New Roman"/>
                <w:color w:val="000000"/>
                <w:kern w:val="0"/>
                <w:sz w:val="24"/>
                <w:szCs w:val="24"/>
                <w:highlight w:val="none"/>
              </w:rPr>
              <w:t>附件</w:t>
            </w:r>
          </w:p>
        </w:tc>
        <w:tc>
          <w:tcPr>
            <w:tcW w:w="2145" w:type="dxa"/>
            <w:gridSpan w:val="2"/>
            <w:tcBorders>
              <w:top w:val="single" w:color="auto" w:sz="4" w:space="0"/>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等线" w:cs="Times New Roman"/>
                <w:color w:val="000000"/>
                <w:kern w:val="0"/>
                <w:sz w:val="24"/>
                <w:szCs w:val="24"/>
                <w:highlight w:val="none"/>
              </w:rPr>
            </w:pPr>
            <w:r>
              <w:rPr>
                <w:rFonts w:eastAsia="等线" w:cs="Times New Roman"/>
                <w:color w:val="000000"/>
                <w:kern w:val="0"/>
                <w:sz w:val="24"/>
                <w:szCs w:val="24"/>
                <w:highlight w:val="none"/>
              </w:rPr>
              <w:t>　</w:t>
            </w: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工程竣工报告</w:t>
            </w:r>
          </w:p>
        </w:tc>
        <w:tc>
          <w:tcPr>
            <w:tcW w:w="795"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r>
              <w:rPr>
                <w:rFonts w:eastAsia="等线" w:cs="Times New Roman"/>
                <w:color w:val="000000"/>
                <w:kern w:val="0"/>
                <w:sz w:val="24"/>
                <w:szCs w:val="24"/>
                <w:highlight w:val="none"/>
              </w:rPr>
              <w:t>10</w:t>
            </w:r>
          </w:p>
        </w:tc>
        <w:tc>
          <w:tcPr>
            <w:tcW w:w="1223" w:type="dxa"/>
            <w:vMerge w:val="restart"/>
            <w:tcBorders>
              <w:top w:val="nil"/>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12"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tcBorders>
              <w:top w:val="single" w:color="auto" w:sz="4" w:space="0"/>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等线" w:cs="Times New Roman"/>
                <w:color w:val="000000"/>
                <w:kern w:val="0"/>
                <w:sz w:val="24"/>
                <w:szCs w:val="24"/>
                <w:highlight w:val="none"/>
              </w:rPr>
            </w:pPr>
            <w:r>
              <w:rPr>
                <w:rFonts w:eastAsia="等线" w:cs="Times New Roman"/>
                <w:color w:val="000000"/>
                <w:kern w:val="0"/>
                <w:sz w:val="24"/>
                <w:szCs w:val="24"/>
                <w:highlight w:val="none"/>
              </w:rPr>
              <w:t>　</w:t>
            </w: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环境监理总结报告</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12"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tcBorders>
              <w:top w:val="single" w:color="auto" w:sz="4" w:space="0"/>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等线" w:cs="Times New Roman"/>
                <w:color w:val="000000"/>
                <w:kern w:val="0"/>
                <w:sz w:val="24"/>
                <w:szCs w:val="24"/>
                <w:highlight w:val="none"/>
              </w:rPr>
            </w:pPr>
            <w:r>
              <w:rPr>
                <w:rFonts w:eastAsia="等线" w:cs="Times New Roman"/>
                <w:color w:val="000000"/>
                <w:kern w:val="0"/>
                <w:sz w:val="24"/>
                <w:szCs w:val="24"/>
                <w:highlight w:val="none"/>
              </w:rPr>
              <w:t>　</w:t>
            </w: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效果评估监测报告</w:t>
            </w:r>
          </w:p>
        </w:tc>
        <w:tc>
          <w:tcPr>
            <w:tcW w:w="795"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r>
        <w:tblPrEx>
          <w:tblCellMar>
            <w:top w:w="0" w:type="dxa"/>
            <w:left w:w="108" w:type="dxa"/>
            <w:bottom w:w="0" w:type="dxa"/>
            <w:right w:w="108" w:type="dxa"/>
          </w:tblCellMar>
        </w:tblPrEx>
        <w:trPr>
          <w:trHeight w:val="324" w:hRule="atLeast"/>
          <w:jc w:val="center"/>
        </w:trPr>
        <w:tc>
          <w:tcPr>
            <w:tcW w:w="42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等线" w:cs="Times New Roman"/>
                <w:color w:val="000000"/>
                <w:kern w:val="0"/>
                <w:sz w:val="24"/>
                <w:szCs w:val="24"/>
                <w:highlight w:val="none"/>
              </w:rPr>
            </w:pPr>
          </w:p>
        </w:tc>
        <w:tc>
          <w:tcPr>
            <w:tcW w:w="12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eastAsia="宋体" w:cs="Times New Roman"/>
                <w:color w:val="000000"/>
                <w:kern w:val="0"/>
                <w:sz w:val="24"/>
                <w:szCs w:val="24"/>
                <w:highlight w:val="none"/>
              </w:rPr>
            </w:pPr>
          </w:p>
        </w:tc>
        <w:tc>
          <w:tcPr>
            <w:tcW w:w="2145" w:type="dxa"/>
            <w:gridSpan w:val="2"/>
            <w:tcBorders>
              <w:top w:val="single" w:color="auto" w:sz="4" w:space="0"/>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等线" w:cs="Times New Roman"/>
                <w:color w:val="000000"/>
                <w:kern w:val="0"/>
                <w:sz w:val="24"/>
                <w:szCs w:val="24"/>
                <w:highlight w:val="none"/>
              </w:rPr>
            </w:pPr>
            <w:r>
              <w:rPr>
                <w:rFonts w:eastAsia="等线" w:cs="Times New Roman"/>
                <w:color w:val="000000"/>
                <w:kern w:val="0"/>
                <w:sz w:val="24"/>
                <w:szCs w:val="24"/>
                <w:highlight w:val="none"/>
              </w:rPr>
              <w:t>　</w:t>
            </w:r>
          </w:p>
        </w:tc>
        <w:tc>
          <w:tcPr>
            <w:tcW w:w="822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left"/>
              <w:rPr>
                <w:rFonts w:eastAsia="宋体" w:cs="Times New Roman"/>
                <w:color w:val="000000"/>
                <w:kern w:val="0"/>
                <w:sz w:val="24"/>
                <w:szCs w:val="24"/>
                <w:highlight w:val="none"/>
              </w:rPr>
            </w:pPr>
            <w:r>
              <w:rPr>
                <w:rFonts w:eastAsia="宋体" w:cs="Times New Roman"/>
                <w:color w:val="000000"/>
                <w:kern w:val="0"/>
                <w:sz w:val="24"/>
                <w:szCs w:val="24"/>
                <w:highlight w:val="none"/>
              </w:rPr>
              <w:t>是否有HJ25.5-2018中要求的其他必要附件</w:t>
            </w:r>
          </w:p>
        </w:tc>
        <w:tc>
          <w:tcPr>
            <w:tcW w:w="795"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c>
          <w:tcPr>
            <w:tcW w:w="1223" w:type="dxa"/>
            <w:vMerge w:val="continue"/>
            <w:tcBorders>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eastAsia="等线" w:cs="Times New Roman"/>
                <w:color w:val="000000"/>
                <w:kern w:val="0"/>
                <w:sz w:val="24"/>
                <w:szCs w:val="24"/>
                <w:highlight w:val="none"/>
              </w:rPr>
            </w:pPr>
          </w:p>
        </w:tc>
      </w:tr>
    </w:tbl>
    <w:p>
      <w:pPr>
        <w:spacing w:line="440" w:lineRule="exact"/>
        <w:ind w:firstLine="560"/>
        <w:rPr>
          <w:highlight w:val="none"/>
        </w:rPr>
      </w:pPr>
      <w:r>
        <w:rPr>
          <w:rFonts w:hint="eastAsia"/>
          <w:highlight w:val="none"/>
        </w:rPr>
        <w:t>备注：1.表格中分值为单件评价量化分值。</w:t>
      </w:r>
    </w:p>
    <w:p>
      <w:pPr>
        <w:numPr>
          <w:ilvl w:val="0"/>
          <w:numId w:val="4"/>
        </w:numPr>
        <w:spacing w:line="440" w:lineRule="exact"/>
        <w:ind w:firstLine="1400" w:firstLineChars="0"/>
        <w:rPr>
          <w:highlight w:val="none"/>
        </w:rPr>
      </w:pPr>
      <w:r>
        <w:rPr>
          <w:rFonts w:hint="eastAsia"/>
          <w:highlight w:val="none"/>
        </w:rPr>
        <w:t>形式审查由评审组织单位审核，形式审查不通过则不予评审。</w:t>
      </w:r>
    </w:p>
    <w:p>
      <w:pPr>
        <w:numPr>
          <w:ilvl w:val="0"/>
          <w:numId w:val="4"/>
        </w:numPr>
        <w:spacing w:line="440" w:lineRule="exact"/>
        <w:ind w:firstLine="1400" w:firstLineChars="500"/>
        <w:rPr>
          <w:highlight w:val="none"/>
        </w:rPr>
      </w:pPr>
      <w:r>
        <w:rPr>
          <w:rFonts w:hint="eastAsia"/>
          <w:highlight w:val="none"/>
        </w:rPr>
        <w:t>评分为90分（含）以上的，技术文件直接评审通过；评分为60分（含）至90分的，技术文件评审通过但需修改；评分为60分以下的，技术文件不予评审通过。（此项中评分不包含形式审查项加分）</w:t>
      </w:r>
    </w:p>
    <w:p>
      <w:pPr>
        <w:ind w:firstLine="0" w:firstLineChars="0"/>
        <w:rPr>
          <w:highlight w:val="none"/>
        </w:rPr>
      </w:pPr>
    </w:p>
    <w:sectPr>
      <w:pgSz w:w="16838" w:h="11906" w:orient="landscape"/>
      <w:pgMar w:top="1440" w:right="1797" w:bottom="1440" w:left="1797" w:header="851" w:footer="992" w:gutter="0"/>
      <w:cols w:space="425" w:num="1"/>
      <w:docGrid w:linePitch="435"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_GB2312">
    <w:panose1 w:val="02010609030101010101"/>
    <w:charset w:val="86"/>
    <w:family w:val="modern"/>
    <w:pitch w:val="default"/>
    <w:sig w:usb0="00000001" w:usb1="080E0000" w:usb2="00000000" w:usb3="00000000" w:csb0="00040000" w:csb1="00000000"/>
  </w:font>
  <w:font w:name="等线 Light">
    <w:altName w:val="宋体"/>
    <w:panose1 w:val="02010600030101010101"/>
    <w:charset w:val="86"/>
    <w:family w:val="auto"/>
    <w:pitch w:val="default"/>
    <w:sig w:usb0="00000000" w:usb1="00000000" w:usb2="00000016" w:usb3="00000000" w:csb0="0004000F" w:csb1="00000000"/>
  </w:font>
  <w:font w:name="仿宋">
    <w:panose1 w:val="02010609060101010101"/>
    <w:charset w:val="86"/>
    <w:family w:val="modern"/>
    <w:pitch w:val="default"/>
    <w:sig w:usb0="800002BF" w:usb1="38CF7CFA" w:usb2="00000016" w:usb3="00000000" w:csb0="00040001" w:csb1="00000000"/>
  </w:font>
  <w:font w:name="等线">
    <w:altName w:val="微软雅黑"/>
    <w:panose1 w:val="02010600030101010101"/>
    <w:charset w:val="86"/>
    <w:family w:val="auto"/>
    <w:pitch w:val="default"/>
    <w:sig w:usb0="00000000" w:usb1="00000000" w:usb2="00000016" w:usb3="00000000" w:csb0="0004000F" w:csb1="00000000"/>
  </w:font>
  <w:font w:name="楷体">
    <w:panose1 w:val="02010609060101010101"/>
    <w:charset w:val="86"/>
    <w:family w:val="modern"/>
    <w:pitch w:val="default"/>
    <w:sig w:usb0="800002BF" w:usb1="38CF7CFA" w:usb2="00000016" w:usb3="00000000" w:csb0="00040001" w:csb1="00000000"/>
  </w:font>
  <w:font w:name="PMingLiU">
    <w:panose1 w:val="02020500000000000000"/>
    <w:charset w:val="88"/>
    <w:family w:val="roman"/>
    <w:pitch w:val="default"/>
    <w:sig w:usb0="A00002FF" w:usb1="28CFFCFA" w:usb2="00000016" w:usb3="00000000" w:csb0="00100001" w:csb1="00000000"/>
  </w:font>
  <w:font w:name="方正小标宋_GBK">
    <w:panose1 w:val="03000509000000000000"/>
    <w:charset w:val="86"/>
    <w:family w:val="auto"/>
    <w:pitch w:val="default"/>
    <w:sig w:usb0="00000001" w:usb1="080E0000" w:usb2="00000000" w:usb3="00000000" w:csb0="00040000"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038242732"/>
      <w:showingPlcHdr/>
    </w:sdtPr>
    <w:sdtContent>
      <w:p>
        <w:pPr>
          <w:pStyle w:val="10"/>
          <w:ind w:firstLine="360"/>
          <w:jc w:val="center"/>
        </w:pPr>
        <w:r>
          <w:t xml:space="preserve">     </w:t>
        </w:r>
      </w:p>
    </w:sdtContent>
  </w:sdt>
  <w:p>
    <w:pPr>
      <w:pStyle w:val="10"/>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054587844"/>
    </w:sdtPr>
    <w:sdtContent>
      <w:p>
        <w:pPr>
          <w:pStyle w:val="10"/>
          <w:ind w:firstLine="360"/>
          <w:jc w:val="center"/>
        </w:pPr>
        <w:r>
          <w:fldChar w:fldCharType="begin"/>
        </w:r>
        <w:r>
          <w:instrText xml:space="preserve">PAGE   \* MERGEFORMAT</w:instrText>
        </w:r>
        <w:r>
          <w:fldChar w:fldCharType="separate"/>
        </w:r>
        <w:r>
          <w:rPr>
            <w:lang w:val="zh-CN"/>
          </w:rPr>
          <w:t>4</w:t>
        </w:r>
        <w:r>
          <w:fldChar w:fldCharType="end"/>
        </w:r>
      </w:p>
    </w:sdtContent>
  </w:sdt>
  <w:p>
    <w:pPr>
      <w:pStyle w:val="10"/>
      <w:ind w:firstLine="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351622486"/>
    </w:sdtPr>
    <w:sdtContent>
      <w:p>
        <w:pPr>
          <w:pStyle w:val="10"/>
          <w:ind w:firstLine="360"/>
          <w:jc w:val="center"/>
        </w:pPr>
        <w:r>
          <w:fldChar w:fldCharType="begin"/>
        </w:r>
        <w:r>
          <w:instrText xml:space="preserve">PAGE   \* MERGEFORMAT</w:instrText>
        </w:r>
        <w:r>
          <w:fldChar w:fldCharType="separate"/>
        </w:r>
        <w:r>
          <w:rPr>
            <w:lang w:val="zh-CN"/>
          </w:rPr>
          <w:t>22</w:t>
        </w:r>
        <w:r>
          <w:fldChar w:fldCharType="end"/>
        </w:r>
      </w:p>
    </w:sdtContent>
  </w:sdt>
  <w:p>
    <w:pPr>
      <w:pStyle w:val="10"/>
      <w:ind w:firstLine="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left="560" w:firstLine="0" w:firstLineChars="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CAE500AA"/>
    <w:multiLevelType w:val="singleLevel"/>
    <w:tmpl w:val="CAE500AA"/>
    <w:lvl w:ilvl="0" w:tentative="0">
      <w:start w:val="2"/>
      <w:numFmt w:val="decimal"/>
      <w:lvlText w:val="%1."/>
      <w:lvlJc w:val="left"/>
      <w:pPr>
        <w:tabs>
          <w:tab w:val="left" w:pos="312"/>
        </w:tabs>
      </w:pPr>
    </w:lvl>
  </w:abstractNum>
  <w:abstractNum w:abstractNumId="1">
    <w:nsid w:val="00000019"/>
    <w:multiLevelType w:val="singleLevel"/>
    <w:tmpl w:val="00000019"/>
    <w:lvl w:ilvl="0" w:tentative="0">
      <w:start w:val="1"/>
      <w:numFmt w:val="decimal"/>
      <w:suff w:val="nothing"/>
      <w:lvlText w:val="（%1）"/>
      <w:lvlJc w:val="left"/>
      <w:rPr>
        <w:rFonts w:cs="Times New Roman"/>
      </w:rPr>
    </w:lvl>
  </w:abstractNum>
  <w:abstractNum w:abstractNumId="2">
    <w:nsid w:val="069B111F"/>
    <w:multiLevelType w:val="singleLevel"/>
    <w:tmpl w:val="069B111F"/>
    <w:lvl w:ilvl="0" w:tentative="0">
      <w:start w:val="2"/>
      <w:numFmt w:val="decimal"/>
      <w:lvlText w:val="%1."/>
      <w:lvlJc w:val="left"/>
      <w:pPr>
        <w:tabs>
          <w:tab w:val="left" w:pos="312"/>
        </w:tabs>
      </w:pPr>
    </w:lvl>
  </w:abstractNum>
  <w:abstractNum w:abstractNumId="3">
    <w:nsid w:val="744708EE"/>
    <w:multiLevelType w:val="singleLevel"/>
    <w:tmpl w:val="744708EE"/>
    <w:lvl w:ilvl="0" w:tentative="0">
      <w:start w:val="2"/>
      <w:numFmt w:val="decimal"/>
      <w:lvlText w:val="%1."/>
      <w:lvlJc w:val="left"/>
      <w:pPr>
        <w:tabs>
          <w:tab w:val="left" w:pos="312"/>
        </w:tabs>
      </w:pPr>
    </w:lvl>
  </w:abstractNum>
  <w:num w:numId="1">
    <w:abstractNumId w:val="1"/>
    <w:lvlOverride w:ilvl="0">
      <w:startOverride w:val="1"/>
    </w:lvlOverride>
  </w:num>
  <w:num w:numId="2">
    <w:abstractNumId w:val="0"/>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val="1"/>
  <w:bordersDoNotSurroundFooter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002DA0"/>
    <w:rsid w:val="000039E0"/>
    <w:rsid w:val="000047FB"/>
    <w:rsid w:val="00005727"/>
    <w:rsid w:val="000065F9"/>
    <w:rsid w:val="00010817"/>
    <w:rsid w:val="0001204F"/>
    <w:rsid w:val="000141E4"/>
    <w:rsid w:val="00014538"/>
    <w:rsid w:val="000156F5"/>
    <w:rsid w:val="000173DA"/>
    <w:rsid w:val="00017D1D"/>
    <w:rsid w:val="000207F8"/>
    <w:rsid w:val="00021789"/>
    <w:rsid w:val="000219C3"/>
    <w:rsid w:val="00021CBC"/>
    <w:rsid w:val="00021E08"/>
    <w:rsid w:val="0002282C"/>
    <w:rsid w:val="00023768"/>
    <w:rsid w:val="00024CFE"/>
    <w:rsid w:val="00026F01"/>
    <w:rsid w:val="00027583"/>
    <w:rsid w:val="00027D15"/>
    <w:rsid w:val="000337CC"/>
    <w:rsid w:val="00034580"/>
    <w:rsid w:val="00034597"/>
    <w:rsid w:val="000354F6"/>
    <w:rsid w:val="000364C1"/>
    <w:rsid w:val="00036C5E"/>
    <w:rsid w:val="000408A7"/>
    <w:rsid w:val="00040CC5"/>
    <w:rsid w:val="000421D2"/>
    <w:rsid w:val="00042F41"/>
    <w:rsid w:val="00043E64"/>
    <w:rsid w:val="00045C1E"/>
    <w:rsid w:val="000466C8"/>
    <w:rsid w:val="00051ABE"/>
    <w:rsid w:val="00052A0C"/>
    <w:rsid w:val="00052F9A"/>
    <w:rsid w:val="00053095"/>
    <w:rsid w:val="000562D7"/>
    <w:rsid w:val="0006043C"/>
    <w:rsid w:val="00061374"/>
    <w:rsid w:val="00061CA9"/>
    <w:rsid w:val="0006236A"/>
    <w:rsid w:val="0006427E"/>
    <w:rsid w:val="0006600A"/>
    <w:rsid w:val="000662B8"/>
    <w:rsid w:val="00066D6F"/>
    <w:rsid w:val="00066E92"/>
    <w:rsid w:val="00067D60"/>
    <w:rsid w:val="00067ECA"/>
    <w:rsid w:val="000747AE"/>
    <w:rsid w:val="00074AF1"/>
    <w:rsid w:val="00074BBF"/>
    <w:rsid w:val="0007636D"/>
    <w:rsid w:val="00076E3F"/>
    <w:rsid w:val="000776B8"/>
    <w:rsid w:val="000807AE"/>
    <w:rsid w:val="00084DDD"/>
    <w:rsid w:val="00085B5F"/>
    <w:rsid w:val="000866F4"/>
    <w:rsid w:val="00086AD5"/>
    <w:rsid w:val="0009041B"/>
    <w:rsid w:val="00092510"/>
    <w:rsid w:val="00093F97"/>
    <w:rsid w:val="00096CE3"/>
    <w:rsid w:val="00097FB6"/>
    <w:rsid w:val="000A3720"/>
    <w:rsid w:val="000A573F"/>
    <w:rsid w:val="000A6A26"/>
    <w:rsid w:val="000A7DBB"/>
    <w:rsid w:val="000B089E"/>
    <w:rsid w:val="000B14CA"/>
    <w:rsid w:val="000B43C1"/>
    <w:rsid w:val="000B52A6"/>
    <w:rsid w:val="000B5EF7"/>
    <w:rsid w:val="000B6163"/>
    <w:rsid w:val="000B6EC5"/>
    <w:rsid w:val="000B7482"/>
    <w:rsid w:val="000C2C6A"/>
    <w:rsid w:val="000C3226"/>
    <w:rsid w:val="000C4BAC"/>
    <w:rsid w:val="000C6626"/>
    <w:rsid w:val="000C698E"/>
    <w:rsid w:val="000C6E0F"/>
    <w:rsid w:val="000C75F9"/>
    <w:rsid w:val="000C7EA6"/>
    <w:rsid w:val="000D043A"/>
    <w:rsid w:val="000D2B38"/>
    <w:rsid w:val="000D3230"/>
    <w:rsid w:val="000D7741"/>
    <w:rsid w:val="000E0BF5"/>
    <w:rsid w:val="000E38A4"/>
    <w:rsid w:val="000E3B43"/>
    <w:rsid w:val="000E494C"/>
    <w:rsid w:val="000E63E7"/>
    <w:rsid w:val="000F00B9"/>
    <w:rsid w:val="000F1928"/>
    <w:rsid w:val="000F196F"/>
    <w:rsid w:val="000F1DFE"/>
    <w:rsid w:val="000F56BD"/>
    <w:rsid w:val="000F620E"/>
    <w:rsid w:val="000F76FA"/>
    <w:rsid w:val="001007C3"/>
    <w:rsid w:val="00100FBE"/>
    <w:rsid w:val="00101276"/>
    <w:rsid w:val="00101430"/>
    <w:rsid w:val="00101B24"/>
    <w:rsid w:val="00101EC9"/>
    <w:rsid w:val="00102BAD"/>
    <w:rsid w:val="00104863"/>
    <w:rsid w:val="00105BBD"/>
    <w:rsid w:val="00106ED6"/>
    <w:rsid w:val="001079D6"/>
    <w:rsid w:val="0011103A"/>
    <w:rsid w:val="00112244"/>
    <w:rsid w:val="00117366"/>
    <w:rsid w:val="00117AEF"/>
    <w:rsid w:val="0012033F"/>
    <w:rsid w:val="00120CA9"/>
    <w:rsid w:val="00122485"/>
    <w:rsid w:val="00126D2C"/>
    <w:rsid w:val="00126D95"/>
    <w:rsid w:val="00127732"/>
    <w:rsid w:val="00127AF7"/>
    <w:rsid w:val="00131A0C"/>
    <w:rsid w:val="00131D26"/>
    <w:rsid w:val="00132744"/>
    <w:rsid w:val="00134B51"/>
    <w:rsid w:val="00134F97"/>
    <w:rsid w:val="00136B62"/>
    <w:rsid w:val="00136DFB"/>
    <w:rsid w:val="001412A9"/>
    <w:rsid w:val="00141ED3"/>
    <w:rsid w:val="00142321"/>
    <w:rsid w:val="0014287C"/>
    <w:rsid w:val="001431C5"/>
    <w:rsid w:val="00143D75"/>
    <w:rsid w:val="0014556B"/>
    <w:rsid w:val="0015144A"/>
    <w:rsid w:val="001528D6"/>
    <w:rsid w:val="00156301"/>
    <w:rsid w:val="0015793E"/>
    <w:rsid w:val="00160E8D"/>
    <w:rsid w:val="00164A37"/>
    <w:rsid w:val="00165AD1"/>
    <w:rsid w:val="001661A2"/>
    <w:rsid w:val="00166224"/>
    <w:rsid w:val="00166971"/>
    <w:rsid w:val="001700F7"/>
    <w:rsid w:val="00170B7E"/>
    <w:rsid w:val="00172A27"/>
    <w:rsid w:val="00173B14"/>
    <w:rsid w:val="0017494D"/>
    <w:rsid w:val="001750BA"/>
    <w:rsid w:val="00175DA3"/>
    <w:rsid w:val="0017600C"/>
    <w:rsid w:val="001763AC"/>
    <w:rsid w:val="00177BD0"/>
    <w:rsid w:val="001825B3"/>
    <w:rsid w:val="00183680"/>
    <w:rsid w:val="00184893"/>
    <w:rsid w:val="00186684"/>
    <w:rsid w:val="0019096A"/>
    <w:rsid w:val="00190FD1"/>
    <w:rsid w:val="001922B3"/>
    <w:rsid w:val="00192EB0"/>
    <w:rsid w:val="001938A1"/>
    <w:rsid w:val="0019492A"/>
    <w:rsid w:val="00197F6B"/>
    <w:rsid w:val="001A23C6"/>
    <w:rsid w:val="001A2C37"/>
    <w:rsid w:val="001A3843"/>
    <w:rsid w:val="001A6D96"/>
    <w:rsid w:val="001A7772"/>
    <w:rsid w:val="001A7C8B"/>
    <w:rsid w:val="001B4161"/>
    <w:rsid w:val="001B7028"/>
    <w:rsid w:val="001B708D"/>
    <w:rsid w:val="001C2517"/>
    <w:rsid w:val="001C422D"/>
    <w:rsid w:val="001C43F2"/>
    <w:rsid w:val="001C574D"/>
    <w:rsid w:val="001C5D56"/>
    <w:rsid w:val="001C75F2"/>
    <w:rsid w:val="001D17EB"/>
    <w:rsid w:val="001D3E8E"/>
    <w:rsid w:val="001D4C40"/>
    <w:rsid w:val="001D57AA"/>
    <w:rsid w:val="001D5AEC"/>
    <w:rsid w:val="001D62B2"/>
    <w:rsid w:val="001E0CBD"/>
    <w:rsid w:val="001E2FB2"/>
    <w:rsid w:val="001E315D"/>
    <w:rsid w:val="001E4214"/>
    <w:rsid w:val="001E4379"/>
    <w:rsid w:val="001E4614"/>
    <w:rsid w:val="001E5213"/>
    <w:rsid w:val="001E61E5"/>
    <w:rsid w:val="001E7811"/>
    <w:rsid w:val="001E788A"/>
    <w:rsid w:val="001F0320"/>
    <w:rsid w:val="001F1953"/>
    <w:rsid w:val="001F2111"/>
    <w:rsid w:val="001F6BCE"/>
    <w:rsid w:val="001F6D35"/>
    <w:rsid w:val="001F7765"/>
    <w:rsid w:val="00201286"/>
    <w:rsid w:val="0020273E"/>
    <w:rsid w:val="00204057"/>
    <w:rsid w:val="00204981"/>
    <w:rsid w:val="002057BE"/>
    <w:rsid w:val="00206F6D"/>
    <w:rsid w:val="00210FFC"/>
    <w:rsid w:val="00211E89"/>
    <w:rsid w:val="0021296B"/>
    <w:rsid w:val="00212B68"/>
    <w:rsid w:val="00212FDF"/>
    <w:rsid w:val="002148A3"/>
    <w:rsid w:val="00215799"/>
    <w:rsid w:val="0021640A"/>
    <w:rsid w:val="00216545"/>
    <w:rsid w:val="00216ED5"/>
    <w:rsid w:val="00217BA1"/>
    <w:rsid w:val="0022089F"/>
    <w:rsid w:val="00220965"/>
    <w:rsid w:val="002218FF"/>
    <w:rsid w:val="00221CE6"/>
    <w:rsid w:val="00221D43"/>
    <w:rsid w:val="0022385F"/>
    <w:rsid w:val="00223D1C"/>
    <w:rsid w:val="00224625"/>
    <w:rsid w:val="00224A6A"/>
    <w:rsid w:val="00226D90"/>
    <w:rsid w:val="00227AA4"/>
    <w:rsid w:val="00230635"/>
    <w:rsid w:val="00230C31"/>
    <w:rsid w:val="0023282C"/>
    <w:rsid w:val="0023647B"/>
    <w:rsid w:val="00236C09"/>
    <w:rsid w:val="002411C4"/>
    <w:rsid w:val="00241FA2"/>
    <w:rsid w:val="00242812"/>
    <w:rsid w:val="00242D06"/>
    <w:rsid w:val="0024391E"/>
    <w:rsid w:val="00243B80"/>
    <w:rsid w:val="002463C0"/>
    <w:rsid w:val="00247C6B"/>
    <w:rsid w:val="00250E85"/>
    <w:rsid w:val="0025147C"/>
    <w:rsid w:val="00252062"/>
    <w:rsid w:val="002523BA"/>
    <w:rsid w:val="00254A64"/>
    <w:rsid w:val="002554D5"/>
    <w:rsid w:val="00260900"/>
    <w:rsid w:val="00260AAB"/>
    <w:rsid w:val="0026107A"/>
    <w:rsid w:val="00261127"/>
    <w:rsid w:val="00261F58"/>
    <w:rsid w:val="00262FA8"/>
    <w:rsid w:val="00263593"/>
    <w:rsid w:val="00271B7A"/>
    <w:rsid w:val="0027246E"/>
    <w:rsid w:val="00272FF8"/>
    <w:rsid w:val="00274013"/>
    <w:rsid w:val="002753E4"/>
    <w:rsid w:val="00275D9A"/>
    <w:rsid w:val="002760C6"/>
    <w:rsid w:val="00281687"/>
    <w:rsid w:val="002816F1"/>
    <w:rsid w:val="00281D3C"/>
    <w:rsid w:val="00281DF8"/>
    <w:rsid w:val="002824D5"/>
    <w:rsid w:val="00283DB4"/>
    <w:rsid w:val="00284AB0"/>
    <w:rsid w:val="00284FEC"/>
    <w:rsid w:val="002864DA"/>
    <w:rsid w:val="00290789"/>
    <w:rsid w:val="002916D6"/>
    <w:rsid w:val="00293418"/>
    <w:rsid w:val="00295812"/>
    <w:rsid w:val="00295AA8"/>
    <w:rsid w:val="00296135"/>
    <w:rsid w:val="00296BE4"/>
    <w:rsid w:val="002A1DF4"/>
    <w:rsid w:val="002A32BB"/>
    <w:rsid w:val="002A450D"/>
    <w:rsid w:val="002A6E7D"/>
    <w:rsid w:val="002B1988"/>
    <w:rsid w:val="002B2AEA"/>
    <w:rsid w:val="002B442E"/>
    <w:rsid w:val="002B5457"/>
    <w:rsid w:val="002B64BE"/>
    <w:rsid w:val="002B65C5"/>
    <w:rsid w:val="002C0D74"/>
    <w:rsid w:val="002C2881"/>
    <w:rsid w:val="002C293A"/>
    <w:rsid w:val="002C3465"/>
    <w:rsid w:val="002C4166"/>
    <w:rsid w:val="002C45EB"/>
    <w:rsid w:val="002C462C"/>
    <w:rsid w:val="002C47C3"/>
    <w:rsid w:val="002C7004"/>
    <w:rsid w:val="002C7039"/>
    <w:rsid w:val="002C78EA"/>
    <w:rsid w:val="002D0557"/>
    <w:rsid w:val="002D1441"/>
    <w:rsid w:val="002D1CB0"/>
    <w:rsid w:val="002D2024"/>
    <w:rsid w:val="002D21EC"/>
    <w:rsid w:val="002D285B"/>
    <w:rsid w:val="002D33D7"/>
    <w:rsid w:val="002D697C"/>
    <w:rsid w:val="002E1AA9"/>
    <w:rsid w:val="002E1E2B"/>
    <w:rsid w:val="002E6FCF"/>
    <w:rsid w:val="002E7777"/>
    <w:rsid w:val="002F0B6A"/>
    <w:rsid w:val="002F0C23"/>
    <w:rsid w:val="002F2936"/>
    <w:rsid w:val="002F36C0"/>
    <w:rsid w:val="002F3850"/>
    <w:rsid w:val="002F47D5"/>
    <w:rsid w:val="002F58A9"/>
    <w:rsid w:val="002F5C5A"/>
    <w:rsid w:val="002F6ED4"/>
    <w:rsid w:val="002F7B8E"/>
    <w:rsid w:val="0030010B"/>
    <w:rsid w:val="003001F4"/>
    <w:rsid w:val="0030352D"/>
    <w:rsid w:val="00304277"/>
    <w:rsid w:val="00304517"/>
    <w:rsid w:val="003049E8"/>
    <w:rsid w:val="00306CBC"/>
    <w:rsid w:val="00306FEC"/>
    <w:rsid w:val="003075C7"/>
    <w:rsid w:val="003111BB"/>
    <w:rsid w:val="0031179A"/>
    <w:rsid w:val="00313051"/>
    <w:rsid w:val="00317159"/>
    <w:rsid w:val="00317681"/>
    <w:rsid w:val="00320410"/>
    <w:rsid w:val="00321397"/>
    <w:rsid w:val="0032192D"/>
    <w:rsid w:val="00321A92"/>
    <w:rsid w:val="00322A88"/>
    <w:rsid w:val="00324F43"/>
    <w:rsid w:val="00326A47"/>
    <w:rsid w:val="00327587"/>
    <w:rsid w:val="0033017C"/>
    <w:rsid w:val="00331F7D"/>
    <w:rsid w:val="00333658"/>
    <w:rsid w:val="003337D2"/>
    <w:rsid w:val="00333C15"/>
    <w:rsid w:val="003340DE"/>
    <w:rsid w:val="00335CED"/>
    <w:rsid w:val="003400C2"/>
    <w:rsid w:val="003405F5"/>
    <w:rsid w:val="003406FF"/>
    <w:rsid w:val="0034108D"/>
    <w:rsid w:val="003416FC"/>
    <w:rsid w:val="00344E4E"/>
    <w:rsid w:val="00345C05"/>
    <w:rsid w:val="003467B5"/>
    <w:rsid w:val="00347957"/>
    <w:rsid w:val="00351C3E"/>
    <w:rsid w:val="00351C53"/>
    <w:rsid w:val="003538E9"/>
    <w:rsid w:val="00353C36"/>
    <w:rsid w:val="00353E9A"/>
    <w:rsid w:val="00361AD8"/>
    <w:rsid w:val="00362ECB"/>
    <w:rsid w:val="00363208"/>
    <w:rsid w:val="003647B1"/>
    <w:rsid w:val="0036572B"/>
    <w:rsid w:val="0036697B"/>
    <w:rsid w:val="0036744D"/>
    <w:rsid w:val="003703A0"/>
    <w:rsid w:val="00370491"/>
    <w:rsid w:val="003715E5"/>
    <w:rsid w:val="00375E61"/>
    <w:rsid w:val="00376F00"/>
    <w:rsid w:val="00377D71"/>
    <w:rsid w:val="003803DE"/>
    <w:rsid w:val="00381014"/>
    <w:rsid w:val="0038298D"/>
    <w:rsid w:val="00386DD7"/>
    <w:rsid w:val="0038730C"/>
    <w:rsid w:val="00387537"/>
    <w:rsid w:val="00387BD0"/>
    <w:rsid w:val="0039124B"/>
    <w:rsid w:val="003916B9"/>
    <w:rsid w:val="00391786"/>
    <w:rsid w:val="00391ABA"/>
    <w:rsid w:val="00392341"/>
    <w:rsid w:val="00394CEF"/>
    <w:rsid w:val="00395892"/>
    <w:rsid w:val="00395CCE"/>
    <w:rsid w:val="003970DB"/>
    <w:rsid w:val="003972C8"/>
    <w:rsid w:val="00397D99"/>
    <w:rsid w:val="003A2220"/>
    <w:rsid w:val="003A3B68"/>
    <w:rsid w:val="003A4DA2"/>
    <w:rsid w:val="003A56A8"/>
    <w:rsid w:val="003A5CA3"/>
    <w:rsid w:val="003A7607"/>
    <w:rsid w:val="003A799B"/>
    <w:rsid w:val="003B1877"/>
    <w:rsid w:val="003B2087"/>
    <w:rsid w:val="003B3430"/>
    <w:rsid w:val="003B3EFA"/>
    <w:rsid w:val="003B6CAE"/>
    <w:rsid w:val="003B700F"/>
    <w:rsid w:val="003C43DE"/>
    <w:rsid w:val="003C5B54"/>
    <w:rsid w:val="003D0727"/>
    <w:rsid w:val="003D1F07"/>
    <w:rsid w:val="003D32EC"/>
    <w:rsid w:val="003D5F12"/>
    <w:rsid w:val="003D618F"/>
    <w:rsid w:val="003D6C47"/>
    <w:rsid w:val="003E05A6"/>
    <w:rsid w:val="003E0973"/>
    <w:rsid w:val="003E32D3"/>
    <w:rsid w:val="003E32F2"/>
    <w:rsid w:val="003E587A"/>
    <w:rsid w:val="003E5F7B"/>
    <w:rsid w:val="003E7E0D"/>
    <w:rsid w:val="003F2549"/>
    <w:rsid w:val="003F3CCB"/>
    <w:rsid w:val="003F3FD9"/>
    <w:rsid w:val="003F6F88"/>
    <w:rsid w:val="003F753D"/>
    <w:rsid w:val="00401B7B"/>
    <w:rsid w:val="0040395A"/>
    <w:rsid w:val="00403D4E"/>
    <w:rsid w:val="0040689E"/>
    <w:rsid w:val="004101E1"/>
    <w:rsid w:val="00411727"/>
    <w:rsid w:val="00413089"/>
    <w:rsid w:val="0041437A"/>
    <w:rsid w:val="00414854"/>
    <w:rsid w:val="004152C6"/>
    <w:rsid w:val="00415353"/>
    <w:rsid w:val="00415926"/>
    <w:rsid w:val="0041752F"/>
    <w:rsid w:val="00420067"/>
    <w:rsid w:val="004209C4"/>
    <w:rsid w:val="004255FE"/>
    <w:rsid w:val="00431695"/>
    <w:rsid w:val="00431AB2"/>
    <w:rsid w:val="004327BD"/>
    <w:rsid w:val="00432B56"/>
    <w:rsid w:val="00434DB3"/>
    <w:rsid w:val="004365B9"/>
    <w:rsid w:val="0043693F"/>
    <w:rsid w:val="004378FB"/>
    <w:rsid w:val="004408A8"/>
    <w:rsid w:val="00442A8A"/>
    <w:rsid w:val="004435A5"/>
    <w:rsid w:val="00444B95"/>
    <w:rsid w:val="00450D26"/>
    <w:rsid w:val="004510A7"/>
    <w:rsid w:val="00452929"/>
    <w:rsid w:val="0045342B"/>
    <w:rsid w:val="0045356C"/>
    <w:rsid w:val="00453C11"/>
    <w:rsid w:val="00453CAE"/>
    <w:rsid w:val="00455713"/>
    <w:rsid w:val="0045630B"/>
    <w:rsid w:val="004577BB"/>
    <w:rsid w:val="00457BDF"/>
    <w:rsid w:val="00462CB0"/>
    <w:rsid w:val="0046503F"/>
    <w:rsid w:val="00465072"/>
    <w:rsid w:val="0046644C"/>
    <w:rsid w:val="00470770"/>
    <w:rsid w:val="00470838"/>
    <w:rsid w:val="0047222E"/>
    <w:rsid w:val="004728D5"/>
    <w:rsid w:val="00473EA3"/>
    <w:rsid w:val="00475117"/>
    <w:rsid w:val="00480445"/>
    <w:rsid w:val="00481890"/>
    <w:rsid w:val="00482398"/>
    <w:rsid w:val="00482FC0"/>
    <w:rsid w:val="0048357F"/>
    <w:rsid w:val="00483CEF"/>
    <w:rsid w:val="00483D8E"/>
    <w:rsid w:val="00484862"/>
    <w:rsid w:val="00485282"/>
    <w:rsid w:val="004867EE"/>
    <w:rsid w:val="00487943"/>
    <w:rsid w:val="00487E05"/>
    <w:rsid w:val="00490021"/>
    <w:rsid w:val="0049331E"/>
    <w:rsid w:val="0049371A"/>
    <w:rsid w:val="00493AA8"/>
    <w:rsid w:val="00494948"/>
    <w:rsid w:val="004957CC"/>
    <w:rsid w:val="00496030"/>
    <w:rsid w:val="00496631"/>
    <w:rsid w:val="004A188A"/>
    <w:rsid w:val="004A2B1A"/>
    <w:rsid w:val="004A3EC6"/>
    <w:rsid w:val="004A508C"/>
    <w:rsid w:val="004A589F"/>
    <w:rsid w:val="004A63D8"/>
    <w:rsid w:val="004B0447"/>
    <w:rsid w:val="004B15DE"/>
    <w:rsid w:val="004B356E"/>
    <w:rsid w:val="004B3A15"/>
    <w:rsid w:val="004B5177"/>
    <w:rsid w:val="004B543E"/>
    <w:rsid w:val="004B6FE6"/>
    <w:rsid w:val="004C0111"/>
    <w:rsid w:val="004C05F5"/>
    <w:rsid w:val="004C2184"/>
    <w:rsid w:val="004C34AE"/>
    <w:rsid w:val="004C6366"/>
    <w:rsid w:val="004C6BBB"/>
    <w:rsid w:val="004C746A"/>
    <w:rsid w:val="004D2888"/>
    <w:rsid w:val="004D4767"/>
    <w:rsid w:val="004D77BD"/>
    <w:rsid w:val="004D7A62"/>
    <w:rsid w:val="004D7FC5"/>
    <w:rsid w:val="004E0B41"/>
    <w:rsid w:val="004E1A4E"/>
    <w:rsid w:val="004E1C82"/>
    <w:rsid w:val="004E222C"/>
    <w:rsid w:val="004E2EE1"/>
    <w:rsid w:val="004E4CE1"/>
    <w:rsid w:val="004E62AF"/>
    <w:rsid w:val="004F10A2"/>
    <w:rsid w:val="004F14A5"/>
    <w:rsid w:val="004F1C58"/>
    <w:rsid w:val="004F3C40"/>
    <w:rsid w:val="004F47FE"/>
    <w:rsid w:val="004F4F3D"/>
    <w:rsid w:val="004F531F"/>
    <w:rsid w:val="004F55BB"/>
    <w:rsid w:val="004F6AE1"/>
    <w:rsid w:val="004F75AB"/>
    <w:rsid w:val="0050172F"/>
    <w:rsid w:val="00501EC7"/>
    <w:rsid w:val="0050302D"/>
    <w:rsid w:val="0050311B"/>
    <w:rsid w:val="005051F4"/>
    <w:rsid w:val="0050759B"/>
    <w:rsid w:val="00507DF8"/>
    <w:rsid w:val="005101B9"/>
    <w:rsid w:val="0051117F"/>
    <w:rsid w:val="0051172B"/>
    <w:rsid w:val="00511A76"/>
    <w:rsid w:val="0051387C"/>
    <w:rsid w:val="00515C80"/>
    <w:rsid w:val="00520EC5"/>
    <w:rsid w:val="00520F9D"/>
    <w:rsid w:val="0052199F"/>
    <w:rsid w:val="005223B0"/>
    <w:rsid w:val="00526E09"/>
    <w:rsid w:val="0053215A"/>
    <w:rsid w:val="005337BC"/>
    <w:rsid w:val="00534421"/>
    <w:rsid w:val="005350AA"/>
    <w:rsid w:val="00535C37"/>
    <w:rsid w:val="0053667F"/>
    <w:rsid w:val="00537448"/>
    <w:rsid w:val="0053747F"/>
    <w:rsid w:val="0054047D"/>
    <w:rsid w:val="0054092C"/>
    <w:rsid w:val="00544AF3"/>
    <w:rsid w:val="00546582"/>
    <w:rsid w:val="00547D05"/>
    <w:rsid w:val="00547D25"/>
    <w:rsid w:val="00551B1F"/>
    <w:rsid w:val="00552D60"/>
    <w:rsid w:val="00553937"/>
    <w:rsid w:val="00553A4C"/>
    <w:rsid w:val="005548A6"/>
    <w:rsid w:val="005556B8"/>
    <w:rsid w:val="00555CA6"/>
    <w:rsid w:val="00555E14"/>
    <w:rsid w:val="005567FE"/>
    <w:rsid w:val="00556DE0"/>
    <w:rsid w:val="00556E58"/>
    <w:rsid w:val="005626E9"/>
    <w:rsid w:val="0056341F"/>
    <w:rsid w:val="00564D56"/>
    <w:rsid w:val="00566E01"/>
    <w:rsid w:val="005670E5"/>
    <w:rsid w:val="00567310"/>
    <w:rsid w:val="0057105E"/>
    <w:rsid w:val="00573B64"/>
    <w:rsid w:val="00574CBD"/>
    <w:rsid w:val="0057549A"/>
    <w:rsid w:val="00576F99"/>
    <w:rsid w:val="00577EC6"/>
    <w:rsid w:val="00577F33"/>
    <w:rsid w:val="00580162"/>
    <w:rsid w:val="00582F62"/>
    <w:rsid w:val="00583361"/>
    <w:rsid w:val="00583A06"/>
    <w:rsid w:val="005854C7"/>
    <w:rsid w:val="00586056"/>
    <w:rsid w:val="00587002"/>
    <w:rsid w:val="005875A0"/>
    <w:rsid w:val="0059017D"/>
    <w:rsid w:val="0059098B"/>
    <w:rsid w:val="00591409"/>
    <w:rsid w:val="00592446"/>
    <w:rsid w:val="005944AE"/>
    <w:rsid w:val="00596CED"/>
    <w:rsid w:val="005972AD"/>
    <w:rsid w:val="00597620"/>
    <w:rsid w:val="0059776E"/>
    <w:rsid w:val="005A0D1D"/>
    <w:rsid w:val="005A2B50"/>
    <w:rsid w:val="005A428C"/>
    <w:rsid w:val="005A4AF5"/>
    <w:rsid w:val="005A51EA"/>
    <w:rsid w:val="005A6275"/>
    <w:rsid w:val="005A6804"/>
    <w:rsid w:val="005A691B"/>
    <w:rsid w:val="005A7E94"/>
    <w:rsid w:val="005B2388"/>
    <w:rsid w:val="005B32C8"/>
    <w:rsid w:val="005B6776"/>
    <w:rsid w:val="005B6864"/>
    <w:rsid w:val="005C07D4"/>
    <w:rsid w:val="005C0A4B"/>
    <w:rsid w:val="005C5880"/>
    <w:rsid w:val="005C5ED7"/>
    <w:rsid w:val="005C662C"/>
    <w:rsid w:val="005C734D"/>
    <w:rsid w:val="005C7F62"/>
    <w:rsid w:val="005D211D"/>
    <w:rsid w:val="005D4150"/>
    <w:rsid w:val="005D418A"/>
    <w:rsid w:val="005D6320"/>
    <w:rsid w:val="005E1576"/>
    <w:rsid w:val="005E2682"/>
    <w:rsid w:val="005E2BB0"/>
    <w:rsid w:val="005E4044"/>
    <w:rsid w:val="005E47F3"/>
    <w:rsid w:val="005E5108"/>
    <w:rsid w:val="005E5C77"/>
    <w:rsid w:val="005E6457"/>
    <w:rsid w:val="005E6EAF"/>
    <w:rsid w:val="005F0A8D"/>
    <w:rsid w:val="005F14A1"/>
    <w:rsid w:val="005F282C"/>
    <w:rsid w:val="005F28D5"/>
    <w:rsid w:val="005F2B7A"/>
    <w:rsid w:val="005F2C8E"/>
    <w:rsid w:val="005F4235"/>
    <w:rsid w:val="005F43E9"/>
    <w:rsid w:val="005F46D2"/>
    <w:rsid w:val="006050AB"/>
    <w:rsid w:val="00605377"/>
    <w:rsid w:val="006059B6"/>
    <w:rsid w:val="00606A5B"/>
    <w:rsid w:val="0061000B"/>
    <w:rsid w:val="00610A22"/>
    <w:rsid w:val="006122E3"/>
    <w:rsid w:val="00613F22"/>
    <w:rsid w:val="0061647C"/>
    <w:rsid w:val="006175D8"/>
    <w:rsid w:val="0062167C"/>
    <w:rsid w:val="00622C7B"/>
    <w:rsid w:val="006256B9"/>
    <w:rsid w:val="00627ACF"/>
    <w:rsid w:val="00627B0D"/>
    <w:rsid w:val="00630E0C"/>
    <w:rsid w:val="00631C04"/>
    <w:rsid w:val="00633EB8"/>
    <w:rsid w:val="006346C3"/>
    <w:rsid w:val="00634BFA"/>
    <w:rsid w:val="00634EA3"/>
    <w:rsid w:val="00636502"/>
    <w:rsid w:val="006367FF"/>
    <w:rsid w:val="00640014"/>
    <w:rsid w:val="006420F0"/>
    <w:rsid w:val="006422A5"/>
    <w:rsid w:val="00642D98"/>
    <w:rsid w:val="0064344F"/>
    <w:rsid w:val="006463DF"/>
    <w:rsid w:val="006529F5"/>
    <w:rsid w:val="00656F26"/>
    <w:rsid w:val="006601BE"/>
    <w:rsid w:val="0066314F"/>
    <w:rsid w:val="0066359E"/>
    <w:rsid w:val="00664D03"/>
    <w:rsid w:val="006664C8"/>
    <w:rsid w:val="006664DE"/>
    <w:rsid w:val="006676ED"/>
    <w:rsid w:val="00672B93"/>
    <w:rsid w:val="006743B1"/>
    <w:rsid w:val="00675158"/>
    <w:rsid w:val="00675212"/>
    <w:rsid w:val="0068005B"/>
    <w:rsid w:val="006817B9"/>
    <w:rsid w:val="00683C82"/>
    <w:rsid w:val="00684D07"/>
    <w:rsid w:val="00685358"/>
    <w:rsid w:val="0068723D"/>
    <w:rsid w:val="00690F82"/>
    <w:rsid w:val="006919C8"/>
    <w:rsid w:val="00692C60"/>
    <w:rsid w:val="006936F0"/>
    <w:rsid w:val="006965D3"/>
    <w:rsid w:val="006A0F48"/>
    <w:rsid w:val="006A1B43"/>
    <w:rsid w:val="006A2504"/>
    <w:rsid w:val="006A294E"/>
    <w:rsid w:val="006A443F"/>
    <w:rsid w:val="006A4EF0"/>
    <w:rsid w:val="006A5292"/>
    <w:rsid w:val="006A56CE"/>
    <w:rsid w:val="006A59B2"/>
    <w:rsid w:val="006A6C94"/>
    <w:rsid w:val="006A7396"/>
    <w:rsid w:val="006B1F07"/>
    <w:rsid w:val="006B4133"/>
    <w:rsid w:val="006B4341"/>
    <w:rsid w:val="006B46AC"/>
    <w:rsid w:val="006B56C6"/>
    <w:rsid w:val="006B688C"/>
    <w:rsid w:val="006B6D18"/>
    <w:rsid w:val="006C0E20"/>
    <w:rsid w:val="006C0E33"/>
    <w:rsid w:val="006C0F1F"/>
    <w:rsid w:val="006C4F14"/>
    <w:rsid w:val="006D1D68"/>
    <w:rsid w:val="006D2190"/>
    <w:rsid w:val="006E0691"/>
    <w:rsid w:val="006E1823"/>
    <w:rsid w:val="006E60FD"/>
    <w:rsid w:val="006E62A9"/>
    <w:rsid w:val="006F241B"/>
    <w:rsid w:val="006F3E2F"/>
    <w:rsid w:val="006F4045"/>
    <w:rsid w:val="006F5B44"/>
    <w:rsid w:val="006F5BDC"/>
    <w:rsid w:val="006F67A2"/>
    <w:rsid w:val="0070030E"/>
    <w:rsid w:val="00702A3A"/>
    <w:rsid w:val="00702CDB"/>
    <w:rsid w:val="00703A59"/>
    <w:rsid w:val="00703DFD"/>
    <w:rsid w:val="00704BB3"/>
    <w:rsid w:val="00704CE5"/>
    <w:rsid w:val="00704E82"/>
    <w:rsid w:val="00706539"/>
    <w:rsid w:val="00706669"/>
    <w:rsid w:val="00706EB4"/>
    <w:rsid w:val="007106F1"/>
    <w:rsid w:val="00712287"/>
    <w:rsid w:val="007123BA"/>
    <w:rsid w:val="00712A4C"/>
    <w:rsid w:val="00712FC9"/>
    <w:rsid w:val="007134A8"/>
    <w:rsid w:val="0071541A"/>
    <w:rsid w:val="00717AF0"/>
    <w:rsid w:val="00720E8B"/>
    <w:rsid w:val="00721379"/>
    <w:rsid w:val="007217CC"/>
    <w:rsid w:val="007245A5"/>
    <w:rsid w:val="00724B26"/>
    <w:rsid w:val="00725494"/>
    <w:rsid w:val="00730370"/>
    <w:rsid w:val="00731412"/>
    <w:rsid w:val="007346A1"/>
    <w:rsid w:val="00734928"/>
    <w:rsid w:val="007362CD"/>
    <w:rsid w:val="00736FF8"/>
    <w:rsid w:val="007373F6"/>
    <w:rsid w:val="007375FC"/>
    <w:rsid w:val="007424A7"/>
    <w:rsid w:val="007436B0"/>
    <w:rsid w:val="00743E6C"/>
    <w:rsid w:val="00746583"/>
    <w:rsid w:val="0075121D"/>
    <w:rsid w:val="007523DA"/>
    <w:rsid w:val="007537AB"/>
    <w:rsid w:val="007569EC"/>
    <w:rsid w:val="0076213E"/>
    <w:rsid w:val="0076317A"/>
    <w:rsid w:val="00763AB7"/>
    <w:rsid w:val="00764444"/>
    <w:rsid w:val="00765140"/>
    <w:rsid w:val="0076585A"/>
    <w:rsid w:val="00770479"/>
    <w:rsid w:val="007715E1"/>
    <w:rsid w:val="00772FDB"/>
    <w:rsid w:val="007730FA"/>
    <w:rsid w:val="00773929"/>
    <w:rsid w:val="00773F56"/>
    <w:rsid w:val="007748CE"/>
    <w:rsid w:val="00774BF4"/>
    <w:rsid w:val="0077659B"/>
    <w:rsid w:val="00777F44"/>
    <w:rsid w:val="00783384"/>
    <w:rsid w:val="00784361"/>
    <w:rsid w:val="00785367"/>
    <w:rsid w:val="00786B2B"/>
    <w:rsid w:val="007870EA"/>
    <w:rsid w:val="0078759E"/>
    <w:rsid w:val="00790B29"/>
    <w:rsid w:val="00792098"/>
    <w:rsid w:val="0079381F"/>
    <w:rsid w:val="007946B2"/>
    <w:rsid w:val="0079506A"/>
    <w:rsid w:val="00795176"/>
    <w:rsid w:val="00796A6C"/>
    <w:rsid w:val="007A02A7"/>
    <w:rsid w:val="007A26B6"/>
    <w:rsid w:val="007A3190"/>
    <w:rsid w:val="007A57C9"/>
    <w:rsid w:val="007A5F44"/>
    <w:rsid w:val="007A7574"/>
    <w:rsid w:val="007A79DB"/>
    <w:rsid w:val="007A7F20"/>
    <w:rsid w:val="007B3167"/>
    <w:rsid w:val="007B373F"/>
    <w:rsid w:val="007B4E99"/>
    <w:rsid w:val="007B6744"/>
    <w:rsid w:val="007B72F9"/>
    <w:rsid w:val="007C1203"/>
    <w:rsid w:val="007C285A"/>
    <w:rsid w:val="007C480E"/>
    <w:rsid w:val="007C48C3"/>
    <w:rsid w:val="007C4C93"/>
    <w:rsid w:val="007C7ADD"/>
    <w:rsid w:val="007C7EF5"/>
    <w:rsid w:val="007D022C"/>
    <w:rsid w:val="007D0FEC"/>
    <w:rsid w:val="007D36D4"/>
    <w:rsid w:val="007D3E99"/>
    <w:rsid w:val="007D499B"/>
    <w:rsid w:val="007D5F3E"/>
    <w:rsid w:val="007D6913"/>
    <w:rsid w:val="007D69B7"/>
    <w:rsid w:val="007E0DCD"/>
    <w:rsid w:val="007E1486"/>
    <w:rsid w:val="007E215E"/>
    <w:rsid w:val="007E366C"/>
    <w:rsid w:val="007E3C18"/>
    <w:rsid w:val="007E4A03"/>
    <w:rsid w:val="007E4A39"/>
    <w:rsid w:val="007E5AD7"/>
    <w:rsid w:val="007E5D5A"/>
    <w:rsid w:val="007E636C"/>
    <w:rsid w:val="007E7347"/>
    <w:rsid w:val="007F0E20"/>
    <w:rsid w:val="007F1A2A"/>
    <w:rsid w:val="007F2AE5"/>
    <w:rsid w:val="007F4668"/>
    <w:rsid w:val="007F5A43"/>
    <w:rsid w:val="007F738A"/>
    <w:rsid w:val="00801A5F"/>
    <w:rsid w:val="00804D4C"/>
    <w:rsid w:val="0080610F"/>
    <w:rsid w:val="0080725E"/>
    <w:rsid w:val="0081068A"/>
    <w:rsid w:val="0081338E"/>
    <w:rsid w:val="008134F0"/>
    <w:rsid w:val="00814EFC"/>
    <w:rsid w:val="00817661"/>
    <w:rsid w:val="008206FE"/>
    <w:rsid w:val="00822002"/>
    <w:rsid w:val="00822968"/>
    <w:rsid w:val="00822DD6"/>
    <w:rsid w:val="008238B5"/>
    <w:rsid w:val="008276F5"/>
    <w:rsid w:val="00827CDC"/>
    <w:rsid w:val="0083329A"/>
    <w:rsid w:val="00834F0D"/>
    <w:rsid w:val="00834F5A"/>
    <w:rsid w:val="00836509"/>
    <w:rsid w:val="00840ADF"/>
    <w:rsid w:val="008413C8"/>
    <w:rsid w:val="0084170F"/>
    <w:rsid w:val="008446B4"/>
    <w:rsid w:val="00844E49"/>
    <w:rsid w:val="00847B9C"/>
    <w:rsid w:val="00850C55"/>
    <w:rsid w:val="00851499"/>
    <w:rsid w:val="00851537"/>
    <w:rsid w:val="00851E09"/>
    <w:rsid w:val="00852057"/>
    <w:rsid w:val="00852929"/>
    <w:rsid w:val="00853476"/>
    <w:rsid w:val="0085497D"/>
    <w:rsid w:val="00856951"/>
    <w:rsid w:val="00856E6E"/>
    <w:rsid w:val="0086037D"/>
    <w:rsid w:val="00860F9D"/>
    <w:rsid w:val="00861095"/>
    <w:rsid w:val="0086649F"/>
    <w:rsid w:val="00867B12"/>
    <w:rsid w:val="00867CDF"/>
    <w:rsid w:val="0087132D"/>
    <w:rsid w:val="00871999"/>
    <w:rsid w:val="00872F52"/>
    <w:rsid w:val="00873708"/>
    <w:rsid w:val="00873986"/>
    <w:rsid w:val="008770AC"/>
    <w:rsid w:val="00882525"/>
    <w:rsid w:val="00882DF7"/>
    <w:rsid w:val="00884E6B"/>
    <w:rsid w:val="00890AFB"/>
    <w:rsid w:val="00890E74"/>
    <w:rsid w:val="0089197E"/>
    <w:rsid w:val="00893CF8"/>
    <w:rsid w:val="00893F45"/>
    <w:rsid w:val="0089552B"/>
    <w:rsid w:val="008957B8"/>
    <w:rsid w:val="00895A3E"/>
    <w:rsid w:val="008967D1"/>
    <w:rsid w:val="008A0CF7"/>
    <w:rsid w:val="008A12F9"/>
    <w:rsid w:val="008A3C69"/>
    <w:rsid w:val="008A6C79"/>
    <w:rsid w:val="008A70C3"/>
    <w:rsid w:val="008A7BFF"/>
    <w:rsid w:val="008B07CC"/>
    <w:rsid w:val="008B3FD5"/>
    <w:rsid w:val="008B49E4"/>
    <w:rsid w:val="008B6242"/>
    <w:rsid w:val="008B6FDA"/>
    <w:rsid w:val="008C0F69"/>
    <w:rsid w:val="008C1925"/>
    <w:rsid w:val="008C1F48"/>
    <w:rsid w:val="008C269A"/>
    <w:rsid w:val="008C5085"/>
    <w:rsid w:val="008C56F7"/>
    <w:rsid w:val="008C6C8A"/>
    <w:rsid w:val="008C7A2A"/>
    <w:rsid w:val="008C7EFC"/>
    <w:rsid w:val="008D1015"/>
    <w:rsid w:val="008D10DA"/>
    <w:rsid w:val="008D1984"/>
    <w:rsid w:val="008D2C1E"/>
    <w:rsid w:val="008D430C"/>
    <w:rsid w:val="008D44A7"/>
    <w:rsid w:val="008D5D55"/>
    <w:rsid w:val="008D600C"/>
    <w:rsid w:val="008E1CFD"/>
    <w:rsid w:val="008E22BD"/>
    <w:rsid w:val="008E2B64"/>
    <w:rsid w:val="008E3399"/>
    <w:rsid w:val="008E3545"/>
    <w:rsid w:val="008E52DE"/>
    <w:rsid w:val="008E5C31"/>
    <w:rsid w:val="008F02E6"/>
    <w:rsid w:val="008F242F"/>
    <w:rsid w:val="008F2782"/>
    <w:rsid w:val="008F31DA"/>
    <w:rsid w:val="008F3F85"/>
    <w:rsid w:val="008F75FE"/>
    <w:rsid w:val="008F7FCA"/>
    <w:rsid w:val="00900790"/>
    <w:rsid w:val="00901830"/>
    <w:rsid w:val="00901BE0"/>
    <w:rsid w:val="00901FEF"/>
    <w:rsid w:val="009035E5"/>
    <w:rsid w:val="00903614"/>
    <w:rsid w:val="00903D9C"/>
    <w:rsid w:val="0090590F"/>
    <w:rsid w:val="00906E3E"/>
    <w:rsid w:val="00907AF2"/>
    <w:rsid w:val="00907B5C"/>
    <w:rsid w:val="00911258"/>
    <w:rsid w:val="00912E83"/>
    <w:rsid w:val="009139C1"/>
    <w:rsid w:val="009140B1"/>
    <w:rsid w:val="0091514D"/>
    <w:rsid w:val="00915706"/>
    <w:rsid w:val="00916C5C"/>
    <w:rsid w:val="00917825"/>
    <w:rsid w:val="00920B91"/>
    <w:rsid w:val="00927290"/>
    <w:rsid w:val="009272A6"/>
    <w:rsid w:val="0093090F"/>
    <w:rsid w:val="009315BF"/>
    <w:rsid w:val="00931F43"/>
    <w:rsid w:val="00933BBE"/>
    <w:rsid w:val="0093502A"/>
    <w:rsid w:val="00937BA3"/>
    <w:rsid w:val="00940BC8"/>
    <w:rsid w:val="00940FA8"/>
    <w:rsid w:val="009415E3"/>
    <w:rsid w:val="00942CE5"/>
    <w:rsid w:val="00943CC2"/>
    <w:rsid w:val="009448AB"/>
    <w:rsid w:val="009459B9"/>
    <w:rsid w:val="00950F2F"/>
    <w:rsid w:val="009515D2"/>
    <w:rsid w:val="00951F04"/>
    <w:rsid w:val="00953B40"/>
    <w:rsid w:val="00954F55"/>
    <w:rsid w:val="0095581C"/>
    <w:rsid w:val="00955C81"/>
    <w:rsid w:val="0095796E"/>
    <w:rsid w:val="009601A7"/>
    <w:rsid w:val="0096093A"/>
    <w:rsid w:val="00961F04"/>
    <w:rsid w:val="009622C7"/>
    <w:rsid w:val="00962645"/>
    <w:rsid w:val="00964009"/>
    <w:rsid w:val="009646D6"/>
    <w:rsid w:val="00964D18"/>
    <w:rsid w:val="00965382"/>
    <w:rsid w:val="00973A6A"/>
    <w:rsid w:val="00973DEE"/>
    <w:rsid w:val="00974BB2"/>
    <w:rsid w:val="00975454"/>
    <w:rsid w:val="00975E14"/>
    <w:rsid w:val="0098208C"/>
    <w:rsid w:val="00982BD4"/>
    <w:rsid w:val="009835BA"/>
    <w:rsid w:val="009843A9"/>
    <w:rsid w:val="00990942"/>
    <w:rsid w:val="00992AE7"/>
    <w:rsid w:val="00994576"/>
    <w:rsid w:val="00995104"/>
    <w:rsid w:val="00995BFD"/>
    <w:rsid w:val="00997BFF"/>
    <w:rsid w:val="009A14D4"/>
    <w:rsid w:val="009A2AC4"/>
    <w:rsid w:val="009A313D"/>
    <w:rsid w:val="009A355B"/>
    <w:rsid w:val="009A411E"/>
    <w:rsid w:val="009A4B37"/>
    <w:rsid w:val="009A6554"/>
    <w:rsid w:val="009A69B4"/>
    <w:rsid w:val="009B182B"/>
    <w:rsid w:val="009B21B0"/>
    <w:rsid w:val="009B3499"/>
    <w:rsid w:val="009B3554"/>
    <w:rsid w:val="009B6453"/>
    <w:rsid w:val="009B6906"/>
    <w:rsid w:val="009C2FDE"/>
    <w:rsid w:val="009C3C1A"/>
    <w:rsid w:val="009C3D42"/>
    <w:rsid w:val="009C61DA"/>
    <w:rsid w:val="009D09C5"/>
    <w:rsid w:val="009D6175"/>
    <w:rsid w:val="009D7C76"/>
    <w:rsid w:val="009E0D67"/>
    <w:rsid w:val="009E11C9"/>
    <w:rsid w:val="009E3711"/>
    <w:rsid w:val="009E455E"/>
    <w:rsid w:val="009E56A0"/>
    <w:rsid w:val="009E5C5A"/>
    <w:rsid w:val="009E6F91"/>
    <w:rsid w:val="009E723A"/>
    <w:rsid w:val="009F1050"/>
    <w:rsid w:val="009F4F02"/>
    <w:rsid w:val="009F5930"/>
    <w:rsid w:val="009F6CBA"/>
    <w:rsid w:val="009F730C"/>
    <w:rsid w:val="00A000CB"/>
    <w:rsid w:val="00A02A88"/>
    <w:rsid w:val="00A02E56"/>
    <w:rsid w:val="00A0303A"/>
    <w:rsid w:val="00A03372"/>
    <w:rsid w:val="00A03D68"/>
    <w:rsid w:val="00A03E8F"/>
    <w:rsid w:val="00A06888"/>
    <w:rsid w:val="00A06DD0"/>
    <w:rsid w:val="00A06E33"/>
    <w:rsid w:val="00A07F31"/>
    <w:rsid w:val="00A10FCE"/>
    <w:rsid w:val="00A11235"/>
    <w:rsid w:val="00A12607"/>
    <w:rsid w:val="00A12A3B"/>
    <w:rsid w:val="00A13E41"/>
    <w:rsid w:val="00A14600"/>
    <w:rsid w:val="00A17E1B"/>
    <w:rsid w:val="00A2136C"/>
    <w:rsid w:val="00A21F6C"/>
    <w:rsid w:val="00A223FD"/>
    <w:rsid w:val="00A22C02"/>
    <w:rsid w:val="00A23960"/>
    <w:rsid w:val="00A23BF1"/>
    <w:rsid w:val="00A26788"/>
    <w:rsid w:val="00A267B8"/>
    <w:rsid w:val="00A3016D"/>
    <w:rsid w:val="00A31129"/>
    <w:rsid w:val="00A31861"/>
    <w:rsid w:val="00A34365"/>
    <w:rsid w:val="00A34B91"/>
    <w:rsid w:val="00A34F3C"/>
    <w:rsid w:val="00A368C2"/>
    <w:rsid w:val="00A40224"/>
    <w:rsid w:val="00A40756"/>
    <w:rsid w:val="00A41B40"/>
    <w:rsid w:val="00A4447B"/>
    <w:rsid w:val="00A462E1"/>
    <w:rsid w:val="00A463F0"/>
    <w:rsid w:val="00A46B7B"/>
    <w:rsid w:val="00A51ED5"/>
    <w:rsid w:val="00A53E32"/>
    <w:rsid w:val="00A540C9"/>
    <w:rsid w:val="00A566D6"/>
    <w:rsid w:val="00A577ED"/>
    <w:rsid w:val="00A57AD2"/>
    <w:rsid w:val="00A61805"/>
    <w:rsid w:val="00A64EEE"/>
    <w:rsid w:val="00A66D8B"/>
    <w:rsid w:val="00A7189A"/>
    <w:rsid w:val="00A71C80"/>
    <w:rsid w:val="00A7239B"/>
    <w:rsid w:val="00A76628"/>
    <w:rsid w:val="00A76A35"/>
    <w:rsid w:val="00A77ABA"/>
    <w:rsid w:val="00A802E2"/>
    <w:rsid w:val="00A813CF"/>
    <w:rsid w:val="00A814CA"/>
    <w:rsid w:val="00A82828"/>
    <w:rsid w:val="00A8360B"/>
    <w:rsid w:val="00A83B62"/>
    <w:rsid w:val="00A84DFE"/>
    <w:rsid w:val="00A854A6"/>
    <w:rsid w:val="00A8562B"/>
    <w:rsid w:val="00A90495"/>
    <w:rsid w:val="00A904B0"/>
    <w:rsid w:val="00A907CE"/>
    <w:rsid w:val="00A9239A"/>
    <w:rsid w:val="00A93B22"/>
    <w:rsid w:val="00A9434F"/>
    <w:rsid w:val="00A9574D"/>
    <w:rsid w:val="00A95DC0"/>
    <w:rsid w:val="00A960AA"/>
    <w:rsid w:val="00A965C8"/>
    <w:rsid w:val="00A969C8"/>
    <w:rsid w:val="00A97FAB"/>
    <w:rsid w:val="00AA076C"/>
    <w:rsid w:val="00AA1CA9"/>
    <w:rsid w:val="00AA1DAC"/>
    <w:rsid w:val="00AA5894"/>
    <w:rsid w:val="00AA5CDC"/>
    <w:rsid w:val="00AA71AD"/>
    <w:rsid w:val="00AA75D3"/>
    <w:rsid w:val="00AB0280"/>
    <w:rsid w:val="00AB24AB"/>
    <w:rsid w:val="00AB27D6"/>
    <w:rsid w:val="00AB3416"/>
    <w:rsid w:val="00AB6720"/>
    <w:rsid w:val="00AB68B5"/>
    <w:rsid w:val="00AB7919"/>
    <w:rsid w:val="00AB7A8E"/>
    <w:rsid w:val="00AC1B01"/>
    <w:rsid w:val="00AC2E75"/>
    <w:rsid w:val="00AC34B5"/>
    <w:rsid w:val="00AC34FD"/>
    <w:rsid w:val="00AC42C1"/>
    <w:rsid w:val="00AC45CE"/>
    <w:rsid w:val="00AC611D"/>
    <w:rsid w:val="00AC62C4"/>
    <w:rsid w:val="00AC69F7"/>
    <w:rsid w:val="00AC6EBB"/>
    <w:rsid w:val="00AD1429"/>
    <w:rsid w:val="00AD1518"/>
    <w:rsid w:val="00AD1F21"/>
    <w:rsid w:val="00AD28D8"/>
    <w:rsid w:val="00AE1599"/>
    <w:rsid w:val="00AE4A36"/>
    <w:rsid w:val="00AE57CD"/>
    <w:rsid w:val="00AE63AE"/>
    <w:rsid w:val="00AE726A"/>
    <w:rsid w:val="00AE7884"/>
    <w:rsid w:val="00AE7B39"/>
    <w:rsid w:val="00AE7EA8"/>
    <w:rsid w:val="00AF0670"/>
    <w:rsid w:val="00AF1A6E"/>
    <w:rsid w:val="00AF2DBF"/>
    <w:rsid w:val="00AF3E9B"/>
    <w:rsid w:val="00AF4160"/>
    <w:rsid w:val="00AF6033"/>
    <w:rsid w:val="00AF67C2"/>
    <w:rsid w:val="00AF736C"/>
    <w:rsid w:val="00B002E7"/>
    <w:rsid w:val="00B00A89"/>
    <w:rsid w:val="00B0237C"/>
    <w:rsid w:val="00B029CD"/>
    <w:rsid w:val="00B02B14"/>
    <w:rsid w:val="00B039A7"/>
    <w:rsid w:val="00B078E6"/>
    <w:rsid w:val="00B101F6"/>
    <w:rsid w:val="00B1054A"/>
    <w:rsid w:val="00B134A0"/>
    <w:rsid w:val="00B13879"/>
    <w:rsid w:val="00B13DF4"/>
    <w:rsid w:val="00B13F7A"/>
    <w:rsid w:val="00B1432F"/>
    <w:rsid w:val="00B15858"/>
    <w:rsid w:val="00B15F10"/>
    <w:rsid w:val="00B20880"/>
    <w:rsid w:val="00B22141"/>
    <w:rsid w:val="00B22A81"/>
    <w:rsid w:val="00B247EF"/>
    <w:rsid w:val="00B24A77"/>
    <w:rsid w:val="00B25A02"/>
    <w:rsid w:val="00B26FA7"/>
    <w:rsid w:val="00B27671"/>
    <w:rsid w:val="00B31F87"/>
    <w:rsid w:val="00B32BB2"/>
    <w:rsid w:val="00B35627"/>
    <w:rsid w:val="00B365C5"/>
    <w:rsid w:val="00B4069D"/>
    <w:rsid w:val="00B40A10"/>
    <w:rsid w:val="00B424A0"/>
    <w:rsid w:val="00B42550"/>
    <w:rsid w:val="00B432FC"/>
    <w:rsid w:val="00B43403"/>
    <w:rsid w:val="00B458B7"/>
    <w:rsid w:val="00B46356"/>
    <w:rsid w:val="00B4666F"/>
    <w:rsid w:val="00B46FE3"/>
    <w:rsid w:val="00B472DD"/>
    <w:rsid w:val="00B47372"/>
    <w:rsid w:val="00B47E49"/>
    <w:rsid w:val="00B50E00"/>
    <w:rsid w:val="00B525A8"/>
    <w:rsid w:val="00B52D48"/>
    <w:rsid w:val="00B535E4"/>
    <w:rsid w:val="00B54328"/>
    <w:rsid w:val="00B55C6B"/>
    <w:rsid w:val="00B55D5C"/>
    <w:rsid w:val="00B5601B"/>
    <w:rsid w:val="00B5621F"/>
    <w:rsid w:val="00B56CBE"/>
    <w:rsid w:val="00B56F59"/>
    <w:rsid w:val="00B573FC"/>
    <w:rsid w:val="00B57F23"/>
    <w:rsid w:val="00B61DF1"/>
    <w:rsid w:val="00B62EB7"/>
    <w:rsid w:val="00B63FDB"/>
    <w:rsid w:val="00B65CB4"/>
    <w:rsid w:val="00B67C37"/>
    <w:rsid w:val="00B701AC"/>
    <w:rsid w:val="00B723D8"/>
    <w:rsid w:val="00B72451"/>
    <w:rsid w:val="00B72835"/>
    <w:rsid w:val="00B72A49"/>
    <w:rsid w:val="00B74C99"/>
    <w:rsid w:val="00B752FC"/>
    <w:rsid w:val="00B756B5"/>
    <w:rsid w:val="00B75EEE"/>
    <w:rsid w:val="00B77EE7"/>
    <w:rsid w:val="00B80276"/>
    <w:rsid w:val="00B81217"/>
    <w:rsid w:val="00B8239D"/>
    <w:rsid w:val="00B82E0B"/>
    <w:rsid w:val="00B863E9"/>
    <w:rsid w:val="00B86993"/>
    <w:rsid w:val="00B90C95"/>
    <w:rsid w:val="00B91790"/>
    <w:rsid w:val="00B91B6E"/>
    <w:rsid w:val="00B941AD"/>
    <w:rsid w:val="00B9715E"/>
    <w:rsid w:val="00B97C4D"/>
    <w:rsid w:val="00BA490B"/>
    <w:rsid w:val="00BA53E5"/>
    <w:rsid w:val="00BA5E91"/>
    <w:rsid w:val="00BA6182"/>
    <w:rsid w:val="00BA64F4"/>
    <w:rsid w:val="00BA700D"/>
    <w:rsid w:val="00BA76B8"/>
    <w:rsid w:val="00BA7C8F"/>
    <w:rsid w:val="00BB1A14"/>
    <w:rsid w:val="00BB3319"/>
    <w:rsid w:val="00BB3423"/>
    <w:rsid w:val="00BB40ED"/>
    <w:rsid w:val="00BB4AFA"/>
    <w:rsid w:val="00BB532E"/>
    <w:rsid w:val="00BB6C4E"/>
    <w:rsid w:val="00BC0BE3"/>
    <w:rsid w:val="00BC1BFF"/>
    <w:rsid w:val="00BC1C1D"/>
    <w:rsid w:val="00BC3937"/>
    <w:rsid w:val="00BC3CEB"/>
    <w:rsid w:val="00BC46B5"/>
    <w:rsid w:val="00BC5F9B"/>
    <w:rsid w:val="00BD0A22"/>
    <w:rsid w:val="00BD183B"/>
    <w:rsid w:val="00BD1D38"/>
    <w:rsid w:val="00BD312F"/>
    <w:rsid w:val="00BD319E"/>
    <w:rsid w:val="00BD4E9F"/>
    <w:rsid w:val="00BD71A2"/>
    <w:rsid w:val="00BD7632"/>
    <w:rsid w:val="00BE01C4"/>
    <w:rsid w:val="00BE1A3C"/>
    <w:rsid w:val="00BE37EC"/>
    <w:rsid w:val="00BE3960"/>
    <w:rsid w:val="00BE3AD2"/>
    <w:rsid w:val="00BE41AC"/>
    <w:rsid w:val="00BE4AE4"/>
    <w:rsid w:val="00BE4EB7"/>
    <w:rsid w:val="00BE59B5"/>
    <w:rsid w:val="00BE5BE7"/>
    <w:rsid w:val="00BF03A3"/>
    <w:rsid w:val="00BF1D42"/>
    <w:rsid w:val="00BF2C5E"/>
    <w:rsid w:val="00BF305B"/>
    <w:rsid w:val="00BF3323"/>
    <w:rsid w:val="00BF35CE"/>
    <w:rsid w:val="00BF4DFC"/>
    <w:rsid w:val="00BF54A2"/>
    <w:rsid w:val="00BF64CB"/>
    <w:rsid w:val="00BF749A"/>
    <w:rsid w:val="00C00A5C"/>
    <w:rsid w:val="00C01E62"/>
    <w:rsid w:val="00C041BD"/>
    <w:rsid w:val="00C05438"/>
    <w:rsid w:val="00C057B4"/>
    <w:rsid w:val="00C07636"/>
    <w:rsid w:val="00C07B3E"/>
    <w:rsid w:val="00C07C05"/>
    <w:rsid w:val="00C1182F"/>
    <w:rsid w:val="00C16C28"/>
    <w:rsid w:val="00C16C54"/>
    <w:rsid w:val="00C17D7F"/>
    <w:rsid w:val="00C20175"/>
    <w:rsid w:val="00C21D0E"/>
    <w:rsid w:val="00C21FCE"/>
    <w:rsid w:val="00C22AAA"/>
    <w:rsid w:val="00C234D3"/>
    <w:rsid w:val="00C234DB"/>
    <w:rsid w:val="00C235DD"/>
    <w:rsid w:val="00C23B77"/>
    <w:rsid w:val="00C23BC3"/>
    <w:rsid w:val="00C23F4D"/>
    <w:rsid w:val="00C24098"/>
    <w:rsid w:val="00C26001"/>
    <w:rsid w:val="00C26544"/>
    <w:rsid w:val="00C3027F"/>
    <w:rsid w:val="00C32509"/>
    <w:rsid w:val="00C33344"/>
    <w:rsid w:val="00C3372F"/>
    <w:rsid w:val="00C33AE2"/>
    <w:rsid w:val="00C345F4"/>
    <w:rsid w:val="00C35123"/>
    <w:rsid w:val="00C3550B"/>
    <w:rsid w:val="00C40C49"/>
    <w:rsid w:val="00C413B7"/>
    <w:rsid w:val="00C41707"/>
    <w:rsid w:val="00C42842"/>
    <w:rsid w:val="00C43230"/>
    <w:rsid w:val="00C443FC"/>
    <w:rsid w:val="00C4515E"/>
    <w:rsid w:val="00C47376"/>
    <w:rsid w:val="00C509D9"/>
    <w:rsid w:val="00C50BBB"/>
    <w:rsid w:val="00C51065"/>
    <w:rsid w:val="00C51D58"/>
    <w:rsid w:val="00C534C2"/>
    <w:rsid w:val="00C5577B"/>
    <w:rsid w:val="00C5620F"/>
    <w:rsid w:val="00C56BE9"/>
    <w:rsid w:val="00C603A4"/>
    <w:rsid w:val="00C6125B"/>
    <w:rsid w:val="00C62177"/>
    <w:rsid w:val="00C63105"/>
    <w:rsid w:val="00C63C91"/>
    <w:rsid w:val="00C650B2"/>
    <w:rsid w:val="00C657B1"/>
    <w:rsid w:val="00C6591E"/>
    <w:rsid w:val="00C74E48"/>
    <w:rsid w:val="00C767B0"/>
    <w:rsid w:val="00C77DB7"/>
    <w:rsid w:val="00C80D33"/>
    <w:rsid w:val="00C80E2A"/>
    <w:rsid w:val="00C84D1F"/>
    <w:rsid w:val="00C84FB0"/>
    <w:rsid w:val="00C85F32"/>
    <w:rsid w:val="00C87812"/>
    <w:rsid w:val="00C87E3E"/>
    <w:rsid w:val="00C91431"/>
    <w:rsid w:val="00C92140"/>
    <w:rsid w:val="00C93194"/>
    <w:rsid w:val="00C93F7E"/>
    <w:rsid w:val="00C9622F"/>
    <w:rsid w:val="00C9638D"/>
    <w:rsid w:val="00C96BFF"/>
    <w:rsid w:val="00C97390"/>
    <w:rsid w:val="00C97459"/>
    <w:rsid w:val="00CA1129"/>
    <w:rsid w:val="00CA354D"/>
    <w:rsid w:val="00CA5150"/>
    <w:rsid w:val="00CA515D"/>
    <w:rsid w:val="00CA6277"/>
    <w:rsid w:val="00CA6FA6"/>
    <w:rsid w:val="00CA718A"/>
    <w:rsid w:val="00CA793D"/>
    <w:rsid w:val="00CA7A4A"/>
    <w:rsid w:val="00CB00AB"/>
    <w:rsid w:val="00CB0FC7"/>
    <w:rsid w:val="00CB1D31"/>
    <w:rsid w:val="00CB3260"/>
    <w:rsid w:val="00CB68E3"/>
    <w:rsid w:val="00CC1F37"/>
    <w:rsid w:val="00CC2890"/>
    <w:rsid w:val="00CD0154"/>
    <w:rsid w:val="00CD073F"/>
    <w:rsid w:val="00CD2F62"/>
    <w:rsid w:val="00CD427B"/>
    <w:rsid w:val="00CD42A8"/>
    <w:rsid w:val="00CD4C2F"/>
    <w:rsid w:val="00CD687E"/>
    <w:rsid w:val="00CD7D76"/>
    <w:rsid w:val="00CE1100"/>
    <w:rsid w:val="00CE1D18"/>
    <w:rsid w:val="00CE3A2F"/>
    <w:rsid w:val="00CE3A91"/>
    <w:rsid w:val="00CE489F"/>
    <w:rsid w:val="00CE6319"/>
    <w:rsid w:val="00CF02AA"/>
    <w:rsid w:val="00CF18D7"/>
    <w:rsid w:val="00CF38A2"/>
    <w:rsid w:val="00CF38AD"/>
    <w:rsid w:val="00CF68BB"/>
    <w:rsid w:val="00CF7FC5"/>
    <w:rsid w:val="00D0021F"/>
    <w:rsid w:val="00D01208"/>
    <w:rsid w:val="00D01501"/>
    <w:rsid w:val="00D028CF"/>
    <w:rsid w:val="00D028F6"/>
    <w:rsid w:val="00D03CE2"/>
    <w:rsid w:val="00D10271"/>
    <w:rsid w:val="00D138DB"/>
    <w:rsid w:val="00D151F2"/>
    <w:rsid w:val="00D155B1"/>
    <w:rsid w:val="00D171B6"/>
    <w:rsid w:val="00D17B0B"/>
    <w:rsid w:val="00D209E8"/>
    <w:rsid w:val="00D21BB7"/>
    <w:rsid w:val="00D22947"/>
    <w:rsid w:val="00D23213"/>
    <w:rsid w:val="00D26A2C"/>
    <w:rsid w:val="00D27A0E"/>
    <w:rsid w:val="00D31186"/>
    <w:rsid w:val="00D31363"/>
    <w:rsid w:val="00D322FA"/>
    <w:rsid w:val="00D336A5"/>
    <w:rsid w:val="00D35B4C"/>
    <w:rsid w:val="00D36571"/>
    <w:rsid w:val="00D36C2D"/>
    <w:rsid w:val="00D40392"/>
    <w:rsid w:val="00D40585"/>
    <w:rsid w:val="00D40799"/>
    <w:rsid w:val="00D41906"/>
    <w:rsid w:val="00D43389"/>
    <w:rsid w:val="00D438C3"/>
    <w:rsid w:val="00D4509D"/>
    <w:rsid w:val="00D474FE"/>
    <w:rsid w:val="00D53642"/>
    <w:rsid w:val="00D56128"/>
    <w:rsid w:val="00D565FD"/>
    <w:rsid w:val="00D5677B"/>
    <w:rsid w:val="00D622FA"/>
    <w:rsid w:val="00D62E65"/>
    <w:rsid w:val="00D62E7D"/>
    <w:rsid w:val="00D63F23"/>
    <w:rsid w:val="00D65B01"/>
    <w:rsid w:val="00D67084"/>
    <w:rsid w:val="00D702D4"/>
    <w:rsid w:val="00D7094A"/>
    <w:rsid w:val="00D70A56"/>
    <w:rsid w:val="00D736EC"/>
    <w:rsid w:val="00D74178"/>
    <w:rsid w:val="00D747FA"/>
    <w:rsid w:val="00D74C89"/>
    <w:rsid w:val="00D76F10"/>
    <w:rsid w:val="00D77C39"/>
    <w:rsid w:val="00D814E6"/>
    <w:rsid w:val="00D8306A"/>
    <w:rsid w:val="00D831E7"/>
    <w:rsid w:val="00D83832"/>
    <w:rsid w:val="00D8395D"/>
    <w:rsid w:val="00D84578"/>
    <w:rsid w:val="00D85734"/>
    <w:rsid w:val="00D86788"/>
    <w:rsid w:val="00D87012"/>
    <w:rsid w:val="00D87D70"/>
    <w:rsid w:val="00D94882"/>
    <w:rsid w:val="00D956FF"/>
    <w:rsid w:val="00D96FDD"/>
    <w:rsid w:val="00DA004D"/>
    <w:rsid w:val="00DA00F0"/>
    <w:rsid w:val="00DA2F99"/>
    <w:rsid w:val="00DA3034"/>
    <w:rsid w:val="00DA4217"/>
    <w:rsid w:val="00DA59AF"/>
    <w:rsid w:val="00DA7493"/>
    <w:rsid w:val="00DB0496"/>
    <w:rsid w:val="00DB10E2"/>
    <w:rsid w:val="00DB15A9"/>
    <w:rsid w:val="00DB2613"/>
    <w:rsid w:val="00DB2BBC"/>
    <w:rsid w:val="00DB561A"/>
    <w:rsid w:val="00DC2064"/>
    <w:rsid w:val="00DC2628"/>
    <w:rsid w:val="00DC3017"/>
    <w:rsid w:val="00DC4426"/>
    <w:rsid w:val="00DC4B1F"/>
    <w:rsid w:val="00DC61CB"/>
    <w:rsid w:val="00DC6C37"/>
    <w:rsid w:val="00DC7CE5"/>
    <w:rsid w:val="00DD0063"/>
    <w:rsid w:val="00DD08B7"/>
    <w:rsid w:val="00DD0BF2"/>
    <w:rsid w:val="00DD2E7E"/>
    <w:rsid w:val="00DD3E60"/>
    <w:rsid w:val="00DD5F70"/>
    <w:rsid w:val="00DD6446"/>
    <w:rsid w:val="00DD65C8"/>
    <w:rsid w:val="00DE0174"/>
    <w:rsid w:val="00DE01EE"/>
    <w:rsid w:val="00DE1BBD"/>
    <w:rsid w:val="00DE2DF2"/>
    <w:rsid w:val="00DE441F"/>
    <w:rsid w:val="00DE45EA"/>
    <w:rsid w:val="00DF0E32"/>
    <w:rsid w:val="00DF328E"/>
    <w:rsid w:val="00DF5477"/>
    <w:rsid w:val="00DF5F39"/>
    <w:rsid w:val="00DF6158"/>
    <w:rsid w:val="00DF6EEA"/>
    <w:rsid w:val="00E00516"/>
    <w:rsid w:val="00E012D7"/>
    <w:rsid w:val="00E0203C"/>
    <w:rsid w:val="00E03317"/>
    <w:rsid w:val="00E03534"/>
    <w:rsid w:val="00E04F27"/>
    <w:rsid w:val="00E06230"/>
    <w:rsid w:val="00E100DF"/>
    <w:rsid w:val="00E10766"/>
    <w:rsid w:val="00E1290F"/>
    <w:rsid w:val="00E13ACF"/>
    <w:rsid w:val="00E15277"/>
    <w:rsid w:val="00E15ED2"/>
    <w:rsid w:val="00E16040"/>
    <w:rsid w:val="00E1636F"/>
    <w:rsid w:val="00E16D6F"/>
    <w:rsid w:val="00E1742B"/>
    <w:rsid w:val="00E17E65"/>
    <w:rsid w:val="00E17F44"/>
    <w:rsid w:val="00E21F72"/>
    <w:rsid w:val="00E228E1"/>
    <w:rsid w:val="00E246E3"/>
    <w:rsid w:val="00E258FE"/>
    <w:rsid w:val="00E261C8"/>
    <w:rsid w:val="00E26586"/>
    <w:rsid w:val="00E27EF0"/>
    <w:rsid w:val="00E313E1"/>
    <w:rsid w:val="00E31D48"/>
    <w:rsid w:val="00E32178"/>
    <w:rsid w:val="00E34C64"/>
    <w:rsid w:val="00E3712E"/>
    <w:rsid w:val="00E374C2"/>
    <w:rsid w:val="00E40CF4"/>
    <w:rsid w:val="00E41FBF"/>
    <w:rsid w:val="00E42C44"/>
    <w:rsid w:val="00E44BDA"/>
    <w:rsid w:val="00E44D73"/>
    <w:rsid w:val="00E4630A"/>
    <w:rsid w:val="00E46E26"/>
    <w:rsid w:val="00E471A6"/>
    <w:rsid w:val="00E50216"/>
    <w:rsid w:val="00E5399A"/>
    <w:rsid w:val="00E53C80"/>
    <w:rsid w:val="00E548E3"/>
    <w:rsid w:val="00E5493B"/>
    <w:rsid w:val="00E54FE0"/>
    <w:rsid w:val="00E55A2A"/>
    <w:rsid w:val="00E55C5B"/>
    <w:rsid w:val="00E5714B"/>
    <w:rsid w:val="00E63BBC"/>
    <w:rsid w:val="00E64ED6"/>
    <w:rsid w:val="00E656D9"/>
    <w:rsid w:val="00E65725"/>
    <w:rsid w:val="00E65885"/>
    <w:rsid w:val="00E66295"/>
    <w:rsid w:val="00E66777"/>
    <w:rsid w:val="00E67841"/>
    <w:rsid w:val="00E67E45"/>
    <w:rsid w:val="00E70AC8"/>
    <w:rsid w:val="00E73F2D"/>
    <w:rsid w:val="00E7433B"/>
    <w:rsid w:val="00E754EC"/>
    <w:rsid w:val="00E76449"/>
    <w:rsid w:val="00E814DB"/>
    <w:rsid w:val="00E826D3"/>
    <w:rsid w:val="00E84B37"/>
    <w:rsid w:val="00E8592E"/>
    <w:rsid w:val="00E86596"/>
    <w:rsid w:val="00E86AA0"/>
    <w:rsid w:val="00E87328"/>
    <w:rsid w:val="00E87C96"/>
    <w:rsid w:val="00E90A15"/>
    <w:rsid w:val="00E90B34"/>
    <w:rsid w:val="00E90DF6"/>
    <w:rsid w:val="00E92221"/>
    <w:rsid w:val="00E92316"/>
    <w:rsid w:val="00E9289B"/>
    <w:rsid w:val="00E962B3"/>
    <w:rsid w:val="00E967EF"/>
    <w:rsid w:val="00EA0ACD"/>
    <w:rsid w:val="00EA1B09"/>
    <w:rsid w:val="00EA1B84"/>
    <w:rsid w:val="00EA23F7"/>
    <w:rsid w:val="00EA310C"/>
    <w:rsid w:val="00EA35A2"/>
    <w:rsid w:val="00EA3654"/>
    <w:rsid w:val="00EA7906"/>
    <w:rsid w:val="00EA7FC6"/>
    <w:rsid w:val="00EB0CC4"/>
    <w:rsid w:val="00EB29EA"/>
    <w:rsid w:val="00EB3A70"/>
    <w:rsid w:val="00EB3D16"/>
    <w:rsid w:val="00EB5250"/>
    <w:rsid w:val="00EB549F"/>
    <w:rsid w:val="00EB7DD3"/>
    <w:rsid w:val="00EB7FC4"/>
    <w:rsid w:val="00EC0A10"/>
    <w:rsid w:val="00EC0B54"/>
    <w:rsid w:val="00EC16EE"/>
    <w:rsid w:val="00EC18AD"/>
    <w:rsid w:val="00EC1A04"/>
    <w:rsid w:val="00EC1AA9"/>
    <w:rsid w:val="00EC321E"/>
    <w:rsid w:val="00EC3BD3"/>
    <w:rsid w:val="00EC500D"/>
    <w:rsid w:val="00EC6E1F"/>
    <w:rsid w:val="00ED0567"/>
    <w:rsid w:val="00ED144E"/>
    <w:rsid w:val="00ED1D17"/>
    <w:rsid w:val="00ED2C80"/>
    <w:rsid w:val="00ED31B8"/>
    <w:rsid w:val="00ED4CE6"/>
    <w:rsid w:val="00ED694E"/>
    <w:rsid w:val="00ED696E"/>
    <w:rsid w:val="00ED7DEE"/>
    <w:rsid w:val="00ED7EEE"/>
    <w:rsid w:val="00EE04FC"/>
    <w:rsid w:val="00EE0CAD"/>
    <w:rsid w:val="00EE19A3"/>
    <w:rsid w:val="00EE5572"/>
    <w:rsid w:val="00EE5D56"/>
    <w:rsid w:val="00EE6421"/>
    <w:rsid w:val="00EE72B6"/>
    <w:rsid w:val="00EF005B"/>
    <w:rsid w:val="00EF114B"/>
    <w:rsid w:val="00EF29BA"/>
    <w:rsid w:val="00EF4450"/>
    <w:rsid w:val="00EF59AA"/>
    <w:rsid w:val="00EF6ADE"/>
    <w:rsid w:val="00F00144"/>
    <w:rsid w:val="00F015D3"/>
    <w:rsid w:val="00F03B76"/>
    <w:rsid w:val="00F03EBC"/>
    <w:rsid w:val="00F051F4"/>
    <w:rsid w:val="00F05861"/>
    <w:rsid w:val="00F063EF"/>
    <w:rsid w:val="00F06CC7"/>
    <w:rsid w:val="00F1011D"/>
    <w:rsid w:val="00F12377"/>
    <w:rsid w:val="00F140DB"/>
    <w:rsid w:val="00F15069"/>
    <w:rsid w:val="00F16EDF"/>
    <w:rsid w:val="00F1712E"/>
    <w:rsid w:val="00F20569"/>
    <w:rsid w:val="00F210A3"/>
    <w:rsid w:val="00F22870"/>
    <w:rsid w:val="00F22F60"/>
    <w:rsid w:val="00F2422E"/>
    <w:rsid w:val="00F2492F"/>
    <w:rsid w:val="00F3152F"/>
    <w:rsid w:val="00F32DA1"/>
    <w:rsid w:val="00F346D1"/>
    <w:rsid w:val="00F34AF8"/>
    <w:rsid w:val="00F34D16"/>
    <w:rsid w:val="00F35001"/>
    <w:rsid w:val="00F3560C"/>
    <w:rsid w:val="00F35664"/>
    <w:rsid w:val="00F372E1"/>
    <w:rsid w:val="00F3743A"/>
    <w:rsid w:val="00F37DCE"/>
    <w:rsid w:val="00F41173"/>
    <w:rsid w:val="00F41EFE"/>
    <w:rsid w:val="00F41FB4"/>
    <w:rsid w:val="00F42158"/>
    <w:rsid w:val="00F43033"/>
    <w:rsid w:val="00F45621"/>
    <w:rsid w:val="00F45758"/>
    <w:rsid w:val="00F45B85"/>
    <w:rsid w:val="00F47462"/>
    <w:rsid w:val="00F510B5"/>
    <w:rsid w:val="00F5175A"/>
    <w:rsid w:val="00F52371"/>
    <w:rsid w:val="00F52DE5"/>
    <w:rsid w:val="00F53521"/>
    <w:rsid w:val="00F539E8"/>
    <w:rsid w:val="00F54178"/>
    <w:rsid w:val="00F54B54"/>
    <w:rsid w:val="00F552BD"/>
    <w:rsid w:val="00F55494"/>
    <w:rsid w:val="00F55928"/>
    <w:rsid w:val="00F57A15"/>
    <w:rsid w:val="00F61839"/>
    <w:rsid w:val="00F64E43"/>
    <w:rsid w:val="00F66732"/>
    <w:rsid w:val="00F705AD"/>
    <w:rsid w:val="00F713D5"/>
    <w:rsid w:val="00F722F7"/>
    <w:rsid w:val="00F72EFA"/>
    <w:rsid w:val="00F73736"/>
    <w:rsid w:val="00F74499"/>
    <w:rsid w:val="00F75648"/>
    <w:rsid w:val="00F7644C"/>
    <w:rsid w:val="00F81A86"/>
    <w:rsid w:val="00F81AC8"/>
    <w:rsid w:val="00F81D30"/>
    <w:rsid w:val="00F81ED4"/>
    <w:rsid w:val="00F82976"/>
    <w:rsid w:val="00F82A8B"/>
    <w:rsid w:val="00F84EA3"/>
    <w:rsid w:val="00F858C9"/>
    <w:rsid w:val="00F925F4"/>
    <w:rsid w:val="00F9451E"/>
    <w:rsid w:val="00F9482A"/>
    <w:rsid w:val="00F9501F"/>
    <w:rsid w:val="00FA05A3"/>
    <w:rsid w:val="00FA1705"/>
    <w:rsid w:val="00FA25FB"/>
    <w:rsid w:val="00FA30FD"/>
    <w:rsid w:val="00FA5014"/>
    <w:rsid w:val="00FA5BED"/>
    <w:rsid w:val="00FA6563"/>
    <w:rsid w:val="00FA72EF"/>
    <w:rsid w:val="00FB1C3D"/>
    <w:rsid w:val="00FB1F48"/>
    <w:rsid w:val="00FB1FB4"/>
    <w:rsid w:val="00FB2AEE"/>
    <w:rsid w:val="00FB35F1"/>
    <w:rsid w:val="00FB4138"/>
    <w:rsid w:val="00FB4729"/>
    <w:rsid w:val="00FB50EE"/>
    <w:rsid w:val="00FB5A4A"/>
    <w:rsid w:val="00FB5FE9"/>
    <w:rsid w:val="00FC11B0"/>
    <w:rsid w:val="00FC4505"/>
    <w:rsid w:val="00FC596A"/>
    <w:rsid w:val="00FD0274"/>
    <w:rsid w:val="00FD1973"/>
    <w:rsid w:val="00FD1ACB"/>
    <w:rsid w:val="00FD1FBA"/>
    <w:rsid w:val="00FD2890"/>
    <w:rsid w:val="00FD44DE"/>
    <w:rsid w:val="00FD4B98"/>
    <w:rsid w:val="00FD6C41"/>
    <w:rsid w:val="00FD708C"/>
    <w:rsid w:val="00FD7FFC"/>
    <w:rsid w:val="00FE41E0"/>
    <w:rsid w:val="00FE52B5"/>
    <w:rsid w:val="00FE7003"/>
    <w:rsid w:val="00FF1598"/>
    <w:rsid w:val="00FF15D0"/>
    <w:rsid w:val="00FF5138"/>
    <w:rsid w:val="00FF6393"/>
    <w:rsid w:val="00FF7251"/>
    <w:rsid w:val="04151155"/>
    <w:rsid w:val="07287759"/>
    <w:rsid w:val="09B16257"/>
    <w:rsid w:val="104E3661"/>
    <w:rsid w:val="141B0B07"/>
    <w:rsid w:val="146B4C23"/>
    <w:rsid w:val="16C874E6"/>
    <w:rsid w:val="19546D03"/>
    <w:rsid w:val="1B3060F2"/>
    <w:rsid w:val="21207B64"/>
    <w:rsid w:val="262A0B69"/>
    <w:rsid w:val="2B1E0FAF"/>
    <w:rsid w:val="354D0753"/>
    <w:rsid w:val="39015EB8"/>
    <w:rsid w:val="3EBA64A5"/>
    <w:rsid w:val="4227144A"/>
    <w:rsid w:val="45E71CE0"/>
    <w:rsid w:val="48E04FF6"/>
    <w:rsid w:val="49A85553"/>
    <w:rsid w:val="4CC21E1D"/>
    <w:rsid w:val="51BB668B"/>
    <w:rsid w:val="52B8259F"/>
    <w:rsid w:val="541D67DC"/>
    <w:rsid w:val="56A6124D"/>
    <w:rsid w:val="5D0F4F21"/>
    <w:rsid w:val="5E1A4558"/>
    <w:rsid w:val="61B143C2"/>
    <w:rsid w:val="66A9558E"/>
    <w:rsid w:val="6BCD3025"/>
    <w:rsid w:val="6E224114"/>
    <w:rsid w:val="722D60C8"/>
    <w:rsid w:val="78DC7256"/>
    <w:rsid w:val="793B661B"/>
    <w:rsid w:val="7A4B5E8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semiHidden="0" w:name="annotation reference"/>
    <w:lsdException w:qFormat="1"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qFormat="1"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qFormat="1" w:uiPriority="99" w:semiHidden="0"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5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ind w:firstLine="200" w:firstLineChars="200"/>
      <w:jc w:val="both"/>
    </w:pPr>
    <w:rPr>
      <w:rFonts w:ascii="Times New Roman" w:hAnsi="Times New Roman" w:eastAsia="仿宋_GB2312" w:cstheme="minorBidi"/>
      <w:kern w:val="2"/>
      <w:sz w:val="28"/>
      <w:szCs w:val="22"/>
      <w:lang w:val="en-US" w:eastAsia="zh-CN" w:bidi="ar-SA"/>
    </w:rPr>
  </w:style>
  <w:style w:type="paragraph" w:styleId="2">
    <w:name w:val="heading 1"/>
    <w:basedOn w:val="1"/>
    <w:next w:val="1"/>
    <w:link w:val="22"/>
    <w:qFormat/>
    <w:uiPriority w:val="0"/>
    <w:pPr>
      <w:widowControl/>
      <w:spacing w:beforeLines="50"/>
      <w:jc w:val="center"/>
      <w:outlineLvl w:val="0"/>
    </w:pPr>
    <w:rPr>
      <w:rFonts w:eastAsia="黑体" w:cs="Times New Roman"/>
      <w:b/>
      <w:kern w:val="0"/>
      <w:szCs w:val="20"/>
    </w:rPr>
  </w:style>
  <w:style w:type="paragraph" w:styleId="3">
    <w:name w:val="heading 2"/>
    <w:basedOn w:val="1"/>
    <w:next w:val="1"/>
    <w:link w:val="23"/>
    <w:unhideWhenUsed/>
    <w:qFormat/>
    <w:uiPriority w:val="9"/>
    <w:pPr>
      <w:keepNext/>
      <w:keepLines/>
      <w:ind w:firstLine="0" w:firstLineChars="0"/>
      <w:outlineLvl w:val="1"/>
    </w:pPr>
    <w:rPr>
      <w:rFonts w:eastAsia="黑体" w:cstheme="majorBidi"/>
      <w:bCs/>
      <w:szCs w:val="32"/>
    </w:rPr>
  </w:style>
  <w:style w:type="paragraph" w:styleId="4">
    <w:name w:val="heading 3"/>
    <w:basedOn w:val="1"/>
    <w:next w:val="1"/>
    <w:link w:val="24"/>
    <w:unhideWhenUsed/>
    <w:qFormat/>
    <w:uiPriority w:val="9"/>
    <w:pPr>
      <w:keepNext/>
      <w:keepLines/>
      <w:outlineLvl w:val="2"/>
    </w:pPr>
    <w:rPr>
      <w:b/>
      <w:bCs/>
      <w:szCs w:val="32"/>
    </w:rPr>
  </w:style>
  <w:style w:type="paragraph" w:styleId="5">
    <w:name w:val="heading 4"/>
    <w:basedOn w:val="1"/>
    <w:next w:val="1"/>
    <w:link w:val="25"/>
    <w:unhideWhenUsed/>
    <w:qFormat/>
    <w:uiPriority w:val="9"/>
    <w:pPr>
      <w:keepNext/>
      <w:keepLines/>
      <w:spacing w:before="280" w:after="290" w:line="376" w:lineRule="auto"/>
      <w:outlineLvl w:val="3"/>
    </w:pPr>
    <w:rPr>
      <w:rFonts w:asciiTheme="majorHAnsi" w:hAnsiTheme="majorHAnsi" w:eastAsiaTheme="majorEastAsia" w:cstheme="majorBidi"/>
      <w:b/>
      <w:bCs/>
      <w:szCs w:val="28"/>
    </w:rPr>
  </w:style>
  <w:style w:type="character" w:default="1" w:styleId="16">
    <w:name w:val="Default Paragraph Font"/>
    <w:unhideWhenUsed/>
    <w:qFormat/>
    <w:uiPriority w:val="1"/>
  </w:style>
  <w:style w:type="table" w:default="1" w:styleId="14">
    <w:name w:val="Normal Table"/>
    <w:semiHidden/>
    <w:unhideWhenUsed/>
    <w:qFormat/>
    <w:uiPriority w:val="99"/>
    <w:tblPr>
      <w:tblCellMar>
        <w:top w:w="0" w:type="dxa"/>
        <w:left w:w="108" w:type="dxa"/>
        <w:bottom w:w="0" w:type="dxa"/>
        <w:right w:w="108" w:type="dxa"/>
      </w:tblCellMar>
    </w:tblPr>
  </w:style>
  <w:style w:type="paragraph" w:styleId="6">
    <w:name w:val="Document Map"/>
    <w:basedOn w:val="1"/>
    <w:link w:val="39"/>
    <w:unhideWhenUsed/>
    <w:qFormat/>
    <w:uiPriority w:val="99"/>
    <w:rPr>
      <w:rFonts w:eastAsia="仿宋" w:cs="Times New Roman"/>
      <w:szCs w:val="24"/>
    </w:rPr>
  </w:style>
  <w:style w:type="paragraph" w:styleId="7">
    <w:name w:val="annotation text"/>
    <w:basedOn w:val="1"/>
    <w:link w:val="44"/>
    <w:unhideWhenUsed/>
    <w:qFormat/>
    <w:uiPriority w:val="99"/>
    <w:pPr>
      <w:jc w:val="left"/>
    </w:pPr>
    <w:rPr>
      <w:rFonts w:eastAsia="仿宋" w:cs="Times New Roman"/>
      <w:sz w:val="30"/>
      <w:szCs w:val="20"/>
    </w:rPr>
  </w:style>
  <w:style w:type="paragraph" w:styleId="8">
    <w:name w:val="Body Text"/>
    <w:basedOn w:val="1"/>
    <w:link w:val="51"/>
    <w:semiHidden/>
    <w:unhideWhenUsed/>
    <w:qFormat/>
    <w:uiPriority w:val="99"/>
    <w:pPr>
      <w:spacing w:after="120"/>
    </w:pPr>
  </w:style>
  <w:style w:type="paragraph" w:styleId="9">
    <w:name w:val="Balloon Text"/>
    <w:basedOn w:val="1"/>
    <w:link w:val="28"/>
    <w:unhideWhenUsed/>
    <w:qFormat/>
    <w:uiPriority w:val="99"/>
    <w:pPr>
      <w:spacing w:line="240" w:lineRule="auto"/>
    </w:pPr>
    <w:rPr>
      <w:sz w:val="18"/>
      <w:szCs w:val="18"/>
    </w:rPr>
  </w:style>
  <w:style w:type="paragraph" w:styleId="10">
    <w:name w:val="footer"/>
    <w:basedOn w:val="1"/>
    <w:link w:val="27"/>
    <w:unhideWhenUsed/>
    <w:qFormat/>
    <w:uiPriority w:val="99"/>
    <w:pPr>
      <w:tabs>
        <w:tab w:val="center" w:pos="4153"/>
        <w:tab w:val="right" w:pos="8306"/>
      </w:tabs>
      <w:snapToGrid w:val="0"/>
      <w:jc w:val="left"/>
    </w:pPr>
    <w:rPr>
      <w:sz w:val="18"/>
      <w:szCs w:val="18"/>
    </w:rPr>
  </w:style>
  <w:style w:type="paragraph" w:styleId="11">
    <w:name w:val="header"/>
    <w:basedOn w:val="1"/>
    <w:link w:val="26"/>
    <w:unhideWhenUsed/>
    <w:qFormat/>
    <w:uiPriority w:val="99"/>
    <w:pPr>
      <w:pBdr>
        <w:bottom w:val="single" w:color="auto" w:sz="6" w:space="1"/>
      </w:pBdr>
      <w:tabs>
        <w:tab w:val="center" w:pos="4153"/>
        <w:tab w:val="right" w:pos="8306"/>
      </w:tabs>
      <w:snapToGrid w:val="0"/>
      <w:jc w:val="center"/>
    </w:pPr>
    <w:rPr>
      <w:sz w:val="18"/>
      <w:szCs w:val="18"/>
    </w:rPr>
  </w:style>
  <w:style w:type="paragraph" w:styleId="12">
    <w:name w:val="Normal (Web)"/>
    <w:basedOn w:val="1"/>
    <w:unhideWhenUsed/>
    <w:qFormat/>
    <w:uiPriority w:val="99"/>
    <w:pPr>
      <w:widowControl/>
      <w:spacing w:before="100" w:beforeAutospacing="1" w:after="100" w:afterAutospacing="1" w:line="240" w:lineRule="auto"/>
      <w:ind w:firstLine="0" w:firstLineChars="0"/>
      <w:jc w:val="left"/>
    </w:pPr>
    <w:rPr>
      <w:rFonts w:ascii="宋体" w:hAnsi="宋体" w:cs="宋体"/>
      <w:kern w:val="0"/>
      <w:szCs w:val="24"/>
    </w:rPr>
  </w:style>
  <w:style w:type="paragraph" w:styleId="13">
    <w:name w:val="annotation subject"/>
    <w:basedOn w:val="7"/>
    <w:next w:val="7"/>
    <w:link w:val="45"/>
    <w:unhideWhenUsed/>
    <w:qFormat/>
    <w:uiPriority w:val="99"/>
    <w:rPr>
      <w:b/>
      <w:bCs/>
    </w:rPr>
  </w:style>
  <w:style w:type="table" w:styleId="15">
    <w:name w:val="Table Grid"/>
    <w:basedOn w:val="14"/>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7">
    <w:name w:val="Strong"/>
    <w:basedOn w:val="16"/>
    <w:qFormat/>
    <w:uiPriority w:val="22"/>
    <w:rPr>
      <w:b/>
      <w:bCs/>
    </w:rPr>
  </w:style>
  <w:style w:type="character" w:styleId="18">
    <w:name w:val="page number"/>
    <w:basedOn w:val="16"/>
    <w:qFormat/>
    <w:uiPriority w:val="0"/>
  </w:style>
  <w:style w:type="character" w:styleId="19">
    <w:name w:val="Emphasis"/>
    <w:basedOn w:val="16"/>
    <w:qFormat/>
    <w:uiPriority w:val="20"/>
    <w:rPr>
      <w:color w:val="CC0000"/>
    </w:rPr>
  </w:style>
  <w:style w:type="character" w:styleId="20">
    <w:name w:val="line number"/>
    <w:semiHidden/>
    <w:unhideWhenUsed/>
    <w:qFormat/>
    <w:uiPriority w:val="99"/>
  </w:style>
  <w:style w:type="character" w:styleId="21">
    <w:name w:val="annotation reference"/>
    <w:basedOn w:val="16"/>
    <w:unhideWhenUsed/>
    <w:qFormat/>
    <w:uiPriority w:val="99"/>
    <w:rPr>
      <w:sz w:val="21"/>
      <w:szCs w:val="21"/>
    </w:rPr>
  </w:style>
  <w:style w:type="character" w:customStyle="1" w:styleId="22">
    <w:name w:val="标题 1 字符"/>
    <w:basedOn w:val="16"/>
    <w:link w:val="2"/>
    <w:qFormat/>
    <w:uiPriority w:val="0"/>
    <w:rPr>
      <w:rFonts w:ascii="Times New Roman" w:hAnsi="Times New Roman" w:eastAsia="黑体" w:cs="Times New Roman"/>
      <w:b/>
      <w:kern w:val="0"/>
      <w:sz w:val="28"/>
      <w:szCs w:val="20"/>
    </w:rPr>
  </w:style>
  <w:style w:type="character" w:customStyle="1" w:styleId="23">
    <w:name w:val="标题 2 字符"/>
    <w:basedOn w:val="16"/>
    <w:link w:val="3"/>
    <w:qFormat/>
    <w:uiPriority w:val="9"/>
    <w:rPr>
      <w:rFonts w:ascii="Times New Roman" w:hAnsi="Times New Roman" w:eastAsia="黑体" w:cstheme="majorBidi"/>
      <w:bCs/>
      <w:sz w:val="28"/>
      <w:szCs w:val="32"/>
    </w:rPr>
  </w:style>
  <w:style w:type="character" w:customStyle="1" w:styleId="24">
    <w:name w:val="标题 3 字符"/>
    <w:basedOn w:val="16"/>
    <w:link w:val="4"/>
    <w:qFormat/>
    <w:uiPriority w:val="9"/>
    <w:rPr>
      <w:rFonts w:ascii="Times New Roman" w:hAnsi="Times New Roman" w:eastAsia="宋体"/>
      <w:b/>
      <w:bCs/>
      <w:sz w:val="28"/>
      <w:szCs w:val="32"/>
    </w:rPr>
  </w:style>
  <w:style w:type="character" w:customStyle="1" w:styleId="25">
    <w:name w:val="标题 4 字符"/>
    <w:basedOn w:val="16"/>
    <w:link w:val="5"/>
    <w:qFormat/>
    <w:uiPriority w:val="9"/>
    <w:rPr>
      <w:rFonts w:asciiTheme="majorHAnsi" w:hAnsiTheme="majorHAnsi" w:eastAsiaTheme="majorEastAsia" w:cstheme="majorBidi"/>
      <w:b/>
      <w:bCs/>
      <w:sz w:val="28"/>
      <w:szCs w:val="28"/>
    </w:rPr>
  </w:style>
  <w:style w:type="character" w:customStyle="1" w:styleId="26">
    <w:name w:val="页眉 字符"/>
    <w:basedOn w:val="16"/>
    <w:link w:val="11"/>
    <w:qFormat/>
    <w:uiPriority w:val="99"/>
    <w:rPr>
      <w:sz w:val="18"/>
      <w:szCs w:val="18"/>
    </w:rPr>
  </w:style>
  <w:style w:type="character" w:customStyle="1" w:styleId="27">
    <w:name w:val="页脚 字符"/>
    <w:basedOn w:val="16"/>
    <w:link w:val="10"/>
    <w:qFormat/>
    <w:uiPriority w:val="99"/>
    <w:rPr>
      <w:sz w:val="18"/>
      <w:szCs w:val="18"/>
    </w:rPr>
  </w:style>
  <w:style w:type="character" w:customStyle="1" w:styleId="28">
    <w:name w:val="批注框文本 字符"/>
    <w:basedOn w:val="16"/>
    <w:link w:val="9"/>
    <w:qFormat/>
    <w:uiPriority w:val="99"/>
    <w:rPr>
      <w:rFonts w:ascii="Times New Roman" w:hAnsi="Times New Roman" w:eastAsia="宋体"/>
      <w:sz w:val="18"/>
      <w:szCs w:val="18"/>
    </w:rPr>
  </w:style>
  <w:style w:type="paragraph" w:customStyle="1" w:styleId="29">
    <w:name w:val="Default"/>
    <w:qFormat/>
    <w:uiPriority w:val="0"/>
    <w:pPr>
      <w:widowControl w:val="0"/>
      <w:autoSpaceDE w:val="0"/>
      <w:autoSpaceDN w:val="0"/>
      <w:adjustRightInd w:val="0"/>
    </w:pPr>
    <w:rPr>
      <w:rFonts w:ascii="Times New Roman" w:hAnsi="Times New Roman" w:eastAsia="等线" w:cs="Times New Roman"/>
      <w:color w:val="000000"/>
      <w:sz w:val="24"/>
      <w:szCs w:val="24"/>
      <w:lang w:val="en-US" w:eastAsia="zh-CN" w:bidi="ar-SA"/>
    </w:rPr>
  </w:style>
  <w:style w:type="table" w:customStyle="1" w:styleId="30">
    <w:name w:val="Table Normal"/>
    <w:unhideWhenUsed/>
    <w:qFormat/>
    <w:uiPriority w:val="2"/>
    <w:pPr>
      <w:widowControl w:val="0"/>
    </w:pPr>
    <w:rPr>
      <w:sz w:val="22"/>
      <w:lang w:eastAsia="en-US"/>
    </w:rPr>
    <w:tblPr>
      <w:tblCellMar>
        <w:top w:w="0" w:type="dxa"/>
        <w:left w:w="0" w:type="dxa"/>
        <w:bottom w:w="0" w:type="dxa"/>
        <w:right w:w="0" w:type="dxa"/>
      </w:tblCellMar>
    </w:tblPr>
  </w:style>
  <w:style w:type="paragraph" w:customStyle="1" w:styleId="31">
    <w:name w:val="Table Paragraph"/>
    <w:basedOn w:val="1"/>
    <w:qFormat/>
    <w:uiPriority w:val="1"/>
    <w:pPr>
      <w:spacing w:line="240" w:lineRule="auto"/>
      <w:ind w:firstLine="0" w:firstLineChars="0"/>
      <w:jc w:val="left"/>
    </w:pPr>
    <w:rPr>
      <w:rFonts w:ascii="仿宋_GB2312" w:hAnsi="仿宋_GB2312" w:cs="仿宋_GB2312"/>
      <w:kern w:val="0"/>
      <w:sz w:val="22"/>
      <w:lang w:eastAsia="en-US"/>
    </w:rPr>
  </w:style>
  <w:style w:type="paragraph" w:customStyle="1" w:styleId="32">
    <w:name w:val="正文1"/>
    <w:basedOn w:val="1"/>
    <w:link w:val="33"/>
    <w:qFormat/>
    <w:uiPriority w:val="0"/>
    <w:pPr>
      <w:autoSpaceDE w:val="0"/>
      <w:autoSpaceDN w:val="0"/>
      <w:adjustRightInd w:val="0"/>
      <w:jc w:val="left"/>
    </w:pPr>
    <w:rPr>
      <w:rFonts w:cs="Times New Roman"/>
      <w:iCs/>
      <w:kern w:val="0"/>
      <w:szCs w:val="24"/>
    </w:rPr>
  </w:style>
  <w:style w:type="character" w:customStyle="1" w:styleId="33">
    <w:name w:val="正文1 Char"/>
    <w:basedOn w:val="16"/>
    <w:link w:val="32"/>
    <w:qFormat/>
    <w:uiPriority w:val="0"/>
    <w:rPr>
      <w:rFonts w:ascii="Times New Roman" w:hAnsi="Times New Roman" w:eastAsia="宋体" w:cs="Times New Roman"/>
      <w:iCs/>
      <w:kern w:val="0"/>
      <w:sz w:val="24"/>
      <w:szCs w:val="24"/>
    </w:rPr>
  </w:style>
  <w:style w:type="paragraph" w:customStyle="1" w:styleId="34">
    <w:name w:val="表格"/>
    <w:basedOn w:val="1"/>
    <w:link w:val="35"/>
    <w:qFormat/>
    <w:uiPriority w:val="0"/>
    <w:pPr>
      <w:spacing w:line="240" w:lineRule="auto"/>
      <w:ind w:firstLine="0" w:firstLineChars="0"/>
      <w:jc w:val="center"/>
    </w:pPr>
    <w:rPr>
      <w:rFonts w:eastAsia="Times New Roman" w:cs="Times New Roman"/>
      <w:kern w:val="0"/>
      <w:sz w:val="21"/>
      <w:szCs w:val="20"/>
    </w:rPr>
  </w:style>
  <w:style w:type="character" w:customStyle="1" w:styleId="35">
    <w:name w:val="表格 Char"/>
    <w:basedOn w:val="16"/>
    <w:link w:val="34"/>
    <w:qFormat/>
    <w:uiPriority w:val="0"/>
    <w:rPr>
      <w:rFonts w:ascii="Times New Roman" w:hAnsi="Times New Roman" w:eastAsia="Times New Roman" w:cs="Times New Roman"/>
      <w:kern w:val="0"/>
      <w:szCs w:val="20"/>
    </w:rPr>
  </w:style>
  <w:style w:type="paragraph" w:customStyle="1" w:styleId="36">
    <w:name w:val="表标题"/>
    <w:basedOn w:val="1"/>
    <w:link w:val="37"/>
    <w:qFormat/>
    <w:uiPriority w:val="0"/>
    <w:pPr>
      <w:spacing w:beforeLines="50" w:afterLines="50" w:line="240" w:lineRule="auto"/>
      <w:ind w:firstLine="0" w:firstLineChars="0"/>
      <w:jc w:val="center"/>
    </w:pPr>
    <w:rPr>
      <w:rFonts w:eastAsia="黑体" w:cs="Times New Roman"/>
      <w:sz w:val="21"/>
    </w:rPr>
  </w:style>
  <w:style w:type="character" w:customStyle="1" w:styleId="37">
    <w:name w:val="表标题 Char"/>
    <w:basedOn w:val="16"/>
    <w:link w:val="36"/>
    <w:qFormat/>
    <w:uiPriority w:val="0"/>
    <w:rPr>
      <w:rFonts w:ascii="Times New Roman" w:hAnsi="Times New Roman" w:eastAsia="黑体" w:cs="Times New Roman"/>
    </w:rPr>
  </w:style>
  <w:style w:type="paragraph" w:customStyle="1" w:styleId="38">
    <w:name w:val="列出段落1"/>
    <w:basedOn w:val="1"/>
    <w:qFormat/>
    <w:uiPriority w:val="0"/>
    <w:pPr>
      <w:ind w:firstLine="420"/>
    </w:pPr>
    <w:rPr>
      <w:rFonts w:eastAsia="仿宋" w:cs="Times New Roman"/>
      <w:sz w:val="30"/>
      <w:szCs w:val="20"/>
    </w:rPr>
  </w:style>
  <w:style w:type="character" w:customStyle="1" w:styleId="39">
    <w:name w:val="文档结构图 字符"/>
    <w:basedOn w:val="16"/>
    <w:link w:val="6"/>
    <w:semiHidden/>
    <w:qFormat/>
    <w:uiPriority w:val="99"/>
    <w:rPr>
      <w:rFonts w:ascii="Times New Roman" w:hAnsi="Times New Roman" w:eastAsia="仿宋" w:cs="Times New Roman"/>
      <w:sz w:val="24"/>
      <w:szCs w:val="24"/>
    </w:rPr>
  </w:style>
  <w:style w:type="paragraph" w:customStyle="1" w:styleId="40">
    <w:name w:val="顶头"/>
    <w:link w:val="41"/>
    <w:qFormat/>
    <w:uiPriority w:val="0"/>
    <w:pPr>
      <w:jc w:val="center"/>
    </w:pPr>
    <w:rPr>
      <w:rFonts w:ascii="Times New Roman" w:hAnsi="Times New Roman" w:eastAsia="楷体" w:cs="Times New Roman"/>
      <w:kern w:val="2"/>
      <w:sz w:val="21"/>
      <w:szCs w:val="22"/>
      <w:lang w:val="en-US" w:eastAsia="zh-CN" w:bidi="ar-SA"/>
    </w:rPr>
  </w:style>
  <w:style w:type="character" w:customStyle="1" w:styleId="41">
    <w:name w:val="顶头 字符"/>
    <w:link w:val="40"/>
    <w:qFormat/>
    <w:uiPriority w:val="0"/>
    <w:rPr>
      <w:rFonts w:ascii="Times New Roman" w:hAnsi="Times New Roman" w:eastAsia="楷体" w:cs="Times New Roman"/>
    </w:rPr>
  </w:style>
  <w:style w:type="paragraph" w:customStyle="1" w:styleId="42">
    <w:name w:val="顶头标题"/>
    <w:link w:val="43"/>
    <w:qFormat/>
    <w:uiPriority w:val="0"/>
    <w:rPr>
      <w:rFonts w:ascii="Times New Roman" w:hAnsi="Times New Roman" w:eastAsia="楷体" w:cs="Times New Roman"/>
      <w:kern w:val="2"/>
      <w:sz w:val="21"/>
      <w:szCs w:val="22"/>
      <w:lang w:val="en-US" w:eastAsia="zh-CN" w:bidi="ar-SA"/>
    </w:rPr>
  </w:style>
  <w:style w:type="character" w:customStyle="1" w:styleId="43">
    <w:name w:val="顶头标题 字符"/>
    <w:link w:val="42"/>
    <w:qFormat/>
    <w:uiPriority w:val="0"/>
    <w:rPr>
      <w:rFonts w:ascii="Times New Roman" w:hAnsi="Times New Roman" w:eastAsia="楷体" w:cs="Times New Roman"/>
    </w:rPr>
  </w:style>
  <w:style w:type="character" w:customStyle="1" w:styleId="44">
    <w:name w:val="批注文字 字符"/>
    <w:basedOn w:val="16"/>
    <w:link w:val="7"/>
    <w:semiHidden/>
    <w:qFormat/>
    <w:uiPriority w:val="99"/>
    <w:rPr>
      <w:rFonts w:ascii="Times New Roman" w:hAnsi="Times New Roman" w:eastAsia="仿宋" w:cs="Times New Roman"/>
      <w:sz w:val="30"/>
      <w:szCs w:val="20"/>
    </w:rPr>
  </w:style>
  <w:style w:type="character" w:customStyle="1" w:styleId="45">
    <w:name w:val="批注主题 字符"/>
    <w:basedOn w:val="44"/>
    <w:link w:val="13"/>
    <w:semiHidden/>
    <w:qFormat/>
    <w:uiPriority w:val="99"/>
    <w:rPr>
      <w:rFonts w:ascii="Times New Roman" w:hAnsi="Times New Roman" w:eastAsia="仿宋" w:cs="Times New Roman"/>
      <w:b/>
      <w:bCs/>
      <w:sz w:val="30"/>
      <w:szCs w:val="20"/>
    </w:rPr>
  </w:style>
  <w:style w:type="paragraph" w:customStyle="1" w:styleId="46">
    <w:name w:val="列表段落1"/>
    <w:basedOn w:val="1"/>
    <w:link w:val="47"/>
    <w:qFormat/>
    <w:uiPriority w:val="34"/>
    <w:pPr>
      <w:ind w:firstLine="420"/>
      <w:jc w:val="left"/>
    </w:pPr>
    <w:rPr>
      <w:rFonts w:eastAsia="PMingLiU" w:cs="Times New Roman"/>
      <w:szCs w:val="24"/>
      <w:lang w:eastAsia="zh-TW"/>
    </w:rPr>
  </w:style>
  <w:style w:type="character" w:customStyle="1" w:styleId="47">
    <w:name w:val="列出段落 Char"/>
    <w:link w:val="46"/>
    <w:qFormat/>
    <w:uiPriority w:val="34"/>
    <w:rPr>
      <w:rFonts w:ascii="Times New Roman" w:hAnsi="Times New Roman" w:eastAsia="PMingLiU" w:cs="Times New Roman"/>
      <w:sz w:val="24"/>
      <w:szCs w:val="24"/>
      <w:lang w:eastAsia="zh-TW"/>
    </w:rPr>
  </w:style>
  <w:style w:type="paragraph" w:customStyle="1" w:styleId="48">
    <w:name w:val="修订1"/>
    <w:hidden/>
    <w:semiHidden/>
    <w:qFormat/>
    <w:uiPriority w:val="99"/>
    <w:rPr>
      <w:rFonts w:ascii="Times New Roman" w:hAnsi="Times New Roman" w:eastAsia="仿宋_GB2312" w:cstheme="minorBidi"/>
      <w:kern w:val="2"/>
      <w:sz w:val="28"/>
      <w:szCs w:val="22"/>
      <w:lang w:val="en-US" w:eastAsia="zh-CN" w:bidi="ar-SA"/>
    </w:rPr>
  </w:style>
  <w:style w:type="paragraph" w:styleId="49">
    <w:name w:val="No Spacing"/>
    <w:qFormat/>
    <w:uiPriority w:val="1"/>
    <w:pPr>
      <w:widowControl w:val="0"/>
      <w:jc w:val="center"/>
    </w:pPr>
    <w:rPr>
      <w:rFonts w:ascii="Times New Roman" w:hAnsi="Times New Roman" w:eastAsia="黑体" w:cs="Times New Roman"/>
      <w:kern w:val="2"/>
      <w:sz w:val="24"/>
      <w:szCs w:val="22"/>
      <w:lang w:val="en-US" w:eastAsia="zh-CN" w:bidi="ar-SA"/>
    </w:rPr>
  </w:style>
  <w:style w:type="paragraph" w:styleId="50">
    <w:name w:val="List Paragraph"/>
    <w:basedOn w:val="1"/>
    <w:qFormat/>
    <w:uiPriority w:val="34"/>
    <w:pPr>
      <w:ind w:firstLine="420"/>
      <w:jc w:val="left"/>
    </w:pPr>
    <w:rPr>
      <w:rFonts w:eastAsia="PMingLiU" w:cs="Times New Roman"/>
      <w:sz w:val="24"/>
      <w:szCs w:val="24"/>
      <w:lang w:eastAsia="zh-TW"/>
    </w:rPr>
  </w:style>
  <w:style w:type="character" w:customStyle="1" w:styleId="51">
    <w:name w:val="正文文本 字符"/>
    <w:basedOn w:val="16"/>
    <w:link w:val="8"/>
    <w:semiHidden/>
    <w:qFormat/>
    <w:uiPriority w:val="99"/>
    <w:rPr>
      <w:rFonts w:ascii="Times New Roman" w:hAnsi="Times New Roman" w:eastAsia="仿宋_GB2312"/>
      <w:kern w:val="2"/>
      <w:sz w:val="28"/>
      <w:szCs w:val="22"/>
    </w:rPr>
  </w:style>
  <w:style w:type="paragraph" w:customStyle="1" w:styleId="52">
    <w:name w:val="附录表标题"/>
    <w:next w:val="1"/>
    <w:qFormat/>
    <w:uiPriority w:val="0"/>
    <w:pPr>
      <w:jc w:val="center"/>
      <w:textAlignment w:val="baseline"/>
    </w:pPr>
    <w:rPr>
      <w:rFonts w:ascii="黑体" w:hAnsi="Times New Roman" w:eastAsia="黑体" w:cs="Times New Roman"/>
      <w:kern w:val="21"/>
      <w:sz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customXml" Target="../customXml/item2.xml"/><Relationship Id="rId15" Type="http://schemas.openxmlformats.org/officeDocument/2006/relationships/numbering" Target="numbering.xml"/><Relationship Id="rId14" Type="http://schemas.openxmlformats.org/officeDocument/2006/relationships/customXml" Target="../customXml/item1.xml"/><Relationship Id="rId13" Type="http://schemas.openxmlformats.org/officeDocument/2006/relationships/image" Target="media/image2.jpeg"/><Relationship Id="rId12" Type="http://schemas.openxmlformats.org/officeDocument/2006/relationships/image" Target="media/image1.png"/><Relationship Id="rId11" Type="http://schemas.openxmlformats.org/officeDocument/2006/relationships/theme" Target="theme/theme1.xml"/><Relationship Id="rId10" Type="http://schemas.openxmlformats.org/officeDocument/2006/relationships/footer" Target="footer5.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1E28B22-C6A7-4A43-A685-4769DE9B48B9}">
  <ds:schemaRefs/>
</ds:datastoreItem>
</file>

<file path=docProps/app.xml><?xml version="1.0" encoding="utf-8"?>
<Properties xmlns="http://schemas.openxmlformats.org/officeDocument/2006/extended-properties" xmlns:vt="http://schemas.openxmlformats.org/officeDocument/2006/docPropsVTypes">
  <Template>Normal.dotm</Template>
  <Company>微软中国</Company>
  <Pages>1</Pages>
  <Words>4654</Words>
  <Characters>26530</Characters>
  <Lines>221</Lines>
  <Paragraphs>62</Paragraphs>
  <TotalTime>5</TotalTime>
  <ScaleCrop>false</ScaleCrop>
  <LinksUpToDate>false</LinksUpToDate>
  <CharactersWithSpaces>31122</CharactersWithSpaces>
  <Application>WPS Office_11.8.2.8875_F1E327BC-269C-435d-A152-05C5408002CA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2020-04-26T14:37:00Z</dcterms:created>
  <dc:creator>Cui Guannan</dc:creator>
  <cp:lastModifiedBy>方晴</cp:lastModifiedBy>
  <cp:lastPrinted>2020-06-10T00:59:00Z</cp:lastPrinted>
  <dcterms:modified xsi:type="dcterms:W3CDTF">2021-01-29T00:23:01Z</dcterms:modified>
  <cp:revision>631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2052-11.8.2.8875</vt:lpwstr>
  </property>
</Properties>
</file>