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val="0"/>
        <w:snapToGrid w:val="0"/>
        <w:spacing w:line="600" w:lineRule="exact"/>
        <w:ind w:left="0" w:leftChars="0"/>
        <w:jc w:val="center"/>
        <w:textAlignment w:val="auto"/>
        <w:outlineLvl w:val="0"/>
        <w:rPr>
          <w:rFonts w:hint="default" w:ascii="Times New Roman" w:hAnsi="Times New Roman" w:eastAsia="方正小标宋_GBK" w:cs="Times New Roman"/>
          <w:color w:val="auto"/>
          <w:sz w:val="44"/>
          <w:szCs w:val="44"/>
          <w:lang w:eastAsia="zh-CN"/>
        </w:rPr>
      </w:pPr>
      <w:bookmarkStart w:id="0" w:name="_GoBack"/>
      <w:bookmarkEnd w:id="0"/>
      <w:r>
        <w:rPr>
          <w:rFonts w:hint="default" w:ascii="Times New Roman" w:hAnsi="Times New Roman" w:eastAsia="方正小标宋_GBK" w:cs="Times New Roman"/>
          <w:color w:val="auto"/>
          <w:sz w:val="44"/>
          <w:szCs w:val="44"/>
          <w:lang w:eastAsia="zh-CN"/>
        </w:rPr>
        <w:t>《</w:t>
      </w:r>
      <w:r>
        <w:rPr>
          <w:rFonts w:hint="default" w:ascii="Times New Roman" w:hAnsi="Times New Roman" w:eastAsia="方正小标宋_GBK" w:cs="Times New Roman"/>
          <w:color w:val="auto"/>
          <w:sz w:val="44"/>
          <w:szCs w:val="44"/>
        </w:rPr>
        <w:t>广西壮族自治区“两高”建设项目主要污染物排放管理办法</w:t>
      </w:r>
      <w:r>
        <w:rPr>
          <w:rFonts w:hint="default" w:ascii="Times New Roman" w:hAnsi="Times New Roman" w:eastAsia="方正小标宋_GBK" w:cs="Times New Roman"/>
          <w:color w:val="auto"/>
          <w:sz w:val="44"/>
          <w:szCs w:val="44"/>
          <w:lang w:eastAsia="zh-CN"/>
        </w:rPr>
        <w:t>》</w:t>
      </w:r>
      <w:r>
        <w:rPr>
          <w:rFonts w:hint="eastAsia" w:ascii="Times New Roman" w:hAnsi="Times New Roman" w:eastAsia="方正小标宋_GBK" w:cs="Times New Roman"/>
          <w:color w:val="auto"/>
          <w:sz w:val="44"/>
          <w:szCs w:val="44"/>
          <w:lang w:eastAsia="zh-CN"/>
        </w:rPr>
        <w:t>修订</w:t>
      </w:r>
      <w:r>
        <w:rPr>
          <w:rFonts w:hint="default" w:ascii="Times New Roman" w:hAnsi="Times New Roman" w:eastAsia="方正小标宋_GBK" w:cs="Times New Roman"/>
          <w:color w:val="auto"/>
          <w:sz w:val="44"/>
          <w:szCs w:val="44"/>
          <w:lang w:eastAsia="zh-CN"/>
        </w:rPr>
        <w:t>说明</w:t>
      </w:r>
    </w:p>
    <w:p>
      <w:pPr>
        <w:keepNext w:val="0"/>
        <w:keepLines w:val="0"/>
        <w:pageBreakBefore w:val="0"/>
        <w:widowControl w:val="0"/>
        <w:kinsoku/>
        <w:overflowPunct/>
        <w:topLinePunct w:val="0"/>
        <w:autoSpaceDE/>
        <w:autoSpaceDN/>
        <w:bidi w:val="0"/>
        <w:adjustRightInd w:val="0"/>
        <w:snapToGrid w:val="0"/>
        <w:spacing w:line="600" w:lineRule="exact"/>
        <w:ind w:left="0" w:leftChars="0"/>
        <w:jc w:val="both"/>
        <w:textAlignment w:val="auto"/>
        <w:outlineLvl w:val="0"/>
        <w:rPr>
          <w:rFonts w:hint="default" w:ascii="Times New Roman" w:hAnsi="Times New Roman" w:eastAsia="方正小标宋_GBK" w:cs="Times New Roman"/>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为规范我区高耗能、高排放（以下简称“两高”）建设项目主要污染物排放管理工作，遏制“两高”建设项目盲目发展，确保区域环境质量不恶化，推进我区工业健康有序发展，依据生态环境部及相关文件规定，</w:t>
      </w:r>
      <w:r>
        <w:rPr>
          <w:rFonts w:hint="default" w:ascii="Times New Roman" w:hAnsi="Times New Roman" w:eastAsia="仿宋" w:cs="Times New Roman"/>
          <w:sz w:val="32"/>
          <w:szCs w:val="32"/>
          <w:lang w:eastAsia="zh-CN"/>
        </w:rPr>
        <w:t>于</w:t>
      </w:r>
      <w:r>
        <w:rPr>
          <w:rFonts w:hint="default" w:ascii="Times New Roman" w:hAnsi="Times New Roman" w:eastAsia="仿宋" w:cs="Times New Roman"/>
          <w:sz w:val="32"/>
          <w:szCs w:val="32"/>
        </w:rPr>
        <w:t>2022年1月</w:t>
      </w:r>
      <w:r>
        <w:rPr>
          <w:rFonts w:hint="default" w:ascii="Times New Roman" w:hAnsi="Times New Roman" w:eastAsia="仿宋" w:cs="Times New Roman"/>
          <w:sz w:val="32"/>
          <w:szCs w:val="32"/>
          <w:lang w:val="en-US" w:eastAsia="zh-CN"/>
        </w:rPr>
        <w:t>25日</w:t>
      </w:r>
      <w:r>
        <w:rPr>
          <w:rFonts w:hint="default" w:ascii="Times New Roman" w:hAnsi="Times New Roman" w:eastAsia="仿宋" w:cs="Times New Roman"/>
          <w:sz w:val="32"/>
          <w:szCs w:val="32"/>
        </w:rPr>
        <w:t>印发</w:t>
      </w:r>
      <w:r>
        <w:rPr>
          <w:rFonts w:hint="default" w:ascii="Times New Roman" w:hAnsi="Times New Roman" w:eastAsia="仿宋" w:cs="Times New Roman"/>
          <w:sz w:val="32"/>
          <w:szCs w:val="32"/>
          <w:lang w:eastAsia="zh-CN"/>
        </w:rPr>
        <w:t>实施</w:t>
      </w:r>
      <w:r>
        <w:rPr>
          <w:rFonts w:hint="default" w:ascii="Times New Roman" w:hAnsi="Times New Roman" w:eastAsia="仿宋" w:cs="Times New Roman"/>
          <w:sz w:val="32"/>
          <w:szCs w:val="32"/>
        </w:rPr>
        <w:t>《广西壮族自治区“两高”建设项目主要污染物排放管理办法</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试行</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》，现试行期满</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对</w:t>
      </w:r>
      <w:r>
        <w:rPr>
          <w:rFonts w:hint="default" w:ascii="Times New Roman" w:hAnsi="Times New Roman" w:eastAsia="仿宋" w:cs="Times New Roman"/>
          <w:sz w:val="32"/>
          <w:szCs w:val="32"/>
          <w:lang w:eastAsia="zh-CN"/>
        </w:rPr>
        <w:t>其</w:t>
      </w:r>
      <w:r>
        <w:rPr>
          <w:rFonts w:hint="default" w:ascii="Times New Roman" w:hAnsi="Times New Roman" w:eastAsia="仿宋" w:cs="Times New Roman"/>
          <w:sz w:val="32"/>
          <w:szCs w:val="32"/>
        </w:rPr>
        <w:t>进行修订。现将修订情况说明如下：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一、修订《广西壮族自治区“两高”建设项目主要污染物排放管理办法》（以下简称《管理办法》）的必要性</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生态环境部相继出台《关于加强重点行业建设项目区域削减监督管理的通知》（环办环评〔2020〕36号）（以下简称“36号文”）、《关于加强高耗能、高排放建设项目生态环境源头防控的指导意见》（环环评〔2021〕45号）（以下简称“45”号文），要求严格“两高”项目环评审批，将“两高”项目新增主要污染物区域削减方案作为项目审批重要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国家实行的总量控制制度是以主要污染物目标管理为核心，推动环境质量不断改善，而非以环境容量核算排污总量保障环境质量的管理方式，</w:t>
      </w:r>
      <w:r>
        <w:rPr>
          <w:rFonts w:hint="eastAsia" w:ascii="Times New Roman" w:hAnsi="Times New Roman" w:eastAsia="仿宋" w:cs="Times New Roman"/>
          <w:sz w:val="32"/>
          <w:szCs w:val="32"/>
          <w:lang w:eastAsia="zh-CN"/>
        </w:rPr>
        <w:t>但</w:t>
      </w:r>
      <w:r>
        <w:rPr>
          <w:rFonts w:hint="default" w:ascii="Times New Roman" w:hAnsi="Times New Roman" w:eastAsia="仿宋" w:cs="Times New Roman"/>
          <w:sz w:val="32"/>
          <w:szCs w:val="32"/>
        </w:rPr>
        <w:t>由于我区工业基础薄弱，污染物排放总量基数低，通过区域等量削减替代制约了重大项目审批落地。修订本办法，</w:t>
      </w:r>
      <w:r>
        <w:rPr>
          <w:rFonts w:hint="default" w:ascii="Times New Roman" w:hAnsi="Times New Roman" w:eastAsia="仿宋" w:cs="Times New Roman"/>
          <w:sz w:val="32"/>
          <w:szCs w:val="32"/>
          <w:lang w:eastAsia="zh-CN"/>
        </w:rPr>
        <w:t>为进一步</w:t>
      </w:r>
      <w:r>
        <w:rPr>
          <w:rFonts w:hint="default" w:ascii="Times New Roman" w:hAnsi="Times New Roman" w:eastAsia="仿宋" w:cs="Times New Roman"/>
          <w:sz w:val="32"/>
          <w:szCs w:val="32"/>
        </w:rPr>
        <w:t>深入挖掘项目减排潜</w:t>
      </w:r>
      <w:r>
        <w:rPr>
          <w:rFonts w:hint="default" w:ascii="Times New Roman" w:hAnsi="Times New Roman" w:eastAsia="仿宋" w:cs="Times New Roman"/>
          <w:sz w:val="32"/>
          <w:szCs w:val="32"/>
          <w:lang w:eastAsia="zh-CN"/>
        </w:rPr>
        <w:t>力，</w:t>
      </w:r>
      <w:r>
        <w:rPr>
          <w:rFonts w:hint="default" w:ascii="Times New Roman" w:hAnsi="Times New Roman" w:eastAsia="仿宋" w:cs="Times New Roman"/>
          <w:sz w:val="32"/>
          <w:szCs w:val="32"/>
        </w:rPr>
        <w:t>盘活闲置污染物总量指标，在确保环境质量不出现恶化的前提下，推动重大工业项目审批落地，促进我区工业经济高质量发展。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二、《管理办法》的立法依据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管理办法》的立法依据是《排污许可管理条例》、生态环境部印发的《关于加强高耗能、高排放建设项目生态环境源头防控的指导意见》等法规、规范性文件。在修订编制过程中，学习了山东、浙江等省排污权有偿使用和交易管理办法、借鉴《闲置土地处置办法》关于土地指标收回政策做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三</w:t>
      </w:r>
      <w:r>
        <w:rPr>
          <w:rFonts w:hint="default" w:ascii="Times New Roman" w:hAnsi="Times New Roman" w:eastAsia="黑体" w:cs="Times New Roman"/>
          <w:sz w:val="32"/>
          <w:szCs w:val="32"/>
        </w:rPr>
        <w:t>、《管理办法》主要条款内容</w:t>
      </w:r>
      <w:r>
        <w:rPr>
          <w:rFonts w:hint="eastAsia" w:ascii="Times New Roman" w:hAnsi="Times New Roman" w:eastAsia="黑体" w:cs="Times New Roman"/>
          <w:sz w:val="32"/>
          <w:szCs w:val="32"/>
          <w:lang w:eastAsia="zh-CN"/>
        </w:rPr>
        <w:t>修订</w:t>
      </w:r>
      <w:r>
        <w:rPr>
          <w:rFonts w:hint="default" w:ascii="Times New Roman" w:hAnsi="Times New Roman" w:eastAsia="黑体" w:cs="Times New Roman"/>
          <w:sz w:val="32"/>
          <w:szCs w:val="32"/>
        </w:rPr>
        <w:t>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《管理办法》包括总则、排放量管理、管理责任和附则四部分。试行本共四章三十三条，修订本共四章二十九条，部分条款因内容重复，或国家条例已经明确，进行删除或整合。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（一）关于适用范围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本办法适用于广西壮族自治区行政区划范围内新建、改建和扩建“两高”项目。“两高”项目的范围按自治区印发文件目录执行，国家对“两高”范围、要求有新规定的，从其规定。市级审批项目参照执行。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本办法所指的主要污染物为挥发性有机物、氮氧化物、化学需氧量、氨氮。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（二）关于区域削减要求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本办法立法目的，就是落实拟建“两高”工业项目新增排放污染物有替代来源，确保国家政策得到遵循，确保环境功能区环境质量达标不恶化，助推高质量发展。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（三）区域削减方案与环评审批联动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本办法将本自治区新建、改建和扩建“两高”建设项目主要污染物排放总量指标作为环境影响评价审批的重要条件，建设单位报批环境影响评价文件前，区域削减方案应与环评文件同时向社会公开。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（四）关于排放量测算和确认</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现有固定污染源主要污染物排放量采用排污许可证申请与核发技术规范、污染源源强核算技术指南中规定的核算方法以及达到相应环境管理排放标准限值要求三种情形测算得出的最低值作为最高允许排放限值。其他削减指标来源按照规范核算。</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（四）关于排放量来源情形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为拓展主要污染物来源，做好“两高”建设项目排放量的统筹管理，《管理办法》规定了九种情形：一是建设项目达产实际排放量连续2年小于排污许可证核发排放量，原核发排放量与实际排放量差值部分；二是辖区内近5年关停或依法取缔的列入环境统计、污染源普查、已申领排污许可等其他排污单位形成的减排量；三是辖区内经各级审批机关批复的建设项目环境影响评价文件，5年后仍未开工建设所预测的排放量；四是建设单位未按承诺开工建设或者建成投产达产（使用）的，由生态环境主管部门收回无偿占用的全部排放量；五是来源于现有企业自行或国家要求治理前后形成的减排量；六是辖区内开展区域、流域环境综合治理形成的减排量（包括各类环境污染治理、新增污染治理设施和措施后形成的减排量）；七是来源于辖区内经批复后5年内明确取消项目建设，该建设项目环境影响评价文件所预测无偿占用的排放量；八是工业园区清洁生产审核形成的减排量；九是其他国家认可的污染物削减来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建设单位提交的区域削减方案及相关证明材料，需要行政机关协调落实的，由所在设区市生态环境部门或地方人民政府出具确认文件材料，确认文件中应当明确主要污染物排放量使用期限。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（五）《管理办法》的创新和亮点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本办法</w:t>
      </w:r>
      <w:r>
        <w:rPr>
          <w:rFonts w:hint="default" w:ascii="Times New Roman" w:hAnsi="Times New Roman" w:eastAsia="仿宋" w:cs="Times New Roman"/>
          <w:sz w:val="32"/>
          <w:szCs w:val="32"/>
          <w:lang w:eastAsia="zh-CN"/>
        </w:rPr>
        <w:t>修订，</w:t>
      </w:r>
      <w:r>
        <w:rPr>
          <w:rFonts w:hint="default" w:ascii="Times New Roman" w:hAnsi="Times New Roman" w:eastAsia="仿宋" w:cs="Times New Roman"/>
          <w:sz w:val="32"/>
          <w:szCs w:val="32"/>
        </w:rPr>
        <w:t>是</w:t>
      </w:r>
      <w:r>
        <w:rPr>
          <w:rFonts w:hint="default" w:ascii="Times New Roman" w:hAnsi="Times New Roman" w:eastAsia="仿宋" w:cs="Times New Roman"/>
          <w:sz w:val="32"/>
          <w:szCs w:val="32"/>
          <w:lang w:eastAsia="zh-CN"/>
        </w:rPr>
        <w:t>为进一步</w:t>
      </w:r>
      <w:r>
        <w:rPr>
          <w:rFonts w:hint="default" w:ascii="Times New Roman" w:hAnsi="Times New Roman" w:eastAsia="仿宋" w:cs="Times New Roman"/>
          <w:sz w:val="32"/>
          <w:szCs w:val="32"/>
        </w:rPr>
        <w:t>通过深入挖掘项目减排潜力，盘活闲置污染物总量指标，建立平台解决区域、流域拟建项目主要污染物排放量的来源。行政许可决定中也提出建设单位未按承诺开工建设或者建成投产（使用）的，由“两高”建设项目所在地设区市生态环境主管部门收回相应调剂的区域减排量的要求，确保排污总量贡献经济总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（六）关于行政许可的管理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涉及排污许可证的申领、变更和注销。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申请情形为：建设单位申请排污许可证前，全部削减措施应在建设项目取得排污许可证前完成。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变更情形为：出让减排量的排污单位应在削减措施完成后30个工作日内提出变更排污许可证申请、建设项目应按照核定后的实际排放量申请变更排污许可证、升级技术改造后，主要污染物排放量发生变化的应申请变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注销情形为：出让减排量的排污单位整体关停。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（七）关于台账管理和核查管理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本办法要求自治区、各设区市生态环境部门分级负责建立本辖区内的拟建设项目主要污染物排放量调剂管理台账，实行全区上下动态管理，每季度以市为单位定期上报自治区生态环境厅。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按照属地管理的原则，各设区市生态环境部门应加强辖区内建设项目主要污染物削减量管理台账和区域削减方案落实情况的跟踪核查，重点核查建设项目建设进度、排污许可申请与核发情况，排污许可执行报告提交情况，已出让排污单位减排量记录情况、排污许可证变更或者注销情况、地方政府或部门区域削减工作确认承诺落实情况等，自治区生态环境厅不定期对各设区市主要污染物削减量调剂使用情况进行督导检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（八）关于确保相关主体的责任落实的规定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一是“两高”建设项目主体责任，规定了不按未按承诺开工建设或者建成投产（使用），依法收回主要污染物排放量和不核发排污许可证的规定。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二是“两高”建设项目所在地地方人民政府的责任。规定了建设单位未作出书面承诺，出具调剂使用或者协调出让的确认文件、未按承诺落实区域削减工作，企业无法落地或区域削减目标无法落实的地方人民政府应承担的后果。</w:t>
      </w:r>
    </w:p>
    <w:p/>
    <w:sectPr>
      <w:footerReference r:id="rId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-142875</wp:posOffset>
              </wp:positionV>
              <wp:extent cx="864870" cy="288925"/>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864870" cy="288925"/>
                      </a:xfrm>
                      <a:prstGeom prst="rect">
                        <a:avLst/>
                      </a:prstGeom>
                      <a:noFill/>
                      <a:ln w="6350">
                        <a:noFill/>
                      </a:ln>
                      <a:effectLst/>
                    </wps:spPr>
                    <wps:txbx>
                      <w:txbxContent>
                        <w:p>
                          <w:pPr>
                            <w:pStyle w:val="2"/>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  \* MERGEFORMAT </w:instrText>
                          </w:r>
                          <w:r>
                            <w:rPr>
                              <w:rFonts w:hint="eastAsia" w:ascii="仿宋" w:hAnsi="仿宋" w:eastAsia="仿宋" w:cs="仿宋"/>
                              <w:sz w:val="32"/>
                              <w:szCs w:val="32"/>
                            </w:rPr>
                            <w:fldChar w:fldCharType="separate"/>
                          </w:r>
                          <w:r>
                            <w:rPr>
                              <w:rFonts w:hint="eastAsia" w:ascii="仿宋" w:hAnsi="仿宋" w:eastAsia="仿宋" w:cs="仿宋"/>
                              <w:sz w:val="32"/>
                              <w:szCs w:val="32"/>
                            </w:rPr>
                            <w:t>1</w:t>
                          </w:r>
                          <w:r>
                            <w:rPr>
                              <w:rFonts w:hint="eastAsia" w:ascii="仿宋" w:hAnsi="仿宋" w:eastAsia="仿宋" w:cs="仿宋"/>
                              <w:sz w:val="32"/>
                              <w:szCs w:val="32"/>
                            </w:rPr>
                            <w:fldChar w:fldCharType="end"/>
                          </w:r>
                          <w:r>
                            <w:rPr>
                              <w:rFonts w:hint="eastAsia" w:ascii="仿宋" w:hAnsi="仿宋" w:eastAsia="仿宋" w:cs="仿宋"/>
                              <w:sz w:val="32"/>
                              <w:szCs w:val="32"/>
                            </w:rPr>
                            <w:t xml:space="preserve"> —</w:t>
                          </w:r>
                        </w:p>
                      </w:txbxContent>
                    </wps:txbx>
                    <wps:bodyPr rot="0" spcFirstLastPara="0" vertOverflow="overflow" horzOverflow="overflow" vert="horz" wrap="square" lIns="0" tIns="0" rIns="0" bIns="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top:-11.25pt;height:22.75pt;width:68.1pt;mso-position-horizontal:outside;mso-position-horizontal-relative:margin;z-index:251658240;mso-width-relative:page;mso-height-relative:page;" filled="f" stroked="f" coordsize="21600,21600" o:gfxdata="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64FmWtYAAAAHAQAADwAAAAAAAAABACAAAAA4AAAAZHJzL2Rv&#10;d25yZXYueG1sUEsBAhQAFAAAAAgAh07iQOB05RMmAgAANwQAAA4AAAAAAAAAAQAgAAAAOwEAAGRy&#10;cy9lMm9Eb2MueG1sUEsFBgAAAAAGAAYAWQEAANMFAAAAAA==&#10;">
              <v:fill on="f" focussize="0,0"/>
              <v:stroke on="f" weight="0.5pt"/>
              <v:imagedata o:title=""/>
              <o:lock v:ext="edit" aspectratio="f"/>
              <v:textbox inset="0mm,0mm,0mm,0mm">
                <w:txbxContent>
                  <w:p>
                    <w:pPr>
                      <w:pStyle w:val="2"/>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  \* MERGEFORMAT </w:instrText>
                    </w:r>
                    <w:r>
                      <w:rPr>
                        <w:rFonts w:hint="eastAsia" w:ascii="仿宋" w:hAnsi="仿宋" w:eastAsia="仿宋" w:cs="仿宋"/>
                        <w:sz w:val="32"/>
                        <w:szCs w:val="32"/>
                      </w:rPr>
                      <w:fldChar w:fldCharType="separate"/>
                    </w:r>
                    <w:r>
                      <w:rPr>
                        <w:rFonts w:hint="eastAsia" w:ascii="仿宋" w:hAnsi="仿宋" w:eastAsia="仿宋" w:cs="仿宋"/>
                        <w:sz w:val="32"/>
                        <w:szCs w:val="32"/>
                      </w:rPr>
                      <w:t>1</w:t>
                    </w:r>
                    <w:r>
                      <w:rPr>
                        <w:rFonts w:hint="eastAsia" w:ascii="仿宋" w:hAnsi="仿宋" w:eastAsia="仿宋" w:cs="仿宋"/>
                        <w:sz w:val="32"/>
                        <w:szCs w:val="32"/>
                      </w:rPr>
                      <w:fldChar w:fldCharType="end"/>
                    </w:r>
                    <w:r>
                      <w:rPr>
                        <w:rFonts w:hint="eastAsia" w:ascii="仿宋" w:hAnsi="仿宋" w:eastAsia="仿宋" w:cs="仿宋"/>
                        <w:sz w:val="32"/>
                        <w:szCs w:val="32"/>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79A8D4"/>
    <w:rsid w:val="7B79A8D4"/>
    <w:rsid w:val="BF3854B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Style w:val="3"/>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7.33333333333333</TotalTime>
  <ScaleCrop>false</ScaleCrop>
  <LinksUpToDate>false</LinksUpToDate>
  <CharactersWithSpaces>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2023-10-19T20:52:00Z</dcterms:created>
  <dc:creator>杨春琳</dc:creator>
  <cp:lastModifiedBy>杨春琳</cp:lastModifiedBy>
  <dcterms:modified xsi:type="dcterms:W3CDTF">2023-10-19T13:00:09Z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