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outlineLvl w:val="0"/>
        <w:rPr>
          <w:rFonts w:ascii="Times New Roman" w:hAnsi="Times New Roman" w:eastAsia="仿宋" w:cs="Times New Roman"/>
          <w:sz w:val="32"/>
          <w:szCs w:val="32"/>
        </w:rPr>
      </w:pPr>
      <w:r>
        <w:rPr>
          <w:rFonts w:hint="eastAsia" w:ascii="Times New Roman" w:hAnsi="Times New Roman" w:eastAsia="仿宋" w:cs="Times New Roman"/>
          <w:sz w:val="32"/>
          <w:szCs w:val="32"/>
        </w:rPr>
        <w:t>附件1</w:t>
      </w:r>
      <w:bookmarkStart w:id="32" w:name="_GoBack"/>
      <w:bookmarkEnd w:id="32"/>
    </w:p>
    <w:p>
      <w:pPr>
        <w:autoSpaceDE w:val="0"/>
        <w:autoSpaceDN w:val="0"/>
        <w:adjustRightInd w:val="0"/>
        <w:spacing w:line="580" w:lineRule="exact"/>
        <w:jc w:val="center"/>
        <w:outlineLvl w:val="0"/>
        <w:rPr>
          <w:rFonts w:ascii="黑体" w:hAnsi="黑体" w:eastAsia="黑体" w:cs="黑体"/>
          <w:color w:val="000000"/>
          <w:sz w:val="32"/>
          <w:szCs w:val="32"/>
          <w:lang w:bidi="ar"/>
        </w:rPr>
      </w:pPr>
      <w:r>
        <w:rPr>
          <w:rFonts w:hint="eastAsia" w:ascii="黑体" w:hAnsi="黑体" w:eastAsia="黑体" w:cs="黑体"/>
          <w:color w:val="000000"/>
          <w:sz w:val="32"/>
          <w:szCs w:val="32"/>
          <w:lang w:bidi="ar"/>
        </w:rPr>
        <w:t>广西壮族自治区</w:t>
      </w:r>
      <w:r>
        <w:rPr>
          <w:rFonts w:hint="eastAsia" w:ascii="黑体" w:hAnsi="黑体" w:eastAsia="黑体" w:cs="黑体"/>
          <w:color w:val="000000"/>
          <w:sz w:val="32"/>
          <w:szCs w:val="32"/>
          <w:highlight w:val="none"/>
          <w:lang w:eastAsia="zh-CN" w:bidi="ar"/>
        </w:rPr>
        <w:t>生态</w:t>
      </w:r>
      <w:r>
        <w:rPr>
          <w:rFonts w:hint="eastAsia" w:ascii="黑体" w:hAnsi="黑体" w:eastAsia="黑体" w:cs="黑体"/>
          <w:color w:val="000000"/>
          <w:sz w:val="32"/>
          <w:szCs w:val="32"/>
          <w:highlight w:val="none"/>
          <w:lang w:bidi="ar"/>
        </w:rPr>
        <w:t>环境</w:t>
      </w:r>
      <w:r>
        <w:rPr>
          <w:rFonts w:hint="eastAsia" w:ascii="黑体" w:hAnsi="黑体" w:eastAsia="黑体" w:cs="黑体"/>
          <w:color w:val="000000"/>
          <w:sz w:val="32"/>
          <w:szCs w:val="32"/>
          <w:highlight w:val="none"/>
          <w:lang w:eastAsia="zh-CN" w:bidi="ar"/>
        </w:rPr>
        <w:t>管控</w:t>
      </w:r>
      <w:r>
        <w:rPr>
          <w:rFonts w:hint="eastAsia" w:ascii="黑体" w:hAnsi="黑体" w:eastAsia="黑体" w:cs="黑体"/>
          <w:color w:val="000000"/>
          <w:sz w:val="32"/>
          <w:szCs w:val="32"/>
          <w:highlight w:val="none"/>
          <w:lang w:bidi="ar"/>
        </w:rPr>
        <w:t>单元</w:t>
      </w:r>
      <w:r>
        <w:rPr>
          <w:rFonts w:hint="eastAsia" w:ascii="黑体" w:hAnsi="黑体" w:eastAsia="黑体" w:cs="黑体"/>
          <w:color w:val="000000"/>
          <w:sz w:val="32"/>
          <w:szCs w:val="32"/>
          <w:highlight w:val="none"/>
          <w:lang w:eastAsia="zh-CN" w:bidi="ar"/>
        </w:rPr>
        <w:t>更新</w:t>
      </w:r>
      <w:r>
        <w:rPr>
          <w:rFonts w:hint="eastAsia" w:ascii="黑体" w:hAnsi="黑体" w:eastAsia="黑体" w:cs="黑体"/>
          <w:color w:val="000000"/>
          <w:sz w:val="32"/>
          <w:szCs w:val="32"/>
          <w:lang w:bidi="ar"/>
        </w:rPr>
        <w:t>划定情况表</w:t>
      </w:r>
    </w:p>
    <w:tbl>
      <w:tblPr>
        <w:tblStyle w:val="11"/>
        <w:tblW w:w="96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8"/>
        <w:gridCol w:w="2088"/>
        <w:gridCol w:w="2175"/>
        <w:gridCol w:w="2130"/>
        <w:gridCol w:w="1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58" w:type="dxa"/>
            <w:vMerge w:val="restart"/>
            <w:vAlign w:val="center"/>
          </w:tcPr>
          <w:p>
            <w:pPr>
              <w:jc w:val="center"/>
              <w:rPr>
                <w:rFonts w:ascii="Times New Roman" w:hAnsi="Times New Roman" w:eastAsia="宋体" w:cs="Times New Roman"/>
                <w:b/>
                <w:bCs/>
                <w:sz w:val="28"/>
                <w:szCs w:val="28"/>
              </w:rPr>
            </w:pPr>
            <w:r>
              <w:rPr>
                <w:rFonts w:ascii="Times New Roman" w:hAnsi="Times New Roman" w:eastAsia="宋体" w:cs="Times New Roman"/>
                <w:b/>
                <w:bCs/>
                <w:sz w:val="28"/>
                <w:szCs w:val="28"/>
              </w:rPr>
              <w:t>单元类别</w:t>
            </w:r>
          </w:p>
        </w:tc>
        <w:tc>
          <w:tcPr>
            <w:tcW w:w="8022" w:type="dxa"/>
            <w:gridSpan w:val="4"/>
            <w:vAlign w:val="center"/>
          </w:tcPr>
          <w:p>
            <w:pPr>
              <w:jc w:val="center"/>
              <w:rPr>
                <w:rFonts w:ascii="Times New Roman" w:hAnsi="Times New Roman" w:eastAsia="宋体" w:cs="Times New Roman"/>
                <w:b/>
                <w:bCs/>
                <w:sz w:val="28"/>
                <w:szCs w:val="28"/>
              </w:rPr>
            </w:pPr>
            <w:r>
              <w:rPr>
                <w:rFonts w:hint="eastAsia" w:ascii="Times New Roman" w:hAnsi="Times New Roman" w:eastAsia="宋体" w:cs="Times New Roman"/>
                <w:b/>
                <w:bCs/>
                <w:sz w:val="28"/>
                <w:szCs w:val="28"/>
              </w:rPr>
              <w:t>单元数量（个）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58" w:type="dxa"/>
            <w:vMerge w:val="continue"/>
            <w:vAlign w:val="center"/>
          </w:tcPr>
          <w:p>
            <w:pPr>
              <w:jc w:val="center"/>
              <w:rPr>
                <w:rFonts w:ascii="Times New Roman" w:hAnsi="Times New Roman" w:eastAsia="宋体" w:cs="Times New Roman"/>
                <w:b/>
                <w:bCs/>
                <w:sz w:val="28"/>
                <w:szCs w:val="28"/>
              </w:rPr>
            </w:pPr>
          </w:p>
        </w:tc>
        <w:tc>
          <w:tcPr>
            <w:tcW w:w="2088" w:type="dxa"/>
            <w:vAlign w:val="center"/>
          </w:tcPr>
          <w:p>
            <w:pPr>
              <w:jc w:val="center"/>
              <w:rPr>
                <w:rFonts w:ascii="Times New Roman" w:hAnsi="Times New Roman" w:eastAsia="宋体" w:cs="Times New Roman"/>
                <w:b/>
                <w:bCs/>
                <w:sz w:val="28"/>
                <w:szCs w:val="28"/>
              </w:rPr>
            </w:pPr>
            <w:r>
              <w:rPr>
                <w:rFonts w:ascii="Times New Roman" w:hAnsi="Times New Roman" w:eastAsia="宋体" w:cs="Times New Roman"/>
                <w:b/>
                <w:bCs/>
                <w:sz w:val="28"/>
                <w:szCs w:val="28"/>
              </w:rPr>
              <w:t>优先保护单元</w:t>
            </w:r>
          </w:p>
        </w:tc>
        <w:tc>
          <w:tcPr>
            <w:tcW w:w="2175" w:type="dxa"/>
            <w:vAlign w:val="center"/>
          </w:tcPr>
          <w:p>
            <w:pPr>
              <w:jc w:val="center"/>
              <w:rPr>
                <w:rFonts w:ascii="Times New Roman" w:hAnsi="Times New Roman" w:eastAsia="宋体" w:cs="Times New Roman"/>
                <w:b/>
                <w:bCs/>
                <w:sz w:val="28"/>
                <w:szCs w:val="28"/>
              </w:rPr>
            </w:pPr>
            <w:r>
              <w:rPr>
                <w:rFonts w:ascii="Times New Roman" w:hAnsi="Times New Roman" w:eastAsia="宋体" w:cs="Times New Roman"/>
                <w:b/>
                <w:bCs/>
                <w:sz w:val="28"/>
                <w:szCs w:val="28"/>
              </w:rPr>
              <w:t>重点管控单元</w:t>
            </w:r>
          </w:p>
        </w:tc>
        <w:tc>
          <w:tcPr>
            <w:tcW w:w="2130" w:type="dxa"/>
            <w:vAlign w:val="center"/>
          </w:tcPr>
          <w:p>
            <w:pPr>
              <w:jc w:val="center"/>
              <w:rPr>
                <w:rFonts w:ascii="Times New Roman" w:hAnsi="Times New Roman" w:eastAsia="宋体" w:cs="Times New Roman"/>
                <w:b/>
                <w:bCs/>
                <w:sz w:val="28"/>
                <w:szCs w:val="28"/>
              </w:rPr>
            </w:pPr>
            <w:r>
              <w:rPr>
                <w:rFonts w:ascii="Times New Roman" w:hAnsi="Times New Roman" w:eastAsia="宋体" w:cs="Times New Roman"/>
                <w:b/>
                <w:bCs/>
                <w:sz w:val="28"/>
                <w:szCs w:val="28"/>
              </w:rPr>
              <w:t>一般管控单元</w:t>
            </w:r>
          </w:p>
        </w:tc>
        <w:tc>
          <w:tcPr>
            <w:tcW w:w="1629" w:type="dxa"/>
            <w:vAlign w:val="center"/>
          </w:tcPr>
          <w:p>
            <w:pPr>
              <w:jc w:val="center"/>
              <w:rPr>
                <w:rFonts w:ascii="Times New Roman" w:hAnsi="Times New Roman" w:eastAsia="宋体" w:cs="Times New Roman"/>
                <w:b/>
                <w:bCs/>
                <w:sz w:val="28"/>
                <w:szCs w:val="28"/>
              </w:rPr>
            </w:pPr>
            <w:r>
              <w:rPr>
                <w:rFonts w:hint="eastAsia" w:ascii="Times New Roman" w:hAnsi="Times New Roman" w:eastAsia="宋体" w:cs="Times New Roman"/>
                <w:b/>
                <w:bCs/>
                <w:sz w:val="28"/>
                <w:szCs w:val="28"/>
              </w:rPr>
              <w:t>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58" w:type="dxa"/>
            <w:vAlign w:val="center"/>
          </w:tcPr>
          <w:p>
            <w:pPr>
              <w:jc w:val="center"/>
              <w:rPr>
                <w:rFonts w:ascii="Times New Roman" w:hAnsi="Times New Roman" w:eastAsia="宋体" w:cs="Times New Roman"/>
                <w:sz w:val="28"/>
                <w:szCs w:val="28"/>
              </w:rPr>
            </w:pPr>
            <w:r>
              <w:rPr>
                <w:rFonts w:ascii="Times New Roman" w:hAnsi="Times New Roman" w:eastAsia="宋体" w:cs="Times New Roman"/>
                <w:sz w:val="28"/>
                <w:szCs w:val="28"/>
              </w:rPr>
              <w:t>陆域</w:t>
            </w:r>
          </w:p>
        </w:tc>
        <w:tc>
          <w:tcPr>
            <w:tcW w:w="2088" w:type="dxa"/>
            <w:vAlign w:val="center"/>
          </w:tcPr>
          <w:p>
            <w:pPr>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831</w:t>
            </w:r>
          </w:p>
        </w:tc>
        <w:tc>
          <w:tcPr>
            <w:tcW w:w="2175" w:type="dxa"/>
            <w:vAlign w:val="center"/>
          </w:tcPr>
          <w:p>
            <w:pPr>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519</w:t>
            </w:r>
          </w:p>
        </w:tc>
        <w:tc>
          <w:tcPr>
            <w:tcW w:w="2130" w:type="dxa"/>
            <w:vAlign w:val="center"/>
          </w:tcPr>
          <w:p>
            <w:pPr>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111</w:t>
            </w:r>
          </w:p>
        </w:tc>
        <w:tc>
          <w:tcPr>
            <w:tcW w:w="1629" w:type="dxa"/>
            <w:vAlign w:val="center"/>
          </w:tcPr>
          <w:p>
            <w:pPr>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1461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58" w:type="dxa"/>
            <w:vAlign w:val="center"/>
          </w:tcPr>
          <w:p>
            <w:pPr>
              <w:jc w:val="center"/>
              <w:rPr>
                <w:rFonts w:ascii="Times New Roman" w:hAnsi="Times New Roman" w:eastAsia="宋体" w:cs="Times New Roman"/>
                <w:sz w:val="28"/>
                <w:szCs w:val="28"/>
              </w:rPr>
            </w:pPr>
            <w:r>
              <w:rPr>
                <w:rFonts w:ascii="Times New Roman" w:hAnsi="Times New Roman" w:eastAsia="宋体" w:cs="Times New Roman"/>
                <w:sz w:val="28"/>
                <w:szCs w:val="28"/>
              </w:rPr>
              <w:t>近岸海域</w:t>
            </w:r>
          </w:p>
        </w:tc>
        <w:tc>
          <w:tcPr>
            <w:tcW w:w="2088" w:type="dxa"/>
            <w:vAlign w:val="center"/>
          </w:tcPr>
          <w:p>
            <w:pPr>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101</w:t>
            </w:r>
          </w:p>
        </w:tc>
        <w:tc>
          <w:tcPr>
            <w:tcW w:w="2175" w:type="dxa"/>
            <w:vAlign w:val="center"/>
          </w:tcPr>
          <w:p>
            <w:pPr>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72</w:t>
            </w:r>
          </w:p>
        </w:tc>
        <w:tc>
          <w:tcPr>
            <w:tcW w:w="2130" w:type="dxa"/>
            <w:vAlign w:val="center"/>
          </w:tcPr>
          <w:p>
            <w:pPr>
              <w:jc w:val="center"/>
              <w:rPr>
                <w:rFonts w:ascii="Times New Roman" w:hAnsi="Times New Roman" w:eastAsia="宋体" w:cs="Times New Roman"/>
                <w:sz w:val="28"/>
                <w:szCs w:val="28"/>
              </w:rPr>
            </w:pPr>
            <w:r>
              <w:rPr>
                <w:rFonts w:ascii="Times New Roman" w:hAnsi="Times New Roman" w:eastAsia="宋体" w:cs="Times New Roman"/>
                <w:sz w:val="28"/>
                <w:szCs w:val="28"/>
              </w:rPr>
              <w:t>39</w:t>
            </w:r>
          </w:p>
        </w:tc>
        <w:tc>
          <w:tcPr>
            <w:tcW w:w="1629" w:type="dxa"/>
            <w:vAlign w:val="center"/>
          </w:tcPr>
          <w:p>
            <w:pPr>
              <w:jc w:val="center"/>
              <w:rPr>
                <w:rFonts w:ascii="Times New Roman" w:hAnsi="Times New Roman" w:eastAsia="宋体" w:cs="Times New Roman"/>
                <w:sz w:val="28"/>
                <w:szCs w:val="28"/>
              </w:rPr>
            </w:pPr>
            <w:r>
              <w:rPr>
                <w:rFonts w:hint="eastAsia" w:ascii="Times New Roman" w:hAnsi="Times New Roman" w:eastAsia="宋体" w:cs="Times New Roman"/>
                <w:sz w:val="28"/>
                <w:szCs w:val="28"/>
              </w:rPr>
              <w:t>212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58" w:type="dxa"/>
            <w:vAlign w:val="center"/>
          </w:tcPr>
          <w:p>
            <w:pPr>
              <w:jc w:val="center"/>
              <w:rPr>
                <w:rFonts w:ascii="Times New Roman" w:hAnsi="Times New Roman" w:eastAsia="宋体" w:cs="Times New Roman"/>
                <w:sz w:val="28"/>
                <w:szCs w:val="28"/>
              </w:rPr>
            </w:pPr>
            <w:r>
              <w:rPr>
                <w:rFonts w:ascii="Times New Roman" w:hAnsi="Times New Roman" w:eastAsia="宋体" w:cs="Times New Roman"/>
                <w:sz w:val="28"/>
                <w:szCs w:val="28"/>
              </w:rPr>
              <w:t>合计</w:t>
            </w:r>
          </w:p>
        </w:tc>
        <w:tc>
          <w:tcPr>
            <w:tcW w:w="2088" w:type="dxa"/>
            <w:vAlign w:val="center"/>
          </w:tcPr>
          <w:p>
            <w:pPr>
              <w:jc w:val="center"/>
              <w:rPr>
                <w:rFonts w:hint="default" w:ascii="Times New Roman" w:hAnsi="Times New Roman" w:eastAsia="宋体" w:cs="Times New Roman"/>
                <w:sz w:val="28"/>
                <w:szCs w:val="28"/>
                <w:lang w:val="en-US" w:eastAsia="zh-CN"/>
              </w:rPr>
            </w:pPr>
            <w:r>
              <w:rPr>
                <w:rFonts w:ascii="Times New Roman" w:hAnsi="Times New Roman" w:eastAsia="宋体" w:cs="Times New Roman"/>
                <w:sz w:val="28"/>
                <w:szCs w:val="28"/>
              </w:rPr>
              <w:t>9</w:t>
            </w:r>
            <w:r>
              <w:rPr>
                <w:rFonts w:hint="eastAsia" w:ascii="Times New Roman" w:hAnsi="Times New Roman" w:eastAsia="宋体" w:cs="Times New Roman"/>
                <w:sz w:val="28"/>
                <w:szCs w:val="28"/>
                <w:lang w:val="en-US" w:eastAsia="zh-CN"/>
              </w:rPr>
              <w:t>32</w:t>
            </w:r>
          </w:p>
        </w:tc>
        <w:tc>
          <w:tcPr>
            <w:tcW w:w="2175" w:type="dxa"/>
            <w:vAlign w:val="center"/>
          </w:tcPr>
          <w:p>
            <w:pPr>
              <w:jc w:val="center"/>
              <w:rPr>
                <w:rFonts w:hint="default"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591</w:t>
            </w:r>
          </w:p>
        </w:tc>
        <w:tc>
          <w:tcPr>
            <w:tcW w:w="2130" w:type="dxa"/>
            <w:vAlign w:val="center"/>
          </w:tcPr>
          <w:p>
            <w:pPr>
              <w:jc w:val="center"/>
              <w:rPr>
                <w:rFonts w:hint="default" w:ascii="Times New Roman" w:hAnsi="Times New Roman" w:eastAsia="宋体" w:cs="Times New Roman"/>
                <w:sz w:val="28"/>
                <w:szCs w:val="28"/>
                <w:lang w:val="en-US" w:eastAsia="zh-CN"/>
              </w:rPr>
            </w:pPr>
            <w:r>
              <w:rPr>
                <w:rFonts w:ascii="Times New Roman" w:hAnsi="Times New Roman" w:eastAsia="宋体" w:cs="Times New Roman"/>
                <w:sz w:val="28"/>
                <w:szCs w:val="28"/>
              </w:rPr>
              <w:t>1</w:t>
            </w:r>
            <w:r>
              <w:rPr>
                <w:rFonts w:hint="eastAsia" w:ascii="Times New Roman" w:hAnsi="Times New Roman" w:eastAsia="宋体" w:cs="Times New Roman"/>
                <w:sz w:val="28"/>
                <w:szCs w:val="28"/>
                <w:lang w:val="en-US" w:eastAsia="zh-CN"/>
              </w:rPr>
              <w:t>50</w:t>
            </w:r>
          </w:p>
        </w:tc>
        <w:tc>
          <w:tcPr>
            <w:tcW w:w="1629" w:type="dxa"/>
            <w:vAlign w:val="center"/>
          </w:tcPr>
          <w:p>
            <w:pPr>
              <w:jc w:val="center"/>
              <w:rPr>
                <w:rFonts w:hint="default" w:ascii="Times New Roman" w:hAnsi="Times New Roman" w:eastAsia="宋体" w:cs="Times New Roman"/>
                <w:sz w:val="28"/>
                <w:szCs w:val="28"/>
                <w:lang w:val="en-US" w:eastAsia="zh-CN"/>
              </w:rPr>
            </w:pPr>
            <w:r>
              <w:rPr>
                <w:rFonts w:ascii="Times New Roman" w:hAnsi="Times New Roman" w:eastAsia="宋体" w:cs="Times New Roman"/>
                <w:sz w:val="28"/>
                <w:szCs w:val="28"/>
              </w:rPr>
              <w:t>16</w:t>
            </w:r>
            <w:r>
              <w:rPr>
                <w:rFonts w:hint="eastAsia" w:ascii="Times New Roman" w:hAnsi="Times New Roman" w:eastAsia="宋体" w:cs="Times New Roman"/>
                <w:sz w:val="28"/>
                <w:szCs w:val="28"/>
                <w:lang w:val="en-US" w:eastAsia="zh-CN"/>
              </w:rPr>
              <w:t>73</w:t>
            </w:r>
          </w:p>
        </w:tc>
      </w:tr>
    </w:tbl>
    <w:p/>
    <w:p/>
    <w:p/>
    <w:p/>
    <w:p/>
    <w:p/>
    <w:p/>
    <w:p/>
    <w:p/>
    <w:p/>
    <w:p/>
    <w:p/>
    <w:p/>
    <w:p/>
    <w:p/>
    <w:p/>
    <w:p/>
    <w:p/>
    <w:p/>
    <w:p>
      <w:pPr>
        <w:jc w:val="center"/>
        <w:rPr>
          <w:rFonts w:ascii="Times New Roman" w:hAnsi="Times New Roman" w:eastAsia="仿宋" w:cs="Times New Roman"/>
          <w:b/>
          <w:bCs/>
          <w:sz w:val="32"/>
          <w:szCs w:val="32"/>
        </w:rPr>
      </w:pPr>
      <w:r>
        <w:rPr>
          <w:rFonts w:hint="default"/>
          <w:lang w:val="en-US" w:eastAsia="zh-CN"/>
        </w:rPr>
        <w:drawing>
          <wp:inline distT="0" distB="0" distL="114300" distR="114300">
            <wp:extent cx="8761730" cy="5975350"/>
            <wp:effectExtent l="0" t="0" r="1270" b="6350"/>
            <wp:docPr id="80" name="图片 80" descr="图48-广西壮族自治区 2023-12-08 广西环境管控单元分类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0" descr="图48-广西壮族自治区 2023-12-08 广西环境管控单元分类图"/>
                    <pic:cNvPicPr>
                      <a:picLocks noChangeAspect="1"/>
                    </pic:cNvPicPr>
                  </pic:nvPicPr>
                  <pic:blipFill>
                    <a:blip r:embed="rId15"/>
                    <a:srcRect l="2581" t="5021" r="1864" b="2893"/>
                    <a:stretch>
                      <a:fillRect/>
                    </a:stretch>
                  </pic:blipFill>
                  <pic:spPr>
                    <a:xfrm>
                      <a:off x="0" y="0"/>
                      <a:ext cx="8761730" cy="5975350"/>
                    </a:xfrm>
                    <a:prstGeom prst="rect">
                      <a:avLst/>
                    </a:prstGeom>
                  </pic:spPr>
                </pic:pic>
              </a:graphicData>
            </a:graphic>
          </wp:inline>
        </w:drawing>
      </w:r>
    </w:p>
    <w:p>
      <w:pPr>
        <w:autoSpaceDE w:val="0"/>
        <w:autoSpaceDN w:val="0"/>
        <w:adjustRightInd w:val="0"/>
        <w:spacing w:line="580" w:lineRule="exact"/>
        <w:jc w:val="center"/>
        <w:outlineLvl w:val="0"/>
        <w:rPr>
          <w:rFonts w:hint="eastAsia" w:ascii="黑体" w:hAnsi="黑体" w:eastAsia="黑体" w:cs="黑体"/>
          <w:color w:val="000000"/>
          <w:sz w:val="32"/>
          <w:szCs w:val="32"/>
          <w:highlight w:val="none"/>
          <w:lang w:eastAsia="zh-CN" w:bidi="ar"/>
        </w:rPr>
        <w:sectPr>
          <w:footerReference r:id="rId3" w:type="default"/>
          <w:pgSz w:w="16838" w:h="11906" w:orient="landscape"/>
          <w:pgMar w:top="720" w:right="720" w:bottom="720" w:left="720" w:header="851" w:footer="624" w:gutter="0"/>
          <w:cols w:space="425" w:num="1"/>
          <w:docGrid w:type="lines" w:linePitch="312" w:charSpace="0"/>
        </w:sectPr>
      </w:pPr>
      <w:r>
        <w:rPr>
          <w:rFonts w:hint="eastAsia" w:ascii="黑体" w:hAnsi="黑体" w:eastAsia="黑体" w:cs="黑体"/>
          <w:color w:val="000000"/>
          <w:sz w:val="32"/>
          <w:szCs w:val="32"/>
          <w:highlight w:val="none"/>
          <w:lang w:bidi="ar"/>
        </w:rPr>
        <w:t>广西壮族自治区</w:t>
      </w:r>
      <w:r>
        <w:rPr>
          <w:rFonts w:hint="eastAsia" w:ascii="黑体" w:hAnsi="黑体" w:eastAsia="黑体" w:cs="黑体"/>
          <w:color w:val="000000"/>
          <w:sz w:val="32"/>
          <w:szCs w:val="32"/>
          <w:highlight w:val="none"/>
          <w:lang w:eastAsia="zh-CN" w:bidi="ar"/>
        </w:rPr>
        <w:t>生态</w:t>
      </w:r>
      <w:r>
        <w:rPr>
          <w:rFonts w:hint="eastAsia" w:ascii="黑体" w:hAnsi="黑体" w:eastAsia="黑体" w:cs="黑体"/>
          <w:color w:val="000000"/>
          <w:sz w:val="32"/>
          <w:szCs w:val="32"/>
          <w:highlight w:val="none"/>
          <w:lang w:bidi="ar"/>
        </w:rPr>
        <w:t>环境管控单元</w:t>
      </w:r>
      <w:r>
        <w:rPr>
          <w:rFonts w:hint="eastAsia" w:ascii="黑体" w:hAnsi="黑体" w:eastAsia="黑体" w:cs="黑体"/>
          <w:color w:val="000000"/>
          <w:sz w:val="32"/>
          <w:szCs w:val="32"/>
          <w:highlight w:val="none"/>
          <w:lang w:eastAsia="zh-CN" w:bidi="ar"/>
        </w:rPr>
        <w:t>分布图</w:t>
      </w:r>
    </w:p>
    <w:p>
      <w:pPr>
        <w:rPr>
          <w:rFonts w:ascii="Times New Roman" w:hAnsi="Times New Roman" w:eastAsia="宋体" w:cs="Times New Roman"/>
          <w:color w:val="000000" w:themeColor="text1"/>
          <w:szCs w:val="21"/>
          <w:highlight w:val="none"/>
          <w:u w:val="none"/>
          <w14:textFill>
            <w14:solidFill>
              <w14:schemeClr w14:val="tx1"/>
            </w14:solidFill>
          </w14:textFill>
        </w:rPr>
      </w:pPr>
    </w:p>
    <w:p>
      <w:pPr>
        <w:adjustRightInd w:val="0"/>
        <w:snapToGrid w:val="0"/>
        <w:spacing w:line="480" w:lineRule="auto"/>
        <w:jc w:val="center"/>
        <w:rPr>
          <w:rFonts w:ascii="Times New Roman" w:hAnsi="Times New Roman" w:eastAsia="黑体" w:cs="Times New Roman"/>
          <w:b/>
          <w:bCs/>
          <w:color w:val="000000" w:themeColor="text1"/>
          <w:sz w:val="72"/>
          <w:szCs w:val="48"/>
          <w:highlight w:val="none"/>
          <w:u w:val="none"/>
          <w14:textFill>
            <w14:solidFill>
              <w14:schemeClr w14:val="tx1"/>
            </w14:solidFill>
          </w14:textFill>
        </w:rPr>
      </w:pPr>
      <w:bookmarkStart w:id="0" w:name="_Toc8359"/>
      <w:r>
        <w:rPr>
          <w:rFonts w:ascii="Times New Roman" w:hAnsi="Times New Roman" w:eastAsia="黑体" w:cs="Times New Roman"/>
          <w:b/>
          <w:bCs/>
          <w:color w:val="000000" w:themeColor="text1"/>
          <w:sz w:val="72"/>
          <w:szCs w:val="48"/>
          <w:highlight w:val="none"/>
          <w:u w:val="none"/>
          <w14:textFill>
            <w14:solidFill>
              <w14:schemeClr w14:val="tx1"/>
            </w14:solidFill>
          </w14:textFill>
        </w:rPr>
        <w:t>广西壮族自治区生态环境准入</w:t>
      </w:r>
      <w:r>
        <w:rPr>
          <w:rFonts w:hint="eastAsia" w:ascii="Times New Roman" w:hAnsi="Times New Roman" w:eastAsia="黑体" w:cs="Times New Roman"/>
          <w:b/>
          <w:bCs/>
          <w:color w:val="000000" w:themeColor="text1"/>
          <w:sz w:val="72"/>
          <w:szCs w:val="48"/>
          <w:highlight w:val="none"/>
          <w:u w:val="none"/>
          <w14:textFill>
            <w14:solidFill>
              <w14:schemeClr w14:val="tx1"/>
            </w14:solidFill>
          </w14:textFill>
        </w:rPr>
        <w:t>及管控要求</w:t>
      </w:r>
      <w:r>
        <w:rPr>
          <w:rFonts w:ascii="Times New Roman" w:hAnsi="Times New Roman" w:eastAsia="黑体" w:cs="Times New Roman"/>
          <w:b/>
          <w:bCs/>
          <w:color w:val="000000" w:themeColor="text1"/>
          <w:sz w:val="72"/>
          <w:szCs w:val="48"/>
          <w:highlight w:val="none"/>
          <w:u w:val="none"/>
          <w14:textFill>
            <w14:solidFill>
              <w14:schemeClr w14:val="tx1"/>
            </w14:solidFill>
          </w14:textFill>
        </w:rPr>
        <w:t>清单</w:t>
      </w:r>
    </w:p>
    <w:p>
      <w:pPr>
        <w:adjustRightInd w:val="0"/>
        <w:snapToGrid w:val="0"/>
        <w:spacing w:line="480" w:lineRule="auto"/>
        <w:rPr>
          <w:rFonts w:ascii="Times New Roman" w:hAnsi="Times New Roman" w:eastAsia="黑体" w:cs="Times New Roman"/>
          <w:b/>
          <w:bCs/>
          <w:color w:val="000000" w:themeColor="text1"/>
          <w:sz w:val="52"/>
          <w:szCs w:val="36"/>
          <w:highlight w:val="none"/>
          <w:u w:val="none"/>
          <w14:textFill>
            <w14:solidFill>
              <w14:schemeClr w14:val="tx1"/>
            </w14:solidFill>
          </w14:textFill>
        </w:rPr>
      </w:pPr>
    </w:p>
    <w:p>
      <w:pPr>
        <w:adjustRightInd w:val="0"/>
        <w:snapToGrid w:val="0"/>
        <w:spacing w:line="480" w:lineRule="auto"/>
        <w:rPr>
          <w:rFonts w:ascii="Times New Roman" w:hAnsi="Times New Roman" w:eastAsia="黑体" w:cs="Times New Roman"/>
          <w:b/>
          <w:bCs/>
          <w:color w:val="000000" w:themeColor="text1"/>
          <w:sz w:val="52"/>
          <w:szCs w:val="36"/>
          <w:highlight w:val="none"/>
          <w:u w:val="none"/>
          <w14:textFill>
            <w14:solidFill>
              <w14:schemeClr w14:val="tx1"/>
            </w14:solidFill>
          </w14:textFill>
        </w:rPr>
      </w:pPr>
    </w:p>
    <w:p>
      <w:pPr>
        <w:pStyle w:val="15"/>
        <w:rPr>
          <w:rFonts w:hint="default"/>
          <w:highlight w:val="none"/>
          <w:u w:val="none"/>
        </w:rPr>
      </w:pPr>
    </w:p>
    <w:p>
      <w:pPr>
        <w:adjustRightInd w:val="0"/>
        <w:snapToGrid w:val="0"/>
        <w:spacing w:line="480" w:lineRule="auto"/>
        <w:jc w:val="center"/>
        <w:rPr>
          <w:rFonts w:hint="eastAsia" w:ascii="Times New Roman" w:hAnsi="Times New Roman" w:eastAsia="黑体" w:cs="Times New Roman"/>
          <w:b/>
          <w:bCs/>
          <w:color w:val="000000" w:themeColor="text1"/>
          <w:sz w:val="52"/>
          <w:szCs w:val="36"/>
          <w:highlight w:val="none"/>
          <w:u w:val="none"/>
          <w14:textFill>
            <w14:solidFill>
              <w14:schemeClr w14:val="tx1"/>
            </w14:solidFill>
          </w14:textFill>
        </w:rPr>
      </w:pPr>
    </w:p>
    <w:p>
      <w:pPr>
        <w:pStyle w:val="15"/>
        <w:rPr>
          <w:highlight w:val="none"/>
          <w:u w:val="none"/>
        </w:rPr>
      </w:pPr>
    </w:p>
    <w:p>
      <w:pPr>
        <w:adjustRightInd w:val="0"/>
        <w:snapToGrid w:val="0"/>
        <w:spacing w:line="480" w:lineRule="auto"/>
        <w:jc w:val="center"/>
        <w:rPr>
          <w:rFonts w:ascii="Times New Roman" w:hAnsi="Times New Roman" w:eastAsia="黑体" w:cs="Times New Roman"/>
          <w:b/>
          <w:bCs/>
          <w:color w:val="000000" w:themeColor="text1"/>
          <w:sz w:val="52"/>
          <w:szCs w:val="36"/>
          <w:highlight w:val="none"/>
          <w:u w:val="none"/>
          <w14:textFill>
            <w14:solidFill>
              <w14:schemeClr w14:val="tx1"/>
            </w14:solidFill>
          </w14:textFill>
        </w:rPr>
      </w:pPr>
    </w:p>
    <w:p>
      <w:pPr>
        <w:adjustRightInd w:val="0"/>
        <w:snapToGrid w:val="0"/>
        <w:spacing w:line="360" w:lineRule="auto"/>
        <w:jc w:val="center"/>
        <w:rPr>
          <w:rFonts w:ascii="Times New Roman" w:hAnsi="Times New Roman" w:eastAsia="黑体" w:cs="Times New Roman"/>
          <w:b/>
          <w:bCs/>
          <w:color w:val="000000" w:themeColor="text1"/>
          <w:sz w:val="52"/>
          <w:szCs w:val="36"/>
          <w:highlight w:val="none"/>
          <w:u w:val="none"/>
          <w14:textFill>
            <w14:solidFill>
              <w14:schemeClr w14:val="tx1"/>
            </w14:solidFill>
          </w14:textFill>
        </w:rPr>
      </w:pPr>
      <w:r>
        <w:rPr>
          <w:rFonts w:ascii="Times New Roman" w:hAnsi="Times New Roman" w:eastAsia="黑体" w:cs="Times New Roman"/>
          <w:b/>
          <w:bCs/>
          <w:color w:val="000000" w:themeColor="text1"/>
          <w:sz w:val="44"/>
          <w:szCs w:val="48"/>
          <w:highlight w:val="none"/>
          <w:u w:val="none"/>
          <w14:textFill>
            <w14:solidFill>
              <w14:schemeClr w14:val="tx1"/>
            </w14:solidFill>
          </w14:textFill>
        </w:rPr>
        <w:t>广西壮族自治区生态环境厅</w:t>
      </w:r>
    </w:p>
    <w:p>
      <w:pPr>
        <w:adjustRightInd w:val="0"/>
        <w:snapToGrid w:val="0"/>
        <w:spacing w:line="360" w:lineRule="auto"/>
        <w:jc w:val="center"/>
        <w:rPr>
          <w:rFonts w:ascii="Times New Roman" w:hAnsi="Times New Roman" w:eastAsia="黑体" w:cs="Times New Roman"/>
          <w:b/>
          <w:bCs/>
          <w:color w:val="000000" w:themeColor="text1"/>
          <w:sz w:val="44"/>
          <w:szCs w:val="48"/>
          <w:highlight w:val="none"/>
          <w:u w:val="none"/>
          <w14:textFill>
            <w14:solidFill>
              <w14:schemeClr w14:val="tx1"/>
            </w14:solidFill>
          </w14:textFill>
        </w:rPr>
      </w:pPr>
      <w:r>
        <w:rPr>
          <w:rFonts w:ascii="Times New Roman" w:hAnsi="Times New Roman" w:eastAsia="黑体" w:cs="Times New Roman"/>
          <w:b/>
          <w:bCs/>
          <w:color w:val="000000" w:themeColor="text1"/>
          <w:sz w:val="44"/>
          <w:szCs w:val="48"/>
          <w:highlight w:val="none"/>
          <w:u w:val="none"/>
          <w14:textFill>
            <w14:solidFill>
              <w14:schemeClr w14:val="tx1"/>
            </w14:solidFill>
          </w14:textFill>
        </w:rPr>
        <w:t>广西壮族自治区</w:t>
      </w:r>
      <w:r>
        <w:rPr>
          <w:rFonts w:hint="eastAsia" w:ascii="Times New Roman" w:hAnsi="Times New Roman" w:eastAsia="黑体" w:cs="Times New Roman"/>
          <w:b/>
          <w:bCs/>
          <w:color w:val="000000" w:themeColor="text1"/>
          <w:sz w:val="44"/>
          <w:szCs w:val="48"/>
          <w:highlight w:val="none"/>
          <w:u w:val="none"/>
          <w14:textFill>
            <w14:solidFill>
              <w14:schemeClr w14:val="tx1"/>
            </w14:solidFill>
          </w14:textFill>
        </w:rPr>
        <w:t>环境保护科学研究院</w:t>
      </w:r>
    </w:p>
    <w:p>
      <w:pPr>
        <w:adjustRightInd w:val="0"/>
        <w:snapToGrid w:val="0"/>
        <w:spacing w:line="360" w:lineRule="auto"/>
        <w:jc w:val="center"/>
        <w:rPr>
          <w:rFonts w:ascii="Times New Roman" w:hAnsi="Times New Roman" w:cs="Times New Roman"/>
          <w:color w:val="000000" w:themeColor="text1"/>
          <w:highlight w:val="none"/>
          <w:u w:val="none"/>
          <w14:textFill>
            <w14:solidFill>
              <w14:schemeClr w14:val="tx1"/>
            </w14:solidFill>
          </w14:textFill>
        </w:rPr>
        <w:sectPr>
          <w:footerReference r:id="rId4" w:type="default"/>
          <w:footerReference r:id="rId5" w:type="even"/>
          <w:pgSz w:w="23814" w:h="16839" w:orient="landscape"/>
          <w:pgMar w:top="1797" w:right="1440" w:bottom="1797" w:left="1440" w:header="851" w:footer="992" w:gutter="0"/>
          <w:pgNumType w:fmt="decimal"/>
          <w:cols w:space="425" w:num="1"/>
          <w:docGrid w:type="lines" w:linePitch="312" w:charSpace="0"/>
        </w:sectPr>
      </w:pPr>
      <w:r>
        <w:rPr>
          <w:rFonts w:ascii="Times New Roman" w:hAnsi="Times New Roman" w:eastAsia="黑体" w:cs="Times New Roman"/>
          <w:b/>
          <w:bCs/>
          <w:color w:val="000000" w:themeColor="text1"/>
          <w:sz w:val="44"/>
          <w:szCs w:val="48"/>
          <w:highlight w:val="none"/>
          <w:u w:val="none"/>
          <w14:textFill>
            <w14:solidFill>
              <w14:schemeClr w14:val="tx1"/>
            </w14:solidFill>
          </w14:textFill>
        </w:rPr>
        <w:t>二〇二</w:t>
      </w:r>
      <w:r>
        <w:rPr>
          <w:rFonts w:hint="eastAsia" w:ascii="Times New Roman" w:hAnsi="Times New Roman" w:eastAsia="黑体" w:cs="Times New Roman"/>
          <w:b/>
          <w:bCs/>
          <w:color w:val="000000" w:themeColor="text1"/>
          <w:sz w:val="44"/>
          <w:szCs w:val="48"/>
          <w:highlight w:val="none"/>
          <w:u w:val="none"/>
          <w14:textFill>
            <w14:solidFill>
              <w14:schemeClr w14:val="tx1"/>
            </w14:solidFill>
          </w14:textFill>
        </w:rPr>
        <w:t>三</w:t>
      </w:r>
      <w:r>
        <w:rPr>
          <w:rFonts w:ascii="Times New Roman" w:hAnsi="Times New Roman" w:eastAsia="黑体" w:cs="Times New Roman"/>
          <w:b/>
          <w:bCs/>
          <w:color w:val="000000" w:themeColor="text1"/>
          <w:sz w:val="44"/>
          <w:szCs w:val="48"/>
          <w:highlight w:val="none"/>
          <w:u w:val="none"/>
          <w14:textFill>
            <w14:solidFill>
              <w14:schemeClr w14:val="tx1"/>
            </w14:solidFill>
          </w14:textFill>
        </w:rPr>
        <w:t>年</w:t>
      </w:r>
      <w:r>
        <w:rPr>
          <w:rFonts w:hint="eastAsia" w:ascii="Times New Roman" w:hAnsi="Times New Roman" w:eastAsia="黑体" w:cs="Times New Roman"/>
          <w:b/>
          <w:bCs/>
          <w:color w:val="000000" w:themeColor="text1"/>
          <w:sz w:val="44"/>
          <w:szCs w:val="48"/>
          <w:highlight w:val="none"/>
          <w:u w:val="none"/>
          <w14:textFill>
            <w14:solidFill>
              <w14:schemeClr w14:val="tx1"/>
            </w14:solidFill>
          </w14:textFill>
        </w:rPr>
        <w:t>十二</w:t>
      </w:r>
      <w:r>
        <w:rPr>
          <w:rFonts w:ascii="Times New Roman" w:hAnsi="Times New Roman" w:eastAsia="黑体" w:cs="Times New Roman"/>
          <w:b/>
          <w:bCs/>
          <w:color w:val="000000" w:themeColor="text1"/>
          <w:sz w:val="44"/>
          <w:szCs w:val="48"/>
          <w:highlight w:val="none"/>
          <w:u w:val="none"/>
          <w14:textFill>
            <w14:solidFill>
              <w14:schemeClr w14:val="tx1"/>
            </w14:solidFill>
          </w14:textFill>
        </w:rPr>
        <w:t>月</w:t>
      </w:r>
    </w:p>
    <w:p>
      <w:pPr>
        <w:widowControl/>
        <w:tabs>
          <w:tab w:val="left" w:pos="440"/>
          <w:tab w:val="right" w:leader="dot" w:pos="10244"/>
        </w:tabs>
        <w:spacing w:after="100" w:line="276" w:lineRule="auto"/>
        <w:jc w:val="center"/>
        <w:outlineLvl w:val="0"/>
        <w:rPr>
          <w:rFonts w:ascii="Times New Roman" w:hAnsi="Times New Roman" w:eastAsia="宋体" w:cs="Times New Roman"/>
          <w:b/>
          <w:bCs/>
          <w:color w:val="000000" w:themeColor="text1"/>
          <w:kern w:val="0"/>
          <w:sz w:val="44"/>
          <w:szCs w:val="44"/>
          <w:highlight w:val="none"/>
          <w:u w:val="none"/>
          <w14:textFill>
            <w14:solidFill>
              <w14:schemeClr w14:val="tx1"/>
            </w14:solidFill>
          </w14:textFill>
        </w:rPr>
        <w:sectPr>
          <w:headerReference r:id="rId6" w:type="default"/>
          <w:footerReference r:id="rId8" w:type="default"/>
          <w:headerReference r:id="rId7" w:type="even"/>
          <w:footerReference r:id="rId9" w:type="even"/>
          <w:pgSz w:w="23814" w:h="16839" w:orient="landscape"/>
          <w:pgMar w:top="1797" w:right="1440" w:bottom="1797" w:left="1440" w:header="851" w:footer="992" w:gutter="0"/>
          <w:pgNumType w:fmt="decimal"/>
          <w:cols w:space="425" w:num="1"/>
          <w:docGrid w:type="lines" w:linePitch="312" w:charSpace="0"/>
        </w:sectPr>
      </w:pPr>
      <w:r>
        <w:rPr>
          <w:rFonts w:ascii="Times New Roman" w:hAnsi="宋体" w:eastAsia="宋体" w:cs="Times New Roman"/>
          <w:b/>
          <w:bCs/>
          <w:color w:val="000000" w:themeColor="text1"/>
          <w:kern w:val="0"/>
          <w:sz w:val="44"/>
          <w:szCs w:val="44"/>
          <w:highlight w:val="none"/>
          <w:u w:val="none"/>
          <w14:textFill>
            <w14:solidFill>
              <w14:schemeClr w14:val="tx1"/>
            </w14:solidFill>
          </w14:textFill>
        </w:rPr>
        <w:t>目</w:t>
      </w:r>
      <w:r>
        <w:rPr>
          <w:rFonts w:ascii="Times New Roman" w:hAnsi="Times New Roman" w:eastAsia="宋体" w:cs="Times New Roman"/>
          <w:b/>
          <w:bCs/>
          <w:color w:val="000000" w:themeColor="text1"/>
          <w:kern w:val="0"/>
          <w:sz w:val="44"/>
          <w:szCs w:val="44"/>
          <w:highlight w:val="none"/>
          <w:u w:val="none"/>
          <w14:textFill>
            <w14:solidFill>
              <w14:schemeClr w14:val="tx1"/>
            </w14:solidFill>
          </w14:textFill>
        </w:rPr>
        <w:t xml:space="preserve">  </w:t>
      </w:r>
      <w:r>
        <w:rPr>
          <w:rFonts w:ascii="Times New Roman" w:hAnsi="宋体" w:eastAsia="宋体" w:cs="Times New Roman"/>
          <w:b/>
          <w:bCs/>
          <w:color w:val="000000" w:themeColor="text1"/>
          <w:kern w:val="0"/>
          <w:sz w:val="44"/>
          <w:szCs w:val="44"/>
          <w:highlight w:val="none"/>
          <w:u w:val="none"/>
          <w14:textFill>
            <w14:solidFill>
              <w14:schemeClr w14:val="tx1"/>
            </w14:solidFill>
          </w14:textFill>
        </w:rPr>
        <w:t>录</w:t>
      </w:r>
      <w:bookmarkEnd w:id="0"/>
    </w:p>
    <w:p>
      <w:pPr>
        <w:pStyle w:val="8"/>
        <w:tabs>
          <w:tab w:val="right" w:leader="dot" w:pos="10254"/>
        </w:tabs>
        <w:jc w:val="both"/>
        <w:rPr>
          <w:rFonts w:ascii="Times New Roman" w:hAnsi="Times New Roman" w:eastAsia="宋体" w:cs="Times New Roman"/>
          <w:b/>
          <w:color w:val="000000" w:themeColor="text1"/>
          <w:sz w:val="24"/>
          <w:highlight w:val="none"/>
          <w:u w:val="none"/>
          <w14:textFill>
            <w14:solidFill>
              <w14:schemeClr w14:val="tx1"/>
            </w14:solidFill>
          </w14:textFill>
        </w:rPr>
      </w:pPr>
      <w:r>
        <w:rPr>
          <w:rFonts w:ascii="Times New Roman" w:hAnsi="Times New Roman" w:eastAsia="宋体" w:cs="Times New Roman"/>
          <w:b/>
          <w:bCs/>
          <w:color w:val="000000" w:themeColor="text1"/>
          <w:sz w:val="24"/>
          <w:highlight w:val="none"/>
          <w:u w:val="none"/>
          <w14:textFill>
            <w14:solidFill>
              <w14:schemeClr w14:val="tx1"/>
            </w14:solidFill>
          </w14:textFill>
        </w:rPr>
        <w:fldChar w:fldCharType="begin"/>
      </w:r>
      <w:r>
        <w:rPr>
          <w:rFonts w:ascii="Times New Roman" w:hAnsi="Times New Roman" w:eastAsia="宋体" w:cs="Times New Roman"/>
          <w:b/>
          <w:bCs/>
          <w:color w:val="000000" w:themeColor="text1"/>
          <w:sz w:val="24"/>
          <w:highlight w:val="none"/>
          <w:u w:val="none"/>
          <w14:textFill>
            <w14:solidFill>
              <w14:schemeClr w14:val="tx1"/>
            </w14:solidFill>
          </w14:textFill>
        </w:rPr>
        <w:instrText xml:space="preserve"> TOC \o "1-3" \h \z \u </w:instrText>
      </w:r>
      <w:r>
        <w:rPr>
          <w:rFonts w:ascii="Times New Roman" w:hAnsi="Times New Roman" w:eastAsia="宋体" w:cs="Times New Roman"/>
          <w:b/>
          <w:bCs/>
          <w:color w:val="000000" w:themeColor="text1"/>
          <w:sz w:val="24"/>
          <w:highlight w:val="none"/>
          <w:u w:val="none"/>
          <w14:textFill>
            <w14:solidFill>
              <w14:schemeClr w14:val="tx1"/>
            </w14:solidFill>
          </w14:textFill>
        </w:rPr>
        <w:fldChar w:fldCharType="separate"/>
      </w:r>
      <w:r>
        <w:rPr>
          <w:highlight w:val="none"/>
          <w:u w:val="none"/>
        </w:rPr>
        <w:fldChar w:fldCharType="begin"/>
      </w:r>
      <w:r>
        <w:rPr>
          <w:highlight w:val="none"/>
          <w:u w:val="none"/>
        </w:rPr>
        <w:instrText xml:space="preserve"> HYPERLINK \l "_Toc20099" </w:instrText>
      </w:r>
      <w:r>
        <w:rPr>
          <w:highlight w:val="none"/>
          <w:u w:val="none"/>
        </w:rPr>
        <w:fldChar w:fldCharType="separate"/>
      </w:r>
      <w:r>
        <w:rPr>
          <w:rFonts w:ascii="Times New Roman" w:hAnsi="Times New Roman" w:eastAsia="宋体" w:cs="Times New Roman"/>
          <w:b/>
          <w:color w:val="000000" w:themeColor="text1"/>
          <w:sz w:val="24"/>
          <w:highlight w:val="none"/>
          <w:u w:val="none"/>
          <w14:textFill>
            <w14:solidFill>
              <w14:schemeClr w14:val="tx1"/>
            </w14:solidFill>
          </w14:textFill>
        </w:rPr>
        <w:t xml:space="preserve">1 </w:t>
      </w:r>
      <w:r>
        <w:rPr>
          <w:rFonts w:ascii="Times New Roman" w:hAnsi="宋体" w:eastAsia="宋体" w:cs="Times New Roman"/>
          <w:b/>
          <w:color w:val="000000" w:themeColor="text1"/>
          <w:sz w:val="24"/>
          <w:highlight w:val="none"/>
          <w:u w:val="none"/>
          <w14:textFill>
            <w14:solidFill>
              <w14:schemeClr w14:val="tx1"/>
            </w14:solidFill>
          </w14:textFill>
        </w:rPr>
        <w:t>自治区总体生态环境准入及管控要求</w:t>
      </w:r>
      <w:r>
        <w:rPr>
          <w:rFonts w:ascii="Times New Roman" w:hAnsi="Times New Roman" w:eastAsia="宋体" w:cs="Times New Roman"/>
          <w:b/>
          <w:color w:val="000000" w:themeColor="text1"/>
          <w:sz w:val="24"/>
          <w:highlight w:val="none"/>
          <w:u w:val="none"/>
          <w14:textFill>
            <w14:solidFill>
              <w14:schemeClr w14:val="tx1"/>
            </w14:solidFill>
          </w14:textFill>
        </w:rPr>
        <w:tab/>
      </w:r>
      <w:r>
        <w:rPr>
          <w:rFonts w:ascii="Times New Roman" w:hAnsi="Times New Roman" w:eastAsia="宋体" w:cs="Times New Roman"/>
          <w:b/>
          <w:color w:val="000000" w:themeColor="text1"/>
          <w:sz w:val="24"/>
          <w:highlight w:val="none"/>
          <w:u w:val="none"/>
          <w14:textFill>
            <w14:solidFill>
              <w14:schemeClr w14:val="tx1"/>
            </w14:solidFill>
          </w14:textFill>
        </w:rPr>
        <w:fldChar w:fldCharType="begin"/>
      </w:r>
      <w:r>
        <w:rPr>
          <w:rFonts w:ascii="Times New Roman" w:hAnsi="Times New Roman" w:eastAsia="宋体" w:cs="Times New Roman"/>
          <w:b/>
          <w:color w:val="000000" w:themeColor="text1"/>
          <w:sz w:val="24"/>
          <w:highlight w:val="none"/>
          <w:u w:val="none"/>
          <w14:textFill>
            <w14:solidFill>
              <w14:schemeClr w14:val="tx1"/>
            </w14:solidFill>
          </w14:textFill>
        </w:rPr>
        <w:instrText xml:space="preserve"> PAGEREF _Toc20099 \h </w:instrText>
      </w:r>
      <w:r>
        <w:rPr>
          <w:rFonts w:ascii="Times New Roman" w:hAnsi="Times New Roman" w:eastAsia="宋体" w:cs="Times New Roman"/>
          <w:b/>
          <w:color w:val="000000" w:themeColor="text1"/>
          <w:sz w:val="24"/>
          <w:highlight w:val="none"/>
          <w:u w:val="none"/>
          <w14:textFill>
            <w14:solidFill>
              <w14:schemeClr w14:val="tx1"/>
            </w14:solidFill>
          </w14:textFill>
        </w:rPr>
        <w:fldChar w:fldCharType="separate"/>
      </w:r>
      <w:r>
        <w:rPr>
          <w:rFonts w:ascii="Times New Roman" w:hAnsi="Times New Roman" w:eastAsia="宋体" w:cs="Times New Roman"/>
          <w:b/>
          <w:color w:val="000000" w:themeColor="text1"/>
          <w:sz w:val="24"/>
          <w:highlight w:val="none"/>
          <w:u w:val="none"/>
          <w14:textFill>
            <w14:solidFill>
              <w14:schemeClr w14:val="tx1"/>
            </w14:solidFill>
          </w14:textFill>
        </w:rPr>
        <w:t>5</w:t>
      </w:r>
      <w:r>
        <w:rPr>
          <w:rFonts w:ascii="Times New Roman" w:hAnsi="Times New Roman" w:eastAsia="宋体" w:cs="Times New Roman"/>
          <w:b/>
          <w:color w:val="000000" w:themeColor="text1"/>
          <w:sz w:val="24"/>
          <w:highlight w:val="none"/>
          <w:u w:val="none"/>
          <w14:textFill>
            <w14:solidFill>
              <w14:schemeClr w14:val="tx1"/>
            </w14:solidFill>
          </w14:textFill>
        </w:rPr>
        <w:fldChar w:fldCharType="end"/>
      </w:r>
      <w:r>
        <w:rPr>
          <w:rFonts w:ascii="Times New Roman" w:hAnsi="Times New Roman" w:eastAsia="宋体" w:cs="Times New Roman"/>
          <w:b/>
          <w:color w:val="000000" w:themeColor="text1"/>
          <w:sz w:val="24"/>
          <w:highlight w:val="none"/>
          <w:u w:val="none"/>
          <w14:textFill>
            <w14:solidFill>
              <w14:schemeClr w14:val="tx1"/>
            </w14:solidFill>
          </w14:textFill>
        </w:rPr>
        <w:fldChar w:fldCharType="end"/>
      </w:r>
    </w:p>
    <w:p>
      <w:pPr>
        <w:pStyle w:val="8"/>
        <w:tabs>
          <w:tab w:val="right" w:pos="2000"/>
          <w:tab w:val="right" w:leader="dot" w:pos="10254"/>
        </w:tabs>
        <w:jc w:val="both"/>
        <w:rPr>
          <w:rFonts w:ascii="Times New Roman" w:hAnsi="Times New Roman" w:eastAsia="宋体" w:cs="Times New Roman"/>
          <w:color w:val="000000" w:themeColor="text1"/>
          <w:sz w:val="24"/>
          <w:highlight w:val="none"/>
          <w:u w:val="none"/>
          <w14:textFill>
            <w14:solidFill>
              <w14:schemeClr w14:val="tx1"/>
            </w14:solidFill>
          </w14:textFill>
        </w:rPr>
      </w:pPr>
      <w:r>
        <w:rPr>
          <w:highlight w:val="none"/>
          <w:u w:val="none"/>
        </w:rPr>
        <w:fldChar w:fldCharType="begin"/>
      </w:r>
      <w:r>
        <w:rPr>
          <w:highlight w:val="none"/>
          <w:u w:val="none"/>
        </w:rPr>
        <w:instrText xml:space="preserve"> HYPERLINK \l "_Toc32305" </w:instrText>
      </w:r>
      <w:r>
        <w:rPr>
          <w:highlight w:val="none"/>
          <w:u w:val="none"/>
        </w:rPr>
        <w:fldChar w:fldCharType="separate"/>
      </w:r>
      <w:r>
        <w:rPr>
          <w:rFonts w:ascii="Times New Roman" w:hAnsi="Times New Roman" w:eastAsia="宋体" w:cs="Times New Roman"/>
          <w:b/>
          <w:color w:val="000000" w:themeColor="text1"/>
          <w:sz w:val="24"/>
          <w:highlight w:val="none"/>
          <w:u w:val="none"/>
          <w14:textFill>
            <w14:solidFill>
              <w14:schemeClr w14:val="tx1"/>
            </w14:solidFill>
          </w14:textFill>
        </w:rPr>
        <w:t>2</w:t>
      </w:r>
      <w:r>
        <w:rPr>
          <w:rFonts w:ascii="Times New Roman" w:hAnsi="Times New Roman" w:eastAsia="宋体" w:cs="Times New Roman"/>
          <w:b/>
          <w:color w:val="000000" w:themeColor="text1"/>
          <w:sz w:val="24"/>
          <w:highlight w:val="none"/>
          <w:u w:val="none"/>
          <w14:textFill>
            <w14:solidFill>
              <w14:schemeClr w14:val="tx1"/>
            </w14:solidFill>
          </w14:textFill>
        </w:rPr>
        <w:tab/>
      </w:r>
      <w:r>
        <w:rPr>
          <w:rFonts w:ascii="Times New Roman" w:hAnsi="Times New Roman" w:eastAsia="宋体" w:cs="Times New Roman"/>
          <w:b/>
          <w:color w:val="000000" w:themeColor="text1"/>
          <w:sz w:val="24"/>
          <w:highlight w:val="none"/>
          <w:u w:val="none"/>
          <w14:textFill>
            <w14:solidFill>
              <w14:schemeClr w14:val="tx1"/>
            </w14:solidFill>
          </w14:textFill>
        </w:rPr>
        <w:t xml:space="preserve"> </w:t>
      </w:r>
      <w:r>
        <w:rPr>
          <w:rFonts w:ascii="Times New Roman" w:hAnsi="宋体" w:eastAsia="宋体" w:cs="Times New Roman"/>
          <w:b/>
          <w:color w:val="000000" w:themeColor="text1"/>
          <w:sz w:val="24"/>
          <w:highlight w:val="none"/>
          <w:u w:val="none"/>
          <w14:textFill>
            <w14:solidFill>
              <w14:schemeClr w14:val="tx1"/>
            </w14:solidFill>
          </w14:textFill>
        </w:rPr>
        <w:t>四大板块生态环境总体准入及管控要求</w:t>
      </w:r>
      <w:r>
        <w:rPr>
          <w:rFonts w:ascii="Times New Roman" w:hAnsi="Times New Roman" w:eastAsia="宋体" w:cs="Times New Roman"/>
          <w:b/>
          <w:color w:val="000000" w:themeColor="text1"/>
          <w:sz w:val="24"/>
          <w:highlight w:val="none"/>
          <w:u w:val="none"/>
          <w14:textFill>
            <w14:solidFill>
              <w14:schemeClr w14:val="tx1"/>
            </w14:solidFill>
          </w14:textFill>
        </w:rPr>
        <w:tab/>
      </w:r>
      <w:r>
        <w:rPr>
          <w:rFonts w:ascii="Times New Roman" w:hAnsi="Times New Roman" w:eastAsia="宋体" w:cs="Times New Roman"/>
          <w:b/>
          <w:color w:val="000000" w:themeColor="text1"/>
          <w:sz w:val="24"/>
          <w:highlight w:val="none"/>
          <w:u w:val="none"/>
          <w14:textFill>
            <w14:solidFill>
              <w14:schemeClr w14:val="tx1"/>
            </w14:solidFill>
          </w14:textFill>
        </w:rPr>
        <w:fldChar w:fldCharType="begin"/>
      </w:r>
      <w:r>
        <w:rPr>
          <w:rFonts w:ascii="Times New Roman" w:hAnsi="Times New Roman" w:eastAsia="宋体" w:cs="Times New Roman"/>
          <w:b/>
          <w:color w:val="000000" w:themeColor="text1"/>
          <w:sz w:val="24"/>
          <w:highlight w:val="none"/>
          <w:u w:val="none"/>
          <w14:textFill>
            <w14:solidFill>
              <w14:schemeClr w14:val="tx1"/>
            </w14:solidFill>
          </w14:textFill>
        </w:rPr>
        <w:instrText xml:space="preserve"> PAGEREF _Toc32305 \h </w:instrText>
      </w:r>
      <w:r>
        <w:rPr>
          <w:rFonts w:ascii="Times New Roman" w:hAnsi="Times New Roman" w:eastAsia="宋体" w:cs="Times New Roman"/>
          <w:b/>
          <w:color w:val="000000" w:themeColor="text1"/>
          <w:sz w:val="24"/>
          <w:highlight w:val="none"/>
          <w:u w:val="none"/>
          <w14:textFill>
            <w14:solidFill>
              <w14:schemeClr w14:val="tx1"/>
            </w14:solidFill>
          </w14:textFill>
        </w:rPr>
        <w:fldChar w:fldCharType="separate"/>
      </w:r>
      <w:r>
        <w:rPr>
          <w:rFonts w:ascii="Times New Roman" w:hAnsi="Times New Roman" w:eastAsia="宋体" w:cs="Times New Roman"/>
          <w:b/>
          <w:color w:val="000000" w:themeColor="text1"/>
          <w:sz w:val="24"/>
          <w:highlight w:val="none"/>
          <w:u w:val="none"/>
          <w14:textFill>
            <w14:solidFill>
              <w14:schemeClr w14:val="tx1"/>
            </w14:solidFill>
          </w14:textFill>
        </w:rPr>
        <w:t>23</w:t>
      </w:r>
      <w:r>
        <w:rPr>
          <w:rFonts w:ascii="Times New Roman" w:hAnsi="Times New Roman" w:eastAsia="宋体" w:cs="Times New Roman"/>
          <w:b/>
          <w:color w:val="000000" w:themeColor="text1"/>
          <w:sz w:val="24"/>
          <w:highlight w:val="none"/>
          <w:u w:val="none"/>
          <w14:textFill>
            <w14:solidFill>
              <w14:schemeClr w14:val="tx1"/>
            </w14:solidFill>
          </w14:textFill>
        </w:rPr>
        <w:fldChar w:fldCharType="end"/>
      </w:r>
      <w:r>
        <w:rPr>
          <w:rFonts w:ascii="Times New Roman" w:hAnsi="Times New Roman" w:eastAsia="宋体" w:cs="Times New Roman"/>
          <w:b/>
          <w:color w:val="000000" w:themeColor="text1"/>
          <w:sz w:val="24"/>
          <w:highlight w:val="none"/>
          <w:u w:val="none"/>
          <w14:textFill>
            <w14:solidFill>
              <w14:schemeClr w14:val="tx1"/>
            </w14:solidFill>
          </w14:textFill>
        </w:rPr>
        <w:fldChar w:fldCharType="end"/>
      </w:r>
    </w:p>
    <w:p>
      <w:pPr>
        <w:pStyle w:val="9"/>
        <w:tabs>
          <w:tab w:val="right" w:leader="dot" w:pos="10254"/>
        </w:tabs>
        <w:jc w:val="both"/>
        <w:rPr>
          <w:rFonts w:ascii="Times New Roman" w:hAnsi="Times New Roman" w:eastAsia="宋体" w:cs="Times New Roman"/>
          <w:color w:val="000000" w:themeColor="text1"/>
          <w:sz w:val="24"/>
          <w:highlight w:val="none"/>
          <w:u w:val="none"/>
          <w14:textFill>
            <w14:solidFill>
              <w14:schemeClr w14:val="tx1"/>
            </w14:solidFill>
          </w14:textFill>
        </w:rPr>
      </w:pPr>
      <w:r>
        <w:rPr>
          <w:highlight w:val="none"/>
          <w:u w:val="none"/>
        </w:rPr>
        <w:fldChar w:fldCharType="begin"/>
      </w:r>
      <w:r>
        <w:rPr>
          <w:highlight w:val="none"/>
          <w:u w:val="none"/>
        </w:rPr>
        <w:instrText xml:space="preserve"> HYPERLINK \l "_Toc16456" </w:instrText>
      </w:r>
      <w:r>
        <w:rPr>
          <w:highlight w:val="none"/>
          <w:u w:val="none"/>
        </w:rPr>
        <w:fldChar w:fldCharType="separate"/>
      </w:r>
      <w:r>
        <w:rPr>
          <w:rFonts w:ascii="Times New Roman" w:hAnsi="Times New Roman" w:eastAsia="宋体" w:cs="Times New Roman"/>
          <w:color w:val="000000" w:themeColor="text1"/>
          <w:sz w:val="24"/>
          <w:highlight w:val="none"/>
          <w:u w:val="none"/>
          <w14:textFill>
            <w14:solidFill>
              <w14:schemeClr w14:val="tx1"/>
            </w14:solidFill>
          </w14:textFill>
        </w:rPr>
        <w:t>2.1</w:t>
      </w:r>
      <w:r>
        <w:rPr>
          <w:rFonts w:ascii="Times New Roman" w:hAnsi="宋体" w:eastAsia="宋体" w:cs="Times New Roman"/>
          <w:color w:val="000000" w:themeColor="text1"/>
          <w:sz w:val="24"/>
          <w:highlight w:val="none"/>
          <w:u w:val="none"/>
          <w14:textFill>
            <w14:solidFill>
              <w14:schemeClr w14:val="tx1"/>
            </w14:solidFill>
          </w14:textFill>
        </w:rPr>
        <w:t>北部湾经济区</w:t>
      </w:r>
      <w:r>
        <w:rPr>
          <w:rFonts w:ascii="Times New Roman" w:hAnsi="Times New Roman" w:eastAsia="宋体" w:cs="Times New Roman"/>
          <w:color w:val="000000" w:themeColor="text1"/>
          <w:sz w:val="24"/>
          <w:highlight w:val="none"/>
          <w:u w:val="none"/>
          <w14:textFill>
            <w14:solidFill>
              <w14:schemeClr w14:val="tx1"/>
            </w14:solidFill>
          </w14:textFill>
        </w:rPr>
        <w:tab/>
      </w:r>
      <w:r>
        <w:rPr>
          <w:rFonts w:ascii="Times New Roman" w:hAnsi="Times New Roman" w:eastAsia="宋体" w:cs="Times New Roman"/>
          <w:color w:val="000000" w:themeColor="text1"/>
          <w:sz w:val="24"/>
          <w:highlight w:val="none"/>
          <w:u w:val="none"/>
          <w14:textFill>
            <w14:solidFill>
              <w14:schemeClr w14:val="tx1"/>
            </w14:solidFill>
          </w14:textFill>
        </w:rPr>
        <w:fldChar w:fldCharType="begin"/>
      </w:r>
      <w:r>
        <w:rPr>
          <w:rFonts w:ascii="Times New Roman" w:hAnsi="Times New Roman" w:eastAsia="宋体" w:cs="Times New Roman"/>
          <w:color w:val="000000" w:themeColor="text1"/>
          <w:sz w:val="24"/>
          <w:highlight w:val="none"/>
          <w:u w:val="none"/>
          <w14:textFill>
            <w14:solidFill>
              <w14:schemeClr w14:val="tx1"/>
            </w14:solidFill>
          </w14:textFill>
        </w:rPr>
        <w:instrText xml:space="preserve"> PAGEREF _Toc16456 \h </w:instrText>
      </w:r>
      <w:r>
        <w:rPr>
          <w:rFonts w:ascii="Times New Roman" w:hAnsi="Times New Roman" w:eastAsia="宋体" w:cs="Times New Roman"/>
          <w:color w:val="000000" w:themeColor="text1"/>
          <w:sz w:val="24"/>
          <w:highlight w:val="none"/>
          <w:u w:val="none"/>
          <w14:textFill>
            <w14:solidFill>
              <w14:schemeClr w14:val="tx1"/>
            </w14:solidFill>
          </w14:textFill>
        </w:rPr>
        <w:fldChar w:fldCharType="separate"/>
      </w:r>
      <w:r>
        <w:rPr>
          <w:rFonts w:ascii="Times New Roman" w:hAnsi="Times New Roman" w:eastAsia="宋体" w:cs="Times New Roman"/>
          <w:color w:val="000000" w:themeColor="text1"/>
          <w:sz w:val="24"/>
          <w:highlight w:val="none"/>
          <w:u w:val="none"/>
          <w14:textFill>
            <w14:solidFill>
              <w14:schemeClr w14:val="tx1"/>
            </w14:solidFill>
          </w14:textFill>
        </w:rPr>
        <w:t>23</w:t>
      </w:r>
      <w:r>
        <w:rPr>
          <w:rFonts w:ascii="Times New Roman" w:hAnsi="Times New Roman" w:eastAsia="宋体" w:cs="Times New Roman"/>
          <w:color w:val="000000" w:themeColor="text1"/>
          <w:sz w:val="24"/>
          <w:highlight w:val="none"/>
          <w:u w:val="none"/>
          <w14:textFill>
            <w14:solidFill>
              <w14:schemeClr w14:val="tx1"/>
            </w14:solidFill>
          </w14:textFill>
        </w:rPr>
        <w:fldChar w:fldCharType="end"/>
      </w:r>
      <w:r>
        <w:rPr>
          <w:rFonts w:ascii="Times New Roman" w:hAnsi="Times New Roman" w:eastAsia="宋体" w:cs="Times New Roman"/>
          <w:color w:val="000000" w:themeColor="text1"/>
          <w:sz w:val="24"/>
          <w:highlight w:val="none"/>
          <w:u w:val="none"/>
          <w14:textFill>
            <w14:solidFill>
              <w14:schemeClr w14:val="tx1"/>
            </w14:solidFill>
          </w14:textFill>
        </w:rPr>
        <w:fldChar w:fldCharType="end"/>
      </w:r>
    </w:p>
    <w:p>
      <w:pPr>
        <w:pStyle w:val="9"/>
        <w:tabs>
          <w:tab w:val="right" w:leader="dot" w:pos="10254"/>
        </w:tabs>
        <w:jc w:val="both"/>
        <w:rPr>
          <w:rFonts w:ascii="Times New Roman" w:hAnsi="Times New Roman" w:eastAsia="宋体" w:cs="Times New Roman"/>
          <w:color w:val="000000" w:themeColor="text1"/>
          <w:sz w:val="24"/>
          <w:highlight w:val="none"/>
          <w:u w:val="none"/>
          <w14:textFill>
            <w14:solidFill>
              <w14:schemeClr w14:val="tx1"/>
            </w14:solidFill>
          </w14:textFill>
        </w:rPr>
      </w:pPr>
      <w:r>
        <w:rPr>
          <w:highlight w:val="none"/>
          <w:u w:val="none"/>
        </w:rPr>
        <w:fldChar w:fldCharType="begin"/>
      </w:r>
      <w:r>
        <w:rPr>
          <w:highlight w:val="none"/>
          <w:u w:val="none"/>
        </w:rPr>
        <w:instrText xml:space="preserve"> HYPERLINK \l "_Toc10814" </w:instrText>
      </w:r>
      <w:r>
        <w:rPr>
          <w:highlight w:val="none"/>
          <w:u w:val="none"/>
        </w:rPr>
        <w:fldChar w:fldCharType="separate"/>
      </w:r>
      <w:r>
        <w:rPr>
          <w:rFonts w:ascii="Times New Roman" w:hAnsi="Times New Roman" w:eastAsia="宋体" w:cs="Times New Roman"/>
          <w:color w:val="000000" w:themeColor="text1"/>
          <w:sz w:val="24"/>
          <w:highlight w:val="none"/>
          <w:u w:val="none"/>
          <w14:textFill>
            <w14:solidFill>
              <w14:schemeClr w14:val="tx1"/>
            </w14:solidFill>
          </w14:textFill>
        </w:rPr>
        <w:t>2.2</w:t>
      </w:r>
      <w:r>
        <w:rPr>
          <w:rFonts w:ascii="Times New Roman" w:hAnsi="宋体" w:eastAsia="宋体" w:cs="Times New Roman"/>
          <w:color w:val="000000" w:themeColor="text1"/>
          <w:sz w:val="24"/>
          <w:highlight w:val="none"/>
          <w:u w:val="none"/>
          <w14:textFill>
            <w14:solidFill>
              <w14:schemeClr w14:val="tx1"/>
            </w14:solidFill>
          </w14:textFill>
        </w:rPr>
        <w:t>左右江革命老区</w:t>
      </w:r>
      <w:r>
        <w:rPr>
          <w:rFonts w:ascii="Times New Roman" w:hAnsi="Times New Roman" w:eastAsia="宋体" w:cs="Times New Roman"/>
          <w:color w:val="000000" w:themeColor="text1"/>
          <w:sz w:val="24"/>
          <w:highlight w:val="none"/>
          <w:u w:val="none"/>
          <w14:textFill>
            <w14:solidFill>
              <w14:schemeClr w14:val="tx1"/>
            </w14:solidFill>
          </w14:textFill>
        </w:rPr>
        <w:tab/>
      </w:r>
      <w:r>
        <w:rPr>
          <w:rFonts w:ascii="Times New Roman" w:hAnsi="Times New Roman" w:eastAsia="宋体" w:cs="Times New Roman"/>
          <w:color w:val="000000" w:themeColor="text1"/>
          <w:sz w:val="24"/>
          <w:highlight w:val="none"/>
          <w:u w:val="none"/>
          <w14:textFill>
            <w14:solidFill>
              <w14:schemeClr w14:val="tx1"/>
            </w14:solidFill>
          </w14:textFill>
        </w:rPr>
        <w:fldChar w:fldCharType="begin"/>
      </w:r>
      <w:r>
        <w:rPr>
          <w:rFonts w:ascii="Times New Roman" w:hAnsi="Times New Roman" w:eastAsia="宋体" w:cs="Times New Roman"/>
          <w:color w:val="000000" w:themeColor="text1"/>
          <w:sz w:val="24"/>
          <w:highlight w:val="none"/>
          <w:u w:val="none"/>
          <w14:textFill>
            <w14:solidFill>
              <w14:schemeClr w14:val="tx1"/>
            </w14:solidFill>
          </w14:textFill>
        </w:rPr>
        <w:instrText xml:space="preserve"> PAGEREF _Toc10814 \h </w:instrText>
      </w:r>
      <w:r>
        <w:rPr>
          <w:rFonts w:ascii="Times New Roman" w:hAnsi="Times New Roman" w:eastAsia="宋体" w:cs="Times New Roman"/>
          <w:color w:val="000000" w:themeColor="text1"/>
          <w:sz w:val="24"/>
          <w:highlight w:val="none"/>
          <w:u w:val="none"/>
          <w14:textFill>
            <w14:solidFill>
              <w14:schemeClr w14:val="tx1"/>
            </w14:solidFill>
          </w14:textFill>
        </w:rPr>
        <w:fldChar w:fldCharType="separate"/>
      </w:r>
      <w:r>
        <w:rPr>
          <w:rFonts w:ascii="Times New Roman" w:hAnsi="Times New Roman" w:eastAsia="宋体" w:cs="Times New Roman"/>
          <w:color w:val="000000" w:themeColor="text1"/>
          <w:sz w:val="24"/>
          <w:highlight w:val="none"/>
          <w:u w:val="none"/>
          <w14:textFill>
            <w14:solidFill>
              <w14:schemeClr w14:val="tx1"/>
            </w14:solidFill>
          </w14:textFill>
        </w:rPr>
        <w:t>25</w:t>
      </w:r>
      <w:r>
        <w:rPr>
          <w:rFonts w:ascii="Times New Roman" w:hAnsi="Times New Roman" w:eastAsia="宋体" w:cs="Times New Roman"/>
          <w:color w:val="000000" w:themeColor="text1"/>
          <w:sz w:val="24"/>
          <w:highlight w:val="none"/>
          <w:u w:val="none"/>
          <w14:textFill>
            <w14:solidFill>
              <w14:schemeClr w14:val="tx1"/>
            </w14:solidFill>
          </w14:textFill>
        </w:rPr>
        <w:fldChar w:fldCharType="end"/>
      </w:r>
      <w:r>
        <w:rPr>
          <w:rFonts w:ascii="Times New Roman" w:hAnsi="Times New Roman" w:eastAsia="宋体" w:cs="Times New Roman"/>
          <w:color w:val="000000" w:themeColor="text1"/>
          <w:sz w:val="24"/>
          <w:highlight w:val="none"/>
          <w:u w:val="none"/>
          <w14:textFill>
            <w14:solidFill>
              <w14:schemeClr w14:val="tx1"/>
            </w14:solidFill>
          </w14:textFill>
        </w:rPr>
        <w:fldChar w:fldCharType="end"/>
      </w:r>
    </w:p>
    <w:p>
      <w:pPr>
        <w:pStyle w:val="9"/>
        <w:tabs>
          <w:tab w:val="right" w:leader="dot" w:pos="10254"/>
        </w:tabs>
        <w:jc w:val="both"/>
        <w:rPr>
          <w:rFonts w:ascii="Times New Roman" w:hAnsi="Times New Roman" w:eastAsia="宋体" w:cs="Times New Roman"/>
          <w:color w:val="000000" w:themeColor="text1"/>
          <w:sz w:val="24"/>
          <w:highlight w:val="none"/>
          <w:u w:val="none"/>
          <w14:textFill>
            <w14:solidFill>
              <w14:schemeClr w14:val="tx1"/>
            </w14:solidFill>
          </w14:textFill>
        </w:rPr>
      </w:pPr>
      <w:r>
        <w:rPr>
          <w:highlight w:val="none"/>
          <w:u w:val="none"/>
        </w:rPr>
        <w:fldChar w:fldCharType="begin"/>
      </w:r>
      <w:r>
        <w:rPr>
          <w:highlight w:val="none"/>
          <w:u w:val="none"/>
        </w:rPr>
        <w:instrText xml:space="preserve"> HYPERLINK \l "_Toc21340" </w:instrText>
      </w:r>
      <w:r>
        <w:rPr>
          <w:highlight w:val="none"/>
          <w:u w:val="none"/>
        </w:rPr>
        <w:fldChar w:fldCharType="separate"/>
      </w:r>
      <w:r>
        <w:rPr>
          <w:rFonts w:ascii="Times New Roman" w:hAnsi="Times New Roman" w:eastAsia="宋体" w:cs="Times New Roman"/>
          <w:color w:val="000000" w:themeColor="text1"/>
          <w:sz w:val="24"/>
          <w:highlight w:val="none"/>
          <w:u w:val="none"/>
          <w14:textFill>
            <w14:solidFill>
              <w14:schemeClr w14:val="tx1"/>
            </w14:solidFill>
          </w14:textFill>
        </w:rPr>
        <w:t>2.3</w:t>
      </w:r>
      <w:r>
        <w:rPr>
          <w:rFonts w:ascii="Times New Roman" w:hAnsi="宋体" w:eastAsia="宋体" w:cs="Times New Roman"/>
          <w:color w:val="000000" w:themeColor="text1"/>
          <w:sz w:val="24"/>
          <w:highlight w:val="none"/>
          <w:u w:val="none"/>
          <w14:textFill>
            <w14:solidFill>
              <w14:schemeClr w14:val="tx1"/>
            </w14:solidFill>
          </w14:textFill>
        </w:rPr>
        <w:t>西江经济带</w:t>
      </w:r>
      <w:r>
        <w:rPr>
          <w:rFonts w:ascii="Times New Roman" w:hAnsi="Times New Roman" w:eastAsia="宋体" w:cs="Times New Roman"/>
          <w:color w:val="000000" w:themeColor="text1"/>
          <w:sz w:val="24"/>
          <w:highlight w:val="none"/>
          <w:u w:val="none"/>
          <w14:textFill>
            <w14:solidFill>
              <w14:schemeClr w14:val="tx1"/>
            </w14:solidFill>
          </w14:textFill>
        </w:rPr>
        <w:tab/>
      </w:r>
      <w:r>
        <w:rPr>
          <w:rFonts w:ascii="Times New Roman" w:hAnsi="Times New Roman" w:eastAsia="宋体" w:cs="Times New Roman"/>
          <w:color w:val="000000" w:themeColor="text1"/>
          <w:sz w:val="24"/>
          <w:highlight w:val="none"/>
          <w:u w:val="none"/>
          <w14:textFill>
            <w14:solidFill>
              <w14:schemeClr w14:val="tx1"/>
            </w14:solidFill>
          </w14:textFill>
        </w:rPr>
        <w:fldChar w:fldCharType="begin"/>
      </w:r>
      <w:r>
        <w:rPr>
          <w:rFonts w:ascii="Times New Roman" w:hAnsi="Times New Roman" w:eastAsia="宋体" w:cs="Times New Roman"/>
          <w:color w:val="000000" w:themeColor="text1"/>
          <w:sz w:val="24"/>
          <w:highlight w:val="none"/>
          <w:u w:val="none"/>
          <w14:textFill>
            <w14:solidFill>
              <w14:schemeClr w14:val="tx1"/>
            </w14:solidFill>
          </w14:textFill>
        </w:rPr>
        <w:instrText xml:space="preserve"> PAGEREF _Toc21340 \h </w:instrText>
      </w:r>
      <w:r>
        <w:rPr>
          <w:rFonts w:ascii="Times New Roman" w:hAnsi="Times New Roman" w:eastAsia="宋体" w:cs="Times New Roman"/>
          <w:color w:val="000000" w:themeColor="text1"/>
          <w:sz w:val="24"/>
          <w:highlight w:val="none"/>
          <w:u w:val="none"/>
          <w14:textFill>
            <w14:solidFill>
              <w14:schemeClr w14:val="tx1"/>
            </w14:solidFill>
          </w14:textFill>
        </w:rPr>
        <w:fldChar w:fldCharType="separate"/>
      </w:r>
      <w:r>
        <w:rPr>
          <w:rFonts w:ascii="Times New Roman" w:hAnsi="Times New Roman" w:eastAsia="宋体" w:cs="Times New Roman"/>
          <w:color w:val="000000" w:themeColor="text1"/>
          <w:sz w:val="24"/>
          <w:highlight w:val="none"/>
          <w:u w:val="none"/>
          <w14:textFill>
            <w14:solidFill>
              <w14:schemeClr w14:val="tx1"/>
            </w14:solidFill>
          </w14:textFill>
        </w:rPr>
        <w:t>26</w:t>
      </w:r>
      <w:r>
        <w:rPr>
          <w:rFonts w:ascii="Times New Roman" w:hAnsi="Times New Roman" w:eastAsia="宋体" w:cs="Times New Roman"/>
          <w:color w:val="000000" w:themeColor="text1"/>
          <w:sz w:val="24"/>
          <w:highlight w:val="none"/>
          <w:u w:val="none"/>
          <w14:textFill>
            <w14:solidFill>
              <w14:schemeClr w14:val="tx1"/>
            </w14:solidFill>
          </w14:textFill>
        </w:rPr>
        <w:fldChar w:fldCharType="end"/>
      </w:r>
      <w:r>
        <w:rPr>
          <w:rFonts w:ascii="Times New Roman" w:hAnsi="Times New Roman" w:eastAsia="宋体" w:cs="Times New Roman"/>
          <w:color w:val="000000" w:themeColor="text1"/>
          <w:sz w:val="24"/>
          <w:highlight w:val="none"/>
          <w:u w:val="none"/>
          <w14:textFill>
            <w14:solidFill>
              <w14:schemeClr w14:val="tx1"/>
            </w14:solidFill>
          </w14:textFill>
        </w:rPr>
        <w:fldChar w:fldCharType="end"/>
      </w:r>
    </w:p>
    <w:p>
      <w:pPr>
        <w:pStyle w:val="9"/>
        <w:tabs>
          <w:tab w:val="right" w:leader="dot" w:pos="10254"/>
        </w:tabs>
        <w:jc w:val="both"/>
        <w:rPr>
          <w:rFonts w:ascii="Times New Roman" w:hAnsi="Times New Roman" w:eastAsia="宋体" w:cs="Times New Roman"/>
          <w:color w:val="000000" w:themeColor="text1"/>
          <w:sz w:val="24"/>
          <w:highlight w:val="none"/>
          <w:u w:val="none"/>
          <w14:textFill>
            <w14:solidFill>
              <w14:schemeClr w14:val="tx1"/>
            </w14:solidFill>
          </w14:textFill>
        </w:rPr>
      </w:pPr>
      <w:r>
        <w:rPr>
          <w:highlight w:val="none"/>
          <w:u w:val="none"/>
        </w:rPr>
        <w:fldChar w:fldCharType="begin"/>
      </w:r>
      <w:r>
        <w:rPr>
          <w:highlight w:val="none"/>
          <w:u w:val="none"/>
        </w:rPr>
        <w:instrText xml:space="preserve"> HYPERLINK \l "_Toc31726" </w:instrText>
      </w:r>
      <w:r>
        <w:rPr>
          <w:highlight w:val="none"/>
          <w:u w:val="none"/>
        </w:rPr>
        <w:fldChar w:fldCharType="separate"/>
      </w:r>
      <w:r>
        <w:rPr>
          <w:rFonts w:ascii="Times New Roman" w:hAnsi="Times New Roman" w:eastAsia="宋体" w:cs="Times New Roman"/>
          <w:color w:val="000000" w:themeColor="text1"/>
          <w:sz w:val="24"/>
          <w:highlight w:val="none"/>
          <w:u w:val="none"/>
          <w14:textFill>
            <w14:solidFill>
              <w14:schemeClr w14:val="tx1"/>
            </w14:solidFill>
          </w14:textFill>
        </w:rPr>
        <w:t>2.4</w:t>
      </w:r>
      <w:r>
        <w:rPr>
          <w:rFonts w:ascii="Times New Roman" w:hAnsi="宋体" w:eastAsia="宋体" w:cs="Times New Roman"/>
          <w:color w:val="000000" w:themeColor="text1"/>
          <w:sz w:val="24"/>
          <w:highlight w:val="none"/>
          <w:u w:val="none"/>
          <w14:textFill>
            <w14:solidFill>
              <w14:schemeClr w14:val="tx1"/>
            </w14:solidFill>
          </w14:textFill>
        </w:rPr>
        <w:t>桂林国际旅游胜地</w:t>
      </w:r>
      <w:r>
        <w:rPr>
          <w:rFonts w:ascii="Times New Roman" w:hAnsi="Times New Roman" w:eastAsia="宋体" w:cs="Times New Roman"/>
          <w:color w:val="000000" w:themeColor="text1"/>
          <w:sz w:val="24"/>
          <w:highlight w:val="none"/>
          <w:u w:val="none"/>
          <w14:textFill>
            <w14:solidFill>
              <w14:schemeClr w14:val="tx1"/>
            </w14:solidFill>
          </w14:textFill>
        </w:rPr>
        <w:tab/>
      </w:r>
      <w:r>
        <w:rPr>
          <w:rFonts w:ascii="Times New Roman" w:hAnsi="Times New Roman" w:eastAsia="宋体" w:cs="Times New Roman"/>
          <w:color w:val="000000" w:themeColor="text1"/>
          <w:sz w:val="24"/>
          <w:highlight w:val="none"/>
          <w:u w:val="none"/>
          <w14:textFill>
            <w14:solidFill>
              <w14:schemeClr w14:val="tx1"/>
            </w14:solidFill>
          </w14:textFill>
        </w:rPr>
        <w:fldChar w:fldCharType="begin"/>
      </w:r>
      <w:r>
        <w:rPr>
          <w:rFonts w:ascii="Times New Roman" w:hAnsi="Times New Roman" w:eastAsia="宋体" w:cs="Times New Roman"/>
          <w:color w:val="000000" w:themeColor="text1"/>
          <w:sz w:val="24"/>
          <w:highlight w:val="none"/>
          <w:u w:val="none"/>
          <w14:textFill>
            <w14:solidFill>
              <w14:schemeClr w14:val="tx1"/>
            </w14:solidFill>
          </w14:textFill>
        </w:rPr>
        <w:instrText xml:space="preserve"> PAGEREF _Toc31726 \h </w:instrText>
      </w:r>
      <w:r>
        <w:rPr>
          <w:rFonts w:ascii="Times New Roman" w:hAnsi="Times New Roman" w:eastAsia="宋体" w:cs="Times New Roman"/>
          <w:color w:val="000000" w:themeColor="text1"/>
          <w:sz w:val="24"/>
          <w:highlight w:val="none"/>
          <w:u w:val="none"/>
          <w14:textFill>
            <w14:solidFill>
              <w14:schemeClr w14:val="tx1"/>
            </w14:solidFill>
          </w14:textFill>
        </w:rPr>
        <w:fldChar w:fldCharType="separate"/>
      </w:r>
      <w:r>
        <w:rPr>
          <w:rFonts w:ascii="Times New Roman" w:hAnsi="Times New Roman" w:eastAsia="宋体" w:cs="Times New Roman"/>
          <w:color w:val="000000" w:themeColor="text1"/>
          <w:sz w:val="24"/>
          <w:highlight w:val="none"/>
          <w:u w:val="none"/>
          <w14:textFill>
            <w14:solidFill>
              <w14:schemeClr w14:val="tx1"/>
            </w14:solidFill>
          </w14:textFill>
        </w:rPr>
        <w:t>27</w:t>
      </w:r>
      <w:r>
        <w:rPr>
          <w:rFonts w:ascii="Times New Roman" w:hAnsi="Times New Roman" w:eastAsia="宋体" w:cs="Times New Roman"/>
          <w:color w:val="000000" w:themeColor="text1"/>
          <w:sz w:val="24"/>
          <w:highlight w:val="none"/>
          <w:u w:val="none"/>
          <w14:textFill>
            <w14:solidFill>
              <w14:schemeClr w14:val="tx1"/>
            </w14:solidFill>
          </w14:textFill>
        </w:rPr>
        <w:fldChar w:fldCharType="end"/>
      </w:r>
      <w:r>
        <w:rPr>
          <w:rFonts w:ascii="Times New Roman" w:hAnsi="Times New Roman" w:eastAsia="宋体" w:cs="Times New Roman"/>
          <w:color w:val="000000" w:themeColor="text1"/>
          <w:sz w:val="24"/>
          <w:highlight w:val="none"/>
          <w:u w:val="none"/>
          <w14:textFill>
            <w14:solidFill>
              <w14:schemeClr w14:val="tx1"/>
            </w14:solidFill>
          </w14:textFill>
        </w:rPr>
        <w:fldChar w:fldCharType="end"/>
      </w:r>
    </w:p>
    <w:p>
      <w:pPr>
        <w:adjustRightInd w:val="0"/>
        <w:snapToGrid w:val="0"/>
        <w:spacing w:line="360" w:lineRule="auto"/>
        <w:jc w:val="both"/>
        <w:rPr>
          <w:rFonts w:ascii="Times New Roman" w:hAnsi="Times New Roman" w:eastAsia="宋体" w:cs="Times New Roman"/>
          <w:bCs/>
          <w:color w:val="000000" w:themeColor="text1"/>
          <w:kern w:val="0"/>
          <w:sz w:val="24"/>
          <w:highlight w:val="none"/>
          <w:u w:val="none"/>
          <w14:textFill>
            <w14:solidFill>
              <w14:schemeClr w14:val="tx1"/>
            </w14:solidFill>
          </w14:textFill>
        </w:rPr>
        <w:sectPr>
          <w:type w:val="continuous"/>
          <w:pgSz w:w="23814" w:h="16839" w:orient="landscape"/>
          <w:pgMar w:top="1797" w:right="1440" w:bottom="1797" w:left="1440" w:header="851" w:footer="992" w:gutter="0"/>
          <w:pgNumType w:fmt="decimal"/>
          <w:cols w:space="425" w:num="1"/>
          <w:docGrid w:type="lines" w:linePitch="312" w:charSpace="0"/>
        </w:sectPr>
      </w:pPr>
      <w:r>
        <w:rPr>
          <w:rFonts w:ascii="Times New Roman" w:hAnsi="Times New Roman" w:eastAsia="宋体" w:cs="Times New Roman"/>
          <w:bCs/>
          <w:color w:val="000000" w:themeColor="text1"/>
          <w:kern w:val="0"/>
          <w:sz w:val="24"/>
          <w:highlight w:val="none"/>
          <w:u w:val="none"/>
          <w14:textFill>
            <w14:solidFill>
              <w14:schemeClr w14:val="tx1"/>
            </w14:solidFill>
          </w14:textFill>
        </w:rPr>
        <w:fldChar w:fldCharType="end"/>
      </w:r>
    </w:p>
    <w:p>
      <w:pPr>
        <w:pStyle w:val="2"/>
        <w:numPr>
          <w:ilvl w:val="0"/>
          <w:numId w:val="1"/>
        </w:numPr>
        <w:spacing w:before="156" w:after="156"/>
        <w:rPr>
          <w:rFonts w:ascii="黑体" w:hAnsi="黑体" w:eastAsia="黑体" w:cs="Times New Roman"/>
          <w:color w:val="000000" w:themeColor="text1"/>
          <w:szCs w:val="32"/>
          <w:highlight w:val="none"/>
          <w:u w:val="none"/>
          <w14:textFill>
            <w14:solidFill>
              <w14:schemeClr w14:val="tx1"/>
            </w14:solidFill>
          </w14:textFill>
        </w:rPr>
      </w:pPr>
      <w:bookmarkStart w:id="1" w:name="_Toc20099"/>
      <w:bookmarkStart w:id="2" w:name="_Toc18654"/>
      <w:bookmarkStart w:id="3" w:name="_Toc27601823"/>
      <w:r>
        <w:rPr>
          <w:rFonts w:ascii="黑体" w:hAnsi="黑体" w:eastAsia="黑体" w:cs="Times New Roman"/>
          <w:color w:val="000000" w:themeColor="text1"/>
          <w:szCs w:val="32"/>
          <w:highlight w:val="none"/>
          <w:u w:val="none"/>
          <w14:textFill>
            <w14:solidFill>
              <w14:schemeClr w14:val="tx1"/>
            </w14:solidFill>
          </w14:textFill>
        </w:rPr>
        <w:t>自治区总体生态环境准入及管控要求</w:t>
      </w:r>
      <w:bookmarkEnd w:id="1"/>
      <w:bookmarkEnd w:id="2"/>
    </w:p>
    <w:p>
      <w:pPr>
        <w:pStyle w:val="19"/>
        <w:outlineLvl w:val="2"/>
        <w:rPr>
          <w:highlight w:val="none"/>
          <w:u w:val="none"/>
        </w:rPr>
      </w:pPr>
      <w:bookmarkStart w:id="4" w:name="_Toc31023"/>
      <w:r>
        <w:rPr>
          <w:highlight w:val="none"/>
          <w:u w:val="none"/>
        </w:rPr>
        <w:t>表1.1-1  陆域产业布局总体生态环境准入及管控要求</w:t>
      </w:r>
      <w:bookmarkEnd w:id="4"/>
    </w:p>
    <w:tbl>
      <w:tblPr>
        <w:tblStyle w:val="20"/>
        <w:tblW w:w="218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7"/>
        <w:gridCol w:w="1944"/>
        <w:gridCol w:w="2026"/>
        <w:gridCol w:w="9404"/>
        <w:gridCol w:w="68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1587"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适用分区</w:t>
            </w:r>
          </w:p>
        </w:tc>
        <w:tc>
          <w:tcPr>
            <w:tcW w:w="1944"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适用对象</w:t>
            </w:r>
          </w:p>
        </w:tc>
        <w:tc>
          <w:tcPr>
            <w:tcW w:w="2026"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管控要求类别</w:t>
            </w:r>
          </w:p>
        </w:tc>
        <w:tc>
          <w:tcPr>
            <w:tcW w:w="9404"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生态环境准入及管控要求</w:t>
            </w:r>
          </w:p>
        </w:tc>
        <w:tc>
          <w:tcPr>
            <w:tcW w:w="6839"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编制理由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6" w:hRule="atLeast"/>
          <w:jc w:val="center"/>
        </w:trPr>
        <w:tc>
          <w:tcPr>
            <w:tcW w:w="1587"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自治区</w:t>
            </w:r>
          </w:p>
        </w:tc>
        <w:tc>
          <w:tcPr>
            <w:tcW w:w="1944"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全自治区</w:t>
            </w:r>
          </w:p>
        </w:tc>
        <w:tc>
          <w:tcPr>
            <w:tcW w:w="2026"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空间布局约束</w:t>
            </w:r>
          </w:p>
        </w:tc>
        <w:tc>
          <w:tcPr>
            <w:tcW w:w="9404"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．新建、改建、扩建工业项目应按照国家、自治区相关行业建设项目环境影响评价文件审批原则入园。新建企业应符合批准实施的国土空间规划、</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十四五</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规划纲要和相关专项规划。</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新建、扩建现行《产业结构调整指导目录》《广西工业产业结构调整指导目录》明确的淘汰类、禁止类项目；</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引入不符合现行《市场准入负面清单》禁止准入类事项。新建项目要严格落实国家有关产业重大生产力规划布局要求，并符合广西优化主导产业布局、新发展格局下广西重点产业布局规划、广西制造强区建设中长期规划及相关产业规划布局。</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．鼓励和引导新建涉挥发性有机物</w:t>
            </w:r>
            <w:r>
              <w:rPr>
                <w:rFonts w:ascii="Times New Roman" w:hAnsi="Times New Roman" w:eastAsia="宋体" w:cs="Times New Roman"/>
                <w:color w:val="000000" w:themeColor="text1"/>
                <w:szCs w:val="21"/>
                <w:highlight w:val="none"/>
                <w:u w:val="none"/>
                <w14:textFill>
                  <w14:solidFill>
                    <w14:schemeClr w14:val="tx1"/>
                  </w14:solidFill>
                </w14:textFill>
              </w:rPr>
              <w:t>VOCs</w:t>
            </w:r>
            <w:r>
              <w:rPr>
                <w:rFonts w:ascii="Times New Roman" w:hAnsi="宋体" w:eastAsia="宋体" w:cs="Times New Roman"/>
                <w:color w:val="000000" w:themeColor="text1"/>
                <w:szCs w:val="21"/>
                <w:highlight w:val="none"/>
                <w:u w:val="none"/>
                <w14:textFill>
                  <w14:solidFill>
                    <w14:schemeClr w14:val="tx1"/>
                  </w14:solidFill>
                </w14:textFill>
              </w:rPr>
              <w:t>排放的工业企业入园区（含工业园区、工业集中区、工业集聚区）。未纳入《石化产业规划布局方案》的新建炼化项目一律</w:t>
            </w:r>
            <w:r>
              <w:rPr>
                <w:rFonts w:ascii="Times New Roman" w:hAnsi="宋体" w:eastAsia="宋体" w:cs="Times New Roman"/>
                <w:b/>
                <w:bCs/>
                <w:color w:val="000000" w:themeColor="text1"/>
                <w:szCs w:val="21"/>
                <w:highlight w:val="none"/>
                <w:u w:val="none"/>
                <w14:textFill>
                  <w14:solidFill>
                    <w14:schemeClr w14:val="tx1"/>
                  </w14:solidFill>
                </w14:textFill>
              </w:rPr>
              <w:t>不得</w:t>
            </w:r>
            <w:r>
              <w:rPr>
                <w:rFonts w:ascii="Times New Roman" w:hAnsi="宋体" w:eastAsia="宋体" w:cs="Times New Roman"/>
                <w:color w:val="000000" w:themeColor="text1"/>
                <w:szCs w:val="21"/>
                <w:highlight w:val="none"/>
                <w:u w:val="none"/>
                <w14:textFill>
                  <w14:solidFill>
                    <w14:schemeClr w14:val="tx1"/>
                  </w14:solidFill>
                </w14:textFill>
              </w:rPr>
              <w:t>建设。</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建设项目使用林地，应当按照《建设项目使用林地审核审批管理办法》审核和审批，严格保护和合理利用林地，促进生态林业和民生林业发展。公益林、天然林依据《中华人民共和国森林法》《中华人民共和国森林法实施条例》《国家级公益林管理办法》《国家级公益林区划界定办法》《天然林保护修复制度方案》等国家和自治区有关规定进行管理。</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．建设项目使用草地，应当按照《草原征占用审核审批管理规范》审核和审批，严格保护和合理利用草地。</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6</w:t>
            </w:r>
            <w:r>
              <w:rPr>
                <w:rFonts w:ascii="Times New Roman" w:hAnsi="宋体" w:eastAsia="宋体" w:cs="Times New Roman"/>
                <w:color w:val="000000" w:themeColor="text1"/>
                <w:szCs w:val="21"/>
                <w:highlight w:val="none"/>
                <w:u w:val="none"/>
                <w14:textFill>
                  <w14:solidFill>
                    <w14:schemeClr w14:val="tx1"/>
                  </w14:solidFill>
                </w14:textFill>
              </w:rPr>
              <w:t>．严格执行能耗</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双控</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、碳排放强度、碳达峰和碳中和目标要求，新建项目能源利用效率应达到国内先进水平。</w:t>
            </w:r>
          </w:p>
          <w:p>
            <w:pPr>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7</w:t>
            </w:r>
            <w:r>
              <w:rPr>
                <w:rFonts w:ascii="Times New Roman" w:hAnsi="宋体" w:eastAsia="宋体" w:cs="Times New Roman"/>
                <w:color w:val="000000" w:themeColor="text1"/>
                <w:szCs w:val="21"/>
                <w:highlight w:val="none"/>
                <w:u w:val="none"/>
                <w14:textFill>
                  <w14:solidFill>
                    <w14:schemeClr w14:val="tx1"/>
                  </w14:solidFill>
                </w14:textFill>
              </w:rPr>
              <w:t>．新建、改建、扩建</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两高</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项目须符合生态环境保护法律法规和相关法定规划，满足重点污染物排放总量控制、碳排放达峰目标、生态环境准入清单、相关规划环评和相应行业建设项目环境准入条件、环评文件审批原则要求。拟建、在建项目，应对照能效标杆水平建设实施；能效介于标杆水平和基准水平之间的存量项目，鼓励加强绿色低碳工艺技术装备应用，引导企业应改尽改、应提尽提；能效低于基准水平的存量项目，有序开展节能降碳技术改造或淘汰退出。</w:t>
            </w:r>
          </w:p>
          <w:p>
            <w:pPr>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8</w:t>
            </w:r>
            <w:r>
              <w:rPr>
                <w:rFonts w:ascii="Times New Roman" w:hAnsi="宋体" w:eastAsia="宋体" w:cs="Times New Roman"/>
                <w:color w:val="000000" w:themeColor="text1"/>
                <w:szCs w:val="21"/>
                <w:highlight w:val="none"/>
                <w:u w:val="none"/>
                <w14:textFill>
                  <w14:solidFill>
                    <w14:schemeClr w14:val="tx1"/>
                  </w14:solidFill>
                </w14:textFill>
              </w:rPr>
              <w:t>．石化、煤化工、燃煤发电（含热电）、钢铁、有色金属冶炼、制浆造纸行业新增主要污染物排放量的建设项目，应满足区域、流域控制单元环境质量改善目标管理要求，主要污染物实行区域倍量削减或等量削减；</w:t>
            </w:r>
            <w:r>
              <w:rPr>
                <w:rFonts w:ascii="Times New Roman" w:hAnsi="宋体" w:eastAsia="宋体" w:cs="Times New Roman"/>
                <w:szCs w:val="21"/>
                <w:highlight w:val="none"/>
                <w:u w:val="none"/>
              </w:rPr>
              <w:t>市级生态环境主管部门审批的编制环境影响报告书的重点行业建设项目可参照执行。</w:t>
            </w:r>
          </w:p>
          <w:p>
            <w:pPr>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9</w:t>
            </w:r>
            <w:r>
              <w:rPr>
                <w:rFonts w:ascii="Times New Roman" w:hAnsi="宋体" w:eastAsia="宋体" w:cs="Times New Roman"/>
                <w:color w:val="000000" w:themeColor="text1"/>
                <w:szCs w:val="21"/>
                <w:highlight w:val="none"/>
                <w:u w:val="none"/>
                <w14:textFill>
                  <w14:solidFill>
                    <w14:schemeClr w14:val="tx1"/>
                  </w14:solidFill>
                </w14:textFill>
              </w:rPr>
              <w:t>．依据国土空间规划和</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三区三线</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，明确减污降碳重点管控区域和相关管控要求，将碳达峰碳中和要求纳入</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三线一单</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（生态保护红线、环境质量底线、资源利用上线和生态环境准入清单）分区管控体系。</w:t>
            </w:r>
          </w:p>
          <w:p>
            <w:pPr>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10</w:t>
            </w:r>
            <w:r>
              <w:rPr>
                <w:rFonts w:ascii="Times New Roman" w:hAnsi="宋体" w:eastAsia="宋体" w:cs="Times New Roman"/>
                <w:color w:val="000000" w:themeColor="text1"/>
                <w:szCs w:val="21"/>
                <w:highlight w:val="none"/>
                <w:u w:val="none"/>
                <w14:textFill>
                  <w14:solidFill>
                    <w14:schemeClr w14:val="tx1"/>
                  </w14:solidFill>
                </w14:textFill>
              </w:rPr>
              <w:t>．增强区域环境质量改善目标对能源和产业布局的引导作用。加大污染严重地区结构调整和布局优化力度，依法依规加快推动重点区域、重点流域落后和过剩产能退出。依法加快城市建成区重污染企业搬迁改造或关闭退出。</w:t>
            </w:r>
          </w:p>
          <w:p>
            <w:pPr>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11</w:t>
            </w:r>
            <w:r>
              <w:rPr>
                <w:rFonts w:ascii="Times New Roman" w:hAnsi="宋体" w:eastAsia="宋体" w:cs="Times New Roman"/>
                <w:color w:val="000000" w:themeColor="text1"/>
                <w:szCs w:val="21"/>
                <w:highlight w:val="none"/>
                <w:u w:val="none"/>
                <w14:textFill>
                  <w14:solidFill>
                    <w14:schemeClr w14:val="tx1"/>
                  </w14:solidFill>
                </w14:textFill>
              </w:rPr>
              <w:t>．严格执行《广西生态保护正面清单（</w:t>
            </w:r>
            <w:r>
              <w:rPr>
                <w:rFonts w:ascii="Times New Roman" w:hAnsi="Times New Roman" w:eastAsia="宋体" w:cs="Times New Roman"/>
                <w:color w:val="000000" w:themeColor="text1"/>
                <w:szCs w:val="21"/>
                <w:highlight w:val="none"/>
                <w:u w:val="none"/>
                <w14:textFill>
                  <w14:solidFill>
                    <w14:schemeClr w14:val="tx1"/>
                  </w14:solidFill>
                </w14:textFill>
              </w:rPr>
              <w:t>2022</w:t>
            </w:r>
            <w:r>
              <w:rPr>
                <w:rFonts w:ascii="Times New Roman" w:hAnsi="宋体" w:eastAsia="宋体" w:cs="Times New Roman"/>
                <w:color w:val="000000" w:themeColor="text1"/>
                <w:szCs w:val="21"/>
                <w:highlight w:val="none"/>
                <w:u w:val="none"/>
                <w14:textFill>
                  <w14:solidFill>
                    <w14:schemeClr w14:val="tx1"/>
                  </w14:solidFill>
                </w14:textFill>
              </w:rPr>
              <w:t>）》和《广西生态保护禁止事项清单（</w:t>
            </w:r>
            <w:r>
              <w:rPr>
                <w:rFonts w:ascii="Times New Roman" w:hAnsi="Times New Roman" w:eastAsia="宋体" w:cs="Times New Roman"/>
                <w:color w:val="000000" w:themeColor="text1"/>
                <w:szCs w:val="21"/>
                <w:highlight w:val="none"/>
                <w:u w:val="none"/>
                <w14:textFill>
                  <w14:solidFill>
                    <w14:schemeClr w14:val="tx1"/>
                  </w14:solidFill>
                </w14:textFill>
              </w:rPr>
              <w:t>2022</w:t>
            </w:r>
            <w:r>
              <w:rPr>
                <w:rFonts w:ascii="Times New Roman" w:hAnsi="宋体" w:eastAsia="宋体" w:cs="Times New Roman"/>
                <w:color w:val="000000" w:themeColor="text1"/>
                <w:szCs w:val="21"/>
                <w:highlight w:val="none"/>
                <w:u w:val="none"/>
                <w14:textFill>
                  <w14:solidFill>
                    <w14:schemeClr w14:val="tx1"/>
                  </w14:solidFill>
                </w14:textFill>
              </w:rPr>
              <w:t>）》。</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12</w:t>
            </w:r>
            <w:r>
              <w:rPr>
                <w:rFonts w:ascii="Times New Roman" w:hAnsi="宋体" w:eastAsia="宋体" w:cs="Times New Roman"/>
                <w:color w:val="000000" w:themeColor="text1"/>
                <w:szCs w:val="21"/>
                <w:highlight w:val="none"/>
                <w:u w:val="none"/>
                <w14:textFill>
                  <w14:solidFill>
                    <w14:schemeClr w14:val="tx1"/>
                  </w14:solidFill>
                </w14:textFill>
              </w:rPr>
              <w:t>．</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准入及管控要求</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涉及跨省（市）界有协议或相关规定的，从其规定。</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13</w:t>
            </w:r>
            <w:r>
              <w:rPr>
                <w:rFonts w:ascii="Times New Roman" w:hAnsi="宋体" w:eastAsia="宋体" w:cs="Times New Roman"/>
                <w:color w:val="000000" w:themeColor="text1"/>
                <w:szCs w:val="21"/>
                <w:highlight w:val="none"/>
                <w:u w:val="none"/>
                <w14:textFill>
                  <w14:solidFill>
                    <w14:schemeClr w14:val="tx1"/>
                  </w14:solidFill>
                </w14:textFill>
              </w:rPr>
              <w:t>．</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准入及管控要求</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规定依据的法规、规章等发生变更的，从其规定。</w:t>
            </w:r>
          </w:p>
        </w:tc>
        <w:tc>
          <w:tcPr>
            <w:tcW w:w="6839"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kern w:val="0"/>
                <w:szCs w:val="21"/>
                <w:highlight w:val="none"/>
                <w:u w:val="none"/>
                <w14:textFill>
                  <w14:solidFill>
                    <w14:schemeClr w14:val="tx1"/>
                  </w14:solidFill>
                </w14:textFill>
              </w:rPr>
              <w:t>1</w:t>
            </w:r>
            <w:r>
              <w:rPr>
                <w:rFonts w:ascii="Times New Roman" w:hAnsi="宋体" w:eastAsia="宋体" w:cs="Times New Roman"/>
                <w:color w:val="000000" w:themeColor="text1"/>
                <w:kern w:val="0"/>
                <w:szCs w:val="21"/>
                <w:highlight w:val="none"/>
                <w:u w:val="none"/>
                <w14:textFill>
                  <w14:solidFill>
                    <w14:schemeClr w14:val="tx1"/>
                  </w14:solidFill>
                </w14:textFill>
              </w:rPr>
              <w:t>．依据《自然资源部关于全面开展国土空间规划工作的通知》（自然资发〔</w:t>
            </w:r>
            <w:r>
              <w:rPr>
                <w:rFonts w:ascii="Times New Roman" w:hAnsi="Times New Roman" w:eastAsia="宋体" w:cs="Times New Roman"/>
                <w:color w:val="000000" w:themeColor="text1"/>
                <w:kern w:val="0"/>
                <w:szCs w:val="21"/>
                <w:highlight w:val="none"/>
                <w:u w:val="none"/>
                <w14:textFill>
                  <w14:solidFill>
                    <w14:schemeClr w14:val="tx1"/>
                  </w14:solidFill>
                </w14:textFill>
              </w:rPr>
              <w:t>2019</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87</w:t>
            </w:r>
            <w:r>
              <w:rPr>
                <w:rFonts w:ascii="Times New Roman" w:hAnsi="宋体" w:eastAsia="宋体" w:cs="Times New Roman"/>
                <w:color w:val="000000" w:themeColor="text1"/>
                <w:kern w:val="0"/>
                <w:szCs w:val="21"/>
                <w:highlight w:val="none"/>
                <w:u w:val="none"/>
                <w14:textFill>
                  <w14:solidFill>
                    <w14:schemeClr w14:val="tx1"/>
                  </w14:solidFill>
                </w14:textFill>
              </w:rPr>
              <w:t>号）</w:t>
            </w:r>
            <w:r>
              <w:rPr>
                <w:rFonts w:hint="eastAsia" w:ascii="Times New Roman" w:hAnsi="宋体" w:eastAsia="宋体" w:cs="Times New Roman"/>
                <w:color w:val="000000" w:themeColor="text1"/>
                <w:kern w:val="0"/>
                <w:szCs w:val="21"/>
                <w:highlight w:val="none"/>
                <w:u w:val="none"/>
                <w:lang w:eastAsia="zh-CN"/>
                <w14:textFill>
                  <w14:solidFill>
                    <w14:schemeClr w14:val="tx1"/>
                  </w14:solidFill>
                </w14:textFill>
              </w:rPr>
              <w:t>、</w:t>
            </w:r>
            <w:r>
              <w:rPr>
                <w:rFonts w:hint="default" w:ascii="Times New Roman" w:hAnsi="宋体" w:eastAsia="宋体" w:cs="Times New Roman"/>
                <w:color w:val="000000" w:themeColor="text1"/>
                <w:kern w:val="0"/>
                <w:szCs w:val="21"/>
                <w:highlight w:val="none"/>
                <w:u w:val="none"/>
                <w:lang w:val="en-US" w:eastAsia="zh-CN"/>
                <w14:textFill>
                  <w14:solidFill>
                    <w14:schemeClr w14:val="tx1"/>
                  </w14:solidFill>
                </w14:textFill>
              </w:rPr>
              <w:t>行业建设项目环境影响评价文件审批原则</w:t>
            </w:r>
            <w:r>
              <w:rPr>
                <w:rFonts w:ascii="Times New Roman" w:hAnsi="宋体" w:eastAsia="宋体" w:cs="Times New Roman"/>
                <w:color w:val="000000" w:themeColor="text1"/>
                <w:kern w:val="0"/>
                <w:szCs w:val="21"/>
                <w:highlight w:val="none"/>
                <w:u w:val="none"/>
                <w14:textFill>
                  <w14:solidFill>
                    <w14:schemeClr w14:val="tx1"/>
                  </w14:solidFill>
                </w14:textFill>
              </w:rPr>
              <w:t>及</w:t>
            </w:r>
            <w:r>
              <w:rPr>
                <w:rFonts w:hint="eastAsia" w:ascii="Times New Roman" w:hAnsi="宋体" w:eastAsia="宋体" w:cs="Times New Roman"/>
                <w:color w:val="000000" w:themeColor="text1"/>
                <w:kern w:val="0"/>
                <w:szCs w:val="21"/>
                <w:highlight w:val="none"/>
                <w:u w:val="none"/>
                <w:lang w:eastAsia="zh-CN"/>
                <w14:textFill>
                  <w14:solidFill>
                    <w14:schemeClr w14:val="tx1"/>
                  </w14:solidFill>
                </w14:textFill>
              </w:rPr>
              <w:t>生态环境管理</w:t>
            </w:r>
            <w:r>
              <w:rPr>
                <w:rFonts w:ascii="Times New Roman" w:hAnsi="宋体" w:eastAsia="宋体" w:cs="Times New Roman"/>
                <w:color w:val="000000" w:themeColor="text1"/>
                <w:kern w:val="0"/>
                <w:szCs w:val="21"/>
                <w:highlight w:val="none"/>
                <w:u w:val="none"/>
                <w14:textFill>
                  <w14:solidFill>
                    <w14:schemeClr w14:val="tx1"/>
                  </w14:solidFill>
                </w14:textFill>
              </w:rPr>
              <w:t>有关要求，提出了第</w:t>
            </w:r>
            <w:r>
              <w:rPr>
                <w:rFonts w:ascii="Times New Roman" w:hAnsi="Times New Roman" w:eastAsia="宋体" w:cs="Times New Roman"/>
                <w:color w:val="000000" w:themeColor="text1"/>
                <w:kern w:val="0"/>
                <w:szCs w:val="21"/>
                <w:highlight w:val="none"/>
                <w:u w:val="none"/>
                <w14:textFill>
                  <w14:solidFill>
                    <w14:schemeClr w14:val="tx1"/>
                  </w14:solidFill>
                </w14:textFill>
              </w:rPr>
              <w:t>1</w:t>
            </w:r>
            <w:r>
              <w:rPr>
                <w:rFonts w:ascii="Times New Roman" w:hAnsi="宋体" w:eastAsia="宋体" w:cs="Times New Roman"/>
                <w:color w:val="000000" w:themeColor="text1"/>
                <w:kern w:val="0"/>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依据现行有效《产业结构调整指导目录（</w:t>
            </w:r>
            <w:r>
              <w:rPr>
                <w:rFonts w:ascii="Times New Roman" w:hAnsi="Times New Roman" w:eastAsia="宋体" w:cs="Times New Roman"/>
                <w:color w:val="000000" w:themeColor="text1"/>
                <w:szCs w:val="21"/>
                <w:highlight w:val="none"/>
                <w:u w:val="none"/>
                <w14:textFill>
                  <w14:solidFill>
                    <w14:schemeClr w14:val="tx1"/>
                  </w14:solidFill>
                </w14:textFill>
              </w:rPr>
              <w:t>2019</w:t>
            </w:r>
            <w:r>
              <w:rPr>
                <w:rFonts w:ascii="Times New Roman" w:hAnsi="宋体" w:eastAsia="宋体" w:cs="Times New Roman"/>
                <w:color w:val="000000" w:themeColor="text1"/>
                <w:szCs w:val="21"/>
                <w:highlight w:val="none"/>
                <w:u w:val="none"/>
                <w14:textFill>
                  <w14:solidFill>
                    <w14:schemeClr w14:val="tx1"/>
                  </w14:solidFill>
                </w14:textFill>
              </w:rPr>
              <w:t>年本）》、《广西工业产业结构调整指导目录（</w:t>
            </w:r>
            <w:r>
              <w:rPr>
                <w:rFonts w:ascii="Times New Roman" w:hAnsi="Times New Roman" w:eastAsia="宋体" w:cs="Times New Roman"/>
                <w:color w:val="000000" w:themeColor="text1"/>
                <w:szCs w:val="21"/>
                <w:highlight w:val="none"/>
                <w:u w:val="none"/>
                <w14:textFill>
                  <w14:solidFill>
                    <w14:schemeClr w14:val="tx1"/>
                  </w14:solidFill>
                </w14:textFill>
              </w:rPr>
              <w:t>2021</w:t>
            </w:r>
            <w:r>
              <w:rPr>
                <w:rFonts w:ascii="Times New Roman" w:hAnsi="宋体" w:eastAsia="宋体" w:cs="Times New Roman"/>
                <w:color w:val="000000" w:themeColor="text1"/>
                <w:szCs w:val="21"/>
                <w:highlight w:val="none"/>
                <w:u w:val="none"/>
                <w14:textFill>
                  <w14:solidFill>
                    <w14:schemeClr w14:val="tx1"/>
                  </w14:solidFill>
                </w14:textFill>
              </w:rPr>
              <w:t>年本）》、《市场准入负面清单（</w:t>
            </w:r>
            <w:r>
              <w:rPr>
                <w:rFonts w:ascii="Times New Roman" w:hAnsi="Times New Roman" w:eastAsia="宋体" w:cs="Times New Roman"/>
                <w:color w:val="000000" w:themeColor="text1"/>
                <w:szCs w:val="21"/>
                <w:highlight w:val="none"/>
                <w:u w:val="none"/>
                <w14:textFill>
                  <w14:solidFill>
                    <w14:schemeClr w14:val="tx1"/>
                  </w14:solidFill>
                </w14:textFill>
              </w:rPr>
              <w:t>2022</w:t>
            </w:r>
            <w:r>
              <w:rPr>
                <w:rFonts w:ascii="Times New Roman" w:hAnsi="宋体" w:eastAsia="宋体" w:cs="Times New Roman"/>
                <w:color w:val="000000" w:themeColor="text1"/>
                <w:szCs w:val="21"/>
                <w:highlight w:val="none"/>
                <w:u w:val="none"/>
                <w14:textFill>
                  <w14:solidFill>
                    <w14:schemeClr w14:val="tx1"/>
                  </w14:solidFill>
                </w14:textFill>
              </w:rPr>
              <w:t>年版）》、《关于加强高耗能、高排放建设项目生态环境源头防控的指导意见》（环环评〔</w:t>
            </w:r>
            <w:r>
              <w:rPr>
                <w:rFonts w:ascii="Times New Roman" w:hAnsi="Times New Roman" w:eastAsia="宋体" w:cs="Times New Roman"/>
                <w:color w:val="000000" w:themeColor="text1"/>
                <w:szCs w:val="21"/>
                <w:highlight w:val="none"/>
                <w:u w:val="none"/>
                <w14:textFill>
                  <w14:solidFill>
                    <w14:schemeClr w14:val="tx1"/>
                  </w14:solidFill>
                </w14:textFill>
              </w:rPr>
              <w:t>2021</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45</w:t>
            </w:r>
            <w:r>
              <w:rPr>
                <w:rFonts w:ascii="Times New Roman" w:hAnsi="宋体" w:eastAsia="宋体" w:cs="Times New Roman"/>
                <w:color w:val="000000" w:themeColor="text1"/>
                <w:szCs w:val="21"/>
                <w:highlight w:val="none"/>
                <w:u w:val="none"/>
                <w14:textFill>
                  <w14:solidFill>
                    <w14:schemeClr w14:val="tx1"/>
                  </w14:solidFill>
                </w14:textFill>
              </w:rPr>
              <w:t>号）有关要求以及自治区相关部门意见</w:t>
            </w:r>
            <w:r>
              <w:rPr>
                <w:rFonts w:ascii="Times New Roman" w:hAnsi="宋体" w:eastAsia="宋体" w:cs="Times New Roman"/>
                <w:color w:val="000000" w:themeColor="text1"/>
                <w:kern w:val="0"/>
                <w:szCs w:val="21"/>
                <w:highlight w:val="none"/>
                <w:u w:val="none"/>
                <w14:textFill>
                  <w14:solidFill>
                    <w14:schemeClr w14:val="tx1"/>
                  </w14:solidFill>
                </w14:textFill>
              </w:rPr>
              <w:t>，提出了第</w:t>
            </w:r>
            <w:r>
              <w:rPr>
                <w:rFonts w:ascii="Times New Roman" w:hAnsi="Times New Roman" w:eastAsia="宋体" w:cs="Times New Roman"/>
                <w:color w:val="000000" w:themeColor="text1"/>
                <w:kern w:val="0"/>
                <w:szCs w:val="21"/>
                <w:highlight w:val="none"/>
                <w:u w:val="none"/>
                <w14:textFill>
                  <w14:solidFill>
                    <w14:schemeClr w14:val="tx1"/>
                  </w14:solidFill>
                </w14:textFill>
              </w:rPr>
              <w:t>2</w:t>
            </w:r>
            <w:r>
              <w:rPr>
                <w:rFonts w:ascii="Times New Roman" w:hAnsi="宋体" w:eastAsia="宋体" w:cs="Times New Roman"/>
                <w:color w:val="000000" w:themeColor="text1"/>
                <w:kern w:val="0"/>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kern w:val="0"/>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参照《</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十三五</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挥发性有机物污染防治工作方案》（环大气〔</w:t>
            </w:r>
            <w:r>
              <w:rPr>
                <w:rFonts w:ascii="Times New Roman" w:hAnsi="Times New Roman" w:eastAsia="宋体" w:cs="Times New Roman"/>
                <w:color w:val="000000" w:themeColor="text1"/>
                <w:szCs w:val="21"/>
                <w:highlight w:val="none"/>
                <w:u w:val="none"/>
                <w14:textFill>
                  <w14:solidFill>
                    <w14:schemeClr w14:val="tx1"/>
                  </w14:solidFill>
                </w14:textFill>
              </w:rPr>
              <w:t>2017</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121</w:t>
            </w:r>
            <w:r>
              <w:rPr>
                <w:rFonts w:ascii="Times New Roman" w:hAnsi="宋体" w:eastAsia="宋体" w:cs="Times New Roman"/>
                <w:color w:val="000000" w:themeColor="text1"/>
                <w:szCs w:val="21"/>
                <w:highlight w:val="none"/>
                <w:u w:val="none"/>
                <w14:textFill>
                  <w14:solidFill>
                    <w14:schemeClr w14:val="tx1"/>
                  </w14:solidFill>
                </w14:textFill>
              </w:rPr>
              <w:t>号）有关要求</w:t>
            </w:r>
            <w:r>
              <w:rPr>
                <w:rFonts w:ascii="Times New Roman" w:hAnsi="宋体" w:eastAsia="宋体" w:cs="Times New Roman"/>
                <w:color w:val="000000" w:themeColor="text1"/>
                <w:kern w:val="0"/>
                <w:szCs w:val="21"/>
                <w:highlight w:val="none"/>
                <w:u w:val="none"/>
                <w14:textFill>
                  <w14:solidFill>
                    <w14:schemeClr w14:val="tx1"/>
                  </w14:solidFill>
                </w14:textFill>
              </w:rPr>
              <w:t>，提出了第</w:t>
            </w:r>
            <w:r>
              <w:rPr>
                <w:rFonts w:ascii="Times New Roman" w:hAnsi="Times New Roman" w:eastAsia="宋体" w:cs="Times New Roman"/>
                <w:color w:val="000000" w:themeColor="text1"/>
                <w:kern w:val="0"/>
                <w:szCs w:val="21"/>
                <w:highlight w:val="none"/>
                <w:u w:val="none"/>
                <w14:textFill>
                  <w14:solidFill>
                    <w14:schemeClr w14:val="tx1"/>
                  </w14:solidFill>
                </w14:textFill>
              </w:rPr>
              <w:t>3</w:t>
            </w:r>
            <w:r>
              <w:rPr>
                <w:rFonts w:ascii="Times New Roman" w:hAnsi="宋体" w:eastAsia="宋体" w:cs="Times New Roman"/>
                <w:color w:val="000000" w:themeColor="text1"/>
                <w:kern w:val="0"/>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kern w:val="0"/>
                <w:szCs w:val="21"/>
                <w:highlight w:val="none"/>
                <w:u w:val="none"/>
                <w14:textFill>
                  <w14:solidFill>
                    <w14:schemeClr w14:val="tx1"/>
                  </w14:solidFill>
                </w14:textFill>
              </w:rPr>
            </w:pPr>
            <w:r>
              <w:rPr>
                <w:rFonts w:ascii="Times New Roman" w:hAnsi="Times New Roman" w:eastAsia="宋体" w:cs="Times New Roman"/>
                <w:color w:val="000000" w:themeColor="text1"/>
                <w:kern w:val="0"/>
                <w:szCs w:val="21"/>
                <w:highlight w:val="none"/>
                <w:u w:val="none"/>
                <w14:textFill>
                  <w14:solidFill>
                    <w14:schemeClr w14:val="tx1"/>
                  </w14:solidFill>
                </w14:textFill>
              </w:rPr>
              <w:t>4</w:t>
            </w:r>
            <w:r>
              <w:rPr>
                <w:rFonts w:ascii="Times New Roman" w:hAnsi="宋体" w:eastAsia="宋体" w:cs="Times New Roman"/>
                <w:color w:val="000000" w:themeColor="text1"/>
                <w:kern w:val="0"/>
                <w:szCs w:val="21"/>
                <w:highlight w:val="none"/>
                <w:u w:val="none"/>
                <w14:textFill>
                  <w14:solidFill>
                    <w14:schemeClr w14:val="tx1"/>
                  </w14:solidFill>
                </w14:textFill>
              </w:rPr>
              <w:t>．依据《建设项目使用林地审核审批管理办法》《中华人民共和国森林法》《中华人民共和国森林法实施条例》、《国家林业局</w:t>
            </w:r>
            <w:r>
              <w:rPr>
                <w:rFonts w:ascii="Times New Roman" w:hAnsi="Times New Roman" w:eastAsia="宋体" w:cs="Times New Roman"/>
                <w:color w:val="000000" w:themeColor="text1"/>
                <w:kern w:val="0"/>
                <w:szCs w:val="21"/>
                <w:highlight w:val="none"/>
                <w:u w:val="none"/>
                <w14:textFill>
                  <w14:solidFill>
                    <w14:schemeClr w14:val="tx1"/>
                  </w14:solidFill>
                </w14:textFill>
              </w:rPr>
              <w:t xml:space="preserve"> </w:t>
            </w:r>
            <w:r>
              <w:rPr>
                <w:rFonts w:ascii="Times New Roman" w:hAnsi="宋体" w:eastAsia="宋体" w:cs="Times New Roman"/>
                <w:color w:val="000000" w:themeColor="text1"/>
                <w:kern w:val="0"/>
                <w:szCs w:val="21"/>
                <w:highlight w:val="none"/>
                <w:u w:val="none"/>
                <w14:textFill>
                  <w14:solidFill>
                    <w14:schemeClr w14:val="tx1"/>
                  </w14:solidFill>
                </w14:textFill>
              </w:rPr>
              <w:t>财政部关于印发＜国家级公益林区划界定办法＞和＜国家级公益林管理办法＞的通知》（林资发〔</w:t>
            </w:r>
            <w:r>
              <w:rPr>
                <w:rFonts w:ascii="Times New Roman" w:hAnsi="Times New Roman" w:eastAsia="宋体" w:cs="Times New Roman"/>
                <w:color w:val="000000" w:themeColor="text1"/>
                <w:kern w:val="0"/>
                <w:szCs w:val="21"/>
                <w:highlight w:val="none"/>
                <w:u w:val="none"/>
                <w14:textFill>
                  <w14:solidFill>
                    <w14:schemeClr w14:val="tx1"/>
                  </w14:solidFill>
                </w14:textFill>
              </w:rPr>
              <w:t>2017</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34</w:t>
            </w:r>
            <w:r>
              <w:rPr>
                <w:rFonts w:ascii="Times New Roman" w:hAnsi="宋体" w:eastAsia="宋体" w:cs="Times New Roman"/>
                <w:color w:val="000000" w:themeColor="text1"/>
                <w:kern w:val="0"/>
                <w:szCs w:val="21"/>
                <w:highlight w:val="none"/>
                <w:u w:val="none"/>
                <w14:textFill>
                  <w14:solidFill>
                    <w14:schemeClr w14:val="tx1"/>
                  </w14:solidFill>
                </w14:textFill>
              </w:rPr>
              <w:t>号）、《中共中央办公厅</w:t>
            </w:r>
            <w:r>
              <w:rPr>
                <w:rFonts w:ascii="Times New Roman" w:hAnsi="Times New Roman" w:eastAsia="宋体" w:cs="Times New Roman"/>
                <w:color w:val="000000" w:themeColor="text1"/>
                <w:kern w:val="0"/>
                <w:szCs w:val="21"/>
                <w:highlight w:val="none"/>
                <w:u w:val="none"/>
                <w14:textFill>
                  <w14:solidFill>
                    <w14:schemeClr w14:val="tx1"/>
                  </w14:solidFill>
                </w14:textFill>
              </w:rPr>
              <w:t xml:space="preserve"> </w:t>
            </w:r>
            <w:r>
              <w:rPr>
                <w:rFonts w:ascii="Times New Roman" w:hAnsi="宋体" w:eastAsia="宋体" w:cs="Times New Roman"/>
                <w:color w:val="000000" w:themeColor="text1"/>
                <w:kern w:val="0"/>
                <w:szCs w:val="21"/>
                <w:highlight w:val="none"/>
                <w:u w:val="none"/>
                <w14:textFill>
                  <w14:solidFill>
                    <w14:schemeClr w14:val="tx1"/>
                  </w14:solidFill>
                </w14:textFill>
              </w:rPr>
              <w:t>国务院办公厅关于印发＜天然林保护修复制度方案＞的通知》（厅字〔</w:t>
            </w:r>
            <w:r>
              <w:rPr>
                <w:rFonts w:ascii="Times New Roman" w:hAnsi="Times New Roman" w:eastAsia="宋体" w:cs="Times New Roman"/>
                <w:color w:val="000000" w:themeColor="text1"/>
                <w:kern w:val="0"/>
                <w:szCs w:val="21"/>
                <w:highlight w:val="none"/>
                <w:u w:val="none"/>
                <w14:textFill>
                  <w14:solidFill>
                    <w14:schemeClr w14:val="tx1"/>
                  </w14:solidFill>
                </w14:textFill>
              </w:rPr>
              <w:t>2019</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39</w:t>
            </w:r>
            <w:r>
              <w:rPr>
                <w:rFonts w:ascii="Times New Roman" w:hAnsi="宋体" w:eastAsia="宋体" w:cs="Times New Roman"/>
                <w:color w:val="000000" w:themeColor="text1"/>
                <w:kern w:val="0"/>
                <w:szCs w:val="21"/>
                <w:highlight w:val="none"/>
                <w:u w:val="none"/>
                <w14:textFill>
                  <w14:solidFill>
                    <w14:schemeClr w14:val="tx1"/>
                  </w14:solidFill>
                </w14:textFill>
              </w:rPr>
              <w:t>号）有关要求，提出了第</w:t>
            </w:r>
            <w:r>
              <w:rPr>
                <w:rFonts w:ascii="Times New Roman" w:hAnsi="Times New Roman" w:eastAsia="宋体" w:cs="Times New Roman"/>
                <w:color w:val="000000" w:themeColor="text1"/>
                <w:kern w:val="0"/>
                <w:szCs w:val="21"/>
                <w:highlight w:val="none"/>
                <w:u w:val="none"/>
                <w14:textFill>
                  <w14:solidFill>
                    <w14:schemeClr w14:val="tx1"/>
                  </w14:solidFill>
                </w14:textFill>
              </w:rPr>
              <w:t>4</w:t>
            </w:r>
            <w:r>
              <w:rPr>
                <w:rFonts w:ascii="Times New Roman" w:hAnsi="宋体" w:eastAsia="宋体" w:cs="Times New Roman"/>
                <w:color w:val="000000" w:themeColor="text1"/>
                <w:kern w:val="0"/>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kern w:val="0"/>
                <w:szCs w:val="21"/>
                <w:highlight w:val="none"/>
                <w:u w:val="none"/>
                <w14:textFill>
                  <w14:solidFill>
                    <w14:schemeClr w14:val="tx1"/>
                  </w14:solidFill>
                </w14:textFill>
              </w:rPr>
            </w:pPr>
            <w:r>
              <w:rPr>
                <w:rFonts w:ascii="Times New Roman" w:hAnsi="Times New Roman" w:eastAsia="宋体" w:cs="Times New Roman"/>
                <w:color w:val="000000" w:themeColor="text1"/>
                <w:kern w:val="0"/>
                <w:szCs w:val="21"/>
                <w:highlight w:val="none"/>
                <w:u w:val="none"/>
                <w14:textFill>
                  <w14:solidFill>
                    <w14:schemeClr w14:val="tx1"/>
                  </w14:solidFill>
                </w14:textFill>
              </w:rPr>
              <w:t>5</w:t>
            </w:r>
            <w:r>
              <w:rPr>
                <w:rFonts w:ascii="Times New Roman" w:hAnsi="宋体" w:eastAsia="宋体" w:cs="Times New Roman"/>
                <w:color w:val="000000" w:themeColor="text1"/>
                <w:kern w:val="0"/>
                <w:szCs w:val="21"/>
                <w:highlight w:val="none"/>
                <w:u w:val="none"/>
                <w14:textFill>
                  <w14:solidFill>
                    <w14:schemeClr w14:val="tx1"/>
                  </w14:solidFill>
                </w14:textFill>
              </w:rPr>
              <w:t>．依据《中共中央关于制定国民经济和社会发展第十四个五年规划和二</w:t>
            </w:r>
            <w:r>
              <w:rPr>
                <w:rFonts w:ascii="Times New Roman" w:hAnsi="Times New Roman" w:eastAsia="宋体" w:cs="Times New Roman"/>
                <w:color w:val="000000" w:themeColor="text1"/>
                <w:kern w:val="0"/>
                <w:szCs w:val="21"/>
                <w:highlight w:val="none"/>
                <w:u w:val="none"/>
                <w14:textFill>
                  <w14:solidFill>
                    <w14:schemeClr w14:val="tx1"/>
                  </w14:solidFill>
                </w14:textFill>
              </w:rPr>
              <w:t>O</w:t>
            </w:r>
            <w:r>
              <w:rPr>
                <w:rFonts w:ascii="Times New Roman" w:hAnsi="宋体" w:eastAsia="宋体" w:cs="Times New Roman"/>
                <w:color w:val="000000" w:themeColor="text1"/>
                <w:kern w:val="0"/>
                <w:szCs w:val="21"/>
                <w:highlight w:val="none"/>
                <w:u w:val="none"/>
                <w14:textFill>
                  <w14:solidFill>
                    <w14:schemeClr w14:val="tx1"/>
                  </w14:solidFill>
                </w14:textFill>
              </w:rPr>
              <w:t>三五年远景目标的建议》《中国共产党广西壮族自治区委员会制定国民经济和社会发展第十四个五年规划和二</w:t>
            </w:r>
            <w:r>
              <w:rPr>
                <w:rFonts w:ascii="Times New Roman" w:hAnsi="Times New Roman" w:eastAsia="宋体" w:cs="Times New Roman"/>
                <w:color w:val="000000" w:themeColor="text1"/>
                <w:kern w:val="0"/>
                <w:szCs w:val="21"/>
                <w:highlight w:val="none"/>
                <w:u w:val="none"/>
                <w14:textFill>
                  <w14:solidFill>
                    <w14:schemeClr w14:val="tx1"/>
                  </w14:solidFill>
                </w14:textFill>
              </w:rPr>
              <w:t>O</w:t>
            </w:r>
            <w:r>
              <w:rPr>
                <w:rFonts w:ascii="Times New Roman" w:hAnsi="宋体" w:eastAsia="宋体" w:cs="Times New Roman"/>
                <w:color w:val="000000" w:themeColor="text1"/>
                <w:kern w:val="0"/>
                <w:szCs w:val="21"/>
                <w:highlight w:val="none"/>
                <w:u w:val="none"/>
                <w14:textFill>
                  <w14:solidFill>
                    <w14:schemeClr w14:val="tx1"/>
                  </w14:solidFill>
                </w14:textFill>
              </w:rPr>
              <w:t>三五年远景目标的建议》严格执行能耗</w:t>
            </w:r>
            <w:r>
              <w:rPr>
                <w:rFonts w:hint="eastAsia" w:ascii="Times New Roman" w:hAnsi="Times New Roman" w:eastAsia="宋体" w:cs="Times New Roman"/>
                <w:color w:val="000000" w:themeColor="text1"/>
                <w:kern w:val="0"/>
                <w:szCs w:val="21"/>
                <w:highlight w:val="none"/>
                <w:u w:val="none"/>
                <w:lang w:eastAsia="zh-CN"/>
                <w14:textFill>
                  <w14:solidFill>
                    <w14:schemeClr w14:val="tx1"/>
                  </w14:solidFill>
                </w14:textFill>
              </w:rPr>
              <w:t>“</w:t>
            </w:r>
            <w:r>
              <w:rPr>
                <w:rFonts w:ascii="Times New Roman" w:hAnsi="宋体" w:eastAsia="宋体" w:cs="Times New Roman"/>
                <w:color w:val="000000" w:themeColor="text1"/>
                <w:kern w:val="0"/>
                <w:szCs w:val="21"/>
                <w:highlight w:val="none"/>
                <w:u w:val="none"/>
                <w14:textFill>
                  <w14:solidFill>
                    <w14:schemeClr w14:val="tx1"/>
                  </w14:solidFill>
                </w14:textFill>
              </w:rPr>
              <w:t>双控</w:t>
            </w:r>
            <w:r>
              <w:rPr>
                <w:rFonts w:hint="eastAsia" w:ascii="Times New Roman" w:hAnsi="Times New Roman" w:eastAsia="宋体" w:cs="Times New Roman"/>
                <w:color w:val="000000" w:themeColor="text1"/>
                <w:kern w:val="0"/>
                <w:szCs w:val="21"/>
                <w:highlight w:val="none"/>
                <w:u w:val="none"/>
                <w:lang w:eastAsia="zh-CN"/>
                <w14:textFill>
                  <w14:solidFill>
                    <w14:schemeClr w14:val="tx1"/>
                  </w14:solidFill>
                </w14:textFill>
              </w:rPr>
              <w:t>”</w:t>
            </w:r>
            <w:r>
              <w:rPr>
                <w:rFonts w:ascii="Times New Roman" w:hAnsi="宋体" w:eastAsia="宋体" w:cs="Times New Roman"/>
                <w:color w:val="000000" w:themeColor="text1"/>
                <w:kern w:val="0"/>
                <w:szCs w:val="21"/>
                <w:highlight w:val="none"/>
                <w:u w:val="none"/>
                <w14:textFill>
                  <w14:solidFill>
                    <w14:schemeClr w14:val="tx1"/>
                  </w14:solidFill>
                </w14:textFill>
              </w:rPr>
              <w:t>工作，是国家、自治区当前以及今后实现碳达峰、碳中和的总体要求，提出第</w:t>
            </w:r>
            <w:r>
              <w:rPr>
                <w:rFonts w:ascii="Times New Roman" w:hAnsi="Times New Roman" w:eastAsia="宋体" w:cs="Times New Roman"/>
                <w:color w:val="000000" w:themeColor="text1"/>
                <w:kern w:val="0"/>
                <w:szCs w:val="21"/>
                <w:highlight w:val="none"/>
                <w:u w:val="none"/>
                <w14:textFill>
                  <w14:solidFill>
                    <w14:schemeClr w14:val="tx1"/>
                  </w14:solidFill>
                </w14:textFill>
              </w:rPr>
              <w:t>6</w:t>
            </w:r>
            <w:r>
              <w:rPr>
                <w:rFonts w:ascii="Times New Roman" w:hAnsi="宋体" w:eastAsia="宋体" w:cs="Times New Roman"/>
                <w:color w:val="000000" w:themeColor="text1"/>
                <w:kern w:val="0"/>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kern w:val="0"/>
                <w:szCs w:val="21"/>
                <w:highlight w:val="none"/>
                <w:u w:val="none"/>
                <w14:textFill>
                  <w14:solidFill>
                    <w14:schemeClr w14:val="tx1"/>
                  </w14:solidFill>
                </w14:textFill>
              </w:rPr>
            </w:pPr>
            <w:r>
              <w:rPr>
                <w:rFonts w:ascii="Times New Roman" w:hAnsi="Times New Roman" w:eastAsia="宋体" w:cs="Times New Roman"/>
                <w:color w:val="000000" w:themeColor="text1"/>
                <w:kern w:val="0"/>
                <w:szCs w:val="21"/>
                <w:highlight w:val="none"/>
                <w:u w:val="none"/>
                <w14:textFill>
                  <w14:solidFill>
                    <w14:schemeClr w14:val="tx1"/>
                  </w14:solidFill>
                </w14:textFill>
              </w:rPr>
              <w:t>6</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依据《关于加强高耗能、高排放建设项目生态环境源头防控的指导意见》（环环评〔</w:t>
            </w:r>
            <w:r>
              <w:rPr>
                <w:rFonts w:ascii="Times New Roman" w:hAnsi="Times New Roman" w:eastAsia="宋体" w:cs="Times New Roman"/>
                <w:color w:val="000000" w:themeColor="text1"/>
                <w:szCs w:val="21"/>
                <w:highlight w:val="none"/>
                <w:u w:val="none"/>
                <w14:textFill>
                  <w14:solidFill>
                    <w14:schemeClr w14:val="tx1"/>
                  </w14:solidFill>
                </w14:textFill>
              </w:rPr>
              <w:t>2021</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45</w:t>
            </w:r>
            <w:r>
              <w:rPr>
                <w:rFonts w:ascii="Times New Roman" w:hAnsi="宋体" w:eastAsia="宋体" w:cs="Times New Roman"/>
                <w:color w:val="000000" w:themeColor="text1"/>
                <w:szCs w:val="21"/>
                <w:highlight w:val="none"/>
                <w:u w:val="none"/>
                <w14:textFill>
                  <w14:solidFill>
                    <w14:schemeClr w14:val="tx1"/>
                  </w14:solidFill>
                </w14:textFill>
              </w:rPr>
              <w:t>号）《国家发展改革委等部门关于发布</w:t>
            </w:r>
            <w:r>
              <w:rPr>
                <w:rFonts w:ascii="Times New Roman" w:hAnsi="Times New Roman" w:eastAsia="宋体" w:cs="Times New Roman"/>
                <w:color w:val="000000" w:themeColor="text1"/>
                <w:szCs w:val="21"/>
                <w:highlight w:val="none"/>
                <w:u w:val="none"/>
                <w14:textFill>
                  <w14:solidFill>
                    <w14:schemeClr w14:val="tx1"/>
                  </w14:solidFill>
                </w14:textFill>
              </w:rPr>
              <w:t>&lt;</w:t>
            </w:r>
            <w:r>
              <w:rPr>
                <w:rFonts w:ascii="Times New Roman" w:hAnsi="宋体" w:eastAsia="宋体" w:cs="Times New Roman"/>
                <w:color w:val="000000" w:themeColor="text1"/>
                <w:szCs w:val="21"/>
                <w:highlight w:val="none"/>
                <w:u w:val="none"/>
                <w14:textFill>
                  <w14:solidFill>
                    <w14:schemeClr w14:val="tx1"/>
                  </w14:solidFill>
                </w14:textFill>
              </w:rPr>
              <w:t>工业重点领域能效标杆水平和基准水平（</w:t>
            </w:r>
            <w:r>
              <w:rPr>
                <w:rFonts w:ascii="Times New Roman" w:hAnsi="Times New Roman" w:eastAsia="宋体" w:cs="Times New Roman"/>
                <w:color w:val="000000" w:themeColor="text1"/>
                <w:szCs w:val="21"/>
                <w:highlight w:val="none"/>
                <w:u w:val="none"/>
                <w14:textFill>
                  <w14:solidFill>
                    <w14:schemeClr w14:val="tx1"/>
                  </w14:solidFill>
                </w14:textFill>
              </w:rPr>
              <w:t>2023</w:t>
            </w:r>
            <w:r>
              <w:rPr>
                <w:rFonts w:ascii="Times New Roman" w:hAnsi="宋体" w:eastAsia="宋体" w:cs="Times New Roman"/>
                <w:color w:val="000000" w:themeColor="text1"/>
                <w:szCs w:val="21"/>
                <w:highlight w:val="none"/>
                <w:u w:val="none"/>
                <w14:textFill>
                  <w14:solidFill>
                    <w14:schemeClr w14:val="tx1"/>
                  </w14:solidFill>
                </w14:textFill>
              </w:rPr>
              <w:t>年版）</w:t>
            </w:r>
            <w:r>
              <w:rPr>
                <w:rFonts w:ascii="Times New Roman" w:hAnsi="Times New Roman" w:eastAsia="宋体" w:cs="Times New Roman"/>
                <w:color w:val="000000" w:themeColor="text1"/>
                <w:szCs w:val="21"/>
                <w:highlight w:val="none"/>
                <w:u w:val="none"/>
                <w14:textFill>
                  <w14:solidFill>
                    <w14:schemeClr w14:val="tx1"/>
                  </w14:solidFill>
                </w14:textFill>
              </w:rPr>
              <w:t>&gt;</w:t>
            </w:r>
            <w:r>
              <w:rPr>
                <w:rFonts w:ascii="Times New Roman" w:hAnsi="宋体" w:eastAsia="宋体" w:cs="Times New Roman"/>
                <w:color w:val="000000" w:themeColor="text1"/>
                <w:szCs w:val="21"/>
                <w:highlight w:val="none"/>
                <w:u w:val="none"/>
                <w14:textFill>
                  <w14:solidFill>
                    <w14:schemeClr w14:val="tx1"/>
                  </w14:solidFill>
                </w14:textFill>
              </w:rPr>
              <w:t>的通知》（发改产业〔</w:t>
            </w:r>
            <w:r>
              <w:rPr>
                <w:rFonts w:ascii="Times New Roman" w:hAnsi="Times New Roman" w:eastAsia="宋体" w:cs="Times New Roman"/>
                <w:color w:val="000000" w:themeColor="text1"/>
                <w:szCs w:val="21"/>
                <w:highlight w:val="none"/>
                <w:u w:val="none"/>
                <w14:textFill>
                  <w14:solidFill>
                    <w14:schemeClr w14:val="tx1"/>
                  </w14:solidFill>
                </w14:textFill>
              </w:rPr>
              <w:t>2023</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723</w:t>
            </w:r>
            <w:r>
              <w:rPr>
                <w:rFonts w:ascii="Times New Roman" w:hAnsi="宋体" w:eastAsia="宋体" w:cs="Times New Roman"/>
                <w:color w:val="000000" w:themeColor="text1"/>
                <w:szCs w:val="21"/>
                <w:highlight w:val="none"/>
                <w:u w:val="none"/>
                <w14:textFill>
                  <w14:solidFill>
                    <w14:schemeClr w14:val="tx1"/>
                  </w14:solidFill>
                </w14:textFill>
              </w:rPr>
              <w:t>号）有关要求</w:t>
            </w:r>
            <w:r>
              <w:rPr>
                <w:rFonts w:ascii="Times New Roman" w:hAnsi="宋体" w:eastAsia="宋体" w:cs="Times New Roman"/>
                <w:color w:val="000000" w:themeColor="text1"/>
                <w:kern w:val="0"/>
                <w:szCs w:val="21"/>
                <w:highlight w:val="none"/>
                <w:u w:val="none"/>
                <w14:textFill>
                  <w14:solidFill>
                    <w14:schemeClr w14:val="tx1"/>
                  </w14:solidFill>
                </w14:textFill>
              </w:rPr>
              <w:t>，提出了第</w:t>
            </w:r>
            <w:r>
              <w:rPr>
                <w:rFonts w:ascii="Times New Roman" w:hAnsi="Times New Roman" w:eastAsia="宋体" w:cs="Times New Roman"/>
                <w:color w:val="000000" w:themeColor="text1"/>
                <w:kern w:val="0"/>
                <w:szCs w:val="21"/>
                <w:highlight w:val="none"/>
                <w:u w:val="none"/>
                <w14:textFill>
                  <w14:solidFill>
                    <w14:schemeClr w14:val="tx1"/>
                  </w14:solidFill>
                </w14:textFill>
              </w:rPr>
              <w:t>7</w:t>
            </w:r>
            <w:r>
              <w:rPr>
                <w:rFonts w:ascii="Times New Roman" w:hAnsi="宋体" w:eastAsia="宋体" w:cs="Times New Roman"/>
                <w:color w:val="000000" w:themeColor="text1"/>
                <w:kern w:val="0"/>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kern w:val="0"/>
                <w:szCs w:val="21"/>
                <w:highlight w:val="none"/>
                <w:u w:val="none"/>
                <w14:textFill>
                  <w14:solidFill>
                    <w14:schemeClr w14:val="tx1"/>
                  </w14:solidFill>
                </w14:textFill>
              </w:rPr>
            </w:pPr>
            <w:r>
              <w:rPr>
                <w:rFonts w:ascii="Times New Roman" w:hAnsi="Times New Roman" w:eastAsia="宋体" w:cs="Times New Roman"/>
                <w:color w:val="000000" w:themeColor="text1"/>
                <w:kern w:val="0"/>
                <w:szCs w:val="21"/>
                <w:highlight w:val="none"/>
                <w:u w:val="none"/>
                <w14:textFill>
                  <w14:solidFill>
                    <w14:schemeClr w14:val="tx1"/>
                  </w14:solidFill>
                </w14:textFill>
              </w:rPr>
              <w:t>7</w:t>
            </w:r>
            <w:r>
              <w:rPr>
                <w:rFonts w:ascii="Times New Roman" w:hAnsi="宋体" w:eastAsia="宋体" w:cs="Times New Roman"/>
                <w:color w:val="000000" w:themeColor="text1"/>
                <w:kern w:val="0"/>
                <w:szCs w:val="21"/>
                <w:highlight w:val="none"/>
                <w:u w:val="none"/>
                <w14:textFill>
                  <w14:solidFill>
                    <w14:schemeClr w14:val="tx1"/>
                  </w14:solidFill>
                </w14:textFill>
              </w:rPr>
              <w:t>．依据《关于加强重点行业建设项目区域削减措施监督管理的通知》（环办环评〔</w:t>
            </w:r>
            <w:r>
              <w:rPr>
                <w:rFonts w:ascii="Times New Roman" w:hAnsi="Times New Roman" w:eastAsia="宋体" w:cs="Times New Roman"/>
                <w:color w:val="000000" w:themeColor="text1"/>
                <w:kern w:val="0"/>
                <w:szCs w:val="21"/>
                <w:highlight w:val="none"/>
                <w:u w:val="none"/>
                <w14:textFill>
                  <w14:solidFill>
                    <w14:schemeClr w14:val="tx1"/>
                  </w14:solidFill>
                </w14:textFill>
              </w:rPr>
              <w:t>2020</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36</w:t>
            </w:r>
            <w:r>
              <w:rPr>
                <w:rFonts w:ascii="Times New Roman" w:hAnsi="宋体" w:eastAsia="宋体" w:cs="Times New Roman"/>
                <w:color w:val="000000" w:themeColor="text1"/>
                <w:kern w:val="0"/>
                <w:szCs w:val="21"/>
                <w:highlight w:val="none"/>
                <w:u w:val="none"/>
                <w14:textFill>
                  <w14:solidFill>
                    <w14:schemeClr w14:val="tx1"/>
                  </w14:solidFill>
                </w14:textFill>
              </w:rPr>
              <w:t>号）《广西壮族自治区高耗能、高排放建设项目主要污染物排放管理办法》（桂环规范〔</w:t>
            </w:r>
            <w:r>
              <w:rPr>
                <w:rFonts w:ascii="Times New Roman" w:hAnsi="Times New Roman" w:eastAsia="宋体" w:cs="Times New Roman"/>
                <w:color w:val="000000" w:themeColor="text1"/>
                <w:kern w:val="0"/>
                <w:szCs w:val="21"/>
                <w:highlight w:val="none"/>
                <w:u w:val="none"/>
                <w14:textFill>
                  <w14:solidFill>
                    <w14:schemeClr w14:val="tx1"/>
                  </w14:solidFill>
                </w14:textFill>
              </w:rPr>
              <w:t>2023</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6</w:t>
            </w:r>
            <w:r>
              <w:rPr>
                <w:rFonts w:ascii="Times New Roman" w:hAnsi="宋体" w:eastAsia="宋体" w:cs="Times New Roman"/>
                <w:color w:val="000000" w:themeColor="text1"/>
                <w:kern w:val="0"/>
                <w:szCs w:val="21"/>
                <w:highlight w:val="none"/>
                <w:u w:val="none"/>
                <w14:textFill>
                  <w14:solidFill>
                    <w14:schemeClr w14:val="tx1"/>
                  </w14:solidFill>
                </w14:textFill>
              </w:rPr>
              <w:t>号）提出第</w:t>
            </w:r>
            <w:r>
              <w:rPr>
                <w:rFonts w:ascii="Times New Roman" w:hAnsi="Times New Roman" w:eastAsia="宋体" w:cs="Times New Roman"/>
                <w:color w:val="000000" w:themeColor="text1"/>
                <w:kern w:val="0"/>
                <w:szCs w:val="21"/>
                <w:highlight w:val="none"/>
                <w:u w:val="none"/>
                <w14:textFill>
                  <w14:solidFill>
                    <w14:schemeClr w14:val="tx1"/>
                  </w14:solidFill>
                </w14:textFill>
              </w:rPr>
              <w:t>8</w:t>
            </w:r>
            <w:r>
              <w:rPr>
                <w:rFonts w:ascii="Times New Roman" w:hAnsi="宋体" w:eastAsia="宋体" w:cs="Times New Roman"/>
                <w:color w:val="000000" w:themeColor="text1"/>
                <w:kern w:val="0"/>
                <w:szCs w:val="21"/>
                <w:highlight w:val="none"/>
                <w:u w:val="none"/>
                <w14:textFill>
                  <w14:solidFill>
                    <w14:schemeClr w14:val="tx1"/>
                  </w14:solidFill>
                </w14:textFill>
              </w:rPr>
              <w:t>条。</w:t>
            </w:r>
          </w:p>
          <w:p>
            <w:pPr>
              <w:adjustRightInd w:val="0"/>
              <w:snapToGrid w:val="0"/>
              <w:rPr>
                <w:rFonts w:ascii="Times New Roman" w:hAnsi="Times New Roman" w:eastAsia="宋体" w:cs="Times New Roman"/>
                <w:color w:val="000000" w:themeColor="text1"/>
                <w:kern w:val="0"/>
                <w:szCs w:val="21"/>
                <w:highlight w:val="none"/>
                <w:u w:val="none"/>
                <w14:textFill>
                  <w14:solidFill>
                    <w14:schemeClr w14:val="tx1"/>
                  </w14:solidFill>
                </w14:textFill>
              </w:rPr>
            </w:pPr>
            <w:r>
              <w:rPr>
                <w:rFonts w:ascii="Times New Roman" w:hAnsi="Times New Roman" w:eastAsia="宋体" w:cs="Times New Roman"/>
                <w:color w:val="000000" w:themeColor="text1"/>
                <w:kern w:val="0"/>
                <w:szCs w:val="21"/>
                <w:highlight w:val="none"/>
                <w:u w:val="none"/>
                <w14:textFill>
                  <w14:solidFill>
                    <w14:schemeClr w14:val="tx1"/>
                  </w14:solidFill>
                </w14:textFill>
              </w:rPr>
              <w:t>8</w:t>
            </w:r>
            <w:r>
              <w:rPr>
                <w:rFonts w:ascii="Times New Roman" w:hAnsi="宋体" w:eastAsia="宋体" w:cs="Times New Roman"/>
                <w:color w:val="000000" w:themeColor="text1"/>
                <w:kern w:val="0"/>
                <w:szCs w:val="21"/>
                <w:highlight w:val="none"/>
                <w:u w:val="none"/>
                <w14:textFill>
                  <w14:solidFill>
                    <w14:schemeClr w14:val="tx1"/>
                  </w14:solidFill>
                </w14:textFill>
              </w:rPr>
              <w:t>．依据</w:t>
            </w:r>
            <w:r>
              <w:rPr>
                <w:rFonts w:hint="default" w:ascii="Times New Roman" w:hAnsi="Times New Roman" w:eastAsia="宋体" w:cs="Times New Roman"/>
                <w:color w:val="auto"/>
                <w:sz w:val="21"/>
                <w:szCs w:val="21"/>
                <w:highlight w:val="none"/>
                <w:u w:val="none"/>
                <w:vertAlign w:val="baseline"/>
                <w:lang w:val="en-US" w:eastAsia="zh-CN"/>
              </w:rPr>
              <w:t>《关于印发&lt;减污降碳协同增效实施方案&gt;的通知》（环综合〔2022〕42号）</w:t>
            </w:r>
            <w:r>
              <w:rPr>
                <w:rFonts w:ascii="Times New Roman" w:hAnsi="宋体" w:eastAsia="宋体" w:cs="Times New Roman"/>
                <w:color w:val="000000" w:themeColor="text1"/>
                <w:kern w:val="0"/>
                <w:szCs w:val="21"/>
                <w:highlight w:val="none"/>
                <w:u w:val="none"/>
                <w14:textFill>
                  <w14:solidFill>
                    <w14:schemeClr w14:val="tx1"/>
                  </w14:solidFill>
                </w14:textFill>
              </w:rPr>
              <w:t>《广西壮族自治区减污降碳协同增效实施方案》桂环发〔</w:t>
            </w:r>
            <w:r>
              <w:rPr>
                <w:rFonts w:ascii="Times New Roman" w:hAnsi="Times New Roman" w:eastAsia="宋体" w:cs="Times New Roman"/>
                <w:color w:val="000000" w:themeColor="text1"/>
                <w:kern w:val="0"/>
                <w:szCs w:val="21"/>
                <w:highlight w:val="none"/>
                <w:u w:val="none"/>
                <w14:textFill>
                  <w14:solidFill>
                    <w14:schemeClr w14:val="tx1"/>
                  </w14:solidFill>
                </w14:textFill>
              </w:rPr>
              <w:t>2023</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21</w:t>
            </w:r>
            <w:r>
              <w:rPr>
                <w:rFonts w:ascii="Times New Roman" w:hAnsi="宋体" w:eastAsia="宋体" w:cs="Times New Roman"/>
                <w:color w:val="000000" w:themeColor="text1"/>
                <w:kern w:val="0"/>
                <w:szCs w:val="21"/>
                <w:highlight w:val="none"/>
                <w:u w:val="none"/>
                <w14:textFill>
                  <w14:solidFill>
                    <w14:schemeClr w14:val="tx1"/>
                  </w14:solidFill>
                </w14:textFill>
              </w:rPr>
              <w:t>号</w:t>
            </w:r>
            <w:r>
              <w:rPr>
                <w:rFonts w:ascii="Times New Roman" w:hAnsi="宋体" w:eastAsia="宋体" w:cs="Times New Roman"/>
                <w:color w:val="000000" w:themeColor="text1"/>
                <w:szCs w:val="21"/>
                <w:highlight w:val="none"/>
                <w:u w:val="none"/>
                <w14:textFill>
                  <w14:solidFill>
                    <w14:schemeClr w14:val="tx1"/>
                  </w14:solidFill>
                </w14:textFill>
              </w:rPr>
              <w:t>有关要求</w:t>
            </w:r>
            <w:r>
              <w:rPr>
                <w:rFonts w:ascii="Times New Roman" w:hAnsi="宋体" w:eastAsia="宋体" w:cs="Times New Roman"/>
                <w:color w:val="000000" w:themeColor="text1"/>
                <w:kern w:val="0"/>
                <w:szCs w:val="21"/>
                <w:highlight w:val="none"/>
                <w:u w:val="none"/>
                <w14:textFill>
                  <w14:solidFill>
                    <w14:schemeClr w14:val="tx1"/>
                  </w14:solidFill>
                </w14:textFill>
              </w:rPr>
              <w:t>，提出了第</w:t>
            </w:r>
            <w:r>
              <w:rPr>
                <w:rFonts w:ascii="Times New Roman" w:hAnsi="Times New Roman" w:eastAsia="宋体" w:cs="Times New Roman"/>
                <w:color w:val="000000" w:themeColor="text1"/>
                <w:kern w:val="0"/>
                <w:szCs w:val="21"/>
                <w:highlight w:val="none"/>
                <w:u w:val="none"/>
                <w14:textFill>
                  <w14:solidFill>
                    <w14:schemeClr w14:val="tx1"/>
                  </w14:solidFill>
                </w14:textFill>
              </w:rPr>
              <w:t>9</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10</w:t>
            </w:r>
            <w:r>
              <w:rPr>
                <w:rFonts w:ascii="Times New Roman" w:hAnsi="宋体" w:eastAsia="宋体" w:cs="Times New Roman"/>
                <w:color w:val="000000" w:themeColor="text1"/>
                <w:kern w:val="0"/>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kern w:val="0"/>
                <w:szCs w:val="21"/>
                <w:highlight w:val="none"/>
                <w:u w:val="none"/>
                <w14:textFill>
                  <w14:solidFill>
                    <w14:schemeClr w14:val="tx1"/>
                  </w14:solidFill>
                </w14:textFill>
              </w:rPr>
            </w:pPr>
            <w:r>
              <w:rPr>
                <w:rFonts w:ascii="Times New Roman" w:hAnsi="Times New Roman" w:eastAsia="宋体" w:cs="Times New Roman"/>
                <w:color w:val="000000" w:themeColor="text1"/>
                <w:kern w:val="0"/>
                <w:szCs w:val="21"/>
                <w:highlight w:val="none"/>
                <w:u w:val="none"/>
                <w14:textFill>
                  <w14:solidFill>
                    <w14:schemeClr w14:val="tx1"/>
                  </w14:solidFill>
                </w14:textFill>
              </w:rPr>
              <w:t>9</w:t>
            </w:r>
            <w:r>
              <w:rPr>
                <w:rFonts w:ascii="Times New Roman" w:hAnsi="宋体" w:eastAsia="宋体" w:cs="Times New Roman"/>
                <w:color w:val="000000" w:themeColor="text1"/>
                <w:kern w:val="0"/>
                <w:szCs w:val="21"/>
                <w:highlight w:val="none"/>
                <w:u w:val="none"/>
                <w14:textFill>
                  <w14:solidFill>
                    <w14:schemeClr w14:val="tx1"/>
                  </w14:solidFill>
                </w14:textFill>
              </w:rPr>
              <w:t>．依据《广西壮族自治区生态环境厅等部门关于印发</w:t>
            </w:r>
            <w:r>
              <w:rPr>
                <w:rFonts w:ascii="Times New Roman" w:hAnsi="Times New Roman" w:eastAsia="宋体" w:cs="Times New Roman"/>
                <w:color w:val="000000" w:themeColor="text1"/>
                <w:kern w:val="0"/>
                <w:szCs w:val="21"/>
                <w:highlight w:val="none"/>
                <w:u w:val="none"/>
                <w14:textFill>
                  <w14:solidFill>
                    <w14:schemeClr w14:val="tx1"/>
                  </w14:solidFill>
                </w14:textFill>
              </w:rPr>
              <w:t xml:space="preserve"> &lt;</w:t>
            </w:r>
            <w:r>
              <w:rPr>
                <w:rFonts w:ascii="Times New Roman" w:hAnsi="宋体" w:eastAsia="宋体" w:cs="Times New Roman"/>
                <w:color w:val="000000" w:themeColor="text1"/>
                <w:kern w:val="0"/>
                <w:szCs w:val="21"/>
                <w:highlight w:val="none"/>
                <w:u w:val="none"/>
                <w14:textFill>
                  <w14:solidFill>
                    <w14:schemeClr w14:val="tx1"/>
                  </w14:solidFill>
                </w14:textFill>
              </w:rPr>
              <w:t>广西生态保护正面清单（</w:t>
            </w:r>
            <w:r>
              <w:rPr>
                <w:rFonts w:ascii="Times New Roman" w:hAnsi="Times New Roman" w:eastAsia="宋体" w:cs="Times New Roman"/>
                <w:color w:val="000000" w:themeColor="text1"/>
                <w:kern w:val="0"/>
                <w:szCs w:val="21"/>
                <w:highlight w:val="none"/>
                <w:u w:val="none"/>
                <w14:textFill>
                  <w14:solidFill>
                    <w14:schemeClr w14:val="tx1"/>
                  </w14:solidFill>
                </w14:textFill>
              </w:rPr>
              <w:t>2022</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&gt;</w:t>
            </w:r>
            <w:r>
              <w:rPr>
                <w:rFonts w:ascii="Times New Roman" w:hAnsi="宋体" w:eastAsia="宋体" w:cs="Times New Roman"/>
                <w:color w:val="000000" w:themeColor="text1"/>
                <w:kern w:val="0"/>
                <w:szCs w:val="21"/>
                <w:highlight w:val="none"/>
                <w:u w:val="none"/>
                <w14:textFill>
                  <w14:solidFill>
                    <w14:schemeClr w14:val="tx1"/>
                  </w14:solidFill>
                </w14:textFill>
              </w:rPr>
              <w:t>和</w:t>
            </w:r>
            <w:r>
              <w:rPr>
                <w:rFonts w:ascii="Times New Roman" w:hAnsi="Times New Roman" w:eastAsia="宋体" w:cs="Times New Roman"/>
                <w:color w:val="000000" w:themeColor="text1"/>
                <w:kern w:val="0"/>
                <w:szCs w:val="21"/>
                <w:highlight w:val="none"/>
                <w:u w:val="none"/>
                <w14:textFill>
                  <w14:solidFill>
                    <w14:schemeClr w14:val="tx1"/>
                  </w14:solidFill>
                </w14:textFill>
              </w:rPr>
              <w:t>&lt;</w:t>
            </w:r>
            <w:r>
              <w:rPr>
                <w:rFonts w:ascii="Times New Roman" w:hAnsi="宋体" w:eastAsia="宋体" w:cs="Times New Roman"/>
                <w:color w:val="000000" w:themeColor="text1"/>
                <w:kern w:val="0"/>
                <w:szCs w:val="21"/>
                <w:highlight w:val="none"/>
                <w:u w:val="none"/>
                <w14:textFill>
                  <w14:solidFill>
                    <w14:schemeClr w14:val="tx1"/>
                  </w14:solidFill>
                </w14:textFill>
              </w:rPr>
              <w:t>广西生态保护禁止事项清单（</w:t>
            </w:r>
            <w:r>
              <w:rPr>
                <w:rFonts w:ascii="Times New Roman" w:hAnsi="Times New Roman" w:eastAsia="宋体" w:cs="Times New Roman"/>
                <w:color w:val="000000" w:themeColor="text1"/>
                <w:kern w:val="0"/>
                <w:szCs w:val="21"/>
                <w:highlight w:val="none"/>
                <w:u w:val="none"/>
                <w14:textFill>
                  <w14:solidFill>
                    <w14:schemeClr w14:val="tx1"/>
                  </w14:solidFill>
                </w14:textFill>
              </w:rPr>
              <w:t>2022</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&gt;</w:t>
            </w:r>
            <w:r>
              <w:rPr>
                <w:rFonts w:ascii="Times New Roman" w:hAnsi="宋体" w:eastAsia="宋体" w:cs="Times New Roman"/>
                <w:color w:val="000000" w:themeColor="text1"/>
                <w:kern w:val="0"/>
                <w:szCs w:val="21"/>
                <w:highlight w:val="none"/>
                <w:u w:val="none"/>
                <w14:textFill>
                  <w14:solidFill>
                    <w14:schemeClr w14:val="tx1"/>
                  </w14:solidFill>
                </w14:textFill>
              </w:rPr>
              <w:t>的通知》（桂环发〔</w:t>
            </w:r>
            <w:r>
              <w:rPr>
                <w:rFonts w:ascii="Times New Roman" w:hAnsi="Times New Roman" w:eastAsia="宋体" w:cs="Times New Roman"/>
                <w:color w:val="000000" w:themeColor="text1"/>
                <w:kern w:val="0"/>
                <w:szCs w:val="21"/>
                <w:highlight w:val="none"/>
                <w:u w:val="none"/>
                <w14:textFill>
                  <w14:solidFill>
                    <w14:schemeClr w14:val="tx1"/>
                  </w14:solidFill>
                </w14:textFill>
              </w:rPr>
              <w:t>2022</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54</w:t>
            </w:r>
            <w:r>
              <w:rPr>
                <w:rFonts w:ascii="Times New Roman" w:hAnsi="宋体" w:eastAsia="宋体" w:cs="Times New Roman"/>
                <w:color w:val="000000" w:themeColor="text1"/>
                <w:kern w:val="0"/>
                <w:szCs w:val="21"/>
                <w:highlight w:val="none"/>
                <w:u w:val="none"/>
                <w14:textFill>
                  <w14:solidFill>
                    <w14:schemeClr w14:val="tx1"/>
                  </w14:solidFill>
                </w14:textFill>
              </w:rPr>
              <w:t>号）有关要求，提出第</w:t>
            </w:r>
            <w:r>
              <w:rPr>
                <w:rFonts w:ascii="Times New Roman" w:hAnsi="Times New Roman" w:eastAsia="宋体" w:cs="Times New Roman"/>
                <w:color w:val="000000" w:themeColor="text1"/>
                <w:kern w:val="0"/>
                <w:szCs w:val="21"/>
                <w:highlight w:val="none"/>
                <w:u w:val="none"/>
                <w14:textFill>
                  <w14:solidFill>
                    <w14:schemeClr w14:val="tx1"/>
                  </w14:solidFill>
                </w14:textFill>
              </w:rPr>
              <w:t>11</w:t>
            </w:r>
            <w:r>
              <w:rPr>
                <w:rFonts w:ascii="Times New Roman" w:hAnsi="宋体" w:eastAsia="宋体" w:cs="Times New Roman"/>
                <w:color w:val="000000" w:themeColor="text1"/>
                <w:kern w:val="0"/>
                <w:szCs w:val="21"/>
                <w:highlight w:val="none"/>
                <w:u w:val="none"/>
                <w14:textFill>
                  <w14:solidFill>
                    <w14:schemeClr w14:val="tx1"/>
                  </w14:solidFill>
                </w14:textFill>
              </w:rPr>
              <w:t>条管控要求。</w:t>
            </w:r>
          </w:p>
        </w:tc>
      </w:tr>
    </w:tbl>
    <w:p>
      <w:pPr>
        <w:widowControl/>
        <w:jc w:val="left"/>
        <w:rPr>
          <w:rFonts w:ascii="Times New Roman" w:hAnsi="Times New Roman" w:eastAsia="宋体" w:cs="Times New Roman"/>
          <w:color w:val="000000" w:themeColor="text1"/>
          <w:szCs w:val="21"/>
          <w:highlight w:val="none"/>
          <w:u w:val="none"/>
          <w14:textFill>
            <w14:solidFill>
              <w14:schemeClr w14:val="tx1"/>
            </w14:solidFill>
          </w14:textFill>
        </w:rPr>
      </w:pPr>
    </w:p>
    <w:p>
      <w:pPr>
        <w:pStyle w:val="19"/>
        <w:outlineLvl w:val="2"/>
        <w:rPr>
          <w:rFonts w:hAnsi="Times New Roman"/>
          <w:highlight w:val="none"/>
          <w:u w:val="none"/>
        </w:rPr>
      </w:pPr>
      <w:r>
        <w:rPr>
          <w:rFonts w:hAnsi="Times New Roman"/>
          <w:highlight w:val="none"/>
          <w:u w:val="none"/>
        </w:rPr>
        <w:br w:type="page"/>
      </w:r>
      <w:bookmarkStart w:id="5" w:name="_Toc4462"/>
      <w:r>
        <w:rPr>
          <w:highlight w:val="none"/>
          <w:u w:val="none"/>
        </w:rPr>
        <w:t>表</w:t>
      </w:r>
      <w:r>
        <w:rPr>
          <w:rFonts w:hAnsi="Times New Roman"/>
          <w:highlight w:val="none"/>
          <w:u w:val="none"/>
        </w:rPr>
        <w:t xml:space="preserve">1.1-2  </w:t>
      </w:r>
      <w:r>
        <w:rPr>
          <w:highlight w:val="none"/>
          <w:u w:val="none"/>
        </w:rPr>
        <w:t>陆域生态空间总体生态环境准入及管控要求</w:t>
      </w:r>
      <w:bookmarkEnd w:id="5"/>
    </w:p>
    <w:tbl>
      <w:tblPr>
        <w:tblStyle w:val="20"/>
        <w:tblW w:w="218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5"/>
        <w:gridCol w:w="969"/>
        <w:gridCol w:w="963"/>
        <w:gridCol w:w="2039"/>
        <w:gridCol w:w="9400"/>
        <w:gridCol w:w="68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595" w:type="dxa"/>
            <w:vAlign w:val="center"/>
          </w:tcPr>
          <w:p>
            <w:pPr>
              <w:adjustRightInd w:val="0"/>
              <w:snapToGrid w:val="0"/>
              <w:jc w:val="center"/>
              <w:rPr>
                <w:rFonts w:ascii="Times New Roman" w:hAnsi="Times New Roman" w:eastAsia="宋体" w:cs="Times New Roman"/>
                <w:b/>
                <w:szCs w:val="21"/>
                <w:highlight w:val="none"/>
                <w:u w:val="none"/>
              </w:rPr>
            </w:pPr>
            <w:r>
              <w:rPr>
                <w:rFonts w:ascii="Times New Roman" w:hAnsi="宋体" w:eastAsia="宋体" w:cs="Times New Roman"/>
                <w:b/>
                <w:szCs w:val="21"/>
                <w:highlight w:val="none"/>
                <w:u w:val="none"/>
              </w:rPr>
              <w:t>适用分区</w:t>
            </w:r>
          </w:p>
        </w:tc>
        <w:tc>
          <w:tcPr>
            <w:tcW w:w="1932" w:type="dxa"/>
            <w:gridSpan w:val="2"/>
            <w:vAlign w:val="center"/>
          </w:tcPr>
          <w:p>
            <w:pPr>
              <w:adjustRightInd w:val="0"/>
              <w:snapToGrid w:val="0"/>
              <w:jc w:val="center"/>
              <w:rPr>
                <w:rFonts w:ascii="Times New Roman" w:hAnsi="Times New Roman" w:eastAsia="宋体" w:cs="Times New Roman"/>
                <w:b/>
                <w:szCs w:val="21"/>
                <w:highlight w:val="none"/>
                <w:u w:val="none"/>
              </w:rPr>
            </w:pPr>
            <w:r>
              <w:rPr>
                <w:rFonts w:ascii="Times New Roman" w:hAnsi="宋体" w:eastAsia="宋体" w:cs="Times New Roman"/>
                <w:b/>
                <w:szCs w:val="21"/>
                <w:highlight w:val="none"/>
                <w:u w:val="none"/>
              </w:rPr>
              <w:t>适用对象</w:t>
            </w:r>
          </w:p>
        </w:tc>
        <w:tc>
          <w:tcPr>
            <w:tcW w:w="2039" w:type="dxa"/>
            <w:vAlign w:val="center"/>
          </w:tcPr>
          <w:p>
            <w:pPr>
              <w:adjustRightInd w:val="0"/>
              <w:snapToGrid w:val="0"/>
              <w:jc w:val="center"/>
              <w:rPr>
                <w:rFonts w:ascii="Times New Roman" w:hAnsi="Times New Roman" w:eastAsia="宋体" w:cs="Times New Roman"/>
                <w:b/>
                <w:szCs w:val="21"/>
                <w:highlight w:val="none"/>
                <w:u w:val="none"/>
              </w:rPr>
            </w:pPr>
            <w:r>
              <w:rPr>
                <w:rFonts w:ascii="Times New Roman" w:hAnsi="宋体" w:eastAsia="宋体" w:cs="Times New Roman"/>
                <w:b/>
                <w:szCs w:val="21"/>
                <w:highlight w:val="none"/>
                <w:u w:val="none"/>
              </w:rPr>
              <w:t>管控要求类别</w:t>
            </w:r>
          </w:p>
        </w:tc>
        <w:tc>
          <w:tcPr>
            <w:tcW w:w="9400" w:type="dxa"/>
            <w:vAlign w:val="center"/>
          </w:tcPr>
          <w:p>
            <w:pPr>
              <w:adjustRightInd w:val="0"/>
              <w:snapToGrid w:val="0"/>
              <w:jc w:val="center"/>
              <w:rPr>
                <w:rFonts w:ascii="Times New Roman" w:hAnsi="Times New Roman" w:eastAsia="宋体" w:cs="Times New Roman"/>
                <w:b/>
                <w:szCs w:val="21"/>
                <w:highlight w:val="none"/>
                <w:u w:val="none"/>
              </w:rPr>
            </w:pPr>
            <w:r>
              <w:rPr>
                <w:rFonts w:ascii="Times New Roman" w:hAnsi="宋体" w:eastAsia="宋体" w:cs="Times New Roman"/>
                <w:b/>
                <w:szCs w:val="21"/>
                <w:highlight w:val="none"/>
                <w:u w:val="none"/>
              </w:rPr>
              <w:t>生态环境准入及管控要求</w:t>
            </w:r>
          </w:p>
        </w:tc>
        <w:tc>
          <w:tcPr>
            <w:tcW w:w="6847" w:type="dxa"/>
            <w:vAlign w:val="center"/>
          </w:tcPr>
          <w:p>
            <w:pPr>
              <w:adjustRightInd w:val="0"/>
              <w:snapToGrid w:val="0"/>
              <w:jc w:val="center"/>
              <w:rPr>
                <w:rFonts w:ascii="Times New Roman" w:hAnsi="Times New Roman" w:eastAsia="宋体" w:cs="Times New Roman"/>
                <w:b/>
                <w:szCs w:val="21"/>
                <w:highlight w:val="none"/>
                <w:u w:val="none"/>
              </w:rPr>
            </w:pPr>
            <w:r>
              <w:rPr>
                <w:rFonts w:ascii="Times New Roman" w:hAnsi="宋体" w:eastAsia="宋体" w:cs="Times New Roman"/>
                <w:b/>
                <w:szCs w:val="21"/>
                <w:highlight w:val="none"/>
                <w:u w:val="none"/>
              </w:rPr>
              <w:t>编制理由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595" w:type="dxa"/>
            <w:vMerge w:val="restart"/>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优先保护单元</w:t>
            </w: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陆域生态保护红线</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numPr>
                <w:ilvl w:val="0"/>
                <w:numId w:val="2"/>
              </w:numPr>
              <w:adjustRightInd w:val="0"/>
              <w:snapToGrid w:val="0"/>
              <w:rPr>
                <w:rFonts w:ascii="Times New Roman" w:hAnsi="宋体" w:eastAsia="宋体" w:cs="Times New Roman"/>
                <w:bCs/>
                <w:szCs w:val="21"/>
                <w:highlight w:val="none"/>
                <w:u w:val="none"/>
              </w:rPr>
            </w:pPr>
            <w:r>
              <w:rPr>
                <w:rFonts w:ascii="Times New Roman" w:hAnsi="宋体" w:eastAsia="宋体" w:cs="Times New Roman"/>
                <w:bCs/>
                <w:szCs w:val="21"/>
                <w:highlight w:val="none"/>
                <w:u w:val="none"/>
              </w:rPr>
              <w:t>生态保护红线内，自然保护地核心保护区内原则上</w:t>
            </w:r>
            <w:r>
              <w:rPr>
                <w:rFonts w:ascii="Times New Roman" w:hAnsi="宋体" w:eastAsia="宋体" w:cs="Times New Roman"/>
                <w:b/>
                <w:szCs w:val="21"/>
                <w:highlight w:val="none"/>
                <w:u w:val="none"/>
              </w:rPr>
              <w:t>禁止</w:t>
            </w:r>
            <w:r>
              <w:rPr>
                <w:rFonts w:ascii="Times New Roman" w:hAnsi="宋体" w:eastAsia="宋体" w:cs="Times New Roman"/>
                <w:bCs/>
                <w:szCs w:val="21"/>
                <w:highlight w:val="none"/>
                <w:u w:val="none"/>
              </w:rPr>
              <w:t>人为活动，自然保护地核心保护区外，</w:t>
            </w:r>
            <w:r>
              <w:rPr>
                <w:rFonts w:ascii="Times New Roman" w:hAnsi="宋体" w:eastAsia="宋体" w:cs="Times New Roman"/>
                <w:b/>
                <w:szCs w:val="21"/>
                <w:highlight w:val="none"/>
                <w:u w:val="none"/>
              </w:rPr>
              <w:t>禁止</w:t>
            </w:r>
            <w:r>
              <w:rPr>
                <w:rFonts w:ascii="Times New Roman" w:hAnsi="宋体" w:eastAsia="宋体" w:cs="Times New Roman"/>
                <w:bCs/>
                <w:szCs w:val="21"/>
                <w:highlight w:val="none"/>
                <w:u w:val="none"/>
              </w:rPr>
              <w:t>开发性、生产性建设活动，在符合法律法规的前提下，仅允许对生态功能不造成破坏的有限人为活动。</w:t>
            </w:r>
          </w:p>
          <w:p>
            <w:pPr>
              <w:numPr>
                <w:ilvl w:val="0"/>
                <w:numId w:val="0"/>
              </w:numPr>
              <w:adjustRightInd w:val="0"/>
              <w:snapToGrid w:val="0"/>
              <w:rPr>
                <w:rFonts w:ascii="Times New Roman" w:hAnsi="Times New Roman" w:eastAsia="宋体" w:cs="Times New Roman"/>
                <w:bCs/>
                <w:szCs w:val="21"/>
                <w:highlight w:val="none"/>
                <w:u w:val="none"/>
              </w:rPr>
            </w:pPr>
            <w:r>
              <w:rPr>
                <w:rFonts w:ascii="Times New Roman" w:hAnsi="Times New Roman" w:eastAsia="宋体" w:cs="Times New Roman"/>
                <w:bCs/>
                <w:szCs w:val="21"/>
                <w:highlight w:val="none"/>
                <w:u w:val="none"/>
              </w:rPr>
              <w:t>2</w:t>
            </w:r>
            <w:r>
              <w:rPr>
                <w:rFonts w:ascii="Times New Roman" w:hAnsi="宋体" w:eastAsia="宋体" w:cs="Times New Roman"/>
                <w:bCs/>
                <w:szCs w:val="21"/>
                <w:highlight w:val="none"/>
                <w:u w:val="none"/>
              </w:rPr>
              <w:t>．有限人为活动包括：</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）管护巡护巡查、保护执法、科学研究、调查监测、测绘导航、防灾减灾救灾、军事国防、疫情防控等活动及相关的必要设施修筑。</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原住居民和其他合法权益主体，允许在不扩大现有建设用地、用海用岛、耕地、水产养殖规模和放牧强度的前提下，开展种植、放牧、捕捞、养殖（不包括投礁型海洋牧场、围海养殖）等活动，修筑必须的生产生活设施。</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）按规定对人工商品林进行抚育采伐、择伐、果实采摘、更新改造，或以提升森林质量、优化栖息地、建设生物防火隔离带、林业有害生物防治等为目的的树种更新，依法开展的竹林采伐经营。</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地质调查与矿产资源勘查开采。包括：基础地质调查和战略性矿产资源远景调查等公益性工作、铀矿勘查开采活动、已依法设立的油气探矿权继续勘查活动、已依法设立的油气采矿权不扩大用地用海范围、已依法设立的矿泉水和地热采矿权、已依法设立和新立铬、铜、镍、锂、钴、锆、钾盐、重稀土矿等战略性矿产探矿权开展勘查活动以及因国家战略需要开展的开采活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5</w:t>
            </w:r>
            <w:r>
              <w:rPr>
                <w:rFonts w:ascii="Times New Roman" w:hAnsi="宋体" w:eastAsia="宋体" w:cs="Times New Roman"/>
                <w:szCs w:val="21"/>
                <w:highlight w:val="none"/>
                <w:u w:val="none"/>
              </w:rPr>
              <w:t>）经依法批准的考古调查发掘、古生物化石调查发掘、标本采集和文物保护活动。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6</w:t>
            </w:r>
            <w:r>
              <w:rPr>
                <w:rFonts w:ascii="Times New Roman" w:hAnsi="宋体" w:eastAsia="宋体" w:cs="Times New Roman"/>
                <w:szCs w:val="21"/>
                <w:highlight w:val="none"/>
                <w:u w:val="none"/>
              </w:rPr>
              <w:t>）不破坏生态功能的适度参观旅游、科普宣教及符合相关规划的配套性服务设施和相关的必要公共设施建设及维护。</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7</w:t>
            </w:r>
            <w:r>
              <w:rPr>
                <w:rFonts w:ascii="Times New Roman" w:hAnsi="宋体" w:eastAsia="宋体" w:cs="Times New Roman"/>
                <w:szCs w:val="21"/>
                <w:highlight w:val="none"/>
                <w:u w:val="none"/>
              </w:rPr>
              <w:t>）必须且无法避让、符合县级以上国土空间规划的线性基础设施、通讯和防洪（潮）、供水设施建设和船舶航行、航道疏浚清淤等活动；已有的合法水利、交通运输等设施运行维护改造。</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8</w:t>
            </w:r>
            <w:r>
              <w:rPr>
                <w:rFonts w:ascii="Times New Roman" w:hAnsi="宋体" w:eastAsia="宋体" w:cs="Times New Roman"/>
                <w:szCs w:val="21"/>
                <w:highlight w:val="none"/>
                <w:u w:val="none"/>
              </w:rPr>
              <w:t>）依据县级以上国土空间规划和生态保护修复专项规划开展的生态修复，包括山水林田湖草海湿地生态保护修复、废弃矿山生态修复等。</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9</w:t>
            </w:r>
            <w:r>
              <w:rPr>
                <w:rFonts w:ascii="Times New Roman" w:hAnsi="宋体" w:eastAsia="宋体" w:cs="Times New Roman"/>
                <w:szCs w:val="21"/>
                <w:highlight w:val="none"/>
                <w:u w:val="none"/>
              </w:rPr>
              <w:t>）根据我国相关法律法规和与邻国签署的国界管理制度协定（条约）开展的边界边境通视道清理以及界务工程的修建、维护和拆除工作。</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10</w:t>
            </w:r>
            <w:r>
              <w:rPr>
                <w:rFonts w:ascii="Times New Roman" w:hAnsi="宋体" w:eastAsia="宋体" w:cs="Times New Roman"/>
                <w:szCs w:val="21"/>
                <w:highlight w:val="none"/>
                <w:u w:val="none"/>
              </w:rPr>
              <w:t>）法律法规规定允许的其他人为活动。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3</w:t>
            </w:r>
            <w:r>
              <w:rPr>
                <w:rFonts w:ascii="Times New Roman" w:hAnsi="宋体" w:eastAsia="宋体" w:cs="Times New Roman"/>
                <w:bCs/>
                <w:szCs w:val="21"/>
                <w:highlight w:val="none"/>
                <w:u w:val="none"/>
              </w:rPr>
              <w:t>．</w:t>
            </w:r>
            <w:r>
              <w:rPr>
                <w:rFonts w:ascii="Times New Roman" w:hAnsi="宋体" w:eastAsia="宋体" w:cs="Times New Roman"/>
                <w:szCs w:val="21"/>
                <w:highlight w:val="none"/>
                <w:u w:val="none"/>
              </w:rPr>
              <w:t>生态保护红线内自然保护区、森林公园、重要湿地、湿地公园、饮用水水源保护区、风景名胜区等区域，依照法律法规执行。</w:t>
            </w:r>
          </w:p>
          <w:p>
            <w:pPr>
              <w:adjustRightInd w:val="0"/>
              <w:snapToGrid w:val="0"/>
              <w:rPr>
                <w:rFonts w:ascii="Times New Roman" w:hAnsi="Times New Roman" w:eastAsia="宋体" w:cs="Times New Roman"/>
                <w:szCs w:val="21"/>
                <w:highlight w:val="none"/>
                <w:u w:val="none"/>
              </w:rPr>
            </w:pP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kern w:val="0"/>
                <w:szCs w:val="21"/>
                <w:highlight w:val="none"/>
                <w:u w:val="none"/>
              </w:rPr>
              <w:t>依据《中共中央办公厅</w:t>
            </w:r>
            <w:r>
              <w:rPr>
                <w:rFonts w:ascii="Times New Roman" w:hAnsi="Times New Roman" w:eastAsia="宋体" w:cs="Times New Roman"/>
                <w:kern w:val="0"/>
                <w:szCs w:val="21"/>
                <w:highlight w:val="none"/>
                <w:u w:val="none"/>
              </w:rPr>
              <w:t xml:space="preserve"> </w:t>
            </w:r>
            <w:r>
              <w:rPr>
                <w:rFonts w:ascii="Times New Roman" w:hAnsi="宋体" w:eastAsia="宋体" w:cs="Times New Roman"/>
                <w:kern w:val="0"/>
                <w:szCs w:val="21"/>
                <w:highlight w:val="none"/>
                <w:u w:val="none"/>
              </w:rPr>
              <w:t>国务院办公厅印发＜关于在国土空间规划中统筹划定落实三条控制线的指导意见＞》</w:t>
            </w:r>
            <w:r>
              <w:rPr>
                <w:rFonts w:ascii="Times New Roman" w:hAnsi="宋体" w:eastAsia="宋体" w:cs="Times New Roman"/>
                <w:szCs w:val="21"/>
                <w:highlight w:val="none"/>
                <w:u w:val="none"/>
              </w:rPr>
              <w:t>、《自然资源部</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生态环境部</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国家林业和草原局＜关于加强生态保护红线管理的通知（试行）＞》（自然资发〔</w:t>
            </w:r>
            <w:r>
              <w:rPr>
                <w:rFonts w:ascii="Times New Roman" w:hAnsi="Times New Roman" w:eastAsia="宋体" w:cs="Times New Roman"/>
                <w:szCs w:val="21"/>
                <w:highlight w:val="none"/>
                <w:u w:val="none"/>
              </w:rPr>
              <w:t>2022</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142</w:t>
            </w:r>
            <w:r>
              <w:rPr>
                <w:rFonts w:ascii="Times New Roman" w:hAnsi="宋体" w:eastAsia="宋体" w:cs="Times New Roman"/>
                <w:szCs w:val="21"/>
                <w:highlight w:val="none"/>
                <w:u w:val="none"/>
              </w:rPr>
              <w:t>号）、《广西壮族自治区自然资源厅</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广西壮族自治区生态环境厅</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广西壮族自治区林业局</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广西壮族自治区海洋局关于印发广西生态保护红线监管办法（试行）的通知》（桂自然资规〔</w:t>
            </w:r>
            <w:r>
              <w:rPr>
                <w:rFonts w:ascii="Times New Roman" w:hAnsi="Times New Roman" w:eastAsia="宋体" w:cs="Times New Roman"/>
                <w:szCs w:val="21"/>
                <w:highlight w:val="none"/>
                <w:u w:val="none"/>
              </w:rPr>
              <w:t>2023</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号）《中共中央办公厅</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国务院办公厅印发＜关于建立以国家公园为主体的自然保护地体系的指导意见＞》、《自治区党委办公厅</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自治区人民政府办公厅印发＜关于建立以国家公园为主体的自然保护地体系的实施意见＞的通知》（桂办发</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2019</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35</w:t>
            </w:r>
            <w:r>
              <w:rPr>
                <w:rFonts w:ascii="Times New Roman" w:hAnsi="宋体" w:eastAsia="宋体" w:cs="Times New Roman"/>
                <w:szCs w:val="21"/>
                <w:highlight w:val="none"/>
                <w:u w:val="none"/>
              </w:rPr>
              <w:t>号）有关要求以及自治区相关部门意见</w:t>
            </w:r>
            <w:r>
              <w:rPr>
                <w:rFonts w:ascii="Times New Roman" w:hAnsi="宋体" w:eastAsia="宋体" w:cs="Times New Roman"/>
                <w:kern w:val="0"/>
                <w:szCs w:val="21"/>
                <w:highlight w:val="none"/>
                <w:u w:val="none"/>
              </w:rPr>
              <w:t>，提出第</w:t>
            </w:r>
            <w:r>
              <w:rPr>
                <w:rFonts w:ascii="Times New Roman" w:hAnsi="Times New Roman" w:eastAsia="宋体" w:cs="Times New Roman"/>
                <w:kern w:val="0"/>
                <w:szCs w:val="21"/>
                <w:highlight w:val="none"/>
                <w:u w:val="none"/>
              </w:rPr>
              <w:t>1</w:t>
            </w:r>
            <w:r>
              <w:rPr>
                <w:rFonts w:ascii="Times New Roman" w:hAnsi="宋体" w:eastAsia="宋体" w:cs="Times New Roman"/>
                <w:kern w:val="0"/>
                <w:szCs w:val="21"/>
                <w:highlight w:val="none"/>
                <w:u w:val="none"/>
              </w:rPr>
              <w:t>条和第</w:t>
            </w:r>
            <w:r>
              <w:rPr>
                <w:rFonts w:ascii="Times New Roman" w:hAnsi="Times New Roman" w:eastAsia="宋体" w:cs="Times New Roman"/>
                <w:kern w:val="0"/>
                <w:szCs w:val="21"/>
                <w:highlight w:val="none"/>
                <w:u w:val="none"/>
              </w:rPr>
              <w:t>2</w:t>
            </w:r>
            <w:r>
              <w:rPr>
                <w:rFonts w:ascii="Times New Roman" w:hAnsi="宋体" w:eastAsia="宋体" w:cs="Times New Roman"/>
                <w:kern w:val="0"/>
                <w:szCs w:val="21"/>
                <w:highlight w:val="none"/>
                <w:u w:val="none"/>
              </w:rPr>
              <w:t>条管控要求。</w:t>
            </w:r>
          </w:p>
          <w:p>
            <w:pPr>
              <w:adjustRightInd w:val="0"/>
              <w:snapToGrid w:val="0"/>
              <w:rPr>
                <w:rFonts w:ascii="Times New Roman" w:hAnsi="Times New Roman" w:eastAsia="宋体" w:cs="Times New Roman"/>
                <w:szCs w:val="21"/>
                <w:highlight w:val="none"/>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7"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所有陆域</w:t>
            </w:r>
          </w:p>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一般生态空间</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b/>
                <w:bCs/>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．生态保护红线外的一般生态空间，除符合国土空间规划建设和布局要求、符合矿产资源总体规划、能源开发利用规划外，原则上按限制开发区域的要求进行管理。</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．从严控制生态空间转为城镇空间和农业空间。生态空间与城镇空间、农业空间的相互转化利用，应符合国土空间规划用地布局和用途管制要求或符合国土空间规划修改的条件。</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．一般生态空间内符合区域准入条件的建设项目，涉及占用生态空间中的林地、草原等，按有关法律法规规定办理；涉及占用生态空间中其他未作明确规定的用地，应当加强论证和管理。</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．生态保护红线外的耕地，除符合国家生态退耕条件，并纳入国家生态退耕总体安排，或因国家重大生态工程建设需要外，</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随意转用。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5</w:t>
            </w:r>
            <w:r>
              <w:rPr>
                <w:rFonts w:ascii="Times New Roman" w:hAnsi="宋体" w:eastAsia="宋体" w:cs="Times New Roman"/>
                <w:szCs w:val="21"/>
                <w:highlight w:val="none"/>
                <w:u w:val="none"/>
              </w:rPr>
              <w:t>．科学规划、统筹安排荒地、荒漠等生态脆弱地区的生态建设，因各类生态建设规划和工程需要调整用途的，依照有关法律法规办理转用审批手续。</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6</w:t>
            </w:r>
            <w:r>
              <w:rPr>
                <w:rFonts w:ascii="Times New Roman" w:hAnsi="宋体" w:eastAsia="宋体" w:cs="Times New Roman"/>
                <w:szCs w:val="21"/>
                <w:highlight w:val="none"/>
                <w:u w:val="none"/>
              </w:rPr>
              <w:t>．在不改变利用方式的前提下，依据资源环境承载能力，对依法保护的生态空间实行承载力控制，防止过度垦殖、放牧、采伐、取水、渔猎、旅游等活动对生态功能造成损害，确保自然生态系统的稳定。</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7</w:t>
            </w:r>
            <w:r>
              <w:rPr>
                <w:rFonts w:ascii="Times New Roman" w:hAnsi="宋体" w:eastAsia="宋体" w:cs="Times New Roman"/>
                <w:szCs w:val="21"/>
                <w:highlight w:val="none"/>
                <w:u w:val="none"/>
              </w:rPr>
              <w:t>．鼓励各地依据生态保护需要和规划，结合土地综合整治、工矿废弃地复垦利用、矿山环境恢复治理等各类工程实施，因地制宜促进生态空间内建设用地逐步有序退出。</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8</w:t>
            </w:r>
            <w:r>
              <w:rPr>
                <w:rFonts w:ascii="Times New Roman" w:hAnsi="宋体" w:eastAsia="宋体" w:cs="Times New Roman"/>
                <w:szCs w:val="21"/>
                <w:highlight w:val="none"/>
                <w:u w:val="none"/>
              </w:rPr>
              <w:t>．生态保护红线外的一般生态空间，可依据《中华人民共和国森林法》有关规定开展正常的林业生产经营活动。</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．依据《自然生态空间用途管制办法（试行）》（国土资发〔</w:t>
            </w:r>
            <w:r>
              <w:rPr>
                <w:rFonts w:ascii="Times New Roman" w:hAnsi="Times New Roman" w:eastAsia="宋体" w:cs="Times New Roman"/>
                <w:szCs w:val="21"/>
                <w:highlight w:val="none"/>
                <w:u w:val="none"/>
              </w:rPr>
              <w:t>2017</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33</w:t>
            </w:r>
            <w:r>
              <w:rPr>
                <w:rFonts w:ascii="Times New Roman" w:hAnsi="宋体" w:eastAsia="宋体" w:cs="Times New Roman"/>
                <w:szCs w:val="21"/>
                <w:highlight w:val="none"/>
                <w:u w:val="none"/>
              </w:rPr>
              <w:t>号）提出了第</w:t>
            </w:r>
            <w:r>
              <w:rPr>
                <w:rFonts w:ascii="Times New Roman" w:hAnsi="Times New Roman" w:eastAsia="宋体" w:cs="Times New Roman"/>
                <w:szCs w:val="21"/>
                <w:highlight w:val="none"/>
                <w:u w:val="none"/>
              </w:rPr>
              <w:t>1-7</w:t>
            </w:r>
            <w:r>
              <w:rPr>
                <w:rFonts w:ascii="Times New Roman" w:hAnsi="宋体" w:eastAsia="宋体" w:cs="Times New Roman"/>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．依据《中华人民共和国森林法》提出了第</w:t>
            </w:r>
            <w:r>
              <w:rPr>
                <w:rFonts w:ascii="Times New Roman" w:hAnsi="Times New Roman" w:eastAsia="宋体" w:cs="Times New Roman"/>
                <w:szCs w:val="21"/>
                <w:highlight w:val="none"/>
                <w:u w:val="none"/>
              </w:rPr>
              <w:t>8</w:t>
            </w:r>
            <w:r>
              <w:rPr>
                <w:rFonts w:ascii="Times New Roman" w:hAnsi="宋体" w:eastAsia="宋体" w:cs="Times New Roman"/>
                <w:szCs w:val="21"/>
                <w:highlight w:val="none"/>
                <w:u w:val="none"/>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9"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自然保护区</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b/>
                <w:bCs/>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．自然保护区核心保护区原则上</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人为活动。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．自然保护区核心保护区外，</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开发性、生产性建设活动，在符合法律法规前提下，除国家重大战略项目外，仅允许对生态功能不造成破坏的有限人为活动，主要包括：</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）管护巡护巡查、保护执法、科学研究、调查监测、测绘导航、防灾减灾救灾、军事国防、疫情防控等活动及相关的必要设施修筑。</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原住居民和其他合法权益主体，允许在不扩大现有建设用地、用海用岛、耕地、水产养殖规模和放牧强度的前提下，开展种植、放牧、捕捞、养殖（不包括投礁型海洋牧场、围海养殖）等活动，修筑必须的生产生活设施。</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）按规定对人工商品林进行果实采摘，或以提升森林质量、优化栖息地、建设生物防火隔离带、林业有害生物防治等为目的的树种更新，依法开展的竹林采伐经营。</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）地质调查与矿产资源勘查开采。</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5</w:t>
            </w:r>
            <w:r>
              <w:rPr>
                <w:rFonts w:ascii="Times New Roman" w:hAnsi="宋体" w:eastAsia="宋体" w:cs="Times New Roman"/>
                <w:szCs w:val="21"/>
                <w:highlight w:val="none"/>
                <w:u w:val="none"/>
              </w:rPr>
              <w:t>）经依法批准的考古调查发掘、古生物化石调查发掘、标本采集和文物保护活动。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6</w:t>
            </w:r>
            <w:r>
              <w:rPr>
                <w:rFonts w:ascii="Times New Roman" w:hAnsi="宋体" w:eastAsia="宋体" w:cs="Times New Roman"/>
                <w:szCs w:val="21"/>
                <w:highlight w:val="none"/>
                <w:u w:val="none"/>
              </w:rPr>
              <w:t>）不破坏生态功能的适度参观旅游、科普宣教及符合相关规划的配套性服务设施和相关的必要公共设施建设及维护；</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7</w:t>
            </w:r>
            <w:r>
              <w:rPr>
                <w:rFonts w:ascii="Times New Roman" w:hAnsi="宋体" w:eastAsia="宋体" w:cs="Times New Roman"/>
                <w:szCs w:val="21"/>
                <w:highlight w:val="none"/>
                <w:u w:val="none"/>
              </w:rPr>
              <w:t>）必须且无法避让、符合县级以上国土空间规划的线性基础设施、通讯和防洪（潮）、供水设施建设和船舶航行、航道疏浚清淤等活动；已有的合法水利、交通运输等设施运行维护改造。</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8</w:t>
            </w:r>
            <w:r>
              <w:rPr>
                <w:rFonts w:ascii="Times New Roman" w:hAnsi="宋体" w:eastAsia="宋体" w:cs="Times New Roman"/>
                <w:szCs w:val="21"/>
                <w:highlight w:val="none"/>
                <w:u w:val="none"/>
              </w:rPr>
              <w:t>）依据县级以上国土空间规划和生态保护修复专项规划开展的生态修复，包括山水林田湖草海湿地生态保护修复、废弃矿山生态修复等。</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9</w:t>
            </w:r>
            <w:r>
              <w:rPr>
                <w:rFonts w:ascii="Times New Roman" w:hAnsi="宋体" w:eastAsia="宋体" w:cs="Times New Roman"/>
                <w:szCs w:val="21"/>
                <w:highlight w:val="none"/>
                <w:u w:val="none"/>
              </w:rPr>
              <w:t>）根据我国相关法律法规和与邻国签署的国界管理制度协定（条约）开展的边界边境通视道清理以及界务工程的修建、维护和拆除工作。</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10</w:t>
            </w:r>
            <w:r>
              <w:rPr>
                <w:rFonts w:ascii="Times New Roman" w:hAnsi="宋体" w:eastAsia="宋体" w:cs="Times New Roman"/>
                <w:szCs w:val="21"/>
                <w:highlight w:val="none"/>
                <w:u w:val="none"/>
              </w:rPr>
              <w:t>）法律法规规定允许的其他人为活动。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．地质遗迹类自然保护区人为活动应符合《中华人民共和国自然保护区条例》《地质遗迹保护管理规定》等准入要求。</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．依据中共中央办公厅</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国务院办公厅印发《关于在国土空间规划中统筹划定落实三条控制线的指导意见》、《自然资源部</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生态环境部</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国家林业和草原局＜关于加强生态保护红线管理的通知（试行）＞》（自然资发〔</w:t>
            </w:r>
            <w:r>
              <w:rPr>
                <w:rFonts w:ascii="Times New Roman" w:hAnsi="Times New Roman" w:eastAsia="宋体" w:cs="Times New Roman"/>
                <w:szCs w:val="21"/>
                <w:highlight w:val="none"/>
                <w:u w:val="none"/>
              </w:rPr>
              <w:t>2022</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142</w:t>
            </w:r>
            <w:r>
              <w:rPr>
                <w:rFonts w:ascii="Times New Roman" w:hAnsi="宋体" w:eastAsia="宋体" w:cs="Times New Roman"/>
                <w:szCs w:val="21"/>
                <w:highlight w:val="none"/>
                <w:u w:val="none"/>
              </w:rPr>
              <w:t>号）、《广西壮族自治区自然资源厅</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广西壮族自治区生态环境厅</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广西壮族自治区林业局</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广西壮族自治区海洋局关于印发广西生态保护红线监管办法（试行）的通知》（桂自然资规〔</w:t>
            </w:r>
            <w:r>
              <w:rPr>
                <w:rFonts w:ascii="Times New Roman" w:hAnsi="Times New Roman" w:eastAsia="宋体" w:cs="Times New Roman"/>
                <w:szCs w:val="21"/>
                <w:highlight w:val="none"/>
                <w:u w:val="none"/>
              </w:rPr>
              <w:t>2023</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号）提出第</w:t>
            </w: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．依据《中华人民共和国自然保护区条例》、《地质遗迹保护管理规定》</w:t>
            </w:r>
            <w:r>
              <w:rPr>
                <w:rFonts w:ascii="Times New Roman" w:hAnsi="Times New Roman" w:eastAsia="宋体" w:cs="Times New Roman"/>
                <w:szCs w:val="21"/>
                <w:highlight w:val="none"/>
                <w:u w:val="none"/>
              </w:rPr>
              <w:t>(</w:t>
            </w:r>
            <w:r>
              <w:rPr>
                <w:rFonts w:ascii="Times New Roman" w:hAnsi="宋体" w:eastAsia="宋体" w:cs="Times New Roman"/>
                <w:szCs w:val="21"/>
                <w:highlight w:val="none"/>
                <w:u w:val="none"/>
              </w:rPr>
              <w:t>一九九五年五月四日地质矿产部第二十一号令发布</w:t>
            </w:r>
            <w:r>
              <w:rPr>
                <w:rFonts w:ascii="Times New Roman" w:hAnsi="Times New Roman" w:eastAsia="宋体" w:cs="Times New Roman"/>
                <w:szCs w:val="21"/>
                <w:highlight w:val="none"/>
                <w:u w:val="none"/>
              </w:rPr>
              <w:t>)</w:t>
            </w:r>
            <w:r>
              <w:rPr>
                <w:rFonts w:ascii="Times New Roman" w:hAnsi="宋体" w:eastAsia="宋体" w:cs="Times New Roman"/>
                <w:szCs w:val="21"/>
                <w:highlight w:val="none"/>
                <w:u w:val="none"/>
              </w:rPr>
              <w:t>提出第</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8"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969" w:type="dxa"/>
            <w:vMerge w:val="restart"/>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饮用水水源保护区</w:t>
            </w:r>
          </w:p>
        </w:tc>
        <w:tc>
          <w:tcPr>
            <w:tcW w:w="963" w:type="dxa"/>
            <w:vMerge w:val="restart"/>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饮用水地表水源</w:t>
            </w:r>
          </w:p>
        </w:tc>
        <w:tc>
          <w:tcPr>
            <w:tcW w:w="2039" w:type="dxa"/>
            <w:vMerge w:val="restart"/>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．一级保护区内：</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新建、改建、扩建与供水设施和保护水源无关的建设项目或者设施，已建成的与供水设施和保护水源无关的建设项目或设施，由县级以上人民政府责令拆除或者关闭；</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向水域排放污水，已设置的排污口必须拆除；</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不得</w:t>
            </w:r>
            <w:r>
              <w:rPr>
                <w:rFonts w:ascii="Times New Roman" w:hAnsi="宋体" w:eastAsia="宋体" w:cs="Times New Roman"/>
                <w:bCs/>
                <w:szCs w:val="21"/>
                <w:highlight w:val="none"/>
                <w:u w:val="none"/>
              </w:rPr>
              <w:t>设置</w:t>
            </w:r>
            <w:r>
              <w:rPr>
                <w:rFonts w:ascii="Times New Roman" w:hAnsi="宋体" w:eastAsia="宋体" w:cs="Times New Roman"/>
                <w:szCs w:val="21"/>
                <w:highlight w:val="none"/>
                <w:u w:val="none"/>
              </w:rPr>
              <w:t>与供水需要无关的码头，</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停泊油船和危险化学品船舶；</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堆放或填埋工业固体废物、生活垃圾、医疗废物和其他废物；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设置油库；</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养殖畜禽、旅游、游泳、垂钓；</w:t>
            </w:r>
          </w:p>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使用化肥、农药以及其他可能污染水源水体的化学物品；</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从船舶向水体排放残油、废油，</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倾倒垃圾或者违反规定排放含油污水、生活污水等污染物；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向水体排放含重金属、油类、酸碱类等有毒有害废液或者含病原体的污水，</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在水体清洗装贮过油类或者有毒有害物品的运输工具、容器；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修建墓地、丢弃或者掩埋畜禽尸体以及含病原体的其他废物；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毁林开垦、全垦整地、炼山；</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严重影响水质的矿产资源勘查、开山采石、采矿、选冶和非疏浚性采砂；</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向水体倾倒工业固体废物、生活垃圾以及其他废物；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严重影响水质的船舶水上拆解、打捞或者其他水上水下施工作业；</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非更新、非低产低效林改造、非抚育采伐和其他破坏饮用水水源涵养林、护岸林以及其他植被的行为；</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新种植轮伐期不足十年的用材林；</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法律法规规定的其他可能污染饮用水水源的行为。</w:t>
            </w:r>
          </w:p>
        </w:tc>
        <w:tc>
          <w:tcPr>
            <w:tcW w:w="6847" w:type="dxa"/>
            <w:vAlign w:val="center"/>
          </w:tcPr>
          <w:p>
            <w:pPr>
              <w:adjustRightInd w:val="0"/>
              <w:snapToGrid w:val="0"/>
              <w:rPr>
                <w:rFonts w:ascii="Times New Roman" w:hAnsi="Times New Roman" w:eastAsia="宋体" w:cs="Times New Roman"/>
                <w:kern w:val="0"/>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kern w:val="0"/>
                <w:szCs w:val="21"/>
                <w:highlight w:val="none"/>
                <w:u w:val="none"/>
              </w:rPr>
              <w:t>．</w:t>
            </w:r>
            <w:r>
              <w:rPr>
                <w:rFonts w:ascii="Times New Roman" w:hAnsi="宋体" w:eastAsia="宋体" w:cs="Times New Roman"/>
                <w:szCs w:val="21"/>
                <w:highlight w:val="none"/>
                <w:u w:val="none"/>
              </w:rPr>
              <w:t>依据《中华人民共和国水污染防治法（</w:t>
            </w:r>
            <w:r>
              <w:rPr>
                <w:rFonts w:ascii="Times New Roman" w:hAnsi="Times New Roman" w:eastAsia="宋体" w:cs="Times New Roman"/>
                <w:szCs w:val="21"/>
                <w:highlight w:val="none"/>
                <w:u w:val="none"/>
              </w:rPr>
              <w:t>2017</w:t>
            </w:r>
            <w:r>
              <w:rPr>
                <w:rFonts w:ascii="Times New Roman" w:hAnsi="宋体" w:eastAsia="宋体" w:cs="Times New Roman"/>
                <w:szCs w:val="21"/>
                <w:highlight w:val="none"/>
                <w:u w:val="none"/>
              </w:rPr>
              <w:t>年修正本）》、《广西壮族自治区饮用水水源保护条例》、《饮用水水源保护区污染防治管理规定（</w:t>
            </w:r>
            <w:r>
              <w:rPr>
                <w:rFonts w:ascii="Times New Roman" w:hAnsi="Times New Roman" w:eastAsia="宋体" w:cs="Times New Roman"/>
                <w:szCs w:val="21"/>
                <w:highlight w:val="none"/>
                <w:u w:val="none"/>
              </w:rPr>
              <w:t>2010</w:t>
            </w:r>
            <w:r>
              <w:rPr>
                <w:rFonts w:ascii="Times New Roman" w:hAnsi="宋体" w:eastAsia="宋体" w:cs="Times New Roman"/>
                <w:szCs w:val="21"/>
                <w:highlight w:val="none"/>
                <w:u w:val="none"/>
              </w:rPr>
              <w:t>年修正本）》、《广西壮族自治区环境保护条例（</w:t>
            </w:r>
            <w:r>
              <w:rPr>
                <w:rFonts w:ascii="Times New Roman" w:hAnsi="Times New Roman" w:eastAsia="宋体" w:cs="Times New Roman"/>
                <w:szCs w:val="21"/>
                <w:highlight w:val="none"/>
                <w:u w:val="none"/>
              </w:rPr>
              <w:t>2016</w:t>
            </w:r>
            <w:r>
              <w:rPr>
                <w:rFonts w:ascii="Times New Roman" w:hAnsi="宋体" w:eastAsia="宋体" w:cs="Times New Roman"/>
                <w:szCs w:val="21"/>
                <w:highlight w:val="none"/>
                <w:u w:val="none"/>
              </w:rPr>
              <w:t>年修订）》、《广西水污染防治行动计划工作方案》（桂环发〔</w:t>
            </w:r>
            <w:r>
              <w:rPr>
                <w:rFonts w:ascii="Times New Roman" w:hAnsi="Times New Roman" w:eastAsia="宋体" w:cs="Times New Roman"/>
                <w:szCs w:val="21"/>
                <w:highlight w:val="none"/>
                <w:u w:val="none"/>
              </w:rPr>
              <w:t>2023</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20</w:t>
            </w:r>
            <w:r>
              <w:rPr>
                <w:rFonts w:ascii="Times New Roman" w:hAnsi="宋体" w:eastAsia="宋体" w:cs="Times New Roman"/>
                <w:szCs w:val="21"/>
                <w:highlight w:val="none"/>
                <w:u w:val="none"/>
              </w:rPr>
              <w:t>号）、《畜禽规模养殖污染防治条例》、《中华人民共和国固体废物污染环境防治法（</w:t>
            </w:r>
            <w:r>
              <w:rPr>
                <w:rFonts w:ascii="Times New Roman" w:hAnsi="Times New Roman" w:eastAsia="宋体" w:cs="Times New Roman"/>
                <w:szCs w:val="21"/>
                <w:highlight w:val="none"/>
                <w:u w:val="none"/>
              </w:rPr>
              <w:t>2016</w:t>
            </w:r>
            <w:r>
              <w:rPr>
                <w:rFonts w:ascii="Times New Roman" w:hAnsi="宋体" w:eastAsia="宋体" w:cs="Times New Roman"/>
                <w:szCs w:val="21"/>
                <w:highlight w:val="none"/>
                <w:u w:val="none"/>
              </w:rPr>
              <w:t>年修正本）》有关要求</w:t>
            </w:r>
            <w:r>
              <w:rPr>
                <w:rFonts w:ascii="Times New Roman" w:hAnsi="宋体" w:eastAsia="宋体" w:cs="Times New Roman"/>
                <w:kern w:val="0"/>
                <w:szCs w:val="21"/>
                <w:highlight w:val="none"/>
                <w:u w:val="none"/>
              </w:rPr>
              <w:t>，提出管控要求。</w:t>
            </w:r>
          </w:p>
          <w:p>
            <w:pPr>
              <w:adjustRightInd w:val="0"/>
              <w:snapToGrid w:val="0"/>
              <w:rPr>
                <w:rFonts w:ascii="Times New Roman" w:hAnsi="Times New Roman" w:eastAsia="宋体" w:cs="Times New Roman"/>
                <w:b/>
                <w:szCs w:val="21"/>
                <w:highlight w:val="none"/>
                <w:u w:val="none"/>
              </w:rPr>
            </w:pPr>
            <w:r>
              <w:rPr>
                <w:rFonts w:ascii="Times New Roman" w:hAnsi="Times New Roman" w:eastAsia="宋体" w:cs="Times New Roman"/>
                <w:kern w:val="0"/>
                <w:szCs w:val="21"/>
                <w:highlight w:val="none"/>
                <w:u w:val="none"/>
              </w:rPr>
              <w:t>2</w:t>
            </w:r>
            <w:r>
              <w:rPr>
                <w:rFonts w:ascii="Times New Roman" w:hAnsi="宋体" w:eastAsia="宋体" w:cs="Times New Roman"/>
                <w:kern w:val="0"/>
                <w:szCs w:val="21"/>
                <w:highlight w:val="none"/>
                <w:u w:val="none"/>
              </w:rPr>
              <w:t>．依据《关于反馈广西壮族自治区</w:t>
            </w:r>
            <w:r>
              <w:rPr>
                <w:rFonts w:hint="eastAsia" w:ascii="Times New Roman" w:hAnsi="Times New Roman" w:eastAsia="宋体" w:cs="Times New Roman"/>
                <w:kern w:val="0"/>
                <w:szCs w:val="21"/>
                <w:highlight w:val="none"/>
                <w:u w:val="none"/>
                <w:lang w:eastAsia="zh-CN"/>
              </w:rPr>
              <w:t>“</w:t>
            </w:r>
            <w:r>
              <w:rPr>
                <w:rFonts w:ascii="Times New Roman" w:hAnsi="宋体" w:eastAsia="宋体" w:cs="Times New Roman"/>
                <w:kern w:val="0"/>
                <w:szCs w:val="21"/>
                <w:highlight w:val="none"/>
                <w:u w:val="none"/>
              </w:rPr>
              <w:t>三线一单</w:t>
            </w:r>
            <w:r>
              <w:rPr>
                <w:rFonts w:hint="eastAsia" w:ascii="Times New Roman" w:hAnsi="Times New Roman" w:eastAsia="宋体" w:cs="Times New Roman"/>
                <w:kern w:val="0"/>
                <w:szCs w:val="21"/>
                <w:highlight w:val="none"/>
                <w:u w:val="none"/>
                <w:lang w:eastAsia="zh-CN"/>
              </w:rPr>
              <w:t>”</w:t>
            </w:r>
            <w:r>
              <w:rPr>
                <w:rFonts w:ascii="Times New Roman" w:hAnsi="宋体" w:eastAsia="宋体" w:cs="Times New Roman"/>
                <w:kern w:val="0"/>
                <w:szCs w:val="21"/>
                <w:highlight w:val="none"/>
                <w:u w:val="none"/>
              </w:rPr>
              <w:t>生态环境管控单元和准入清单修改意见的函》（桂林函〔</w:t>
            </w:r>
            <w:r>
              <w:rPr>
                <w:rFonts w:ascii="Times New Roman" w:hAnsi="Times New Roman" w:eastAsia="宋体" w:cs="Times New Roman"/>
                <w:kern w:val="0"/>
                <w:szCs w:val="21"/>
                <w:highlight w:val="none"/>
                <w:u w:val="none"/>
              </w:rPr>
              <w:t>2021</w:t>
            </w:r>
            <w:r>
              <w:rPr>
                <w:rFonts w:ascii="Times New Roman" w:hAnsi="宋体" w:eastAsia="宋体" w:cs="Times New Roman"/>
                <w:kern w:val="0"/>
                <w:szCs w:val="21"/>
                <w:highlight w:val="none"/>
                <w:u w:val="none"/>
              </w:rPr>
              <w:t>〕</w:t>
            </w:r>
            <w:r>
              <w:rPr>
                <w:rFonts w:ascii="Times New Roman" w:hAnsi="Times New Roman" w:eastAsia="宋体" w:cs="Times New Roman"/>
                <w:kern w:val="0"/>
                <w:szCs w:val="21"/>
                <w:highlight w:val="none"/>
                <w:u w:val="none"/>
              </w:rPr>
              <w:t>471</w:t>
            </w:r>
            <w:r>
              <w:rPr>
                <w:rFonts w:ascii="Times New Roman" w:hAnsi="宋体" w:eastAsia="宋体" w:cs="Times New Roman"/>
                <w:kern w:val="0"/>
                <w:szCs w:val="21"/>
                <w:highlight w:val="none"/>
                <w:u w:val="none"/>
              </w:rPr>
              <w:t>号）修改关于水源林保护的相关条款内容。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8"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969" w:type="dxa"/>
            <w:vMerge w:val="continue"/>
            <w:vAlign w:val="center"/>
          </w:tcPr>
          <w:p>
            <w:pPr>
              <w:adjustRightInd w:val="0"/>
              <w:snapToGrid w:val="0"/>
              <w:rPr>
                <w:rFonts w:ascii="Times New Roman" w:hAnsi="Times New Roman" w:eastAsia="宋体" w:cs="Times New Roman"/>
                <w:szCs w:val="21"/>
                <w:highlight w:val="none"/>
                <w:u w:val="none"/>
              </w:rPr>
            </w:pPr>
          </w:p>
        </w:tc>
        <w:tc>
          <w:tcPr>
            <w:tcW w:w="963" w:type="dxa"/>
            <w:vMerge w:val="continue"/>
            <w:vAlign w:val="center"/>
          </w:tcPr>
          <w:p>
            <w:pPr>
              <w:adjustRightInd w:val="0"/>
              <w:snapToGrid w:val="0"/>
              <w:rPr>
                <w:rFonts w:ascii="Times New Roman" w:hAnsi="Times New Roman" w:eastAsia="宋体" w:cs="Times New Roman"/>
                <w:szCs w:val="21"/>
                <w:highlight w:val="none"/>
                <w:u w:val="none"/>
              </w:rPr>
            </w:pPr>
          </w:p>
        </w:tc>
        <w:tc>
          <w:tcPr>
            <w:tcW w:w="2039" w:type="dxa"/>
            <w:vMerge w:val="continue"/>
            <w:vAlign w:val="center"/>
          </w:tcPr>
          <w:p>
            <w:pPr>
              <w:adjustRightInd w:val="0"/>
              <w:snapToGrid w:val="0"/>
              <w:rPr>
                <w:rFonts w:ascii="Times New Roman" w:hAnsi="Times New Roman" w:eastAsia="宋体" w:cs="Times New Roman"/>
                <w:szCs w:val="21"/>
                <w:highlight w:val="none"/>
                <w:u w:val="none"/>
              </w:rPr>
            </w:pP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．二级保护区内：</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设置排污口；</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新建、改建、扩建屠宰场、高尔夫球场、制胶、制糖、化工以及其他排放污染物的建设项目或者设施；</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堆放、倾倒或者填埋化工原料、危险化学品、矿物油类以及有毒有害矿产品；</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建设垃圾填埋场、垃圾堆肥场、垃圾焚烧炉等垃圾处理设施；</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使用国家和自治区限制使用的农药；</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使用含磷洗涤剂、高毒农药，</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滥用化肥；</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从船舶向水体排放残油、废油，倾倒垃圾或者违反规定排放含油污水、生活污水等污染物；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向水体排放含重金属、油类、酸碱类等有毒有害废液或者含病原体的污水，</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在水体清洗装贮过油类或者有毒有害物品的运输工具、容器；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修建墓地、丢弃或者掩埋畜禽尸体以及含病原体的其他废物；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严重影响水质的矿产资源勘查、开山采石、采矿、选冶和非疏浚性采砂；</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向水体倾倒工业固体废物、生活垃圾以及其他废物；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严重影响水质的船舶水上拆解、打捞或者其他水上水下施工作业；</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非更新、非低产低效林改造、非抚育采伐和其他破坏饮用水水源涵养林、护岸林以及其他植被的行为；</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新种植轮伐期不足十年的用材林；</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毁林开垦、全垦整地、炼山；</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网箱养殖以及规模化畜禽养殖；</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设立装卸垃圾、粪便、油类和有毒物品的码头；</w:t>
            </w:r>
          </w:p>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法律法规规定的其他可能污染饮用水水源的行为。</w:t>
            </w:r>
          </w:p>
        </w:tc>
        <w:tc>
          <w:tcPr>
            <w:tcW w:w="6847" w:type="dxa"/>
            <w:vAlign w:val="center"/>
          </w:tcPr>
          <w:p>
            <w:pPr>
              <w:numPr>
                <w:ilvl w:val="255"/>
                <w:numId w:val="0"/>
              </w:numPr>
              <w:adjustRightInd w:val="0"/>
              <w:snapToGrid w:val="0"/>
              <w:rPr>
                <w:rFonts w:ascii="Times New Roman" w:hAnsi="Times New Roman" w:eastAsia="宋体" w:cs="Times New Roman"/>
                <w:kern w:val="0"/>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kern w:val="0"/>
                <w:szCs w:val="21"/>
                <w:highlight w:val="none"/>
                <w:u w:val="none"/>
              </w:rPr>
              <w:t>．</w:t>
            </w:r>
            <w:r>
              <w:rPr>
                <w:rFonts w:ascii="Times New Roman" w:hAnsi="宋体" w:eastAsia="宋体" w:cs="Times New Roman"/>
                <w:szCs w:val="21"/>
                <w:highlight w:val="none"/>
                <w:u w:val="none"/>
              </w:rPr>
              <w:t>依据《中华人民共和国水污染防治法（</w:t>
            </w:r>
            <w:r>
              <w:rPr>
                <w:rFonts w:ascii="Times New Roman" w:hAnsi="Times New Roman" w:eastAsia="宋体" w:cs="Times New Roman"/>
                <w:szCs w:val="21"/>
                <w:highlight w:val="none"/>
                <w:u w:val="none"/>
              </w:rPr>
              <w:t>2017</w:t>
            </w:r>
            <w:r>
              <w:rPr>
                <w:rFonts w:ascii="Times New Roman" w:hAnsi="宋体" w:eastAsia="宋体" w:cs="Times New Roman"/>
                <w:szCs w:val="21"/>
                <w:highlight w:val="none"/>
                <w:u w:val="none"/>
              </w:rPr>
              <w:t>年修正本）》、《广西壮族自治区饮用水水源保护条例》、《饮用水水源保护区污染防治管理规定（</w:t>
            </w:r>
            <w:r>
              <w:rPr>
                <w:rFonts w:ascii="Times New Roman" w:hAnsi="Times New Roman" w:eastAsia="宋体" w:cs="Times New Roman"/>
                <w:szCs w:val="21"/>
                <w:highlight w:val="none"/>
                <w:u w:val="none"/>
              </w:rPr>
              <w:t>2010</w:t>
            </w:r>
            <w:r>
              <w:rPr>
                <w:rFonts w:ascii="Times New Roman" w:hAnsi="宋体" w:eastAsia="宋体" w:cs="Times New Roman"/>
                <w:szCs w:val="21"/>
                <w:highlight w:val="none"/>
                <w:u w:val="none"/>
              </w:rPr>
              <w:t>年修正本）》、《广西壮族自治区环境保护条例（</w:t>
            </w:r>
            <w:r>
              <w:rPr>
                <w:rFonts w:ascii="Times New Roman" w:hAnsi="Times New Roman" w:eastAsia="宋体" w:cs="Times New Roman"/>
                <w:szCs w:val="21"/>
                <w:highlight w:val="none"/>
                <w:u w:val="none"/>
              </w:rPr>
              <w:t>2016</w:t>
            </w:r>
            <w:r>
              <w:rPr>
                <w:rFonts w:ascii="Times New Roman" w:hAnsi="宋体" w:eastAsia="宋体" w:cs="Times New Roman"/>
                <w:szCs w:val="21"/>
                <w:highlight w:val="none"/>
                <w:u w:val="none"/>
              </w:rPr>
              <w:t>年修订）》、、《广西水污染防治行动计划工作方案》（桂环发〔</w:t>
            </w:r>
            <w:r>
              <w:rPr>
                <w:rFonts w:ascii="Times New Roman" w:hAnsi="Times New Roman" w:eastAsia="宋体" w:cs="Times New Roman"/>
                <w:szCs w:val="21"/>
                <w:highlight w:val="none"/>
                <w:u w:val="none"/>
              </w:rPr>
              <w:t>2023</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20</w:t>
            </w:r>
            <w:r>
              <w:rPr>
                <w:rFonts w:ascii="Times New Roman" w:hAnsi="宋体" w:eastAsia="宋体" w:cs="Times New Roman"/>
                <w:szCs w:val="21"/>
                <w:highlight w:val="none"/>
                <w:u w:val="none"/>
              </w:rPr>
              <w:t>号）、《畜禽规模养殖污染防治条例》、《中华人民共和国固体废物污染环境防治法（</w:t>
            </w:r>
            <w:r>
              <w:rPr>
                <w:rFonts w:ascii="Times New Roman" w:hAnsi="Times New Roman" w:eastAsia="宋体" w:cs="Times New Roman"/>
                <w:szCs w:val="21"/>
                <w:highlight w:val="none"/>
                <w:u w:val="none"/>
              </w:rPr>
              <w:t>2020</w:t>
            </w:r>
            <w:r>
              <w:rPr>
                <w:rFonts w:ascii="Times New Roman" w:hAnsi="宋体" w:eastAsia="宋体" w:cs="Times New Roman"/>
                <w:szCs w:val="21"/>
                <w:highlight w:val="none"/>
                <w:u w:val="none"/>
              </w:rPr>
              <w:t>年修订）》有关要求</w:t>
            </w:r>
            <w:r>
              <w:rPr>
                <w:rFonts w:ascii="Times New Roman" w:hAnsi="宋体" w:eastAsia="宋体" w:cs="Times New Roman"/>
                <w:kern w:val="0"/>
                <w:szCs w:val="21"/>
                <w:highlight w:val="none"/>
                <w:u w:val="none"/>
              </w:rPr>
              <w:t>，提出管控要求。</w:t>
            </w:r>
          </w:p>
          <w:p>
            <w:pPr>
              <w:adjustRightInd w:val="0"/>
              <w:snapToGrid w:val="0"/>
              <w:rPr>
                <w:rFonts w:ascii="Times New Roman" w:hAnsi="Times New Roman" w:eastAsia="宋体" w:cs="Times New Roman"/>
                <w:b/>
                <w:szCs w:val="21"/>
                <w:highlight w:val="none"/>
                <w:u w:val="none"/>
              </w:rPr>
            </w:pPr>
            <w:r>
              <w:rPr>
                <w:rFonts w:ascii="Times New Roman" w:hAnsi="Times New Roman" w:eastAsia="宋体" w:cs="Times New Roman"/>
                <w:kern w:val="0"/>
                <w:szCs w:val="21"/>
                <w:highlight w:val="none"/>
                <w:u w:val="none"/>
              </w:rPr>
              <w:t>2</w:t>
            </w:r>
            <w:r>
              <w:rPr>
                <w:rFonts w:ascii="Times New Roman" w:hAnsi="宋体" w:eastAsia="宋体" w:cs="Times New Roman"/>
                <w:kern w:val="0"/>
                <w:szCs w:val="21"/>
                <w:highlight w:val="none"/>
                <w:u w:val="none"/>
              </w:rPr>
              <w:t>．依据《关于反馈广西壮族自治区</w:t>
            </w:r>
            <w:r>
              <w:rPr>
                <w:rFonts w:hint="eastAsia" w:ascii="Times New Roman" w:hAnsi="Times New Roman" w:eastAsia="宋体" w:cs="Times New Roman"/>
                <w:kern w:val="0"/>
                <w:szCs w:val="21"/>
                <w:highlight w:val="none"/>
                <w:u w:val="none"/>
                <w:lang w:eastAsia="zh-CN"/>
              </w:rPr>
              <w:t>“</w:t>
            </w:r>
            <w:r>
              <w:rPr>
                <w:rFonts w:ascii="Times New Roman" w:hAnsi="宋体" w:eastAsia="宋体" w:cs="Times New Roman"/>
                <w:kern w:val="0"/>
                <w:szCs w:val="21"/>
                <w:highlight w:val="none"/>
                <w:u w:val="none"/>
              </w:rPr>
              <w:t>三线一单</w:t>
            </w:r>
            <w:r>
              <w:rPr>
                <w:rFonts w:hint="eastAsia" w:ascii="Times New Roman" w:hAnsi="Times New Roman" w:eastAsia="宋体" w:cs="Times New Roman"/>
                <w:kern w:val="0"/>
                <w:szCs w:val="21"/>
                <w:highlight w:val="none"/>
                <w:u w:val="none"/>
                <w:lang w:eastAsia="zh-CN"/>
              </w:rPr>
              <w:t>”</w:t>
            </w:r>
            <w:r>
              <w:rPr>
                <w:rFonts w:ascii="Times New Roman" w:hAnsi="宋体" w:eastAsia="宋体" w:cs="Times New Roman"/>
                <w:kern w:val="0"/>
                <w:szCs w:val="21"/>
                <w:highlight w:val="none"/>
                <w:u w:val="none"/>
              </w:rPr>
              <w:t>生态环境管控单元和准入清单修改意见的函》（桂林函〔</w:t>
            </w:r>
            <w:r>
              <w:rPr>
                <w:rFonts w:ascii="Times New Roman" w:hAnsi="Times New Roman" w:eastAsia="宋体" w:cs="Times New Roman"/>
                <w:kern w:val="0"/>
                <w:szCs w:val="21"/>
                <w:highlight w:val="none"/>
                <w:u w:val="none"/>
              </w:rPr>
              <w:t>2021</w:t>
            </w:r>
            <w:r>
              <w:rPr>
                <w:rFonts w:ascii="Times New Roman" w:hAnsi="宋体" w:eastAsia="宋体" w:cs="Times New Roman"/>
                <w:kern w:val="0"/>
                <w:szCs w:val="21"/>
                <w:highlight w:val="none"/>
                <w:u w:val="none"/>
              </w:rPr>
              <w:t>〕</w:t>
            </w:r>
            <w:r>
              <w:rPr>
                <w:rFonts w:ascii="Times New Roman" w:hAnsi="Times New Roman" w:eastAsia="宋体" w:cs="Times New Roman"/>
                <w:kern w:val="0"/>
                <w:szCs w:val="21"/>
                <w:highlight w:val="none"/>
                <w:u w:val="none"/>
              </w:rPr>
              <w:t>471</w:t>
            </w:r>
            <w:r>
              <w:rPr>
                <w:rFonts w:ascii="Times New Roman" w:hAnsi="宋体" w:eastAsia="宋体" w:cs="Times New Roman"/>
                <w:kern w:val="0"/>
                <w:szCs w:val="21"/>
                <w:highlight w:val="none"/>
                <w:u w:val="none"/>
              </w:rPr>
              <w:t>号）修改关于水源涵养林保护的相关条款内容。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8"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969" w:type="dxa"/>
            <w:vMerge w:val="continue"/>
            <w:vAlign w:val="center"/>
          </w:tcPr>
          <w:p>
            <w:pPr>
              <w:adjustRightInd w:val="0"/>
              <w:snapToGrid w:val="0"/>
              <w:rPr>
                <w:rFonts w:ascii="Times New Roman" w:hAnsi="Times New Roman" w:eastAsia="宋体" w:cs="Times New Roman"/>
                <w:szCs w:val="21"/>
                <w:highlight w:val="none"/>
                <w:u w:val="none"/>
              </w:rPr>
            </w:pPr>
          </w:p>
        </w:tc>
        <w:tc>
          <w:tcPr>
            <w:tcW w:w="963" w:type="dxa"/>
            <w:vMerge w:val="continue"/>
            <w:vAlign w:val="center"/>
          </w:tcPr>
          <w:p>
            <w:pPr>
              <w:adjustRightInd w:val="0"/>
              <w:snapToGrid w:val="0"/>
              <w:rPr>
                <w:rFonts w:ascii="Times New Roman" w:hAnsi="Times New Roman" w:eastAsia="宋体" w:cs="Times New Roman"/>
                <w:szCs w:val="21"/>
                <w:highlight w:val="none"/>
                <w:u w:val="none"/>
              </w:rPr>
            </w:pPr>
          </w:p>
        </w:tc>
        <w:tc>
          <w:tcPr>
            <w:tcW w:w="2039" w:type="dxa"/>
            <w:vMerge w:val="continue"/>
            <w:vAlign w:val="center"/>
          </w:tcPr>
          <w:p>
            <w:pPr>
              <w:adjustRightInd w:val="0"/>
              <w:snapToGrid w:val="0"/>
              <w:rPr>
                <w:rFonts w:ascii="Times New Roman" w:hAnsi="Times New Roman" w:eastAsia="宋体" w:cs="Times New Roman"/>
                <w:szCs w:val="21"/>
                <w:highlight w:val="none"/>
                <w:u w:val="none"/>
              </w:rPr>
            </w:pP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．准保护区内：</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设置对水体污染严重的工业企业、集中式污水处理厂、规模化养殖场等的排污口；</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新建、扩建化工造纸、制革、印染、染料、炼焦、炼砷、炼油、电镀、农药等对水体污染严重的建设项目，</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改建增加排污量的建设项目；</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设置化工原料、矿物油类以及有毒有害矿产品及其废物的存放场所和转运站；</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向水体排放含重金属、油类、酸碱类等有毒有害废液或者含病原体的污水，</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在水体清洗装贮过油类或者有毒有害物品的运输工具、容器；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使用含磷洗涤剂、高毒农药，</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滥用化肥；</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严重影响水质的矿产资源勘查、开山采石、采矿、选冶和非疏浚性采砂；</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向水体倾倒工业固体废物、生活垃圾以及其他废物；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严重影响水质的船舶水上拆解、打捞或者其他水上水下施工作业；</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非更新、非低产低效林改造、非抚育采伐和其他破坏饮用水水源涵养林、护岸林的行为；</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网箱养殖以及规模化畜禽养殖；</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法律法规规定的其他可能污染饮用水水源的行为。</w:t>
            </w:r>
          </w:p>
        </w:tc>
        <w:tc>
          <w:tcPr>
            <w:tcW w:w="6847" w:type="dxa"/>
            <w:vAlign w:val="center"/>
          </w:tcPr>
          <w:p>
            <w:pPr>
              <w:pStyle w:val="15"/>
              <w:jc w:val="both"/>
              <w:rPr>
                <w:rFonts w:hint="default" w:ascii="Times New Roman" w:hAnsi="Times New Roman" w:eastAsia="宋体"/>
                <w:bCs/>
                <w:color w:val="auto"/>
                <w:sz w:val="21"/>
                <w:szCs w:val="21"/>
                <w:highlight w:val="none"/>
                <w:u w:val="none"/>
              </w:rPr>
            </w:pPr>
            <w:r>
              <w:rPr>
                <w:rFonts w:hint="default" w:ascii="Times New Roman" w:hAnsi="Times New Roman" w:eastAsia="宋体"/>
                <w:bCs/>
                <w:color w:val="auto"/>
                <w:sz w:val="21"/>
                <w:szCs w:val="21"/>
                <w:highlight w:val="none"/>
                <w:u w:val="none"/>
              </w:rPr>
              <w:t>1</w:t>
            </w:r>
            <w:r>
              <w:rPr>
                <w:rFonts w:hint="default" w:ascii="Times New Roman" w:hAnsi="宋体" w:eastAsia="宋体"/>
                <w:bCs/>
                <w:color w:val="auto"/>
                <w:sz w:val="21"/>
                <w:szCs w:val="21"/>
                <w:highlight w:val="none"/>
                <w:u w:val="none"/>
              </w:rPr>
              <w:t>．依据《中华人民共和国水污染防治法（</w:t>
            </w:r>
            <w:r>
              <w:rPr>
                <w:rFonts w:hint="default" w:ascii="Times New Roman" w:hAnsi="Times New Roman" w:eastAsia="宋体"/>
                <w:bCs/>
                <w:color w:val="auto"/>
                <w:sz w:val="21"/>
                <w:szCs w:val="21"/>
                <w:highlight w:val="none"/>
                <w:u w:val="none"/>
              </w:rPr>
              <w:t>2017</w:t>
            </w:r>
            <w:r>
              <w:rPr>
                <w:rFonts w:hint="default" w:ascii="Times New Roman" w:hAnsi="宋体" w:eastAsia="宋体"/>
                <w:bCs/>
                <w:color w:val="auto"/>
                <w:sz w:val="21"/>
                <w:szCs w:val="21"/>
                <w:highlight w:val="none"/>
                <w:u w:val="none"/>
              </w:rPr>
              <w:t>年修正本）》、《广西壮族自治区饮用水水源保护条例》、《饮用水水源保护区污染防治管理规定（</w:t>
            </w:r>
            <w:r>
              <w:rPr>
                <w:rFonts w:hint="default" w:ascii="Times New Roman" w:hAnsi="Times New Roman" w:eastAsia="宋体"/>
                <w:bCs/>
                <w:color w:val="auto"/>
                <w:sz w:val="21"/>
                <w:szCs w:val="21"/>
                <w:highlight w:val="none"/>
                <w:u w:val="none"/>
              </w:rPr>
              <w:t>2010</w:t>
            </w:r>
            <w:r>
              <w:rPr>
                <w:rFonts w:hint="default" w:ascii="Times New Roman" w:hAnsi="宋体" w:eastAsia="宋体"/>
                <w:bCs/>
                <w:color w:val="auto"/>
                <w:sz w:val="21"/>
                <w:szCs w:val="21"/>
                <w:highlight w:val="none"/>
                <w:u w:val="none"/>
              </w:rPr>
              <w:t>年修正本）》、《广西壮族自治区环境保护条例（</w:t>
            </w:r>
            <w:r>
              <w:rPr>
                <w:rFonts w:hint="default" w:ascii="Times New Roman" w:hAnsi="Times New Roman" w:eastAsia="宋体"/>
                <w:bCs/>
                <w:color w:val="auto"/>
                <w:sz w:val="21"/>
                <w:szCs w:val="21"/>
                <w:highlight w:val="none"/>
                <w:u w:val="none"/>
              </w:rPr>
              <w:t>2016</w:t>
            </w:r>
            <w:r>
              <w:rPr>
                <w:rFonts w:hint="default" w:ascii="Times New Roman" w:hAnsi="宋体" w:eastAsia="宋体"/>
                <w:bCs/>
                <w:color w:val="auto"/>
                <w:sz w:val="21"/>
                <w:szCs w:val="21"/>
                <w:highlight w:val="none"/>
                <w:u w:val="none"/>
              </w:rPr>
              <w:t>年修订）》、</w:t>
            </w:r>
            <w:r>
              <w:rPr>
                <w:rFonts w:hint="default" w:ascii="Times New Roman" w:hAnsi="宋体" w:eastAsia="宋体"/>
                <w:color w:val="auto"/>
                <w:sz w:val="21"/>
                <w:szCs w:val="21"/>
                <w:highlight w:val="none"/>
                <w:u w:val="none"/>
              </w:rPr>
              <w:t>《广西水污染防治行动计划工作方案》（桂环发〔</w:t>
            </w:r>
            <w:r>
              <w:rPr>
                <w:rFonts w:hint="default" w:ascii="Times New Roman" w:hAnsi="Times New Roman" w:eastAsia="宋体"/>
                <w:color w:val="auto"/>
                <w:sz w:val="21"/>
                <w:szCs w:val="21"/>
                <w:highlight w:val="none"/>
                <w:u w:val="none"/>
              </w:rPr>
              <w:t>2023</w:t>
            </w:r>
            <w:r>
              <w:rPr>
                <w:rFonts w:hint="default" w:ascii="Times New Roman" w:hAnsi="宋体" w:eastAsia="宋体"/>
                <w:color w:val="auto"/>
                <w:sz w:val="21"/>
                <w:szCs w:val="21"/>
                <w:highlight w:val="none"/>
                <w:u w:val="none"/>
              </w:rPr>
              <w:t>〕</w:t>
            </w:r>
            <w:r>
              <w:rPr>
                <w:rFonts w:hint="default" w:ascii="Times New Roman" w:hAnsi="Times New Roman" w:eastAsia="宋体"/>
                <w:color w:val="auto"/>
                <w:sz w:val="21"/>
                <w:szCs w:val="21"/>
                <w:highlight w:val="none"/>
                <w:u w:val="none"/>
              </w:rPr>
              <w:t>20</w:t>
            </w:r>
            <w:r>
              <w:rPr>
                <w:rFonts w:hint="default" w:ascii="Times New Roman" w:hAnsi="宋体" w:eastAsia="宋体"/>
                <w:color w:val="auto"/>
                <w:sz w:val="21"/>
                <w:szCs w:val="21"/>
                <w:highlight w:val="none"/>
                <w:u w:val="none"/>
              </w:rPr>
              <w:t>号）、《畜禽规模养殖污染防治条例》、《中华人民共和国固体废物污染环境防治法（</w:t>
            </w:r>
            <w:r>
              <w:rPr>
                <w:rFonts w:hint="default" w:ascii="Times New Roman" w:hAnsi="Times New Roman" w:eastAsia="宋体"/>
                <w:color w:val="auto"/>
                <w:sz w:val="21"/>
                <w:szCs w:val="21"/>
                <w:highlight w:val="none"/>
                <w:u w:val="none"/>
              </w:rPr>
              <w:t>2020</w:t>
            </w:r>
            <w:r>
              <w:rPr>
                <w:rFonts w:hint="default" w:ascii="Times New Roman" w:hAnsi="宋体" w:eastAsia="宋体"/>
                <w:color w:val="auto"/>
                <w:sz w:val="21"/>
                <w:szCs w:val="21"/>
                <w:highlight w:val="none"/>
                <w:u w:val="none"/>
              </w:rPr>
              <w:t>年修订）》</w:t>
            </w:r>
            <w:r>
              <w:rPr>
                <w:rFonts w:hint="default" w:ascii="Times New Roman" w:hAnsi="宋体" w:eastAsia="宋体"/>
                <w:bCs/>
                <w:color w:val="auto"/>
                <w:sz w:val="21"/>
                <w:szCs w:val="21"/>
                <w:highlight w:val="none"/>
                <w:u w:val="none"/>
              </w:rPr>
              <w:t>有关要求，提出管控要求。</w:t>
            </w:r>
          </w:p>
          <w:p>
            <w:pPr>
              <w:pStyle w:val="15"/>
              <w:jc w:val="both"/>
              <w:rPr>
                <w:rFonts w:hint="default" w:ascii="Times New Roman" w:hAnsi="Times New Roman" w:eastAsia="宋体"/>
                <w:bCs/>
                <w:color w:val="auto"/>
                <w:sz w:val="21"/>
                <w:szCs w:val="21"/>
                <w:highlight w:val="none"/>
                <w:u w:val="none"/>
              </w:rPr>
            </w:pPr>
            <w:r>
              <w:rPr>
                <w:rFonts w:hint="default" w:ascii="Times New Roman" w:hAnsi="Times New Roman" w:eastAsia="宋体"/>
                <w:bCs/>
                <w:color w:val="auto"/>
                <w:sz w:val="21"/>
                <w:szCs w:val="21"/>
                <w:highlight w:val="none"/>
                <w:u w:val="none"/>
              </w:rPr>
              <w:t>2</w:t>
            </w:r>
            <w:r>
              <w:rPr>
                <w:rFonts w:hint="default" w:ascii="Times New Roman" w:hAnsi="宋体" w:eastAsia="宋体"/>
                <w:bCs/>
                <w:color w:val="auto"/>
                <w:sz w:val="21"/>
                <w:szCs w:val="21"/>
                <w:highlight w:val="none"/>
                <w:u w:val="none"/>
              </w:rPr>
              <w:t>．依据《关于反馈广西壮族自治区</w:t>
            </w:r>
            <w:r>
              <w:rPr>
                <w:rFonts w:hint="eastAsia" w:ascii="Times New Roman" w:hAnsi="Times New Roman" w:eastAsia="宋体"/>
                <w:bCs/>
                <w:color w:val="auto"/>
                <w:sz w:val="21"/>
                <w:szCs w:val="21"/>
                <w:highlight w:val="none"/>
                <w:u w:val="none"/>
                <w:lang w:eastAsia="zh-CN"/>
              </w:rPr>
              <w:t>“</w:t>
            </w:r>
            <w:r>
              <w:rPr>
                <w:rFonts w:hint="default" w:ascii="Times New Roman" w:hAnsi="宋体" w:eastAsia="宋体"/>
                <w:bCs/>
                <w:color w:val="auto"/>
                <w:sz w:val="21"/>
                <w:szCs w:val="21"/>
                <w:highlight w:val="none"/>
                <w:u w:val="none"/>
              </w:rPr>
              <w:t>三线一单</w:t>
            </w:r>
            <w:r>
              <w:rPr>
                <w:rFonts w:hint="eastAsia" w:ascii="Times New Roman" w:hAnsi="Times New Roman" w:eastAsia="宋体"/>
                <w:bCs/>
                <w:color w:val="auto"/>
                <w:sz w:val="21"/>
                <w:szCs w:val="21"/>
                <w:highlight w:val="none"/>
                <w:u w:val="none"/>
                <w:lang w:eastAsia="zh-CN"/>
              </w:rPr>
              <w:t>”</w:t>
            </w:r>
            <w:r>
              <w:rPr>
                <w:rFonts w:hint="default" w:ascii="Times New Roman" w:hAnsi="宋体" w:eastAsia="宋体"/>
                <w:bCs/>
                <w:color w:val="auto"/>
                <w:sz w:val="21"/>
                <w:szCs w:val="21"/>
                <w:highlight w:val="none"/>
                <w:u w:val="none"/>
              </w:rPr>
              <w:t>生态环境管控单元和准入清单修改意见的函》（桂林函〔</w:t>
            </w:r>
            <w:r>
              <w:rPr>
                <w:rFonts w:hint="default" w:ascii="Times New Roman" w:hAnsi="Times New Roman" w:eastAsia="宋体"/>
                <w:bCs/>
                <w:color w:val="auto"/>
                <w:sz w:val="21"/>
                <w:szCs w:val="21"/>
                <w:highlight w:val="none"/>
                <w:u w:val="none"/>
              </w:rPr>
              <w:t>2021</w:t>
            </w:r>
            <w:r>
              <w:rPr>
                <w:rFonts w:hint="default" w:ascii="Times New Roman" w:hAnsi="宋体" w:eastAsia="宋体"/>
                <w:bCs/>
                <w:color w:val="auto"/>
                <w:sz w:val="21"/>
                <w:szCs w:val="21"/>
                <w:highlight w:val="none"/>
                <w:u w:val="none"/>
              </w:rPr>
              <w:t>〕</w:t>
            </w:r>
            <w:r>
              <w:rPr>
                <w:rFonts w:hint="default" w:ascii="Times New Roman" w:hAnsi="Times New Roman" w:eastAsia="宋体"/>
                <w:bCs/>
                <w:color w:val="auto"/>
                <w:sz w:val="21"/>
                <w:szCs w:val="21"/>
                <w:highlight w:val="none"/>
                <w:u w:val="none"/>
              </w:rPr>
              <w:t>471</w:t>
            </w:r>
            <w:r>
              <w:rPr>
                <w:rFonts w:hint="default" w:ascii="Times New Roman" w:hAnsi="宋体" w:eastAsia="宋体"/>
                <w:bCs/>
                <w:color w:val="auto"/>
                <w:sz w:val="21"/>
                <w:szCs w:val="21"/>
                <w:highlight w:val="none"/>
                <w:u w:val="none"/>
              </w:rPr>
              <w:t>号）修改关于水源林保护的相关条款内容。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6"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969" w:type="dxa"/>
            <w:vMerge w:val="continue"/>
            <w:vAlign w:val="center"/>
          </w:tcPr>
          <w:p>
            <w:pPr>
              <w:adjustRightInd w:val="0"/>
              <w:snapToGrid w:val="0"/>
              <w:rPr>
                <w:rFonts w:ascii="Times New Roman" w:hAnsi="Times New Roman" w:eastAsia="宋体" w:cs="Times New Roman"/>
                <w:szCs w:val="21"/>
                <w:highlight w:val="none"/>
                <w:u w:val="none"/>
              </w:rPr>
            </w:pPr>
          </w:p>
        </w:tc>
        <w:tc>
          <w:tcPr>
            <w:tcW w:w="963" w:type="dxa"/>
            <w:vMerge w:val="continue"/>
            <w:vAlign w:val="center"/>
          </w:tcPr>
          <w:p>
            <w:pPr>
              <w:adjustRightInd w:val="0"/>
              <w:snapToGrid w:val="0"/>
              <w:rPr>
                <w:rFonts w:ascii="Times New Roman" w:hAnsi="Times New Roman" w:eastAsia="宋体" w:cs="Times New Roman"/>
                <w:szCs w:val="21"/>
                <w:highlight w:val="none"/>
                <w:u w:val="none"/>
              </w:rPr>
            </w:pPr>
          </w:p>
        </w:tc>
        <w:tc>
          <w:tcPr>
            <w:tcW w:w="2039" w:type="dxa"/>
            <w:vMerge w:val="continue"/>
            <w:vAlign w:val="center"/>
          </w:tcPr>
          <w:p>
            <w:pPr>
              <w:adjustRightInd w:val="0"/>
              <w:snapToGrid w:val="0"/>
              <w:rPr>
                <w:rFonts w:ascii="Times New Roman" w:hAnsi="Times New Roman" w:eastAsia="宋体" w:cs="Times New Roman"/>
                <w:szCs w:val="21"/>
                <w:highlight w:val="none"/>
                <w:u w:val="none"/>
              </w:rPr>
            </w:pPr>
          </w:p>
        </w:tc>
        <w:tc>
          <w:tcPr>
            <w:tcW w:w="9400" w:type="dxa"/>
            <w:vAlign w:val="center"/>
          </w:tcPr>
          <w:p>
            <w:pPr>
              <w:adjustRightInd w:val="0"/>
              <w:snapToGrid w:val="0"/>
              <w:rPr>
                <w:rFonts w:ascii="Times New Roman" w:hAnsi="Times New Roman" w:eastAsia="宋体" w:cs="Times New Roman"/>
                <w:b/>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．现有项目退出要求：</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1</w:t>
            </w:r>
            <w:r>
              <w:rPr>
                <w:rFonts w:ascii="Times New Roman" w:hAnsi="宋体" w:eastAsia="宋体" w:cs="Times New Roman"/>
                <w:bCs/>
                <w:szCs w:val="21"/>
                <w:highlight w:val="none"/>
                <w:u w:val="none"/>
              </w:rPr>
              <w:t>）现有排污口：饮</w:t>
            </w:r>
            <w:r>
              <w:rPr>
                <w:rFonts w:ascii="Times New Roman" w:hAnsi="宋体" w:eastAsia="宋体" w:cs="Times New Roman"/>
                <w:szCs w:val="21"/>
                <w:highlight w:val="none"/>
                <w:u w:val="none"/>
              </w:rPr>
              <w:t>用水水源保护区内的排污口应拆除或关闭。对雨污分流彻底的城市雨水排口、排涝口，在饮用水水源保护区内的可暂不拆除或关闭，同时加强监测监管，在非降雨季节保持干燥清洁；在降雨时，确保排水水质符合饮用水水源地水质保护要求，否则，应限期整改，逾期整改仍不符合要求的，限期拆除或关闭原排口。</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2</w:t>
            </w:r>
            <w:r>
              <w:rPr>
                <w:rFonts w:ascii="Times New Roman" w:hAnsi="宋体" w:eastAsia="宋体" w:cs="Times New Roman"/>
                <w:bCs/>
                <w:szCs w:val="21"/>
                <w:highlight w:val="none"/>
                <w:u w:val="none"/>
              </w:rPr>
              <w:t>）现有工业企业：</w:t>
            </w:r>
            <w:r>
              <w:rPr>
                <w:rFonts w:ascii="Times New Roman" w:hAnsi="宋体" w:eastAsia="宋体" w:cs="Times New Roman"/>
                <w:szCs w:val="21"/>
                <w:highlight w:val="none"/>
                <w:u w:val="none"/>
              </w:rPr>
              <w:t>饮用水水源保护区内排放污染物的工业企业应拆除或关闭。</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3</w:t>
            </w:r>
            <w:r>
              <w:rPr>
                <w:rFonts w:ascii="Times New Roman" w:hAnsi="宋体" w:eastAsia="宋体" w:cs="Times New Roman"/>
                <w:bCs/>
                <w:szCs w:val="21"/>
                <w:highlight w:val="none"/>
                <w:u w:val="none"/>
              </w:rPr>
              <w:t>）现有码头：</w:t>
            </w:r>
            <w:r>
              <w:rPr>
                <w:rFonts w:ascii="Times New Roman" w:hAnsi="宋体" w:eastAsia="宋体" w:cs="Times New Roman"/>
                <w:szCs w:val="21"/>
                <w:highlight w:val="none"/>
                <w:u w:val="none"/>
              </w:rPr>
              <w:t>饮用水水源保护区内凡从事危险化学品、煤炭、矿砂、水泥等装卸作业的货运码头应拆除或关闭。饮用水水源一级保护区内旅游码头和航运、海事等管理部门工作码头应拆除或关闭。二级保护区内旅游码头和航运、海事等管理部门工作码头的污水、垃圾应统一收集至保护区外处理排放。自来水厂取水趸船（码头）、水文趸船作为供水设施和保护水源有关的建设项目，可以在饮用水水源保护区内存在。</w:t>
            </w:r>
          </w:p>
          <w:p>
            <w:pPr>
              <w:pStyle w:val="21"/>
              <w:rPr>
                <w:rFonts w:eastAsia="宋体"/>
                <w:bCs/>
                <w:highlight w:val="none"/>
                <w:u w:val="none"/>
              </w:rPr>
            </w:pPr>
            <w:r>
              <w:rPr>
                <w:rFonts w:hAnsi="宋体" w:eastAsia="宋体"/>
                <w:bCs/>
                <w:highlight w:val="none"/>
                <w:u w:val="none"/>
              </w:rPr>
              <w:t>（</w:t>
            </w:r>
            <w:r>
              <w:rPr>
                <w:rFonts w:eastAsia="宋体"/>
                <w:bCs/>
                <w:highlight w:val="none"/>
                <w:u w:val="none"/>
              </w:rPr>
              <w:t>4</w:t>
            </w:r>
            <w:r>
              <w:rPr>
                <w:rFonts w:hAnsi="宋体" w:eastAsia="宋体"/>
                <w:bCs/>
                <w:highlight w:val="none"/>
                <w:u w:val="none"/>
              </w:rPr>
              <w:t>）现有旅游餐饮项目：饮用水水源</w:t>
            </w:r>
            <w:r>
              <w:rPr>
                <w:rFonts w:hAnsi="宋体" w:eastAsia="宋体"/>
                <w:highlight w:val="none"/>
                <w:u w:val="none"/>
              </w:rPr>
              <w:t>保护区</w:t>
            </w:r>
            <w:r>
              <w:rPr>
                <w:rFonts w:hAnsi="宋体" w:eastAsia="宋体"/>
                <w:bCs/>
                <w:highlight w:val="none"/>
                <w:u w:val="none"/>
              </w:rPr>
              <w:t>内农家乐、宾馆酒店、餐饮娱乐等项目应拆除或关闭。</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5</w:t>
            </w:r>
            <w:r>
              <w:rPr>
                <w:rFonts w:ascii="Times New Roman" w:hAnsi="宋体" w:eastAsia="宋体" w:cs="Times New Roman"/>
                <w:bCs/>
                <w:szCs w:val="21"/>
                <w:highlight w:val="none"/>
                <w:u w:val="none"/>
              </w:rPr>
              <w:t>）现有加油站、加气站：</w:t>
            </w:r>
            <w:r>
              <w:rPr>
                <w:rFonts w:ascii="Times New Roman" w:hAnsi="宋体" w:eastAsia="宋体" w:cs="Times New Roman"/>
                <w:szCs w:val="21"/>
                <w:highlight w:val="none"/>
                <w:u w:val="none"/>
              </w:rPr>
              <w:t>饮用水水源一级保护区内加油站和加气站应拆除或关闭；二级保护区内加油站应完成双层罐体改造。</w:t>
            </w:r>
          </w:p>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6</w:t>
            </w:r>
            <w:r>
              <w:rPr>
                <w:rFonts w:ascii="Times New Roman" w:hAnsi="宋体" w:eastAsia="宋体" w:cs="Times New Roman"/>
                <w:bCs/>
                <w:szCs w:val="21"/>
                <w:highlight w:val="none"/>
                <w:u w:val="none"/>
              </w:rPr>
              <w:t>）现有农业面源污染：饮用水水源一级保护区内农业种植应严格控制农药、化肥等非点源污染，并逐步退出</w:t>
            </w:r>
            <w:r>
              <w:rPr>
                <w:rFonts w:ascii="Times New Roman" w:hAnsi="宋体" w:eastAsia="宋体" w:cs="Times New Roman"/>
                <w:szCs w:val="21"/>
                <w:highlight w:val="none"/>
                <w:u w:val="none"/>
              </w:rPr>
              <w:t>；饮用水水源二级保护区内农业种植和经济林应实行科学种植和非点源污染防治。饮用水水源一级保护区内所有经营性的畜禽养殖活动应取缔，养殖设施应拆除。二级保护区内排放污染物的规模化畜禽养殖场应拆除或关闭；分散式畜禽养殖圈舍应做到养殖废物全部资源化利用，且尽量远离取水口，</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向水体直接倾倒畜禽粪便和排放养殖污水。饮用水水源二级保护区内网箱养殖、坑塘养殖、水面围网养殖等活动，未采取有效措施防止污染水体的应取缔。</w:t>
            </w:r>
          </w:p>
          <w:p>
            <w:pPr>
              <w:pStyle w:val="15"/>
              <w:jc w:val="both"/>
              <w:rPr>
                <w:rFonts w:hint="default" w:ascii="Times New Roman" w:hAnsi="Times New Roman" w:eastAsia="宋体"/>
                <w:bCs/>
                <w:color w:val="auto"/>
                <w:sz w:val="21"/>
                <w:szCs w:val="21"/>
                <w:highlight w:val="none"/>
                <w:u w:val="none"/>
              </w:rPr>
            </w:pPr>
            <w:r>
              <w:rPr>
                <w:rFonts w:hint="default" w:ascii="Times New Roman" w:hAnsi="宋体" w:eastAsia="宋体"/>
                <w:bCs/>
                <w:color w:val="auto"/>
                <w:sz w:val="21"/>
                <w:szCs w:val="21"/>
                <w:highlight w:val="none"/>
                <w:u w:val="none"/>
              </w:rPr>
              <w:t>（</w:t>
            </w:r>
            <w:r>
              <w:rPr>
                <w:rFonts w:hint="default" w:ascii="Times New Roman" w:hAnsi="Times New Roman" w:eastAsia="宋体"/>
                <w:bCs/>
                <w:color w:val="auto"/>
                <w:sz w:val="21"/>
                <w:szCs w:val="21"/>
                <w:highlight w:val="none"/>
                <w:u w:val="none"/>
              </w:rPr>
              <w:t>7</w:t>
            </w:r>
            <w:r>
              <w:rPr>
                <w:rFonts w:hint="default" w:ascii="Times New Roman" w:hAnsi="宋体" w:eastAsia="宋体"/>
                <w:bCs/>
                <w:color w:val="auto"/>
                <w:sz w:val="21"/>
                <w:szCs w:val="21"/>
                <w:highlight w:val="none"/>
                <w:u w:val="none"/>
              </w:rPr>
              <w:t>）现有生活面源污染：</w:t>
            </w:r>
            <w:r>
              <w:rPr>
                <w:rFonts w:hint="default" w:ascii="Times New Roman" w:hAnsi="宋体" w:eastAsia="宋体"/>
                <w:color w:val="auto"/>
                <w:sz w:val="21"/>
                <w:szCs w:val="21"/>
                <w:highlight w:val="none"/>
                <w:u w:val="none"/>
              </w:rPr>
              <w:t>原住居民住宅允许在饮用水水源保护区内保留，其生产的生活污水和垃圾必须收集处理；仅针对原住居民的非经营性新农村建设、安居工程建设项目，可以在饮用水水源二级保护区内保留，但产生的生活污水和垃圾必须进行收集处理。在上述情形配套建设的污染治理设施可以在饮用水水源保护区内保留，但处理后的污水原则上引到保护区外排放；不具备外引条件的，可通过农田灌溉、植树、造林等方式回用，或排入湿地进行二次处理。</w:t>
            </w:r>
          </w:p>
        </w:tc>
        <w:tc>
          <w:tcPr>
            <w:tcW w:w="6847" w:type="dxa"/>
            <w:vAlign w:val="center"/>
          </w:tcPr>
          <w:p>
            <w:pPr>
              <w:pStyle w:val="15"/>
              <w:jc w:val="both"/>
              <w:rPr>
                <w:rFonts w:hint="default" w:ascii="Times New Roman" w:hAnsi="Times New Roman" w:eastAsia="宋体"/>
                <w:bCs/>
                <w:color w:val="auto"/>
                <w:sz w:val="21"/>
                <w:szCs w:val="21"/>
                <w:highlight w:val="none"/>
                <w:u w:val="none"/>
              </w:rPr>
            </w:pPr>
            <w:r>
              <w:rPr>
                <w:rFonts w:hint="default" w:ascii="Times New Roman" w:hAnsi="宋体" w:eastAsia="宋体"/>
                <w:color w:val="auto"/>
                <w:sz w:val="21"/>
                <w:szCs w:val="21"/>
                <w:highlight w:val="none"/>
                <w:u w:val="none"/>
              </w:rPr>
              <w:t>依据《关于答复全国集中式饮用水水源地环境保护专项行动有关问题的函》（环办环监函〔</w:t>
            </w:r>
            <w:r>
              <w:rPr>
                <w:rFonts w:hint="default" w:ascii="Times New Roman" w:hAnsi="Times New Roman" w:eastAsia="宋体"/>
                <w:color w:val="auto"/>
                <w:sz w:val="21"/>
                <w:szCs w:val="21"/>
                <w:highlight w:val="none"/>
                <w:u w:val="none"/>
              </w:rPr>
              <w:t>2018</w:t>
            </w:r>
            <w:r>
              <w:rPr>
                <w:rFonts w:hint="default" w:ascii="Times New Roman" w:hAnsi="宋体" w:eastAsia="宋体"/>
                <w:color w:val="auto"/>
                <w:sz w:val="21"/>
                <w:szCs w:val="21"/>
                <w:highlight w:val="none"/>
                <w:u w:val="none"/>
              </w:rPr>
              <w:t>〕</w:t>
            </w:r>
            <w:r>
              <w:rPr>
                <w:rFonts w:hint="default" w:ascii="Times New Roman" w:hAnsi="Times New Roman" w:eastAsia="宋体"/>
                <w:color w:val="auto"/>
                <w:sz w:val="21"/>
                <w:szCs w:val="21"/>
                <w:highlight w:val="none"/>
                <w:u w:val="none"/>
              </w:rPr>
              <w:t>767</w:t>
            </w:r>
            <w:r>
              <w:rPr>
                <w:rFonts w:hint="default" w:ascii="Times New Roman" w:hAnsi="宋体" w:eastAsia="宋体"/>
                <w:color w:val="auto"/>
                <w:sz w:val="21"/>
                <w:szCs w:val="21"/>
                <w:highlight w:val="none"/>
                <w:u w:val="none"/>
              </w:rPr>
              <w:t>号）有关要求，提出管控要求。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8"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969" w:type="dxa"/>
            <w:vMerge w:val="restart"/>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饮用水水源保护区</w:t>
            </w:r>
          </w:p>
        </w:tc>
        <w:tc>
          <w:tcPr>
            <w:tcW w:w="963" w:type="dxa"/>
            <w:vMerge w:val="restart"/>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饮用水</w:t>
            </w:r>
          </w:p>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地下水源</w:t>
            </w:r>
          </w:p>
        </w:tc>
        <w:tc>
          <w:tcPr>
            <w:tcW w:w="2039" w:type="dxa"/>
            <w:vMerge w:val="restart"/>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b/>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．一级保护区内：</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bCs/>
                <w:szCs w:val="21"/>
                <w:highlight w:val="none"/>
                <w:u w:val="none"/>
              </w:rPr>
              <w:t>建设与取水设施无关的建筑物或者构筑物；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从事农牧业活动；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建设油库；</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铺设输送污水、油类、有毒有害物品的管道；</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修建墓地、丢弃以及掩埋动物尸体等含病原体的其他废物；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利用渗井、渗坑、裂隙或者溶洞排放、倾倒含有毒污染物的废水、含病原体的污水或者其他废物；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利用无防渗漏措施的沟渠、坑塘等输送或者存贮含有毒污染物的废水、含病原体的污水和其他废物；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利用透水层孔隙、裂隙、溶洞和废弃矿坑储存油类、放射性物质、有毒有害化学物品、农药等；</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设置化工原料、矿物油类以及有毒有害矿产品的贮存场所或者生活垃圾、工业固体废物以及危险废物的堆放场所和转运站；</w:t>
            </w:r>
          </w:p>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倾倒工业废渣及城市垃圾、粪便和其他有害废弃物；</w:t>
            </w:r>
          </w:p>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可能严重影响水质的矿产资源勘查、开采、选冶等活动。</w:t>
            </w:r>
          </w:p>
        </w:tc>
        <w:tc>
          <w:tcPr>
            <w:tcW w:w="6847" w:type="dxa"/>
            <w:vAlign w:val="center"/>
          </w:tcPr>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bCs/>
                <w:szCs w:val="21"/>
                <w:highlight w:val="none"/>
                <w:u w:val="none"/>
              </w:rPr>
              <w:t>依据《中华人民共和国水污染防治法（</w:t>
            </w:r>
            <w:r>
              <w:rPr>
                <w:rFonts w:ascii="Times New Roman" w:hAnsi="Times New Roman" w:eastAsia="宋体" w:cs="Times New Roman"/>
                <w:bCs/>
                <w:szCs w:val="21"/>
                <w:highlight w:val="none"/>
                <w:u w:val="none"/>
              </w:rPr>
              <w:t>2017</w:t>
            </w:r>
            <w:r>
              <w:rPr>
                <w:rFonts w:ascii="Times New Roman" w:hAnsi="宋体" w:eastAsia="宋体" w:cs="Times New Roman"/>
                <w:bCs/>
                <w:szCs w:val="21"/>
                <w:highlight w:val="none"/>
                <w:u w:val="none"/>
              </w:rPr>
              <w:t>年修正本）》、《广西壮族自治区饮用水水源保护条例》、《饮用水水源保护区污染防治管理规定（</w:t>
            </w:r>
            <w:r>
              <w:rPr>
                <w:rFonts w:ascii="Times New Roman" w:hAnsi="Times New Roman" w:eastAsia="宋体" w:cs="Times New Roman"/>
                <w:bCs/>
                <w:szCs w:val="21"/>
                <w:highlight w:val="none"/>
                <w:u w:val="none"/>
              </w:rPr>
              <w:t>2010</w:t>
            </w:r>
            <w:r>
              <w:rPr>
                <w:rFonts w:ascii="Times New Roman" w:hAnsi="宋体" w:eastAsia="宋体" w:cs="Times New Roman"/>
                <w:bCs/>
                <w:szCs w:val="21"/>
                <w:highlight w:val="none"/>
                <w:u w:val="none"/>
              </w:rPr>
              <w:t>年修正本）》、《广西壮族自治区环境保护条例（</w:t>
            </w:r>
            <w:r>
              <w:rPr>
                <w:rFonts w:ascii="Times New Roman" w:hAnsi="Times New Roman" w:eastAsia="宋体" w:cs="Times New Roman"/>
                <w:bCs/>
                <w:szCs w:val="21"/>
                <w:highlight w:val="none"/>
                <w:u w:val="none"/>
              </w:rPr>
              <w:t>2016</w:t>
            </w:r>
            <w:r>
              <w:rPr>
                <w:rFonts w:ascii="Times New Roman" w:hAnsi="宋体" w:eastAsia="宋体" w:cs="Times New Roman"/>
                <w:bCs/>
                <w:szCs w:val="21"/>
                <w:highlight w:val="none"/>
                <w:u w:val="none"/>
              </w:rPr>
              <w:t>年修订）》、</w:t>
            </w:r>
            <w:r>
              <w:rPr>
                <w:rFonts w:ascii="Times New Roman" w:hAnsi="宋体" w:eastAsia="宋体" w:cs="Times New Roman"/>
                <w:szCs w:val="21"/>
                <w:highlight w:val="none"/>
                <w:u w:val="none"/>
              </w:rPr>
              <w:t>《广西水污染防治行动计划工作方案》（桂政办发〔</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131</w:t>
            </w:r>
            <w:r>
              <w:rPr>
                <w:rFonts w:ascii="Times New Roman" w:hAnsi="宋体" w:eastAsia="宋体" w:cs="Times New Roman"/>
                <w:szCs w:val="21"/>
                <w:highlight w:val="none"/>
                <w:u w:val="none"/>
              </w:rPr>
              <w:t>号）、</w:t>
            </w:r>
            <w:r>
              <w:rPr>
                <w:rFonts w:ascii="Times New Roman" w:hAnsi="宋体" w:eastAsia="宋体" w:cs="Times New Roman"/>
                <w:bCs/>
                <w:szCs w:val="21"/>
                <w:highlight w:val="none"/>
                <w:u w:val="none"/>
              </w:rPr>
              <w:t>《畜禽规模养殖污染防治条例》、</w:t>
            </w:r>
            <w:r>
              <w:rPr>
                <w:rFonts w:ascii="Times New Roman" w:hAnsi="宋体" w:eastAsia="宋体" w:cs="Times New Roman"/>
                <w:szCs w:val="21"/>
                <w:highlight w:val="none"/>
                <w:u w:val="none"/>
              </w:rPr>
              <w:t>《中华人民共和国固体废物污染环境防治法（</w:t>
            </w:r>
            <w:r>
              <w:rPr>
                <w:rFonts w:ascii="Times New Roman" w:hAnsi="Times New Roman" w:eastAsia="宋体" w:cs="Times New Roman"/>
                <w:szCs w:val="21"/>
                <w:highlight w:val="none"/>
                <w:u w:val="none"/>
              </w:rPr>
              <w:t>2020</w:t>
            </w:r>
            <w:r>
              <w:rPr>
                <w:rFonts w:ascii="Times New Roman" w:hAnsi="宋体" w:eastAsia="宋体" w:cs="Times New Roman"/>
                <w:szCs w:val="21"/>
                <w:highlight w:val="none"/>
                <w:u w:val="none"/>
              </w:rPr>
              <w:t>年修订）》</w:t>
            </w:r>
            <w:r>
              <w:rPr>
                <w:rFonts w:ascii="Times New Roman" w:hAnsi="宋体" w:eastAsia="宋体" w:cs="Times New Roman"/>
                <w:bCs/>
                <w:szCs w:val="21"/>
                <w:highlight w:val="none"/>
                <w:u w:val="none"/>
              </w:rPr>
              <w:t>有关要求，提出管控要求。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5"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969" w:type="dxa"/>
            <w:vMerge w:val="continue"/>
            <w:vAlign w:val="center"/>
          </w:tcPr>
          <w:p>
            <w:pPr>
              <w:adjustRightInd w:val="0"/>
              <w:snapToGrid w:val="0"/>
              <w:rPr>
                <w:rFonts w:ascii="Times New Roman" w:hAnsi="Times New Roman" w:eastAsia="宋体" w:cs="Times New Roman"/>
                <w:szCs w:val="21"/>
                <w:highlight w:val="none"/>
                <w:u w:val="none"/>
              </w:rPr>
            </w:pPr>
          </w:p>
        </w:tc>
        <w:tc>
          <w:tcPr>
            <w:tcW w:w="963" w:type="dxa"/>
            <w:vMerge w:val="continue"/>
            <w:vAlign w:val="center"/>
          </w:tcPr>
          <w:p>
            <w:pPr>
              <w:adjustRightInd w:val="0"/>
              <w:snapToGrid w:val="0"/>
              <w:rPr>
                <w:rFonts w:ascii="Times New Roman" w:hAnsi="Times New Roman" w:eastAsia="宋体" w:cs="Times New Roman"/>
                <w:szCs w:val="21"/>
                <w:highlight w:val="none"/>
                <w:u w:val="none"/>
              </w:rPr>
            </w:pPr>
          </w:p>
        </w:tc>
        <w:tc>
          <w:tcPr>
            <w:tcW w:w="2039" w:type="dxa"/>
            <w:vMerge w:val="continue"/>
            <w:vAlign w:val="center"/>
          </w:tcPr>
          <w:p>
            <w:pPr>
              <w:adjustRightInd w:val="0"/>
              <w:snapToGrid w:val="0"/>
              <w:rPr>
                <w:rFonts w:ascii="Times New Roman" w:hAnsi="Times New Roman" w:eastAsia="宋体" w:cs="Times New Roman"/>
                <w:szCs w:val="21"/>
                <w:highlight w:val="none"/>
                <w:u w:val="none"/>
              </w:rPr>
            </w:pP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．二级保护区内：</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新建、改建、扩建排放污染物的建设项目；</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铺设输送污水、油类、有毒有害物品的管道；</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修建墓地、丢弃以及掩埋动物尸体等含病原体的其他废物；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利用渗井、渗坑、裂隙或者溶洞排放、倾倒含有毒污染物的废水、含病原体的污水或者其他废物；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利用无防渗漏措施的沟渠、坑塘等输送或者存贮含有毒污染物的废水、含病原体的污水和其他废物；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利用透水层孔隙、裂隙、溶洞和废弃矿坑储存油类、放射性物质、有毒有害化学物品、农药等；</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设置化工原料、矿物油类以及有毒有害矿产品的贮存场所或者生活垃圾、工业固体废物以及危险废物的堆放场所和转运站；</w:t>
            </w:r>
          </w:p>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可能严重影响水质的矿产资源勘查、开采、选冶等活动。</w:t>
            </w:r>
          </w:p>
        </w:tc>
        <w:tc>
          <w:tcPr>
            <w:tcW w:w="6847" w:type="dxa"/>
            <w:vAlign w:val="center"/>
          </w:tcPr>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bCs/>
                <w:szCs w:val="21"/>
                <w:highlight w:val="none"/>
                <w:u w:val="none"/>
              </w:rPr>
              <w:t>依据《中华人民共和国水污染防治法（</w:t>
            </w:r>
            <w:r>
              <w:rPr>
                <w:rFonts w:ascii="Times New Roman" w:hAnsi="Times New Roman" w:eastAsia="宋体" w:cs="Times New Roman"/>
                <w:bCs/>
                <w:szCs w:val="21"/>
                <w:highlight w:val="none"/>
                <w:u w:val="none"/>
              </w:rPr>
              <w:t>2017</w:t>
            </w:r>
            <w:r>
              <w:rPr>
                <w:rFonts w:ascii="Times New Roman" w:hAnsi="宋体" w:eastAsia="宋体" w:cs="Times New Roman"/>
                <w:bCs/>
                <w:szCs w:val="21"/>
                <w:highlight w:val="none"/>
                <w:u w:val="none"/>
              </w:rPr>
              <w:t>年修正本）》、《广西壮族自治区饮用水水源保护条例》、《饮用水水源保护区污染防治管理规定（</w:t>
            </w:r>
            <w:r>
              <w:rPr>
                <w:rFonts w:ascii="Times New Roman" w:hAnsi="Times New Roman" w:eastAsia="宋体" w:cs="Times New Roman"/>
                <w:bCs/>
                <w:szCs w:val="21"/>
                <w:highlight w:val="none"/>
                <w:u w:val="none"/>
              </w:rPr>
              <w:t>2010</w:t>
            </w:r>
            <w:r>
              <w:rPr>
                <w:rFonts w:ascii="Times New Roman" w:hAnsi="宋体" w:eastAsia="宋体" w:cs="Times New Roman"/>
                <w:bCs/>
                <w:szCs w:val="21"/>
                <w:highlight w:val="none"/>
                <w:u w:val="none"/>
              </w:rPr>
              <w:t>年修正本）》、《广西壮族自治区环境保护条例（</w:t>
            </w:r>
            <w:r>
              <w:rPr>
                <w:rFonts w:ascii="Times New Roman" w:hAnsi="Times New Roman" w:eastAsia="宋体" w:cs="Times New Roman"/>
                <w:bCs/>
                <w:szCs w:val="21"/>
                <w:highlight w:val="none"/>
                <w:u w:val="none"/>
              </w:rPr>
              <w:t>2016</w:t>
            </w:r>
            <w:r>
              <w:rPr>
                <w:rFonts w:ascii="Times New Roman" w:hAnsi="宋体" w:eastAsia="宋体" w:cs="Times New Roman"/>
                <w:bCs/>
                <w:szCs w:val="21"/>
                <w:highlight w:val="none"/>
                <w:u w:val="none"/>
              </w:rPr>
              <w:t>年修订）》、</w:t>
            </w:r>
            <w:r>
              <w:rPr>
                <w:rFonts w:ascii="Times New Roman" w:hAnsi="宋体" w:eastAsia="宋体" w:cs="Times New Roman"/>
                <w:szCs w:val="21"/>
                <w:highlight w:val="none"/>
                <w:u w:val="none"/>
              </w:rPr>
              <w:t>《广西水污染防治行动计划工作方案》（桂政办发〔</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131</w:t>
            </w:r>
            <w:r>
              <w:rPr>
                <w:rFonts w:ascii="Times New Roman" w:hAnsi="宋体" w:eastAsia="宋体" w:cs="Times New Roman"/>
                <w:szCs w:val="21"/>
                <w:highlight w:val="none"/>
                <w:u w:val="none"/>
              </w:rPr>
              <w:t>号）、</w:t>
            </w:r>
            <w:r>
              <w:rPr>
                <w:rFonts w:ascii="Times New Roman" w:hAnsi="宋体" w:eastAsia="宋体" w:cs="Times New Roman"/>
                <w:bCs/>
                <w:szCs w:val="21"/>
                <w:highlight w:val="none"/>
                <w:u w:val="none"/>
              </w:rPr>
              <w:t>《畜禽规模养殖污染防治条例》、</w:t>
            </w:r>
            <w:r>
              <w:rPr>
                <w:rFonts w:ascii="Times New Roman" w:hAnsi="宋体" w:eastAsia="宋体" w:cs="Times New Roman"/>
                <w:szCs w:val="21"/>
                <w:highlight w:val="none"/>
                <w:u w:val="none"/>
              </w:rPr>
              <w:t>《中华人民共和国固体废物污染环境防治法（</w:t>
            </w:r>
            <w:r>
              <w:rPr>
                <w:rFonts w:ascii="Times New Roman" w:hAnsi="Times New Roman" w:eastAsia="宋体" w:cs="Times New Roman"/>
                <w:szCs w:val="21"/>
                <w:highlight w:val="none"/>
                <w:u w:val="none"/>
              </w:rPr>
              <w:t>2020</w:t>
            </w:r>
            <w:r>
              <w:rPr>
                <w:rFonts w:ascii="Times New Roman" w:hAnsi="宋体" w:eastAsia="宋体" w:cs="Times New Roman"/>
                <w:szCs w:val="21"/>
                <w:highlight w:val="none"/>
                <w:u w:val="none"/>
              </w:rPr>
              <w:t>年修订）》</w:t>
            </w:r>
            <w:r>
              <w:rPr>
                <w:rFonts w:ascii="Times New Roman" w:hAnsi="宋体" w:eastAsia="宋体" w:cs="Times New Roman"/>
                <w:bCs/>
                <w:szCs w:val="21"/>
                <w:highlight w:val="none"/>
                <w:u w:val="none"/>
              </w:rPr>
              <w:t>有关要求，提出管控要求。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6"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969" w:type="dxa"/>
            <w:vMerge w:val="continue"/>
            <w:vAlign w:val="center"/>
          </w:tcPr>
          <w:p>
            <w:pPr>
              <w:adjustRightInd w:val="0"/>
              <w:snapToGrid w:val="0"/>
              <w:rPr>
                <w:rFonts w:ascii="Times New Roman" w:hAnsi="Times New Roman" w:eastAsia="宋体" w:cs="Times New Roman"/>
                <w:szCs w:val="21"/>
                <w:highlight w:val="none"/>
                <w:u w:val="none"/>
              </w:rPr>
            </w:pPr>
          </w:p>
        </w:tc>
        <w:tc>
          <w:tcPr>
            <w:tcW w:w="963" w:type="dxa"/>
            <w:vMerge w:val="continue"/>
            <w:vAlign w:val="center"/>
          </w:tcPr>
          <w:p>
            <w:pPr>
              <w:adjustRightInd w:val="0"/>
              <w:snapToGrid w:val="0"/>
              <w:rPr>
                <w:rFonts w:ascii="Times New Roman" w:hAnsi="Times New Roman" w:eastAsia="宋体" w:cs="Times New Roman"/>
                <w:szCs w:val="21"/>
                <w:highlight w:val="none"/>
                <w:u w:val="none"/>
              </w:rPr>
            </w:pPr>
          </w:p>
        </w:tc>
        <w:tc>
          <w:tcPr>
            <w:tcW w:w="2039" w:type="dxa"/>
            <w:vMerge w:val="continue"/>
            <w:vAlign w:val="center"/>
          </w:tcPr>
          <w:p>
            <w:pPr>
              <w:adjustRightInd w:val="0"/>
              <w:snapToGrid w:val="0"/>
              <w:rPr>
                <w:rFonts w:ascii="Times New Roman" w:hAnsi="Times New Roman" w:eastAsia="宋体" w:cs="Times New Roman"/>
                <w:szCs w:val="21"/>
                <w:highlight w:val="none"/>
                <w:u w:val="none"/>
              </w:rPr>
            </w:pP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．准保护区内：</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利用渗井、渗坑、裂隙或者溶洞排放、倾倒含有毒污染物的废水、含病原体的污水或者其他废物；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利用无防渗漏措施的沟渠、坑塘等输送或者存贮含有毒污染物的废水、含病原体的污水和其他废物；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利用透水层孔隙、裂隙、溶洞和废弃矿坑储存油类、放射性物质、有毒有害化学物品、农药等；</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设置化工原料、矿物油类以及有毒有害矿产品的贮存场所或者生活垃圾、工业固体废物以及危险废物的堆放场所和转运站；</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可能严重影响水质的矿产资源勘查、开采、选冶等活动；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毁林开荒，</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非更新砍伐水源林。</w:t>
            </w:r>
          </w:p>
        </w:tc>
        <w:tc>
          <w:tcPr>
            <w:tcW w:w="6847" w:type="dxa"/>
            <w:vAlign w:val="center"/>
          </w:tcPr>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bCs/>
                <w:szCs w:val="21"/>
                <w:highlight w:val="none"/>
                <w:u w:val="none"/>
              </w:rPr>
              <w:t>依据《中华人民共和国水污染防治法（</w:t>
            </w:r>
            <w:r>
              <w:rPr>
                <w:rFonts w:ascii="Times New Roman" w:hAnsi="Times New Roman" w:eastAsia="宋体" w:cs="Times New Roman"/>
                <w:bCs/>
                <w:szCs w:val="21"/>
                <w:highlight w:val="none"/>
                <w:u w:val="none"/>
              </w:rPr>
              <w:t>2017</w:t>
            </w:r>
            <w:r>
              <w:rPr>
                <w:rFonts w:ascii="Times New Roman" w:hAnsi="宋体" w:eastAsia="宋体" w:cs="Times New Roman"/>
                <w:bCs/>
                <w:szCs w:val="21"/>
                <w:highlight w:val="none"/>
                <w:u w:val="none"/>
              </w:rPr>
              <w:t>年修正本）》、《广西壮族自治区饮用水水源保护条例》、《饮用水水源保护区污染防治管理规定（</w:t>
            </w:r>
            <w:r>
              <w:rPr>
                <w:rFonts w:ascii="Times New Roman" w:hAnsi="Times New Roman" w:eastAsia="宋体" w:cs="Times New Roman"/>
                <w:bCs/>
                <w:szCs w:val="21"/>
                <w:highlight w:val="none"/>
                <w:u w:val="none"/>
              </w:rPr>
              <w:t>2010</w:t>
            </w:r>
            <w:r>
              <w:rPr>
                <w:rFonts w:ascii="Times New Roman" w:hAnsi="宋体" w:eastAsia="宋体" w:cs="Times New Roman"/>
                <w:bCs/>
                <w:szCs w:val="21"/>
                <w:highlight w:val="none"/>
                <w:u w:val="none"/>
              </w:rPr>
              <w:t>年修正本）》、《广西壮族自治区环境保护条例（</w:t>
            </w:r>
            <w:r>
              <w:rPr>
                <w:rFonts w:ascii="Times New Roman" w:hAnsi="Times New Roman" w:eastAsia="宋体" w:cs="Times New Roman"/>
                <w:bCs/>
                <w:szCs w:val="21"/>
                <w:highlight w:val="none"/>
                <w:u w:val="none"/>
              </w:rPr>
              <w:t>2016</w:t>
            </w:r>
            <w:r>
              <w:rPr>
                <w:rFonts w:ascii="Times New Roman" w:hAnsi="宋体" w:eastAsia="宋体" w:cs="Times New Roman"/>
                <w:bCs/>
                <w:szCs w:val="21"/>
                <w:highlight w:val="none"/>
                <w:u w:val="none"/>
              </w:rPr>
              <w:t>年修订）》</w:t>
            </w:r>
            <w:r>
              <w:rPr>
                <w:rFonts w:ascii="Times New Roman" w:hAnsi="宋体" w:eastAsia="宋体" w:cs="Times New Roman"/>
                <w:szCs w:val="21"/>
                <w:highlight w:val="none"/>
                <w:u w:val="none"/>
              </w:rPr>
              <w:t>《广西水污染防治行动计划工作方案》（桂政办发〔</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131</w:t>
            </w:r>
            <w:r>
              <w:rPr>
                <w:rFonts w:ascii="Times New Roman" w:hAnsi="宋体" w:eastAsia="宋体" w:cs="Times New Roman"/>
                <w:szCs w:val="21"/>
                <w:highlight w:val="none"/>
                <w:u w:val="none"/>
              </w:rPr>
              <w:t>号）、</w:t>
            </w:r>
            <w:r>
              <w:rPr>
                <w:rFonts w:ascii="Times New Roman" w:hAnsi="宋体" w:eastAsia="宋体" w:cs="Times New Roman"/>
                <w:bCs/>
                <w:szCs w:val="21"/>
                <w:highlight w:val="none"/>
                <w:u w:val="none"/>
              </w:rPr>
              <w:t>《畜禽规模养殖污染防治条例》、</w:t>
            </w:r>
            <w:r>
              <w:rPr>
                <w:rFonts w:ascii="Times New Roman" w:hAnsi="宋体" w:eastAsia="宋体" w:cs="Times New Roman"/>
                <w:szCs w:val="21"/>
                <w:highlight w:val="none"/>
                <w:u w:val="none"/>
              </w:rPr>
              <w:t>《中华人民共和国固体废物污染环境防治法（</w:t>
            </w:r>
            <w:r>
              <w:rPr>
                <w:rFonts w:ascii="Times New Roman" w:hAnsi="Times New Roman" w:eastAsia="宋体" w:cs="Times New Roman"/>
                <w:szCs w:val="21"/>
                <w:highlight w:val="none"/>
                <w:u w:val="none"/>
              </w:rPr>
              <w:t>2020</w:t>
            </w:r>
            <w:r>
              <w:rPr>
                <w:rFonts w:ascii="Times New Roman" w:hAnsi="宋体" w:eastAsia="宋体" w:cs="Times New Roman"/>
                <w:szCs w:val="21"/>
                <w:highlight w:val="none"/>
                <w:u w:val="none"/>
              </w:rPr>
              <w:t>年修订）》</w:t>
            </w:r>
            <w:r>
              <w:rPr>
                <w:rFonts w:ascii="Times New Roman" w:hAnsi="宋体" w:eastAsia="宋体" w:cs="Times New Roman"/>
                <w:bCs/>
                <w:szCs w:val="21"/>
                <w:highlight w:val="none"/>
                <w:u w:val="none"/>
              </w:rPr>
              <w:t>有关要求，提出管控要求。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4"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969" w:type="dxa"/>
            <w:vMerge w:val="continue"/>
            <w:vAlign w:val="center"/>
          </w:tcPr>
          <w:p>
            <w:pPr>
              <w:adjustRightInd w:val="0"/>
              <w:snapToGrid w:val="0"/>
              <w:rPr>
                <w:rFonts w:ascii="Times New Roman" w:hAnsi="Times New Roman" w:eastAsia="宋体" w:cs="Times New Roman"/>
                <w:szCs w:val="21"/>
                <w:highlight w:val="none"/>
                <w:u w:val="none"/>
              </w:rPr>
            </w:pPr>
          </w:p>
        </w:tc>
        <w:tc>
          <w:tcPr>
            <w:tcW w:w="963" w:type="dxa"/>
            <w:vMerge w:val="continue"/>
            <w:vAlign w:val="center"/>
          </w:tcPr>
          <w:p>
            <w:pPr>
              <w:adjustRightInd w:val="0"/>
              <w:snapToGrid w:val="0"/>
              <w:rPr>
                <w:rFonts w:ascii="Times New Roman" w:hAnsi="Times New Roman" w:eastAsia="宋体" w:cs="Times New Roman"/>
                <w:szCs w:val="21"/>
                <w:highlight w:val="none"/>
                <w:u w:val="none"/>
              </w:rPr>
            </w:pPr>
          </w:p>
        </w:tc>
        <w:tc>
          <w:tcPr>
            <w:tcW w:w="2039" w:type="dxa"/>
            <w:vMerge w:val="continue"/>
            <w:vAlign w:val="center"/>
          </w:tcPr>
          <w:p>
            <w:pPr>
              <w:adjustRightInd w:val="0"/>
              <w:snapToGrid w:val="0"/>
              <w:rPr>
                <w:rFonts w:ascii="Times New Roman" w:hAnsi="Times New Roman" w:eastAsia="宋体" w:cs="Times New Roman"/>
                <w:szCs w:val="21"/>
                <w:highlight w:val="none"/>
                <w:u w:val="none"/>
              </w:rPr>
            </w:pP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．现有项目退出要求：</w:t>
            </w:r>
          </w:p>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1</w:t>
            </w:r>
            <w:r>
              <w:rPr>
                <w:rFonts w:ascii="Times New Roman" w:hAnsi="宋体" w:eastAsia="宋体" w:cs="Times New Roman"/>
                <w:bCs/>
                <w:szCs w:val="21"/>
                <w:highlight w:val="none"/>
                <w:u w:val="none"/>
              </w:rPr>
              <w:t>）现有排污口：饮用水水源保护区内的排污口应拆除或关闭。对雨污分流彻底的城市雨水排口、排涝口，在饮用水水源保护区内的可暂不拆除或关闭，同时加强监测监管，在非降雨季节保持干燥清洁；在降雨时，确保排水水质符合饮用水水源地水质保护要求，否则，应限期整改，逾期整改仍不符合要求的，限期拆除或关闭原排口。</w:t>
            </w:r>
          </w:p>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2</w:t>
            </w:r>
            <w:r>
              <w:rPr>
                <w:rFonts w:ascii="Times New Roman" w:hAnsi="宋体" w:eastAsia="宋体" w:cs="Times New Roman"/>
                <w:bCs/>
                <w:szCs w:val="21"/>
                <w:highlight w:val="none"/>
                <w:u w:val="none"/>
              </w:rPr>
              <w:t>）现有工业企业：饮用水水源保护区内排放污染物的工业企业应拆除或关闭。</w:t>
            </w:r>
          </w:p>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3</w:t>
            </w:r>
            <w:r>
              <w:rPr>
                <w:rFonts w:ascii="Times New Roman" w:hAnsi="宋体" w:eastAsia="宋体" w:cs="Times New Roman"/>
                <w:bCs/>
                <w:szCs w:val="21"/>
                <w:highlight w:val="none"/>
                <w:u w:val="none"/>
              </w:rPr>
              <w:t>）现有码头：饮用水水源保护区内凡从事危险化学品、煤炭、矿砂、水泥等装卸作业的货运码头应拆除或关闭。饮用水水源一级保护区内旅游码头和航运、海事等管理部门工作码头应拆除或关闭。二级保护区内旅游码头和航运、海事等管理部门工作码头的污水、垃圾应统一收集至保护区外处理排放。自来水厂取水趸船（码头）、水文趸船作为与供水设施和保护水源有关的建设项目，可以在饮用水水源保护区内存在。</w:t>
            </w:r>
          </w:p>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4</w:t>
            </w:r>
            <w:r>
              <w:rPr>
                <w:rFonts w:ascii="Times New Roman" w:hAnsi="宋体" w:eastAsia="宋体" w:cs="Times New Roman"/>
                <w:bCs/>
                <w:szCs w:val="21"/>
                <w:highlight w:val="none"/>
                <w:u w:val="none"/>
              </w:rPr>
              <w:t>）现有旅游餐饮项目：饮用水水源保护区内农家乐、宾馆酒店、餐饮娱乐等项目应拆除或关闭。</w:t>
            </w:r>
          </w:p>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5</w:t>
            </w:r>
            <w:r>
              <w:rPr>
                <w:rFonts w:ascii="Times New Roman" w:hAnsi="宋体" w:eastAsia="宋体" w:cs="Times New Roman"/>
                <w:bCs/>
                <w:szCs w:val="21"/>
                <w:highlight w:val="none"/>
                <w:u w:val="none"/>
              </w:rPr>
              <w:t>）现有加油站、加气站：饮用水水源一级保护区内加油站和加气站应拆除或关闭；二级保护区内加油站应完成双层罐体改造。</w:t>
            </w:r>
          </w:p>
          <w:p>
            <w:pPr>
              <w:pStyle w:val="21"/>
              <w:rPr>
                <w:rFonts w:eastAsia="宋体"/>
                <w:bCs/>
                <w:highlight w:val="none"/>
                <w:u w:val="none"/>
              </w:rPr>
            </w:pPr>
            <w:r>
              <w:rPr>
                <w:rFonts w:hAnsi="宋体" w:eastAsia="宋体"/>
                <w:bCs/>
                <w:highlight w:val="none"/>
                <w:u w:val="none"/>
              </w:rPr>
              <w:t>（</w:t>
            </w:r>
            <w:r>
              <w:rPr>
                <w:rFonts w:eastAsia="宋体"/>
                <w:bCs/>
                <w:highlight w:val="none"/>
                <w:u w:val="none"/>
              </w:rPr>
              <w:t>6</w:t>
            </w:r>
            <w:r>
              <w:rPr>
                <w:rFonts w:hAnsi="宋体" w:eastAsia="宋体"/>
                <w:bCs/>
                <w:highlight w:val="none"/>
                <w:u w:val="none"/>
              </w:rPr>
              <w:t>）现有农业面源污染：</w:t>
            </w:r>
            <w:r>
              <w:rPr>
                <w:rFonts w:hAnsi="宋体" w:eastAsia="宋体"/>
                <w:highlight w:val="none"/>
                <w:u w:val="none"/>
              </w:rPr>
              <w:t>饮用水水源一级保护区内农业种植应严格控制农药、化肥等非点源污染，并逐步退出；饮用水水源二级保护区内农业种植和经济林应实行科学种植和非点源污染防治。饮用水水源一级保护区内所有经营性的畜禽养殖活动应取缔，养殖设施应拆除。二级保护区内排放污染物的规模化畜禽养殖场应拆除或关闭；分散式畜禽养殖圈舍应做到养殖废物全部资源</w:t>
            </w:r>
            <w:r>
              <w:rPr>
                <w:rFonts w:hAnsi="宋体" w:eastAsia="宋体"/>
                <w:bCs/>
                <w:highlight w:val="none"/>
                <w:u w:val="none"/>
              </w:rPr>
              <w:t>化利用，且尽量远离取水口，</w:t>
            </w:r>
            <w:r>
              <w:rPr>
                <w:rFonts w:hAnsi="宋体" w:eastAsia="宋体"/>
                <w:b/>
                <w:highlight w:val="none"/>
                <w:u w:val="none"/>
              </w:rPr>
              <w:t>不得</w:t>
            </w:r>
            <w:r>
              <w:rPr>
                <w:rFonts w:hAnsi="宋体" w:eastAsia="宋体"/>
                <w:bCs/>
                <w:highlight w:val="none"/>
                <w:u w:val="none"/>
              </w:rPr>
              <w:t>向水体直接倾倒畜禽粪便和排放养殖污水。饮用水水源二级保护区内网箱养殖、坑塘养殖、水面围网养殖等活动，未采取有效措施防止污染水体的应取缔。</w:t>
            </w:r>
          </w:p>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7</w:t>
            </w:r>
            <w:r>
              <w:rPr>
                <w:rFonts w:ascii="Times New Roman" w:hAnsi="宋体" w:eastAsia="宋体" w:cs="Times New Roman"/>
                <w:bCs/>
                <w:szCs w:val="21"/>
                <w:highlight w:val="none"/>
                <w:u w:val="none"/>
              </w:rPr>
              <w:t>）现有生活面源污染：原住居民住宅允许在饮用水水源保护区内保留，其生产的生活污水和垃圾必须收集处理；仅针对原住居民的非经营性新</w:t>
            </w:r>
            <w:r>
              <w:rPr>
                <w:rFonts w:ascii="Times New Roman" w:hAnsi="宋体" w:eastAsia="宋体" w:cs="Times New Roman"/>
                <w:szCs w:val="21"/>
                <w:highlight w:val="none"/>
                <w:u w:val="none"/>
              </w:rPr>
              <w:t>农村建设、安居工程建设项目，可以在饮用水水源二级保护区内保留，但产生的生活污水和垃圾必须进行收集处理。为上述情形配套建设的污染治理设施可以在饮用水水源保护区内保留，但处理后的污水原则上引到保护区外排放；不具备外引条件的，可通过农田灌溉、植树、造林等方式回用，或排入湿地进行二次处理。</w:t>
            </w:r>
          </w:p>
        </w:tc>
        <w:tc>
          <w:tcPr>
            <w:tcW w:w="6847" w:type="dxa"/>
            <w:vAlign w:val="center"/>
          </w:tcPr>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szCs w:val="21"/>
                <w:highlight w:val="none"/>
                <w:u w:val="none"/>
              </w:rPr>
              <w:t>依据《关于答复全国集中式饮用水水源地环境保护专项行动有关问题的函》（环办环监函〔</w:t>
            </w:r>
            <w:r>
              <w:rPr>
                <w:rFonts w:ascii="Times New Roman" w:hAnsi="Times New Roman" w:eastAsia="宋体" w:cs="Times New Roman"/>
                <w:szCs w:val="21"/>
                <w:highlight w:val="none"/>
                <w:u w:val="none"/>
              </w:rPr>
              <w:t>2018</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767</w:t>
            </w:r>
            <w:r>
              <w:rPr>
                <w:rFonts w:ascii="Times New Roman" w:hAnsi="宋体" w:eastAsia="宋体" w:cs="Times New Roman"/>
                <w:szCs w:val="21"/>
                <w:highlight w:val="none"/>
                <w:u w:val="none"/>
              </w:rPr>
              <w:t>号）</w:t>
            </w:r>
            <w:r>
              <w:rPr>
                <w:rFonts w:ascii="Times New Roman" w:hAnsi="宋体" w:eastAsia="宋体" w:cs="Times New Roman"/>
                <w:kern w:val="0"/>
                <w:szCs w:val="21"/>
                <w:highlight w:val="none"/>
                <w:u w:val="none"/>
              </w:rPr>
              <w:t>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Merge w:val="restart"/>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饮用水水源保护区</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污染物排放管控</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．不能满足水质要求的地表水饮用水水源，准保护区或汇水区域采取水污染物容量总量控制措施，限期达标。</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．准保护区内工业园区企业的第一类水污染物达到车间排放要求、常规污染物达到间接排放标准后，进入园区污水处理厂集中处理。</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依据《集中式饮用水水源地规范化建设环境保护技术要求》（</w:t>
            </w:r>
            <w:r>
              <w:rPr>
                <w:rFonts w:ascii="Times New Roman" w:hAnsi="Times New Roman" w:eastAsia="宋体" w:cs="Times New Roman"/>
                <w:szCs w:val="21"/>
                <w:highlight w:val="none"/>
                <w:u w:val="none"/>
              </w:rPr>
              <w:t>HJ773-2015</w:t>
            </w:r>
            <w:r>
              <w:rPr>
                <w:rFonts w:ascii="Times New Roman" w:hAnsi="宋体" w:eastAsia="宋体" w:cs="Times New Roman"/>
                <w:szCs w:val="21"/>
                <w:highlight w:val="none"/>
                <w:u w:val="none"/>
              </w:rPr>
              <w:t>）提出管控要求。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4"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Merge w:val="continue"/>
            <w:vAlign w:val="center"/>
          </w:tcPr>
          <w:p>
            <w:pPr>
              <w:adjustRightInd w:val="0"/>
              <w:snapToGrid w:val="0"/>
              <w:jc w:val="center"/>
              <w:rPr>
                <w:rFonts w:ascii="Times New Roman" w:hAnsi="Times New Roman" w:eastAsia="宋体" w:cs="Times New Roman"/>
                <w:szCs w:val="21"/>
                <w:highlight w:val="none"/>
                <w:u w:val="none"/>
              </w:rPr>
            </w:pP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环境风险防控</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．一级保护区周边人类活动频繁的区域设置隔离防护设施。</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二级保护区内乡级及以下道路和景观步行道应做好与饮用水水体的隔离防护及设置必要的应急措施，避免人类活动对水质的影响。县级及以上公路、道路、铁路、桥梁等应严格限制有毒有害物质和危险化学品的运输，开展视频监控，跨越或与水体并行的路桥两侧建设防撞栏、桥面径流收集系统等事故应急防护工程设施。</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．穿越饮用水水源保护区的船只，应配备防治污染物散落、溢流、渗漏设施。</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．穿越饮用水水源保护区的输油、输气管道采取防泄漏措施，必要时设置事故导流槽。</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5</w:t>
            </w:r>
            <w:r>
              <w:rPr>
                <w:rFonts w:ascii="Times New Roman" w:hAnsi="宋体" w:eastAsia="宋体" w:cs="Times New Roman"/>
                <w:szCs w:val="21"/>
                <w:highlight w:val="none"/>
                <w:u w:val="none"/>
              </w:rPr>
              <w:t>．</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在饮用水水源保护区、河道内丢弃农药、农药包装物或者清洗施药器械。</w:t>
            </w:r>
            <w:r>
              <w:rPr>
                <w:rFonts w:ascii="Times New Roman" w:hAnsi="宋体" w:eastAsia="宋体" w:cs="Times New Roman"/>
                <w:b/>
                <w:bCs/>
                <w:szCs w:val="21"/>
                <w:highlight w:val="none"/>
                <w:u w:val="none"/>
              </w:rPr>
              <w:t>严禁</w:t>
            </w:r>
            <w:r>
              <w:rPr>
                <w:rFonts w:ascii="Times New Roman" w:hAnsi="宋体" w:eastAsia="宋体" w:cs="Times New Roman"/>
                <w:szCs w:val="21"/>
                <w:highlight w:val="none"/>
                <w:u w:val="none"/>
              </w:rPr>
              <w:t>在饮用水水源保护区内使用农药，</w:t>
            </w:r>
            <w:r>
              <w:rPr>
                <w:rFonts w:ascii="Times New Roman" w:hAnsi="宋体" w:eastAsia="宋体" w:cs="Times New Roman"/>
                <w:b/>
                <w:bCs/>
                <w:szCs w:val="21"/>
                <w:highlight w:val="none"/>
                <w:u w:val="none"/>
              </w:rPr>
              <w:t>严禁</w:t>
            </w:r>
            <w:r>
              <w:rPr>
                <w:rFonts w:ascii="Times New Roman" w:hAnsi="宋体" w:eastAsia="宋体" w:cs="Times New Roman"/>
                <w:szCs w:val="21"/>
                <w:highlight w:val="none"/>
                <w:u w:val="none"/>
              </w:rPr>
              <w:t>使用农药毒鱼、虾、鸟、兽等。</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kern w:val="0"/>
                <w:szCs w:val="21"/>
                <w:highlight w:val="none"/>
                <w:u w:val="none"/>
              </w:rPr>
              <w:t>．</w:t>
            </w:r>
            <w:r>
              <w:rPr>
                <w:rFonts w:ascii="Times New Roman" w:hAnsi="宋体" w:eastAsia="宋体" w:cs="Times New Roman"/>
                <w:szCs w:val="21"/>
                <w:highlight w:val="none"/>
                <w:u w:val="none"/>
              </w:rPr>
              <w:t>依据《集中式饮用水水源地规范化建设环境保护技术要求》（</w:t>
            </w:r>
            <w:r>
              <w:rPr>
                <w:rFonts w:ascii="Times New Roman" w:hAnsi="Times New Roman" w:eastAsia="宋体" w:cs="Times New Roman"/>
                <w:szCs w:val="21"/>
                <w:highlight w:val="none"/>
                <w:u w:val="none"/>
              </w:rPr>
              <w:t>HJ773-2015</w:t>
            </w:r>
            <w:r>
              <w:rPr>
                <w:rFonts w:ascii="Times New Roman" w:hAnsi="宋体" w:eastAsia="宋体" w:cs="Times New Roman"/>
                <w:szCs w:val="21"/>
                <w:highlight w:val="none"/>
                <w:u w:val="none"/>
              </w:rPr>
              <w:t>）相关要求，提出</w:t>
            </w:r>
            <w:r>
              <w:rPr>
                <w:rFonts w:ascii="Times New Roman" w:hAnsi="宋体" w:eastAsia="宋体" w:cs="Times New Roman"/>
                <w:kern w:val="0"/>
                <w:szCs w:val="21"/>
                <w:highlight w:val="none"/>
                <w:u w:val="none"/>
              </w:rPr>
              <w:t>了</w:t>
            </w:r>
            <w:r>
              <w:rPr>
                <w:rFonts w:ascii="Times New Roman" w:hAnsi="Times New Roman" w:eastAsia="宋体" w:cs="Times New Roman"/>
                <w:kern w:val="0"/>
                <w:szCs w:val="21"/>
                <w:highlight w:val="none"/>
                <w:u w:val="none"/>
              </w:rPr>
              <w:t>1</w:t>
            </w:r>
            <w:r>
              <w:rPr>
                <w:rFonts w:ascii="Times New Roman" w:hAnsi="宋体" w:eastAsia="宋体" w:cs="Times New Roman"/>
                <w:kern w:val="0"/>
                <w:szCs w:val="21"/>
                <w:highlight w:val="none"/>
                <w:u w:val="none"/>
              </w:rPr>
              <w:t>、</w:t>
            </w:r>
            <w:r>
              <w:rPr>
                <w:rFonts w:ascii="Times New Roman" w:hAnsi="Times New Roman" w:eastAsia="宋体" w:cs="Times New Roman"/>
                <w:kern w:val="0"/>
                <w:szCs w:val="21"/>
                <w:highlight w:val="none"/>
                <w:u w:val="none"/>
              </w:rPr>
              <w:t>4</w:t>
            </w:r>
            <w:r>
              <w:rPr>
                <w:rFonts w:ascii="Times New Roman" w:hAnsi="宋体" w:eastAsia="宋体" w:cs="Times New Roman"/>
                <w:kern w:val="0"/>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kern w:val="0"/>
                <w:szCs w:val="21"/>
                <w:highlight w:val="none"/>
                <w:u w:val="none"/>
              </w:rPr>
              <w:t>．</w:t>
            </w:r>
            <w:r>
              <w:rPr>
                <w:rFonts w:ascii="Times New Roman" w:hAnsi="宋体" w:eastAsia="宋体" w:cs="Times New Roman"/>
                <w:szCs w:val="21"/>
                <w:highlight w:val="none"/>
                <w:u w:val="none"/>
              </w:rPr>
              <w:t>依据《关于答复全国集中式饮用水水源地环境保护专项行动有关问题的函》（环办环监函〔</w:t>
            </w:r>
            <w:r>
              <w:rPr>
                <w:rFonts w:ascii="Times New Roman" w:hAnsi="Times New Roman" w:eastAsia="宋体" w:cs="Times New Roman"/>
                <w:szCs w:val="21"/>
                <w:highlight w:val="none"/>
                <w:u w:val="none"/>
              </w:rPr>
              <w:t>2018</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767</w:t>
            </w:r>
            <w:r>
              <w:rPr>
                <w:rFonts w:ascii="Times New Roman" w:hAnsi="宋体" w:eastAsia="宋体" w:cs="Times New Roman"/>
                <w:szCs w:val="21"/>
                <w:highlight w:val="none"/>
                <w:u w:val="none"/>
              </w:rPr>
              <w:t>号）相关要求，提出</w:t>
            </w:r>
            <w:r>
              <w:rPr>
                <w:rFonts w:ascii="Times New Roman" w:hAnsi="宋体" w:eastAsia="宋体" w:cs="Times New Roman"/>
                <w:kern w:val="0"/>
                <w:szCs w:val="21"/>
                <w:highlight w:val="none"/>
                <w:u w:val="none"/>
              </w:rPr>
              <w:t>了第</w:t>
            </w:r>
            <w:r>
              <w:rPr>
                <w:rFonts w:ascii="Times New Roman" w:hAnsi="Times New Roman" w:eastAsia="宋体" w:cs="Times New Roman"/>
                <w:kern w:val="0"/>
                <w:szCs w:val="21"/>
                <w:highlight w:val="none"/>
                <w:u w:val="none"/>
              </w:rPr>
              <w:t>2</w:t>
            </w:r>
            <w:r>
              <w:rPr>
                <w:rFonts w:ascii="Times New Roman" w:hAnsi="宋体" w:eastAsia="宋体" w:cs="Times New Roman"/>
                <w:kern w:val="0"/>
                <w:szCs w:val="21"/>
                <w:highlight w:val="none"/>
                <w:u w:val="none"/>
              </w:rPr>
              <w:t>、</w:t>
            </w:r>
            <w:r>
              <w:rPr>
                <w:rFonts w:ascii="Times New Roman" w:hAnsi="Times New Roman" w:eastAsia="宋体" w:cs="Times New Roman"/>
                <w:kern w:val="0"/>
                <w:szCs w:val="21"/>
                <w:highlight w:val="none"/>
                <w:u w:val="none"/>
              </w:rPr>
              <w:t>3</w:t>
            </w:r>
            <w:r>
              <w:rPr>
                <w:rFonts w:ascii="Times New Roman" w:hAnsi="宋体" w:eastAsia="宋体" w:cs="Times New Roman"/>
                <w:kern w:val="0"/>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kern w:val="0"/>
                <w:szCs w:val="21"/>
                <w:highlight w:val="none"/>
                <w:u w:val="none"/>
              </w:rPr>
              <w:t>．</w:t>
            </w:r>
            <w:r>
              <w:rPr>
                <w:rFonts w:ascii="Times New Roman" w:hAnsi="宋体" w:eastAsia="宋体" w:cs="Times New Roman"/>
                <w:szCs w:val="21"/>
                <w:highlight w:val="none"/>
                <w:u w:val="none"/>
              </w:rPr>
              <w:t>依据《农药管理条例》相关要求，提出</w:t>
            </w:r>
            <w:r>
              <w:rPr>
                <w:rFonts w:ascii="Times New Roman" w:hAnsi="宋体" w:eastAsia="宋体" w:cs="Times New Roman"/>
                <w:kern w:val="0"/>
                <w:szCs w:val="21"/>
                <w:highlight w:val="none"/>
                <w:u w:val="none"/>
              </w:rPr>
              <w:t>了第</w:t>
            </w:r>
            <w:r>
              <w:rPr>
                <w:rFonts w:ascii="Times New Roman" w:hAnsi="Times New Roman" w:eastAsia="宋体" w:cs="Times New Roman"/>
                <w:kern w:val="0"/>
                <w:szCs w:val="21"/>
                <w:highlight w:val="none"/>
                <w:u w:val="none"/>
              </w:rPr>
              <w:t>5</w:t>
            </w:r>
            <w:r>
              <w:rPr>
                <w:rFonts w:ascii="Times New Roman" w:hAnsi="宋体" w:eastAsia="宋体" w:cs="Times New Roman"/>
                <w:kern w:val="0"/>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kern w:val="0"/>
                <w:szCs w:val="21"/>
                <w:highlight w:val="none"/>
                <w:u w:val="none"/>
              </w:rPr>
              <w:t>．</w:t>
            </w:r>
            <w:r>
              <w:rPr>
                <w:rFonts w:ascii="Times New Roman" w:hAnsi="宋体" w:eastAsia="宋体" w:cs="Times New Roman"/>
                <w:szCs w:val="21"/>
                <w:highlight w:val="none"/>
                <w:u w:val="none"/>
              </w:rPr>
              <w:t>依据《水污染防治行动计划》（国发〔</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17</w:t>
            </w:r>
            <w:r>
              <w:rPr>
                <w:rFonts w:ascii="Times New Roman" w:hAnsi="宋体" w:eastAsia="宋体" w:cs="Times New Roman"/>
                <w:szCs w:val="21"/>
                <w:highlight w:val="none"/>
                <w:u w:val="none"/>
              </w:rPr>
              <w:t>号）、《广西水污染防治行动计划工作方案》（桂政办发〔</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131</w:t>
            </w:r>
            <w:r>
              <w:rPr>
                <w:rFonts w:ascii="Times New Roman" w:hAnsi="宋体" w:eastAsia="宋体" w:cs="Times New Roman"/>
                <w:szCs w:val="21"/>
                <w:highlight w:val="none"/>
                <w:u w:val="none"/>
              </w:rPr>
              <w:t>号）、《中共中央</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国务院关于深入打好污染防治攻坚战的意见》（中发〔</w:t>
            </w:r>
            <w:r>
              <w:rPr>
                <w:rFonts w:ascii="Times New Roman" w:hAnsi="Times New Roman" w:eastAsia="宋体" w:cs="Times New Roman"/>
                <w:szCs w:val="21"/>
                <w:highlight w:val="none"/>
                <w:u w:val="none"/>
              </w:rPr>
              <w:t>2021</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32</w:t>
            </w:r>
            <w:r>
              <w:rPr>
                <w:rFonts w:ascii="Times New Roman" w:hAnsi="宋体" w:eastAsia="宋体" w:cs="Times New Roman"/>
                <w:szCs w:val="21"/>
                <w:highlight w:val="none"/>
                <w:u w:val="none"/>
              </w:rPr>
              <w:t>号）、《中共广西壮族自治区委员会</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广西壮族自治区人民政府关于深入打好污染防治攻坚战的实施意见》（桂发〔</w:t>
            </w:r>
            <w:r>
              <w:rPr>
                <w:rFonts w:ascii="Times New Roman" w:hAnsi="Times New Roman" w:eastAsia="宋体" w:cs="Times New Roman"/>
                <w:szCs w:val="21"/>
                <w:highlight w:val="none"/>
                <w:u w:val="none"/>
              </w:rPr>
              <w:t>2022</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15</w:t>
            </w:r>
            <w:r>
              <w:rPr>
                <w:rFonts w:ascii="Times New Roman" w:hAnsi="宋体" w:eastAsia="宋体" w:cs="Times New Roman"/>
                <w:szCs w:val="21"/>
                <w:highlight w:val="none"/>
                <w:u w:val="none"/>
              </w:rPr>
              <w:t>号）相关要求，提出</w:t>
            </w:r>
            <w:r>
              <w:rPr>
                <w:rFonts w:ascii="Times New Roman" w:hAnsi="宋体" w:eastAsia="宋体" w:cs="Times New Roman"/>
                <w:kern w:val="0"/>
                <w:szCs w:val="21"/>
                <w:highlight w:val="none"/>
                <w:u w:val="none"/>
              </w:rPr>
              <w:t>了第</w:t>
            </w:r>
            <w:r>
              <w:rPr>
                <w:rFonts w:ascii="Times New Roman" w:hAnsi="Times New Roman" w:eastAsia="宋体" w:cs="Times New Roman"/>
                <w:kern w:val="0"/>
                <w:szCs w:val="21"/>
                <w:highlight w:val="none"/>
                <w:u w:val="none"/>
              </w:rPr>
              <w:t>6</w:t>
            </w:r>
            <w:r>
              <w:rPr>
                <w:rFonts w:ascii="Times New Roman" w:hAnsi="宋体" w:eastAsia="宋体" w:cs="Times New Roman"/>
                <w:kern w:val="0"/>
                <w:szCs w:val="21"/>
                <w:highlight w:val="none"/>
                <w:u w:val="none"/>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2"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水产种质资源</w:t>
            </w:r>
          </w:p>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保护区</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bCs/>
                <w:szCs w:val="21"/>
                <w:highlight w:val="none"/>
                <w:u w:val="none"/>
              </w:rPr>
            </w:pPr>
            <w:r>
              <w:rPr>
                <w:rFonts w:ascii="Times New Roman" w:hAnsi="Times New Roman" w:eastAsia="宋体" w:cs="Times New Roman"/>
                <w:bCs/>
                <w:szCs w:val="21"/>
                <w:highlight w:val="none"/>
                <w:u w:val="none"/>
              </w:rPr>
              <w:t>1</w:t>
            </w:r>
            <w:r>
              <w:rPr>
                <w:rFonts w:ascii="Times New Roman" w:hAnsi="宋体" w:eastAsia="宋体" w:cs="Times New Roman"/>
                <w:bCs/>
                <w:szCs w:val="21"/>
                <w:highlight w:val="none"/>
                <w:u w:val="none"/>
              </w:rPr>
              <w:t>．未经国务院渔业行政主管部门批准，任何单位或者个人</w:t>
            </w:r>
            <w:r>
              <w:rPr>
                <w:rFonts w:ascii="Times New Roman" w:hAnsi="宋体" w:eastAsia="宋体" w:cs="Times New Roman"/>
                <w:b/>
                <w:szCs w:val="21"/>
                <w:highlight w:val="none"/>
                <w:u w:val="none"/>
              </w:rPr>
              <w:t>不得</w:t>
            </w:r>
            <w:r>
              <w:rPr>
                <w:rFonts w:ascii="Times New Roman" w:hAnsi="宋体" w:eastAsia="宋体" w:cs="Times New Roman"/>
                <w:bCs/>
                <w:szCs w:val="21"/>
                <w:highlight w:val="none"/>
                <w:u w:val="none"/>
              </w:rPr>
              <w:t>在水产种质资源保护区内从事捕捞活动。</w:t>
            </w:r>
          </w:p>
          <w:p>
            <w:pPr>
              <w:adjustRightInd w:val="0"/>
              <w:snapToGrid w:val="0"/>
              <w:rPr>
                <w:rFonts w:ascii="Times New Roman" w:hAnsi="Times New Roman" w:eastAsia="宋体" w:cs="Times New Roman"/>
                <w:bCs/>
                <w:szCs w:val="21"/>
                <w:highlight w:val="none"/>
                <w:u w:val="none"/>
              </w:rPr>
            </w:pPr>
            <w:r>
              <w:rPr>
                <w:rFonts w:ascii="Times New Roman" w:hAnsi="Times New Roman" w:eastAsia="宋体" w:cs="Times New Roman"/>
                <w:bCs/>
                <w:szCs w:val="21"/>
                <w:highlight w:val="none"/>
                <w:u w:val="none"/>
              </w:rPr>
              <w:t>2</w:t>
            </w:r>
            <w:r>
              <w:rPr>
                <w:rFonts w:ascii="Times New Roman" w:hAnsi="宋体" w:eastAsia="宋体" w:cs="Times New Roman"/>
                <w:bCs/>
                <w:szCs w:val="21"/>
                <w:highlight w:val="none"/>
                <w:u w:val="none"/>
              </w:rPr>
              <w:t>．在水产种质资源保护区内从事修建水利工程、疏浚航道、建闸筑坝、勘探和开采矿产资源、港口建设、桥梁工程等工程建设的，或者在水产种质资源保护区外从事可能损害保护区功能的工程建设活动的，应当按照国家有关规定编制建设项目对水产种质资源保护区的影响专题论证报告，并将其纳入环境影响评价报告书。</w:t>
            </w:r>
          </w:p>
          <w:p>
            <w:pPr>
              <w:adjustRightInd w:val="0"/>
              <w:snapToGrid w:val="0"/>
              <w:rPr>
                <w:rFonts w:ascii="Times New Roman" w:hAnsi="Times New Roman" w:eastAsia="宋体" w:cs="Times New Roman"/>
                <w:bCs/>
                <w:szCs w:val="21"/>
                <w:highlight w:val="none"/>
                <w:u w:val="none"/>
              </w:rPr>
            </w:pPr>
            <w:r>
              <w:rPr>
                <w:rFonts w:ascii="Times New Roman" w:hAnsi="Times New Roman" w:eastAsia="宋体" w:cs="Times New Roman"/>
                <w:bCs/>
                <w:szCs w:val="21"/>
                <w:highlight w:val="none"/>
                <w:u w:val="none"/>
              </w:rPr>
              <w:t>3</w:t>
            </w:r>
            <w:r>
              <w:rPr>
                <w:rFonts w:ascii="Times New Roman" w:hAnsi="宋体" w:eastAsia="宋体" w:cs="Times New Roman"/>
                <w:bCs/>
                <w:szCs w:val="21"/>
                <w:highlight w:val="none"/>
                <w:u w:val="none"/>
              </w:rPr>
              <w:t>．单位和个人在水产种质资源保护区内从事水生生物资源调查、科学研究、教学实习、参观游览、影视拍摄等活动，应当遵守有关法律法规和保护区管理制度，</w:t>
            </w:r>
            <w:r>
              <w:rPr>
                <w:rFonts w:ascii="Times New Roman" w:hAnsi="宋体" w:eastAsia="宋体" w:cs="Times New Roman"/>
                <w:b/>
                <w:szCs w:val="21"/>
                <w:highlight w:val="none"/>
                <w:u w:val="none"/>
              </w:rPr>
              <w:t>不得</w:t>
            </w:r>
            <w:r>
              <w:rPr>
                <w:rFonts w:ascii="Times New Roman" w:hAnsi="宋体" w:eastAsia="宋体" w:cs="Times New Roman"/>
                <w:bCs/>
                <w:szCs w:val="21"/>
                <w:highlight w:val="none"/>
                <w:u w:val="none"/>
              </w:rPr>
              <w:t>损害水产种质资源及其生存环境。</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4</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bCs/>
                <w:szCs w:val="21"/>
                <w:highlight w:val="none"/>
                <w:u w:val="none"/>
              </w:rPr>
              <w:t>在水产种质资源保护区内从事围湖造田。</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．依据《中华人民共和国渔业法（</w:t>
            </w:r>
            <w:r>
              <w:rPr>
                <w:rFonts w:ascii="Times New Roman" w:hAnsi="Times New Roman" w:eastAsia="宋体" w:cs="Times New Roman"/>
                <w:szCs w:val="21"/>
                <w:highlight w:val="none"/>
                <w:u w:val="none"/>
              </w:rPr>
              <w:t>2013</w:t>
            </w:r>
            <w:r>
              <w:rPr>
                <w:rFonts w:ascii="Times New Roman" w:hAnsi="宋体" w:eastAsia="宋体" w:cs="Times New Roman"/>
                <w:szCs w:val="21"/>
                <w:highlight w:val="none"/>
                <w:u w:val="none"/>
              </w:rPr>
              <w:t>年修正本）》提出第</w:t>
            </w: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条管控要求。</w:t>
            </w:r>
          </w:p>
          <w:p>
            <w:pPr>
              <w:adjustRightInd w:val="0"/>
              <w:snapToGrid w:val="0"/>
              <w:rPr>
                <w:rFonts w:ascii="Times New Roman" w:hAnsi="Times New Roman" w:eastAsia="宋体" w:cs="Times New Roman"/>
                <w:bCs/>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．依据《水产种质资源保护区管理暂行办法（</w:t>
            </w:r>
            <w:r>
              <w:rPr>
                <w:rFonts w:ascii="Times New Roman" w:hAnsi="Times New Roman" w:eastAsia="宋体" w:cs="Times New Roman"/>
                <w:szCs w:val="21"/>
                <w:highlight w:val="none"/>
                <w:u w:val="none"/>
              </w:rPr>
              <w:t>2016</w:t>
            </w:r>
            <w:r>
              <w:rPr>
                <w:rFonts w:ascii="Times New Roman" w:hAnsi="宋体" w:eastAsia="宋体" w:cs="Times New Roman"/>
                <w:szCs w:val="21"/>
                <w:highlight w:val="none"/>
                <w:u w:val="none"/>
              </w:rPr>
              <w:t>年修正本）》提出第</w:t>
            </w: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6"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重要湿地</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b/>
                <w:szCs w:val="21"/>
                <w:highlight w:val="none"/>
                <w:u w:val="none"/>
              </w:rPr>
            </w:pPr>
            <w:r>
              <w:rPr>
                <w:rFonts w:ascii="Times New Roman" w:hAnsi="Times New Roman" w:eastAsia="宋体" w:cs="Times New Roman"/>
                <w:bCs/>
                <w:szCs w:val="21"/>
                <w:highlight w:val="none"/>
                <w:u w:val="none"/>
              </w:rPr>
              <w:t>1</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bCs/>
                <w:szCs w:val="21"/>
                <w:highlight w:val="none"/>
                <w:u w:val="none"/>
              </w:rPr>
              <w:t>占用国家重要湿地，国家重大项目、防灾减灾项目、重要水利及保护设施项目、湿地保护项目等除外。</w:t>
            </w:r>
            <w:r>
              <w:rPr>
                <w:rFonts w:ascii="Times New Roman" w:hAnsi="宋体" w:eastAsia="宋体" w:cs="Times New Roman"/>
                <w:szCs w:val="21"/>
                <w:highlight w:val="none"/>
                <w:u w:val="none"/>
              </w:rPr>
              <w:t>建设项目选址、选线应当避让湿地，无法避让的应当尽量减少占用。建设项目规划选址、选线审批或者核准时，涉及国家重要湿地的，应当征求国务院林业草原主管部门的意见；涉及省级重要湿地或者一般湿地的，应当按照管理权限，征求县级以上地方人民政府授权的部门的意见。</w:t>
            </w:r>
          </w:p>
          <w:p>
            <w:pPr>
              <w:adjustRightInd w:val="0"/>
              <w:snapToGrid w:val="0"/>
              <w:rPr>
                <w:rFonts w:ascii="Times New Roman" w:hAnsi="Times New Roman" w:eastAsia="宋体" w:cs="Times New Roman"/>
                <w:bCs/>
                <w:szCs w:val="21"/>
                <w:highlight w:val="none"/>
                <w:u w:val="none"/>
              </w:rPr>
            </w:pPr>
            <w:r>
              <w:rPr>
                <w:rFonts w:ascii="Times New Roman" w:hAnsi="Times New Roman" w:eastAsia="宋体" w:cs="Times New Roman"/>
                <w:bCs/>
                <w:szCs w:val="21"/>
                <w:highlight w:val="none"/>
                <w:u w:val="none"/>
              </w:rPr>
              <w:t>2</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bCs/>
                <w:szCs w:val="21"/>
                <w:highlight w:val="none"/>
                <w:u w:val="none"/>
              </w:rPr>
              <w:t>下列破坏湿地及其生态功能的行为：</w:t>
            </w:r>
          </w:p>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1</w:t>
            </w:r>
            <w:r>
              <w:rPr>
                <w:rFonts w:ascii="Times New Roman" w:hAnsi="宋体" w:eastAsia="宋体" w:cs="Times New Roman"/>
                <w:bCs/>
                <w:szCs w:val="21"/>
                <w:highlight w:val="none"/>
                <w:u w:val="none"/>
              </w:rPr>
              <w:t>）开（围）垦、排干自然湿地，永久性截断自然湿地水源；</w:t>
            </w:r>
          </w:p>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2</w:t>
            </w:r>
            <w:r>
              <w:rPr>
                <w:rFonts w:ascii="Times New Roman" w:hAnsi="宋体" w:eastAsia="宋体" w:cs="Times New Roman"/>
                <w:bCs/>
                <w:szCs w:val="21"/>
                <w:highlight w:val="none"/>
                <w:u w:val="none"/>
              </w:rPr>
              <w:t>）擅自填埋自然湿地，擅自采砂、采矿、取土；</w:t>
            </w:r>
          </w:p>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3</w:t>
            </w:r>
            <w:r>
              <w:rPr>
                <w:rFonts w:ascii="Times New Roman" w:hAnsi="宋体" w:eastAsia="宋体" w:cs="Times New Roman"/>
                <w:bCs/>
                <w:szCs w:val="21"/>
                <w:highlight w:val="none"/>
                <w:u w:val="none"/>
              </w:rPr>
              <w:t>）排放不符合水污染物排放标准的工业废水、生活污水及其他污染湿地的废水、污水，倾倒、堆放、丢弃、遗撒固体废物；</w:t>
            </w:r>
          </w:p>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4</w:t>
            </w:r>
            <w:r>
              <w:rPr>
                <w:rFonts w:ascii="Times New Roman" w:hAnsi="宋体" w:eastAsia="宋体" w:cs="Times New Roman"/>
                <w:bCs/>
                <w:szCs w:val="21"/>
                <w:highlight w:val="none"/>
                <w:u w:val="none"/>
              </w:rPr>
              <w:t>）过度放牧或者滥采野生植物，过度捕捞或者灭绝式捕捞，过度施肥、投药、投放饵料等污染湿地的种植养殖行为；</w:t>
            </w:r>
          </w:p>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bCs/>
                <w:szCs w:val="21"/>
                <w:highlight w:val="none"/>
                <w:u w:val="none"/>
              </w:rPr>
              <w:t>（</w:t>
            </w:r>
            <w:r>
              <w:rPr>
                <w:rFonts w:ascii="Times New Roman" w:hAnsi="Times New Roman" w:eastAsia="宋体" w:cs="Times New Roman"/>
                <w:bCs/>
                <w:szCs w:val="21"/>
                <w:highlight w:val="none"/>
                <w:u w:val="none"/>
              </w:rPr>
              <w:t>5</w:t>
            </w:r>
            <w:r>
              <w:rPr>
                <w:rFonts w:ascii="Times New Roman" w:hAnsi="宋体" w:eastAsia="宋体" w:cs="Times New Roman"/>
                <w:bCs/>
                <w:szCs w:val="21"/>
                <w:highlight w:val="none"/>
                <w:u w:val="none"/>
              </w:rPr>
              <w:t>）其他破坏湿地及其生态功能的行为。</w:t>
            </w:r>
          </w:p>
          <w:p>
            <w:pPr>
              <w:adjustRightInd w:val="0"/>
              <w:snapToGrid w:val="0"/>
              <w:rPr>
                <w:rFonts w:ascii="Times New Roman" w:hAnsi="Times New Roman" w:eastAsia="宋体" w:cs="Times New Roman"/>
                <w:bCs/>
                <w:szCs w:val="21"/>
                <w:highlight w:val="none"/>
                <w:u w:val="none"/>
              </w:rPr>
            </w:pPr>
            <w:r>
              <w:rPr>
                <w:rFonts w:ascii="Times New Roman" w:hAnsi="Times New Roman" w:eastAsia="宋体" w:cs="Times New Roman"/>
                <w:bCs/>
                <w:szCs w:val="21"/>
                <w:highlight w:val="none"/>
                <w:u w:val="none"/>
              </w:rPr>
              <w:t>3</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bCs/>
                <w:szCs w:val="21"/>
                <w:highlight w:val="none"/>
                <w:u w:val="none"/>
              </w:rPr>
              <w:t>向湿地引进和放生外来物种，确需引进的应当进行科学评估，并依法取得批准。</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4</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bCs/>
                <w:szCs w:val="21"/>
                <w:highlight w:val="none"/>
                <w:u w:val="none"/>
              </w:rPr>
              <w:t>在以水鸟为保护对象的自然保护地及其他重要栖息地从事捕鱼、挖捕底栖生物、捡拾鸟蛋、破坏鸟巢等危及水鸟生存、繁衍的活动。</w:t>
            </w:r>
          </w:p>
          <w:p>
            <w:pPr>
              <w:pStyle w:val="4"/>
              <w:rPr>
                <w:rFonts w:ascii="Times New Roman" w:hAnsi="Times New Roman" w:eastAsia="宋体" w:cs="Times New Roman"/>
                <w:kern w:val="2"/>
                <w:sz w:val="21"/>
                <w:szCs w:val="21"/>
                <w:highlight w:val="none"/>
                <w:u w:val="none"/>
                <w:lang w:val="en-US" w:bidi="ar-SA"/>
              </w:rPr>
            </w:pPr>
            <w:r>
              <w:rPr>
                <w:rFonts w:ascii="Times New Roman" w:hAnsi="Times New Roman" w:eastAsia="宋体" w:cs="Times New Roman"/>
                <w:kern w:val="2"/>
                <w:sz w:val="21"/>
                <w:szCs w:val="21"/>
                <w:highlight w:val="none"/>
                <w:u w:val="none"/>
                <w:lang w:val="en-US" w:bidi="ar-SA"/>
              </w:rPr>
              <w:t>5</w:t>
            </w:r>
            <w:r>
              <w:rPr>
                <w:rFonts w:ascii="Times New Roman" w:hAnsi="宋体" w:eastAsia="宋体" w:cs="Times New Roman"/>
                <w:kern w:val="2"/>
                <w:sz w:val="21"/>
                <w:szCs w:val="21"/>
                <w:highlight w:val="none"/>
                <w:u w:val="none"/>
                <w:lang w:val="en-US" w:bidi="ar-SA"/>
              </w:rPr>
              <w:t>．严格控制征占用滨海湿地的围填海工程，禁止在重要水生生物的自然产卵场、繁殖场、索饵场和鸟类栖息地进行围填海活动。</w:t>
            </w:r>
          </w:p>
          <w:p>
            <w:pPr>
              <w:pStyle w:val="4"/>
              <w:rPr>
                <w:rFonts w:ascii="Times New Roman" w:hAnsi="Times New Roman" w:eastAsia="宋体" w:cs="Times New Roman"/>
                <w:kern w:val="2"/>
                <w:sz w:val="21"/>
                <w:szCs w:val="21"/>
                <w:highlight w:val="none"/>
                <w:u w:val="none"/>
                <w:lang w:val="en-US" w:bidi="ar-SA"/>
              </w:rPr>
            </w:pPr>
            <w:r>
              <w:rPr>
                <w:rFonts w:ascii="Times New Roman" w:hAnsi="Times New Roman" w:eastAsia="宋体" w:cs="Times New Roman"/>
                <w:kern w:val="2"/>
                <w:sz w:val="21"/>
                <w:szCs w:val="21"/>
                <w:highlight w:val="none"/>
                <w:u w:val="none"/>
                <w:lang w:val="en-US" w:bidi="ar-SA"/>
              </w:rPr>
              <w:t>6</w:t>
            </w:r>
            <w:r>
              <w:rPr>
                <w:rFonts w:ascii="Times New Roman" w:hAnsi="宋体" w:eastAsia="宋体" w:cs="Times New Roman"/>
                <w:kern w:val="2"/>
                <w:sz w:val="21"/>
                <w:szCs w:val="21"/>
                <w:highlight w:val="none"/>
                <w:u w:val="none"/>
                <w:lang w:val="en-US" w:bidi="ar-SA"/>
              </w:rPr>
              <w:t>．禁止占用红树林湿地。确因国家重大项目、防灾减灾等需要占用的，应当依照有关法律规定办理。禁止在红树林湿地挖塘，禁止采伐、采挖、移植红树林或者过度采摘红树林种子，禁止投放、种植危害红树林生长的物种。因科研、医药或者红树林湿地保护等需要采伐、采挖、移植、采摘的，应</w:t>
            </w:r>
          </w:p>
          <w:p>
            <w:pPr>
              <w:pStyle w:val="4"/>
              <w:rPr>
                <w:rFonts w:ascii="Times New Roman" w:hAnsi="Times New Roman" w:eastAsia="宋体" w:cs="Times New Roman"/>
                <w:kern w:val="2"/>
                <w:sz w:val="21"/>
                <w:szCs w:val="21"/>
                <w:highlight w:val="none"/>
                <w:u w:val="none"/>
                <w:lang w:val="en-US" w:bidi="ar-SA"/>
              </w:rPr>
            </w:pPr>
            <w:r>
              <w:rPr>
                <w:rFonts w:ascii="Times New Roman" w:hAnsi="宋体" w:eastAsia="宋体" w:cs="Times New Roman"/>
                <w:kern w:val="2"/>
                <w:sz w:val="21"/>
                <w:szCs w:val="21"/>
                <w:highlight w:val="none"/>
                <w:u w:val="none"/>
                <w:lang w:val="en-US" w:bidi="ar-SA"/>
              </w:rPr>
              <w:t>当依照有关法律法规办理。</w:t>
            </w:r>
          </w:p>
          <w:p>
            <w:pPr>
              <w:pStyle w:val="4"/>
              <w:rPr>
                <w:rFonts w:ascii="Times New Roman" w:hAnsi="Times New Roman" w:eastAsia="宋体" w:cs="Times New Roman"/>
                <w:kern w:val="2"/>
                <w:sz w:val="21"/>
                <w:szCs w:val="21"/>
                <w:highlight w:val="none"/>
                <w:u w:val="none"/>
                <w:lang w:val="en-US" w:bidi="ar-SA"/>
              </w:rPr>
            </w:pPr>
            <w:r>
              <w:rPr>
                <w:rFonts w:ascii="Times New Roman" w:hAnsi="Times New Roman" w:eastAsia="宋体" w:cs="Times New Roman"/>
                <w:kern w:val="2"/>
                <w:sz w:val="21"/>
                <w:szCs w:val="21"/>
                <w:highlight w:val="none"/>
                <w:u w:val="none"/>
                <w:lang w:val="en-US" w:bidi="ar-SA"/>
              </w:rPr>
              <w:t>7</w:t>
            </w:r>
            <w:r>
              <w:rPr>
                <w:rFonts w:ascii="Times New Roman" w:hAnsi="宋体" w:eastAsia="宋体" w:cs="Times New Roman"/>
                <w:kern w:val="2"/>
                <w:sz w:val="21"/>
                <w:szCs w:val="21"/>
                <w:highlight w:val="none"/>
                <w:u w:val="none"/>
                <w:lang w:val="en-US" w:bidi="ar-SA"/>
              </w:rPr>
              <w:t>．</w:t>
            </w:r>
            <w:r>
              <w:rPr>
                <w:rFonts w:ascii="Times New Roman" w:hAnsi="宋体" w:eastAsia="宋体" w:cs="Times New Roman"/>
                <w:b/>
                <w:bCs/>
                <w:kern w:val="2"/>
                <w:sz w:val="21"/>
                <w:szCs w:val="21"/>
                <w:highlight w:val="none"/>
                <w:u w:val="none"/>
                <w:lang w:val="en-US" w:bidi="ar-SA"/>
              </w:rPr>
              <w:t>禁止</w:t>
            </w:r>
            <w:r>
              <w:rPr>
                <w:rFonts w:ascii="Times New Roman" w:hAnsi="宋体" w:eastAsia="宋体" w:cs="Times New Roman"/>
                <w:kern w:val="2"/>
                <w:sz w:val="21"/>
                <w:szCs w:val="21"/>
                <w:highlight w:val="none"/>
                <w:u w:val="none"/>
                <w:lang w:val="en-US" w:bidi="ar-SA"/>
              </w:rPr>
              <w:t>在泥炭沼泽湿地开采泥炭或者擅自开采地下水；</w:t>
            </w:r>
            <w:r>
              <w:rPr>
                <w:rFonts w:ascii="Times New Roman" w:hAnsi="宋体" w:eastAsia="宋体" w:cs="Times New Roman"/>
                <w:b/>
                <w:bCs/>
                <w:kern w:val="2"/>
                <w:sz w:val="21"/>
                <w:szCs w:val="21"/>
                <w:highlight w:val="none"/>
                <w:u w:val="none"/>
                <w:lang w:val="en-US" w:bidi="ar-SA"/>
              </w:rPr>
              <w:t>禁止</w:t>
            </w:r>
            <w:r>
              <w:rPr>
                <w:rFonts w:ascii="Times New Roman" w:hAnsi="宋体" w:eastAsia="宋体" w:cs="Times New Roman"/>
                <w:kern w:val="2"/>
                <w:sz w:val="21"/>
                <w:szCs w:val="21"/>
                <w:highlight w:val="none"/>
                <w:u w:val="none"/>
                <w:lang w:val="en-US" w:bidi="ar-SA"/>
              </w:rPr>
              <w:t>将泥炭沼泽湿地蓄水向外排放，因防灾</w:t>
            </w:r>
          </w:p>
          <w:p>
            <w:pPr>
              <w:pStyle w:val="4"/>
              <w:rPr>
                <w:rFonts w:ascii="Times New Roman" w:hAnsi="Times New Roman" w:eastAsia="宋体" w:cs="Times New Roman"/>
                <w:kern w:val="2"/>
                <w:sz w:val="21"/>
                <w:szCs w:val="21"/>
                <w:highlight w:val="none"/>
                <w:u w:val="none"/>
                <w:lang w:val="en-US" w:bidi="ar-SA"/>
              </w:rPr>
            </w:pPr>
            <w:r>
              <w:rPr>
                <w:rFonts w:ascii="Times New Roman" w:hAnsi="宋体" w:eastAsia="宋体" w:cs="Times New Roman"/>
                <w:kern w:val="2"/>
                <w:sz w:val="21"/>
                <w:szCs w:val="21"/>
                <w:highlight w:val="none"/>
                <w:u w:val="none"/>
                <w:lang w:val="en-US" w:bidi="ar-SA"/>
              </w:rPr>
              <w:t>减灾需要的除外。</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8</w:t>
            </w:r>
            <w:r>
              <w:rPr>
                <w:rFonts w:ascii="Times New Roman" w:hAnsi="宋体" w:eastAsia="宋体" w:cs="Times New Roman"/>
                <w:bCs/>
                <w:szCs w:val="21"/>
                <w:highlight w:val="none"/>
                <w:u w:val="none"/>
              </w:rPr>
              <w:t>．建设项目确需临时占用湿地的，</w:t>
            </w:r>
            <w:r>
              <w:rPr>
                <w:rFonts w:ascii="Times New Roman" w:hAnsi="宋体" w:eastAsia="宋体" w:cs="Times New Roman"/>
                <w:szCs w:val="21"/>
                <w:highlight w:val="none"/>
                <w:u w:val="none"/>
              </w:rPr>
              <w:t>应当依照《中华人民共和国土地管理法》、《中华人民共和国水法》、《中华人民共和国森林法》、《中华人民共和国草原法》、《中华人民共和国海域使用管理法》等有关法律法规的规定办理。临时占用湿地的期限一般</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超过二年，并</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在临时占用的湿地上修建永久性建筑物；临时占用期满后一年内，用地单位或者个人应当恢复湿地面积和生态条件。</w:t>
            </w:r>
          </w:p>
        </w:tc>
        <w:tc>
          <w:tcPr>
            <w:tcW w:w="6847" w:type="dxa"/>
            <w:vAlign w:val="center"/>
          </w:tcPr>
          <w:p>
            <w:pPr>
              <w:adjustRightInd w:val="0"/>
              <w:snapToGrid w:val="0"/>
              <w:rPr>
                <w:rFonts w:ascii="Times New Roman" w:hAnsi="Times New Roman" w:eastAsia="宋体" w:cs="Times New Roman"/>
                <w:bCs/>
                <w:szCs w:val="21"/>
                <w:highlight w:val="none"/>
                <w:u w:val="none"/>
              </w:rPr>
            </w:pPr>
            <w:r>
              <w:rPr>
                <w:rFonts w:ascii="Times New Roman" w:hAnsi="宋体" w:eastAsia="宋体" w:cs="Times New Roman"/>
                <w:szCs w:val="21"/>
                <w:highlight w:val="none"/>
                <w:u w:val="none"/>
              </w:rPr>
              <w:t>依据《中华人民共和国湿地保护法》、《湿地保护管理规定（</w:t>
            </w:r>
            <w:r>
              <w:rPr>
                <w:rFonts w:ascii="Times New Roman" w:hAnsi="Times New Roman" w:eastAsia="宋体" w:cs="Times New Roman"/>
                <w:szCs w:val="21"/>
                <w:highlight w:val="none"/>
                <w:u w:val="none"/>
              </w:rPr>
              <w:t>2017</w:t>
            </w:r>
            <w:r>
              <w:rPr>
                <w:rFonts w:ascii="Times New Roman" w:hAnsi="宋体" w:eastAsia="宋体" w:cs="Times New Roman"/>
                <w:szCs w:val="21"/>
                <w:highlight w:val="none"/>
                <w:u w:val="none"/>
              </w:rPr>
              <w:t>年修正本）》、《广西壮族自治区湿地保护条例（</w:t>
            </w:r>
            <w:r>
              <w:rPr>
                <w:rFonts w:ascii="Times New Roman" w:hAnsi="Times New Roman" w:eastAsia="宋体" w:cs="Times New Roman"/>
                <w:szCs w:val="21"/>
                <w:highlight w:val="none"/>
                <w:u w:val="none"/>
              </w:rPr>
              <w:t>2014</w:t>
            </w:r>
            <w:r>
              <w:rPr>
                <w:rFonts w:ascii="Times New Roman" w:hAnsi="宋体" w:eastAsia="宋体" w:cs="Times New Roman"/>
                <w:szCs w:val="21"/>
                <w:highlight w:val="none"/>
                <w:u w:val="none"/>
              </w:rPr>
              <w:t>年</w:t>
            </w:r>
            <w:r>
              <w:rPr>
                <w:rFonts w:ascii="Times New Roman" w:hAnsi="Times New Roman" w:eastAsia="宋体" w:cs="Times New Roman"/>
                <w:szCs w:val="21"/>
                <w:highlight w:val="none"/>
                <w:u w:val="none"/>
              </w:rPr>
              <w:t>11</w:t>
            </w:r>
            <w:r>
              <w:rPr>
                <w:rFonts w:ascii="Times New Roman" w:hAnsi="宋体" w:eastAsia="宋体" w:cs="Times New Roman"/>
                <w:szCs w:val="21"/>
                <w:highlight w:val="none"/>
                <w:u w:val="none"/>
              </w:rPr>
              <w:t>月）》和《关于加强滨海湿地管理与保护工作的指导意见》（国海环字〔</w:t>
            </w:r>
            <w:r>
              <w:rPr>
                <w:rFonts w:ascii="Times New Roman" w:hAnsi="Times New Roman" w:eastAsia="宋体" w:cs="Times New Roman"/>
                <w:szCs w:val="21"/>
                <w:highlight w:val="none"/>
                <w:u w:val="none"/>
              </w:rPr>
              <w:t>2016</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664</w:t>
            </w:r>
            <w:r>
              <w:rPr>
                <w:rFonts w:ascii="Times New Roman" w:hAnsi="宋体" w:eastAsia="宋体" w:cs="Times New Roman"/>
                <w:szCs w:val="21"/>
                <w:highlight w:val="none"/>
                <w:u w:val="none"/>
              </w:rPr>
              <w:t>号）的相关要求，提出管控要求。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7"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湿地公园</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Cs/>
                <w:szCs w:val="21"/>
                <w:highlight w:val="none"/>
                <w:u w:val="none"/>
              </w:rPr>
              <w:t>保育区除开展保护、监测、科学研究等必需的保护管理活动外，</w:t>
            </w:r>
            <w:r>
              <w:rPr>
                <w:rFonts w:ascii="Times New Roman" w:hAnsi="宋体" w:eastAsia="宋体" w:cs="Times New Roman"/>
                <w:b/>
                <w:szCs w:val="21"/>
                <w:highlight w:val="none"/>
                <w:u w:val="none"/>
              </w:rPr>
              <w:t>不得</w:t>
            </w:r>
            <w:r>
              <w:rPr>
                <w:rFonts w:ascii="Times New Roman" w:hAnsi="宋体" w:eastAsia="宋体" w:cs="Times New Roman"/>
                <w:bCs/>
                <w:szCs w:val="21"/>
                <w:highlight w:val="none"/>
                <w:u w:val="none"/>
              </w:rPr>
              <w:t>进行任何与湿地生态系统保护和管理无关的其他活动。</w:t>
            </w:r>
            <w:r>
              <w:rPr>
                <w:rFonts w:ascii="Times New Roman" w:hAnsi="宋体" w:eastAsia="宋体" w:cs="Times New Roman"/>
                <w:szCs w:val="21"/>
                <w:highlight w:val="none"/>
                <w:u w:val="none"/>
              </w:rPr>
              <w:t>恢复重建区应当开展培育和恢复湿地的相关活动。合理利用区应当开展以生态展示、科普教育为主的宣教活动，可开展不损害湿地生态系统功能的生态体验及管理服务等活动。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擅自征收、占用湿地公园的土地。确需征收、占用的，用地单位应当征求同级人民政府林业主管部门和该湿地主管部门的意见后，方可依法办理相关手续。</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擅自开（围）垦、填埋、占用湿地、排干湿地或者改变湿地用途。</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截断湿地水源或者堵截湿地水系与外围水系的通道。</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擅自挖沙、采矿、挖塘、采石、取土、烧荒、采集泥炭。</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倾倒有毒有害物质、废弃物、垃圾。</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从事房地产、度假村、高尔夫球场、风力发电、光伏发电等任何不符合主体功能定位的建设项目和开发活动。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破坏野生动物重要繁殖区及栖息地和迁徙通道、鱼类等水生生物洄游通道，</w:t>
            </w:r>
            <w:r>
              <w:rPr>
                <w:rFonts w:ascii="Times New Roman" w:hAnsi="宋体" w:eastAsia="宋体" w:cs="Times New Roman"/>
                <w:b/>
                <w:szCs w:val="21"/>
                <w:highlight w:val="none"/>
                <w:u w:val="none"/>
              </w:rPr>
              <w:t>不得</w:t>
            </w:r>
            <w:r>
              <w:rPr>
                <w:rFonts w:ascii="Times New Roman" w:hAnsi="宋体" w:eastAsia="宋体" w:cs="Times New Roman"/>
                <w:szCs w:val="21"/>
                <w:highlight w:val="none"/>
                <w:u w:val="none"/>
              </w:rPr>
              <w:t>滥采滥捕野生动植物，</w:t>
            </w:r>
            <w:r>
              <w:rPr>
                <w:rFonts w:ascii="Times New Roman" w:hAnsi="宋体" w:eastAsia="宋体" w:cs="Times New Roman"/>
                <w:b/>
                <w:szCs w:val="21"/>
                <w:highlight w:val="none"/>
                <w:u w:val="none"/>
              </w:rPr>
              <w:t>不得</w:t>
            </w:r>
            <w:r>
              <w:rPr>
                <w:rFonts w:ascii="Times New Roman" w:hAnsi="宋体" w:eastAsia="宋体" w:cs="Times New Roman"/>
                <w:szCs w:val="21"/>
                <w:highlight w:val="none"/>
                <w:u w:val="none"/>
              </w:rPr>
              <w:t>抓捕国家和自治区重点保护野生动物，</w:t>
            </w:r>
            <w:r>
              <w:rPr>
                <w:rFonts w:ascii="Times New Roman" w:hAnsi="宋体" w:eastAsia="宋体" w:cs="Times New Roman"/>
                <w:b/>
                <w:szCs w:val="21"/>
                <w:highlight w:val="none"/>
                <w:u w:val="none"/>
              </w:rPr>
              <w:t>不得</w:t>
            </w:r>
            <w:r>
              <w:rPr>
                <w:rFonts w:ascii="Times New Roman" w:hAnsi="宋体" w:eastAsia="宋体" w:cs="Times New Roman"/>
                <w:szCs w:val="21"/>
                <w:highlight w:val="none"/>
                <w:u w:val="none"/>
              </w:rPr>
              <w:t>捡拾、损坏鸟卵和鸟巢。</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使用电鱼、水枪喷射等破坏湿地生态资源的方法捕捞鱼类以及其他水生动物。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投放有害物种或者擅自引入外来物种。</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擅自放牧、捕捞、取土、取水、排污、放生。</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投放有毒有害物质、倾倒废弃物和污染物或者排放未达到排放标准的污水。</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破坏湿地保护设施设备。</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擅自建造建筑物、构筑物。</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bCs/>
                <w:szCs w:val="21"/>
                <w:highlight w:val="none"/>
                <w:u w:val="none"/>
              </w:rPr>
              <w:t>严格控制征占用滨海湿地的围填海工程，</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在重要水生生物的自然产卵场、繁殖场、索饵场和鸟类栖息地进行围填海活动。</w:t>
            </w:r>
          </w:p>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其他破坏湿地及其生态功能的活动。</w:t>
            </w:r>
          </w:p>
        </w:tc>
        <w:tc>
          <w:tcPr>
            <w:tcW w:w="6847" w:type="dxa"/>
            <w:vAlign w:val="center"/>
          </w:tcPr>
          <w:p>
            <w:pPr>
              <w:adjustRightInd w:val="0"/>
              <w:snapToGrid w:val="0"/>
              <w:rPr>
                <w:rFonts w:ascii="Times New Roman" w:hAnsi="Times New Roman" w:eastAsia="宋体" w:cs="Times New Roman"/>
                <w:b/>
                <w:szCs w:val="21"/>
                <w:highlight w:val="none"/>
                <w:u w:val="none"/>
              </w:rPr>
            </w:pPr>
            <w:r>
              <w:rPr>
                <w:rFonts w:ascii="Times New Roman" w:hAnsi="宋体" w:eastAsia="宋体" w:cs="Times New Roman"/>
                <w:szCs w:val="21"/>
                <w:highlight w:val="none"/>
                <w:u w:val="none"/>
              </w:rPr>
              <w:t>依据《中华人民共和国湿地保护法》、《国家湿地公园管理办法》（林湿规〔</w:t>
            </w:r>
            <w:r>
              <w:rPr>
                <w:rFonts w:ascii="Times New Roman" w:hAnsi="Times New Roman" w:eastAsia="宋体" w:cs="Times New Roman"/>
                <w:szCs w:val="21"/>
                <w:highlight w:val="none"/>
                <w:u w:val="none"/>
              </w:rPr>
              <w:t>2022</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号）、《国家级自然公园管理办法（试行）》（林保规〔</w:t>
            </w:r>
            <w:r>
              <w:rPr>
                <w:rFonts w:ascii="Times New Roman" w:hAnsi="Times New Roman" w:eastAsia="宋体" w:cs="Times New Roman"/>
                <w:szCs w:val="21"/>
                <w:highlight w:val="none"/>
                <w:u w:val="none"/>
              </w:rPr>
              <w:t>2023</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号）、《湿地保护管理规定（</w:t>
            </w:r>
            <w:r>
              <w:rPr>
                <w:rFonts w:ascii="Times New Roman" w:hAnsi="Times New Roman" w:eastAsia="宋体" w:cs="Times New Roman"/>
                <w:szCs w:val="21"/>
                <w:highlight w:val="none"/>
                <w:u w:val="none"/>
              </w:rPr>
              <w:t>2017</w:t>
            </w:r>
            <w:r>
              <w:rPr>
                <w:rFonts w:ascii="Times New Roman" w:hAnsi="宋体" w:eastAsia="宋体" w:cs="Times New Roman"/>
                <w:szCs w:val="21"/>
                <w:highlight w:val="none"/>
                <w:u w:val="none"/>
              </w:rPr>
              <w:t>年修正本）》、《广西壮族自治区湿地保护条例（</w:t>
            </w:r>
            <w:r>
              <w:rPr>
                <w:rFonts w:ascii="Times New Roman" w:hAnsi="Times New Roman" w:eastAsia="宋体" w:cs="Times New Roman"/>
                <w:szCs w:val="21"/>
                <w:highlight w:val="none"/>
                <w:u w:val="none"/>
              </w:rPr>
              <w:t>2014</w:t>
            </w:r>
            <w:r>
              <w:rPr>
                <w:rFonts w:ascii="Times New Roman" w:hAnsi="宋体" w:eastAsia="宋体" w:cs="Times New Roman"/>
                <w:szCs w:val="21"/>
                <w:highlight w:val="none"/>
                <w:u w:val="none"/>
              </w:rPr>
              <w:t>年</w:t>
            </w:r>
            <w:r>
              <w:rPr>
                <w:rFonts w:ascii="Times New Roman" w:hAnsi="Times New Roman" w:eastAsia="宋体" w:cs="Times New Roman"/>
                <w:szCs w:val="21"/>
                <w:highlight w:val="none"/>
                <w:u w:val="none"/>
              </w:rPr>
              <w:t>11</w:t>
            </w:r>
            <w:r>
              <w:rPr>
                <w:rFonts w:ascii="Times New Roman" w:hAnsi="宋体" w:eastAsia="宋体" w:cs="Times New Roman"/>
                <w:szCs w:val="21"/>
                <w:highlight w:val="none"/>
                <w:u w:val="none"/>
              </w:rPr>
              <w:t>月）》、《广西壮族自治区湿地公园管理暂行办法》（桂林发〔</w:t>
            </w:r>
            <w:r>
              <w:rPr>
                <w:rFonts w:ascii="Times New Roman" w:hAnsi="Times New Roman" w:eastAsia="宋体" w:cs="Times New Roman"/>
                <w:szCs w:val="21"/>
                <w:highlight w:val="none"/>
                <w:u w:val="none"/>
              </w:rPr>
              <w:t>2018</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18</w:t>
            </w:r>
            <w:r>
              <w:rPr>
                <w:rFonts w:ascii="Times New Roman" w:hAnsi="宋体" w:eastAsia="宋体" w:cs="Times New Roman"/>
                <w:szCs w:val="21"/>
                <w:highlight w:val="none"/>
                <w:u w:val="none"/>
              </w:rPr>
              <w:t>号）和《关于加强滨海湿地管理与保护工作的指导意见》（国海环字〔</w:t>
            </w:r>
            <w:r>
              <w:rPr>
                <w:rFonts w:ascii="Times New Roman" w:hAnsi="Times New Roman" w:eastAsia="宋体" w:cs="Times New Roman"/>
                <w:szCs w:val="21"/>
                <w:highlight w:val="none"/>
                <w:u w:val="none"/>
              </w:rPr>
              <w:t>2016</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664</w:t>
            </w:r>
            <w:r>
              <w:rPr>
                <w:rFonts w:ascii="Times New Roman" w:hAnsi="宋体" w:eastAsia="宋体" w:cs="Times New Roman"/>
                <w:szCs w:val="21"/>
                <w:highlight w:val="none"/>
                <w:u w:val="none"/>
              </w:rPr>
              <w:t>号）相关要求，提出</w:t>
            </w:r>
            <w:r>
              <w:rPr>
                <w:rFonts w:ascii="Times New Roman" w:hAnsi="宋体" w:eastAsia="宋体" w:cs="Times New Roman"/>
                <w:kern w:val="0"/>
                <w:szCs w:val="21"/>
                <w:highlight w:val="none"/>
                <w:u w:val="none"/>
              </w:rPr>
              <w:t>了管控要求。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6"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地质公园</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．要依据法律法规规定和相关规划实施强制性保护，严格控制人为因素对自然生态和地质自然遗产原真性、完整性的干扰，严禁不符合主体功能定位的各类开发活动。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．禁止进行采石、取土、开矿、放牧、砍伐以及其他对保护对象有损害的活动。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．未经管理机构批准，</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在地质公园范围内采集标本和化石。</w:t>
            </w:r>
          </w:p>
          <w:p>
            <w:pPr>
              <w:adjustRightInd w:val="0"/>
              <w:snapToGrid w:val="0"/>
              <w:rPr>
                <w:rFonts w:ascii="Times New Roman" w:hAnsi="Times New Roman" w:eastAsia="宋体" w:cs="Times New Roman"/>
                <w:b/>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．在公园保护区内</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修建与地质遗迹保护无关的厂房或其他建筑设施。</w:t>
            </w:r>
          </w:p>
          <w:p>
            <w:pPr>
              <w:adjustRightInd w:val="0"/>
              <w:snapToGrid w:val="0"/>
              <w:rPr>
                <w:rFonts w:ascii="Times New Roman" w:hAnsi="Times New Roman" w:eastAsia="宋体" w:cs="Times New Roman"/>
                <w:b/>
                <w:szCs w:val="21"/>
                <w:highlight w:val="none"/>
                <w:u w:val="none"/>
              </w:rPr>
            </w:pPr>
            <w:r>
              <w:rPr>
                <w:rFonts w:ascii="Times New Roman" w:hAnsi="Times New Roman" w:eastAsia="宋体" w:cs="Times New Roman"/>
                <w:szCs w:val="21"/>
                <w:highlight w:val="none"/>
                <w:u w:val="none"/>
              </w:rPr>
              <w:t>5</w:t>
            </w:r>
            <w:r>
              <w:rPr>
                <w:rFonts w:ascii="Times New Roman" w:hAnsi="宋体" w:eastAsia="宋体" w:cs="Times New Roman"/>
                <w:szCs w:val="21"/>
                <w:highlight w:val="none"/>
                <w:u w:val="none"/>
              </w:rPr>
              <w:t>．地质公园内特级保护点（区）不允许游客进入，以保护和科研为目的的人员经地质公园管理部门批准后方可进入。</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依据《国家级自然公园管理办法（试行）》（林保规〔</w:t>
            </w:r>
            <w:r>
              <w:rPr>
                <w:rFonts w:ascii="Times New Roman" w:hAnsi="Times New Roman" w:eastAsia="宋体" w:cs="Times New Roman"/>
                <w:szCs w:val="21"/>
                <w:highlight w:val="none"/>
                <w:u w:val="none"/>
              </w:rPr>
              <w:t>2023</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号）、《全国主体功能区规划（</w:t>
            </w:r>
            <w:r>
              <w:rPr>
                <w:rFonts w:ascii="Times New Roman" w:hAnsi="Times New Roman" w:eastAsia="宋体" w:cs="Times New Roman"/>
                <w:szCs w:val="21"/>
                <w:highlight w:val="none"/>
                <w:u w:val="none"/>
              </w:rPr>
              <w:t>2010</w:t>
            </w:r>
            <w:r>
              <w:rPr>
                <w:rFonts w:ascii="Times New Roman" w:hAnsi="宋体" w:eastAsia="宋体" w:cs="Times New Roman"/>
                <w:szCs w:val="21"/>
                <w:highlight w:val="none"/>
                <w:u w:val="none"/>
              </w:rPr>
              <w:t>年）》，参考《国家地质公园规划编制技术要求》（</w:t>
            </w:r>
            <w:r>
              <w:rPr>
                <w:rFonts w:ascii="Times New Roman" w:hAnsi="Times New Roman" w:eastAsia="宋体" w:cs="Times New Roman"/>
                <w:szCs w:val="21"/>
                <w:highlight w:val="none"/>
                <w:u w:val="none"/>
              </w:rPr>
              <w:t>2016</w:t>
            </w:r>
            <w:r>
              <w:rPr>
                <w:rFonts w:ascii="Times New Roman" w:hAnsi="宋体" w:eastAsia="宋体" w:cs="Times New Roman"/>
                <w:szCs w:val="21"/>
                <w:highlight w:val="none"/>
                <w:u w:val="none"/>
              </w:rPr>
              <w:t>年</w:t>
            </w:r>
            <w:r>
              <w:rPr>
                <w:rFonts w:ascii="Times New Roman" w:hAnsi="Times New Roman" w:eastAsia="宋体" w:cs="Times New Roman"/>
                <w:szCs w:val="21"/>
                <w:highlight w:val="none"/>
                <w:u w:val="none"/>
              </w:rPr>
              <w:t>7</w:t>
            </w:r>
            <w:r>
              <w:rPr>
                <w:rFonts w:ascii="Times New Roman" w:hAnsi="宋体" w:eastAsia="宋体" w:cs="Times New Roman"/>
                <w:szCs w:val="21"/>
                <w:highlight w:val="none"/>
                <w:u w:val="none"/>
              </w:rPr>
              <w:t>月</w:t>
            </w:r>
            <w:r>
              <w:rPr>
                <w:rFonts w:ascii="Times New Roman" w:hAnsi="Times New Roman" w:eastAsia="宋体" w:cs="Times New Roman"/>
                <w:szCs w:val="21"/>
                <w:highlight w:val="none"/>
                <w:u w:val="none"/>
              </w:rPr>
              <w:t>25</w:t>
            </w:r>
            <w:r>
              <w:rPr>
                <w:rFonts w:ascii="Times New Roman" w:hAnsi="宋体" w:eastAsia="宋体" w:cs="Times New Roman"/>
                <w:szCs w:val="21"/>
                <w:highlight w:val="none"/>
                <w:u w:val="none"/>
              </w:rPr>
              <w:t>日国土资发〔</w:t>
            </w:r>
            <w:r>
              <w:rPr>
                <w:rFonts w:ascii="Times New Roman" w:hAnsi="Times New Roman" w:eastAsia="宋体" w:cs="Times New Roman"/>
                <w:szCs w:val="21"/>
                <w:highlight w:val="none"/>
                <w:u w:val="none"/>
              </w:rPr>
              <w:t>2016</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83</w:t>
            </w:r>
            <w:r>
              <w:rPr>
                <w:rFonts w:ascii="Times New Roman" w:hAnsi="宋体" w:eastAsia="宋体" w:cs="Times New Roman"/>
                <w:szCs w:val="21"/>
                <w:highlight w:val="none"/>
                <w:u w:val="none"/>
              </w:rPr>
              <w:t>号印发，</w:t>
            </w:r>
            <w:r>
              <w:rPr>
                <w:rFonts w:ascii="Times New Roman" w:hAnsi="Times New Roman" w:eastAsia="宋体" w:cs="Times New Roman"/>
                <w:szCs w:val="21"/>
                <w:highlight w:val="none"/>
                <w:u w:val="none"/>
              </w:rPr>
              <w:t>2019</w:t>
            </w:r>
            <w:r>
              <w:rPr>
                <w:rFonts w:ascii="Times New Roman" w:hAnsi="宋体" w:eastAsia="宋体" w:cs="Times New Roman"/>
                <w:szCs w:val="21"/>
                <w:highlight w:val="none"/>
                <w:u w:val="none"/>
              </w:rPr>
              <w:t>年</w:t>
            </w: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月</w:t>
            </w: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日国家林业和草原局公告</w:t>
            </w:r>
            <w:r>
              <w:rPr>
                <w:rFonts w:ascii="Times New Roman" w:hAnsi="Times New Roman" w:eastAsia="宋体" w:cs="Times New Roman"/>
                <w:szCs w:val="21"/>
                <w:highlight w:val="none"/>
                <w:u w:val="none"/>
              </w:rPr>
              <w:t>2019</w:t>
            </w:r>
            <w:r>
              <w:rPr>
                <w:rFonts w:ascii="Times New Roman" w:hAnsi="宋体" w:eastAsia="宋体" w:cs="Times New Roman"/>
                <w:szCs w:val="21"/>
                <w:highlight w:val="none"/>
                <w:u w:val="none"/>
              </w:rPr>
              <w:t>年第</w:t>
            </w: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号修改）等管理规定提出管控要求。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6"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石漠公园</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擅自在国家级石漠公园内从事采矿、房地产、开发区、高尔夫球场、风力光伏电场等不符合管控要求的开发活动。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．国家级石漠公园范围内除国家重大项目外，仅允许对生态功能不造成破坏的有限人为活动：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）石漠公园内居民和其他合法权益主体依法依规开展的生产生活及设施建设。</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）符合石漠公园保护管理要求的文化、体育活动和必要的配套设施建设。</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）符合生态保护红线管控要求的其他活动和设施建设。</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）法律法规和国家政策允许在石漠公园内开展的其他活动。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．国家石漠公园应当按照总体规划确定的范围进行建设，任何单位和个人不得擅自更改建设范围。建设范围的变更，须经国家林业和草原局同意。</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依据《国家级自然公园管理办法（试行）》（林保规〔</w:t>
            </w:r>
            <w:r>
              <w:rPr>
                <w:rFonts w:ascii="Times New Roman" w:hAnsi="Times New Roman" w:eastAsia="宋体" w:cs="Times New Roman"/>
                <w:szCs w:val="21"/>
                <w:highlight w:val="none"/>
                <w:u w:val="none"/>
              </w:rPr>
              <w:t>2023</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号）、《国家沙漠公园管理办法》（林沙规〔</w:t>
            </w:r>
            <w:r>
              <w:rPr>
                <w:rFonts w:ascii="Times New Roman" w:hAnsi="Times New Roman" w:eastAsia="宋体" w:cs="Times New Roman"/>
                <w:szCs w:val="21"/>
                <w:highlight w:val="none"/>
                <w:u w:val="none"/>
              </w:rPr>
              <w:t>2022</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号）、《全国主体功能区规划（</w:t>
            </w:r>
            <w:r>
              <w:rPr>
                <w:rFonts w:ascii="Times New Roman" w:hAnsi="Times New Roman" w:eastAsia="宋体" w:cs="Times New Roman"/>
                <w:szCs w:val="21"/>
                <w:highlight w:val="none"/>
                <w:u w:val="none"/>
              </w:rPr>
              <w:t>2010</w:t>
            </w:r>
            <w:r>
              <w:rPr>
                <w:rFonts w:ascii="Times New Roman" w:hAnsi="宋体" w:eastAsia="宋体" w:cs="Times New Roman"/>
                <w:szCs w:val="21"/>
                <w:highlight w:val="none"/>
                <w:u w:val="none"/>
              </w:rPr>
              <w:t>年）》相关要求，提出管控要求。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6"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自治区级以上</w:t>
            </w:r>
          </w:p>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森林公园</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在国家级森林公园内擅自从事采矿、房地产、开发区、高尔夫球场、风力光伏电场等不符合管控要求的开发活动。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违规侵占国家级森林公园。</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．国家级森林公园范围内除国家重大项目外，仅允许对生态功能不造成破坏的有限人为活动：</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）森林公园内居民和其他合法权益主体依法依规开展的生产生活及设施建设。</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）符合森林公园保护管理要求的文化、体育活动和必要的配套设施建设。</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）符合生态保护红线管控要求的其他活动和设施建设。</w:t>
            </w: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）法律法规和国家政策允许在森林公园内开展的其他活动。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．在国家级森林公园内开展允许有限人为活动，应当征求国家级森林公园管理单位的意见。</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5</w:t>
            </w:r>
            <w:r>
              <w:rPr>
                <w:rFonts w:ascii="Times New Roman" w:hAnsi="宋体" w:eastAsia="宋体" w:cs="Times New Roman"/>
                <w:szCs w:val="21"/>
                <w:highlight w:val="none"/>
                <w:u w:val="none"/>
              </w:rPr>
              <w:t>．</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在森林公园范围内毁林开垦、采石、采砂、采土以及其他毁坏林木和林地的行为。</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6</w:t>
            </w:r>
            <w:r>
              <w:rPr>
                <w:rFonts w:ascii="Times New Roman" w:hAnsi="宋体" w:eastAsia="宋体" w:cs="Times New Roman"/>
                <w:szCs w:val="21"/>
                <w:highlight w:val="none"/>
                <w:u w:val="none"/>
              </w:rPr>
              <w:t>．</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向森林公园排放重金属或者其他有毒有害物质含量超标的污水、污泥，以及可能造成森林公园污染的清淤底泥、尾矿、矿渣等。</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7</w:t>
            </w:r>
            <w:r>
              <w:rPr>
                <w:rFonts w:ascii="Times New Roman" w:hAnsi="宋体" w:eastAsia="宋体" w:cs="Times New Roman"/>
                <w:szCs w:val="21"/>
                <w:highlight w:val="none"/>
                <w:u w:val="none"/>
              </w:rPr>
              <w:t>．</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在森林公园幼林地砍柴、毁苗、放牧。</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8</w:t>
            </w:r>
            <w:r>
              <w:rPr>
                <w:rFonts w:ascii="Times New Roman" w:hAnsi="宋体" w:eastAsia="宋体" w:cs="Times New Roman"/>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在森林公园内从事其他污染环境、破坏自然资源或自然景观的活动。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9</w:t>
            </w:r>
            <w:r>
              <w:rPr>
                <w:rFonts w:ascii="Times New Roman" w:hAnsi="宋体" w:eastAsia="宋体" w:cs="Times New Roman"/>
                <w:szCs w:val="21"/>
                <w:highlight w:val="none"/>
                <w:u w:val="none"/>
              </w:rPr>
              <w:t>．国家保护古树名木和珍贵树木。</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破坏森林公园内古树名木和珍贵树木及其生存的自然环境。</w:t>
            </w:r>
          </w:p>
        </w:tc>
        <w:tc>
          <w:tcPr>
            <w:tcW w:w="6847" w:type="dxa"/>
            <w:vAlign w:val="center"/>
          </w:tcPr>
          <w:p>
            <w:pPr>
              <w:adjustRightInd w:val="0"/>
              <w:snapToGrid w:val="0"/>
              <w:rPr>
                <w:rFonts w:ascii="Times New Roman" w:hAnsi="Times New Roman" w:eastAsia="宋体" w:cs="Times New Roman"/>
                <w:szCs w:val="21"/>
                <w:highlight w:val="none"/>
                <w:u w:val="none"/>
              </w:rPr>
            </w:pPr>
          </w:p>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依据《中华人民共和国森林法》、《中华人民共和国森林法实施条例》及《国家级自然公园管理办法（试行）》提出管控要求。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世界文化和</w:t>
            </w:r>
          </w:p>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自然遗产地</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．世界遗产地范围应划入</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建设区域，</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开展与遗产资源保护无关的建设活动；缓冲区范围应划入限制建设区域，严格控制各类景观游赏及旅游服务设施建设活动。</w:t>
            </w:r>
          </w:p>
          <w:p>
            <w:pPr>
              <w:adjustRightInd w:val="0"/>
              <w:snapToGrid w:val="0"/>
              <w:rPr>
                <w:rFonts w:ascii="Times New Roman" w:hAnsi="Times New Roman" w:eastAsia="宋体" w:cs="Times New Roman"/>
                <w:b/>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．世界遗产地及其缓冲区范围内的各项管理措施和建设活动，应当符合世界遗产保护管理规划。</w:t>
            </w:r>
          </w:p>
          <w:p>
            <w:pPr>
              <w:adjustRightInd w:val="0"/>
              <w:snapToGrid w:val="0"/>
              <w:rPr>
                <w:rFonts w:ascii="Times New Roman" w:hAnsi="Times New Roman" w:eastAsia="宋体" w:cs="Times New Roman"/>
                <w:b/>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世界遗产地内的建设项目，应当依法履行有关审批程序。在世界遗产地及其缓冲区范围拟建设缆车、索道、高等级公路、铁路、大型水库等对遗产地突出价值可能造成较大影响的重大建设工程项目的，应当依据《世界遗产公约操作指南》第</w:t>
            </w:r>
            <w:r>
              <w:rPr>
                <w:rFonts w:ascii="Times New Roman" w:hAnsi="Times New Roman" w:eastAsia="宋体" w:cs="Times New Roman"/>
                <w:szCs w:val="21"/>
                <w:highlight w:val="none"/>
                <w:u w:val="none"/>
              </w:rPr>
              <w:t>172</w:t>
            </w:r>
            <w:r>
              <w:rPr>
                <w:rFonts w:ascii="Times New Roman" w:hAnsi="宋体" w:eastAsia="宋体" w:cs="Times New Roman"/>
                <w:szCs w:val="21"/>
                <w:highlight w:val="none"/>
                <w:u w:val="none"/>
              </w:rPr>
              <w:t>条的要求，至少在项目批准建设前</w:t>
            </w:r>
            <w:r>
              <w:rPr>
                <w:rFonts w:ascii="Times New Roman" w:hAnsi="Times New Roman" w:eastAsia="宋体" w:cs="Times New Roman"/>
                <w:szCs w:val="21"/>
                <w:highlight w:val="none"/>
                <w:u w:val="none"/>
              </w:rPr>
              <w:t>6</w:t>
            </w:r>
            <w:r>
              <w:rPr>
                <w:rFonts w:ascii="Times New Roman" w:hAnsi="宋体" w:eastAsia="宋体" w:cs="Times New Roman"/>
                <w:szCs w:val="21"/>
                <w:highlight w:val="none"/>
                <w:u w:val="none"/>
              </w:rPr>
              <w:t>个月将项目选址方案、环境影响评价等材料经国家林业和草原局按程序告联合国教科文组织世界遗产中心。</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依据《世界自然遗产、自然与文化双遗产申报和保护管理办法（试行）》（建城〔</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190</w:t>
            </w:r>
            <w:r>
              <w:rPr>
                <w:rFonts w:ascii="Times New Roman" w:hAnsi="宋体" w:eastAsia="宋体" w:cs="Times New Roman"/>
                <w:szCs w:val="21"/>
                <w:highlight w:val="none"/>
                <w:u w:val="none"/>
              </w:rPr>
              <w:t>号）、《世界遗产公约操作指南》提出了第</w:t>
            </w:r>
            <w:r>
              <w:rPr>
                <w:rFonts w:ascii="Times New Roman" w:hAnsi="Times New Roman" w:eastAsia="宋体" w:cs="Times New Roman"/>
                <w:szCs w:val="21"/>
                <w:highlight w:val="none"/>
                <w:u w:val="none"/>
              </w:rPr>
              <w:t>1-3</w:t>
            </w:r>
            <w:r>
              <w:rPr>
                <w:rFonts w:ascii="Times New Roman" w:hAnsi="宋体" w:eastAsia="宋体" w:cs="Times New Roman"/>
                <w:szCs w:val="21"/>
                <w:highlight w:val="none"/>
                <w:u w:val="none"/>
              </w:rPr>
              <w:t>条管控要求，并依据国务院机构改革，风景名胜区和世界自然遗产的主管部门由原住建部门划归到林业和草原主管部门。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0"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风景名胜区</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．风景名胜区内的景观和自然环境，应严格保护，</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破坏或者随意改变。</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2</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开山、采石、采矿、挖沙、取土、开荒、修坟立碑、安装杆线等破坏景观、植被和地形地貌的活动。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3</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擅自围、填、堵、截自然水系。</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4</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捕杀、伤害野生动物或者引入未经检疫合格的动物。</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5</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修建储存爆炸性、易燃性、放射性、毒害性、腐蚀性物品的设施。</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6</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建设畜禽养殖场、养殖小区。</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7</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在风景名胜区内建设工业固体废物集中贮存、利用处置的设施、场所和生活垃圾填埋场。</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8</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在风景名胜区内设立各类开发区和在核心景区内建设宾馆、招待所、培训中心、疗养院以及与风景名胜资源保护无关的其他建筑物；已经建设的，应当按照风景名胜区规划，逐步迁出。在风景名胜区内从事上述禁止范围以外的建设活动，应当经风景名胜区管理机构审核后，依照有关法律、法规的规定办理审批手续。在国家级风景名胜区内修建缆车、索道等重大建设工程，项目的选址方案应当报主管部门核准。</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9</w:t>
            </w:r>
            <w:r>
              <w:rPr>
                <w:rFonts w:ascii="Times New Roman" w:hAnsi="宋体" w:eastAsia="宋体" w:cs="Times New Roman"/>
                <w:szCs w:val="21"/>
                <w:highlight w:val="none"/>
                <w:u w:val="none"/>
              </w:rPr>
              <w:t>．在风景名胜区内进行改变水资源、水环境自然状态的活动或其他影响生态和景观的活动，应当经风景名胜区管理机构审核后，依照有关法律、法规的规定报有关主管部门批准。</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10</w:t>
            </w:r>
            <w:r>
              <w:rPr>
                <w:rFonts w:ascii="Times New Roman" w:hAnsi="宋体" w:eastAsia="宋体" w:cs="Times New Roman"/>
                <w:szCs w:val="21"/>
                <w:highlight w:val="none"/>
                <w:u w:val="none"/>
              </w:rPr>
              <w:t>．风景名胜区内的建设项目应当符合风景名胜区规划，并与景观相协调，</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破坏景观、污染环境、妨碍游览。</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11</w:t>
            </w:r>
            <w:r>
              <w:rPr>
                <w:rFonts w:ascii="Times New Roman" w:hAnsi="宋体" w:eastAsia="宋体" w:cs="Times New Roman"/>
                <w:szCs w:val="21"/>
                <w:highlight w:val="none"/>
                <w:u w:val="none"/>
              </w:rPr>
              <w:t>．在风景名胜区内进行建设活动的，建设单位、施工单位应当制定污染防治和水土保持方案，并采取有效措施，保护好周围景物、水体、林草植被、野生动物资源和地形地貌。</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12</w:t>
            </w:r>
            <w:r>
              <w:rPr>
                <w:rFonts w:ascii="Times New Roman" w:hAnsi="宋体" w:eastAsia="宋体" w:cs="Times New Roman"/>
                <w:szCs w:val="21"/>
                <w:highlight w:val="none"/>
                <w:u w:val="none"/>
              </w:rPr>
              <w:t>．在风景名胜区及其外围保护地带进行建设活动，建设单位应当采取有效措施，保护自然景观和人文景观的原有风貌及周围植被、水体、地形、地貌等。工程竣工后，应当及时清理施工场地，恢复植被和环境原貌。</w:t>
            </w:r>
          </w:p>
          <w:p>
            <w:pPr>
              <w:adjustRightInd w:val="0"/>
              <w:snapToGrid w:val="0"/>
              <w:rPr>
                <w:rFonts w:ascii="Times New Roman" w:hAnsi="Times New Roman" w:eastAsia="宋体" w:cs="Times New Roman"/>
                <w:b/>
                <w:szCs w:val="21"/>
                <w:highlight w:val="none"/>
                <w:u w:val="none"/>
              </w:rPr>
            </w:pPr>
            <w:r>
              <w:rPr>
                <w:rFonts w:ascii="Times New Roman" w:hAnsi="Times New Roman" w:eastAsia="宋体" w:cs="Times New Roman"/>
                <w:bCs/>
                <w:szCs w:val="21"/>
                <w:highlight w:val="none"/>
                <w:u w:val="none"/>
              </w:rPr>
              <w:t>13</w:t>
            </w:r>
            <w:r>
              <w:rPr>
                <w:rFonts w:ascii="Times New Roman" w:hAnsi="宋体" w:eastAsia="宋体" w:cs="Times New Roman"/>
                <w:bCs/>
                <w:szCs w:val="21"/>
                <w:highlight w:val="none"/>
                <w:u w:val="none"/>
              </w:rPr>
              <w:t>．海滨风景名胜区</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新建排污口，</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从事污染环境、破坏景观、毁坏红树林和珊瑚礁生态系统的海岸工程项目建设或者其他活动。</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kern w:val="0"/>
                <w:szCs w:val="21"/>
                <w:highlight w:val="none"/>
                <w:u w:val="none"/>
              </w:rPr>
              <w:t>．</w:t>
            </w:r>
            <w:r>
              <w:rPr>
                <w:rFonts w:ascii="Times New Roman" w:hAnsi="宋体" w:eastAsia="宋体" w:cs="Times New Roman"/>
                <w:szCs w:val="21"/>
                <w:highlight w:val="none"/>
                <w:u w:val="none"/>
              </w:rPr>
              <w:t>依据《风景名胜区条例（</w:t>
            </w:r>
            <w:r>
              <w:rPr>
                <w:rFonts w:ascii="Times New Roman" w:hAnsi="Times New Roman" w:eastAsia="宋体" w:cs="Times New Roman"/>
                <w:szCs w:val="21"/>
                <w:highlight w:val="none"/>
                <w:u w:val="none"/>
              </w:rPr>
              <w:t>2016</w:t>
            </w:r>
            <w:r>
              <w:rPr>
                <w:rFonts w:ascii="Times New Roman" w:hAnsi="宋体" w:eastAsia="宋体" w:cs="Times New Roman"/>
                <w:szCs w:val="21"/>
                <w:highlight w:val="none"/>
                <w:u w:val="none"/>
              </w:rPr>
              <w:t>年修正本）》《广西壮族自治区风景名胜区管理条例（</w:t>
            </w:r>
            <w:r>
              <w:rPr>
                <w:rFonts w:ascii="Times New Roman" w:hAnsi="Times New Roman" w:eastAsia="宋体" w:cs="Times New Roman"/>
                <w:szCs w:val="21"/>
                <w:highlight w:val="none"/>
                <w:u w:val="none"/>
              </w:rPr>
              <w:t>2016</w:t>
            </w:r>
            <w:r>
              <w:rPr>
                <w:rFonts w:ascii="Times New Roman" w:hAnsi="宋体" w:eastAsia="宋体" w:cs="Times New Roman"/>
                <w:szCs w:val="21"/>
                <w:highlight w:val="none"/>
                <w:u w:val="none"/>
              </w:rPr>
              <w:t>年修正本）》相关要求，提出了第</w:t>
            </w:r>
            <w:r>
              <w:rPr>
                <w:rFonts w:ascii="Times New Roman" w:hAnsi="Times New Roman" w:eastAsia="宋体" w:cs="Times New Roman"/>
                <w:szCs w:val="21"/>
                <w:highlight w:val="none"/>
                <w:u w:val="none"/>
              </w:rPr>
              <w:t>1-5</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8-12</w:t>
            </w:r>
            <w:r>
              <w:rPr>
                <w:rFonts w:ascii="Times New Roman" w:hAnsi="宋体" w:eastAsia="宋体" w:cs="Times New Roman"/>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kern w:val="0"/>
                <w:szCs w:val="21"/>
                <w:highlight w:val="none"/>
                <w:u w:val="none"/>
              </w:rPr>
              <w:t>．</w:t>
            </w:r>
            <w:r>
              <w:rPr>
                <w:rFonts w:ascii="Times New Roman" w:hAnsi="宋体" w:eastAsia="宋体" w:cs="Times New Roman"/>
                <w:szCs w:val="21"/>
                <w:highlight w:val="none"/>
                <w:u w:val="none"/>
              </w:rPr>
              <w:t>依据《畜禽规模养殖污染防治条例》相关要求，提出了第</w:t>
            </w:r>
            <w:r>
              <w:rPr>
                <w:rFonts w:ascii="Times New Roman" w:hAnsi="Times New Roman" w:eastAsia="宋体" w:cs="Times New Roman"/>
                <w:szCs w:val="21"/>
                <w:highlight w:val="none"/>
                <w:u w:val="none"/>
              </w:rPr>
              <w:t>6</w:t>
            </w:r>
            <w:r>
              <w:rPr>
                <w:rFonts w:ascii="Times New Roman" w:hAnsi="宋体" w:eastAsia="宋体" w:cs="Times New Roman"/>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kern w:val="0"/>
                <w:szCs w:val="21"/>
                <w:highlight w:val="none"/>
                <w:u w:val="none"/>
              </w:rPr>
              <w:t>．</w:t>
            </w:r>
            <w:r>
              <w:rPr>
                <w:rFonts w:ascii="Times New Roman" w:hAnsi="宋体" w:eastAsia="宋体" w:cs="Times New Roman"/>
                <w:szCs w:val="21"/>
                <w:highlight w:val="none"/>
                <w:u w:val="none"/>
              </w:rPr>
              <w:t>依据《中华人民共和国固体废物污染环境防治法（</w:t>
            </w:r>
            <w:r>
              <w:rPr>
                <w:rFonts w:ascii="Times New Roman" w:hAnsi="Times New Roman" w:eastAsia="宋体" w:cs="Times New Roman"/>
                <w:szCs w:val="21"/>
                <w:highlight w:val="none"/>
                <w:u w:val="none"/>
              </w:rPr>
              <w:t>2020</w:t>
            </w:r>
            <w:r>
              <w:rPr>
                <w:rFonts w:ascii="Times New Roman" w:hAnsi="宋体" w:eastAsia="宋体" w:cs="Times New Roman"/>
                <w:szCs w:val="21"/>
                <w:highlight w:val="none"/>
                <w:u w:val="none"/>
              </w:rPr>
              <w:t>年修订）》相关要求，提出了第</w:t>
            </w:r>
            <w:r>
              <w:rPr>
                <w:rFonts w:ascii="Times New Roman" w:hAnsi="Times New Roman" w:eastAsia="宋体" w:cs="Times New Roman"/>
                <w:szCs w:val="21"/>
                <w:highlight w:val="none"/>
                <w:u w:val="none"/>
              </w:rPr>
              <w:t>7</w:t>
            </w:r>
            <w:r>
              <w:rPr>
                <w:rFonts w:ascii="Times New Roman" w:hAnsi="宋体" w:eastAsia="宋体" w:cs="Times New Roman"/>
                <w:szCs w:val="21"/>
                <w:highlight w:val="none"/>
                <w:u w:val="none"/>
              </w:rPr>
              <w:t>条管控要求。</w:t>
            </w:r>
          </w:p>
          <w:p>
            <w:pPr>
              <w:adjustRightInd w:val="0"/>
              <w:snapToGrid w:val="0"/>
              <w:rPr>
                <w:rFonts w:ascii="Times New Roman" w:hAnsi="Times New Roman" w:eastAsia="宋体" w:cs="Times New Roman"/>
                <w:bCs/>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kern w:val="0"/>
                <w:szCs w:val="21"/>
                <w:highlight w:val="none"/>
                <w:u w:val="none"/>
              </w:rPr>
              <w:t>．</w:t>
            </w:r>
            <w:r>
              <w:rPr>
                <w:rFonts w:ascii="Times New Roman" w:hAnsi="宋体" w:eastAsia="宋体" w:cs="Times New Roman"/>
                <w:szCs w:val="21"/>
                <w:highlight w:val="none"/>
                <w:u w:val="none"/>
              </w:rPr>
              <w:t>依据《中华人民共和国海洋环境保护法（</w:t>
            </w:r>
            <w:r>
              <w:rPr>
                <w:rFonts w:ascii="Times New Roman" w:hAnsi="Times New Roman" w:eastAsia="宋体" w:cs="Times New Roman"/>
                <w:szCs w:val="21"/>
                <w:highlight w:val="none"/>
                <w:u w:val="none"/>
              </w:rPr>
              <w:t>2023</w:t>
            </w:r>
            <w:r>
              <w:rPr>
                <w:rFonts w:ascii="Times New Roman" w:hAnsi="宋体" w:eastAsia="宋体" w:cs="Times New Roman"/>
                <w:szCs w:val="21"/>
                <w:highlight w:val="none"/>
                <w:u w:val="none"/>
              </w:rPr>
              <w:t>年修订）》《中华人民共和国防治海岸工程建设项目污染损害海洋环境管理条例（</w:t>
            </w:r>
            <w:r>
              <w:rPr>
                <w:rFonts w:ascii="Times New Roman" w:hAnsi="Times New Roman" w:eastAsia="宋体" w:cs="Times New Roman"/>
                <w:szCs w:val="21"/>
                <w:highlight w:val="none"/>
                <w:u w:val="none"/>
              </w:rPr>
              <w:t>2018</w:t>
            </w:r>
            <w:r>
              <w:rPr>
                <w:rFonts w:ascii="Times New Roman" w:hAnsi="宋体" w:eastAsia="宋体" w:cs="Times New Roman"/>
                <w:szCs w:val="21"/>
                <w:highlight w:val="none"/>
                <w:u w:val="none"/>
              </w:rPr>
              <w:t>年修正本）》相关要求，提出了第</w:t>
            </w:r>
            <w:r>
              <w:rPr>
                <w:rFonts w:ascii="Times New Roman" w:hAnsi="Times New Roman" w:eastAsia="宋体" w:cs="Times New Roman"/>
                <w:szCs w:val="21"/>
                <w:highlight w:val="none"/>
                <w:u w:val="none"/>
              </w:rPr>
              <w:t>13</w:t>
            </w:r>
            <w:r>
              <w:rPr>
                <w:rFonts w:ascii="Times New Roman" w:hAnsi="宋体" w:eastAsia="宋体" w:cs="Times New Roman"/>
                <w:szCs w:val="21"/>
                <w:highlight w:val="none"/>
                <w:u w:val="none"/>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shd w:val="clear" w:color="auto" w:fill="auto"/>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自治区级以上</w:t>
            </w:r>
          </w:p>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公益林</w:t>
            </w:r>
          </w:p>
        </w:tc>
        <w:tc>
          <w:tcPr>
            <w:tcW w:w="2039" w:type="dxa"/>
            <w:shd w:val="clear" w:color="auto" w:fill="auto"/>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shd w:val="clear" w:color="auto" w:fill="auto"/>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严格控制勘查、开采矿藏和工程建设使用国家级公益林地。确需使用的，严格按照《建设项目使用林地审核审批管理办法》有关规定办理使用林地手续。涉及林木采伐的，按相关规定依法办理林木采伐手续。经审核审批同意使用的自治区级以上公益林地，按规定实行占补平衡。</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．一级国家级公益林原则上</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开展生产经营活动，</w:t>
            </w:r>
            <w:r>
              <w:rPr>
                <w:rFonts w:ascii="Times New Roman" w:hAnsi="宋体" w:eastAsia="宋体" w:cs="Times New Roman"/>
                <w:b/>
                <w:bCs/>
                <w:szCs w:val="21"/>
                <w:highlight w:val="none"/>
                <w:u w:val="none"/>
              </w:rPr>
              <w:t>严禁</w:t>
            </w:r>
            <w:r>
              <w:rPr>
                <w:rFonts w:ascii="Times New Roman" w:hAnsi="宋体" w:eastAsia="宋体" w:cs="Times New Roman"/>
                <w:szCs w:val="21"/>
                <w:highlight w:val="none"/>
                <w:u w:val="none"/>
              </w:rPr>
              <w:t>打枝、采脂、割漆、剥树皮、掘根等行为。国有一级国家级公益林，</w:t>
            </w:r>
            <w:r>
              <w:rPr>
                <w:rFonts w:ascii="Times New Roman" w:hAnsi="宋体" w:eastAsia="宋体" w:cs="Times New Roman"/>
                <w:b/>
                <w:bCs/>
                <w:szCs w:val="21"/>
                <w:highlight w:val="none"/>
                <w:u w:val="none"/>
              </w:rPr>
              <w:t>不得</w:t>
            </w:r>
            <w:r>
              <w:rPr>
                <w:rFonts w:ascii="Times New Roman" w:hAnsi="宋体" w:eastAsia="宋体" w:cs="Times New Roman"/>
                <w:szCs w:val="21"/>
                <w:highlight w:val="none"/>
                <w:u w:val="none"/>
              </w:rPr>
              <w:t>开展任何形式的生产经营活动。因教学科研等确需采伐林木，或者发生较为严重森林火灾、病虫害及其他自然灾害等特殊情况确需对受害林木进行清理的，应当组织相关专家进行生态影响评价，经县级以上林业主管部门依法审批后实施。集体和个人所有的一级国家级公益林，以严格保护为原则。依据其生态状况需要开展抚育和更新采伐等经营活动，或适宜开展非木质资源培育利用的，应当符合有关技术规定。</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二级国家级公益林、自治区级公益林在不影响整体森林生态系统功能发挥的前提下，可以按照相关技术规程的规定开展抚育和更新性质的采伐。在不破坏森林植被的前提下，可以合理利用其林地资源，适度开展林下种植养殖和森林游憩等非木质资源开发与利用，科学发展林下经济。</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国家保护林地，严格控制林地转为非林地，实行占用林地总量控制，确保林地保有量不减少。各类建设项目占用林地不得超过本行政区域的占用林地总量控制指标。矿藏勘查、开采以及其他各类工程建设，应当不占或者少占林地；确需占用林地的，应当经县级以上人民政府林业主管部门审核同意，依法办理建设用地审批手续。</w:t>
            </w:r>
          </w:p>
        </w:tc>
        <w:tc>
          <w:tcPr>
            <w:tcW w:w="6847" w:type="dxa"/>
            <w:shd w:val="clear" w:color="auto" w:fill="auto"/>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依据《中华人民共和国森林法》《中华人民共和国森林法实施条例》《国家林业局</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财政部关于印发＜国家级公益林区划界定办法＞和＜国家级公益林管理办法＞的通知》（林资发〔</w:t>
            </w:r>
            <w:r>
              <w:rPr>
                <w:rFonts w:ascii="Times New Roman" w:hAnsi="Times New Roman" w:eastAsia="宋体" w:cs="Times New Roman"/>
                <w:szCs w:val="21"/>
                <w:highlight w:val="none"/>
                <w:u w:val="none"/>
              </w:rPr>
              <w:t>2017</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34</w:t>
            </w:r>
            <w:r>
              <w:rPr>
                <w:rFonts w:ascii="Times New Roman" w:hAnsi="宋体" w:eastAsia="宋体" w:cs="Times New Roman"/>
                <w:szCs w:val="21"/>
                <w:highlight w:val="none"/>
                <w:u w:val="none"/>
              </w:rPr>
              <w:t>号）及国家、自治区公益林管理有关规定提出第</w:t>
            </w:r>
            <w:r>
              <w:rPr>
                <w:rFonts w:ascii="Times New Roman" w:hAnsi="Times New Roman" w:eastAsia="宋体" w:cs="Times New Roman"/>
                <w:szCs w:val="21"/>
                <w:highlight w:val="none"/>
                <w:u w:val="none"/>
              </w:rPr>
              <w:t>1-4</w:t>
            </w:r>
            <w:r>
              <w:rPr>
                <w:rFonts w:ascii="Times New Roman" w:hAnsi="宋体" w:eastAsia="宋体" w:cs="Times New Roman"/>
                <w:szCs w:val="21"/>
                <w:highlight w:val="none"/>
                <w:u w:val="none"/>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1"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shd w:val="clear" w:color="auto" w:fill="auto"/>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天然林</w:t>
            </w:r>
          </w:p>
        </w:tc>
        <w:tc>
          <w:tcPr>
            <w:tcW w:w="2039" w:type="dxa"/>
            <w:shd w:val="clear" w:color="auto" w:fill="auto"/>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shd w:val="clear" w:color="auto" w:fill="auto"/>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．对所有天然林实行保护，</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毁林开垦、将天然林改造为人工林以及其他破坏天然林及其生态环境的行为。</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．对纳入保护重点区域的天然林，除森林病虫害防治、森林防火等维护天然林生态系统健康的必要措施外，</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其他一切生产经营活动。开展天然林抚育作业的，必须编制作业设计，经林业主管部门审查批准后实施。</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．严格控制天然林地转为其他用途，除国防建设、国家重大工程项目建设特殊需要外，</w:t>
            </w:r>
            <w:r>
              <w:rPr>
                <w:rFonts w:ascii="Times New Roman" w:hAnsi="宋体" w:eastAsia="宋体" w:cs="Times New Roman"/>
                <w:b/>
                <w:bCs/>
                <w:szCs w:val="21"/>
                <w:highlight w:val="none"/>
                <w:u w:val="none"/>
              </w:rPr>
              <w:t>禁止</w:t>
            </w:r>
            <w:r>
              <w:rPr>
                <w:rFonts w:ascii="Times New Roman" w:hAnsi="宋体" w:eastAsia="宋体" w:cs="Times New Roman"/>
                <w:szCs w:val="21"/>
                <w:highlight w:val="none"/>
                <w:u w:val="none"/>
              </w:rPr>
              <w:t>占用保护重点区域的天然林地。在不破坏地表植被、不影响生物多样性保护前提下，可在天然林地适度发展生态旅游、休闲康养、特色种植养殖等产业。</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国家保护林地，严格控制林地转为非林地，实行占用林地总量控制，确保林地保有量不减少。各类建设项目占用林地不得超过本行政区域的占用林地总量控制指标。矿藏勘查、开采以及其他各类工程建设，应当不占或者少占林地；确需占用林地的，应当经县级以上人民政府林业主管部门审核同意，依法办理建设用地审批手续。</w:t>
            </w:r>
          </w:p>
        </w:tc>
        <w:tc>
          <w:tcPr>
            <w:tcW w:w="6847" w:type="dxa"/>
            <w:shd w:val="clear" w:color="auto" w:fill="auto"/>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．依据《中共中央办公厅</w:t>
            </w:r>
            <w:r>
              <w:rPr>
                <w:rFonts w:ascii="Times New Roman" w:hAnsi="Times New Roman" w:eastAsia="宋体" w:cs="Times New Roman"/>
                <w:szCs w:val="21"/>
                <w:highlight w:val="none"/>
                <w:u w:val="none"/>
              </w:rPr>
              <w:t xml:space="preserve"> </w:t>
            </w:r>
            <w:r>
              <w:rPr>
                <w:rFonts w:ascii="Times New Roman" w:hAnsi="宋体" w:eastAsia="宋体" w:cs="Times New Roman"/>
                <w:szCs w:val="21"/>
                <w:highlight w:val="none"/>
                <w:u w:val="none"/>
              </w:rPr>
              <w:t>国务院办公厅关于印发＜天然林保护修复制度方案＞的通知》（厅字〔</w:t>
            </w:r>
            <w:r>
              <w:rPr>
                <w:rFonts w:ascii="Times New Roman" w:hAnsi="Times New Roman" w:eastAsia="宋体" w:cs="Times New Roman"/>
                <w:szCs w:val="21"/>
                <w:highlight w:val="none"/>
                <w:u w:val="none"/>
              </w:rPr>
              <w:t>2019</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39</w:t>
            </w:r>
            <w:r>
              <w:rPr>
                <w:rFonts w:ascii="Times New Roman" w:hAnsi="宋体" w:eastAsia="宋体" w:cs="Times New Roman"/>
                <w:szCs w:val="21"/>
                <w:highlight w:val="none"/>
                <w:u w:val="none"/>
              </w:rPr>
              <w:t>号）提出第</w:t>
            </w:r>
            <w:r>
              <w:rPr>
                <w:rFonts w:ascii="Times New Roman" w:hAnsi="Times New Roman" w:eastAsia="宋体" w:cs="Times New Roman"/>
                <w:szCs w:val="21"/>
                <w:highlight w:val="none"/>
                <w:u w:val="none"/>
              </w:rPr>
              <w:t>1-3</w:t>
            </w:r>
            <w:r>
              <w:rPr>
                <w:rFonts w:ascii="Times New Roman" w:hAnsi="宋体" w:eastAsia="宋体" w:cs="Times New Roman"/>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．依据《中华人民共和国森林法》及《中华人民共和国森林法实施条例》提出第</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8"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水源涵养功能</w:t>
            </w:r>
          </w:p>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（极）重要区</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．严格保护具有水源涵养功能的自然植被，</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过度放牧、无序采矿、毁林开荒，</w:t>
            </w:r>
            <w:r>
              <w:rPr>
                <w:rFonts w:ascii="Times New Roman" w:hAnsi="宋体" w:eastAsia="宋体" w:cs="Times New Roman"/>
                <w:b/>
                <w:bCs/>
                <w:szCs w:val="21"/>
                <w:highlight w:val="none"/>
                <w:u w:val="none"/>
              </w:rPr>
              <w:t>限制或禁止</w:t>
            </w:r>
            <w:r>
              <w:rPr>
                <w:rFonts w:ascii="Times New Roman" w:hAnsi="宋体" w:eastAsia="宋体" w:cs="Times New Roman"/>
                <w:szCs w:val="21"/>
                <w:highlight w:val="none"/>
                <w:u w:val="none"/>
              </w:rPr>
              <w:t>湿地和草地开垦等损害生态系统水源涵养功能的活动。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．推进天然林草保护和围栏封育，治理水土流失，维护或重建湿地、森林、草原等生态系统。</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．加强大江大河源头及上游地区的小流域治理，减少面源污染。</w:t>
            </w:r>
          </w:p>
          <w:p>
            <w:pPr>
              <w:pStyle w:val="21"/>
              <w:rPr>
                <w:rFonts w:eastAsia="宋体"/>
                <w:highlight w:val="none"/>
                <w:u w:val="none"/>
              </w:rPr>
            </w:pPr>
            <w:r>
              <w:rPr>
                <w:rFonts w:eastAsia="宋体"/>
                <w:highlight w:val="none"/>
                <w:u w:val="none"/>
              </w:rPr>
              <w:t>4</w:t>
            </w:r>
            <w:r>
              <w:rPr>
                <w:rFonts w:hAnsi="宋体" w:eastAsia="宋体"/>
                <w:highlight w:val="none"/>
                <w:u w:val="none"/>
              </w:rPr>
              <w:t>．加强生态公益林的改造和建设，通过封育恢复自然植被，促使其逐步向常绿阔叶林演化，提高水源涵养的功能；林产业向合理利用与保护建设相结合的生态型林业方向发展，保持森林生长与采伐利用的动态平衡，兼顾生态效益和经济效益，逐步恢复和改善地力；加强水土保持。</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5</w:t>
            </w:r>
            <w:r>
              <w:rPr>
                <w:rFonts w:ascii="Times New Roman" w:hAnsi="宋体" w:eastAsia="宋体" w:cs="Times New Roman"/>
                <w:szCs w:val="21"/>
                <w:highlight w:val="none"/>
                <w:u w:val="none"/>
              </w:rPr>
              <w:t>．除符合国土空间规划建设和布局要求外，原则上按限制开发区域的要求进行管理。</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．依据《全国主体功能区规划》（国发〔</w:t>
            </w:r>
            <w:r>
              <w:rPr>
                <w:rFonts w:ascii="Times New Roman" w:hAnsi="Times New Roman" w:eastAsia="宋体" w:cs="Times New Roman"/>
                <w:szCs w:val="21"/>
                <w:highlight w:val="none"/>
                <w:u w:val="none"/>
              </w:rPr>
              <w:t>2010</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46</w:t>
            </w:r>
            <w:r>
              <w:rPr>
                <w:rFonts w:ascii="Times New Roman" w:hAnsi="宋体" w:eastAsia="宋体" w:cs="Times New Roman"/>
                <w:szCs w:val="21"/>
                <w:highlight w:val="none"/>
                <w:u w:val="none"/>
              </w:rPr>
              <w:t>号）、《全国生态功能区划（修编版）》（环境保护部、中国科学院公告</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年第</w:t>
            </w:r>
            <w:r>
              <w:rPr>
                <w:rFonts w:ascii="Times New Roman" w:hAnsi="Times New Roman" w:eastAsia="宋体" w:cs="Times New Roman"/>
                <w:szCs w:val="21"/>
                <w:highlight w:val="none"/>
                <w:u w:val="none"/>
              </w:rPr>
              <w:t>61</w:t>
            </w:r>
            <w:r>
              <w:rPr>
                <w:rFonts w:ascii="Times New Roman" w:hAnsi="宋体" w:eastAsia="宋体" w:cs="Times New Roman"/>
                <w:szCs w:val="21"/>
                <w:highlight w:val="none"/>
                <w:u w:val="none"/>
              </w:rPr>
              <w:t>号）相关要求，提出了第</w:t>
            </w:r>
            <w:r>
              <w:rPr>
                <w:rFonts w:ascii="Times New Roman" w:hAnsi="Times New Roman" w:eastAsia="宋体" w:cs="Times New Roman"/>
                <w:szCs w:val="21"/>
                <w:highlight w:val="none"/>
                <w:u w:val="none"/>
              </w:rPr>
              <w:t>1-3</w:t>
            </w:r>
            <w:r>
              <w:rPr>
                <w:rFonts w:ascii="Times New Roman" w:hAnsi="宋体" w:eastAsia="宋体" w:cs="Times New Roman"/>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．依据《全国主体功能区规划》（国发〔</w:t>
            </w:r>
            <w:r>
              <w:rPr>
                <w:rFonts w:ascii="Times New Roman" w:hAnsi="Times New Roman" w:eastAsia="宋体" w:cs="Times New Roman"/>
                <w:szCs w:val="21"/>
                <w:highlight w:val="none"/>
                <w:u w:val="none"/>
              </w:rPr>
              <w:t>2010</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46</w:t>
            </w:r>
            <w:r>
              <w:rPr>
                <w:rFonts w:ascii="Times New Roman" w:hAnsi="宋体" w:eastAsia="宋体" w:cs="Times New Roman"/>
                <w:szCs w:val="21"/>
                <w:highlight w:val="none"/>
                <w:u w:val="none"/>
              </w:rPr>
              <w:t>号）、《全国生态功能区划（修编版）》（环境保护部、中国科学院公告</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年第</w:t>
            </w:r>
            <w:r>
              <w:rPr>
                <w:rFonts w:ascii="Times New Roman" w:hAnsi="Times New Roman" w:eastAsia="宋体" w:cs="Times New Roman"/>
                <w:szCs w:val="21"/>
                <w:highlight w:val="none"/>
                <w:u w:val="none"/>
              </w:rPr>
              <w:t>61</w:t>
            </w:r>
            <w:r>
              <w:rPr>
                <w:rFonts w:ascii="Times New Roman" w:hAnsi="宋体" w:eastAsia="宋体" w:cs="Times New Roman"/>
                <w:szCs w:val="21"/>
                <w:highlight w:val="none"/>
                <w:u w:val="none"/>
              </w:rPr>
              <w:t>号）、《关于贯彻实施国家主体功能区环境政策的若干意见》（环发〔</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92</w:t>
            </w:r>
            <w:r>
              <w:rPr>
                <w:rFonts w:ascii="Times New Roman" w:hAnsi="宋体" w:eastAsia="宋体" w:cs="Times New Roman"/>
                <w:szCs w:val="21"/>
                <w:highlight w:val="none"/>
                <w:u w:val="none"/>
              </w:rPr>
              <w:t>号）、《广西壮族自治区主体功能区规划》（桂政发〔</w:t>
            </w:r>
            <w:r>
              <w:rPr>
                <w:rFonts w:ascii="Times New Roman" w:hAnsi="Times New Roman" w:eastAsia="宋体" w:cs="Times New Roman"/>
                <w:szCs w:val="21"/>
                <w:highlight w:val="none"/>
                <w:u w:val="none"/>
              </w:rPr>
              <w:t>2012</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89</w:t>
            </w:r>
            <w:r>
              <w:rPr>
                <w:rFonts w:ascii="Times New Roman" w:hAnsi="宋体" w:eastAsia="宋体" w:cs="Times New Roman"/>
                <w:szCs w:val="21"/>
                <w:highlight w:val="none"/>
                <w:u w:val="none"/>
              </w:rPr>
              <w:t>号）、《广西壮族自治区生态功能区划》（桂政办发〔</w:t>
            </w:r>
            <w:r>
              <w:rPr>
                <w:rFonts w:ascii="Times New Roman" w:hAnsi="Times New Roman" w:eastAsia="宋体" w:cs="Times New Roman"/>
                <w:szCs w:val="21"/>
                <w:highlight w:val="none"/>
                <w:u w:val="none"/>
              </w:rPr>
              <w:t>2008</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8</w:t>
            </w:r>
            <w:r>
              <w:rPr>
                <w:rFonts w:ascii="Times New Roman" w:hAnsi="宋体" w:eastAsia="宋体" w:cs="Times New Roman"/>
                <w:szCs w:val="21"/>
                <w:highlight w:val="none"/>
                <w:u w:val="none"/>
              </w:rPr>
              <w:t>号）相关要求，提出了第</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5</w:t>
            </w:r>
            <w:r>
              <w:rPr>
                <w:rFonts w:ascii="Times New Roman" w:hAnsi="宋体" w:eastAsia="宋体" w:cs="Times New Roman"/>
                <w:szCs w:val="21"/>
                <w:highlight w:val="none"/>
                <w:u w:val="none"/>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8"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（极）重度</w:t>
            </w:r>
          </w:p>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石漠化区</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1</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严禁</w:t>
            </w:r>
            <w:r>
              <w:rPr>
                <w:rFonts w:ascii="Times New Roman" w:hAnsi="宋体" w:eastAsia="宋体" w:cs="Times New Roman"/>
                <w:szCs w:val="21"/>
                <w:highlight w:val="none"/>
                <w:u w:val="none"/>
              </w:rPr>
              <w:t>陡坡垦殖、过度放牧、乱砍滥伐树木等损害水土保持功能的活动。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2</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在崩塌、滑坡危险区和泥石流易发区从事取土、挖砂、采石等可能造成水土流失的活动。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．控制人为造成新增水土流失的资源开发和建设项目等损害水土保持功能的活动。</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．加强石漠化综合治理，通过保护天然林、封山育林、小流域治理、农村生态能源建设、改变耕作方式、草食动物舍饲圈养、生态移民等措施，恢复自然植被，提高水源涵养和水土保持能力。</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．依据《广西壮族自治区生态功能区划》（桂政办发〔</w:t>
            </w:r>
            <w:r>
              <w:rPr>
                <w:rFonts w:ascii="Times New Roman" w:hAnsi="Times New Roman" w:eastAsia="宋体" w:cs="Times New Roman"/>
                <w:szCs w:val="21"/>
                <w:highlight w:val="none"/>
                <w:u w:val="none"/>
              </w:rPr>
              <w:t>2008</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8</w:t>
            </w:r>
            <w:r>
              <w:rPr>
                <w:rFonts w:ascii="Times New Roman" w:hAnsi="宋体" w:eastAsia="宋体" w:cs="Times New Roman"/>
                <w:szCs w:val="21"/>
                <w:highlight w:val="none"/>
                <w:u w:val="none"/>
              </w:rPr>
              <w:t>号）、《全国主体功能区规划》（国发〔</w:t>
            </w:r>
            <w:r>
              <w:rPr>
                <w:rFonts w:ascii="Times New Roman" w:hAnsi="Times New Roman" w:eastAsia="宋体" w:cs="Times New Roman"/>
                <w:szCs w:val="21"/>
                <w:highlight w:val="none"/>
                <w:u w:val="none"/>
              </w:rPr>
              <w:t>2010</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46</w:t>
            </w:r>
            <w:r>
              <w:rPr>
                <w:rFonts w:ascii="Times New Roman" w:hAnsi="宋体" w:eastAsia="宋体" w:cs="Times New Roman"/>
                <w:szCs w:val="21"/>
                <w:highlight w:val="none"/>
                <w:u w:val="none"/>
              </w:rPr>
              <w:t>号）、《全国生态功能区划（修编版）》（环境保护部、中国科学院公告</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年第</w:t>
            </w:r>
            <w:r>
              <w:rPr>
                <w:rFonts w:ascii="Times New Roman" w:hAnsi="Times New Roman" w:eastAsia="宋体" w:cs="Times New Roman"/>
                <w:szCs w:val="21"/>
                <w:highlight w:val="none"/>
                <w:u w:val="none"/>
              </w:rPr>
              <w:t>61</w:t>
            </w:r>
            <w:r>
              <w:rPr>
                <w:rFonts w:ascii="Times New Roman" w:hAnsi="宋体" w:eastAsia="宋体" w:cs="Times New Roman"/>
                <w:szCs w:val="21"/>
                <w:highlight w:val="none"/>
                <w:u w:val="none"/>
              </w:rPr>
              <w:t>号）相关要求，提出了第</w:t>
            </w:r>
            <w:r>
              <w:rPr>
                <w:rFonts w:ascii="Times New Roman" w:hAnsi="Times New Roman" w:eastAsia="宋体" w:cs="Times New Roman"/>
                <w:szCs w:val="21"/>
                <w:highlight w:val="none"/>
                <w:u w:val="none"/>
              </w:rPr>
              <w:t>1</w:t>
            </w:r>
            <w:r>
              <w:rPr>
                <w:rFonts w:ascii="Times New Roman" w:hAnsi="宋体" w:eastAsia="宋体" w:cs="Times New Roman"/>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．依据广西壮族自治区实施《中华人民共和国水土保持法》办法（</w:t>
            </w:r>
            <w:r>
              <w:rPr>
                <w:rFonts w:ascii="Times New Roman" w:hAnsi="Times New Roman" w:eastAsia="宋体" w:cs="Times New Roman"/>
                <w:szCs w:val="21"/>
                <w:highlight w:val="none"/>
                <w:u w:val="none"/>
              </w:rPr>
              <w:t>2014</w:t>
            </w:r>
            <w:r>
              <w:rPr>
                <w:rFonts w:ascii="Times New Roman" w:hAnsi="宋体" w:eastAsia="宋体" w:cs="Times New Roman"/>
                <w:szCs w:val="21"/>
                <w:highlight w:val="none"/>
                <w:u w:val="none"/>
              </w:rPr>
              <w:t>年</w:t>
            </w:r>
            <w:r>
              <w:rPr>
                <w:rFonts w:ascii="Times New Roman" w:hAnsi="Times New Roman" w:eastAsia="宋体" w:cs="Times New Roman"/>
                <w:szCs w:val="21"/>
                <w:highlight w:val="none"/>
                <w:u w:val="none"/>
              </w:rPr>
              <w:t>7</w:t>
            </w:r>
            <w:r>
              <w:rPr>
                <w:rFonts w:ascii="Times New Roman" w:hAnsi="宋体" w:eastAsia="宋体" w:cs="Times New Roman"/>
                <w:szCs w:val="21"/>
                <w:highlight w:val="none"/>
                <w:u w:val="none"/>
              </w:rPr>
              <w:t>月修订）相关要求，提出了第</w:t>
            </w: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．依据《全国生态功能区划（修编版）》（环境保护部、中国科学院公告</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年第</w:t>
            </w:r>
            <w:r>
              <w:rPr>
                <w:rFonts w:ascii="Times New Roman" w:hAnsi="Times New Roman" w:eastAsia="宋体" w:cs="Times New Roman"/>
                <w:szCs w:val="21"/>
                <w:highlight w:val="none"/>
                <w:u w:val="none"/>
              </w:rPr>
              <w:t>61</w:t>
            </w:r>
            <w:r>
              <w:rPr>
                <w:rFonts w:ascii="Times New Roman" w:hAnsi="宋体" w:eastAsia="宋体" w:cs="Times New Roman"/>
                <w:szCs w:val="21"/>
                <w:highlight w:val="none"/>
                <w:u w:val="none"/>
              </w:rPr>
              <w:t>号）相关要求，参照《广西环境保护和生态建设</w:t>
            </w:r>
            <w:r>
              <w:rPr>
                <w:rFonts w:hint="eastAsia" w:ascii="Times New Roman" w:hAnsi="Times New Roman" w:eastAsia="宋体" w:cs="Times New Roman"/>
                <w:szCs w:val="21"/>
                <w:highlight w:val="none"/>
                <w:u w:val="none"/>
                <w:lang w:eastAsia="zh-CN"/>
              </w:rPr>
              <w:t>“</w:t>
            </w:r>
            <w:r>
              <w:rPr>
                <w:rFonts w:ascii="Times New Roman" w:hAnsi="宋体" w:eastAsia="宋体" w:cs="Times New Roman"/>
                <w:szCs w:val="21"/>
                <w:highlight w:val="none"/>
                <w:u w:val="none"/>
              </w:rPr>
              <w:t>十三五</w:t>
            </w:r>
            <w:r>
              <w:rPr>
                <w:rFonts w:hint="eastAsia" w:ascii="Times New Roman" w:hAnsi="Times New Roman" w:eastAsia="宋体" w:cs="Times New Roman"/>
                <w:szCs w:val="21"/>
                <w:highlight w:val="none"/>
                <w:u w:val="none"/>
                <w:lang w:eastAsia="zh-CN"/>
              </w:rPr>
              <w:t>”</w:t>
            </w:r>
            <w:r>
              <w:rPr>
                <w:rFonts w:ascii="Times New Roman" w:hAnsi="宋体" w:eastAsia="宋体" w:cs="Times New Roman"/>
                <w:szCs w:val="21"/>
                <w:highlight w:val="none"/>
                <w:u w:val="none"/>
              </w:rPr>
              <w:t>规划》提出了第</w:t>
            </w: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条管控要求。</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．依据《全国主体功能区规划》（国发〔</w:t>
            </w:r>
            <w:r>
              <w:rPr>
                <w:rFonts w:ascii="Times New Roman" w:hAnsi="Times New Roman" w:eastAsia="宋体" w:cs="Times New Roman"/>
                <w:szCs w:val="21"/>
                <w:highlight w:val="none"/>
                <w:u w:val="none"/>
              </w:rPr>
              <w:t>2010</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46</w:t>
            </w:r>
            <w:r>
              <w:rPr>
                <w:rFonts w:ascii="Times New Roman" w:hAnsi="宋体" w:eastAsia="宋体" w:cs="Times New Roman"/>
                <w:szCs w:val="21"/>
                <w:highlight w:val="none"/>
                <w:u w:val="none"/>
              </w:rPr>
              <w:t>号）、《全国生态功能区划（修编版）》（环境保护部、中国科学院公告</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年第</w:t>
            </w:r>
            <w:r>
              <w:rPr>
                <w:rFonts w:ascii="Times New Roman" w:hAnsi="Times New Roman" w:eastAsia="宋体" w:cs="Times New Roman"/>
                <w:szCs w:val="21"/>
                <w:highlight w:val="none"/>
                <w:u w:val="none"/>
              </w:rPr>
              <w:t>61</w:t>
            </w:r>
            <w:r>
              <w:rPr>
                <w:rFonts w:ascii="Times New Roman" w:hAnsi="宋体" w:eastAsia="宋体" w:cs="Times New Roman"/>
                <w:szCs w:val="21"/>
                <w:highlight w:val="none"/>
                <w:u w:val="none"/>
              </w:rPr>
              <w:t>号）、《关于贯彻实施国家主体功能区环境政策的若干意见》（环发〔</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92</w:t>
            </w:r>
            <w:r>
              <w:rPr>
                <w:rFonts w:ascii="Times New Roman" w:hAnsi="宋体" w:eastAsia="宋体" w:cs="Times New Roman"/>
                <w:szCs w:val="21"/>
                <w:highlight w:val="none"/>
                <w:u w:val="none"/>
              </w:rPr>
              <w:t>号）、《广西壮族自治区主体功能区规划》（桂政发〔</w:t>
            </w:r>
            <w:r>
              <w:rPr>
                <w:rFonts w:ascii="Times New Roman" w:hAnsi="Times New Roman" w:eastAsia="宋体" w:cs="Times New Roman"/>
                <w:szCs w:val="21"/>
                <w:highlight w:val="none"/>
                <w:u w:val="none"/>
              </w:rPr>
              <w:t>2012</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89</w:t>
            </w:r>
            <w:r>
              <w:rPr>
                <w:rFonts w:ascii="Times New Roman" w:hAnsi="宋体" w:eastAsia="宋体" w:cs="Times New Roman"/>
                <w:szCs w:val="21"/>
                <w:highlight w:val="none"/>
                <w:u w:val="none"/>
              </w:rPr>
              <w:t>号）、《广西壮族自治区生态功能区划》（桂政办发〔</w:t>
            </w:r>
            <w:r>
              <w:rPr>
                <w:rFonts w:ascii="Times New Roman" w:hAnsi="Times New Roman" w:eastAsia="宋体" w:cs="Times New Roman"/>
                <w:szCs w:val="21"/>
                <w:highlight w:val="none"/>
                <w:u w:val="none"/>
              </w:rPr>
              <w:t>2008</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8</w:t>
            </w:r>
            <w:r>
              <w:rPr>
                <w:rFonts w:ascii="Times New Roman" w:hAnsi="宋体" w:eastAsia="宋体" w:cs="Times New Roman"/>
                <w:szCs w:val="21"/>
                <w:highlight w:val="none"/>
                <w:u w:val="none"/>
              </w:rPr>
              <w:t>号）相关要求，提出了第</w:t>
            </w: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4"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生物多样性维护</w:t>
            </w:r>
          </w:p>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功能（极）重要区</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bCs/>
                <w:szCs w:val="21"/>
                <w:highlight w:val="none"/>
                <w:u w:val="none"/>
              </w:rPr>
              <w:t>1</w:t>
            </w:r>
            <w:r>
              <w:rPr>
                <w:rFonts w:ascii="Times New Roman" w:hAnsi="宋体" w:eastAsia="宋体" w:cs="Times New Roman"/>
                <w:bCs/>
                <w:szCs w:val="21"/>
                <w:highlight w:val="none"/>
                <w:u w:val="none"/>
              </w:rPr>
              <w:t>．</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滥捕、乱采、乱猎野生动植物。</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2</w:t>
            </w:r>
            <w:r>
              <w:rPr>
                <w:rFonts w:ascii="Times New Roman" w:hAnsi="宋体" w:eastAsia="宋体" w:cs="Times New Roman"/>
                <w:szCs w:val="21"/>
                <w:highlight w:val="none"/>
                <w:u w:val="none"/>
              </w:rPr>
              <w:t>．保护自然生态系统与重要物种栖息地，</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无序采矿、毁林开荒、湿地和草地开垦等。</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3</w:t>
            </w:r>
            <w:r>
              <w:rPr>
                <w:rFonts w:ascii="Times New Roman" w:hAnsi="宋体" w:eastAsia="宋体" w:cs="Times New Roman"/>
                <w:szCs w:val="21"/>
                <w:highlight w:val="none"/>
                <w:u w:val="none"/>
              </w:rPr>
              <w:t>．加强对外来物种入侵的控制，</w:t>
            </w:r>
            <w:r>
              <w:rPr>
                <w:rFonts w:ascii="Times New Roman" w:hAnsi="宋体" w:eastAsia="宋体" w:cs="Times New Roman"/>
                <w:b/>
                <w:szCs w:val="21"/>
                <w:highlight w:val="none"/>
                <w:u w:val="none"/>
              </w:rPr>
              <w:t>禁止</w:t>
            </w:r>
            <w:r>
              <w:rPr>
                <w:rFonts w:ascii="Times New Roman" w:hAnsi="宋体" w:eastAsia="宋体" w:cs="Times New Roman"/>
                <w:szCs w:val="21"/>
                <w:highlight w:val="none"/>
                <w:u w:val="none"/>
              </w:rPr>
              <w:t>在生物多样性保护功能区引进外来物种。</w:t>
            </w:r>
          </w:p>
          <w:p>
            <w:pPr>
              <w:adjustRightInd w:val="0"/>
              <w:snapToGrid w:val="0"/>
              <w:rPr>
                <w:rFonts w:ascii="Times New Roman" w:hAnsi="Times New Roman" w:eastAsia="宋体" w:cs="Times New Roman"/>
                <w:szCs w:val="21"/>
                <w:highlight w:val="none"/>
                <w:u w:val="none"/>
              </w:rPr>
            </w:pPr>
            <w:r>
              <w:rPr>
                <w:rFonts w:ascii="Times New Roman" w:hAnsi="Times New Roman" w:eastAsia="宋体" w:cs="Times New Roman"/>
                <w:szCs w:val="21"/>
                <w:highlight w:val="none"/>
                <w:u w:val="none"/>
              </w:rPr>
              <w:t>4</w:t>
            </w:r>
            <w:r>
              <w:rPr>
                <w:rFonts w:ascii="Times New Roman" w:hAnsi="宋体" w:eastAsia="宋体" w:cs="Times New Roman"/>
                <w:szCs w:val="21"/>
                <w:highlight w:val="none"/>
                <w:u w:val="none"/>
              </w:rPr>
              <w:t>．加强生物多样性资源调查与监测，保护和修复自然生态系统和重要物种栖息地，实施生物多样性保护工程。</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依据《全国主体功能区规划》（国发〔</w:t>
            </w:r>
            <w:r>
              <w:rPr>
                <w:rFonts w:ascii="Times New Roman" w:hAnsi="Times New Roman" w:eastAsia="宋体" w:cs="Times New Roman"/>
                <w:szCs w:val="21"/>
                <w:highlight w:val="none"/>
                <w:u w:val="none"/>
              </w:rPr>
              <w:t>2010</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46</w:t>
            </w:r>
            <w:r>
              <w:rPr>
                <w:rFonts w:ascii="Times New Roman" w:hAnsi="宋体" w:eastAsia="宋体" w:cs="Times New Roman"/>
                <w:szCs w:val="21"/>
                <w:highlight w:val="none"/>
                <w:u w:val="none"/>
              </w:rPr>
              <w:t>号）、《全国生态功能区划（修编版）》（环境保护部、中国科学院公告</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年第</w:t>
            </w:r>
            <w:r>
              <w:rPr>
                <w:rFonts w:ascii="Times New Roman" w:hAnsi="Times New Roman" w:eastAsia="宋体" w:cs="Times New Roman"/>
                <w:szCs w:val="21"/>
                <w:highlight w:val="none"/>
                <w:u w:val="none"/>
              </w:rPr>
              <w:t>61</w:t>
            </w:r>
            <w:r>
              <w:rPr>
                <w:rFonts w:ascii="Times New Roman" w:hAnsi="宋体" w:eastAsia="宋体" w:cs="Times New Roman"/>
                <w:szCs w:val="21"/>
                <w:highlight w:val="none"/>
                <w:u w:val="none"/>
              </w:rPr>
              <w:t>号）、《关于贯彻实施国家主体功能区环境政策的若干意见》（环发〔</w:t>
            </w:r>
            <w:r>
              <w:rPr>
                <w:rFonts w:ascii="Times New Roman" w:hAnsi="Times New Roman" w:eastAsia="宋体" w:cs="Times New Roman"/>
                <w:szCs w:val="21"/>
                <w:highlight w:val="none"/>
                <w:u w:val="none"/>
              </w:rPr>
              <w:t>2015</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92</w:t>
            </w:r>
            <w:r>
              <w:rPr>
                <w:rFonts w:ascii="Times New Roman" w:hAnsi="宋体" w:eastAsia="宋体" w:cs="Times New Roman"/>
                <w:szCs w:val="21"/>
                <w:highlight w:val="none"/>
                <w:u w:val="none"/>
              </w:rPr>
              <w:t>号）、《广西壮族自治区主体功能区规划》（桂政发〔</w:t>
            </w:r>
            <w:r>
              <w:rPr>
                <w:rFonts w:ascii="Times New Roman" w:hAnsi="Times New Roman" w:eastAsia="宋体" w:cs="Times New Roman"/>
                <w:szCs w:val="21"/>
                <w:highlight w:val="none"/>
                <w:u w:val="none"/>
              </w:rPr>
              <w:t>2012</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89</w:t>
            </w:r>
            <w:r>
              <w:rPr>
                <w:rFonts w:ascii="Times New Roman" w:hAnsi="宋体" w:eastAsia="宋体" w:cs="Times New Roman"/>
                <w:szCs w:val="21"/>
                <w:highlight w:val="none"/>
                <w:u w:val="none"/>
              </w:rPr>
              <w:t>号）、《广西壮族自治区生态功能区划》（桂政办发〔</w:t>
            </w:r>
            <w:r>
              <w:rPr>
                <w:rFonts w:ascii="Times New Roman" w:hAnsi="Times New Roman" w:eastAsia="宋体" w:cs="Times New Roman"/>
                <w:szCs w:val="21"/>
                <w:highlight w:val="none"/>
                <w:u w:val="none"/>
              </w:rPr>
              <w:t>2008</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8</w:t>
            </w:r>
            <w:r>
              <w:rPr>
                <w:rFonts w:ascii="Times New Roman" w:hAnsi="宋体" w:eastAsia="宋体" w:cs="Times New Roman"/>
                <w:szCs w:val="21"/>
                <w:highlight w:val="none"/>
                <w:u w:val="none"/>
              </w:rPr>
              <w:t>号）相关要求，提出了第</w:t>
            </w:r>
            <w:r>
              <w:rPr>
                <w:rFonts w:ascii="Times New Roman" w:hAnsi="Times New Roman" w:eastAsia="宋体" w:cs="Times New Roman"/>
                <w:szCs w:val="21"/>
                <w:highlight w:val="none"/>
                <w:u w:val="none"/>
              </w:rPr>
              <w:t>1-4</w:t>
            </w:r>
            <w:r>
              <w:rPr>
                <w:rFonts w:ascii="Times New Roman" w:hAnsi="宋体" w:eastAsia="宋体" w:cs="Times New Roman"/>
                <w:szCs w:val="21"/>
                <w:highlight w:val="none"/>
                <w:u w:val="none"/>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水土流失重点预防区</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采取保护管理、局部治理、生态补偿及能源替代等措施，保护林草植被，强化生产建设活动和项目水土保持管理，实施封育保护，促进自然修复，全面预防水土流失。</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依据《广西壮族自治区人民政府关于划分我区水土流失重点预防区和重点治理区的通告》（桂政发〔</w:t>
            </w:r>
            <w:r>
              <w:rPr>
                <w:rFonts w:ascii="Times New Roman" w:hAnsi="Times New Roman" w:eastAsia="宋体" w:cs="Times New Roman"/>
                <w:szCs w:val="21"/>
                <w:highlight w:val="none"/>
                <w:u w:val="none"/>
              </w:rPr>
              <w:t>2017</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5</w:t>
            </w:r>
            <w:r>
              <w:rPr>
                <w:rFonts w:ascii="Times New Roman" w:hAnsi="宋体" w:eastAsia="宋体" w:cs="Times New Roman"/>
                <w:szCs w:val="21"/>
                <w:highlight w:val="none"/>
                <w:u w:val="none"/>
              </w:rPr>
              <w:t>号）相关要求，提出管控要求。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1595" w:type="dxa"/>
            <w:vMerge w:val="continue"/>
            <w:vAlign w:val="center"/>
          </w:tcPr>
          <w:p>
            <w:pPr>
              <w:adjustRightInd w:val="0"/>
              <w:snapToGrid w:val="0"/>
              <w:rPr>
                <w:rFonts w:ascii="Times New Roman" w:hAnsi="Times New Roman" w:eastAsia="宋体" w:cs="Times New Roman"/>
                <w:szCs w:val="21"/>
                <w:highlight w:val="none"/>
                <w:u w:val="none"/>
              </w:rPr>
            </w:pPr>
          </w:p>
        </w:tc>
        <w:tc>
          <w:tcPr>
            <w:tcW w:w="1932" w:type="dxa"/>
            <w:gridSpan w:val="2"/>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水土流失重点治理区</w:t>
            </w:r>
          </w:p>
        </w:tc>
        <w:tc>
          <w:tcPr>
            <w:tcW w:w="2039" w:type="dxa"/>
            <w:vAlign w:val="center"/>
          </w:tcPr>
          <w:p>
            <w:pPr>
              <w:adjustRightInd w:val="0"/>
              <w:snapToGrid w:val="0"/>
              <w:jc w:val="center"/>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空间布局约束</w:t>
            </w:r>
          </w:p>
        </w:tc>
        <w:tc>
          <w:tcPr>
            <w:tcW w:w="9400" w:type="dxa"/>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坚持政府领导、部门协作、统一规划、项目带动、社会参与，结合区域特点，科学制定分区水土流失防治措施体系，因地制宜地采取林草措施、工程措施以及农业保护性耕作措施，维护和增强区域水土保持功能。</w:t>
            </w:r>
          </w:p>
        </w:tc>
        <w:tc>
          <w:tcPr>
            <w:tcW w:w="6847" w:type="dxa"/>
            <w:vAlign w:val="center"/>
          </w:tcPr>
          <w:p>
            <w:pPr>
              <w:adjustRightInd w:val="0"/>
              <w:snapToGrid w:val="0"/>
              <w:rPr>
                <w:rFonts w:ascii="Times New Roman" w:hAnsi="Times New Roman" w:eastAsia="宋体" w:cs="Times New Roman"/>
                <w:szCs w:val="21"/>
                <w:highlight w:val="none"/>
                <w:u w:val="none"/>
              </w:rPr>
            </w:pPr>
            <w:r>
              <w:rPr>
                <w:rFonts w:ascii="Times New Roman" w:hAnsi="宋体" w:eastAsia="宋体" w:cs="Times New Roman"/>
                <w:szCs w:val="21"/>
                <w:highlight w:val="none"/>
                <w:u w:val="none"/>
              </w:rPr>
              <w:t>依据《广西壮族自治区人民政府关于划分我区水土流失重点预防区和重点治理区的通告》（桂政发〔</w:t>
            </w:r>
            <w:r>
              <w:rPr>
                <w:rFonts w:ascii="Times New Roman" w:hAnsi="Times New Roman" w:eastAsia="宋体" w:cs="Times New Roman"/>
                <w:szCs w:val="21"/>
                <w:highlight w:val="none"/>
                <w:u w:val="none"/>
              </w:rPr>
              <w:t>2017</w:t>
            </w:r>
            <w:r>
              <w:rPr>
                <w:rFonts w:ascii="Times New Roman" w:hAnsi="宋体" w:eastAsia="宋体" w:cs="Times New Roman"/>
                <w:szCs w:val="21"/>
                <w:highlight w:val="none"/>
                <w:u w:val="none"/>
              </w:rPr>
              <w:t>〕</w:t>
            </w:r>
            <w:r>
              <w:rPr>
                <w:rFonts w:ascii="Times New Roman" w:hAnsi="Times New Roman" w:eastAsia="宋体" w:cs="Times New Roman"/>
                <w:szCs w:val="21"/>
                <w:highlight w:val="none"/>
                <w:u w:val="none"/>
              </w:rPr>
              <w:t>5</w:t>
            </w:r>
            <w:r>
              <w:rPr>
                <w:rFonts w:ascii="Times New Roman" w:hAnsi="宋体" w:eastAsia="宋体" w:cs="Times New Roman"/>
                <w:szCs w:val="21"/>
                <w:highlight w:val="none"/>
                <w:u w:val="none"/>
              </w:rPr>
              <w:t>号）相关要求，提出管控要求。</w:t>
            </w:r>
          </w:p>
        </w:tc>
      </w:tr>
    </w:tbl>
    <w:p>
      <w:pPr>
        <w:pStyle w:val="19"/>
        <w:outlineLvl w:val="2"/>
        <w:rPr>
          <w:rFonts w:hAnsi="Times New Roman"/>
          <w:highlight w:val="none"/>
          <w:u w:val="none"/>
        </w:rPr>
      </w:pPr>
      <w:r>
        <w:rPr>
          <w:rFonts w:hAnsi="Times New Roman"/>
          <w:highlight w:val="none"/>
          <w:u w:val="none"/>
        </w:rPr>
        <w:br w:type="page"/>
      </w:r>
      <w:bookmarkStart w:id="6" w:name="_Toc14746"/>
      <w:r>
        <w:rPr>
          <w:highlight w:val="none"/>
          <w:u w:val="none"/>
        </w:rPr>
        <w:t>表</w:t>
      </w:r>
      <w:r>
        <w:rPr>
          <w:rFonts w:hAnsi="Times New Roman"/>
          <w:highlight w:val="none"/>
          <w:u w:val="none"/>
        </w:rPr>
        <w:t xml:space="preserve">1.1-3  </w:t>
      </w:r>
      <w:r>
        <w:rPr>
          <w:highlight w:val="none"/>
          <w:u w:val="none"/>
        </w:rPr>
        <w:t>陆域重点管控区总体准入要求</w:t>
      </w:r>
      <w:bookmarkEnd w:id="6"/>
    </w:p>
    <w:tbl>
      <w:tblPr>
        <w:tblStyle w:val="20"/>
        <w:tblW w:w="218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2"/>
        <w:gridCol w:w="1808"/>
        <w:gridCol w:w="2262"/>
        <w:gridCol w:w="9303"/>
        <w:gridCol w:w="68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602"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适用分区</w:t>
            </w:r>
          </w:p>
        </w:tc>
        <w:tc>
          <w:tcPr>
            <w:tcW w:w="1808"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适用对象</w:t>
            </w:r>
          </w:p>
        </w:tc>
        <w:tc>
          <w:tcPr>
            <w:tcW w:w="2262"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管控要求类别</w:t>
            </w:r>
          </w:p>
        </w:tc>
        <w:tc>
          <w:tcPr>
            <w:tcW w:w="9303"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bCs/>
                <w:color w:val="000000" w:themeColor="text1"/>
                <w:szCs w:val="21"/>
                <w:highlight w:val="none"/>
                <w:u w:val="none"/>
                <w14:textFill>
                  <w14:solidFill>
                    <w14:schemeClr w14:val="tx1"/>
                  </w14:solidFill>
                </w14:textFill>
              </w:rPr>
              <w:t>生态环境准入及管控要求</w:t>
            </w:r>
          </w:p>
        </w:tc>
        <w:tc>
          <w:tcPr>
            <w:tcW w:w="6838" w:type="dxa"/>
            <w:vAlign w:val="center"/>
          </w:tcPr>
          <w:p>
            <w:pPr>
              <w:adjustRightInd w:val="0"/>
              <w:snapToGrid w:val="0"/>
              <w:jc w:val="center"/>
              <w:rPr>
                <w:rFonts w:ascii="Times New Roman" w:hAnsi="Times New Roman" w:eastAsia="宋体" w:cs="Times New Roman"/>
                <w:b/>
                <w:bCs/>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编制理由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1602" w:type="dxa"/>
            <w:vMerge w:val="restart"/>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重点管控单元</w:t>
            </w:r>
          </w:p>
        </w:tc>
        <w:tc>
          <w:tcPr>
            <w:tcW w:w="1808" w:type="dxa"/>
            <w:vMerge w:val="restart"/>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工业集聚区重点管控单元</w:t>
            </w:r>
          </w:p>
        </w:tc>
        <w:tc>
          <w:tcPr>
            <w:tcW w:w="2262"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空间布局约束</w:t>
            </w:r>
          </w:p>
        </w:tc>
        <w:tc>
          <w:tcPr>
            <w:tcW w:w="9303" w:type="dxa"/>
            <w:vAlign w:val="center"/>
          </w:tcPr>
          <w:p>
            <w:pPr>
              <w:numPr>
                <w:ilvl w:val="255"/>
                <w:numId w:val="0"/>
              </w:num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各类产业园区管理机构应将规划环评结论及审查意见落实到规划中。负责统筹区域内生态环境基础设施建设，</w:t>
            </w:r>
            <w:r>
              <w:rPr>
                <w:rFonts w:ascii="Times New Roman" w:hAnsi="宋体" w:eastAsia="宋体" w:cs="Times New Roman"/>
                <w:b/>
                <w:bCs/>
                <w:color w:val="000000" w:themeColor="text1"/>
                <w:szCs w:val="21"/>
                <w:highlight w:val="none"/>
                <w:u w:val="none"/>
                <w14:textFill>
                  <w14:solidFill>
                    <w14:schemeClr w14:val="tx1"/>
                  </w14:solidFill>
                </w14:textFill>
              </w:rPr>
              <w:t>不得</w:t>
            </w:r>
            <w:r>
              <w:rPr>
                <w:rFonts w:ascii="Times New Roman" w:hAnsi="宋体" w:eastAsia="宋体" w:cs="Times New Roman"/>
                <w:color w:val="000000" w:themeColor="text1"/>
                <w:szCs w:val="21"/>
                <w:highlight w:val="none"/>
                <w:u w:val="none"/>
                <w14:textFill>
                  <w14:solidFill>
                    <w14:schemeClr w14:val="tx1"/>
                  </w14:solidFill>
                </w14:textFill>
              </w:rPr>
              <w:t>引入不符合规划环评结论及审查意见的项目入园。</w:t>
            </w:r>
          </w:p>
        </w:tc>
        <w:tc>
          <w:tcPr>
            <w:tcW w:w="6838" w:type="dxa"/>
            <w:vAlign w:val="center"/>
          </w:tcPr>
          <w:p>
            <w:pPr>
              <w:numPr>
                <w:ilvl w:val="255"/>
                <w:numId w:val="0"/>
              </w:num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依据《关于进一步加强产业园区规划环境影响评价工作的意见》（环环评〔</w:t>
            </w:r>
            <w:r>
              <w:rPr>
                <w:rFonts w:ascii="Times New Roman" w:hAnsi="Times New Roman" w:eastAsia="宋体" w:cs="Times New Roman"/>
                <w:color w:val="000000" w:themeColor="text1"/>
                <w:szCs w:val="21"/>
                <w:highlight w:val="none"/>
                <w:u w:val="none"/>
                <w14:textFill>
                  <w14:solidFill>
                    <w14:schemeClr w14:val="tx1"/>
                  </w14:solidFill>
                </w14:textFill>
              </w:rPr>
              <w:t>2020</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65</w:t>
            </w:r>
            <w:r>
              <w:rPr>
                <w:rFonts w:ascii="Times New Roman" w:hAnsi="宋体" w:eastAsia="宋体" w:cs="Times New Roman"/>
                <w:color w:val="000000" w:themeColor="text1"/>
                <w:szCs w:val="21"/>
                <w:highlight w:val="none"/>
                <w:u w:val="none"/>
                <w14:textFill>
                  <w14:solidFill>
                    <w14:schemeClr w14:val="tx1"/>
                  </w14:solidFill>
                </w14:textFill>
              </w:rPr>
              <w:t>号）提出管控要求。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3" w:hRule="atLeast"/>
          <w:jc w:val="center"/>
        </w:trPr>
        <w:tc>
          <w:tcPr>
            <w:tcW w:w="1602" w:type="dxa"/>
            <w:vMerge w:val="continue"/>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08" w:type="dxa"/>
            <w:vMerge w:val="continue"/>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2262"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污染物排放管控</w:t>
            </w:r>
          </w:p>
        </w:tc>
        <w:tc>
          <w:tcPr>
            <w:tcW w:w="9303"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．逐步完成工业集聚区集中式污水处理设施建设，确保已建污水处理设施稳定运行及达标排放。园区集中式污水处理设施总排口安装自动监控系统、视频监控系统，并与生态环境主管部门联网。按照</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清污分流、雨污分流</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原则，实施废水分类收集、分质处理。</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．新建、改建、扩建工业建设项目主要污染物排放应控制在区域环境承载能力范围内，确保环境质量达标。</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．新、改、扩建涉重金属重点行业建设项目必须以改善环境质量为核心，确保区域环境质量符合功能区定位，遵循重点重金属污染物排放</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减量置换</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或</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等量置换</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的原则，确保辖区完成重点行业重金属污染物排放总量控制目标。</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．对现有生态环境问题要组织整改，落实主要污染物总量控制和减排任务。</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．对石化、煤化工、燃煤发电（含热电）、钢铁、有色金属、制浆造纸等重点行业建设项目采取区域削减、强化区域整治、行业减排。</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6</w:t>
            </w:r>
            <w:r>
              <w:rPr>
                <w:rFonts w:ascii="Times New Roman" w:hAnsi="宋体" w:eastAsia="宋体" w:cs="Times New Roman"/>
                <w:color w:val="000000" w:themeColor="text1"/>
                <w:szCs w:val="21"/>
                <w:highlight w:val="none"/>
                <w:u w:val="none"/>
                <w14:textFill>
                  <w14:solidFill>
                    <w14:schemeClr w14:val="tx1"/>
                  </w14:solidFill>
                </w14:textFill>
              </w:rPr>
              <w:t>．严格能效约束推动重点领域节能降碳，持续推进钢铁、有色、建材、电力、石化化工、造纸等行业企业节能改造和转型升级。</w:t>
            </w:r>
          </w:p>
        </w:tc>
        <w:tc>
          <w:tcPr>
            <w:tcW w:w="6838" w:type="dxa"/>
            <w:vAlign w:val="center"/>
          </w:tcPr>
          <w:p>
            <w:pPr>
              <w:adjustRightInd w:val="0"/>
              <w:snapToGrid w:val="0"/>
              <w:rPr>
                <w:rFonts w:ascii="Times New Roman" w:hAnsi="Times New Roman" w:eastAsia="宋体" w:cs="Times New Roman"/>
                <w:color w:val="000000" w:themeColor="text1"/>
                <w:kern w:val="0"/>
                <w:szCs w:val="21"/>
                <w:highlight w:val="none"/>
                <w:u w:val="none"/>
                <w14:textFill>
                  <w14:solidFill>
                    <w14:schemeClr w14:val="tx1"/>
                  </w14:solidFill>
                </w14:textFill>
              </w:rPr>
            </w:pPr>
            <w:r>
              <w:rPr>
                <w:rFonts w:ascii="Times New Roman" w:hAnsi="Times New Roman" w:eastAsia="宋体" w:cs="Times New Roman"/>
                <w:color w:val="000000" w:themeColor="text1"/>
                <w:kern w:val="0"/>
                <w:szCs w:val="21"/>
                <w:highlight w:val="none"/>
                <w:u w:val="none"/>
                <w14:textFill>
                  <w14:solidFill>
                    <w14:schemeClr w14:val="tx1"/>
                  </w14:solidFill>
                </w14:textFill>
              </w:rPr>
              <w:t>1</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依据《中共广西壮族自治区委员会</w:t>
            </w:r>
            <w:r>
              <w:rPr>
                <w:rFonts w:ascii="Times New Roman" w:hAnsi="Times New Roman" w:eastAsia="宋体" w:cs="Times New Roman"/>
                <w:color w:val="000000" w:themeColor="text1"/>
                <w:szCs w:val="21"/>
                <w:highlight w:val="none"/>
                <w:u w:val="none"/>
                <w14:textFill>
                  <w14:solidFill>
                    <w14:schemeClr w14:val="tx1"/>
                  </w14:solidFill>
                </w14:textFill>
              </w:rPr>
              <w:t xml:space="preserve"> </w:t>
            </w:r>
            <w:r>
              <w:rPr>
                <w:rFonts w:ascii="Times New Roman" w:hAnsi="宋体" w:eastAsia="宋体" w:cs="Times New Roman"/>
                <w:color w:val="000000" w:themeColor="text1"/>
                <w:szCs w:val="21"/>
                <w:highlight w:val="none"/>
                <w:u w:val="none"/>
                <w14:textFill>
                  <w14:solidFill>
                    <w14:schemeClr w14:val="tx1"/>
                  </w14:solidFill>
                </w14:textFill>
              </w:rPr>
              <w:t>广西壮族自治区人民政府关于深入打好污染防治攻坚战的实施意见》（桂发〔</w:t>
            </w:r>
            <w:r>
              <w:rPr>
                <w:rFonts w:ascii="Times New Roman" w:hAnsi="Times New Roman" w:eastAsia="宋体" w:cs="Times New Roman"/>
                <w:color w:val="000000" w:themeColor="text1"/>
                <w:szCs w:val="21"/>
                <w:highlight w:val="none"/>
                <w:u w:val="none"/>
                <w14:textFill>
                  <w14:solidFill>
                    <w14:schemeClr w14:val="tx1"/>
                  </w14:solidFill>
                </w14:textFill>
              </w:rPr>
              <w:t>2022</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15</w:t>
            </w:r>
            <w:r>
              <w:rPr>
                <w:rFonts w:ascii="Times New Roman" w:hAnsi="宋体" w:eastAsia="宋体" w:cs="Times New Roman"/>
                <w:color w:val="000000" w:themeColor="text1"/>
                <w:szCs w:val="21"/>
                <w:highlight w:val="none"/>
                <w:u w:val="none"/>
                <w14:textFill>
                  <w14:solidFill>
                    <w14:schemeClr w14:val="tx1"/>
                  </w14:solidFill>
                </w14:textFill>
              </w:rPr>
              <w:t>号）以及水污染防治实际需要</w:t>
            </w:r>
            <w:r>
              <w:rPr>
                <w:rFonts w:ascii="Times New Roman" w:hAnsi="宋体" w:eastAsia="宋体" w:cs="Times New Roman"/>
                <w:color w:val="000000" w:themeColor="text1"/>
                <w:kern w:val="0"/>
                <w:szCs w:val="21"/>
                <w:highlight w:val="none"/>
                <w:u w:val="none"/>
                <w14:textFill>
                  <w14:solidFill>
                    <w14:schemeClr w14:val="tx1"/>
                  </w14:solidFill>
                </w14:textFill>
              </w:rPr>
              <w:t>提出第</w:t>
            </w:r>
            <w:r>
              <w:rPr>
                <w:rFonts w:ascii="Times New Roman" w:hAnsi="Times New Roman" w:eastAsia="宋体" w:cs="Times New Roman"/>
                <w:color w:val="000000" w:themeColor="text1"/>
                <w:kern w:val="0"/>
                <w:szCs w:val="21"/>
                <w:highlight w:val="none"/>
                <w:u w:val="none"/>
                <w14:textFill>
                  <w14:solidFill>
                    <w14:schemeClr w14:val="tx1"/>
                  </w14:solidFill>
                </w14:textFill>
              </w:rPr>
              <w:t>1</w:t>
            </w:r>
            <w:r>
              <w:rPr>
                <w:rFonts w:ascii="Times New Roman" w:hAnsi="宋体" w:eastAsia="宋体" w:cs="Times New Roman"/>
                <w:color w:val="000000" w:themeColor="text1"/>
                <w:kern w:val="0"/>
                <w:szCs w:val="21"/>
                <w:highlight w:val="none"/>
                <w:u w:val="none"/>
                <w14:textFill>
                  <w14:solidFill>
                    <w14:schemeClr w14:val="tx1"/>
                  </w14:solidFill>
                </w14:textFill>
              </w:rPr>
              <w:t>条</w:t>
            </w:r>
            <w:r>
              <w:rPr>
                <w:rFonts w:ascii="Times New Roman" w:hAnsi="宋体" w:eastAsia="宋体" w:cs="Times New Roman"/>
                <w:color w:val="000000" w:themeColor="text1"/>
                <w:szCs w:val="21"/>
                <w:highlight w:val="none"/>
                <w:u w:val="none"/>
                <w14:textFill>
                  <w14:solidFill>
                    <w14:schemeClr w14:val="tx1"/>
                  </w14:solidFill>
                </w14:textFill>
              </w:rPr>
              <w:t>管控要求</w:t>
            </w:r>
            <w:r>
              <w:rPr>
                <w:rFonts w:ascii="Times New Roman" w:hAnsi="宋体" w:eastAsia="宋体" w:cs="Times New Roman"/>
                <w:color w:val="000000" w:themeColor="text1"/>
                <w:kern w:val="0"/>
                <w:szCs w:val="21"/>
                <w:highlight w:val="none"/>
                <w:u w:val="none"/>
                <w14:textFill>
                  <w14:solidFill>
                    <w14:schemeClr w14:val="tx1"/>
                  </w14:solidFill>
                </w14:textFill>
              </w:rPr>
              <w:t>。</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kern w:val="0"/>
                <w:szCs w:val="21"/>
                <w:highlight w:val="none"/>
                <w:u w:val="none"/>
                <w14:textFill>
                  <w14:solidFill>
                    <w14:schemeClr w14:val="tx1"/>
                  </w14:solidFill>
                </w14:textFill>
              </w:rPr>
              <w:t>2</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依据《广西壮族自治区建设项目重金属污染物排放指标核定暂行办法》（桂环发〔</w:t>
            </w:r>
            <w:r>
              <w:rPr>
                <w:rFonts w:ascii="Times New Roman" w:hAnsi="Times New Roman" w:eastAsia="宋体" w:cs="Times New Roman"/>
                <w:color w:val="000000" w:themeColor="text1"/>
                <w:szCs w:val="21"/>
                <w:highlight w:val="none"/>
                <w:u w:val="none"/>
                <w14:textFill>
                  <w14:solidFill>
                    <w14:schemeClr w14:val="tx1"/>
                  </w14:solidFill>
                </w14:textFill>
              </w:rPr>
              <w:t>2019</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21</w:t>
            </w:r>
            <w:r>
              <w:rPr>
                <w:rFonts w:ascii="Times New Roman" w:hAnsi="宋体" w:eastAsia="宋体" w:cs="Times New Roman"/>
                <w:color w:val="000000" w:themeColor="text1"/>
                <w:szCs w:val="21"/>
                <w:highlight w:val="none"/>
                <w:u w:val="none"/>
                <w14:textFill>
                  <w14:solidFill>
                    <w14:schemeClr w14:val="tx1"/>
                  </w14:solidFill>
                </w14:textFill>
              </w:rPr>
              <w:t>号）提出第</w:t>
            </w: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依据《关于进一步加强产业园区规划环境影响评价工作的意见》（环环评〔</w:t>
            </w:r>
            <w:r>
              <w:rPr>
                <w:rFonts w:ascii="Times New Roman" w:hAnsi="Times New Roman" w:eastAsia="宋体" w:cs="Times New Roman"/>
                <w:color w:val="000000" w:themeColor="text1"/>
                <w:szCs w:val="21"/>
                <w:highlight w:val="none"/>
                <w:u w:val="none"/>
                <w14:textFill>
                  <w14:solidFill>
                    <w14:schemeClr w14:val="tx1"/>
                  </w14:solidFill>
                </w14:textFill>
              </w:rPr>
              <w:t>2020</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65</w:t>
            </w:r>
            <w:r>
              <w:rPr>
                <w:rFonts w:ascii="Times New Roman" w:hAnsi="宋体" w:eastAsia="宋体" w:cs="Times New Roman"/>
                <w:color w:val="000000" w:themeColor="text1"/>
                <w:szCs w:val="21"/>
                <w:highlight w:val="none"/>
                <w:u w:val="none"/>
                <w14:textFill>
                  <w14:solidFill>
                    <w14:schemeClr w14:val="tx1"/>
                  </w14:solidFill>
                </w14:textFill>
              </w:rPr>
              <w:t>号）提出第</w:t>
            </w: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kern w:val="0"/>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kern w:val="0"/>
                <w:szCs w:val="21"/>
                <w:highlight w:val="none"/>
                <w:u w:val="none"/>
                <w14:textFill>
                  <w14:solidFill>
                    <w14:schemeClr w14:val="tx1"/>
                  </w14:solidFill>
                </w14:textFill>
              </w:rPr>
              <w:t>．依据《关于加强重点行业建设项目区域削减措施监督管理的通知》（环办环评〔</w:t>
            </w:r>
            <w:r>
              <w:rPr>
                <w:rFonts w:ascii="Times New Roman" w:hAnsi="Times New Roman" w:eastAsia="宋体" w:cs="Times New Roman"/>
                <w:color w:val="000000" w:themeColor="text1"/>
                <w:kern w:val="0"/>
                <w:szCs w:val="21"/>
                <w:highlight w:val="none"/>
                <w:u w:val="none"/>
                <w14:textFill>
                  <w14:solidFill>
                    <w14:schemeClr w14:val="tx1"/>
                  </w14:solidFill>
                </w14:textFill>
              </w:rPr>
              <w:t>2020</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36</w:t>
            </w:r>
            <w:r>
              <w:rPr>
                <w:rFonts w:ascii="Times New Roman" w:hAnsi="宋体" w:eastAsia="宋体" w:cs="Times New Roman"/>
                <w:color w:val="000000" w:themeColor="text1"/>
                <w:kern w:val="0"/>
                <w:szCs w:val="21"/>
                <w:highlight w:val="none"/>
                <w:u w:val="none"/>
                <w14:textFill>
                  <w14:solidFill>
                    <w14:schemeClr w14:val="tx1"/>
                  </w14:solidFill>
                </w14:textFill>
              </w:rPr>
              <w:t>号）《广西壮族自治区高耗能、高排放建设项目主要污染物排放管理办法》（桂环规范〔</w:t>
            </w:r>
            <w:r>
              <w:rPr>
                <w:rFonts w:ascii="Times New Roman" w:hAnsi="Times New Roman" w:eastAsia="宋体" w:cs="Times New Roman"/>
                <w:color w:val="000000" w:themeColor="text1"/>
                <w:kern w:val="0"/>
                <w:szCs w:val="21"/>
                <w:highlight w:val="none"/>
                <w:u w:val="none"/>
                <w14:textFill>
                  <w14:solidFill>
                    <w14:schemeClr w14:val="tx1"/>
                  </w14:solidFill>
                </w14:textFill>
              </w:rPr>
              <w:t>2023</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6</w:t>
            </w:r>
            <w:r>
              <w:rPr>
                <w:rFonts w:ascii="Times New Roman" w:hAnsi="宋体" w:eastAsia="宋体" w:cs="Times New Roman"/>
                <w:color w:val="000000" w:themeColor="text1"/>
                <w:kern w:val="0"/>
                <w:szCs w:val="21"/>
                <w:highlight w:val="none"/>
                <w:u w:val="none"/>
                <w14:textFill>
                  <w14:solidFill>
                    <w14:schemeClr w14:val="tx1"/>
                  </w14:solidFill>
                </w14:textFill>
              </w:rPr>
              <w:t>号）</w:t>
            </w:r>
            <w:r>
              <w:rPr>
                <w:rFonts w:ascii="Times New Roman" w:hAnsi="宋体" w:eastAsia="宋体" w:cs="Times New Roman"/>
                <w:color w:val="000000" w:themeColor="text1"/>
                <w:szCs w:val="21"/>
                <w:highlight w:val="none"/>
                <w:u w:val="none"/>
                <w14:textFill>
                  <w14:solidFill>
                    <w14:schemeClr w14:val="tx1"/>
                  </w14:solidFill>
                </w14:textFill>
              </w:rPr>
              <w:t>提出</w:t>
            </w:r>
            <w:r>
              <w:rPr>
                <w:rFonts w:ascii="Times New Roman" w:hAnsi="宋体" w:eastAsia="宋体" w:cs="Times New Roman"/>
                <w:color w:val="000000" w:themeColor="text1"/>
                <w:kern w:val="0"/>
                <w:szCs w:val="21"/>
                <w:highlight w:val="none"/>
                <w:u w:val="none"/>
                <w14:textFill>
                  <w14:solidFill>
                    <w14:schemeClr w14:val="tx1"/>
                  </w14:solidFill>
                </w14:textFill>
              </w:rPr>
              <w:t>第</w:t>
            </w:r>
            <w:r>
              <w:rPr>
                <w:rFonts w:ascii="Times New Roman" w:hAnsi="Times New Roman" w:eastAsia="宋体" w:cs="Times New Roman"/>
                <w:color w:val="000000" w:themeColor="text1"/>
                <w:kern w:val="0"/>
                <w:szCs w:val="21"/>
                <w:highlight w:val="none"/>
                <w:u w:val="none"/>
                <w14:textFill>
                  <w14:solidFill>
                    <w14:schemeClr w14:val="tx1"/>
                  </w14:solidFill>
                </w14:textFill>
              </w:rPr>
              <w:t>5</w:t>
            </w:r>
            <w:r>
              <w:rPr>
                <w:rFonts w:ascii="Times New Roman" w:hAnsi="宋体" w:eastAsia="宋体" w:cs="Times New Roman"/>
                <w:color w:val="000000" w:themeColor="text1"/>
                <w:kern w:val="0"/>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kern w:val="0"/>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kern w:val="0"/>
                <w:szCs w:val="21"/>
                <w:highlight w:val="none"/>
                <w:u w:val="none"/>
                <w14:textFill>
                  <w14:solidFill>
                    <w14:schemeClr w14:val="tx1"/>
                  </w14:solidFill>
                </w14:textFill>
              </w:rPr>
              <w:t>．依据《国家发展改革委等部门关于发布</w:t>
            </w:r>
            <w:r>
              <w:rPr>
                <w:rFonts w:ascii="Times New Roman" w:hAnsi="Times New Roman" w:eastAsia="宋体" w:cs="Times New Roman"/>
                <w:color w:val="000000" w:themeColor="text1"/>
                <w:kern w:val="0"/>
                <w:szCs w:val="21"/>
                <w:highlight w:val="none"/>
                <w:u w:val="none"/>
                <w14:textFill>
                  <w14:solidFill>
                    <w14:schemeClr w14:val="tx1"/>
                  </w14:solidFill>
                </w14:textFill>
              </w:rPr>
              <w:t>&lt;</w:t>
            </w:r>
            <w:r>
              <w:rPr>
                <w:rFonts w:ascii="Times New Roman" w:hAnsi="宋体" w:eastAsia="宋体" w:cs="Times New Roman"/>
                <w:color w:val="000000" w:themeColor="text1"/>
                <w:kern w:val="0"/>
                <w:szCs w:val="21"/>
                <w:highlight w:val="none"/>
                <w:u w:val="none"/>
                <w14:textFill>
                  <w14:solidFill>
                    <w14:schemeClr w14:val="tx1"/>
                  </w14:solidFill>
                </w14:textFill>
              </w:rPr>
              <w:t>工业重点领域能效标杆水平和基准水平（</w:t>
            </w:r>
            <w:r>
              <w:rPr>
                <w:rFonts w:ascii="Times New Roman" w:hAnsi="Times New Roman" w:eastAsia="宋体" w:cs="Times New Roman"/>
                <w:color w:val="000000" w:themeColor="text1"/>
                <w:kern w:val="0"/>
                <w:szCs w:val="21"/>
                <w:highlight w:val="none"/>
                <w:u w:val="none"/>
                <w14:textFill>
                  <w14:solidFill>
                    <w14:schemeClr w14:val="tx1"/>
                  </w14:solidFill>
                </w14:textFill>
              </w:rPr>
              <w:t>2023</w:t>
            </w:r>
            <w:r>
              <w:rPr>
                <w:rFonts w:ascii="Times New Roman" w:hAnsi="宋体" w:eastAsia="宋体" w:cs="Times New Roman"/>
                <w:color w:val="000000" w:themeColor="text1"/>
                <w:kern w:val="0"/>
                <w:szCs w:val="21"/>
                <w:highlight w:val="none"/>
                <w:u w:val="none"/>
                <w14:textFill>
                  <w14:solidFill>
                    <w14:schemeClr w14:val="tx1"/>
                  </w14:solidFill>
                </w14:textFill>
              </w:rPr>
              <w:t>年版）</w:t>
            </w:r>
            <w:r>
              <w:rPr>
                <w:rFonts w:ascii="Times New Roman" w:hAnsi="Times New Roman" w:eastAsia="宋体" w:cs="Times New Roman"/>
                <w:color w:val="000000" w:themeColor="text1"/>
                <w:kern w:val="0"/>
                <w:szCs w:val="21"/>
                <w:highlight w:val="none"/>
                <w:u w:val="none"/>
                <w14:textFill>
                  <w14:solidFill>
                    <w14:schemeClr w14:val="tx1"/>
                  </w14:solidFill>
                </w14:textFill>
              </w:rPr>
              <w:t>&gt;</w:t>
            </w:r>
            <w:r>
              <w:rPr>
                <w:rFonts w:ascii="Times New Roman" w:hAnsi="宋体" w:eastAsia="宋体" w:cs="Times New Roman"/>
                <w:color w:val="000000" w:themeColor="text1"/>
                <w:kern w:val="0"/>
                <w:szCs w:val="21"/>
                <w:highlight w:val="none"/>
                <w:u w:val="none"/>
                <w14:textFill>
                  <w14:solidFill>
                    <w14:schemeClr w14:val="tx1"/>
                  </w14:solidFill>
                </w14:textFill>
              </w:rPr>
              <w:t>的通知》（发改产业〔</w:t>
            </w:r>
            <w:r>
              <w:rPr>
                <w:rFonts w:ascii="Times New Roman" w:hAnsi="Times New Roman" w:eastAsia="宋体" w:cs="Times New Roman"/>
                <w:color w:val="000000" w:themeColor="text1"/>
                <w:kern w:val="0"/>
                <w:szCs w:val="21"/>
                <w:highlight w:val="none"/>
                <w:u w:val="none"/>
                <w14:textFill>
                  <w14:solidFill>
                    <w14:schemeClr w14:val="tx1"/>
                  </w14:solidFill>
                </w14:textFill>
              </w:rPr>
              <w:t>2023</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723</w:t>
            </w:r>
            <w:r>
              <w:rPr>
                <w:rFonts w:ascii="Times New Roman" w:hAnsi="宋体" w:eastAsia="宋体" w:cs="Times New Roman"/>
                <w:color w:val="000000" w:themeColor="text1"/>
                <w:kern w:val="0"/>
                <w:szCs w:val="21"/>
                <w:highlight w:val="none"/>
                <w:u w:val="none"/>
                <w14:textFill>
                  <w14:solidFill>
                    <w14:schemeClr w14:val="tx1"/>
                  </w14:solidFill>
                </w14:textFill>
              </w:rPr>
              <w:t>号）《关于印发</w:t>
            </w:r>
            <w:r>
              <w:rPr>
                <w:rFonts w:ascii="Times New Roman" w:hAnsi="Times New Roman" w:eastAsia="宋体" w:cs="Times New Roman"/>
                <w:color w:val="000000" w:themeColor="text1"/>
                <w:kern w:val="0"/>
                <w:szCs w:val="21"/>
                <w:highlight w:val="none"/>
                <w:u w:val="none"/>
                <w14:textFill>
                  <w14:solidFill>
                    <w14:schemeClr w14:val="tx1"/>
                  </w14:solidFill>
                </w14:textFill>
              </w:rPr>
              <w:t>&lt;</w:t>
            </w:r>
            <w:r>
              <w:rPr>
                <w:rFonts w:ascii="Times New Roman" w:hAnsi="宋体" w:eastAsia="宋体" w:cs="Times New Roman"/>
                <w:color w:val="000000" w:themeColor="text1"/>
                <w:kern w:val="0"/>
                <w:szCs w:val="21"/>
                <w:highlight w:val="none"/>
                <w:u w:val="none"/>
                <w14:textFill>
                  <w14:solidFill>
                    <w14:schemeClr w14:val="tx1"/>
                  </w14:solidFill>
                </w14:textFill>
              </w:rPr>
              <w:t>减污降碳协同增效实施方案</w:t>
            </w:r>
            <w:r>
              <w:rPr>
                <w:rFonts w:ascii="Times New Roman" w:hAnsi="Times New Roman" w:eastAsia="宋体" w:cs="Times New Roman"/>
                <w:color w:val="000000" w:themeColor="text1"/>
                <w:kern w:val="0"/>
                <w:szCs w:val="21"/>
                <w:highlight w:val="none"/>
                <w:u w:val="none"/>
                <w14:textFill>
                  <w14:solidFill>
                    <w14:schemeClr w14:val="tx1"/>
                  </w14:solidFill>
                </w14:textFill>
              </w:rPr>
              <w:t>&gt;</w:t>
            </w:r>
            <w:r>
              <w:rPr>
                <w:rFonts w:ascii="Times New Roman" w:hAnsi="宋体" w:eastAsia="宋体" w:cs="Times New Roman"/>
                <w:color w:val="000000" w:themeColor="text1"/>
                <w:kern w:val="0"/>
                <w:szCs w:val="21"/>
                <w:highlight w:val="none"/>
                <w:u w:val="none"/>
                <w14:textFill>
                  <w14:solidFill>
                    <w14:schemeClr w14:val="tx1"/>
                  </w14:solidFill>
                </w14:textFill>
              </w:rPr>
              <w:t>的通知》（环综合〔</w:t>
            </w:r>
            <w:r>
              <w:rPr>
                <w:rFonts w:ascii="Times New Roman" w:hAnsi="Times New Roman" w:eastAsia="宋体" w:cs="Times New Roman"/>
                <w:color w:val="000000" w:themeColor="text1"/>
                <w:kern w:val="0"/>
                <w:szCs w:val="21"/>
                <w:highlight w:val="none"/>
                <w:u w:val="none"/>
                <w14:textFill>
                  <w14:solidFill>
                    <w14:schemeClr w14:val="tx1"/>
                  </w14:solidFill>
                </w14:textFill>
              </w:rPr>
              <w:t>2022</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42</w:t>
            </w:r>
            <w:r>
              <w:rPr>
                <w:rFonts w:ascii="Times New Roman" w:hAnsi="宋体" w:eastAsia="宋体" w:cs="Times New Roman"/>
                <w:color w:val="000000" w:themeColor="text1"/>
                <w:kern w:val="0"/>
                <w:szCs w:val="21"/>
                <w:highlight w:val="none"/>
                <w:u w:val="none"/>
                <w14:textFill>
                  <w14:solidFill>
                    <w14:schemeClr w14:val="tx1"/>
                  </w14:solidFill>
                </w14:textFill>
              </w:rPr>
              <w:t>号）《广西壮族自治区减污降碳协同增效实施方案》（桂环发〔</w:t>
            </w:r>
            <w:r>
              <w:rPr>
                <w:rFonts w:ascii="Times New Roman" w:hAnsi="Times New Roman" w:eastAsia="宋体" w:cs="Times New Roman"/>
                <w:color w:val="000000" w:themeColor="text1"/>
                <w:kern w:val="0"/>
                <w:szCs w:val="21"/>
                <w:highlight w:val="none"/>
                <w:u w:val="none"/>
                <w14:textFill>
                  <w14:solidFill>
                    <w14:schemeClr w14:val="tx1"/>
                  </w14:solidFill>
                </w14:textFill>
              </w:rPr>
              <w:t>2023</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21</w:t>
            </w:r>
            <w:r>
              <w:rPr>
                <w:rFonts w:ascii="Times New Roman" w:hAnsi="宋体" w:eastAsia="宋体" w:cs="Times New Roman"/>
                <w:color w:val="000000" w:themeColor="text1"/>
                <w:kern w:val="0"/>
                <w:szCs w:val="21"/>
                <w:highlight w:val="none"/>
                <w:u w:val="none"/>
                <w14:textFill>
                  <w14:solidFill>
                    <w14:schemeClr w14:val="tx1"/>
                  </w14:solidFill>
                </w14:textFill>
              </w:rPr>
              <w:t>号）</w:t>
            </w:r>
            <w:r>
              <w:rPr>
                <w:rFonts w:ascii="Times New Roman" w:hAnsi="宋体" w:eastAsia="宋体" w:cs="Times New Roman"/>
                <w:color w:val="000000" w:themeColor="text1"/>
                <w:szCs w:val="21"/>
                <w:highlight w:val="none"/>
                <w:u w:val="none"/>
                <w14:textFill>
                  <w14:solidFill>
                    <w14:schemeClr w14:val="tx1"/>
                  </w14:solidFill>
                </w14:textFill>
              </w:rPr>
              <w:t>提出</w:t>
            </w:r>
            <w:r>
              <w:rPr>
                <w:rFonts w:ascii="Times New Roman" w:hAnsi="宋体" w:eastAsia="宋体" w:cs="Times New Roman"/>
                <w:color w:val="000000" w:themeColor="text1"/>
                <w:kern w:val="0"/>
                <w:szCs w:val="21"/>
                <w:highlight w:val="none"/>
                <w:u w:val="none"/>
                <w14:textFill>
                  <w14:solidFill>
                    <w14:schemeClr w14:val="tx1"/>
                  </w14:solidFill>
                </w14:textFill>
              </w:rPr>
              <w:t>第</w:t>
            </w:r>
            <w:r>
              <w:rPr>
                <w:rFonts w:ascii="Times New Roman" w:hAnsi="Times New Roman" w:eastAsia="宋体" w:cs="Times New Roman"/>
                <w:color w:val="000000" w:themeColor="text1"/>
                <w:kern w:val="0"/>
                <w:szCs w:val="21"/>
                <w:highlight w:val="none"/>
                <w:u w:val="none"/>
                <w14:textFill>
                  <w14:solidFill>
                    <w14:schemeClr w14:val="tx1"/>
                  </w14:solidFill>
                </w14:textFill>
              </w:rPr>
              <w:t>6</w:t>
            </w:r>
            <w:r>
              <w:rPr>
                <w:rFonts w:ascii="Times New Roman" w:hAnsi="宋体" w:eastAsia="宋体" w:cs="Times New Roman"/>
                <w:color w:val="000000" w:themeColor="text1"/>
                <w:kern w:val="0"/>
                <w:szCs w:val="21"/>
                <w:highlight w:val="none"/>
                <w:u w:val="none"/>
                <w14:textFill>
                  <w14:solidFill>
                    <w14:schemeClr w14:val="tx1"/>
                  </w14:solidFill>
                </w14:textFill>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jc w:val="center"/>
        </w:trPr>
        <w:tc>
          <w:tcPr>
            <w:tcW w:w="1602" w:type="dxa"/>
            <w:vMerge w:val="continue"/>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08" w:type="dxa"/>
            <w:vMerge w:val="continue"/>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2262"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环境风险防控</w:t>
            </w:r>
          </w:p>
        </w:tc>
        <w:tc>
          <w:tcPr>
            <w:tcW w:w="9303"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加强产业园区环境风险防控体系建设并编制应急预案，细化明确产业园区及区内企业环境风险防范责任，与地方政府应急预案做好衔接联动，切实做好环境风险防范工作，督促污染企业做好退出地块的土壤、地下水等风险防控工作。</w:t>
            </w:r>
          </w:p>
        </w:tc>
        <w:tc>
          <w:tcPr>
            <w:tcW w:w="6838"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依据《关于进一步加强产业园区规划环境影响评价工作的意见》（环环评〔</w:t>
            </w:r>
            <w:r>
              <w:rPr>
                <w:rFonts w:ascii="Times New Roman" w:hAnsi="Times New Roman" w:eastAsia="宋体" w:cs="Times New Roman"/>
                <w:color w:val="000000" w:themeColor="text1"/>
                <w:szCs w:val="21"/>
                <w:highlight w:val="none"/>
                <w:u w:val="none"/>
                <w14:textFill>
                  <w14:solidFill>
                    <w14:schemeClr w14:val="tx1"/>
                  </w14:solidFill>
                </w14:textFill>
              </w:rPr>
              <w:t>2020</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65</w:t>
            </w:r>
            <w:r>
              <w:rPr>
                <w:rFonts w:ascii="Times New Roman" w:hAnsi="宋体" w:eastAsia="宋体" w:cs="Times New Roman"/>
                <w:color w:val="000000" w:themeColor="text1"/>
                <w:szCs w:val="21"/>
                <w:highlight w:val="none"/>
                <w:u w:val="none"/>
                <w14:textFill>
                  <w14:solidFill>
                    <w14:schemeClr w14:val="tx1"/>
                  </w14:solidFill>
                </w14:textFill>
              </w:rPr>
              <w:t>号）提出管控要求。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02" w:type="dxa"/>
            <w:vMerge w:val="continue"/>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08" w:type="dxa"/>
            <w:vMerge w:val="restart"/>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城镇生活类重点管控单元</w:t>
            </w:r>
          </w:p>
        </w:tc>
        <w:tc>
          <w:tcPr>
            <w:tcW w:w="2262"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空间布局约束</w:t>
            </w:r>
          </w:p>
        </w:tc>
        <w:tc>
          <w:tcPr>
            <w:tcW w:w="9303"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．在城市建成区</w:t>
            </w:r>
            <w:r>
              <w:rPr>
                <w:rFonts w:hAnsi="宋体" w:eastAsia="宋体"/>
                <w:b/>
                <w:color w:val="000000" w:themeColor="text1"/>
                <w:highlight w:val="none"/>
                <w:u w:val="none"/>
                <w14:textFill>
                  <w14:solidFill>
                    <w14:schemeClr w14:val="tx1"/>
                  </w14:solidFill>
                </w14:textFill>
              </w:rPr>
              <w:t>禁止</w:t>
            </w:r>
            <w:r>
              <w:rPr>
                <w:rFonts w:hAnsi="宋体" w:eastAsia="宋体"/>
                <w:color w:val="000000" w:themeColor="text1"/>
                <w:highlight w:val="none"/>
                <w:u w:val="none"/>
                <w14:textFill>
                  <w14:solidFill>
                    <w14:schemeClr w14:val="tx1"/>
                  </w14:solidFill>
                </w14:textFill>
              </w:rPr>
              <w:t>新建、扩建钢铁、石油、化工、有色金属、水泥、平板玻璃、建筑陶瓷、砖瓦、碳酸钙、造纸等高排放、高污染项目，已建企业应当逐步进行搬迁、改造或者转型、退出。</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．在城市建成区和其他依法需要特殊保护的区域内，</w:t>
            </w:r>
            <w:r>
              <w:rPr>
                <w:rFonts w:hAnsi="宋体" w:eastAsia="宋体"/>
                <w:b/>
                <w:color w:val="000000" w:themeColor="text1"/>
                <w:highlight w:val="none"/>
                <w:u w:val="none"/>
                <w14:textFill>
                  <w14:solidFill>
                    <w14:schemeClr w14:val="tx1"/>
                  </w14:solidFill>
                </w14:textFill>
              </w:rPr>
              <w:t>禁止</w:t>
            </w:r>
            <w:r>
              <w:rPr>
                <w:rFonts w:hAnsi="宋体" w:eastAsia="宋体"/>
                <w:color w:val="000000" w:themeColor="text1"/>
                <w:highlight w:val="none"/>
                <w:u w:val="none"/>
                <w14:textFill>
                  <w14:solidFill>
                    <w14:schemeClr w14:val="tx1"/>
                  </w14:solidFill>
                </w14:textFill>
              </w:rPr>
              <w:t>新建、改建、扩建产生恶臭气体的项目。污水处理设施、垃圾转运站等确实需要建设的项目，需设置合理的绿化带或隔离带。</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．城市市区、镇和村庄居民区、文化教育科学研究区等人口集中区域</w:t>
            </w:r>
            <w:r>
              <w:rPr>
                <w:rFonts w:hAnsi="宋体" w:eastAsia="宋体"/>
                <w:b/>
                <w:color w:val="000000" w:themeColor="text1"/>
                <w:highlight w:val="none"/>
                <w:u w:val="none"/>
                <w14:textFill>
                  <w14:solidFill>
                    <w14:schemeClr w14:val="tx1"/>
                  </w14:solidFill>
                </w14:textFill>
              </w:rPr>
              <w:t>禁止</w:t>
            </w:r>
            <w:r>
              <w:rPr>
                <w:rFonts w:hAnsi="宋体" w:eastAsia="宋体"/>
                <w:color w:val="000000" w:themeColor="text1"/>
                <w:highlight w:val="none"/>
                <w:u w:val="none"/>
                <w14:textFill>
                  <w14:solidFill>
                    <w14:schemeClr w14:val="tx1"/>
                  </w14:solidFill>
                </w14:textFill>
              </w:rPr>
              <w:t>设置畜禽养殖场、养殖小区。</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在居民区和学校、医院、疗养院、养老院等单位周边新建、改建、扩建可能造成土壤污染的建设项目。</w:t>
            </w:r>
            <w:r>
              <w:rPr>
                <w:rFonts w:ascii="Times New Roman" w:hAnsi="宋体" w:eastAsia="宋体" w:cs="Times New Roman"/>
                <w:b/>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在人口聚居区域内新（改、扩）建涉重金属企业。</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．推进城镇绿廊建设，建立城镇生态空间与区域生态空间的有机联系。任何单位和个人都</w:t>
            </w:r>
            <w:r>
              <w:rPr>
                <w:rFonts w:ascii="Times New Roman" w:hAnsi="宋体" w:eastAsia="宋体" w:cs="Times New Roman"/>
                <w:b/>
                <w:bCs/>
                <w:color w:val="000000" w:themeColor="text1"/>
                <w:szCs w:val="21"/>
                <w:highlight w:val="none"/>
                <w:u w:val="none"/>
                <w14:textFill>
                  <w14:solidFill>
                    <w14:schemeClr w14:val="tx1"/>
                  </w14:solidFill>
                </w14:textFill>
              </w:rPr>
              <w:t>不得</w:t>
            </w:r>
            <w:r>
              <w:rPr>
                <w:rFonts w:ascii="Times New Roman" w:hAnsi="宋体" w:eastAsia="宋体" w:cs="Times New Roman"/>
                <w:color w:val="000000" w:themeColor="text1"/>
                <w:szCs w:val="21"/>
                <w:highlight w:val="none"/>
                <w:u w:val="none"/>
                <w14:textFill>
                  <w14:solidFill>
                    <w14:schemeClr w14:val="tx1"/>
                  </w14:solidFill>
                </w14:textFill>
              </w:rPr>
              <w:t>擅自改变城市绿化规划用地性质或者破坏绿化规划用地；</w:t>
            </w:r>
            <w:r>
              <w:rPr>
                <w:rFonts w:ascii="Times New Roman" w:hAnsi="宋体" w:eastAsia="宋体" w:cs="Times New Roman"/>
                <w:b/>
                <w:bCs/>
                <w:color w:val="000000" w:themeColor="text1"/>
                <w:szCs w:val="21"/>
                <w:highlight w:val="none"/>
                <w:u w:val="none"/>
                <w14:textFill>
                  <w14:solidFill>
                    <w14:schemeClr w14:val="tx1"/>
                  </w14:solidFill>
                </w14:textFill>
              </w:rPr>
              <w:t>不得</w:t>
            </w:r>
            <w:r>
              <w:rPr>
                <w:rFonts w:ascii="Times New Roman" w:hAnsi="宋体" w:eastAsia="宋体" w:cs="Times New Roman"/>
                <w:color w:val="000000" w:themeColor="text1"/>
                <w:szCs w:val="21"/>
                <w:highlight w:val="none"/>
                <w:u w:val="none"/>
                <w14:textFill>
                  <w14:solidFill>
                    <w14:schemeClr w14:val="tx1"/>
                  </w14:solidFill>
                </w14:textFill>
              </w:rPr>
              <w:t>擅自占用城市绿化用地。</w:t>
            </w:r>
          </w:p>
        </w:tc>
        <w:tc>
          <w:tcPr>
            <w:tcW w:w="6838"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．依据《自然生态空间用途管制办法（试行）》（国土资发〔</w:t>
            </w:r>
            <w:r>
              <w:rPr>
                <w:rFonts w:ascii="Times New Roman" w:hAnsi="Times New Roman" w:eastAsia="宋体" w:cs="Times New Roman"/>
                <w:color w:val="000000" w:themeColor="text1"/>
                <w:szCs w:val="21"/>
                <w:highlight w:val="none"/>
                <w:u w:val="none"/>
                <w14:textFill>
                  <w14:solidFill>
                    <w14:schemeClr w14:val="tx1"/>
                  </w14:solidFill>
                </w14:textFill>
              </w:rPr>
              <w:t>2017</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33</w:t>
            </w:r>
            <w:r>
              <w:rPr>
                <w:rFonts w:ascii="Times New Roman" w:hAnsi="宋体" w:eastAsia="宋体" w:cs="Times New Roman"/>
                <w:color w:val="000000" w:themeColor="text1"/>
                <w:szCs w:val="21"/>
                <w:highlight w:val="none"/>
                <w:u w:val="none"/>
                <w14:textFill>
                  <w14:solidFill>
                    <w14:schemeClr w14:val="tx1"/>
                  </w14:solidFill>
                </w14:textFill>
              </w:rPr>
              <w:t>号）、《广西壮族自治区大气污染防治条例》提出第</w:t>
            </w:r>
            <w:r>
              <w:rPr>
                <w:rFonts w:ascii="Times New Roman" w:hAnsi="Times New Roman" w:eastAsia="宋体" w:cs="Times New Roman"/>
                <w:color w:val="000000" w:themeColor="text1"/>
                <w:szCs w:val="21"/>
                <w:highlight w:val="none"/>
                <w:u w:val="none"/>
                <w14:textFill>
                  <w14:solidFill>
                    <w14:schemeClr w14:val="tx1"/>
                  </w14:solidFill>
                </w14:textFill>
              </w:rPr>
              <w:t>1-2</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．依据《广西壮族自治区环境保护条例（</w:t>
            </w:r>
            <w:r>
              <w:rPr>
                <w:rFonts w:ascii="Times New Roman" w:hAnsi="Times New Roman" w:eastAsia="宋体" w:cs="Times New Roman"/>
                <w:color w:val="000000" w:themeColor="text1"/>
                <w:szCs w:val="21"/>
                <w:highlight w:val="none"/>
                <w:u w:val="none"/>
                <w14:textFill>
                  <w14:solidFill>
                    <w14:schemeClr w14:val="tx1"/>
                  </w14:solidFill>
                </w14:textFill>
              </w:rPr>
              <w:t>2016</w:t>
            </w:r>
            <w:r>
              <w:rPr>
                <w:rFonts w:ascii="Times New Roman" w:hAnsi="宋体" w:eastAsia="宋体" w:cs="Times New Roman"/>
                <w:color w:val="000000" w:themeColor="text1"/>
                <w:szCs w:val="21"/>
                <w:highlight w:val="none"/>
                <w:u w:val="none"/>
                <w14:textFill>
                  <w14:solidFill>
                    <w14:schemeClr w14:val="tx1"/>
                  </w14:solidFill>
                </w14:textFill>
              </w:rPr>
              <w:t>年修订）》提出第</w:t>
            </w: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．依据《中华人民共和国土壤污染防治法》，参照《广西壮族自治区重金属污染综合防治</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十三五</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规划》提出第</w:t>
            </w: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．依据《城市绿化条例》提出第</w:t>
            </w: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jc w:val="center"/>
        </w:trPr>
        <w:tc>
          <w:tcPr>
            <w:tcW w:w="1602" w:type="dxa"/>
            <w:vMerge w:val="continue"/>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08" w:type="dxa"/>
            <w:vMerge w:val="continue"/>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2262"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污染物排放管控</w:t>
            </w:r>
          </w:p>
        </w:tc>
        <w:tc>
          <w:tcPr>
            <w:tcW w:w="9303"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新增或扩建城镇污水集中处理设施同步配套建设服务片区内污水收集管网，确保污水有效收集。加快建设城市城中村、老旧城区、城乡结合部和易地扶贫搬迁安置区生活污水收集管网，填补污水收集管网空白区。开展老旧破损和易造成积水内涝问题的污水管网、雨污合流制管网诊断修复更新，循序推进管网错接混接漏接改造，提升污水收集效能。</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．持续开展城镇生活污水处理厂新建、改扩建，进一步提高污水收集率。对全区重点流域和水环境敏感区域城镇污水处理厂提标改造建设。</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．巩固城市黑臭水体治理成效，建立防止返黑返臭的长效机制。县级城市建成区黑臭水体基本消除。</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．原则上不再新建原生生活垃圾填埋处理设施，加快发展以焚烧方式为主的垃圾处理模式。限制未经脱水处理达标的污水处理厂污泥在垃圾填埋场填埋。</w:t>
            </w:r>
          </w:p>
        </w:tc>
        <w:tc>
          <w:tcPr>
            <w:tcW w:w="6838"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．依据《中共广西壮族自治区委员会</w:t>
            </w:r>
            <w:r>
              <w:rPr>
                <w:rFonts w:eastAsia="宋体"/>
                <w:color w:val="000000" w:themeColor="text1"/>
                <w:highlight w:val="none"/>
                <w:u w:val="none"/>
                <w14:textFill>
                  <w14:solidFill>
                    <w14:schemeClr w14:val="tx1"/>
                  </w14:solidFill>
                </w14:textFill>
              </w:rPr>
              <w:t xml:space="preserve"> </w:t>
            </w:r>
            <w:r>
              <w:rPr>
                <w:rFonts w:hAnsi="宋体" w:eastAsia="宋体"/>
                <w:color w:val="000000" w:themeColor="text1"/>
                <w:highlight w:val="none"/>
                <w:u w:val="none"/>
                <w14:textFill>
                  <w14:solidFill>
                    <w14:schemeClr w14:val="tx1"/>
                  </w14:solidFill>
                </w14:textFill>
              </w:rPr>
              <w:t>广西壮族自治区人民政府关于深入打好污染防治攻坚战的实施意见》（桂发〔</w:t>
            </w:r>
            <w:r>
              <w:rPr>
                <w:rFonts w:eastAsia="宋体"/>
                <w:color w:val="000000" w:themeColor="text1"/>
                <w:highlight w:val="none"/>
                <w:u w:val="none"/>
                <w14:textFill>
                  <w14:solidFill>
                    <w14:schemeClr w14:val="tx1"/>
                  </w14:solidFill>
                </w14:textFill>
              </w:rPr>
              <w:t>2022</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15</w:t>
            </w:r>
            <w:r>
              <w:rPr>
                <w:rFonts w:hAnsi="宋体" w:eastAsia="宋体"/>
                <w:color w:val="000000" w:themeColor="text1"/>
                <w:highlight w:val="none"/>
                <w:u w:val="none"/>
                <w14:textFill>
                  <w14:solidFill>
                    <w14:schemeClr w14:val="tx1"/>
                  </w14:solidFill>
                </w14:textFill>
              </w:rPr>
              <w:t>号）、《广西</w:t>
            </w:r>
            <w:r>
              <w:rPr>
                <w:rFonts w:eastAsia="宋体"/>
                <w:color w:val="000000" w:themeColor="text1"/>
                <w:highlight w:val="none"/>
                <w:u w:val="none"/>
                <w14:textFill>
                  <w14:solidFill>
                    <w14:schemeClr w14:val="tx1"/>
                  </w14:solidFill>
                </w14:textFill>
              </w:rPr>
              <w:t>2023</w:t>
            </w:r>
            <w:r>
              <w:rPr>
                <w:rFonts w:hAnsi="宋体" w:eastAsia="宋体"/>
                <w:color w:val="000000" w:themeColor="text1"/>
                <w:highlight w:val="none"/>
                <w:u w:val="none"/>
                <w14:textFill>
                  <w14:solidFill>
                    <w14:schemeClr w14:val="tx1"/>
                  </w14:solidFill>
                </w14:textFill>
              </w:rPr>
              <w:t>年度水污染防治工作计划》、《广西城镇污水处理及资源化利用建设</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规划》（桂发改环资〔</w:t>
            </w:r>
            <w:r>
              <w:rPr>
                <w:rFonts w:eastAsia="宋体"/>
                <w:color w:val="000000" w:themeColor="text1"/>
                <w:highlight w:val="none"/>
                <w:u w:val="none"/>
                <w14:textFill>
                  <w14:solidFill>
                    <w14:schemeClr w14:val="tx1"/>
                  </w14:solidFill>
                </w14:textFill>
              </w:rPr>
              <w:t>2021</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1117</w:t>
            </w:r>
            <w:r>
              <w:rPr>
                <w:rFonts w:hAnsi="宋体" w:eastAsia="宋体"/>
                <w:color w:val="000000" w:themeColor="text1"/>
                <w:highlight w:val="none"/>
                <w:u w:val="none"/>
                <w14:textFill>
                  <w14:solidFill>
                    <w14:schemeClr w14:val="tx1"/>
                  </w14:solidFill>
                </w14:textFill>
              </w:rPr>
              <w:t>号）、《广西壮族自治区</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重点流域水生态环境保护高质量发展规划》提出第</w:t>
            </w:r>
            <w:r>
              <w:rPr>
                <w:rFonts w:eastAsia="宋体"/>
                <w:color w:val="000000" w:themeColor="text1"/>
                <w:highlight w:val="none"/>
                <w:u w:val="none"/>
                <w14:textFill>
                  <w14:solidFill>
                    <w14:schemeClr w14:val="tx1"/>
                  </w14:solidFill>
                </w14:textFill>
              </w:rPr>
              <w:t>1-3</w:t>
            </w:r>
            <w:r>
              <w:rPr>
                <w:rFonts w:hAnsi="宋体" w:eastAsia="宋体"/>
                <w:color w:val="000000" w:themeColor="text1"/>
                <w:highlight w:val="none"/>
                <w:u w:val="none"/>
                <w14:textFill>
                  <w14:solidFill>
                    <w14:schemeClr w14:val="tx1"/>
                  </w14:solidFill>
                </w14:textFill>
              </w:rPr>
              <w:t>条管控要求。</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．《广西壮族自治区</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城市基础设施建设规划》（桂建城〔</w:t>
            </w:r>
            <w:r>
              <w:rPr>
                <w:rFonts w:eastAsia="宋体"/>
                <w:color w:val="000000" w:themeColor="text1"/>
                <w:highlight w:val="none"/>
                <w:u w:val="none"/>
                <w14:textFill>
                  <w14:solidFill>
                    <w14:schemeClr w14:val="tx1"/>
                  </w14:solidFill>
                </w14:textFill>
              </w:rPr>
              <w:t>2023</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20</w:t>
            </w:r>
            <w:r>
              <w:rPr>
                <w:rFonts w:hAnsi="宋体" w:eastAsia="宋体"/>
                <w:color w:val="000000" w:themeColor="text1"/>
                <w:highlight w:val="none"/>
                <w:u w:val="none"/>
                <w14:textFill>
                  <w14:solidFill>
                    <w14:schemeClr w14:val="tx1"/>
                  </w14:solidFill>
                </w14:textFill>
              </w:rPr>
              <w:t>号）提出第</w:t>
            </w: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jc w:val="center"/>
        </w:trPr>
        <w:tc>
          <w:tcPr>
            <w:tcW w:w="1602" w:type="dxa"/>
            <w:vMerge w:val="continue"/>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08"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城镇生活类重点管控单元</w:t>
            </w:r>
          </w:p>
        </w:tc>
        <w:tc>
          <w:tcPr>
            <w:tcW w:w="2262"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资源开发利用效率要求</w:t>
            </w:r>
          </w:p>
        </w:tc>
        <w:tc>
          <w:tcPr>
            <w:tcW w:w="9303"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．到</w:t>
            </w:r>
            <w:r>
              <w:rPr>
                <w:rFonts w:eastAsia="宋体"/>
                <w:color w:val="000000" w:themeColor="text1"/>
                <w:highlight w:val="none"/>
                <w:u w:val="none"/>
                <w14:textFill>
                  <w14:solidFill>
                    <w14:schemeClr w14:val="tx1"/>
                  </w14:solidFill>
                </w14:textFill>
              </w:rPr>
              <w:t>2025</w:t>
            </w:r>
            <w:r>
              <w:rPr>
                <w:rFonts w:hAnsi="宋体" w:eastAsia="宋体"/>
                <w:color w:val="000000" w:themeColor="text1"/>
                <w:highlight w:val="none"/>
                <w:u w:val="none"/>
                <w14:textFill>
                  <w14:solidFill>
                    <w14:schemeClr w14:val="tx1"/>
                  </w14:solidFill>
                </w14:textFill>
              </w:rPr>
              <w:t>年，城镇新建建筑全面执行绿色建筑标准。</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．提升县城能源使用效率，因地制宜开发利用地热能、生物质能、空气源和水源热泵等。</w:t>
            </w:r>
          </w:p>
        </w:tc>
        <w:tc>
          <w:tcPr>
            <w:tcW w:w="6838"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．依据《广西壮族自治区减污降碳协同增效实施方案》（桂环发〔</w:t>
            </w:r>
            <w:r>
              <w:rPr>
                <w:rFonts w:eastAsia="宋体"/>
                <w:color w:val="000000" w:themeColor="text1"/>
                <w:highlight w:val="none"/>
                <w:u w:val="none"/>
                <w14:textFill>
                  <w14:solidFill>
                    <w14:schemeClr w14:val="tx1"/>
                  </w14:solidFill>
                </w14:textFill>
              </w:rPr>
              <w:t>2023</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21</w:t>
            </w:r>
            <w:r>
              <w:rPr>
                <w:rFonts w:hAnsi="宋体" w:eastAsia="宋体"/>
                <w:color w:val="000000" w:themeColor="text1"/>
                <w:highlight w:val="none"/>
                <w:u w:val="none"/>
                <w14:textFill>
                  <w14:solidFill>
                    <w14:schemeClr w14:val="tx1"/>
                  </w14:solidFill>
                </w14:textFill>
              </w:rPr>
              <w:t>号）提出第</w:t>
            </w: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条管控要求。</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．依据《广西壮族自治区</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城市基础设施建设规划》（桂建城〔</w:t>
            </w:r>
            <w:r>
              <w:rPr>
                <w:rFonts w:eastAsia="宋体"/>
                <w:color w:val="000000" w:themeColor="text1"/>
                <w:highlight w:val="none"/>
                <w:u w:val="none"/>
                <w14:textFill>
                  <w14:solidFill>
                    <w14:schemeClr w14:val="tx1"/>
                  </w14:solidFill>
                </w14:textFill>
              </w:rPr>
              <w:t>2023</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20</w:t>
            </w:r>
            <w:r>
              <w:rPr>
                <w:rFonts w:hAnsi="宋体" w:eastAsia="宋体"/>
                <w:color w:val="000000" w:themeColor="text1"/>
                <w:highlight w:val="none"/>
                <w:u w:val="none"/>
                <w14:textFill>
                  <w14:solidFill>
                    <w14:schemeClr w14:val="tx1"/>
                  </w14:solidFill>
                </w14:textFill>
              </w:rPr>
              <w:t>号）提出第</w:t>
            </w: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602" w:type="dxa"/>
            <w:vMerge w:val="continue"/>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08" w:type="dxa"/>
            <w:vMerge w:val="restart"/>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农业空间类重点管控单元</w:t>
            </w:r>
          </w:p>
        </w:tc>
        <w:tc>
          <w:tcPr>
            <w:tcW w:w="2262"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空间布局约束</w:t>
            </w:r>
          </w:p>
        </w:tc>
        <w:tc>
          <w:tcPr>
            <w:tcW w:w="9303"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合理确定畜禽养殖和水产养殖空间，严格按照水产养殖规划和畜禽养殖禁养区规定执行。</w:t>
            </w:r>
          </w:p>
        </w:tc>
        <w:tc>
          <w:tcPr>
            <w:tcW w:w="6838"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依据《畜禽规模养殖污染防治条例》提出管控要求。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5" w:hRule="atLeast"/>
          <w:jc w:val="center"/>
        </w:trPr>
        <w:tc>
          <w:tcPr>
            <w:tcW w:w="1602" w:type="dxa"/>
            <w:vMerge w:val="continue"/>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08" w:type="dxa"/>
            <w:vMerge w:val="continue"/>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2262"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污染物排放管控</w:t>
            </w:r>
          </w:p>
        </w:tc>
        <w:tc>
          <w:tcPr>
            <w:tcW w:w="9303"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．新（改、扩）建规模化畜禽养殖场（小区）实施雨污分流、粪污资源化利用。</w:t>
            </w:r>
          </w:p>
          <w:p>
            <w:pPr>
              <w:tabs>
                <w:tab w:val="left" w:pos="312"/>
              </w:tabs>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．鼓励种植和养殖相结合，就地就近消纳利用畜禽养殖废弃物。</w:t>
            </w:r>
          </w:p>
          <w:p>
            <w:pPr>
              <w:pStyle w:val="22"/>
              <w:adjustRightInd w:val="0"/>
              <w:snapToGrid w:val="0"/>
              <w:ind w:firstLine="0" w:firstLineChars="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．严格控制高毒高风险农药使用，推进有机肥替代化肥、病虫害绿色防控替代化学防治。推进农药化肥减量化工作。</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合理布局水产养殖空间，深入推进水产健康养殖，加快重点江河湖库破坏生态环境的养殖方式综合整治。推广生态、健康、循环型水产养殖模式，加强养殖投入品管理，严格控制水产养殖污染影响。加大水产养殖场养殖尾水排放监管。</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5</w:t>
            </w:r>
            <w:r>
              <w:rPr>
                <w:rFonts w:hAnsi="宋体" w:eastAsia="宋体"/>
                <w:color w:val="000000" w:themeColor="text1"/>
                <w:highlight w:val="none"/>
                <w:u w:val="none"/>
                <w14:textFill>
                  <w14:solidFill>
                    <w14:schemeClr w14:val="tx1"/>
                  </w14:solidFill>
                </w14:textFill>
              </w:rPr>
              <w:t>．推动城镇污水管网向周边村庄延伸覆盖，推进农村污水垃圾处理设施建设。加强垃圾分类资源化利用，完善收集</w:t>
            </w:r>
            <w:r>
              <w:rPr>
                <w:rFonts w:eastAsia="宋体"/>
                <w:color w:val="000000" w:themeColor="text1"/>
                <w:highlight w:val="none"/>
                <w:u w:val="none"/>
                <w14:textFill>
                  <w14:solidFill>
                    <w14:schemeClr w14:val="tx1"/>
                  </w14:solidFill>
                </w14:textFill>
              </w:rPr>
              <w:t>-</w:t>
            </w:r>
            <w:r>
              <w:rPr>
                <w:rFonts w:hAnsi="宋体" w:eastAsia="宋体"/>
                <w:color w:val="000000" w:themeColor="text1"/>
                <w:highlight w:val="none"/>
                <w:u w:val="none"/>
                <w14:textFill>
                  <w14:solidFill>
                    <w14:schemeClr w14:val="tx1"/>
                  </w14:solidFill>
                </w14:textFill>
              </w:rPr>
              <w:t>转运</w:t>
            </w:r>
            <w:r>
              <w:rPr>
                <w:rFonts w:eastAsia="宋体"/>
                <w:color w:val="000000" w:themeColor="text1"/>
                <w:highlight w:val="none"/>
                <w:u w:val="none"/>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处理处置体系。完善农村污水垃圾处理设施运营机制，加强已建污水垃圾处理设施运行管理。</w:t>
            </w:r>
          </w:p>
        </w:tc>
        <w:tc>
          <w:tcPr>
            <w:tcW w:w="6838"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．依据《中共广西壮族自治区委员会</w:t>
            </w:r>
            <w:r>
              <w:rPr>
                <w:rFonts w:eastAsia="宋体"/>
                <w:color w:val="000000" w:themeColor="text1"/>
                <w:highlight w:val="none"/>
                <w:u w:val="none"/>
                <w14:textFill>
                  <w14:solidFill>
                    <w14:schemeClr w14:val="tx1"/>
                  </w14:solidFill>
                </w14:textFill>
              </w:rPr>
              <w:t xml:space="preserve"> </w:t>
            </w:r>
            <w:r>
              <w:rPr>
                <w:rFonts w:hAnsi="宋体" w:eastAsia="宋体"/>
                <w:color w:val="000000" w:themeColor="text1"/>
                <w:highlight w:val="none"/>
                <w:u w:val="none"/>
                <w14:textFill>
                  <w14:solidFill>
                    <w14:schemeClr w14:val="tx1"/>
                  </w14:solidFill>
                </w14:textFill>
              </w:rPr>
              <w:t>广西壮族自治区人民政府关于深入打好污染防治攻坚战的实施意见》（桂发〔</w:t>
            </w:r>
            <w:r>
              <w:rPr>
                <w:rFonts w:eastAsia="宋体"/>
                <w:color w:val="000000" w:themeColor="text1"/>
                <w:highlight w:val="none"/>
                <w:u w:val="none"/>
                <w14:textFill>
                  <w14:solidFill>
                    <w14:schemeClr w14:val="tx1"/>
                  </w14:solidFill>
                </w14:textFill>
              </w:rPr>
              <w:t>2022</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15</w:t>
            </w:r>
            <w:r>
              <w:rPr>
                <w:rFonts w:hAnsi="宋体" w:eastAsia="宋体"/>
                <w:color w:val="000000" w:themeColor="text1"/>
                <w:highlight w:val="none"/>
                <w:u w:val="none"/>
                <w14:textFill>
                  <w14:solidFill>
                    <w14:schemeClr w14:val="tx1"/>
                  </w14:solidFill>
                </w14:textFill>
              </w:rPr>
              <w:t>号）以及农业污染防治实际需求提出第</w:t>
            </w: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5</w:t>
            </w:r>
            <w:r>
              <w:rPr>
                <w:rFonts w:hAnsi="宋体" w:eastAsia="宋体"/>
                <w:color w:val="000000" w:themeColor="text1"/>
                <w:highlight w:val="none"/>
                <w:u w:val="none"/>
                <w14:textFill>
                  <w14:solidFill>
                    <w14:schemeClr w14:val="tx1"/>
                  </w14:solidFill>
                </w14:textFill>
              </w:rPr>
              <w:t>条管控要求。</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．依据《畜禽规模养殖污染防治条例》提出第</w:t>
            </w: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条管控要求。</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．依据《中共中央</w:t>
            </w:r>
            <w:r>
              <w:rPr>
                <w:rFonts w:eastAsia="宋体"/>
                <w:color w:val="000000" w:themeColor="text1"/>
                <w:highlight w:val="none"/>
                <w:u w:val="none"/>
                <w14:textFill>
                  <w14:solidFill>
                    <w14:schemeClr w14:val="tx1"/>
                  </w14:solidFill>
                </w14:textFill>
              </w:rPr>
              <w:t xml:space="preserve"> </w:t>
            </w:r>
            <w:r>
              <w:rPr>
                <w:rFonts w:hAnsi="宋体" w:eastAsia="宋体"/>
                <w:color w:val="000000" w:themeColor="text1"/>
                <w:highlight w:val="none"/>
                <w:u w:val="none"/>
                <w14:textFill>
                  <w14:solidFill>
                    <w14:schemeClr w14:val="tx1"/>
                  </w14:solidFill>
                </w14:textFill>
              </w:rPr>
              <w:t>国务院关于深入打好污染防治攻坚战的实施意见》、《中共广西壮族自治区委员会</w:t>
            </w:r>
            <w:r>
              <w:rPr>
                <w:rFonts w:eastAsia="宋体"/>
                <w:color w:val="000000" w:themeColor="text1"/>
                <w:highlight w:val="none"/>
                <w:u w:val="none"/>
                <w14:textFill>
                  <w14:solidFill>
                    <w14:schemeClr w14:val="tx1"/>
                  </w14:solidFill>
                </w14:textFill>
              </w:rPr>
              <w:t xml:space="preserve"> </w:t>
            </w:r>
            <w:r>
              <w:rPr>
                <w:rFonts w:hAnsi="宋体" w:eastAsia="宋体"/>
                <w:color w:val="000000" w:themeColor="text1"/>
                <w:highlight w:val="none"/>
                <w:u w:val="none"/>
                <w14:textFill>
                  <w14:solidFill>
                    <w14:schemeClr w14:val="tx1"/>
                  </w14:solidFill>
                </w14:textFill>
              </w:rPr>
              <w:t>广西壮族自治区人民政府关于深入打好污染防治攻坚战的实施意见》（桂发〔</w:t>
            </w:r>
            <w:r>
              <w:rPr>
                <w:rFonts w:eastAsia="宋体"/>
                <w:color w:val="000000" w:themeColor="text1"/>
                <w:highlight w:val="none"/>
                <w:u w:val="none"/>
                <w14:textFill>
                  <w14:solidFill>
                    <w14:schemeClr w14:val="tx1"/>
                  </w14:solidFill>
                </w14:textFill>
              </w:rPr>
              <w:t>2022</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15</w:t>
            </w:r>
            <w:r>
              <w:rPr>
                <w:rFonts w:hAnsi="宋体" w:eastAsia="宋体"/>
                <w:color w:val="000000" w:themeColor="text1"/>
                <w:highlight w:val="none"/>
                <w:u w:val="none"/>
                <w14:textFill>
                  <w14:solidFill>
                    <w14:schemeClr w14:val="tx1"/>
                  </w14:solidFill>
                </w14:textFill>
              </w:rPr>
              <w:t>号）提出第</w:t>
            </w: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1602" w:type="dxa"/>
            <w:vMerge w:val="continue"/>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08" w:type="dxa"/>
            <w:vMerge w:val="continue"/>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2262"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环境风险防控</w:t>
            </w:r>
          </w:p>
        </w:tc>
        <w:tc>
          <w:tcPr>
            <w:tcW w:w="9303"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向农田灌溉渠道排放城镇污水以及未综合利用的畜禽养殖废水、农产品加工废水的，应当保证其下游最近的灌溉取水点的水质符合农田灌溉水质标准。</w:t>
            </w:r>
          </w:p>
        </w:tc>
        <w:tc>
          <w:tcPr>
            <w:tcW w:w="6838"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依据</w:t>
            </w:r>
            <w:r>
              <w:rPr>
                <w:rFonts w:hAnsi="宋体" w:eastAsia="宋体"/>
                <w:color w:val="000000" w:themeColor="text1"/>
                <w:kern w:val="0"/>
                <w:highlight w:val="none"/>
                <w:u w:val="none"/>
                <w14:textFill>
                  <w14:solidFill>
                    <w14:schemeClr w14:val="tx1"/>
                  </w14:solidFill>
                </w14:textFill>
              </w:rPr>
              <w:t>《中华人民共和国水污染防治法（</w:t>
            </w:r>
            <w:r>
              <w:rPr>
                <w:rFonts w:eastAsia="宋体"/>
                <w:color w:val="000000" w:themeColor="text1"/>
                <w:kern w:val="0"/>
                <w:highlight w:val="none"/>
                <w:u w:val="none"/>
                <w14:textFill>
                  <w14:solidFill>
                    <w14:schemeClr w14:val="tx1"/>
                  </w14:solidFill>
                </w14:textFill>
              </w:rPr>
              <w:t>2017</w:t>
            </w:r>
            <w:r>
              <w:rPr>
                <w:rFonts w:hAnsi="宋体" w:eastAsia="宋体"/>
                <w:color w:val="000000" w:themeColor="text1"/>
                <w:kern w:val="0"/>
                <w:highlight w:val="none"/>
                <w:u w:val="none"/>
                <w14:textFill>
                  <w14:solidFill>
                    <w14:schemeClr w14:val="tx1"/>
                  </w14:solidFill>
                </w14:textFill>
              </w:rPr>
              <w:t>年修正本）》</w:t>
            </w:r>
            <w:r>
              <w:rPr>
                <w:rFonts w:hAnsi="宋体" w:eastAsia="宋体"/>
                <w:color w:val="000000" w:themeColor="text1"/>
                <w:highlight w:val="none"/>
                <w:u w:val="none"/>
                <w14:textFill>
                  <w14:solidFill>
                    <w14:schemeClr w14:val="tx1"/>
                  </w14:solidFill>
                </w14:textFill>
              </w:rPr>
              <w:t>提出管控要求。</w:t>
            </w:r>
          </w:p>
        </w:tc>
      </w:tr>
    </w:tbl>
    <w:p>
      <w:pPr>
        <w:pStyle w:val="19"/>
        <w:outlineLvl w:val="2"/>
        <w:rPr>
          <w:rFonts w:hAnsi="Times New Roman"/>
          <w:highlight w:val="none"/>
          <w:u w:val="none"/>
        </w:rPr>
      </w:pPr>
      <w:bookmarkStart w:id="7" w:name="_Toc335"/>
      <w:r>
        <w:rPr>
          <w:highlight w:val="none"/>
          <w:u w:val="none"/>
        </w:rPr>
        <w:t>表</w:t>
      </w:r>
      <w:r>
        <w:rPr>
          <w:rFonts w:hAnsi="Times New Roman"/>
          <w:highlight w:val="none"/>
          <w:u w:val="none"/>
        </w:rPr>
        <w:t xml:space="preserve">1.1-4  </w:t>
      </w:r>
      <w:r>
        <w:rPr>
          <w:highlight w:val="none"/>
          <w:u w:val="none"/>
        </w:rPr>
        <w:t>陆域一般管控区总体准入要求</w:t>
      </w:r>
      <w:bookmarkEnd w:id="7"/>
    </w:p>
    <w:tbl>
      <w:tblPr>
        <w:tblStyle w:val="20"/>
        <w:tblW w:w="218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7"/>
        <w:gridCol w:w="1824"/>
        <w:gridCol w:w="2264"/>
        <w:gridCol w:w="9246"/>
        <w:gridCol w:w="6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587"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适用分区</w:t>
            </w:r>
          </w:p>
        </w:tc>
        <w:tc>
          <w:tcPr>
            <w:tcW w:w="1824"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适用对象</w:t>
            </w:r>
          </w:p>
        </w:tc>
        <w:tc>
          <w:tcPr>
            <w:tcW w:w="2264"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管控要求类别</w:t>
            </w:r>
          </w:p>
        </w:tc>
        <w:tc>
          <w:tcPr>
            <w:tcW w:w="9246" w:type="dxa"/>
            <w:vAlign w:val="center"/>
          </w:tcPr>
          <w:p>
            <w:pPr>
              <w:adjustRightInd w:val="0"/>
              <w:snapToGrid w:val="0"/>
              <w:jc w:val="center"/>
              <w:rPr>
                <w:rFonts w:ascii="Times New Roman" w:hAnsi="Times New Roman" w:eastAsia="宋体" w:cs="Times New Roman"/>
                <w:b/>
                <w:color w:val="000000" w:themeColor="text1"/>
                <w:szCs w:val="21"/>
                <w:highlight w:val="none"/>
                <w:u w:val="none"/>
                <w14:textFill>
                  <w14:solidFill>
                    <w14:schemeClr w14:val="tx1"/>
                  </w14:solidFill>
                </w14:textFill>
              </w:rPr>
            </w:pPr>
            <w:r>
              <w:rPr>
                <w:rFonts w:ascii="Times New Roman" w:hAnsi="宋体" w:eastAsia="宋体" w:cs="Times New Roman"/>
                <w:b/>
                <w:bCs/>
                <w:color w:val="000000" w:themeColor="text1"/>
                <w:szCs w:val="21"/>
                <w:highlight w:val="none"/>
                <w:u w:val="none"/>
                <w14:textFill>
                  <w14:solidFill>
                    <w14:schemeClr w14:val="tx1"/>
                  </w14:solidFill>
                </w14:textFill>
              </w:rPr>
              <w:t>生态环境准入及管控要求</w:t>
            </w:r>
          </w:p>
        </w:tc>
        <w:tc>
          <w:tcPr>
            <w:tcW w:w="6892" w:type="dxa"/>
            <w:vAlign w:val="center"/>
          </w:tcPr>
          <w:p>
            <w:pPr>
              <w:adjustRightInd w:val="0"/>
              <w:snapToGrid w:val="0"/>
              <w:jc w:val="center"/>
              <w:rPr>
                <w:rFonts w:ascii="Times New Roman" w:hAnsi="Times New Roman" w:eastAsia="宋体" w:cs="Times New Roman"/>
                <w:b/>
                <w:bCs/>
                <w:color w:val="000000" w:themeColor="text1"/>
                <w:szCs w:val="21"/>
                <w:highlight w:val="none"/>
                <w:u w:val="none"/>
                <w14:textFill>
                  <w14:solidFill>
                    <w14:schemeClr w14:val="tx1"/>
                  </w14:solidFill>
                </w14:textFill>
              </w:rPr>
            </w:pPr>
            <w:r>
              <w:rPr>
                <w:rFonts w:ascii="Times New Roman" w:hAnsi="宋体" w:eastAsia="宋体" w:cs="Times New Roman"/>
                <w:b/>
                <w:color w:val="000000" w:themeColor="text1"/>
                <w:szCs w:val="21"/>
                <w:highlight w:val="none"/>
                <w:u w:val="none"/>
                <w14:textFill>
                  <w14:solidFill>
                    <w14:schemeClr w14:val="tx1"/>
                  </w14:solidFill>
                </w14:textFill>
              </w:rPr>
              <w:t>编制理由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587"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一般管控单元</w:t>
            </w:r>
          </w:p>
        </w:tc>
        <w:tc>
          <w:tcPr>
            <w:tcW w:w="1824"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永久基本农田类一般管控单元</w:t>
            </w:r>
          </w:p>
        </w:tc>
        <w:tc>
          <w:tcPr>
            <w:tcW w:w="2264"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空间布局约束</w:t>
            </w:r>
          </w:p>
        </w:tc>
        <w:tc>
          <w:tcPr>
            <w:tcW w:w="9246"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．落实最严格的耕地保护制度，严守耕地保护红线，加强用途管制，规范占补平衡，强化土地流转用途监管，推进闲置、荒芜土地利用，遏制耕地</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非农化</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、永久基本农田</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非粮化</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．永久基本农田一经划定，任何单位和个人</w:t>
            </w:r>
            <w:r>
              <w:rPr>
                <w:rFonts w:hAnsi="宋体" w:eastAsia="宋体"/>
                <w:b/>
                <w:bCs/>
                <w:color w:val="000000" w:themeColor="text1"/>
                <w:highlight w:val="none"/>
                <w:u w:val="none"/>
                <w14:textFill>
                  <w14:solidFill>
                    <w14:schemeClr w14:val="tx1"/>
                  </w14:solidFill>
                </w14:textFill>
              </w:rPr>
              <w:t>不得</w:t>
            </w:r>
            <w:r>
              <w:rPr>
                <w:rFonts w:hAnsi="宋体" w:eastAsia="宋体"/>
                <w:color w:val="000000" w:themeColor="text1"/>
                <w:highlight w:val="none"/>
                <w:u w:val="none"/>
                <w14:textFill>
                  <w14:solidFill>
                    <w14:schemeClr w14:val="tx1"/>
                  </w14:solidFill>
                </w14:textFill>
              </w:rPr>
              <w:t>擅自占用或改变用途。</w:t>
            </w:r>
            <w:r>
              <w:rPr>
                <w:rFonts w:hAnsi="宋体" w:eastAsia="宋体"/>
                <w:b/>
                <w:bCs/>
                <w:color w:val="000000" w:themeColor="text1"/>
                <w:highlight w:val="none"/>
                <w:u w:val="none"/>
                <w14:textFill>
                  <w14:solidFill>
                    <w14:schemeClr w14:val="tx1"/>
                  </w14:solidFill>
                </w14:textFill>
              </w:rPr>
              <w:t>禁止</w:t>
            </w:r>
            <w:r>
              <w:rPr>
                <w:rFonts w:hAnsi="宋体" w:eastAsia="宋体"/>
                <w:color w:val="000000" w:themeColor="text1"/>
                <w:highlight w:val="none"/>
                <w:u w:val="none"/>
                <w14:textFill>
                  <w14:solidFill>
                    <w14:schemeClr w14:val="tx1"/>
                  </w14:solidFill>
                </w14:textFill>
              </w:rPr>
              <w:t>任何单位和个人破坏永久基本农田耕作层。对永久基本农田实行严格保护，确保其面积不减少、土壤环境质量不下降。对于重大建设项目、生态建设项目等符合国家规定的项目，在选址时确实难以避让永久基本农田的情况下，依照法定程序批准占用永久基本农田。对于经依法批准占用永久基本农田的，按照</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数量不减、质量不降、布局稳定</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的要求进行补划。</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w:t>
            </w:r>
            <w:r>
              <w:rPr>
                <w:rFonts w:hAnsi="宋体" w:eastAsia="宋体"/>
                <w:b/>
                <w:bCs/>
                <w:color w:val="000000" w:themeColor="text1"/>
                <w:highlight w:val="none"/>
                <w:u w:val="none"/>
                <w14:textFill>
                  <w14:solidFill>
                    <w14:schemeClr w14:val="tx1"/>
                  </w14:solidFill>
                </w14:textFill>
              </w:rPr>
              <w:t>严禁</w:t>
            </w:r>
            <w:r>
              <w:rPr>
                <w:rFonts w:hAnsi="宋体" w:eastAsia="宋体"/>
                <w:color w:val="000000" w:themeColor="text1"/>
                <w:highlight w:val="none"/>
                <w:u w:val="none"/>
                <w14:textFill>
                  <w14:solidFill>
                    <w14:schemeClr w14:val="tx1"/>
                  </w14:solidFill>
                </w14:textFill>
              </w:rPr>
              <w:t>永久基本农田转为林地、草地、园地等其他农用地及农业设施建设用地；</w:t>
            </w:r>
            <w:r>
              <w:rPr>
                <w:rFonts w:hAnsi="宋体" w:eastAsia="宋体"/>
                <w:b/>
                <w:bCs/>
                <w:color w:val="000000" w:themeColor="text1"/>
                <w:highlight w:val="none"/>
                <w:u w:val="none"/>
                <w14:textFill>
                  <w14:solidFill>
                    <w14:schemeClr w14:val="tx1"/>
                  </w14:solidFill>
                </w14:textFill>
              </w:rPr>
              <w:t>禁止</w:t>
            </w:r>
            <w:r>
              <w:rPr>
                <w:rFonts w:hAnsi="宋体" w:eastAsia="宋体"/>
                <w:color w:val="000000" w:themeColor="text1"/>
                <w:highlight w:val="none"/>
                <w:u w:val="none"/>
                <w14:textFill>
                  <w14:solidFill>
                    <w14:schemeClr w14:val="tx1"/>
                  </w14:solidFill>
                </w14:textFill>
              </w:rPr>
              <w:t>占用永久基本农田种植苗木、草皮等用于绿化装饰以及其他破坏耕作层的植物；</w:t>
            </w:r>
            <w:r>
              <w:rPr>
                <w:rFonts w:hAnsi="宋体" w:eastAsia="宋体"/>
                <w:b/>
                <w:bCs/>
                <w:color w:val="000000" w:themeColor="text1"/>
                <w:highlight w:val="none"/>
                <w:u w:val="none"/>
                <w14:textFill>
                  <w14:solidFill>
                    <w14:schemeClr w14:val="tx1"/>
                  </w14:solidFill>
                </w14:textFill>
              </w:rPr>
              <w:t>严禁</w:t>
            </w:r>
            <w:r>
              <w:rPr>
                <w:rFonts w:hAnsi="宋体" w:eastAsia="宋体"/>
                <w:color w:val="000000" w:themeColor="text1"/>
                <w:highlight w:val="none"/>
                <w:u w:val="none"/>
                <w14:textFill>
                  <w14:solidFill>
                    <w14:schemeClr w14:val="tx1"/>
                  </w14:solidFill>
                </w14:textFill>
              </w:rPr>
              <w:t>占用永久基本农田扩大自然保护地。</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．在永久基本农田集中区域，</w:t>
            </w:r>
            <w:r>
              <w:rPr>
                <w:rFonts w:hAnsi="宋体" w:eastAsia="宋体"/>
                <w:b/>
                <w:bCs/>
                <w:color w:val="000000" w:themeColor="text1"/>
                <w:highlight w:val="none"/>
                <w:u w:val="none"/>
                <w14:textFill>
                  <w14:solidFill>
                    <w14:schemeClr w14:val="tx1"/>
                  </w14:solidFill>
                </w14:textFill>
              </w:rPr>
              <w:t>不得</w:t>
            </w:r>
            <w:r>
              <w:rPr>
                <w:rFonts w:hAnsi="宋体" w:eastAsia="宋体"/>
                <w:color w:val="000000" w:themeColor="text1"/>
                <w:highlight w:val="none"/>
                <w:u w:val="none"/>
                <w14:textFill>
                  <w14:solidFill>
                    <w14:schemeClr w14:val="tx1"/>
                  </w14:solidFill>
                </w14:textFill>
              </w:rPr>
              <w:t>新建可能造成土壤污染的建设项目；已经建成的，应当限期关闭拆除。</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将重金属或者其他有毒有害物质含量超标的工业固体废物、生活垃圾或者污染土壤用于土地复垦。</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6</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违法占用耕地等建设人工湿地。</w:t>
            </w:r>
          </w:p>
        </w:tc>
        <w:tc>
          <w:tcPr>
            <w:tcW w:w="6892"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．依据《广西壮族自治区土地管理条例》提出第</w:t>
            </w: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．依据《中共中央</w:t>
            </w:r>
            <w:r>
              <w:rPr>
                <w:rFonts w:ascii="Times New Roman" w:hAnsi="Times New Roman" w:eastAsia="宋体" w:cs="Times New Roman"/>
                <w:color w:val="000000" w:themeColor="text1"/>
                <w:szCs w:val="21"/>
                <w:highlight w:val="none"/>
                <w:u w:val="none"/>
                <w14:textFill>
                  <w14:solidFill>
                    <w14:schemeClr w14:val="tx1"/>
                  </w14:solidFill>
                </w14:textFill>
              </w:rPr>
              <w:t xml:space="preserve"> </w:t>
            </w:r>
            <w:r>
              <w:rPr>
                <w:rFonts w:ascii="Times New Roman" w:hAnsi="宋体" w:eastAsia="宋体" w:cs="Times New Roman"/>
                <w:color w:val="000000" w:themeColor="text1"/>
                <w:szCs w:val="21"/>
                <w:highlight w:val="none"/>
                <w:u w:val="none"/>
                <w14:textFill>
                  <w14:solidFill>
                    <w14:schemeClr w14:val="tx1"/>
                  </w14:solidFill>
                </w14:textFill>
              </w:rPr>
              <w:t>国务院关于加强耕地保护和改进占补平衡的意见》《国务院关于印发土壤污染防治行动计划的通知》（国发〔</w:t>
            </w:r>
            <w:r>
              <w:rPr>
                <w:rFonts w:ascii="Times New Roman" w:hAnsi="Times New Roman" w:eastAsia="宋体" w:cs="Times New Roman"/>
                <w:color w:val="000000" w:themeColor="text1"/>
                <w:szCs w:val="21"/>
                <w:highlight w:val="none"/>
                <w:u w:val="none"/>
                <w14:textFill>
                  <w14:solidFill>
                    <w14:schemeClr w14:val="tx1"/>
                  </w14:solidFill>
                </w14:textFill>
              </w:rPr>
              <w:t>2016</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31</w:t>
            </w:r>
            <w:r>
              <w:rPr>
                <w:rFonts w:ascii="Times New Roman" w:hAnsi="宋体" w:eastAsia="宋体" w:cs="Times New Roman"/>
                <w:color w:val="000000" w:themeColor="text1"/>
                <w:szCs w:val="21"/>
                <w:highlight w:val="none"/>
                <w:u w:val="none"/>
                <w14:textFill>
                  <w14:solidFill>
                    <w14:schemeClr w14:val="tx1"/>
                  </w14:solidFill>
                </w14:textFill>
              </w:rPr>
              <w:t>号）、《基本农田保护条例（</w:t>
            </w:r>
            <w:r>
              <w:rPr>
                <w:rFonts w:ascii="Times New Roman" w:hAnsi="Times New Roman" w:eastAsia="宋体" w:cs="Times New Roman"/>
                <w:color w:val="000000" w:themeColor="text1"/>
                <w:szCs w:val="21"/>
                <w:highlight w:val="none"/>
                <w:u w:val="none"/>
                <w14:textFill>
                  <w14:solidFill>
                    <w14:schemeClr w14:val="tx1"/>
                  </w14:solidFill>
                </w14:textFill>
              </w:rPr>
              <w:t>2011</w:t>
            </w:r>
            <w:r>
              <w:rPr>
                <w:rFonts w:ascii="Times New Roman" w:hAnsi="宋体" w:eastAsia="宋体" w:cs="Times New Roman"/>
                <w:color w:val="000000" w:themeColor="text1"/>
                <w:szCs w:val="21"/>
                <w:highlight w:val="none"/>
                <w:u w:val="none"/>
                <w14:textFill>
                  <w14:solidFill>
                    <w14:schemeClr w14:val="tx1"/>
                  </w14:solidFill>
                </w14:textFill>
              </w:rPr>
              <w:t>年修正）》、《广西壮族自治区人民政府关于全面实行永久基本农田特殊保护的实施意见》（桂政发〔</w:t>
            </w:r>
            <w:r>
              <w:rPr>
                <w:rFonts w:ascii="Times New Roman" w:hAnsi="Times New Roman" w:eastAsia="宋体" w:cs="Times New Roman"/>
                <w:color w:val="000000" w:themeColor="text1"/>
                <w:szCs w:val="21"/>
                <w:highlight w:val="none"/>
                <w:u w:val="none"/>
                <w14:textFill>
                  <w14:solidFill>
                    <w14:schemeClr w14:val="tx1"/>
                  </w14:solidFill>
                </w14:textFill>
              </w:rPr>
              <w:t>2019</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29</w:t>
            </w:r>
            <w:r>
              <w:rPr>
                <w:rFonts w:ascii="Times New Roman" w:hAnsi="宋体" w:eastAsia="宋体" w:cs="Times New Roman"/>
                <w:color w:val="000000" w:themeColor="text1"/>
                <w:szCs w:val="21"/>
                <w:highlight w:val="none"/>
                <w:u w:val="none"/>
                <w14:textFill>
                  <w14:solidFill>
                    <w14:schemeClr w14:val="tx1"/>
                  </w14:solidFill>
                </w14:textFill>
              </w:rPr>
              <w:t>号）提出第</w:t>
            </w: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．依据《自然资源部</w:t>
            </w:r>
            <w:r>
              <w:rPr>
                <w:rFonts w:ascii="Times New Roman" w:hAnsi="Times New Roman" w:eastAsia="宋体" w:cs="Times New Roman"/>
                <w:color w:val="000000" w:themeColor="text1"/>
                <w:szCs w:val="21"/>
                <w:highlight w:val="none"/>
                <w:u w:val="none"/>
                <w14:textFill>
                  <w14:solidFill>
                    <w14:schemeClr w14:val="tx1"/>
                  </w14:solidFill>
                </w14:textFill>
              </w:rPr>
              <w:t xml:space="preserve"> </w:t>
            </w:r>
            <w:r>
              <w:rPr>
                <w:rFonts w:ascii="Times New Roman" w:hAnsi="宋体" w:eastAsia="宋体" w:cs="Times New Roman"/>
                <w:color w:val="000000" w:themeColor="text1"/>
                <w:szCs w:val="21"/>
                <w:highlight w:val="none"/>
                <w:u w:val="none"/>
                <w14:textFill>
                  <w14:solidFill>
                    <w14:schemeClr w14:val="tx1"/>
                  </w14:solidFill>
                </w14:textFill>
              </w:rPr>
              <w:t>农业农村部</w:t>
            </w:r>
            <w:r>
              <w:rPr>
                <w:rFonts w:ascii="Times New Roman" w:hAnsi="Times New Roman" w:eastAsia="宋体" w:cs="Times New Roman"/>
                <w:color w:val="000000" w:themeColor="text1"/>
                <w:szCs w:val="21"/>
                <w:highlight w:val="none"/>
                <w:u w:val="none"/>
                <w14:textFill>
                  <w14:solidFill>
                    <w14:schemeClr w14:val="tx1"/>
                  </w14:solidFill>
                </w14:textFill>
              </w:rPr>
              <w:t xml:space="preserve"> </w:t>
            </w:r>
            <w:r>
              <w:rPr>
                <w:rFonts w:ascii="Times New Roman" w:hAnsi="宋体" w:eastAsia="宋体" w:cs="Times New Roman"/>
                <w:color w:val="000000" w:themeColor="text1"/>
                <w:szCs w:val="21"/>
                <w:highlight w:val="none"/>
                <w:u w:val="none"/>
                <w14:textFill>
                  <w14:solidFill>
                    <w14:schemeClr w14:val="tx1"/>
                  </w14:solidFill>
                </w14:textFill>
              </w:rPr>
              <w:t>国家林业和草原局关于严格耕地用途管制有关问题的通知》（自然资发〔</w:t>
            </w:r>
            <w:r>
              <w:rPr>
                <w:rFonts w:ascii="Times New Roman" w:hAnsi="Times New Roman" w:eastAsia="宋体" w:cs="Times New Roman"/>
                <w:color w:val="000000" w:themeColor="text1"/>
                <w:szCs w:val="21"/>
                <w:highlight w:val="none"/>
                <w:u w:val="none"/>
                <w14:textFill>
                  <w14:solidFill>
                    <w14:schemeClr w14:val="tx1"/>
                  </w14:solidFill>
                </w14:textFill>
              </w:rPr>
              <w:t>2021</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166</w:t>
            </w:r>
            <w:r>
              <w:rPr>
                <w:rFonts w:ascii="Times New Roman" w:hAnsi="宋体" w:eastAsia="宋体" w:cs="Times New Roman"/>
                <w:color w:val="000000" w:themeColor="text1"/>
                <w:szCs w:val="21"/>
                <w:highlight w:val="none"/>
                <w:u w:val="none"/>
                <w14:textFill>
                  <w14:solidFill>
                    <w14:schemeClr w14:val="tx1"/>
                  </w14:solidFill>
                </w14:textFill>
              </w:rPr>
              <w:t>号）、《广西壮族自治区土地管理条例》提出第</w:t>
            </w: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．依据《中华人民共和国土壤污染防治法》提出第</w:t>
            </w:r>
            <w:r>
              <w:rPr>
                <w:rFonts w:ascii="Times New Roman" w:hAnsi="Times New Roman" w:eastAsia="宋体" w:cs="Times New Roman"/>
                <w:color w:val="000000" w:themeColor="text1"/>
                <w:szCs w:val="21"/>
                <w:highlight w:val="none"/>
                <w:u w:val="none"/>
                <w14:textFill>
                  <w14:solidFill>
                    <w14:schemeClr w14:val="tx1"/>
                  </w14:solidFill>
                </w14:textFill>
              </w:rPr>
              <w:t>4-5</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．依据《中华人民共和国湿地保护法》提出第</w:t>
            </w:r>
            <w:r>
              <w:rPr>
                <w:rFonts w:ascii="Times New Roman" w:hAnsi="Times New Roman" w:eastAsia="宋体" w:cs="Times New Roman"/>
                <w:color w:val="000000" w:themeColor="text1"/>
                <w:szCs w:val="21"/>
                <w:highlight w:val="none"/>
                <w:u w:val="none"/>
                <w14:textFill>
                  <w14:solidFill>
                    <w14:schemeClr w14:val="tx1"/>
                  </w14:solidFill>
                </w14:textFill>
              </w:rPr>
              <w:t>6</w:t>
            </w:r>
            <w:r>
              <w:rPr>
                <w:rFonts w:ascii="Times New Roman" w:hAnsi="宋体" w:eastAsia="宋体" w:cs="Times New Roman"/>
                <w:color w:val="000000" w:themeColor="text1"/>
                <w:szCs w:val="21"/>
                <w:highlight w:val="none"/>
                <w:u w:val="none"/>
                <w14:textFill>
                  <w14:solidFill>
                    <w14:schemeClr w14:val="tx1"/>
                  </w14:solidFill>
                </w14:textFill>
              </w:rPr>
              <w:t>条管控要求。</w:t>
            </w:r>
          </w:p>
        </w:tc>
      </w:tr>
    </w:tbl>
    <w:p>
      <w:pPr>
        <w:pStyle w:val="19"/>
        <w:rPr>
          <w:highlight w:val="none"/>
          <w:u w:val="none"/>
        </w:rPr>
        <w:sectPr>
          <w:headerReference r:id="rId10" w:type="default"/>
          <w:footerReference r:id="rId11" w:type="default"/>
          <w:pgSz w:w="23814" w:h="16839" w:orient="landscape"/>
          <w:pgMar w:top="1797" w:right="1440" w:bottom="1797" w:left="1440" w:header="851" w:footer="992" w:gutter="0"/>
          <w:pgNumType w:fmt="decimal"/>
          <w:cols w:space="425" w:num="1"/>
          <w:docGrid w:type="lines" w:linePitch="312" w:charSpace="0"/>
        </w:sectPr>
      </w:pPr>
      <w:bookmarkStart w:id="8" w:name="_Toc28856"/>
    </w:p>
    <w:p>
      <w:pPr>
        <w:pStyle w:val="19"/>
        <w:outlineLvl w:val="2"/>
        <w:rPr>
          <w:rFonts w:hAnsi="Times New Roman"/>
          <w:highlight w:val="none"/>
          <w:u w:val="none"/>
        </w:rPr>
      </w:pPr>
      <w:r>
        <w:rPr>
          <w:highlight w:val="none"/>
          <w:u w:val="none"/>
        </w:rPr>
        <w:t>表</w:t>
      </w:r>
      <w:r>
        <w:rPr>
          <w:rFonts w:hAnsi="Times New Roman"/>
          <w:highlight w:val="none"/>
          <w:u w:val="none"/>
        </w:rPr>
        <w:t xml:space="preserve">1.1-5  </w:t>
      </w:r>
      <w:r>
        <w:rPr>
          <w:highlight w:val="none"/>
          <w:u w:val="none"/>
        </w:rPr>
        <w:t>近岸海域总体准入要求</w:t>
      </w:r>
      <w:bookmarkEnd w:id="8"/>
    </w:p>
    <w:tbl>
      <w:tblPr>
        <w:tblStyle w:val="11"/>
        <w:tblW w:w="218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1818"/>
        <w:gridCol w:w="2257"/>
        <w:gridCol w:w="9222"/>
        <w:gridCol w:w="68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621"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适用分区</w:t>
            </w:r>
          </w:p>
        </w:tc>
        <w:tc>
          <w:tcPr>
            <w:tcW w:w="1818"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适用对象</w:t>
            </w:r>
          </w:p>
        </w:tc>
        <w:tc>
          <w:tcPr>
            <w:tcW w:w="2257"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管控要求类别</w:t>
            </w:r>
          </w:p>
        </w:tc>
        <w:tc>
          <w:tcPr>
            <w:tcW w:w="9222"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生态环境准入及管控要求</w:t>
            </w:r>
          </w:p>
        </w:tc>
        <w:tc>
          <w:tcPr>
            <w:tcW w:w="6895"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编制理由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21"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全自治区海域</w:t>
            </w:r>
          </w:p>
        </w:tc>
        <w:tc>
          <w:tcPr>
            <w:tcW w:w="1818"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全自治区海域</w:t>
            </w:r>
          </w:p>
        </w:tc>
        <w:tc>
          <w:tcPr>
            <w:tcW w:w="2257"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空间布局约束</w:t>
            </w:r>
          </w:p>
        </w:tc>
        <w:tc>
          <w:tcPr>
            <w:tcW w:w="9222"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．严格限制在生态脆弱敏感、自净能力弱的海域实施围填海行为，</w:t>
            </w:r>
            <w:r>
              <w:rPr>
                <w:rFonts w:ascii="Times New Roman" w:hAnsi="宋体" w:eastAsia="宋体" w:cs="Times New Roman"/>
                <w:b/>
                <w:bCs/>
                <w:color w:val="000000" w:themeColor="text1"/>
                <w:szCs w:val="21"/>
                <w:highlight w:val="none"/>
                <w:u w:val="none"/>
                <w14:textFill>
                  <w14:solidFill>
                    <w14:schemeClr w14:val="tx1"/>
                  </w14:solidFill>
                </w14:textFill>
              </w:rPr>
              <w:t>严禁</w:t>
            </w:r>
            <w:r>
              <w:rPr>
                <w:rFonts w:ascii="Times New Roman" w:hAnsi="宋体" w:eastAsia="宋体" w:cs="Times New Roman"/>
                <w:color w:val="000000" w:themeColor="text1"/>
                <w:szCs w:val="21"/>
                <w:highlight w:val="none"/>
                <w:u w:val="none"/>
                <w14:textFill>
                  <w14:solidFill>
                    <w14:schemeClr w14:val="tx1"/>
                  </w14:solidFill>
                </w14:textFill>
              </w:rPr>
              <w:t>国家产业政策淘汰类、限制类项目在滨海湿地布局。</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．强化近岸排污口入海污染物管控，严格按照相关法律法规及国土空间用途管制等要求，规范设置和监管入海排污口。有条件的地区，应当将排污口深水设置，实行离岸排放。</w:t>
            </w:r>
          </w:p>
          <w:p>
            <w:pPr>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．禁止在依法划定的自然保护地、重要渔业水域及其他需要特别保护的区域，违法建设污染环境、破坏生态的工程建设项目或者从事其他活动。禁止在严格保护岸线范围内开采海砂。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加强水生生物重要生境以及自然岸线、红树林、湿地保护。红树林严格按照《广西壮族自治区红树林资源保护条例》进行管控。重要湿地严格按照《中华人民共和国湿地保护法》《广西壮族自治区湿地保护条例》进行管控。</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5</w:t>
            </w:r>
            <w:r>
              <w:rPr>
                <w:rFonts w:hAnsi="宋体" w:eastAsia="宋体"/>
                <w:color w:val="000000" w:themeColor="text1"/>
                <w:highlight w:val="none"/>
                <w:u w:val="none"/>
                <w14:textFill>
                  <w14:solidFill>
                    <w14:schemeClr w14:val="tx1"/>
                  </w14:solidFill>
                </w14:textFill>
              </w:rPr>
              <w:t>．确需在生态保护红线区内进行渔业及其执法码头、陆岛交通码头、道路交通、航道锚地、海底管线等公益或公共基础设施建设的，要经严格科学论证并经相关主管部门审批后方可准入。</w:t>
            </w:r>
          </w:p>
        </w:tc>
        <w:tc>
          <w:tcPr>
            <w:tcW w:w="6895"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．依据《中共中央关于坚持和完善中国特色社会主义制度推进国家治理体系和治理能力现代化若干重大问题的决定》（</w:t>
            </w:r>
            <w:r>
              <w:rPr>
                <w:rFonts w:ascii="Times New Roman" w:hAnsi="Times New Roman" w:eastAsia="宋体" w:cs="Times New Roman"/>
                <w:color w:val="000000" w:themeColor="text1"/>
                <w:szCs w:val="21"/>
                <w:highlight w:val="none"/>
                <w:u w:val="none"/>
                <w14:textFill>
                  <w14:solidFill>
                    <w14:schemeClr w14:val="tx1"/>
                  </w14:solidFill>
                </w14:textFill>
              </w:rPr>
              <w:t>2019</w:t>
            </w:r>
            <w:r>
              <w:rPr>
                <w:rFonts w:ascii="Times New Roman" w:hAnsi="宋体" w:eastAsia="宋体" w:cs="Times New Roman"/>
                <w:color w:val="000000" w:themeColor="text1"/>
                <w:szCs w:val="21"/>
                <w:highlight w:val="none"/>
                <w:u w:val="none"/>
                <w14:textFill>
                  <w14:solidFill>
                    <w14:schemeClr w14:val="tx1"/>
                  </w14:solidFill>
                </w14:textFill>
              </w:rPr>
              <w:t>年</w:t>
            </w:r>
            <w:r>
              <w:rPr>
                <w:rFonts w:ascii="Times New Roman" w:hAnsi="Times New Roman" w:eastAsia="宋体" w:cs="Times New Roman"/>
                <w:color w:val="000000" w:themeColor="text1"/>
                <w:szCs w:val="21"/>
                <w:highlight w:val="none"/>
                <w:u w:val="none"/>
                <w14:textFill>
                  <w14:solidFill>
                    <w14:schemeClr w14:val="tx1"/>
                  </w14:solidFill>
                </w14:textFill>
              </w:rPr>
              <w:t>10</w:t>
            </w:r>
            <w:r>
              <w:rPr>
                <w:rFonts w:ascii="Times New Roman" w:hAnsi="宋体" w:eastAsia="宋体" w:cs="Times New Roman"/>
                <w:color w:val="000000" w:themeColor="text1"/>
                <w:szCs w:val="21"/>
                <w:highlight w:val="none"/>
                <w:u w:val="none"/>
                <w14:textFill>
                  <w14:solidFill>
                    <w14:schemeClr w14:val="tx1"/>
                  </w14:solidFill>
                </w14:textFill>
              </w:rPr>
              <w:t>月</w:t>
            </w:r>
            <w:r>
              <w:rPr>
                <w:rFonts w:ascii="Times New Roman" w:hAnsi="Times New Roman" w:eastAsia="宋体" w:cs="Times New Roman"/>
                <w:color w:val="000000" w:themeColor="text1"/>
                <w:szCs w:val="21"/>
                <w:highlight w:val="none"/>
                <w:u w:val="none"/>
                <w14:textFill>
                  <w14:solidFill>
                    <w14:schemeClr w14:val="tx1"/>
                  </w14:solidFill>
                </w14:textFill>
              </w:rPr>
              <w:t>31</w:t>
            </w:r>
            <w:r>
              <w:rPr>
                <w:rFonts w:ascii="Times New Roman" w:hAnsi="宋体" w:eastAsia="宋体" w:cs="Times New Roman"/>
                <w:color w:val="000000" w:themeColor="text1"/>
                <w:szCs w:val="21"/>
                <w:highlight w:val="none"/>
                <w:u w:val="none"/>
                <w14:textFill>
                  <w14:solidFill>
                    <w14:schemeClr w14:val="tx1"/>
                  </w14:solidFill>
                </w14:textFill>
              </w:rPr>
              <w:t>日中国共产党第十九届中央委员会第四次全体会议通过）、《国务院关于加强滨海湿地保护严格管控围填海的通知》（国发〔</w:t>
            </w:r>
            <w:r>
              <w:rPr>
                <w:rFonts w:ascii="Times New Roman" w:hAnsi="Times New Roman" w:eastAsia="宋体" w:cs="Times New Roman"/>
                <w:color w:val="000000" w:themeColor="text1"/>
                <w:szCs w:val="21"/>
                <w:highlight w:val="none"/>
                <w:u w:val="none"/>
                <w14:textFill>
                  <w14:solidFill>
                    <w14:schemeClr w14:val="tx1"/>
                  </w14:solidFill>
                </w14:textFill>
              </w:rPr>
              <w:t>2018</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24</w:t>
            </w:r>
            <w:r>
              <w:rPr>
                <w:rFonts w:ascii="Times New Roman" w:hAnsi="宋体" w:eastAsia="宋体" w:cs="Times New Roman"/>
                <w:color w:val="000000" w:themeColor="text1"/>
                <w:szCs w:val="21"/>
                <w:highlight w:val="none"/>
                <w:u w:val="none"/>
                <w14:textFill>
                  <w14:solidFill>
                    <w14:schemeClr w14:val="tx1"/>
                  </w14:solidFill>
                </w14:textFill>
              </w:rPr>
              <w:t>号）提出第</w:t>
            </w: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．依据《中华人民共和国海洋环境保护法》（</w:t>
            </w:r>
            <w:r>
              <w:rPr>
                <w:rFonts w:ascii="Times New Roman" w:hAnsi="Times New Roman" w:eastAsia="宋体" w:cs="Times New Roman"/>
                <w:color w:val="000000" w:themeColor="text1"/>
                <w:szCs w:val="21"/>
                <w:highlight w:val="none"/>
                <w:u w:val="none"/>
                <w14:textFill>
                  <w14:solidFill>
                    <w14:schemeClr w14:val="tx1"/>
                  </w14:solidFill>
                </w14:textFill>
              </w:rPr>
              <w:t>2023</w:t>
            </w:r>
            <w:r>
              <w:rPr>
                <w:rFonts w:ascii="Times New Roman" w:hAnsi="宋体" w:eastAsia="宋体" w:cs="Times New Roman"/>
                <w:color w:val="000000" w:themeColor="text1"/>
                <w:szCs w:val="21"/>
                <w:highlight w:val="none"/>
                <w:u w:val="none"/>
                <w14:textFill>
                  <w14:solidFill>
                    <w14:schemeClr w14:val="tx1"/>
                  </w14:solidFill>
                </w14:textFill>
              </w:rPr>
              <w:t>修订）、《中共广西壮族自治区委员会</w:t>
            </w:r>
            <w:r>
              <w:rPr>
                <w:rFonts w:ascii="Times New Roman" w:hAnsi="Times New Roman" w:eastAsia="宋体" w:cs="Times New Roman"/>
                <w:color w:val="000000" w:themeColor="text1"/>
                <w:szCs w:val="21"/>
                <w:highlight w:val="none"/>
                <w:u w:val="none"/>
                <w14:textFill>
                  <w14:solidFill>
                    <w14:schemeClr w14:val="tx1"/>
                  </w14:solidFill>
                </w14:textFill>
              </w:rPr>
              <w:t xml:space="preserve"> </w:t>
            </w:r>
            <w:r>
              <w:rPr>
                <w:rFonts w:ascii="Times New Roman" w:hAnsi="宋体" w:eastAsia="宋体" w:cs="Times New Roman"/>
                <w:color w:val="000000" w:themeColor="text1"/>
                <w:szCs w:val="21"/>
                <w:highlight w:val="none"/>
                <w:u w:val="none"/>
                <w14:textFill>
                  <w14:solidFill>
                    <w14:schemeClr w14:val="tx1"/>
                  </w14:solidFill>
                </w14:textFill>
              </w:rPr>
              <w:t>广西壮族自治区人民政府关于深入打好污染防治攻坚战的实施意见》（桂发〔</w:t>
            </w:r>
            <w:r>
              <w:rPr>
                <w:rFonts w:ascii="Times New Roman" w:hAnsi="Times New Roman" w:eastAsia="宋体" w:cs="Times New Roman"/>
                <w:color w:val="000000" w:themeColor="text1"/>
                <w:szCs w:val="21"/>
                <w:highlight w:val="none"/>
                <w:u w:val="none"/>
                <w14:textFill>
                  <w14:solidFill>
                    <w14:schemeClr w14:val="tx1"/>
                  </w14:solidFill>
                </w14:textFill>
              </w:rPr>
              <w:t>2022</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15</w:t>
            </w:r>
            <w:r>
              <w:rPr>
                <w:rFonts w:ascii="Times New Roman" w:hAnsi="宋体" w:eastAsia="宋体" w:cs="Times New Roman"/>
                <w:color w:val="000000" w:themeColor="text1"/>
                <w:szCs w:val="21"/>
                <w:highlight w:val="none"/>
                <w:u w:val="none"/>
                <w14:textFill>
                  <w14:solidFill>
                    <w14:schemeClr w14:val="tx1"/>
                  </w14:solidFill>
                </w14:textFill>
              </w:rPr>
              <w:t>号）以及</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三线一单</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要求提出第</w:t>
            </w:r>
            <w:r>
              <w:rPr>
                <w:rFonts w:ascii="Times New Roman" w:hAnsi="Times New Roman" w:eastAsia="宋体" w:cs="Times New Roman"/>
                <w:color w:val="000000" w:themeColor="text1"/>
                <w:szCs w:val="21"/>
                <w:highlight w:val="none"/>
                <w:u w:val="none"/>
                <w14:textFill>
                  <w14:solidFill>
                    <w14:schemeClr w14:val="tx1"/>
                  </w14:solidFill>
                </w14:textFill>
              </w:rPr>
              <w:t>2-4</w:t>
            </w:r>
            <w:r>
              <w:rPr>
                <w:rFonts w:ascii="Times New Roman" w:hAnsi="宋体" w:eastAsia="宋体" w:cs="Times New Roman"/>
                <w:color w:val="000000" w:themeColor="text1"/>
                <w:szCs w:val="21"/>
                <w:highlight w:val="none"/>
                <w:u w:val="none"/>
                <w14:textFill>
                  <w14:solidFill>
                    <w14:schemeClr w14:val="tx1"/>
                  </w14:solidFill>
                </w14:textFill>
              </w:rPr>
              <w:t>条管控要求。</w:t>
            </w:r>
          </w:p>
        </w:tc>
      </w:tr>
    </w:tbl>
    <w:p>
      <w:pPr>
        <w:rPr>
          <w:rFonts w:ascii="Times New Roman" w:hAnsi="Times New Roman" w:eastAsia="宋体" w:cs="Times New Roman"/>
          <w:color w:val="000000" w:themeColor="text1"/>
          <w:szCs w:val="21"/>
          <w:highlight w:val="none"/>
          <w:u w:val="none"/>
          <w14:textFill>
            <w14:solidFill>
              <w14:schemeClr w14:val="tx1"/>
            </w14:solidFill>
          </w14:textFill>
        </w:rPr>
      </w:pPr>
    </w:p>
    <w:p>
      <w:pPr>
        <w:pStyle w:val="19"/>
        <w:outlineLvl w:val="2"/>
        <w:rPr>
          <w:rFonts w:hAnsi="Times New Roman"/>
          <w:highlight w:val="none"/>
          <w:u w:val="none"/>
        </w:rPr>
      </w:pPr>
      <w:r>
        <w:rPr>
          <w:rFonts w:hAnsi="Times New Roman"/>
          <w:highlight w:val="none"/>
          <w:u w:val="none"/>
        </w:rPr>
        <w:br w:type="page"/>
      </w:r>
      <w:bookmarkStart w:id="9" w:name="_Toc31061"/>
      <w:r>
        <w:rPr>
          <w:highlight w:val="none"/>
          <w:u w:val="none"/>
        </w:rPr>
        <w:t>表</w:t>
      </w:r>
      <w:r>
        <w:rPr>
          <w:rFonts w:hAnsi="Times New Roman"/>
          <w:highlight w:val="none"/>
          <w:u w:val="none"/>
        </w:rPr>
        <w:t xml:space="preserve">1.1-6  </w:t>
      </w:r>
      <w:r>
        <w:rPr>
          <w:highlight w:val="none"/>
          <w:u w:val="none"/>
        </w:rPr>
        <w:t>近岸海域生态空间总体准入要求</w:t>
      </w:r>
      <w:bookmarkEnd w:id="9"/>
    </w:p>
    <w:tbl>
      <w:tblPr>
        <w:tblStyle w:val="11"/>
        <w:tblW w:w="218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1818"/>
        <w:gridCol w:w="2257"/>
        <w:gridCol w:w="9222"/>
        <w:gridCol w:w="68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621"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适用分区</w:t>
            </w:r>
          </w:p>
        </w:tc>
        <w:tc>
          <w:tcPr>
            <w:tcW w:w="1818"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适用对象</w:t>
            </w:r>
          </w:p>
        </w:tc>
        <w:tc>
          <w:tcPr>
            <w:tcW w:w="2257"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管控要求类别</w:t>
            </w:r>
          </w:p>
        </w:tc>
        <w:tc>
          <w:tcPr>
            <w:tcW w:w="9222"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生态环境准入及管控要求</w:t>
            </w:r>
          </w:p>
        </w:tc>
        <w:tc>
          <w:tcPr>
            <w:tcW w:w="6895"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编制理由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9" w:hRule="atLeast"/>
          <w:jc w:val="center"/>
        </w:trPr>
        <w:tc>
          <w:tcPr>
            <w:tcW w:w="1621" w:type="dxa"/>
            <w:vMerge w:val="restart"/>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优先保护单元</w:t>
            </w:r>
          </w:p>
        </w:tc>
        <w:tc>
          <w:tcPr>
            <w:tcW w:w="1818"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近岸海域生态</w:t>
            </w:r>
          </w:p>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保护红线</w:t>
            </w:r>
          </w:p>
        </w:tc>
        <w:tc>
          <w:tcPr>
            <w:tcW w:w="2257"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空间布局约束</w:t>
            </w:r>
          </w:p>
        </w:tc>
        <w:tc>
          <w:tcPr>
            <w:tcW w:w="9222"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bCs/>
                <w:color w:val="000000" w:themeColor="text1"/>
                <w:szCs w:val="21"/>
                <w:highlight w:val="none"/>
                <w:u w:val="none"/>
                <w14:textFill>
                  <w14:solidFill>
                    <w14:schemeClr w14:val="tx1"/>
                  </w14:solidFill>
                </w14:textFill>
              </w:rPr>
              <w:t>1</w:t>
            </w:r>
            <w:r>
              <w:rPr>
                <w:rFonts w:ascii="Times New Roman" w:hAnsi="宋体" w:eastAsia="宋体" w:cs="Times New Roman"/>
                <w:bCs/>
                <w:color w:val="000000" w:themeColor="text1"/>
                <w:szCs w:val="21"/>
                <w:highlight w:val="none"/>
                <w:u w:val="none"/>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生态保护红线内，自然保护地核心保护区内原则上禁止人为活动，自然保护地核心保护区外，禁止开发性、生产性建设活动，在符合法律法规的前提下，仅允许对生态功能不造成破坏的有限人为活动。有限人为活动主要包括：</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）管护巡护巡查、保护执法、科学研究、调查监测、测绘导航、防灾减灾救灾、军事国防、疫情防控等活动及相关的必要设施修筑；</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原住居民和其他合法权益主体，允许在不扩大现有建设用地、用海用岛、耕地、水产养殖规模和放牧强度的前提下，开展种植、放牧、捕捞、养殖（不包括投礁型海洋牧场、围海养殖）等活动，修筑必须的生产生活设施。</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）按规定对人工商品林进行抚育采伐、择伐、果实采摘、更新改造，或以提升森林质量、优化栖息地、建设生物防火隔离带、林业有害生物防治等为目的的树种更新，依法开展的竹林采伐经营；</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）地质调查与矿产资源勘查开采。包括：基础地质调查和战略性矿产资源远景调查等公益性工作；</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）经依法批准的考古调查发掘、古生物化石调查发掘、标本采集和文物保护活动。</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6</w:t>
            </w:r>
            <w:r>
              <w:rPr>
                <w:rFonts w:ascii="Times New Roman" w:hAnsi="宋体" w:eastAsia="宋体" w:cs="Times New Roman"/>
                <w:color w:val="000000" w:themeColor="text1"/>
                <w:szCs w:val="21"/>
                <w:highlight w:val="none"/>
                <w:u w:val="none"/>
                <w14:textFill>
                  <w14:solidFill>
                    <w14:schemeClr w14:val="tx1"/>
                  </w14:solidFill>
                </w14:textFill>
              </w:rPr>
              <w:t>）不破坏生态功能的适度参观旅游、科普宣教及符合相关规划的配套性服务设施和相关的必要公共设施建设及维护；</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7</w:t>
            </w:r>
            <w:r>
              <w:rPr>
                <w:rFonts w:ascii="Times New Roman" w:hAnsi="宋体" w:eastAsia="宋体" w:cs="Times New Roman"/>
                <w:color w:val="000000" w:themeColor="text1"/>
                <w:szCs w:val="21"/>
                <w:highlight w:val="none"/>
                <w:u w:val="none"/>
                <w14:textFill>
                  <w14:solidFill>
                    <w14:schemeClr w14:val="tx1"/>
                  </w14:solidFill>
                </w14:textFill>
              </w:rPr>
              <w:t>）必须且无法避让、符合县级以上国土空间规划的线性基础设施、通讯和防洪（潮）、供水设施建设和船舶航行、航道疏浚清淤等活动；已有的合法水利、交通运输等设施运行维护改造。</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8</w:t>
            </w:r>
            <w:r>
              <w:rPr>
                <w:rFonts w:ascii="Times New Roman" w:hAnsi="宋体" w:eastAsia="宋体" w:cs="Times New Roman"/>
                <w:color w:val="000000" w:themeColor="text1"/>
                <w:szCs w:val="21"/>
                <w:highlight w:val="none"/>
                <w:u w:val="none"/>
                <w14:textFill>
                  <w14:solidFill>
                    <w14:schemeClr w14:val="tx1"/>
                  </w14:solidFill>
                </w14:textFill>
              </w:rPr>
              <w:t>）依据县级以上国土空间规划和生态保护修复专项规划开展的生态修复，包括山水林田湖草海湿地生态保护修复、废弃矿山生态修复等。</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9</w:t>
            </w:r>
            <w:r>
              <w:rPr>
                <w:rFonts w:ascii="Times New Roman" w:hAnsi="宋体" w:eastAsia="宋体" w:cs="Times New Roman"/>
                <w:color w:val="000000" w:themeColor="text1"/>
                <w:szCs w:val="21"/>
                <w:highlight w:val="none"/>
                <w:u w:val="none"/>
                <w14:textFill>
                  <w14:solidFill>
                    <w14:schemeClr w14:val="tx1"/>
                  </w14:solidFill>
                </w14:textFill>
              </w:rPr>
              <w:t>）根据我国相关法律法规和与邻国签署的国界管理制度协定（条约）开展的边界边境通视道清理以及界务工程的修建、维护和拆除工作。</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10</w:t>
            </w:r>
            <w:r>
              <w:rPr>
                <w:rFonts w:ascii="Times New Roman" w:hAnsi="宋体" w:eastAsia="宋体" w:cs="Times New Roman"/>
                <w:color w:val="000000" w:themeColor="text1"/>
                <w:szCs w:val="21"/>
                <w:highlight w:val="none"/>
                <w:u w:val="none"/>
                <w14:textFill>
                  <w14:solidFill>
                    <w14:schemeClr w14:val="tx1"/>
                  </w14:solidFill>
                </w14:textFill>
              </w:rPr>
              <w:t>）法律法规规定允许的其他人为活动。</w:t>
            </w:r>
          </w:p>
          <w:p>
            <w:pPr>
              <w:adjustRightInd w:val="0"/>
              <w:snapToGrid w:val="0"/>
              <w:rPr>
                <w:rFonts w:ascii="Times New Roman" w:hAnsi="宋体"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．开展允许有限人为活动时禁止新增填海造地和新增围海，涉及利用无居民海岛的，原则上仅允许按照相关规定对海岛自然岸线、表面积、岛体、植被改变轻微的低影响利用方式。</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．生态保护红线内自然保护区、风景名胜区、重要湿地、地质公园等区域，依照法律法规执行。</w:t>
            </w:r>
          </w:p>
        </w:tc>
        <w:tc>
          <w:tcPr>
            <w:tcW w:w="6895"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依据《中共中央办公厅</w:t>
            </w:r>
            <w:r>
              <w:rPr>
                <w:rFonts w:ascii="Times New Roman" w:hAnsi="Times New Roman" w:eastAsia="宋体" w:cs="Times New Roman"/>
                <w:color w:val="000000" w:themeColor="text1"/>
                <w:szCs w:val="21"/>
                <w:highlight w:val="none"/>
                <w:u w:val="none"/>
                <w14:textFill>
                  <w14:solidFill>
                    <w14:schemeClr w14:val="tx1"/>
                  </w14:solidFill>
                </w14:textFill>
              </w:rPr>
              <w:t xml:space="preserve"> </w:t>
            </w:r>
            <w:r>
              <w:rPr>
                <w:rFonts w:ascii="Times New Roman" w:hAnsi="宋体" w:eastAsia="宋体" w:cs="Times New Roman"/>
                <w:color w:val="000000" w:themeColor="text1"/>
                <w:szCs w:val="21"/>
                <w:highlight w:val="none"/>
                <w:u w:val="none"/>
                <w14:textFill>
                  <w14:solidFill>
                    <w14:schemeClr w14:val="tx1"/>
                  </w14:solidFill>
                </w14:textFill>
              </w:rPr>
              <w:t>国务院办公厅印发＜关于在国土空间规划中统筹划定落实三条控制线的指导意见＞》、</w:t>
            </w:r>
            <w:r>
              <w:rPr>
                <w:rFonts w:ascii="Times New Roman" w:hAnsi="宋体" w:eastAsia="宋体" w:cs="Times New Roman"/>
                <w:color w:val="000000" w:themeColor="text1"/>
                <w:kern w:val="0"/>
                <w:szCs w:val="21"/>
                <w:highlight w:val="none"/>
                <w:u w:val="none"/>
                <w14:textFill>
                  <w14:solidFill>
                    <w14:schemeClr w14:val="tx1"/>
                  </w14:solidFill>
                </w14:textFill>
              </w:rPr>
              <w:t>《自然资源部</w:t>
            </w:r>
            <w:r>
              <w:rPr>
                <w:rFonts w:ascii="Times New Roman" w:hAnsi="Times New Roman" w:eastAsia="宋体" w:cs="Times New Roman"/>
                <w:color w:val="000000" w:themeColor="text1"/>
                <w:kern w:val="0"/>
                <w:szCs w:val="21"/>
                <w:highlight w:val="none"/>
                <w:u w:val="none"/>
                <w14:textFill>
                  <w14:solidFill>
                    <w14:schemeClr w14:val="tx1"/>
                  </w14:solidFill>
                </w14:textFill>
              </w:rPr>
              <w:t xml:space="preserve"> </w:t>
            </w:r>
            <w:r>
              <w:rPr>
                <w:rFonts w:ascii="Times New Roman" w:hAnsi="宋体" w:eastAsia="宋体" w:cs="Times New Roman"/>
                <w:color w:val="000000" w:themeColor="text1"/>
                <w:kern w:val="0"/>
                <w:szCs w:val="21"/>
                <w:highlight w:val="none"/>
                <w:u w:val="none"/>
                <w14:textFill>
                  <w14:solidFill>
                    <w14:schemeClr w14:val="tx1"/>
                  </w14:solidFill>
                </w14:textFill>
              </w:rPr>
              <w:t>生态环境部</w:t>
            </w:r>
            <w:r>
              <w:rPr>
                <w:rFonts w:ascii="Times New Roman" w:hAnsi="Times New Roman" w:eastAsia="宋体" w:cs="Times New Roman"/>
                <w:color w:val="000000" w:themeColor="text1"/>
                <w:kern w:val="0"/>
                <w:szCs w:val="21"/>
                <w:highlight w:val="none"/>
                <w:u w:val="none"/>
                <w14:textFill>
                  <w14:solidFill>
                    <w14:schemeClr w14:val="tx1"/>
                  </w14:solidFill>
                </w14:textFill>
              </w:rPr>
              <w:t xml:space="preserve"> </w:t>
            </w:r>
            <w:r>
              <w:rPr>
                <w:rFonts w:ascii="Times New Roman" w:hAnsi="宋体" w:eastAsia="宋体" w:cs="Times New Roman"/>
                <w:color w:val="000000" w:themeColor="text1"/>
                <w:kern w:val="0"/>
                <w:szCs w:val="21"/>
                <w:highlight w:val="none"/>
                <w:u w:val="none"/>
                <w14:textFill>
                  <w14:solidFill>
                    <w14:schemeClr w14:val="tx1"/>
                  </w14:solidFill>
                </w14:textFill>
              </w:rPr>
              <w:t>国家林业和草原局＜关于加强生态保护红线管理的通知（试行）＞》（自然资发〔</w:t>
            </w:r>
            <w:r>
              <w:rPr>
                <w:rFonts w:ascii="Times New Roman" w:hAnsi="Times New Roman" w:eastAsia="宋体" w:cs="Times New Roman"/>
                <w:color w:val="000000" w:themeColor="text1"/>
                <w:kern w:val="0"/>
                <w:szCs w:val="21"/>
                <w:highlight w:val="none"/>
                <w:u w:val="none"/>
                <w14:textFill>
                  <w14:solidFill>
                    <w14:schemeClr w14:val="tx1"/>
                  </w14:solidFill>
                </w14:textFill>
              </w:rPr>
              <w:t>2022</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142</w:t>
            </w:r>
            <w:r>
              <w:rPr>
                <w:rFonts w:ascii="Times New Roman" w:hAnsi="宋体" w:eastAsia="宋体" w:cs="Times New Roman"/>
                <w:color w:val="000000" w:themeColor="text1"/>
                <w:kern w:val="0"/>
                <w:szCs w:val="21"/>
                <w:highlight w:val="none"/>
                <w:u w:val="none"/>
                <w14:textFill>
                  <w14:solidFill>
                    <w14:schemeClr w14:val="tx1"/>
                  </w14:solidFill>
                </w14:textFill>
              </w:rPr>
              <w:t>号）、《广西壮族自治区自然资源厅</w:t>
            </w:r>
            <w:r>
              <w:rPr>
                <w:rFonts w:ascii="Times New Roman" w:hAnsi="Times New Roman" w:eastAsia="宋体" w:cs="Times New Roman"/>
                <w:color w:val="000000" w:themeColor="text1"/>
                <w:kern w:val="0"/>
                <w:szCs w:val="21"/>
                <w:highlight w:val="none"/>
                <w:u w:val="none"/>
                <w14:textFill>
                  <w14:solidFill>
                    <w14:schemeClr w14:val="tx1"/>
                  </w14:solidFill>
                </w14:textFill>
              </w:rPr>
              <w:t xml:space="preserve"> </w:t>
            </w:r>
            <w:r>
              <w:rPr>
                <w:rFonts w:ascii="Times New Roman" w:hAnsi="宋体" w:eastAsia="宋体" w:cs="Times New Roman"/>
                <w:color w:val="000000" w:themeColor="text1"/>
                <w:kern w:val="0"/>
                <w:szCs w:val="21"/>
                <w:highlight w:val="none"/>
                <w:u w:val="none"/>
                <w14:textFill>
                  <w14:solidFill>
                    <w14:schemeClr w14:val="tx1"/>
                  </w14:solidFill>
                </w14:textFill>
              </w:rPr>
              <w:t>广西壮族自治区生态环境厅</w:t>
            </w:r>
            <w:r>
              <w:rPr>
                <w:rFonts w:ascii="Times New Roman" w:hAnsi="Times New Roman" w:eastAsia="宋体" w:cs="Times New Roman"/>
                <w:color w:val="000000" w:themeColor="text1"/>
                <w:kern w:val="0"/>
                <w:szCs w:val="21"/>
                <w:highlight w:val="none"/>
                <w:u w:val="none"/>
                <w14:textFill>
                  <w14:solidFill>
                    <w14:schemeClr w14:val="tx1"/>
                  </w14:solidFill>
                </w14:textFill>
              </w:rPr>
              <w:t xml:space="preserve"> </w:t>
            </w:r>
            <w:r>
              <w:rPr>
                <w:rFonts w:ascii="Times New Roman" w:hAnsi="宋体" w:eastAsia="宋体" w:cs="Times New Roman"/>
                <w:color w:val="000000" w:themeColor="text1"/>
                <w:kern w:val="0"/>
                <w:szCs w:val="21"/>
                <w:highlight w:val="none"/>
                <w:u w:val="none"/>
                <w14:textFill>
                  <w14:solidFill>
                    <w14:schemeClr w14:val="tx1"/>
                  </w14:solidFill>
                </w14:textFill>
              </w:rPr>
              <w:t>广西壮族自治区林业局</w:t>
            </w:r>
            <w:r>
              <w:rPr>
                <w:rFonts w:ascii="Times New Roman" w:hAnsi="Times New Roman" w:eastAsia="宋体" w:cs="Times New Roman"/>
                <w:color w:val="000000" w:themeColor="text1"/>
                <w:kern w:val="0"/>
                <w:szCs w:val="21"/>
                <w:highlight w:val="none"/>
                <w:u w:val="none"/>
                <w14:textFill>
                  <w14:solidFill>
                    <w14:schemeClr w14:val="tx1"/>
                  </w14:solidFill>
                </w14:textFill>
              </w:rPr>
              <w:t xml:space="preserve"> </w:t>
            </w:r>
            <w:r>
              <w:rPr>
                <w:rFonts w:ascii="Times New Roman" w:hAnsi="宋体" w:eastAsia="宋体" w:cs="Times New Roman"/>
                <w:color w:val="000000" w:themeColor="text1"/>
                <w:kern w:val="0"/>
                <w:szCs w:val="21"/>
                <w:highlight w:val="none"/>
                <w:u w:val="none"/>
                <w14:textFill>
                  <w14:solidFill>
                    <w14:schemeClr w14:val="tx1"/>
                  </w14:solidFill>
                </w14:textFill>
              </w:rPr>
              <w:t>广西壮族自治区海洋局关于印发广西生态保护红线监管办法（试行）的通知》（桂自然资规〔</w:t>
            </w:r>
            <w:r>
              <w:rPr>
                <w:rFonts w:ascii="Times New Roman" w:hAnsi="Times New Roman" w:eastAsia="宋体" w:cs="Times New Roman"/>
                <w:color w:val="000000" w:themeColor="text1"/>
                <w:kern w:val="0"/>
                <w:szCs w:val="21"/>
                <w:highlight w:val="none"/>
                <w:u w:val="none"/>
                <w14:textFill>
                  <w14:solidFill>
                    <w14:schemeClr w14:val="tx1"/>
                  </w14:solidFill>
                </w14:textFill>
              </w:rPr>
              <w:t>2023</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4</w:t>
            </w:r>
            <w:r>
              <w:rPr>
                <w:rFonts w:ascii="Times New Roman" w:hAnsi="宋体" w:eastAsia="宋体" w:cs="Times New Roman"/>
                <w:color w:val="000000" w:themeColor="text1"/>
                <w:kern w:val="0"/>
                <w:szCs w:val="21"/>
                <w:highlight w:val="none"/>
                <w:u w:val="none"/>
                <w14:textFill>
                  <w14:solidFill>
                    <w14:schemeClr w14:val="tx1"/>
                  </w14:solidFill>
                </w14:textFill>
              </w:rPr>
              <w:t>号）提出第</w:t>
            </w:r>
            <w:r>
              <w:rPr>
                <w:rFonts w:ascii="Times New Roman" w:hAnsi="Times New Roman" w:eastAsia="宋体" w:cs="Times New Roman"/>
                <w:color w:val="000000" w:themeColor="text1"/>
                <w:kern w:val="0"/>
                <w:szCs w:val="21"/>
                <w:highlight w:val="none"/>
                <w:u w:val="none"/>
                <w14:textFill>
                  <w14:solidFill>
                    <w14:schemeClr w14:val="tx1"/>
                  </w14:solidFill>
                </w14:textFill>
              </w:rPr>
              <w:t>1</w:t>
            </w:r>
            <w:r>
              <w:rPr>
                <w:rFonts w:ascii="Times New Roman" w:hAnsi="宋体" w:eastAsia="宋体" w:cs="Times New Roman"/>
                <w:color w:val="000000" w:themeColor="text1"/>
                <w:kern w:val="0"/>
                <w:szCs w:val="21"/>
                <w:highlight w:val="none"/>
                <w:u w:val="none"/>
                <w14:textFill>
                  <w14:solidFill>
                    <w14:schemeClr w14:val="tx1"/>
                  </w14:solidFill>
                </w14:textFill>
              </w:rPr>
              <w:t>条</w:t>
            </w:r>
            <w:r>
              <w:rPr>
                <w:rFonts w:ascii="Times New Roman" w:hAnsi="宋体" w:eastAsia="宋体" w:cs="Times New Roman"/>
                <w:color w:val="000000" w:themeColor="text1"/>
                <w:szCs w:val="21"/>
                <w:highlight w:val="none"/>
                <w:u w:val="none"/>
                <w14:textFill>
                  <w14:solidFill>
                    <w14:schemeClr w14:val="tx1"/>
                  </w14:solidFill>
                </w14:textFill>
              </w:rPr>
              <w:t>管控要求</w:t>
            </w:r>
            <w:r>
              <w:rPr>
                <w:rFonts w:ascii="Times New Roman" w:hAnsi="宋体" w:eastAsia="宋体" w:cs="Times New Roman"/>
                <w:color w:val="000000" w:themeColor="text1"/>
                <w:kern w:val="0"/>
                <w:szCs w:val="21"/>
                <w:highlight w:val="none"/>
                <w:u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21" w:type="dxa"/>
            <w:vMerge w:val="continue"/>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18"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海洋类自然保护区</w:t>
            </w:r>
          </w:p>
        </w:tc>
        <w:tc>
          <w:tcPr>
            <w:tcW w:w="2257"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空间布局约束</w:t>
            </w:r>
          </w:p>
        </w:tc>
        <w:tc>
          <w:tcPr>
            <w:tcW w:w="9222" w:type="dxa"/>
            <w:vAlign w:val="center"/>
          </w:tcPr>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合浦儒艮国家级自然保护区、各类红树林自然保护区及新建自然保护地参照近岸海域生态保护红线管控要求进行。海洋自然保护区和红树林自然保护区还需符合《中华人民共和国自然保护区条例》《海洋自然保护区管理办法》及《广西壮族自治区红树林资源保护条例》相关管理要求。</w:t>
            </w:r>
          </w:p>
        </w:tc>
        <w:tc>
          <w:tcPr>
            <w:tcW w:w="6895" w:type="dxa"/>
            <w:vAlign w:val="center"/>
          </w:tcPr>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依据《中共中央办公厅</w:t>
            </w:r>
            <w:r>
              <w:rPr>
                <w:rFonts w:ascii="Times New Roman" w:hAnsi="Times New Roman" w:eastAsia="宋体" w:cs="Times New Roman"/>
                <w:color w:val="000000" w:themeColor="text1"/>
                <w:szCs w:val="21"/>
                <w:highlight w:val="none"/>
                <w:u w:val="none"/>
                <w14:textFill>
                  <w14:solidFill>
                    <w14:schemeClr w14:val="tx1"/>
                  </w14:solidFill>
                </w14:textFill>
              </w:rPr>
              <w:t xml:space="preserve"> </w:t>
            </w:r>
            <w:r>
              <w:rPr>
                <w:rFonts w:ascii="Times New Roman" w:hAnsi="宋体" w:eastAsia="宋体" w:cs="Times New Roman"/>
                <w:color w:val="000000" w:themeColor="text1"/>
                <w:szCs w:val="21"/>
                <w:highlight w:val="none"/>
                <w:u w:val="none"/>
                <w14:textFill>
                  <w14:solidFill>
                    <w14:schemeClr w14:val="tx1"/>
                  </w14:solidFill>
                </w14:textFill>
              </w:rPr>
              <w:t>国务院办公厅印发＜关于建立以国家公园为主体的自然保护地体系的指导意见＞》</w:t>
            </w:r>
            <w:r>
              <w:rPr>
                <w:rFonts w:ascii="Times New Roman" w:hAnsi="宋体" w:eastAsia="宋体" w:cs="Times New Roman"/>
                <w:color w:val="0000FF"/>
                <w:szCs w:val="21"/>
                <w:highlight w:val="none"/>
                <w:u w:val="none"/>
              </w:rPr>
              <w:t>《中华人民共和国自然保护区条例》《海洋自然保护区管理办法》</w:t>
            </w:r>
            <w:r>
              <w:rPr>
                <w:rFonts w:ascii="Times New Roman" w:hAnsi="宋体" w:eastAsia="宋体" w:cs="Times New Roman"/>
                <w:color w:val="000000" w:themeColor="text1"/>
                <w:szCs w:val="21"/>
                <w:highlight w:val="none"/>
                <w:u w:val="none"/>
                <w14:textFill>
                  <w14:solidFill>
                    <w14:schemeClr w14:val="tx1"/>
                  </w14:solidFill>
                </w14:textFill>
              </w:rPr>
              <w:t>等提出管控要求。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21" w:type="dxa"/>
            <w:vMerge w:val="continue"/>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18"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highlight w:val="none"/>
                <w:u w:val="none"/>
              </w:rPr>
              <w:t>海洋类自然公园</w:t>
            </w:r>
          </w:p>
        </w:tc>
        <w:tc>
          <w:tcPr>
            <w:tcW w:w="2257"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空间布局约束</w:t>
            </w:r>
          </w:p>
        </w:tc>
        <w:tc>
          <w:tcPr>
            <w:tcW w:w="9222" w:type="dxa"/>
            <w:vAlign w:val="center"/>
          </w:tcPr>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．在国家级自然公园内开展相关活动和设施建设，不得擅自改变其自然状态和历史风貌。</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擅自在国家级自然公园内从事采矿、开发区、风力光伏电场等不符合管控要求的开发活动。</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违规侵占国家级自然公园，排放不符合水污染物排放标准的工业废水、生活污水及其他的废水、污水，倾倒、堆放、丢弃、遗撒固体废物等污染生态环境的行为。</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．国家级自然公园范围内除国家重大项目外，仅允许对生态功能不造成破坏的有限人为活动：</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）自然公园内居民和其他合法权益主体依法依规开展的生</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产生活及设施建设；</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）符合自然公园保护管理要求的文化、体育活动和必要的配套设施建设；</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）符合生态保护红线管控要求的其他活动和设施建设；</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）法律法规和国家政策允许在自然公园内开展的其他活动。</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．严格限制将外来物种引入海洋特别保护区</w:t>
            </w:r>
            <w:r>
              <w:rPr>
                <w:rFonts w:ascii="Times New Roman" w:hAnsi="Times New Roman" w:eastAsia="宋体" w:cs="Times New Roman"/>
                <w:color w:val="000000" w:themeColor="text1"/>
                <w:szCs w:val="21"/>
                <w:highlight w:val="none"/>
                <w:u w:val="none"/>
                <w14:textFill>
                  <w14:solidFill>
                    <w14:schemeClr w14:val="tx1"/>
                  </w14:solidFill>
                </w14:textFill>
              </w:rPr>
              <w:t>.</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6</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狩猎、采拾鸟卵；砍伐红树林、采挖珊瑚和破坏珊瑚礁；炸鱼、毒鱼、电鱼；擅自采集、加工、销售野生动植物及矿物质制品；移动、污损和破坏海洋特别保护区设施。</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7</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开（围）垦、填埋或者排干湿地，截断湿地水源；挖沙、采矿；倾倒有毒有害物质、废弃物、垃圾；破坏野生动物栖息地和迁徙通道、鱼类洄游通道，滥采滥捕野生动植物；擅自放牧、捕捞、取土、取水、排污、放生；其他破坏湿地及其生态功能的活动。</w:t>
            </w:r>
          </w:p>
        </w:tc>
        <w:tc>
          <w:tcPr>
            <w:tcW w:w="6895" w:type="dxa"/>
            <w:vAlign w:val="center"/>
          </w:tcPr>
          <w:p>
            <w:pPr>
              <w:rPr>
                <w:rFonts w:ascii="Times New Roman" w:hAnsi="Times New Roman" w:eastAsia="宋体" w:cs="Times New Roman"/>
                <w:color w:val="0000FF"/>
                <w:szCs w:val="21"/>
                <w:highlight w:val="none"/>
                <w:u w:val="none"/>
              </w:rPr>
            </w:pP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color w:val="0000FF"/>
                <w:szCs w:val="21"/>
                <w:highlight w:val="none"/>
                <w:u w:val="none"/>
              </w:rPr>
              <w:t>依据《国家级自然公园管理办法（试行）》（林保规〔</w:t>
            </w:r>
            <w:r>
              <w:rPr>
                <w:rFonts w:ascii="Times New Roman" w:hAnsi="Times New Roman" w:eastAsia="宋体" w:cs="Times New Roman"/>
                <w:color w:val="0000FF"/>
                <w:szCs w:val="21"/>
                <w:highlight w:val="none"/>
                <w:u w:val="none"/>
              </w:rPr>
              <w:t>2023</w:t>
            </w:r>
            <w:r>
              <w:rPr>
                <w:rFonts w:ascii="Times New Roman" w:hAnsi="宋体" w:eastAsia="宋体" w:cs="Times New Roman"/>
                <w:color w:val="0000FF"/>
                <w:szCs w:val="21"/>
                <w:highlight w:val="none"/>
                <w:u w:val="none"/>
              </w:rPr>
              <w:t>〕</w:t>
            </w:r>
            <w:r>
              <w:rPr>
                <w:rFonts w:ascii="Times New Roman" w:hAnsi="Times New Roman" w:eastAsia="宋体" w:cs="Times New Roman"/>
                <w:color w:val="0000FF"/>
                <w:szCs w:val="21"/>
                <w:highlight w:val="none"/>
                <w:u w:val="none"/>
              </w:rPr>
              <w:t>4</w:t>
            </w:r>
            <w:r>
              <w:rPr>
                <w:rFonts w:ascii="Times New Roman" w:hAnsi="宋体" w:eastAsia="宋体" w:cs="Times New Roman"/>
                <w:color w:val="0000FF"/>
                <w:szCs w:val="21"/>
                <w:highlight w:val="none"/>
                <w:u w:val="none"/>
              </w:rPr>
              <w:t>号）提出</w:t>
            </w:r>
            <w:r>
              <w:rPr>
                <w:rFonts w:ascii="Times New Roman" w:hAnsi="宋体" w:eastAsia="宋体" w:cs="Times New Roman"/>
                <w:color w:val="000000" w:themeColor="text1"/>
                <w:szCs w:val="21"/>
                <w:highlight w:val="none"/>
                <w:u w:val="none"/>
                <w14:textFill>
                  <w14:solidFill>
                    <w14:schemeClr w14:val="tx1"/>
                  </w14:solidFill>
                </w14:textFill>
              </w:rPr>
              <w:t>第</w:t>
            </w:r>
            <w:r>
              <w:rPr>
                <w:rFonts w:ascii="Times New Roman" w:hAnsi="Times New Roman" w:eastAsia="宋体" w:cs="Times New Roman"/>
                <w:color w:val="000000" w:themeColor="text1"/>
                <w:szCs w:val="21"/>
                <w:highlight w:val="none"/>
                <w:u w:val="none"/>
                <w14:textFill>
                  <w14:solidFill>
                    <w14:schemeClr w14:val="tx1"/>
                  </w14:solidFill>
                </w14:textFill>
              </w:rPr>
              <w:t>1-4</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rPr>
                <w:rFonts w:ascii="Times New Roman" w:hAnsi="Times New Roman" w:eastAsia="宋体" w:cs="Times New Roman"/>
                <w:color w:val="0000FF"/>
                <w:szCs w:val="21"/>
                <w:highlight w:val="none"/>
                <w:u w:val="none"/>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．依据</w:t>
            </w:r>
            <w:r>
              <w:rPr>
                <w:rFonts w:ascii="Times New Roman" w:hAnsi="宋体" w:eastAsia="宋体" w:cs="Times New Roman"/>
                <w:color w:val="0000FF"/>
                <w:szCs w:val="21"/>
                <w:highlight w:val="none"/>
                <w:u w:val="none"/>
              </w:rPr>
              <w:t>《海洋特别保护区管理办法》提出</w:t>
            </w:r>
            <w:r>
              <w:rPr>
                <w:rFonts w:ascii="Times New Roman" w:hAnsi="宋体" w:eastAsia="宋体" w:cs="Times New Roman"/>
                <w:color w:val="000000" w:themeColor="text1"/>
                <w:szCs w:val="21"/>
                <w:highlight w:val="none"/>
                <w:u w:val="none"/>
                <w14:textFill>
                  <w14:solidFill>
                    <w14:schemeClr w14:val="tx1"/>
                  </w14:solidFill>
                </w14:textFill>
              </w:rPr>
              <w:t>第</w:t>
            </w:r>
            <w:r>
              <w:rPr>
                <w:rFonts w:ascii="Times New Roman" w:hAnsi="Times New Roman" w:eastAsia="宋体" w:cs="Times New Roman"/>
                <w:color w:val="000000" w:themeColor="text1"/>
                <w:szCs w:val="21"/>
                <w:highlight w:val="none"/>
                <w:u w:val="none"/>
                <w14:textFill>
                  <w14:solidFill>
                    <w14:schemeClr w14:val="tx1"/>
                  </w14:solidFill>
                </w14:textFill>
              </w:rPr>
              <w:t>5-6</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．依据</w:t>
            </w:r>
            <w:r>
              <w:rPr>
                <w:rFonts w:ascii="Times New Roman" w:hAnsi="宋体" w:eastAsia="宋体" w:cs="Times New Roman"/>
                <w:color w:val="0000FF"/>
                <w:szCs w:val="21"/>
                <w:highlight w:val="none"/>
                <w:u w:val="none"/>
              </w:rPr>
              <w:t>《国家湿地公园管理办法》（林湿规〔</w:t>
            </w:r>
            <w:r>
              <w:rPr>
                <w:rFonts w:ascii="Times New Roman" w:hAnsi="Times New Roman" w:eastAsia="宋体" w:cs="Times New Roman"/>
                <w:color w:val="0000FF"/>
                <w:szCs w:val="21"/>
                <w:highlight w:val="none"/>
                <w:u w:val="none"/>
              </w:rPr>
              <w:t>2022</w:t>
            </w:r>
            <w:r>
              <w:rPr>
                <w:rFonts w:ascii="Times New Roman" w:hAnsi="宋体" w:eastAsia="宋体" w:cs="Times New Roman"/>
                <w:color w:val="0000FF"/>
                <w:szCs w:val="21"/>
                <w:highlight w:val="none"/>
                <w:u w:val="none"/>
              </w:rPr>
              <w:t>〕</w:t>
            </w:r>
            <w:r>
              <w:rPr>
                <w:rFonts w:ascii="Times New Roman" w:hAnsi="Times New Roman" w:eastAsia="宋体" w:cs="Times New Roman"/>
                <w:color w:val="0000FF"/>
                <w:szCs w:val="21"/>
                <w:highlight w:val="none"/>
                <w:u w:val="none"/>
              </w:rPr>
              <w:t>3</w:t>
            </w:r>
            <w:r>
              <w:rPr>
                <w:rFonts w:ascii="Times New Roman" w:hAnsi="宋体" w:eastAsia="宋体" w:cs="Times New Roman"/>
                <w:color w:val="0000FF"/>
                <w:szCs w:val="21"/>
                <w:highlight w:val="none"/>
                <w:u w:val="none"/>
              </w:rPr>
              <w:t>号）提出</w:t>
            </w:r>
            <w:r>
              <w:rPr>
                <w:rFonts w:ascii="Times New Roman" w:hAnsi="宋体" w:eastAsia="宋体" w:cs="Times New Roman"/>
                <w:color w:val="000000" w:themeColor="text1"/>
                <w:szCs w:val="21"/>
                <w:highlight w:val="none"/>
                <w:u w:val="none"/>
                <w14:textFill>
                  <w14:solidFill>
                    <w14:schemeClr w14:val="tx1"/>
                  </w14:solidFill>
                </w14:textFill>
              </w:rPr>
              <w:t>第</w:t>
            </w:r>
            <w:r>
              <w:rPr>
                <w:rFonts w:ascii="Times New Roman" w:hAnsi="Times New Roman" w:eastAsia="宋体" w:cs="Times New Roman"/>
                <w:color w:val="000000" w:themeColor="text1"/>
                <w:szCs w:val="21"/>
                <w:highlight w:val="none"/>
                <w:u w:val="none"/>
                <w14:textFill>
                  <w14:solidFill>
                    <w14:schemeClr w14:val="tx1"/>
                  </w14:solidFill>
                </w14:textFill>
              </w:rPr>
              <w:t>7</w:t>
            </w:r>
            <w:r>
              <w:rPr>
                <w:rFonts w:ascii="Times New Roman" w:hAnsi="宋体" w:eastAsia="宋体" w:cs="Times New Roman"/>
                <w:color w:val="000000" w:themeColor="text1"/>
                <w:szCs w:val="21"/>
                <w:highlight w:val="none"/>
                <w:u w:val="none"/>
                <w14:textFill>
                  <w14:solidFill>
                    <w14:schemeClr w14:val="tx1"/>
                  </w14:solidFill>
                </w14:textFill>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21" w:type="dxa"/>
            <w:vMerge w:val="continue"/>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18" w:type="dxa"/>
            <w:vAlign w:val="center"/>
          </w:tcPr>
          <w:p>
            <w:pPr>
              <w:adjustRightInd w:val="0"/>
              <w:snapToGrid w:val="0"/>
              <w:jc w:val="center"/>
              <w:rPr>
                <w:rFonts w:ascii="Times New Roman" w:hAnsi="Times New Roman" w:eastAsia="宋体" w:cs="Times New Roman"/>
                <w:strike/>
                <w:color w:val="000000" w:themeColor="text1"/>
                <w:szCs w:val="21"/>
                <w:highlight w:val="none"/>
                <w:u w:val="none"/>
                <w14:textFill>
                  <w14:solidFill>
                    <w14:schemeClr w14:val="tx1"/>
                  </w14:solidFill>
                </w14:textFill>
              </w:rPr>
            </w:pPr>
          </w:p>
        </w:tc>
        <w:tc>
          <w:tcPr>
            <w:tcW w:w="2257" w:type="dxa"/>
            <w:vAlign w:val="center"/>
          </w:tcPr>
          <w:p>
            <w:pPr>
              <w:adjustRightInd w:val="0"/>
              <w:snapToGrid w:val="0"/>
              <w:jc w:val="center"/>
              <w:rPr>
                <w:rFonts w:ascii="Times New Roman" w:hAnsi="Times New Roman" w:eastAsia="宋体" w:cs="Times New Roman"/>
                <w:strike/>
                <w:color w:val="000000" w:themeColor="text1"/>
                <w:szCs w:val="21"/>
                <w:highlight w:val="none"/>
                <w:u w:val="none"/>
                <w14:textFill>
                  <w14:solidFill>
                    <w14:schemeClr w14:val="tx1"/>
                  </w14:solidFill>
                </w14:textFill>
              </w:rPr>
            </w:pPr>
          </w:p>
        </w:tc>
        <w:tc>
          <w:tcPr>
            <w:tcW w:w="9222" w:type="dxa"/>
            <w:vAlign w:val="center"/>
          </w:tcPr>
          <w:p>
            <w:pPr>
              <w:adjustRightInd w:val="0"/>
              <w:snapToGrid w:val="0"/>
              <w:rPr>
                <w:rFonts w:ascii="Times New Roman" w:hAnsi="Times New Roman" w:eastAsia="宋体" w:cs="Times New Roman"/>
                <w:strike/>
                <w:color w:val="000000" w:themeColor="text1"/>
                <w:szCs w:val="21"/>
                <w:highlight w:val="none"/>
                <w:u w:val="none"/>
                <w14:textFill>
                  <w14:solidFill>
                    <w14:schemeClr w14:val="tx1"/>
                  </w14:solidFill>
                </w14:textFill>
              </w:rPr>
            </w:pPr>
          </w:p>
        </w:tc>
        <w:tc>
          <w:tcPr>
            <w:tcW w:w="6895" w:type="dxa"/>
            <w:vAlign w:val="center"/>
          </w:tcPr>
          <w:p>
            <w:pPr>
              <w:adjustRightInd w:val="0"/>
              <w:snapToGrid w:val="0"/>
              <w:rPr>
                <w:rFonts w:ascii="Times New Roman" w:hAnsi="Times New Roman" w:eastAsia="宋体" w:cs="Times New Roman"/>
                <w:strike/>
                <w:color w:val="000000" w:themeColor="text1"/>
                <w:szCs w:val="21"/>
                <w:highlight w:val="none"/>
                <w:u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21" w:type="dxa"/>
            <w:vMerge w:val="continue"/>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18"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红树林湿地</w:t>
            </w:r>
          </w:p>
        </w:tc>
        <w:tc>
          <w:tcPr>
            <w:tcW w:w="2257" w:type="dxa"/>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空间布局约束</w:t>
            </w:r>
          </w:p>
        </w:tc>
        <w:tc>
          <w:tcPr>
            <w:tcW w:w="9222"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bCs/>
                <w:color w:val="000000" w:themeColor="text1"/>
                <w:szCs w:val="21"/>
                <w:highlight w:val="none"/>
                <w:u w:val="none"/>
                <w14:textFill>
                  <w14:solidFill>
                    <w14:schemeClr w14:val="tx1"/>
                  </w14:solidFill>
                </w14:textFill>
              </w:rPr>
              <w:t>1</w:t>
            </w:r>
            <w:r>
              <w:rPr>
                <w:rFonts w:ascii="Times New Roman" w:hAnsi="宋体" w:eastAsia="宋体" w:cs="Times New Roman"/>
                <w:bCs/>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捡拾、损坏鸟蛋和雏鸟、鸟巢，</w:t>
            </w:r>
            <w:r>
              <w:rPr>
                <w:rFonts w:ascii="Times New Roman" w:hAnsi="宋体" w:eastAsia="宋体" w:cs="Times New Roman"/>
                <w:b/>
                <w:bCs/>
                <w:color w:val="000000" w:themeColor="text1"/>
                <w:szCs w:val="21"/>
                <w:highlight w:val="none"/>
                <w:u w:val="none"/>
                <w14:textFill>
                  <w14:solidFill>
                    <w14:schemeClr w14:val="tx1"/>
                  </w14:solidFill>
                </w14:textFill>
              </w:rPr>
              <w:t>不得</w:t>
            </w:r>
            <w:r>
              <w:rPr>
                <w:rFonts w:ascii="Times New Roman" w:hAnsi="宋体" w:eastAsia="宋体" w:cs="Times New Roman"/>
                <w:color w:val="000000" w:themeColor="text1"/>
                <w:szCs w:val="21"/>
                <w:highlight w:val="none"/>
                <w:u w:val="none"/>
                <w14:textFill>
                  <w14:solidFill>
                    <w14:schemeClr w14:val="tx1"/>
                  </w14:solidFill>
                </w14:textFill>
              </w:rPr>
              <w:t>以鸣笛、鸣炮、追赶等方式惊吓野生水禽，</w:t>
            </w:r>
            <w:r>
              <w:rPr>
                <w:rFonts w:ascii="Times New Roman" w:hAnsi="宋体" w:eastAsia="宋体" w:cs="Times New Roman"/>
                <w:b/>
                <w:bCs/>
                <w:color w:val="000000" w:themeColor="text1"/>
                <w:szCs w:val="21"/>
                <w:highlight w:val="none"/>
                <w:u w:val="none"/>
                <w14:textFill>
                  <w14:solidFill>
                    <w14:schemeClr w14:val="tx1"/>
                  </w14:solidFill>
                </w14:textFill>
              </w:rPr>
              <w:t>不得</w:t>
            </w:r>
            <w:r>
              <w:rPr>
                <w:rFonts w:ascii="Times New Roman" w:hAnsi="宋体" w:eastAsia="宋体" w:cs="Times New Roman"/>
                <w:color w:val="000000" w:themeColor="text1"/>
                <w:szCs w:val="21"/>
                <w:highlight w:val="none"/>
                <w:u w:val="none"/>
                <w14:textFill>
                  <w14:solidFill>
                    <w14:schemeClr w14:val="tx1"/>
                  </w14:solidFill>
                </w14:textFill>
              </w:rPr>
              <w:t>干扰鸟类觅食、繁殖。</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放牧、狩猎、捕捞、采药、挖塘、填海造地、围堤、开垦、烧荒、开矿、采石、挖沙、取土。</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bCs/>
                <w:color w:val="000000" w:themeColor="text1"/>
                <w:szCs w:val="21"/>
                <w:highlight w:val="none"/>
                <w:u w:val="none"/>
                <w14:textFill>
                  <w14:solidFill>
                    <w14:schemeClr w14:val="tx1"/>
                  </w14:solidFill>
                </w14:textFill>
              </w:rPr>
              <w:t>3</w:t>
            </w:r>
            <w:r>
              <w:rPr>
                <w:rFonts w:ascii="Times New Roman" w:hAnsi="宋体" w:eastAsia="宋体" w:cs="Times New Roman"/>
                <w:bCs/>
                <w:color w:val="000000" w:themeColor="text1"/>
                <w:szCs w:val="21"/>
                <w:highlight w:val="none"/>
                <w:u w:val="none"/>
                <w14:textFill>
                  <w14:solidFill>
                    <w14:schemeClr w14:val="tx1"/>
                  </w14:solidFill>
                </w14:textFill>
              </w:rPr>
              <w:t>．</w:t>
            </w:r>
            <w:r>
              <w:rPr>
                <w:rFonts w:ascii="Times New Roman" w:hAnsi="宋体" w:eastAsia="宋体" w:cs="Times New Roman"/>
                <w:b/>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排放有毒有害物质或者倾倒固体、液体废弃物。</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投放、种植妨碍红树林生长的物种或者擅自引进外来物种。</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其他破坏红树林资源的行为。</w:t>
            </w:r>
          </w:p>
          <w:p>
            <w:pPr>
              <w:adjustRightInd w:val="0"/>
              <w:snapToGrid w:val="0"/>
              <w:rPr>
                <w:rFonts w:ascii="Times New Roman" w:hAnsi="Times New Roman" w:eastAsia="宋体" w:cs="Times New Roman"/>
                <w:bCs/>
                <w:color w:val="000000" w:themeColor="text1"/>
                <w:szCs w:val="21"/>
                <w:highlight w:val="none"/>
                <w:u w:val="none"/>
                <w14:textFill>
                  <w14:solidFill>
                    <w14:schemeClr w14:val="tx1"/>
                  </w14:solidFill>
                </w14:textFill>
              </w:rPr>
            </w:pPr>
            <w:r>
              <w:rPr>
                <w:rFonts w:ascii="Times New Roman" w:hAnsi="Times New Roman" w:eastAsia="宋体" w:cs="Times New Roman"/>
                <w:bCs/>
                <w:color w:val="000000" w:themeColor="text1"/>
                <w:szCs w:val="21"/>
                <w:highlight w:val="none"/>
                <w:u w:val="none"/>
                <w14:textFill>
                  <w14:solidFill>
                    <w14:schemeClr w14:val="tx1"/>
                  </w14:solidFill>
                </w14:textFill>
              </w:rPr>
              <w:t>6</w:t>
            </w:r>
            <w:r>
              <w:rPr>
                <w:rFonts w:ascii="Times New Roman" w:hAnsi="宋体" w:eastAsia="宋体" w:cs="Times New Roman"/>
                <w:bCs/>
                <w:color w:val="000000" w:themeColor="text1"/>
                <w:szCs w:val="21"/>
                <w:highlight w:val="none"/>
                <w:u w:val="none"/>
                <w14:textFill>
                  <w14:solidFill>
                    <w14:schemeClr w14:val="tx1"/>
                  </w14:solidFill>
                </w14:textFill>
              </w:rPr>
              <w:t>．</w:t>
            </w:r>
            <w:r>
              <w:rPr>
                <w:rFonts w:ascii="Times New Roman" w:hAnsi="宋体" w:eastAsia="宋体" w:cs="Times New Roman"/>
                <w:szCs w:val="21"/>
                <w:highlight w:val="none"/>
                <w:u w:val="none"/>
              </w:rPr>
              <w:t>禁止采伐、采挖、移植红树林或者过度采摘红树林种子，禁止投放、种植危害红树林生长的物种。因科研、医药或者红树林湿地保护等需要采伐、采挖、移植、采摘的，应当依照有关法律法规办理。</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7</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szCs w:val="21"/>
                <w:highlight w:val="none"/>
                <w:u w:val="none"/>
              </w:rPr>
              <w:t>禁止占用红树林湿地。经省级以上人民政府有关部门评估，确因国家重大项目、防灾减灾等需要占用的，应当依照有关法律规定办理，并做好保护和修复工作。相关建设项目改变红树林所在河口水文情势、对红树林生长产生较大影响的，应当采取有效措施减轻不利影响。</w:t>
            </w:r>
            <w:r>
              <w:rPr>
                <w:rFonts w:ascii="Times New Roman" w:hAnsi="宋体" w:eastAsia="宋体" w:cs="Times New Roman"/>
                <w:color w:val="000000" w:themeColor="text1"/>
                <w:szCs w:val="21"/>
                <w:highlight w:val="none"/>
                <w:u w:val="none"/>
                <w14:textFill>
                  <w14:solidFill>
                    <w14:schemeClr w14:val="tx1"/>
                  </w14:solidFill>
                </w14:textFill>
              </w:rPr>
              <w:t>。</w:t>
            </w:r>
          </w:p>
        </w:tc>
        <w:tc>
          <w:tcPr>
            <w:tcW w:w="6895"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．依据《广西壮族自治区红树林资源保护条例》《中华人民共和国海岛保护法》相关要求，提出第</w:t>
            </w:r>
            <w:r>
              <w:rPr>
                <w:rFonts w:ascii="Times New Roman" w:hAnsi="Times New Roman" w:eastAsia="宋体" w:cs="Times New Roman"/>
                <w:color w:val="000000" w:themeColor="text1"/>
                <w:szCs w:val="21"/>
                <w:highlight w:val="none"/>
                <w:u w:val="none"/>
                <w14:textFill>
                  <w14:solidFill>
                    <w14:schemeClr w14:val="tx1"/>
                  </w14:solidFill>
                </w14:textFill>
              </w:rPr>
              <w:t>1-5</w:t>
            </w:r>
            <w:r>
              <w:rPr>
                <w:rFonts w:ascii="Times New Roman" w:hAnsi="宋体" w:eastAsia="宋体" w:cs="Times New Roman"/>
                <w:color w:val="000000" w:themeColor="text1"/>
                <w:szCs w:val="2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．依据</w:t>
            </w:r>
            <w:r>
              <w:rPr>
                <w:rFonts w:ascii="Times New Roman" w:hAnsi="宋体" w:eastAsia="宋体" w:cs="Times New Roman"/>
                <w:szCs w:val="21"/>
                <w:highlight w:val="none"/>
                <w:u w:val="none"/>
              </w:rPr>
              <w:t>《中华人民共和国湿地保护法》</w:t>
            </w:r>
            <w:r>
              <w:rPr>
                <w:rFonts w:ascii="Times New Roman" w:hAnsi="宋体" w:eastAsia="宋体" w:cs="Times New Roman"/>
                <w:color w:val="000000" w:themeColor="text1"/>
                <w:szCs w:val="21"/>
                <w:highlight w:val="none"/>
                <w:u w:val="none"/>
                <w14:textFill>
                  <w14:solidFill>
                    <w14:schemeClr w14:val="tx1"/>
                  </w14:solidFill>
                </w14:textFill>
              </w:rPr>
              <w:t>《广西壮族自治区红树林资源保护条例》《中华人民共和国防治海岸工程建设项目污染损害海洋环境管理条例（</w:t>
            </w:r>
            <w:r>
              <w:rPr>
                <w:rFonts w:ascii="Times New Roman" w:hAnsi="Times New Roman" w:eastAsia="宋体" w:cs="Times New Roman"/>
                <w:color w:val="000000" w:themeColor="text1"/>
                <w:szCs w:val="21"/>
                <w:highlight w:val="none"/>
                <w:u w:val="none"/>
                <w14:textFill>
                  <w14:solidFill>
                    <w14:schemeClr w14:val="tx1"/>
                  </w14:solidFill>
                </w14:textFill>
              </w:rPr>
              <w:t>2018</w:t>
            </w:r>
            <w:r>
              <w:rPr>
                <w:rFonts w:ascii="Times New Roman" w:hAnsi="宋体" w:eastAsia="宋体" w:cs="Times New Roman"/>
                <w:color w:val="000000" w:themeColor="text1"/>
                <w:szCs w:val="21"/>
                <w:highlight w:val="none"/>
                <w:u w:val="none"/>
                <w14:textFill>
                  <w14:solidFill>
                    <w14:schemeClr w14:val="tx1"/>
                  </w14:solidFill>
                </w14:textFill>
              </w:rPr>
              <w:t>年修正本）》相关要求，提出了第</w:t>
            </w:r>
            <w:r>
              <w:rPr>
                <w:rFonts w:ascii="Times New Roman" w:hAnsi="Times New Roman" w:eastAsia="宋体" w:cs="Times New Roman"/>
                <w:color w:val="000000" w:themeColor="text1"/>
                <w:szCs w:val="21"/>
                <w:highlight w:val="none"/>
                <w:u w:val="none"/>
                <w14:textFill>
                  <w14:solidFill>
                    <w14:schemeClr w14:val="tx1"/>
                  </w14:solidFill>
                </w14:textFill>
              </w:rPr>
              <w:t>6-7</w:t>
            </w:r>
            <w:r>
              <w:rPr>
                <w:rFonts w:ascii="Times New Roman" w:hAnsi="宋体" w:eastAsia="宋体" w:cs="Times New Roman"/>
                <w:color w:val="000000" w:themeColor="text1"/>
                <w:szCs w:val="21"/>
                <w:highlight w:val="none"/>
                <w:u w:val="none"/>
                <w14:textFill>
                  <w14:solidFill>
                    <w14:schemeClr w14:val="tx1"/>
                  </w14:solidFill>
                </w14:textFill>
              </w:rPr>
              <w:t>条管控要求。</w:t>
            </w:r>
          </w:p>
        </w:tc>
      </w:tr>
    </w:tbl>
    <w:p>
      <w:pPr>
        <w:rPr>
          <w:rFonts w:ascii="Times New Roman" w:hAnsi="Times New Roman" w:eastAsia="宋体" w:cs="Times New Roman"/>
          <w:color w:val="000000" w:themeColor="text1"/>
          <w:szCs w:val="21"/>
          <w:highlight w:val="none"/>
          <w:u w:val="none"/>
          <w14:textFill>
            <w14:solidFill>
              <w14:schemeClr w14:val="tx1"/>
            </w14:solidFill>
          </w14:textFill>
        </w:rPr>
      </w:pPr>
    </w:p>
    <w:p>
      <w:pPr>
        <w:pStyle w:val="19"/>
        <w:outlineLvl w:val="2"/>
        <w:rPr>
          <w:rFonts w:hAnsi="Times New Roman"/>
          <w:highlight w:val="none"/>
          <w:u w:val="none"/>
        </w:rPr>
      </w:pPr>
      <w:r>
        <w:rPr>
          <w:rFonts w:hAnsi="Times New Roman"/>
          <w:highlight w:val="none"/>
          <w:u w:val="none"/>
        </w:rPr>
        <w:br w:type="page"/>
      </w:r>
      <w:bookmarkStart w:id="10" w:name="_Toc7076"/>
      <w:r>
        <w:rPr>
          <w:highlight w:val="none"/>
          <w:u w:val="none"/>
        </w:rPr>
        <w:t>表</w:t>
      </w:r>
      <w:r>
        <w:rPr>
          <w:rFonts w:hAnsi="Times New Roman"/>
          <w:highlight w:val="none"/>
          <w:u w:val="none"/>
        </w:rPr>
        <w:t xml:space="preserve">1.1-7  </w:t>
      </w:r>
      <w:r>
        <w:rPr>
          <w:highlight w:val="none"/>
          <w:u w:val="none"/>
        </w:rPr>
        <w:t>近岸海域重点管控区总体准入要求</w:t>
      </w:r>
      <w:bookmarkEnd w:id="10"/>
    </w:p>
    <w:tbl>
      <w:tblPr>
        <w:tblStyle w:val="11"/>
        <w:tblW w:w="218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4"/>
        <w:gridCol w:w="1830"/>
        <w:gridCol w:w="2221"/>
        <w:gridCol w:w="9169"/>
        <w:gridCol w:w="69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674" w:type="dxa"/>
            <w:vAlign w:val="center"/>
          </w:tcPr>
          <w:p>
            <w:pPr>
              <w:pStyle w:val="23"/>
              <w:rPr>
                <w:rFonts w:eastAsia="宋体" w:cs="Times New Roman"/>
                <w:color w:val="000000" w:themeColor="text1"/>
                <w:szCs w:val="21"/>
                <w:highlight w:val="none"/>
                <w:u w:val="none"/>
                <w14:textFill>
                  <w14:solidFill>
                    <w14:schemeClr w14:val="tx1"/>
                  </w14:solidFill>
                </w14:textFill>
              </w:rPr>
            </w:pPr>
            <w:bookmarkStart w:id="11" w:name="_Toc12267"/>
            <w:bookmarkStart w:id="12" w:name="_Toc28920"/>
            <w:bookmarkStart w:id="13" w:name="_Toc9328"/>
            <w:bookmarkStart w:id="14" w:name="_Toc29854"/>
            <w:r>
              <w:rPr>
                <w:rFonts w:hAnsi="宋体" w:eastAsia="宋体" w:cs="Times New Roman"/>
                <w:color w:val="000000" w:themeColor="text1"/>
                <w:szCs w:val="21"/>
                <w:highlight w:val="none"/>
                <w:u w:val="none"/>
                <w14:textFill>
                  <w14:solidFill>
                    <w14:schemeClr w14:val="tx1"/>
                  </w14:solidFill>
                </w14:textFill>
              </w:rPr>
              <w:t>适用分区</w:t>
            </w:r>
          </w:p>
        </w:tc>
        <w:tc>
          <w:tcPr>
            <w:tcW w:w="1830"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适用对象</w:t>
            </w:r>
          </w:p>
        </w:tc>
        <w:tc>
          <w:tcPr>
            <w:tcW w:w="2221"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管控要求类别</w:t>
            </w:r>
          </w:p>
        </w:tc>
        <w:tc>
          <w:tcPr>
            <w:tcW w:w="9169"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生态环境准入及管控要求</w:t>
            </w:r>
          </w:p>
        </w:tc>
        <w:tc>
          <w:tcPr>
            <w:tcW w:w="6919"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编制理由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2" w:hRule="atLeast"/>
          <w:tblHeader/>
          <w:jc w:val="center"/>
        </w:trPr>
        <w:tc>
          <w:tcPr>
            <w:tcW w:w="1674" w:type="dxa"/>
            <w:vMerge w:val="restart"/>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重点管控单元</w:t>
            </w:r>
          </w:p>
        </w:tc>
        <w:tc>
          <w:tcPr>
            <w:tcW w:w="1830" w:type="dxa"/>
            <w:vAlign w:val="center"/>
          </w:tcPr>
          <w:p>
            <w:pPr>
              <w:adjustRightInd w:val="0"/>
              <w:snapToGrid w:val="0"/>
              <w:jc w:val="center"/>
              <w:rPr>
                <w:rFonts w:ascii="Times New Roman" w:hAnsi="Times New Roman" w:eastAsia="宋体" w:cs="Times New Roman"/>
                <w:snapToGrid w:val="0"/>
                <w:color w:val="000000" w:themeColor="text1"/>
                <w:kern w:val="0"/>
                <w:szCs w:val="21"/>
                <w:highlight w:val="none"/>
                <w:u w:val="none"/>
                <w14:textFill>
                  <w14:solidFill>
                    <w14:schemeClr w14:val="tx1"/>
                  </w14:solidFill>
                </w14:textFill>
              </w:rPr>
            </w:pPr>
            <w:r>
              <w:rPr>
                <w:rFonts w:ascii="Times New Roman" w:hAnsi="宋体" w:eastAsia="宋体" w:cs="Times New Roman"/>
                <w:snapToGrid w:val="0"/>
                <w:color w:val="000000" w:themeColor="text1"/>
                <w:kern w:val="0"/>
                <w:szCs w:val="21"/>
                <w:highlight w:val="none"/>
                <w:u w:val="none"/>
                <w14:textFill>
                  <w14:solidFill>
                    <w14:schemeClr w14:val="tx1"/>
                  </w14:solidFill>
                </w14:textFill>
              </w:rPr>
              <w:t>海洋优化开发</w:t>
            </w:r>
          </w:p>
          <w:p>
            <w:pPr>
              <w:adjustRightInd w:val="0"/>
              <w:snapToGrid w:val="0"/>
              <w:jc w:val="center"/>
              <w:rPr>
                <w:rFonts w:ascii="Times New Roman" w:hAnsi="Times New Roman" w:eastAsia="宋体" w:cs="Times New Roman"/>
                <w:snapToGrid w:val="0"/>
                <w:color w:val="000000" w:themeColor="text1"/>
                <w:kern w:val="0"/>
                <w:szCs w:val="21"/>
                <w:highlight w:val="none"/>
                <w:u w:val="none"/>
                <w14:textFill>
                  <w14:solidFill>
                    <w14:schemeClr w14:val="tx1"/>
                  </w14:solidFill>
                </w14:textFill>
              </w:rPr>
            </w:pPr>
            <w:r>
              <w:rPr>
                <w:rFonts w:ascii="Times New Roman" w:hAnsi="宋体" w:eastAsia="宋体" w:cs="Times New Roman"/>
                <w:snapToGrid w:val="0"/>
                <w:color w:val="000000" w:themeColor="text1"/>
                <w:kern w:val="0"/>
                <w:szCs w:val="21"/>
                <w:highlight w:val="none"/>
                <w:u w:val="none"/>
                <w14:textFill>
                  <w14:solidFill>
                    <w14:schemeClr w14:val="tx1"/>
                  </w14:solidFill>
                </w14:textFill>
              </w:rPr>
              <w:t>区域</w:t>
            </w:r>
          </w:p>
        </w:tc>
        <w:tc>
          <w:tcPr>
            <w:tcW w:w="2221" w:type="dxa"/>
            <w:vAlign w:val="center"/>
          </w:tcPr>
          <w:p>
            <w:pPr>
              <w:adjustRightInd w:val="0"/>
              <w:snapToGrid w:val="0"/>
              <w:jc w:val="center"/>
              <w:rPr>
                <w:rFonts w:ascii="Times New Roman" w:hAnsi="Times New Roman" w:eastAsia="宋体" w:cs="Times New Roman"/>
                <w:snapToGrid w:val="0"/>
                <w:color w:val="000000" w:themeColor="text1"/>
                <w:kern w:val="0"/>
                <w:szCs w:val="21"/>
                <w:highlight w:val="none"/>
                <w:u w:val="none"/>
                <w14:textFill>
                  <w14:solidFill>
                    <w14:schemeClr w14:val="tx1"/>
                  </w14:solidFill>
                </w14:textFill>
              </w:rPr>
            </w:pPr>
            <w:r>
              <w:rPr>
                <w:rFonts w:ascii="Times New Roman" w:hAnsi="宋体" w:eastAsia="宋体" w:cs="Times New Roman"/>
                <w:snapToGrid w:val="0"/>
                <w:color w:val="000000" w:themeColor="text1"/>
                <w:kern w:val="0"/>
                <w:szCs w:val="21"/>
                <w:highlight w:val="none"/>
                <w:u w:val="none"/>
                <w14:textFill>
                  <w14:solidFill>
                    <w14:schemeClr w14:val="tx1"/>
                  </w14:solidFill>
                </w14:textFill>
              </w:rPr>
              <w:t>空间布局约束</w:t>
            </w:r>
          </w:p>
        </w:tc>
        <w:tc>
          <w:tcPr>
            <w:tcW w:w="9169"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．该区域作为全区海洋经济活动主要承载区域，是沿海地区工业化与城镇化发展区域，主要进行用海存量消减，调整产业结构和用海结构。</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．优化近岸海域空间布局，合理调整海域开发规模和时序，控制开发强度，严格实施围填海总量控制制度。</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．提高产业准入门槛，推动海洋传统产业技术改造和优化升级，大力发展海洋高技术产业，积极发展现代海洋服务业，推动海洋产业结构向高端、高效、高附加值转变。</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．推进海洋经济绿色发展，积极开发利用海水资源、海洋可再生能源。</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．严格控制陆源污染物排放，加强重要河口海湾污染整治和生态修复，规范入海排污口设置。</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6</w:t>
            </w:r>
            <w:r>
              <w:rPr>
                <w:rFonts w:ascii="Times New Roman" w:hAnsi="宋体" w:eastAsia="宋体" w:cs="Times New Roman"/>
                <w:color w:val="000000" w:themeColor="text1"/>
                <w:szCs w:val="21"/>
                <w:highlight w:val="none"/>
                <w:u w:val="none"/>
                <w14:textFill>
                  <w14:solidFill>
                    <w14:schemeClr w14:val="tx1"/>
                  </w14:solidFill>
                </w14:textFill>
              </w:rPr>
              <w:t>．有效保护自然岸线和典型海洋生态系统，提高海洋生态服务功能，增强海洋碳汇功能。</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7</w:t>
            </w:r>
            <w:r>
              <w:rPr>
                <w:rFonts w:ascii="Times New Roman" w:hAnsi="宋体" w:eastAsia="宋体" w:cs="Times New Roman"/>
                <w:color w:val="000000" w:themeColor="text1"/>
                <w:szCs w:val="21"/>
                <w:highlight w:val="none"/>
                <w:u w:val="none"/>
                <w14:textFill>
                  <w14:solidFill>
                    <w14:schemeClr w14:val="tx1"/>
                  </w14:solidFill>
                </w14:textFill>
              </w:rPr>
              <w:t>．原则上限制开发利用区域内无居民海岛，国家战略需要、允许开发利用无居民海岛的开发利用，须按照相关法律规定进行，集约、节约、生态化利用，切实做好海岛资源的保护。</w:t>
            </w:r>
          </w:p>
        </w:tc>
        <w:tc>
          <w:tcPr>
            <w:tcW w:w="6919"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参考《中华人民共和国海洋环境保护法》（</w:t>
            </w:r>
            <w:r>
              <w:rPr>
                <w:rFonts w:ascii="Times New Roman" w:hAnsi="Times New Roman" w:eastAsia="宋体" w:cs="Times New Roman"/>
                <w:color w:val="000000" w:themeColor="text1"/>
                <w:szCs w:val="21"/>
                <w:highlight w:val="none"/>
                <w:u w:val="none"/>
                <w14:textFill>
                  <w14:solidFill>
                    <w14:schemeClr w14:val="tx1"/>
                  </w14:solidFill>
                </w14:textFill>
              </w:rPr>
              <w:t>2023</w:t>
            </w:r>
            <w:r>
              <w:rPr>
                <w:rFonts w:ascii="Times New Roman" w:hAnsi="宋体" w:eastAsia="宋体" w:cs="Times New Roman"/>
                <w:color w:val="000000" w:themeColor="text1"/>
                <w:szCs w:val="21"/>
                <w:highlight w:val="none"/>
                <w:u w:val="none"/>
                <w14:textFill>
                  <w14:solidFill>
                    <w14:schemeClr w14:val="tx1"/>
                  </w14:solidFill>
                </w14:textFill>
              </w:rPr>
              <w:t>修订）《广西北部湾经济区生态环境建设与保护一体化规划》（北部湾办发〔</w:t>
            </w:r>
            <w:r>
              <w:rPr>
                <w:rFonts w:ascii="Times New Roman" w:hAnsi="Times New Roman" w:eastAsia="宋体" w:cs="Times New Roman"/>
                <w:color w:val="000000" w:themeColor="text1"/>
                <w:szCs w:val="21"/>
                <w:highlight w:val="none"/>
                <w:u w:val="none"/>
                <w14:textFill>
                  <w14:solidFill>
                    <w14:schemeClr w14:val="tx1"/>
                  </w14:solidFill>
                </w14:textFill>
              </w:rPr>
              <w:t>2019</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48</w:t>
            </w:r>
            <w:r>
              <w:rPr>
                <w:rFonts w:ascii="Times New Roman" w:hAnsi="宋体" w:eastAsia="宋体" w:cs="Times New Roman"/>
                <w:color w:val="000000" w:themeColor="text1"/>
                <w:szCs w:val="21"/>
                <w:highlight w:val="none"/>
                <w:u w:val="none"/>
                <w14:textFill>
                  <w14:solidFill>
                    <w14:schemeClr w14:val="tx1"/>
                  </w14:solidFill>
                </w14:textFill>
              </w:rPr>
              <w:t>号）《广西壮族自治区海洋生态环境保护高质量发展</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十四五</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规划》（桂环发〔</w:t>
            </w:r>
            <w:r>
              <w:rPr>
                <w:rFonts w:ascii="Times New Roman" w:hAnsi="Times New Roman" w:eastAsia="宋体" w:cs="Times New Roman"/>
                <w:color w:val="000000" w:themeColor="text1"/>
                <w:szCs w:val="21"/>
                <w:highlight w:val="none"/>
                <w:u w:val="none"/>
                <w14:textFill>
                  <w14:solidFill>
                    <w14:schemeClr w14:val="tx1"/>
                  </w14:solidFill>
                </w14:textFill>
              </w:rPr>
              <w:t>2022</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号）《广西大力发展向海经济建设海洋强区三年行动计划（</w:t>
            </w:r>
            <w:r>
              <w:rPr>
                <w:rFonts w:ascii="Times New Roman" w:hAnsi="Times New Roman" w:eastAsia="宋体" w:cs="Times New Roman"/>
                <w:color w:val="000000" w:themeColor="text1"/>
                <w:szCs w:val="21"/>
                <w:highlight w:val="none"/>
                <w:u w:val="none"/>
                <w14:textFill>
                  <w14:solidFill>
                    <w14:schemeClr w14:val="tx1"/>
                  </w14:solidFill>
                </w14:textFill>
              </w:rPr>
              <w:t>2023—2025</w:t>
            </w:r>
            <w:r>
              <w:rPr>
                <w:rFonts w:ascii="Times New Roman" w:hAnsi="宋体" w:eastAsia="宋体" w:cs="Times New Roman"/>
                <w:color w:val="000000" w:themeColor="text1"/>
                <w:szCs w:val="21"/>
                <w:highlight w:val="none"/>
                <w:u w:val="none"/>
                <w14:textFill>
                  <w14:solidFill>
                    <w14:schemeClr w14:val="tx1"/>
                  </w14:solidFill>
                </w14:textFill>
              </w:rPr>
              <w:t>年）》（桂政办发〔</w:t>
            </w:r>
            <w:r>
              <w:rPr>
                <w:rFonts w:ascii="Times New Roman" w:hAnsi="Times New Roman" w:eastAsia="宋体" w:cs="Times New Roman"/>
                <w:color w:val="000000" w:themeColor="text1"/>
                <w:szCs w:val="21"/>
                <w:highlight w:val="none"/>
                <w:u w:val="none"/>
                <w14:textFill>
                  <w14:solidFill>
                    <w14:schemeClr w14:val="tx1"/>
                  </w14:solidFill>
                </w14:textFill>
              </w:rPr>
              <w:t>2023</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19</w:t>
            </w:r>
            <w:r>
              <w:rPr>
                <w:rFonts w:ascii="Times New Roman" w:hAnsi="宋体" w:eastAsia="宋体" w:cs="Times New Roman"/>
                <w:color w:val="000000" w:themeColor="text1"/>
                <w:szCs w:val="21"/>
                <w:highlight w:val="none"/>
                <w:u w:val="none"/>
                <w14:textFill>
                  <w14:solidFill>
                    <w14:schemeClr w14:val="tx1"/>
                  </w14:solidFill>
                </w14:textFill>
              </w:rPr>
              <w:t>号）提出第</w:t>
            </w:r>
            <w:r>
              <w:rPr>
                <w:rFonts w:ascii="Times New Roman" w:hAnsi="Times New Roman" w:eastAsia="宋体" w:cs="Times New Roman"/>
                <w:color w:val="000000" w:themeColor="text1"/>
                <w:szCs w:val="21"/>
                <w:highlight w:val="none"/>
                <w:u w:val="none"/>
                <w14:textFill>
                  <w14:solidFill>
                    <w14:schemeClr w14:val="tx1"/>
                  </w14:solidFill>
                </w14:textFill>
              </w:rPr>
              <w:t>1-7</w:t>
            </w:r>
            <w:r>
              <w:rPr>
                <w:rFonts w:ascii="Times New Roman" w:hAnsi="宋体" w:eastAsia="宋体" w:cs="Times New Roman"/>
                <w:color w:val="000000" w:themeColor="text1"/>
                <w:szCs w:val="21"/>
                <w:highlight w:val="none"/>
                <w:u w:val="none"/>
                <w14:textFill>
                  <w14:solidFill>
                    <w14:schemeClr w14:val="tx1"/>
                  </w14:solidFill>
                </w14:textFill>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5" w:hRule="atLeast"/>
          <w:tblHeader/>
          <w:jc w:val="center"/>
        </w:trPr>
        <w:tc>
          <w:tcPr>
            <w:tcW w:w="1674" w:type="dxa"/>
            <w:vMerge w:val="continue"/>
            <w:vAlign w:val="center"/>
          </w:tcPr>
          <w:p>
            <w:pPr>
              <w:adjustRightInd w:val="0"/>
              <w:snapToGrid w:val="0"/>
              <w:jc w:val="center"/>
              <w:rPr>
                <w:rFonts w:ascii="Times New Roman" w:hAnsi="Times New Roman" w:eastAsia="宋体" w:cs="Times New Roman"/>
                <w:color w:val="000000" w:themeColor="text1"/>
                <w:szCs w:val="21"/>
                <w:highlight w:val="none"/>
                <w:u w:val="none"/>
                <w14:textFill>
                  <w14:solidFill>
                    <w14:schemeClr w14:val="tx1"/>
                  </w14:solidFill>
                </w14:textFill>
              </w:rPr>
            </w:pPr>
          </w:p>
        </w:tc>
        <w:tc>
          <w:tcPr>
            <w:tcW w:w="1830" w:type="dxa"/>
            <w:vAlign w:val="center"/>
          </w:tcPr>
          <w:p>
            <w:pPr>
              <w:adjustRightInd w:val="0"/>
              <w:snapToGrid w:val="0"/>
              <w:jc w:val="center"/>
              <w:rPr>
                <w:rFonts w:ascii="Times New Roman" w:hAnsi="Times New Roman" w:eastAsia="宋体" w:cs="Times New Roman"/>
                <w:snapToGrid w:val="0"/>
                <w:color w:val="000000" w:themeColor="text1"/>
                <w:kern w:val="0"/>
                <w:szCs w:val="21"/>
                <w:highlight w:val="none"/>
                <w:u w:val="none"/>
                <w14:textFill>
                  <w14:solidFill>
                    <w14:schemeClr w14:val="tx1"/>
                  </w14:solidFill>
                </w14:textFill>
              </w:rPr>
            </w:pPr>
            <w:r>
              <w:rPr>
                <w:rFonts w:ascii="Times New Roman" w:hAnsi="宋体" w:eastAsia="宋体" w:cs="Times New Roman"/>
                <w:snapToGrid w:val="0"/>
                <w:color w:val="000000" w:themeColor="text1"/>
                <w:kern w:val="0"/>
                <w:szCs w:val="21"/>
                <w:highlight w:val="none"/>
                <w:u w:val="none"/>
                <w14:textFill>
                  <w14:solidFill>
                    <w14:schemeClr w14:val="tx1"/>
                  </w14:solidFill>
                </w14:textFill>
              </w:rPr>
              <w:t>海洋重点开发</w:t>
            </w:r>
          </w:p>
          <w:p>
            <w:pPr>
              <w:adjustRightInd w:val="0"/>
              <w:snapToGrid w:val="0"/>
              <w:jc w:val="center"/>
              <w:rPr>
                <w:rFonts w:ascii="Times New Roman" w:hAnsi="Times New Roman" w:eastAsia="宋体" w:cs="Times New Roman"/>
                <w:snapToGrid w:val="0"/>
                <w:color w:val="000000" w:themeColor="text1"/>
                <w:kern w:val="0"/>
                <w:szCs w:val="21"/>
                <w:highlight w:val="none"/>
                <w:u w:val="none"/>
                <w14:textFill>
                  <w14:solidFill>
                    <w14:schemeClr w14:val="tx1"/>
                  </w14:solidFill>
                </w14:textFill>
              </w:rPr>
            </w:pPr>
            <w:r>
              <w:rPr>
                <w:rFonts w:ascii="Times New Roman" w:hAnsi="宋体" w:eastAsia="宋体" w:cs="Times New Roman"/>
                <w:snapToGrid w:val="0"/>
                <w:color w:val="000000" w:themeColor="text1"/>
                <w:kern w:val="0"/>
                <w:szCs w:val="21"/>
                <w:highlight w:val="none"/>
                <w:u w:val="none"/>
                <w14:textFill>
                  <w14:solidFill>
                    <w14:schemeClr w14:val="tx1"/>
                  </w14:solidFill>
                </w14:textFill>
              </w:rPr>
              <w:t>区域</w:t>
            </w:r>
          </w:p>
        </w:tc>
        <w:tc>
          <w:tcPr>
            <w:tcW w:w="2221" w:type="dxa"/>
            <w:vAlign w:val="center"/>
          </w:tcPr>
          <w:p>
            <w:pPr>
              <w:adjustRightInd w:val="0"/>
              <w:snapToGrid w:val="0"/>
              <w:jc w:val="center"/>
              <w:rPr>
                <w:rFonts w:ascii="Times New Roman" w:hAnsi="Times New Roman" w:eastAsia="宋体" w:cs="Times New Roman"/>
                <w:snapToGrid w:val="0"/>
                <w:color w:val="000000" w:themeColor="text1"/>
                <w:kern w:val="0"/>
                <w:szCs w:val="21"/>
                <w:highlight w:val="none"/>
                <w:u w:val="none"/>
                <w14:textFill>
                  <w14:solidFill>
                    <w14:schemeClr w14:val="tx1"/>
                  </w14:solidFill>
                </w14:textFill>
              </w:rPr>
            </w:pPr>
            <w:r>
              <w:rPr>
                <w:rFonts w:ascii="Times New Roman" w:hAnsi="宋体" w:eastAsia="宋体" w:cs="Times New Roman"/>
                <w:snapToGrid w:val="0"/>
                <w:color w:val="000000" w:themeColor="text1"/>
                <w:kern w:val="0"/>
                <w:szCs w:val="21"/>
                <w:highlight w:val="none"/>
                <w:u w:val="none"/>
                <w14:textFill>
                  <w14:solidFill>
                    <w14:schemeClr w14:val="tx1"/>
                  </w14:solidFill>
                </w14:textFill>
              </w:rPr>
              <w:t>空间布局约束</w:t>
            </w:r>
          </w:p>
        </w:tc>
        <w:tc>
          <w:tcPr>
            <w:tcW w:w="9169"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．严控新增围填海造地。除国家重大战略项目外，全面停止新增围填海项目审批。新增围填海项目要同步强化生态保护修复，边施工边修复，最大程度避免降低生态系统服务功能。</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．全区海洋经济活动主要承载区域，沿海地区工业化与城镇化发展空间拓展区域。</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．实施据点式集约开发，严格控制开发活动规模和范围，形成现代海洋产业集群。</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．统筹规划港口、桥梁、隧道及其配套设施等海洋工程建设，形成陆海协调、安全高效的基础设施网络。</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．加强对重大海洋工程特别是围填海项目的环境影响评价，严格监控临港工业集中区和重大海洋工程施工，防止破坏和污染近岸海洋生态环境。</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6</w:t>
            </w:r>
            <w:r>
              <w:rPr>
                <w:rFonts w:ascii="Times New Roman" w:hAnsi="宋体" w:eastAsia="宋体" w:cs="Times New Roman"/>
                <w:color w:val="000000" w:themeColor="text1"/>
                <w:szCs w:val="21"/>
                <w:highlight w:val="none"/>
                <w:u w:val="none"/>
                <w14:textFill>
                  <w14:solidFill>
                    <w14:schemeClr w14:val="tx1"/>
                  </w14:solidFill>
                </w14:textFill>
              </w:rPr>
              <w:t>．加强海洋防灾减灾能力建设。</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7</w:t>
            </w:r>
            <w:r>
              <w:rPr>
                <w:rFonts w:ascii="Times New Roman" w:hAnsi="宋体" w:eastAsia="宋体" w:cs="Times New Roman"/>
                <w:color w:val="000000" w:themeColor="text1"/>
                <w:szCs w:val="21"/>
                <w:highlight w:val="none"/>
                <w:u w:val="none"/>
                <w14:textFill>
                  <w14:solidFill>
                    <w14:schemeClr w14:val="tx1"/>
                  </w14:solidFill>
                </w14:textFill>
              </w:rPr>
              <w:t>．原则上限制开发利用区域内无居民海岛，国家战略需要、允许开发利用无居民海岛的开发利用，须按照相关法律规定进行。</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8</w:t>
            </w:r>
            <w:r>
              <w:rPr>
                <w:rFonts w:ascii="Times New Roman" w:hAnsi="宋体" w:eastAsia="宋体" w:cs="Times New Roman"/>
                <w:color w:val="000000" w:themeColor="text1"/>
                <w:szCs w:val="21"/>
                <w:highlight w:val="none"/>
                <w:u w:val="none"/>
                <w14:textFill>
                  <w14:solidFill>
                    <w14:schemeClr w14:val="tx1"/>
                  </w14:solidFill>
                </w14:textFill>
              </w:rPr>
              <w:t>．港口航运区域应符合以下管控要求：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1</w:t>
            </w:r>
            <w:r>
              <w:rPr>
                <w:rFonts w:ascii="Times New Roman" w:hAnsi="宋体" w:eastAsia="宋体" w:cs="Times New Roman"/>
                <w:color w:val="000000" w:themeColor="text1"/>
                <w:szCs w:val="21"/>
                <w:highlight w:val="none"/>
                <w:u w:val="none"/>
                <w14:textFill>
                  <w14:solidFill>
                    <w14:schemeClr w14:val="tx1"/>
                  </w14:solidFill>
                </w14:textFill>
              </w:rPr>
              <w:t>）严格按照港口总体规划准入项目。</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在港区、锚地、航道、通航密集区、航道与码头前沿线之间的海域以及规定的航路内准入与航运无关、或有碍航行安全的项目。</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宋体" w:eastAsia="宋体" w:cs="Times New Roman"/>
                <w:b/>
                <w:bCs/>
                <w:color w:val="000000" w:themeColor="text1"/>
                <w:szCs w:val="21"/>
                <w:highlight w:val="none"/>
                <w:u w:val="none"/>
                <w14:textFill>
                  <w14:solidFill>
                    <w14:schemeClr w14:val="tx1"/>
                  </w14:solidFill>
                </w14:textFill>
              </w:rPr>
              <w:t>禁止</w:t>
            </w:r>
            <w:r>
              <w:rPr>
                <w:rFonts w:ascii="Times New Roman" w:hAnsi="宋体" w:eastAsia="宋体" w:cs="Times New Roman"/>
                <w:color w:val="000000" w:themeColor="text1"/>
                <w:szCs w:val="21"/>
                <w:highlight w:val="none"/>
                <w:u w:val="none"/>
                <w14:textFill>
                  <w14:solidFill>
                    <w14:schemeClr w14:val="tx1"/>
                  </w14:solidFill>
                </w14:textFill>
              </w:rPr>
              <w:t>准入渔业增养殖、捕捞等项目。</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）严格控制准入排放含油废水项目。</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）港口航道区建设要注意保护临近生态环境。</w:t>
            </w:r>
          </w:p>
        </w:tc>
        <w:tc>
          <w:tcPr>
            <w:tcW w:w="6919" w:type="dxa"/>
            <w:vAlign w:val="center"/>
          </w:tcPr>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宋体" w:eastAsia="宋体" w:cs="Times New Roman"/>
                <w:color w:val="000000" w:themeColor="text1"/>
                <w:szCs w:val="21"/>
                <w:highlight w:val="none"/>
                <w:u w:val="none"/>
                <w14:textFill>
                  <w14:solidFill>
                    <w14:schemeClr w14:val="tx1"/>
                  </w14:solidFill>
                </w14:textFill>
              </w:rPr>
              <w:t>参考《中华人民共和国海洋环境保护法》（</w:t>
            </w:r>
            <w:r>
              <w:rPr>
                <w:rFonts w:ascii="Times New Roman" w:hAnsi="Times New Roman" w:eastAsia="宋体" w:cs="Times New Roman"/>
                <w:color w:val="000000" w:themeColor="text1"/>
                <w:szCs w:val="21"/>
                <w:highlight w:val="none"/>
                <w:u w:val="none"/>
                <w14:textFill>
                  <w14:solidFill>
                    <w14:schemeClr w14:val="tx1"/>
                  </w14:solidFill>
                </w14:textFill>
              </w:rPr>
              <w:t>2023</w:t>
            </w:r>
            <w:r>
              <w:rPr>
                <w:rFonts w:ascii="Times New Roman" w:hAnsi="宋体" w:eastAsia="宋体" w:cs="Times New Roman"/>
                <w:color w:val="000000" w:themeColor="text1"/>
                <w:szCs w:val="21"/>
                <w:highlight w:val="none"/>
                <w:u w:val="none"/>
                <w14:textFill>
                  <w14:solidFill>
                    <w14:schemeClr w14:val="tx1"/>
                  </w14:solidFill>
                </w14:textFill>
              </w:rPr>
              <w:t>修订）《广西北部湾经济区生态环境建设与保护一体化规划》（北部湾办发〔</w:t>
            </w:r>
            <w:r>
              <w:rPr>
                <w:rFonts w:ascii="Times New Roman" w:hAnsi="Times New Roman" w:eastAsia="宋体" w:cs="Times New Roman"/>
                <w:color w:val="000000" w:themeColor="text1"/>
                <w:szCs w:val="21"/>
                <w:highlight w:val="none"/>
                <w:u w:val="none"/>
                <w14:textFill>
                  <w14:solidFill>
                    <w14:schemeClr w14:val="tx1"/>
                  </w14:solidFill>
                </w14:textFill>
              </w:rPr>
              <w:t>2019</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48</w:t>
            </w:r>
            <w:r>
              <w:rPr>
                <w:rFonts w:ascii="Times New Roman" w:hAnsi="宋体" w:eastAsia="宋体" w:cs="Times New Roman"/>
                <w:color w:val="000000" w:themeColor="text1"/>
                <w:szCs w:val="21"/>
                <w:highlight w:val="none"/>
                <w:u w:val="none"/>
                <w14:textFill>
                  <w14:solidFill>
                    <w14:schemeClr w14:val="tx1"/>
                  </w14:solidFill>
                </w14:textFill>
              </w:rPr>
              <w:t>号）《广西壮族自治区海洋生态环境保护高质量发展</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十四五</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规划》（桂环发〔</w:t>
            </w:r>
            <w:r>
              <w:rPr>
                <w:rFonts w:ascii="Times New Roman" w:hAnsi="Times New Roman" w:eastAsia="宋体" w:cs="Times New Roman"/>
                <w:color w:val="000000" w:themeColor="text1"/>
                <w:szCs w:val="21"/>
                <w:highlight w:val="none"/>
                <w:u w:val="none"/>
                <w14:textFill>
                  <w14:solidFill>
                    <w14:schemeClr w14:val="tx1"/>
                  </w14:solidFill>
                </w14:textFill>
              </w:rPr>
              <w:t>2022</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号）《广西大力发展向海经济建设海洋强区三年行动计划（</w:t>
            </w:r>
            <w:r>
              <w:rPr>
                <w:rFonts w:ascii="Times New Roman" w:hAnsi="Times New Roman" w:eastAsia="宋体" w:cs="Times New Roman"/>
                <w:color w:val="000000" w:themeColor="text1"/>
                <w:szCs w:val="21"/>
                <w:highlight w:val="none"/>
                <w:u w:val="none"/>
                <w14:textFill>
                  <w14:solidFill>
                    <w14:schemeClr w14:val="tx1"/>
                  </w14:solidFill>
                </w14:textFill>
              </w:rPr>
              <w:t>2023—2025</w:t>
            </w:r>
            <w:r>
              <w:rPr>
                <w:rFonts w:ascii="Times New Roman" w:hAnsi="宋体" w:eastAsia="宋体" w:cs="Times New Roman"/>
                <w:color w:val="000000" w:themeColor="text1"/>
                <w:szCs w:val="21"/>
                <w:highlight w:val="none"/>
                <w:u w:val="none"/>
                <w14:textFill>
                  <w14:solidFill>
                    <w14:schemeClr w14:val="tx1"/>
                  </w14:solidFill>
                </w14:textFill>
              </w:rPr>
              <w:t>年）》（桂政办发〔</w:t>
            </w:r>
            <w:r>
              <w:rPr>
                <w:rFonts w:ascii="Times New Roman" w:hAnsi="Times New Roman" w:eastAsia="宋体" w:cs="Times New Roman"/>
                <w:color w:val="000000" w:themeColor="text1"/>
                <w:szCs w:val="21"/>
                <w:highlight w:val="none"/>
                <w:u w:val="none"/>
                <w14:textFill>
                  <w14:solidFill>
                    <w14:schemeClr w14:val="tx1"/>
                  </w14:solidFill>
                </w14:textFill>
              </w:rPr>
              <w:t>2023</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19</w:t>
            </w:r>
            <w:r>
              <w:rPr>
                <w:rFonts w:ascii="Times New Roman" w:hAnsi="宋体" w:eastAsia="宋体" w:cs="Times New Roman"/>
                <w:color w:val="000000" w:themeColor="text1"/>
                <w:szCs w:val="21"/>
                <w:highlight w:val="none"/>
                <w:u w:val="none"/>
                <w14:textFill>
                  <w14:solidFill>
                    <w14:schemeClr w14:val="tx1"/>
                  </w14:solidFill>
                </w14:textFill>
              </w:rPr>
              <w:t>号）提出第</w:t>
            </w:r>
            <w:r>
              <w:rPr>
                <w:rFonts w:ascii="Times New Roman" w:hAnsi="Times New Roman" w:eastAsia="宋体" w:cs="Times New Roman"/>
                <w:color w:val="000000" w:themeColor="text1"/>
                <w:szCs w:val="21"/>
                <w:highlight w:val="none"/>
                <w:u w:val="none"/>
                <w14:textFill>
                  <w14:solidFill>
                    <w14:schemeClr w14:val="tx1"/>
                  </w14:solidFill>
                </w14:textFill>
              </w:rPr>
              <w:t>1-8</w:t>
            </w:r>
            <w:r>
              <w:rPr>
                <w:rFonts w:ascii="Times New Roman" w:hAnsi="宋体" w:eastAsia="宋体" w:cs="Times New Roman"/>
                <w:color w:val="000000" w:themeColor="text1"/>
                <w:szCs w:val="21"/>
                <w:highlight w:val="none"/>
                <w:u w:val="none"/>
                <w14:textFill>
                  <w14:solidFill>
                    <w14:schemeClr w14:val="tx1"/>
                  </w14:solidFill>
                </w14:textFill>
              </w:rPr>
              <w:t>条管控要求。</w:t>
            </w:r>
          </w:p>
        </w:tc>
      </w:tr>
    </w:tbl>
    <w:p>
      <w:pPr>
        <w:rPr>
          <w:rFonts w:ascii="Times New Roman" w:hAnsi="Times New Roman" w:eastAsia="宋体" w:cs="Times New Roman"/>
          <w:color w:val="000000" w:themeColor="text1"/>
          <w:szCs w:val="21"/>
          <w:highlight w:val="none"/>
          <w:u w:val="none"/>
          <w14:textFill>
            <w14:solidFill>
              <w14:schemeClr w14:val="tx1"/>
            </w14:solidFill>
          </w14:textFill>
        </w:rPr>
      </w:pP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br w:type="page"/>
      </w:r>
      <w:bookmarkEnd w:id="11"/>
      <w:bookmarkEnd w:id="12"/>
      <w:bookmarkEnd w:id="13"/>
      <w:bookmarkEnd w:id="14"/>
    </w:p>
    <w:bookmarkEnd w:id="3"/>
    <w:p>
      <w:pPr>
        <w:pStyle w:val="2"/>
        <w:numPr>
          <w:ilvl w:val="0"/>
          <w:numId w:val="1"/>
        </w:numPr>
        <w:spacing w:before="156" w:after="156"/>
        <w:outlineLvl w:val="1"/>
        <w:rPr>
          <w:rFonts w:ascii="黑体" w:hAnsi="黑体" w:eastAsia="黑体" w:cs="Times New Roman"/>
          <w:color w:val="000000" w:themeColor="text1"/>
          <w:szCs w:val="32"/>
          <w:highlight w:val="none"/>
          <w:u w:val="none"/>
          <w14:textFill>
            <w14:solidFill>
              <w14:schemeClr w14:val="tx1"/>
            </w14:solidFill>
          </w14:textFill>
        </w:rPr>
      </w:pPr>
      <w:bookmarkStart w:id="15" w:name="_Toc32305"/>
      <w:bookmarkStart w:id="16" w:name="_Toc17230"/>
      <w:bookmarkStart w:id="17" w:name="_Toc8123"/>
      <w:bookmarkStart w:id="18" w:name="_Toc11329"/>
      <w:r>
        <w:rPr>
          <w:rFonts w:ascii="黑体" w:hAnsi="黑体" w:eastAsia="黑体" w:cs="Times New Roman"/>
          <w:color w:val="000000" w:themeColor="text1"/>
          <w:szCs w:val="32"/>
          <w:highlight w:val="none"/>
          <w:u w:val="none"/>
          <w14:textFill>
            <w14:solidFill>
              <w14:schemeClr w14:val="tx1"/>
            </w14:solidFill>
          </w14:textFill>
        </w:rPr>
        <w:t>四大板块生态环境总体准入及管控要求</w:t>
      </w:r>
      <w:bookmarkEnd w:id="15"/>
    </w:p>
    <w:p>
      <w:pPr>
        <w:pStyle w:val="3"/>
        <w:spacing w:before="156" w:after="156"/>
        <w:rPr>
          <w:rFonts w:ascii="黑体" w:hAnsi="黑体" w:eastAsia="黑体"/>
          <w:color w:val="000000" w:themeColor="text1"/>
          <w:szCs w:val="30"/>
          <w:highlight w:val="none"/>
          <w:u w:val="none"/>
          <w14:textFill>
            <w14:solidFill>
              <w14:schemeClr w14:val="tx1"/>
            </w14:solidFill>
          </w14:textFill>
        </w:rPr>
      </w:pPr>
      <w:bookmarkStart w:id="19" w:name="_Toc16456"/>
      <w:r>
        <w:rPr>
          <w:rFonts w:ascii="黑体" w:hAnsi="黑体" w:eastAsia="黑体"/>
          <w:color w:val="000000" w:themeColor="text1"/>
          <w:szCs w:val="30"/>
          <w:highlight w:val="none"/>
          <w:u w:val="none"/>
          <w14:textFill>
            <w14:solidFill>
              <w14:schemeClr w14:val="tx1"/>
            </w14:solidFill>
          </w14:textFill>
        </w:rPr>
        <w:t>2.1北部湾经济区</w:t>
      </w:r>
      <w:bookmarkEnd w:id="19"/>
    </w:p>
    <w:bookmarkEnd w:id="16"/>
    <w:bookmarkEnd w:id="17"/>
    <w:bookmarkEnd w:id="18"/>
    <w:p>
      <w:pPr>
        <w:pStyle w:val="19"/>
        <w:rPr>
          <w:rFonts w:hAnsi="Times New Roman"/>
          <w:highlight w:val="none"/>
          <w:u w:val="none"/>
        </w:rPr>
      </w:pPr>
      <w:r>
        <w:rPr>
          <w:highlight w:val="none"/>
          <w:u w:val="none"/>
        </w:rPr>
        <w:t>表</w:t>
      </w:r>
      <w:r>
        <w:rPr>
          <w:rFonts w:hAnsi="Times New Roman"/>
          <w:highlight w:val="none"/>
          <w:u w:val="none"/>
        </w:rPr>
        <w:t xml:space="preserve">2.1-1  </w:t>
      </w:r>
      <w:r>
        <w:rPr>
          <w:highlight w:val="none"/>
          <w:u w:val="none"/>
        </w:rPr>
        <w:t>北部湾经济区生态环境总体准入及管控要求</w:t>
      </w:r>
    </w:p>
    <w:tbl>
      <w:tblPr>
        <w:tblStyle w:val="11"/>
        <w:tblW w:w="218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8"/>
        <w:gridCol w:w="1589"/>
        <w:gridCol w:w="2389"/>
        <w:gridCol w:w="8961"/>
        <w:gridCol w:w="69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blHeader/>
          <w:jc w:val="center"/>
        </w:trPr>
        <w:tc>
          <w:tcPr>
            <w:tcW w:w="1928"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适用分区</w:t>
            </w:r>
          </w:p>
        </w:tc>
        <w:tc>
          <w:tcPr>
            <w:tcW w:w="1589"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适用对象</w:t>
            </w:r>
          </w:p>
        </w:tc>
        <w:tc>
          <w:tcPr>
            <w:tcW w:w="2389"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管控要求类别</w:t>
            </w:r>
          </w:p>
        </w:tc>
        <w:tc>
          <w:tcPr>
            <w:tcW w:w="8961"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生态环境准入及管控要求</w:t>
            </w:r>
          </w:p>
        </w:tc>
        <w:tc>
          <w:tcPr>
            <w:tcW w:w="6946"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编制理由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3" w:hRule="atLeast"/>
          <w:jc w:val="center"/>
        </w:trPr>
        <w:tc>
          <w:tcPr>
            <w:tcW w:w="1928" w:type="dxa"/>
            <w:vMerge w:val="restart"/>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北部湾经济区</w:t>
            </w:r>
          </w:p>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全部分区</w:t>
            </w:r>
          </w:p>
        </w:tc>
        <w:tc>
          <w:tcPr>
            <w:tcW w:w="1589" w:type="dxa"/>
            <w:vMerge w:val="restart"/>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北部湾经济区（本清单适用于南宁市、北海市、钦州市、防城港市、玉林市、崇左市）</w:t>
            </w:r>
          </w:p>
        </w:tc>
        <w:tc>
          <w:tcPr>
            <w:tcW w:w="2389"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空间布局约束</w:t>
            </w:r>
          </w:p>
        </w:tc>
        <w:tc>
          <w:tcPr>
            <w:tcW w:w="8961"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．坚持高质量发展和高水平保护并重，引领广西高质量发展的重要增长极和成为具有区域影响力和带动力的重要增长极，建设宜居宜业宜游蓝色生态湾区。</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．实行严格的资源环境生态红线管控，合理开发和节约资源，加强对水源林、防护林、湿地等生态系统的保护与修复。</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加大滨海湿地保护和修复力度，对红树林、珊瑚礁、海草床等重要海洋生态系统实行最严格的保护措施，加强珍稀濒危物种及重要海洋生态系统的生境保护。加强沿海防护林体系建设，加强对防城江、北仑河、钦江等重要江河源头区、湖库型饮用水源地等区域水土流失预防。推进互花米草防治。</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．严格围填海管控，</w:t>
            </w:r>
            <w:r>
              <w:rPr>
                <w:rFonts w:hAnsi="宋体" w:eastAsia="宋体"/>
                <w:b/>
                <w:bCs/>
                <w:color w:val="000000" w:themeColor="text1"/>
                <w:highlight w:val="none"/>
                <w:u w:val="none"/>
                <w14:textFill>
                  <w14:solidFill>
                    <w14:schemeClr w14:val="tx1"/>
                  </w14:solidFill>
                </w14:textFill>
              </w:rPr>
              <w:t>禁止</w:t>
            </w:r>
            <w:r>
              <w:rPr>
                <w:rFonts w:hAnsi="宋体" w:eastAsia="宋体"/>
                <w:color w:val="000000" w:themeColor="text1"/>
                <w:highlight w:val="none"/>
                <w:u w:val="none"/>
                <w14:textFill>
                  <w14:solidFill>
                    <w14:schemeClr w14:val="tx1"/>
                  </w14:solidFill>
                </w14:textFill>
              </w:rPr>
              <w:t>在海域内实施连岛行动。保护北部湾自然岸线，严格控制岸线利用项目准入门槛。合理有序开发利用滩涂资源。</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．南流江流域、廉州湾海域超过环境承载力的县市区严格区域主要污染物管控要求，新改扩</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两高</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、重点行业建设项目实行主要污染物区域削减方案。廉州湾沿岸新设排污口选址必须符合《中华人民共和国海洋环境保护法》《防治陆源污染物污染损害海洋环境管理条例》等有关规定。</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6</w:t>
            </w:r>
            <w:r>
              <w:rPr>
                <w:rFonts w:hAnsi="宋体" w:eastAsia="宋体"/>
                <w:color w:val="000000" w:themeColor="text1"/>
                <w:highlight w:val="none"/>
                <w:u w:val="none"/>
                <w14:textFill>
                  <w14:solidFill>
                    <w14:schemeClr w14:val="tx1"/>
                  </w14:solidFill>
                </w14:textFill>
              </w:rPr>
              <w:t>．依法依规推动落后产能有序退出。</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7</w:t>
            </w:r>
            <w:r>
              <w:rPr>
                <w:rFonts w:hAnsi="宋体" w:eastAsia="宋体"/>
                <w:color w:val="000000" w:themeColor="text1"/>
                <w:highlight w:val="none"/>
                <w:u w:val="none"/>
                <w14:textFill>
                  <w14:solidFill>
                    <w14:schemeClr w14:val="tx1"/>
                  </w14:solidFill>
                </w14:textFill>
              </w:rPr>
              <w:t>．</w:t>
            </w:r>
            <w:r>
              <w:rPr>
                <w:rFonts w:hAnsi="宋体" w:eastAsia="宋体"/>
                <w:highlight w:val="none"/>
                <w:u w:val="none"/>
              </w:rPr>
              <w:t>严禁占用运河沿线两岸</w:t>
            </w:r>
            <w:r>
              <w:rPr>
                <w:rFonts w:eastAsia="宋体"/>
                <w:highlight w:val="none"/>
                <w:u w:val="none"/>
              </w:rPr>
              <w:t>1</w:t>
            </w:r>
            <w:r>
              <w:rPr>
                <w:rFonts w:hAnsi="宋体" w:eastAsia="宋体"/>
                <w:highlight w:val="none"/>
                <w:u w:val="none"/>
              </w:rPr>
              <w:t>公里范围内预留作为生态廊道的用地，科学规划平陆运河沿岸生态廊道空间和开发保护核心管制区</w:t>
            </w:r>
            <w:r>
              <w:rPr>
                <w:rFonts w:hAnsi="宋体" w:eastAsia="宋体"/>
                <w:color w:val="000000" w:themeColor="text1"/>
                <w:highlight w:val="none"/>
                <w:u w:val="none"/>
                <w14:textFill>
                  <w14:solidFill>
                    <w14:schemeClr w14:val="tx1"/>
                  </w14:solidFill>
                </w14:textFill>
              </w:rPr>
              <w:t>。</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8</w:t>
            </w:r>
            <w:r>
              <w:rPr>
                <w:rFonts w:hAnsi="宋体" w:eastAsia="宋体"/>
                <w:color w:val="000000" w:themeColor="text1"/>
                <w:highlight w:val="none"/>
                <w:u w:val="none"/>
                <w14:textFill>
                  <w14:solidFill>
                    <w14:schemeClr w14:val="tx1"/>
                  </w14:solidFill>
                </w14:textFill>
              </w:rPr>
              <w:t>．平陆运河绿色工程防范管控重点清单、打造特色亮点清单，平陆运河绿色工程评估指标体系，西部陆海新通道（平陆）运河绿色航道和绿色船闸建设标准公布实施后，从其规定。</w:t>
            </w:r>
          </w:p>
        </w:tc>
        <w:tc>
          <w:tcPr>
            <w:tcW w:w="6946"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bCs/>
                <w:color w:val="000000" w:themeColor="text1"/>
                <w:highlight w:val="none"/>
                <w:u w:val="none"/>
                <w14:textFill>
                  <w14:solidFill>
                    <w14:schemeClr w14:val="tx1"/>
                  </w14:solidFill>
                </w14:textFill>
              </w:rPr>
              <w:t>流域特点：</w:t>
            </w:r>
            <w:r>
              <w:rPr>
                <w:rFonts w:eastAsia="宋体"/>
                <w:bCs/>
                <w:color w:val="000000" w:themeColor="text1"/>
                <w:highlight w:val="none"/>
                <w:u w:val="none"/>
                <w14:textFill>
                  <w14:solidFill>
                    <w14:schemeClr w14:val="tx1"/>
                  </w14:solidFill>
                </w14:textFill>
              </w:rPr>
              <w:t>1</w:t>
            </w:r>
            <w:r>
              <w:rPr>
                <w:rFonts w:hAnsi="宋体" w:eastAsia="宋体"/>
                <w:color w:val="000000" w:themeColor="text1"/>
                <w:kern w:val="0"/>
                <w:highlight w:val="none"/>
                <w:u w:val="none"/>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南流江发源于玉林北流市新圩镇大容山主峰莲花顶南麓，由北向南依次流经玉林、钦州和北海后汇入廉州湾，是桂南沿海诸河中流程最长、流域面积最大、水量最丰富的独流入海河流。流域开发利用程度高，人口密度高，社会经济活动兴旺，环境风险隐患大，水生态环境受到严重威胁。廉州湾海域水环境质量超标。</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kern w:val="0"/>
                <w:highlight w:val="none"/>
                <w:u w:val="none"/>
                <w14:textFill>
                  <w14:solidFill>
                    <w14:schemeClr w14:val="tx1"/>
                  </w14:solidFill>
                </w14:textFill>
              </w:rPr>
              <w:t>．</w:t>
            </w:r>
            <w:r>
              <w:rPr>
                <w:rFonts w:hAnsi="宋体" w:eastAsia="宋体"/>
                <w:color w:val="000000" w:themeColor="text1"/>
                <w:highlight w:val="none"/>
                <w:u w:val="none"/>
                <w14:textFill>
                  <w14:solidFill>
                    <w14:schemeClr w14:val="tx1"/>
                  </w14:solidFill>
                </w14:textFill>
              </w:rPr>
              <w:t>钦江属桂南沿海诸河水系，发源于钦州市灵山县，流经钦北区、钦南区，并在钦南区分叉为钦江干流和大榄江，最终汇入茅尾海。</w:t>
            </w:r>
            <w:r>
              <w:rPr>
                <w:rFonts w:eastAsia="宋体"/>
                <w:color w:val="000000" w:themeColor="text1"/>
                <w:highlight w:val="none"/>
                <w:u w:val="none"/>
                <w14:textFill>
                  <w14:solidFill>
                    <w14:schemeClr w14:val="tx1"/>
                  </w14:solidFill>
                </w14:textFill>
              </w:rPr>
              <w:t>2018-2019</w:t>
            </w:r>
            <w:r>
              <w:rPr>
                <w:rFonts w:hAnsi="宋体" w:eastAsia="宋体"/>
                <w:color w:val="000000" w:themeColor="text1"/>
                <w:highlight w:val="none"/>
                <w:u w:val="none"/>
                <w14:textFill>
                  <w14:solidFill>
                    <w14:schemeClr w14:val="tx1"/>
                  </w14:solidFill>
                </w14:textFill>
              </w:rPr>
              <w:t>年钦江水质恶化，依据全流域水质监测结果分析，钦州市主城区和钦南区是主要污染区域，城乡生活污染是主要污染源。茅尾海、钦州湾海域水环境质量超标。</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kern w:val="0"/>
                <w:highlight w:val="none"/>
                <w:u w:val="none"/>
                <w14:textFill>
                  <w14:solidFill>
                    <w14:schemeClr w14:val="tx1"/>
                  </w14:solidFill>
                </w14:textFill>
              </w:rPr>
              <w:t>．</w:t>
            </w:r>
            <w:r>
              <w:rPr>
                <w:rFonts w:hAnsi="宋体" w:eastAsia="宋体"/>
                <w:color w:val="000000" w:themeColor="text1"/>
                <w:highlight w:val="none"/>
                <w:u w:val="none"/>
                <w14:textFill>
                  <w14:solidFill>
                    <w14:schemeClr w14:val="tx1"/>
                  </w14:solidFill>
                </w14:textFill>
              </w:rPr>
              <w:t>九洲江发源于广西玉林市陆川县，经博白县文地镇、广东廉江市，注入北部湾。经过全面治理，</w:t>
            </w:r>
            <w:r>
              <w:rPr>
                <w:rFonts w:eastAsia="宋体"/>
                <w:color w:val="000000" w:themeColor="text1"/>
                <w:highlight w:val="none"/>
                <w:u w:val="none"/>
                <w14:textFill>
                  <w14:solidFill>
                    <w14:schemeClr w14:val="tx1"/>
                  </w14:solidFill>
                </w14:textFill>
              </w:rPr>
              <w:t>2020</w:t>
            </w:r>
            <w:r>
              <w:rPr>
                <w:rFonts w:hAnsi="宋体" w:eastAsia="宋体"/>
                <w:color w:val="000000" w:themeColor="text1"/>
                <w:highlight w:val="none"/>
                <w:u w:val="none"/>
                <w14:textFill>
                  <w14:solidFill>
                    <w14:schemeClr w14:val="tx1"/>
                  </w14:solidFill>
                </w14:textFill>
              </w:rPr>
              <w:t>年九洲江粤桂两省区跨省界山角断面、飞蛾岭断面、文车桥断面水质均达到考核目标要求。</w:t>
            </w:r>
          </w:p>
          <w:p>
            <w:pPr>
              <w:pStyle w:val="21"/>
              <w:rPr>
                <w:rFonts w:eastAsia="宋体"/>
                <w:color w:val="000000" w:themeColor="text1"/>
                <w:highlight w:val="none"/>
                <w:u w:val="none"/>
                <w14:textFill>
                  <w14:solidFill>
                    <w14:schemeClr w14:val="tx1"/>
                  </w14:solidFill>
                </w14:textFill>
              </w:rPr>
            </w:pPr>
          </w:p>
          <w:p>
            <w:pPr>
              <w:pStyle w:val="21"/>
              <w:rPr>
                <w:rFonts w:eastAsia="宋体"/>
                <w:color w:val="000000" w:themeColor="text1"/>
                <w:highlight w:val="none"/>
                <w:u w:val="none"/>
                <w14:textFill>
                  <w14:solidFill>
                    <w14:schemeClr w14:val="tx1"/>
                  </w14:solidFill>
                </w14:textFill>
              </w:rPr>
            </w:pPr>
            <w:r>
              <w:rPr>
                <w:rFonts w:hAnsi="宋体" w:eastAsia="宋体"/>
                <w:bCs/>
                <w:color w:val="000000" w:themeColor="text1"/>
                <w:highlight w:val="none"/>
                <w:u w:val="none"/>
                <w14:textFill>
                  <w14:solidFill>
                    <w14:schemeClr w14:val="tx1"/>
                  </w14:solidFill>
                </w14:textFill>
              </w:rPr>
              <w:t>相关文件：</w:t>
            </w:r>
            <w:r>
              <w:rPr>
                <w:rFonts w:eastAsia="宋体"/>
                <w:color w:val="000000" w:themeColor="text1"/>
                <w:highlight w:val="none"/>
                <w:u w:val="none"/>
                <w14:textFill>
                  <w14:solidFill>
                    <w14:schemeClr w14:val="tx1"/>
                  </w14:solidFill>
                </w14:textFill>
              </w:rPr>
              <w:t>1</w:t>
            </w:r>
            <w:r>
              <w:rPr>
                <w:rFonts w:hAnsi="宋体" w:eastAsia="宋体"/>
                <w:color w:val="000000" w:themeColor="text1"/>
                <w:kern w:val="0"/>
                <w:highlight w:val="none"/>
                <w:u w:val="none"/>
                <w14:textFill>
                  <w14:solidFill>
                    <w14:schemeClr w14:val="tx1"/>
                  </w14:solidFill>
                </w14:textFill>
              </w:rPr>
              <w:t>．</w:t>
            </w:r>
            <w:r>
              <w:rPr>
                <w:rFonts w:hAnsi="宋体" w:eastAsia="宋体"/>
                <w:color w:val="000000" w:themeColor="text1"/>
                <w:highlight w:val="none"/>
                <w:u w:val="none"/>
                <w14:textFill>
                  <w14:solidFill>
                    <w14:schemeClr w14:val="tx1"/>
                  </w14:solidFill>
                </w14:textFill>
              </w:rPr>
              <w:t>依据《广西壮族自治区人民政府关于印发广西壮族自治区国民经济和社会发展第十四个五年规划和</w:t>
            </w:r>
            <w:r>
              <w:rPr>
                <w:rFonts w:eastAsia="宋体"/>
                <w:color w:val="000000" w:themeColor="text1"/>
                <w:highlight w:val="none"/>
                <w:u w:val="none"/>
                <w14:textFill>
                  <w14:solidFill>
                    <w14:schemeClr w14:val="tx1"/>
                  </w14:solidFill>
                </w14:textFill>
              </w:rPr>
              <w:t>2035</w:t>
            </w:r>
            <w:r>
              <w:rPr>
                <w:rFonts w:hAnsi="宋体" w:eastAsia="宋体"/>
                <w:color w:val="000000" w:themeColor="text1"/>
                <w:highlight w:val="none"/>
                <w:u w:val="none"/>
                <w14:textFill>
                  <w14:solidFill>
                    <w14:schemeClr w14:val="tx1"/>
                  </w14:solidFill>
                </w14:textFill>
              </w:rPr>
              <w:t>年远景目标纲要的通知》（桂政发〔</w:t>
            </w:r>
            <w:r>
              <w:rPr>
                <w:rFonts w:eastAsia="宋体"/>
                <w:color w:val="000000" w:themeColor="text1"/>
                <w:highlight w:val="none"/>
                <w:u w:val="none"/>
                <w14:textFill>
                  <w14:solidFill>
                    <w14:schemeClr w14:val="tx1"/>
                  </w14:solidFill>
                </w14:textFill>
              </w:rPr>
              <w:t>2021</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11</w:t>
            </w:r>
            <w:r>
              <w:rPr>
                <w:rFonts w:hAnsi="宋体" w:eastAsia="宋体"/>
                <w:color w:val="000000" w:themeColor="text1"/>
                <w:highlight w:val="none"/>
                <w:u w:val="none"/>
                <w14:textFill>
                  <w14:solidFill>
                    <w14:schemeClr w14:val="tx1"/>
                  </w14:solidFill>
                </w14:textFill>
              </w:rPr>
              <w:t>号）《广西北部湾经济区北钦防一体化发展规划（</w:t>
            </w:r>
            <w:r>
              <w:rPr>
                <w:rFonts w:eastAsia="宋体"/>
                <w:color w:val="000000" w:themeColor="text1"/>
                <w:highlight w:val="none"/>
                <w:u w:val="none"/>
                <w14:textFill>
                  <w14:solidFill>
                    <w14:schemeClr w14:val="tx1"/>
                  </w14:solidFill>
                </w14:textFill>
              </w:rPr>
              <w:t>2019-2025</w:t>
            </w:r>
            <w:r>
              <w:rPr>
                <w:rFonts w:hAnsi="宋体" w:eastAsia="宋体"/>
                <w:color w:val="000000" w:themeColor="text1"/>
                <w:highlight w:val="none"/>
                <w:u w:val="none"/>
                <w14:textFill>
                  <w14:solidFill>
                    <w14:schemeClr w14:val="tx1"/>
                  </w14:solidFill>
                </w14:textFill>
              </w:rPr>
              <w:t>年）》《广西北部湾经济区条例（</w:t>
            </w:r>
            <w:r>
              <w:rPr>
                <w:rFonts w:eastAsia="宋体"/>
                <w:color w:val="000000" w:themeColor="text1"/>
                <w:highlight w:val="none"/>
                <w:u w:val="none"/>
                <w14:textFill>
                  <w14:solidFill>
                    <w14:schemeClr w14:val="tx1"/>
                  </w14:solidFill>
                </w14:textFill>
              </w:rPr>
              <w:t>2020</w:t>
            </w:r>
            <w:r>
              <w:rPr>
                <w:rFonts w:hAnsi="宋体" w:eastAsia="宋体"/>
                <w:color w:val="000000" w:themeColor="text1"/>
                <w:highlight w:val="none"/>
                <w:u w:val="none"/>
                <w14:textFill>
                  <w14:solidFill>
                    <w14:schemeClr w14:val="tx1"/>
                  </w14:solidFill>
                </w14:textFill>
              </w:rPr>
              <w:t>年修订版）》提出第</w:t>
            </w: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条管控要求。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2</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依据《广西壮族自治区人民政府关于印发广西壮族自治区国民经济和社会发展第十四个五年规划和</w:t>
            </w:r>
            <w:r>
              <w:rPr>
                <w:rFonts w:ascii="Times New Roman" w:hAnsi="Times New Roman" w:eastAsia="宋体" w:cs="Times New Roman"/>
                <w:color w:val="000000" w:themeColor="text1"/>
                <w:szCs w:val="21"/>
                <w:highlight w:val="none"/>
                <w:u w:val="none"/>
                <w14:textFill>
                  <w14:solidFill>
                    <w14:schemeClr w14:val="tx1"/>
                  </w14:solidFill>
                </w14:textFill>
              </w:rPr>
              <w:t>2035</w:t>
            </w:r>
            <w:r>
              <w:rPr>
                <w:rFonts w:ascii="Times New Roman" w:hAnsi="宋体" w:eastAsia="宋体" w:cs="Times New Roman"/>
                <w:color w:val="000000" w:themeColor="text1"/>
                <w:szCs w:val="21"/>
                <w:highlight w:val="none"/>
                <w:u w:val="none"/>
                <w14:textFill>
                  <w14:solidFill>
                    <w14:schemeClr w14:val="tx1"/>
                  </w14:solidFill>
                </w14:textFill>
              </w:rPr>
              <w:t>年远景目标纲要的通知》（桂政发〔</w:t>
            </w:r>
            <w:r>
              <w:rPr>
                <w:rFonts w:ascii="Times New Roman" w:hAnsi="Times New Roman" w:eastAsia="宋体" w:cs="Times New Roman"/>
                <w:color w:val="000000" w:themeColor="text1"/>
                <w:szCs w:val="21"/>
                <w:highlight w:val="none"/>
                <w:u w:val="none"/>
                <w14:textFill>
                  <w14:solidFill>
                    <w14:schemeClr w14:val="tx1"/>
                  </w14:solidFill>
                </w14:textFill>
              </w:rPr>
              <w:t>2021</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11</w:t>
            </w:r>
            <w:r>
              <w:rPr>
                <w:rFonts w:ascii="Times New Roman" w:hAnsi="宋体" w:eastAsia="宋体" w:cs="Times New Roman"/>
                <w:color w:val="000000" w:themeColor="text1"/>
                <w:szCs w:val="21"/>
                <w:highlight w:val="none"/>
                <w:u w:val="none"/>
                <w14:textFill>
                  <w14:solidFill>
                    <w14:schemeClr w14:val="tx1"/>
                  </w14:solidFill>
                </w14:textFill>
              </w:rPr>
              <w:t>号）</w:t>
            </w:r>
            <w:r>
              <w:rPr>
                <w:rFonts w:ascii="Times New Roman" w:hAnsi="宋体" w:eastAsia="宋体" w:cs="Times New Roman"/>
                <w:color w:val="000000" w:themeColor="text1"/>
                <w:kern w:val="0"/>
                <w:szCs w:val="21"/>
                <w:highlight w:val="none"/>
                <w:u w:val="none"/>
                <w14:textFill>
                  <w14:solidFill>
                    <w14:schemeClr w14:val="tx1"/>
                  </w14:solidFill>
                </w14:textFill>
              </w:rPr>
              <w:t>《关于加强重点行业建设项目区域削减措施监督管理的通知》（环办环评〔</w:t>
            </w:r>
            <w:r>
              <w:rPr>
                <w:rFonts w:ascii="Times New Roman" w:hAnsi="Times New Roman" w:eastAsia="宋体" w:cs="Times New Roman"/>
                <w:color w:val="000000" w:themeColor="text1"/>
                <w:kern w:val="0"/>
                <w:szCs w:val="21"/>
                <w:highlight w:val="none"/>
                <w:u w:val="none"/>
                <w14:textFill>
                  <w14:solidFill>
                    <w14:schemeClr w14:val="tx1"/>
                  </w14:solidFill>
                </w14:textFill>
              </w:rPr>
              <w:t>2020</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36</w:t>
            </w:r>
            <w:r>
              <w:rPr>
                <w:rFonts w:ascii="Times New Roman" w:hAnsi="宋体" w:eastAsia="宋体" w:cs="Times New Roman"/>
                <w:color w:val="000000" w:themeColor="text1"/>
                <w:kern w:val="0"/>
                <w:szCs w:val="21"/>
                <w:highlight w:val="none"/>
                <w:u w:val="none"/>
                <w14:textFill>
                  <w14:solidFill>
                    <w14:schemeClr w14:val="tx1"/>
                  </w14:solidFill>
                </w14:textFill>
              </w:rPr>
              <w:t>号）《广西壮族自治区高耗能、高排放建设项目主要污染物排放管理办法》（桂环规范〔</w:t>
            </w:r>
            <w:r>
              <w:rPr>
                <w:rFonts w:ascii="Times New Roman" w:hAnsi="Times New Roman" w:eastAsia="宋体" w:cs="Times New Roman"/>
                <w:color w:val="000000" w:themeColor="text1"/>
                <w:kern w:val="0"/>
                <w:szCs w:val="21"/>
                <w:highlight w:val="none"/>
                <w:u w:val="none"/>
                <w14:textFill>
                  <w14:solidFill>
                    <w14:schemeClr w14:val="tx1"/>
                  </w14:solidFill>
                </w14:textFill>
              </w:rPr>
              <w:t>2023</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Times New Roman" w:eastAsia="宋体" w:cs="Times New Roman"/>
                <w:color w:val="000000" w:themeColor="text1"/>
                <w:kern w:val="0"/>
                <w:szCs w:val="21"/>
                <w:highlight w:val="none"/>
                <w:u w:val="none"/>
                <w14:textFill>
                  <w14:solidFill>
                    <w14:schemeClr w14:val="tx1"/>
                  </w14:solidFill>
                </w14:textFill>
              </w:rPr>
              <w:t>6</w:t>
            </w:r>
            <w:r>
              <w:rPr>
                <w:rFonts w:ascii="Times New Roman" w:hAnsi="宋体" w:eastAsia="宋体" w:cs="Times New Roman"/>
                <w:color w:val="000000" w:themeColor="text1"/>
                <w:kern w:val="0"/>
                <w:szCs w:val="21"/>
                <w:highlight w:val="none"/>
                <w:u w:val="none"/>
                <w14:textFill>
                  <w14:solidFill>
                    <w14:schemeClr w14:val="tx1"/>
                  </w14:solidFill>
                </w14:textFill>
              </w:rPr>
              <w:t>号）</w:t>
            </w:r>
            <w:r>
              <w:rPr>
                <w:rFonts w:ascii="Times New Roman" w:hAnsi="宋体" w:eastAsia="宋体" w:cs="Times New Roman"/>
                <w:color w:val="000000" w:themeColor="text1"/>
                <w:szCs w:val="21"/>
                <w:highlight w:val="none"/>
                <w:u w:val="none"/>
                <w14:textFill>
                  <w14:solidFill>
                    <w14:schemeClr w14:val="tx1"/>
                  </w14:solidFill>
                </w14:textFill>
              </w:rPr>
              <w:t>《北海市养殖水域滩涂规划（</w:t>
            </w:r>
            <w:r>
              <w:rPr>
                <w:rFonts w:ascii="Times New Roman" w:hAnsi="Times New Roman" w:eastAsia="宋体" w:cs="Times New Roman"/>
                <w:color w:val="000000" w:themeColor="text1"/>
                <w:szCs w:val="21"/>
                <w:highlight w:val="none"/>
                <w:u w:val="none"/>
                <w14:textFill>
                  <w14:solidFill>
                    <w14:schemeClr w14:val="tx1"/>
                  </w14:solidFill>
                </w14:textFill>
              </w:rPr>
              <w:t>2018-2030</w:t>
            </w:r>
            <w:r>
              <w:rPr>
                <w:rFonts w:ascii="Times New Roman" w:hAnsi="宋体" w:eastAsia="宋体" w:cs="Times New Roman"/>
                <w:color w:val="000000" w:themeColor="text1"/>
                <w:szCs w:val="21"/>
                <w:highlight w:val="none"/>
                <w:u w:val="none"/>
                <w14:textFill>
                  <w14:solidFill>
                    <w14:schemeClr w14:val="tx1"/>
                  </w14:solidFill>
                </w14:textFill>
              </w:rPr>
              <w:t>）》，参照《广西壮族自治区</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三线一单</w:t>
            </w:r>
            <w:r>
              <w:rPr>
                <w:rFonts w:hint="eastAsia" w:ascii="Times New Roman" w:hAnsi="Times New Roman" w:eastAsia="宋体" w:cs="Times New Roman"/>
                <w:color w:val="000000" w:themeColor="text1"/>
                <w:szCs w:val="21"/>
                <w:highlight w:val="none"/>
                <w:u w:val="none"/>
                <w:lang w:eastAsia="zh-CN"/>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研究报告》提出第</w:t>
            </w: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5</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6</w:t>
            </w:r>
            <w:r>
              <w:rPr>
                <w:rFonts w:ascii="Times New Roman" w:hAnsi="宋体" w:eastAsia="宋体" w:cs="Times New Roman"/>
                <w:color w:val="000000" w:themeColor="text1"/>
                <w:szCs w:val="21"/>
                <w:highlight w:val="none"/>
                <w:u w:val="none"/>
                <w14:textFill>
                  <w14:solidFill>
                    <w14:schemeClr w14:val="tx1"/>
                  </w14:solidFill>
                </w14:textFill>
              </w:rPr>
              <w:t>条要求。</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kern w:val="0"/>
                <w:szCs w:val="21"/>
                <w:highlight w:val="none"/>
                <w:u w:val="none"/>
                <w14:textFill>
                  <w14:solidFill>
                    <w14:schemeClr w14:val="tx1"/>
                  </w14:solidFill>
                </w14:textFill>
              </w:rPr>
              <w:t>．</w:t>
            </w:r>
            <w:r>
              <w:rPr>
                <w:rFonts w:ascii="Times New Roman" w:hAnsi="宋体" w:eastAsia="宋体" w:cs="Times New Roman"/>
                <w:color w:val="000000" w:themeColor="text1"/>
                <w:szCs w:val="21"/>
                <w:highlight w:val="none"/>
                <w:u w:val="none"/>
                <w14:textFill>
                  <w14:solidFill>
                    <w14:schemeClr w14:val="tx1"/>
                  </w14:solidFill>
                </w14:textFill>
              </w:rPr>
              <w:t>依据《平陆运河经济带总体规划》《西部陆海新通道（平陆）运河打造绿色工程专项行动方案》《广西壮族自治区生态环境厅关于平陆运河环境影响报告书的批复》提出第</w:t>
            </w:r>
            <w:r>
              <w:rPr>
                <w:rFonts w:ascii="Times New Roman" w:hAnsi="Times New Roman" w:eastAsia="宋体" w:cs="Times New Roman"/>
                <w:color w:val="000000" w:themeColor="text1"/>
                <w:szCs w:val="21"/>
                <w:highlight w:val="none"/>
                <w:u w:val="none"/>
                <w14:textFill>
                  <w14:solidFill>
                    <w14:schemeClr w14:val="tx1"/>
                  </w14:solidFill>
                </w14:textFill>
              </w:rPr>
              <w:t>7</w:t>
            </w:r>
            <w:r>
              <w:rPr>
                <w:rFonts w:ascii="Times New Roman" w:hAnsi="宋体" w:eastAsia="宋体" w:cs="Times New Roman"/>
                <w:color w:val="000000" w:themeColor="text1"/>
                <w:szCs w:val="21"/>
                <w:highlight w:val="none"/>
                <w:u w:val="none"/>
                <w14:textFill>
                  <w14:solidFill>
                    <w14:schemeClr w14:val="tx1"/>
                  </w14:solidFill>
                </w14:textFill>
              </w:rPr>
              <w:t>、</w:t>
            </w:r>
            <w:r>
              <w:rPr>
                <w:rFonts w:ascii="Times New Roman" w:hAnsi="Times New Roman" w:eastAsia="宋体" w:cs="Times New Roman"/>
                <w:color w:val="000000" w:themeColor="text1"/>
                <w:szCs w:val="21"/>
                <w:highlight w:val="none"/>
                <w:u w:val="none"/>
                <w14:textFill>
                  <w14:solidFill>
                    <w14:schemeClr w14:val="tx1"/>
                  </w14:solidFill>
                </w14:textFill>
              </w:rPr>
              <w:t>8</w:t>
            </w:r>
            <w:r>
              <w:rPr>
                <w:rFonts w:ascii="Times New Roman" w:hAnsi="宋体" w:eastAsia="宋体" w:cs="Times New Roman"/>
                <w:color w:val="000000" w:themeColor="text1"/>
                <w:szCs w:val="21"/>
                <w:highlight w:val="none"/>
                <w:u w:val="none"/>
                <w14:textFill>
                  <w14:solidFill>
                    <w14:schemeClr w14:val="tx1"/>
                  </w14:solidFill>
                </w14:textFill>
              </w:rPr>
              <w:t>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0" w:hRule="atLeast"/>
          <w:jc w:val="center"/>
        </w:trPr>
        <w:tc>
          <w:tcPr>
            <w:tcW w:w="1928" w:type="dxa"/>
            <w:vMerge w:val="continue"/>
            <w:vAlign w:val="center"/>
          </w:tcPr>
          <w:p>
            <w:pPr>
              <w:pStyle w:val="21"/>
              <w:rPr>
                <w:rFonts w:eastAsia="宋体"/>
                <w:color w:val="000000" w:themeColor="text1"/>
                <w:highlight w:val="none"/>
                <w:u w:val="none"/>
                <w14:textFill>
                  <w14:solidFill>
                    <w14:schemeClr w14:val="tx1"/>
                  </w14:solidFill>
                </w14:textFill>
              </w:rPr>
            </w:pPr>
          </w:p>
        </w:tc>
        <w:tc>
          <w:tcPr>
            <w:tcW w:w="1589"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2389"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污染物排放管控</w:t>
            </w:r>
          </w:p>
        </w:tc>
        <w:tc>
          <w:tcPr>
            <w:tcW w:w="8961"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坚持陆海统筹，强化重大海域、入海河流、海岸带的生态环境统筹协同管控，开展北部湾沿海城市生态环境综合治理。推行河长制、湖长制，持续推进钦江、南流江、九洲江等流域综合治理，鼓励施行生态养殖和清洁生产，从源头控制生产、生活污水排放。推行湾长制，协同推进近岸海域污染治理，实施蓝色海湾整治行动和北部湾入海河流综合治理工程，严格控制水产养殖污染、港口码头船舶污染、采沙污染。</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围绕建设蓝色海湾城市群，深入推进北钦防生态环境基础设施一体化，统筹推进北钦防三市生态环境齐保共治。加强港口码头环境保护基础设施建设，重点加强有色矿产、硫磺、煤等堆场配套环保设施建设。建立生态环境联防联治平台和机制，推动建立北部湾城市群跨行政区生态环境保护和生态补偿机制。</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．推进区域大气污染联防联控。共同开展重点行业污染整治和重污染天气联合应对，加强挥发性有机化合物（</w:t>
            </w:r>
            <w:r>
              <w:rPr>
                <w:rFonts w:eastAsia="宋体"/>
                <w:color w:val="000000" w:themeColor="text1"/>
                <w:highlight w:val="none"/>
                <w:u w:val="none"/>
                <w14:textFill>
                  <w14:solidFill>
                    <w14:schemeClr w14:val="tx1"/>
                  </w14:solidFill>
                </w14:textFill>
              </w:rPr>
              <w:t>VOCs</w:t>
            </w:r>
            <w:r>
              <w:rPr>
                <w:rFonts w:hAnsi="宋体" w:eastAsia="宋体"/>
                <w:color w:val="000000" w:themeColor="text1"/>
                <w:highlight w:val="none"/>
                <w:u w:val="none"/>
                <w14:textFill>
                  <w14:solidFill>
                    <w14:schemeClr w14:val="tx1"/>
                  </w14:solidFill>
                </w14:textFill>
              </w:rPr>
              <w:t>）和氮氧化物（</w:t>
            </w:r>
            <w:r>
              <w:rPr>
                <w:rFonts w:eastAsia="宋体"/>
                <w:color w:val="000000" w:themeColor="text1"/>
                <w:highlight w:val="none"/>
                <w:u w:val="none"/>
                <w14:textFill>
                  <w14:solidFill>
                    <w14:schemeClr w14:val="tx1"/>
                  </w14:solidFill>
                </w14:textFill>
              </w:rPr>
              <w:t>NOx</w:t>
            </w:r>
            <w:r>
              <w:rPr>
                <w:rFonts w:hAnsi="宋体" w:eastAsia="宋体"/>
                <w:color w:val="000000" w:themeColor="text1"/>
                <w:highlight w:val="none"/>
                <w:u w:val="none"/>
                <w14:textFill>
                  <w14:solidFill>
                    <w14:schemeClr w14:val="tx1"/>
                  </w14:solidFill>
                </w14:textFill>
              </w:rPr>
              <w:t>）协同控制，协同应对区域多污染物，联合开展空气污染综合治理，改善空气质量。严格城市空气质量达标管理，改善城市环境空气质量，对大气质量改善进度进行监督和考核。</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．严格控制高污染、高排放</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两高</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行业项目布局和建设。提升</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两高</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行业清洁生产和减污降碳水平。以碳达峰、碳中和愿景为导向，推动产业转型升级、能源结构优化。开展碳排放权、排污权交易试点。重点管控行业建设项目无主要污染物排放指标来源的，应提出有效的区域削减方案，确保项目投产后区域环境质量不恶化。</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5</w:t>
            </w:r>
            <w:r>
              <w:rPr>
                <w:rFonts w:hAnsi="宋体" w:eastAsia="宋体"/>
                <w:color w:val="000000" w:themeColor="text1"/>
                <w:highlight w:val="none"/>
                <w:u w:val="none"/>
                <w14:textFill>
                  <w14:solidFill>
                    <w14:schemeClr w14:val="tx1"/>
                  </w14:solidFill>
                </w14:textFill>
              </w:rPr>
              <w:t>．平陆运河、北部湾港加强船舶和港口污染防治，加快淘汰老旧船舶，鼓励引导高能耗船舶技术改造升级和提前退出。推动新能源、清洁能源动力船舶应用，加快港口供电设施建设，提高船舶岸电设施使用率。</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6</w:t>
            </w:r>
            <w:r>
              <w:rPr>
                <w:rFonts w:hAnsi="宋体" w:eastAsia="宋体"/>
                <w:color w:val="000000" w:themeColor="text1"/>
                <w:highlight w:val="none"/>
                <w:u w:val="none"/>
                <w14:textFill>
                  <w14:solidFill>
                    <w14:schemeClr w14:val="tx1"/>
                  </w14:solidFill>
                </w14:textFill>
              </w:rPr>
              <w:t>．平陆运河沿线城市实施生活污水集中处理设施能力提升全覆盖工程，开展城市污水处理设施差别化精准提标改造。</w:t>
            </w:r>
          </w:p>
        </w:tc>
        <w:tc>
          <w:tcPr>
            <w:tcW w:w="6946"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相关文件：</w:t>
            </w: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．依据《广西北部湾经济区条例（</w:t>
            </w:r>
            <w:r>
              <w:rPr>
                <w:rFonts w:eastAsia="宋体"/>
                <w:color w:val="000000" w:themeColor="text1"/>
                <w:highlight w:val="none"/>
                <w:u w:val="none"/>
                <w14:textFill>
                  <w14:solidFill>
                    <w14:schemeClr w14:val="tx1"/>
                  </w14:solidFill>
                </w14:textFill>
              </w:rPr>
              <w:t>2020</w:t>
            </w:r>
            <w:r>
              <w:rPr>
                <w:rFonts w:hAnsi="宋体" w:eastAsia="宋体"/>
                <w:color w:val="000000" w:themeColor="text1"/>
                <w:highlight w:val="none"/>
                <w:u w:val="none"/>
                <w14:textFill>
                  <w14:solidFill>
                    <w14:schemeClr w14:val="tx1"/>
                  </w14:solidFill>
                </w14:textFill>
              </w:rPr>
              <w:t>年修订版）》《广西北部湾经济区北钦防一体化发展规划（</w:t>
            </w:r>
            <w:r>
              <w:rPr>
                <w:rFonts w:eastAsia="宋体"/>
                <w:color w:val="000000" w:themeColor="text1"/>
                <w:highlight w:val="none"/>
                <w:u w:val="none"/>
                <w14:textFill>
                  <w14:solidFill>
                    <w14:schemeClr w14:val="tx1"/>
                  </w14:solidFill>
                </w14:textFill>
              </w:rPr>
              <w:t>2019-2025</w:t>
            </w:r>
            <w:r>
              <w:rPr>
                <w:rFonts w:hAnsi="宋体" w:eastAsia="宋体"/>
                <w:color w:val="000000" w:themeColor="text1"/>
                <w:highlight w:val="none"/>
                <w:u w:val="none"/>
                <w14:textFill>
                  <w14:solidFill>
                    <w14:schemeClr w14:val="tx1"/>
                  </w14:solidFill>
                </w14:textFill>
              </w:rPr>
              <w:t>年）》《广西壮族自治区人民政府办公厅关于印发＜广西北部湾经济区升级发展行动计划＞的通知》（桂政办发〔</w:t>
            </w:r>
            <w:r>
              <w:rPr>
                <w:rFonts w:eastAsia="宋体"/>
                <w:color w:val="000000" w:themeColor="text1"/>
                <w:highlight w:val="none"/>
                <w:u w:val="none"/>
                <w14:textFill>
                  <w14:solidFill>
                    <w14:schemeClr w14:val="tx1"/>
                  </w14:solidFill>
                </w14:textFill>
              </w:rPr>
              <w:t>2018</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8</w:t>
            </w:r>
            <w:r>
              <w:rPr>
                <w:rFonts w:hAnsi="宋体" w:eastAsia="宋体"/>
                <w:color w:val="000000" w:themeColor="text1"/>
                <w:highlight w:val="none"/>
                <w:u w:val="none"/>
                <w14:textFill>
                  <w14:solidFill>
                    <w14:schemeClr w14:val="tx1"/>
                  </w14:solidFill>
                </w14:textFill>
              </w:rPr>
              <w:t>号）、《广西壮族自治区人民政府关于印发广西壮族自治区国民经济和社会发展第十四个五年规划和</w:t>
            </w:r>
            <w:r>
              <w:rPr>
                <w:rFonts w:eastAsia="宋体"/>
                <w:color w:val="000000" w:themeColor="text1"/>
                <w:highlight w:val="none"/>
                <w:u w:val="none"/>
                <w14:textFill>
                  <w14:solidFill>
                    <w14:schemeClr w14:val="tx1"/>
                  </w14:solidFill>
                </w14:textFill>
              </w:rPr>
              <w:t>2035</w:t>
            </w:r>
            <w:r>
              <w:rPr>
                <w:rFonts w:hAnsi="宋体" w:eastAsia="宋体"/>
                <w:color w:val="000000" w:themeColor="text1"/>
                <w:highlight w:val="none"/>
                <w:u w:val="none"/>
                <w14:textFill>
                  <w14:solidFill>
                    <w14:schemeClr w14:val="tx1"/>
                  </w14:solidFill>
                </w14:textFill>
              </w:rPr>
              <w:t>年远景目标纲要的通知》（桂政发〔</w:t>
            </w:r>
            <w:r>
              <w:rPr>
                <w:rFonts w:eastAsia="宋体"/>
                <w:color w:val="000000" w:themeColor="text1"/>
                <w:highlight w:val="none"/>
                <w:u w:val="none"/>
                <w14:textFill>
                  <w14:solidFill>
                    <w14:schemeClr w14:val="tx1"/>
                  </w14:solidFill>
                </w14:textFill>
              </w:rPr>
              <w:t>2021</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11</w:t>
            </w:r>
            <w:r>
              <w:rPr>
                <w:rFonts w:hAnsi="宋体" w:eastAsia="宋体"/>
                <w:color w:val="000000" w:themeColor="text1"/>
                <w:highlight w:val="none"/>
                <w:u w:val="none"/>
                <w14:textFill>
                  <w14:solidFill>
                    <w14:schemeClr w14:val="tx1"/>
                  </w14:solidFill>
                </w14:textFill>
              </w:rPr>
              <w:t>号）、《广西壮族自治区人民政府办公厅关于加强广西北部湾沿海城市生态环境综合治理工作的实施意见》（桂政办发〔</w:t>
            </w:r>
            <w:r>
              <w:rPr>
                <w:rFonts w:eastAsia="宋体"/>
                <w:color w:val="000000" w:themeColor="text1"/>
                <w:highlight w:val="none"/>
                <w:u w:val="none"/>
                <w14:textFill>
                  <w14:solidFill>
                    <w14:schemeClr w14:val="tx1"/>
                  </w14:solidFill>
                </w14:textFill>
              </w:rPr>
              <w:t>2018</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71</w:t>
            </w:r>
            <w:r>
              <w:rPr>
                <w:rFonts w:hAnsi="宋体" w:eastAsia="宋体"/>
                <w:color w:val="000000" w:themeColor="text1"/>
                <w:highlight w:val="none"/>
                <w:u w:val="none"/>
                <w14:textFill>
                  <w14:solidFill>
                    <w14:schemeClr w14:val="tx1"/>
                  </w14:solidFill>
                </w14:textFill>
              </w:rPr>
              <w:t>号），参照《广西北部湾经济区高质量发展</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规划》《北部湾经济区沿海重点产业发展战略环境评价》提出第</w:t>
            </w: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条管控要求。</w:t>
            </w:r>
          </w:p>
          <w:p>
            <w:pPr>
              <w:pStyle w:val="21"/>
              <w:numPr>
                <w:ilvl w:val="0"/>
                <w:numId w:val="3"/>
              </w:numP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依据《广西壮族自治区人民政府关于印发广西壮族自治区国民经济和社会发展第十四个五年规划和</w:t>
            </w:r>
            <w:r>
              <w:rPr>
                <w:rFonts w:eastAsia="宋体"/>
                <w:color w:val="000000" w:themeColor="text1"/>
                <w:highlight w:val="none"/>
                <w:u w:val="none"/>
                <w14:textFill>
                  <w14:solidFill>
                    <w14:schemeClr w14:val="tx1"/>
                  </w14:solidFill>
                </w14:textFill>
              </w:rPr>
              <w:t>2035</w:t>
            </w:r>
            <w:r>
              <w:rPr>
                <w:rFonts w:hAnsi="宋体" w:eastAsia="宋体"/>
                <w:color w:val="000000" w:themeColor="text1"/>
                <w:highlight w:val="none"/>
                <w:u w:val="none"/>
                <w14:textFill>
                  <w14:solidFill>
                    <w14:schemeClr w14:val="tx1"/>
                  </w14:solidFill>
                </w14:textFill>
              </w:rPr>
              <w:t>年远景目标纲要的通知》（桂政发〔</w:t>
            </w:r>
            <w:r>
              <w:rPr>
                <w:rFonts w:eastAsia="宋体"/>
                <w:color w:val="000000" w:themeColor="text1"/>
                <w:highlight w:val="none"/>
                <w:u w:val="none"/>
                <w14:textFill>
                  <w14:solidFill>
                    <w14:schemeClr w14:val="tx1"/>
                  </w14:solidFill>
                </w14:textFill>
              </w:rPr>
              <w:t>2021</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11</w:t>
            </w:r>
            <w:r>
              <w:rPr>
                <w:rFonts w:hAnsi="宋体" w:eastAsia="宋体"/>
                <w:color w:val="000000" w:themeColor="text1"/>
                <w:highlight w:val="none"/>
                <w:u w:val="none"/>
                <w14:textFill>
                  <w14:solidFill>
                    <w14:schemeClr w14:val="tx1"/>
                  </w14:solidFill>
                </w14:textFill>
              </w:rPr>
              <w:t>号）提出第</w:t>
            </w: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条管控要求。</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．依据《北海市养殖水域滩涂规划（</w:t>
            </w:r>
            <w:r>
              <w:rPr>
                <w:rFonts w:eastAsia="宋体"/>
                <w:color w:val="000000" w:themeColor="text1"/>
                <w:highlight w:val="none"/>
                <w:u w:val="none"/>
                <w14:textFill>
                  <w14:solidFill>
                    <w14:schemeClr w14:val="tx1"/>
                  </w14:solidFill>
                </w14:textFill>
              </w:rPr>
              <w:t>2018-2030</w:t>
            </w:r>
            <w:r>
              <w:rPr>
                <w:rFonts w:hAnsi="宋体" w:eastAsia="宋体"/>
                <w:color w:val="000000" w:themeColor="text1"/>
                <w:highlight w:val="none"/>
                <w:u w:val="none"/>
                <w14:textFill>
                  <w14:solidFill>
                    <w14:schemeClr w14:val="tx1"/>
                  </w14:solidFill>
                </w14:textFill>
              </w:rPr>
              <w:t>）》以及参照《广西壮族自治区</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三线一单</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研究报告》成果提出第</w:t>
            </w: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条要求。</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．依据《广西北部湾经济区北钦防一体化发展规划（</w:t>
            </w:r>
            <w:r>
              <w:rPr>
                <w:rFonts w:eastAsia="宋体"/>
                <w:color w:val="000000" w:themeColor="text1"/>
                <w:highlight w:val="none"/>
                <w:u w:val="none"/>
                <w14:textFill>
                  <w14:solidFill>
                    <w14:schemeClr w14:val="tx1"/>
                  </w14:solidFill>
                </w14:textFill>
              </w:rPr>
              <w:t>2019-2025</w:t>
            </w:r>
            <w:r>
              <w:rPr>
                <w:rFonts w:hAnsi="宋体" w:eastAsia="宋体"/>
                <w:color w:val="000000" w:themeColor="text1"/>
                <w:highlight w:val="none"/>
                <w:u w:val="none"/>
                <w14:textFill>
                  <w14:solidFill>
                    <w14:schemeClr w14:val="tx1"/>
                  </w14:solidFill>
                </w14:textFill>
              </w:rPr>
              <w:t>年）》提出第</w:t>
            </w: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条管控要求。</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5</w:t>
            </w:r>
            <w:r>
              <w:rPr>
                <w:rFonts w:hAnsi="宋体" w:eastAsia="宋体"/>
                <w:color w:val="000000" w:themeColor="text1"/>
                <w:highlight w:val="none"/>
                <w:u w:val="none"/>
                <w14:textFill>
                  <w14:solidFill>
                    <w14:schemeClr w14:val="tx1"/>
                  </w14:solidFill>
                </w14:textFill>
              </w:rPr>
              <w:t>．依据《广西壮族自治区减污降碳协同增效实施方案》（桂环发〔</w:t>
            </w:r>
            <w:r>
              <w:rPr>
                <w:rFonts w:eastAsia="宋体"/>
                <w:color w:val="000000" w:themeColor="text1"/>
                <w:highlight w:val="none"/>
                <w:u w:val="none"/>
                <w14:textFill>
                  <w14:solidFill>
                    <w14:schemeClr w14:val="tx1"/>
                  </w14:solidFill>
                </w14:textFill>
              </w:rPr>
              <w:t>2023</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21</w:t>
            </w:r>
            <w:r>
              <w:rPr>
                <w:rFonts w:hAnsi="宋体" w:eastAsia="宋体"/>
                <w:color w:val="000000" w:themeColor="text1"/>
                <w:highlight w:val="none"/>
                <w:u w:val="none"/>
                <w14:textFill>
                  <w14:solidFill>
                    <w14:schemeClr w14:val="tx1"/>
                  </w14:solidFill>
                </w14:textFill>
              </w:rPr>
              <w:t>号）提出第</w:t>
            </w:r>
            <w:r>
              <w:rPr>
                <w:rFonts w:eastAsia="宋体"/>
                <w:color w:val="000000" w:themeColor="text1"/>
                <w:highlight w:val="none"/>
                <w:u w:val="none"/>
                <w14:textFill>
                  <w14:solidFill>
                    <w14:schemeClr w14:val="tx1"/>
                  </w14:solidFill>
                </w14:textFill>
              </w:rPr>
              <w:t>5</w:t>
            </w:r>
            <w:r>
              <w:rPr>
                <w:rFonts w:hAnsi="宋体" w:eastAsia="宋体"/>
                <w:color w:val="000000" w:themeColor="text1"/>
                <w:highlight w:val="none"/>
                <w:u w:val="none"/>
                <w14:textFill>
                  <w14:solidFill>
                    <w14:schemeClr w14:val="tx1"/>
                  </w14:solidFill>
                </w14:textFill>
              </w:rPr>
              <w:t>条管控要求。</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6</w:t>
            </w:r>
            <w:r>
              <w:rPr>
                <w:rFonts w:hAnsi="宋体" w:eastAsia="宋体"/>
                <w:color w:val="000000" w:themeColor="text1"/>
                <w:highlight w:val="none"/>
                <w:u w:val="none"/>
                <w14:textFill>
                  <w14:solidFill>
                    <w14:schemeClr w14:val="tx1"/>
                  </w14:solidFill>
                </w14:textFill>
              </w:rPr>
              <w:t>．依据《广西壮族自治区</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城市基础设施建设规划》（桂建城〔</w:t>
            </w:r>
            <w:r>
              <w:rPr>
                <w:rFonts w:eastAsia="宋体"/>
                <w:color w:val="000000" w:themeColor="text1"/>
                <w:highlight w:val="none"/>
                <w:u w:val="none"/>
                <w14:textFill>
                  <w14:solidFill>
                    <w14:schemeClr w14:val="tx1"/>
                  </w14:solidFill>
                </w14:textFill>
              </w:rPr>
              <w:t>2023</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20</w:t>
            </w:r>
            <w:r>
              <w:rPr>
                <w:rFonts w:hAnsi="宋体" w:eastAsia="宋体"/>
                <w:color w:val="000000" w:themeColor="text1"/>
                <w:highlight w:val="none"/>
                <w:u w:val="none"/>
                <w14:textFill>
                  <w14:solidFill>
                    <w14:schemeClr w14:val="tx1"/>
                  </w14:solidFill>
                </w14:textFill>
              </w:rPr>
              <w:t>号）提出第</w:t>
            </w:r>
            <w:r>
              <w:rPr>
                <w:rFonts w:eastAsia="宋体"/>
                <w:color w:val="000000" w:themeColor="text1"/>
                <w:highlight w:val="none"/>
                <w:u w:val="none"/>
                <w14:textFill>
                  <w14:solidFill>
                    <w14:schemeClr w14:val="tx1"/>
                  </w14:solidFill>
                </w14:textFill>
              </w:rPr>
              <w:t>6</w:t>
            </w:r>
            <w:r>
              <w:rPr>
                <w:rFonts w:hAnsi="宋体" w:eastAsia="宋体"/>
                <w:color w:val="000000" w:themeColor="text1"/>
                <w:highlight w:val="none"/>
                <w:u w:val="none"/>
                <w14:textFill>
                  <w14:solidFill>
                    <w14:schemeClr w14:val="tx1"/>
                  </w14:solidFill>
                </w14:textFill>
              </w:rPr>
              <w:t>条管控要求。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4" w:hRule="atLeast"/>
          <w:jc w:val="center"/>
        </w:trPr>
        <w:tc>
          <w:tcPr>
            <w:tcW w:w="1928" w:type="dxa"/>
            <w:vMerge w:val="continue"/>
            <w:vAlign w:val="center"/>
          </w:tcPr>
          <w:p>
            <w:pPr>
              <w:pStyle w:val="21"/>
              <w:rPr>
                <w:rFonts w:eastAsia="宋体"/>
                <w:color w:val="000000" w:themeColor="text1"/>
                <w:highlight w:val="none"/>
                <w:u w:val="none"/>
                <w14:textFill>
                  <w14:solidFill>
                    <w14:schemeClr w14:val="tx1"/>
                  </w14:solidFill>
                </w14:textFill>
              </w:rPr>
            </w:pPr>
          </w:p>
        </w:tc>
        <w:tc>
          <w:tcPr>
            <w:tcW w:w="1589" w:type="dxa"/>
            <w:vMerge w:val="continue"/>
            <w:vAlign w:val="center"/>
          </w:tcPr>
          <w:p>
            <w:pPr>
              <w:pStyle w:val="21"/>
              <w:rPr>
                <w:rFonts w:eastAsia="宋体"/>
                <w:color w:val="000000" w:themeColor="text1"/>
                <w:highlight w:val="none"/>
                <w:u w:val="none"/>
                <w14:textFill>
                  <w14:solidFill>
                    <w14:schemeClr w14:val="tx1"/>
                  </w14:solidFill>
                </w14:textFill>
              </w:rPr>
            </w:pPr>
          </w:p>
        </w:tc>
        <w:tc>
          <w:tcPr>
            <w:tcW w:w="2389"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环境风险防控</w:t>
            </w:r>
          </w:p>
        </w:tc>
        <w:tc>
          <w:tcPr>
            <w:tcW w:w="8961"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．强化沿海工业园区和沿海石油、石化、化工、冶炼及危化品储运等企业的环境风险防控。</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．建立和完善海上溢油、危险化学品泄漏、赤潮应急反应预案，提升应对海洋突发环境事件能力，防范海上溢油、危险化学品泄漏等重大环境风险。加强海洋环境监测，实施海洋环境预警预报工程。</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．实行严格的核污染监控管理，提升核安全治理能力，提高核设施安全水平，降低核安全风险，推进放射性污染防治，确保辐射环境质量保持良好，强化核辐射安全监管体系，消除核安全隐患。</w:t>
            </w:r>
          </w:p>
        </w:tc>
        <w:tc>
          <w:tcPr>
            <w:tcW w:w="6946"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bCs/>
                <w:color w:val="000000" w:themeColor="text1"/>
                <w:highlight w:val="none"/>
                <w:u w:val="none"/>
                <w14:textFill>
                  <w14:solidFill>
                    <w14:schemeClr w14:val="tx1"/>
                  </w14:solidFill>
                </w14:textFill>
              </w:rPr>
              <w:t>相关文件：</w:t>
            </w:r>
            <w:r>
              <w:rPr>
                <w:rFonts w:hAnsi="宋体" w:eastAsia="宋体"/>
                <w:color w:val="000000" w:themeColor="text1"/>
                <w:highlight w:val="none"/>
                <w:u w:val="none"/>
                <w14:textFill>
                  <w14:solidFill>
                    <w14:schemeClr w14:val="tx1"/>
                  </w14:solidFill>
                </w14:textFill>
              </w:rPr>
              <w:t>依据《广西北部湾经济区条例（</w:t>
            </w:r>
            <w:r>
              <w:rPr>
                <w:rFonts w:eastAsia="宋体"/>
                <w:color w:val="000000" w:themeColor="text1"/>
                <w:highlight w:val="none"/>
                <w:u w:val="none"/>
                <w14:textFill>
                  <w14:solidFill>
                    <w14:schemeClr w14:val="tx1"/>
                  </w14:solidFill>
                </w14:textFill>
              </w:rPr>
              <w:t>2020</w:t>
            </w:r>
            <w:r>
              <w:rPr>
                <w:rFonts w:hAnsi="宋体" w:eastAsia="宋体"/>
                <w:color w:val="000000" w:themeColor="text1"/>
                <w:highlight w:val="none"/>
                <w:u w:val="none"/>
                <w14:textFill>
                  <w14:solidFill>
                    <w14:schemeClr w14:val="tx1"/>
                  </w14:solidFill>
                </w14:textFill>
              </w:rPr>
              <w:t>年修订版）》《广西北部湾经济区北钦防一体化发展规划（</w:t>
            </w:r>
            <w:r>
              <w:rPr>
                <w:rFonts w:eastAsia="宋体"/>
                <w:color w:val="000000" w:themeColor="text1"/>
                <w:highlight w:val="none"/>
                <w:u w:val="none"/>
                <w14:textFill>
                  <w14:solidFill>
                    <w14:schemeClr w14:val="tx1"/>
                  </w14:solidFill>
                </w14:textFill>
              </w:rPr>
              <w:t>2019-2025</w:t>
            </w:r>
            <w:r>
              <w:rPr>
                <w:rFonts w:hAnsi="宋体" w:eastAsia="宋体"/>
                <w:color w:val="000000" w:themeColor="text1"/>
                <w:highlight w:val="none"/>
                <w:u w:val="none"/>
                <w14:textFill>
                  <w14:solidFill>
                    <w14:schemeClr w14:val="tx1"/>
                  </w14:solidFill>
                </w14:textFill>
              </w:rPr>
              <w:t>年）》《广西壮族自治区人民政府办公厅关于印发＜广西北部湾经济区升级发展行动计划＞的通知》（桂政办发〔</w:t>
            </w:r>
            <w:r>
              <w:rPr>
                <w:rFonts w:eastAsia="宋体"/>
                <w:color w:val="000000" w:themeColor="text1"/>
                <w:highlight w:val="none"/>
                <w:u w:val="none"/>
                <w14:textFill>
                  <w14:solidFill>
                    <w14:schemeClr w14:val="tx1"/>
                  </w14:solidFill>
                </w14:textFill>
              </w:rPr>
              <w:t>2018</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8</w:t>
            </w:r>
            <w:r>
              <w:rPr>
                <w:rFonts w:hAnsi="宋体" w:eastAsia="宋体"/>
                <w:color w:val="000000" w:themeColor="text1"/>
                <w:highlight w:val="none"/>
                <w:u w:val="none"/>
                <w14:textFill>
                  <w14:solidFill>
                    <w14:schemeClr w14:val="tx1"/>
                  </w14:solidFill>
                </w14:textFill>
              </w:rPr>
              <w:t>号）、《广西壮族自治区人民政府办公厅关于加强广西北部湾沿海城市生态环境综合治理工作的实施意见》（桂政办发〔</w:t>
            </w:r>
            <w:r>
              <w:rPr>
                <w:rFonts w:eastAsia="宋体"/>
                <w:color w:val="000000" w:themeColor="text1"/>
                <w:highlight w:val="none"/>
                <w:u w:val="none"/>
                <w14:textFill>
                  <w14:solidFill>
                    <w14:schemeClr w14:val="tx1"/>
                  </w14:solidFill>
                </w14:textFill>
              </w:rPr>
              <w:t>2018</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71</w:t>
            </w:r>
            <w:r>
              <w:rPr>
                <w:rFonts w:hAnsi="宋体" w:eastAsia="宋体"/>
                <w:color w:val="000000" w:themeColor="text1"/>
                <w:highlight w:val="none"/>
                <w:u w:val="none"/>
                <w14:textFill>
                  <w14:solidFill>
                    <w14:schemeClr w14:val="tx1"/>
                  </w14:solidFill>
                </w14:textFill>
              </w:rPr>
              <w:t>号）、《北部湾经济区沿海重点产业发展战略环境评价》，参照《广西北部湾经济区高质量发展</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规划》提出。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8" w:hRule="atLeast"/>
          <w:jc w:val="center"/>
        </w:trPr>
        <w:tc>
          <w:tcPr>
            <w:tcW w:w="1928" w:type="dxa"/>
            <w:vMerge w:val="continue"/>
            <w:vAlign w:val="center"/>
          </w:tcPr>
          <w:p>
            <w:pPr>
              <w:pStyle w:val="21"/>
              <w:rPr>
                <w:rFonts w:eastAsia="宋体"/>
                <w:color w:val="000000" w:themeColor="text1"/>
                <w:highlight w:val="none"/>
                <w:u w:val="none"/>
                <w14:textFill>
                  <w14:solidFill>
                    <w14:schemeClr w14:val="tx1"/>
                  </w14:solidFill>
                </w14:textFill>
              </w:rPr>
            </w:pPr>
          </w:p>
        </w:tc>
        <w:tc>
          <w:tcPr>
            <w:tcW w:w="1589" w:type="dxa"/>
            <w:vMerge w:val="continue"/>
            <w:vAlign w:val="center"/>
          </w:tcPr>
          <w:p>
            <w:pPr>
              <w:pStyle w:val="21"/>
              <w:rPr>
                <w:rFonts w:eastAsia="宋体"/>
                <w:color w:val="000000" w:themeColor="text1"/>
                <w:highlight w:val="none"/>
                <w:u w:val="none"/>
                <w14:textFill>
                  <w14:solidFill>
                    <w14:schemeClr w14:val="tx1"/>
                  </w14:solidFill>
                </w14:textFill>
              </w:rPr>
            </w:pPr>
          </w:p>
        </w:tc>
        <w:tc>
          <w:tcPr>
            <w:tcW w:w="2389"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资源开发利用效率要求</w:t>
            </w:r>
          </w:p>
        </w:tc>
        <w:tc>
          <w:tcPr>
            <w:tcW w:w="8961"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．严格执行能耗</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双控</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，新建项目能源利用效率应达到国内先进水平。</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．实施水资源消耗总量和强度</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双控</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w:t>
            </w:r>
          </w:p>
        </w:tc>
        <w:tc>
          <w:tcPr>
            <w:tcW w:w="6946"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bCs/>
                <w:color w:val="000000" w:themeColor="text1"/>
                <w:highlight w:val="none"/>
                <w:u w:val="none"/>
                <w14:textFill>
                  <w14:solidFill>
                    <w14:schemeClr w14:val="tx1"/>
                  </w14:solidFill>
                </w14:textFill>
              </w:rPr>
              <w:t>相关文件：</w:t>
            </w: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w:t>
            </w:r>
            <w:r>
              <w:rPr>
                <w:rFonts w:hAnsi="宋体" w:eastAsia="宋体"/>
                <w:bCs/>
                <w:color w:val="000000" w:themeColor="text1"/>
                <w:highlight w:val="none"/>
                <w:u w:val="none"/>
                <w14:textFill>
                  <w14:solidFill>
                    <w14:schemeClr w14:val="tx1"/>
                  </w14:solidFill>
                </w14:textFill>
              </w:rPr>
              <w:t>依</w:t>
            </w:r>
            <w:r>
              <w:rPr>
                <w:rFonts w:hAnsi="宋体" w:eastAsia="宋体"/>
                <w:color w:val="000000" w:themeColor="text1"/>
                <w:highlight w:val="none"/>
                <w:u w:val="none"/>
                <w14:textFill>
                  <w14:solidFill>
                    <w14:schemeClr w14:val="tx1"/>
                  </w14:solidFill>
                </w14:textFill>
              </w:rPr>
              <w:t>据《广西北部湾经济区条例（</w:t>
            </w:r>
            <w:r>
              <w:rPr>
                <w:rFonts w:eastAsia="宋体"/>
                <w:color w:val="000000" w:themeColor="text1"/>
                <w:highlight w:val="none"/>
                <w:u w:val="none"/>
                <w14:textFill>
                  <w14:solidFill>
                    <w14:schemeClr w14:val="tx1"/>
                  </w14:solidFill>
                </w14:textFill>
              </w:rPr>
              <w:t>2020</w:t>
            </w:r>
            <w:r>
              <w:rPr>
                <w:rFonts w:hAnsi="宋体" w:eastAsia="宋体"/>
                <w:color w:val="000000" w:themeColor="text1"/>
                <w:highlight w:val="none"/>
                <w:u w:val="none"/>
                <w14:textFill>
                  <w14:solidFill>
                    <w14:schemeClr w14:val="tx1"/>
                  </w14:solidFill>
                </w14:textFill>
              </w:rPr>
              <w:t>年修订版）》《广西北部湾经济区北钦防一体化发展规划（</w:t>
            </w:r>
            <w:r>
              <w:rPr>
                <w:rFonts w:eastAsia="宋体"/>
                <w:color w:val="000000" w:themeColor="text1"/>
                <w:highlight w:val="none"/>
                <w:u w:val="none"/>
                <w14:textFill>
                  <w14:solidFill>
                    <w14:schemeClr w14:val="tx1"/>
                  </w14:solidFill>
                </w14:textFill>
              </w:rPr>
              <w:t>2019-2025</w:t>
            </w:r>
            <w:r>
              <w:rPr>
                <w:rFonts w:hAnsi="宋体" w:eastAsia="宋体"/>
                <w:color w:val="000000" w:themeColor="text1"/>
                <w:highlight w:val="none"/>
                <w:u w:val="none"/>
                <w14:textFill>
                  <w14:solidFill>
                    <w14:schemeClr w14:val="tx1"/>
                  </w14:solidFill>
                </w14:textFill>
              </w:rPr>
              <w:t>年）》、《广西壮族自治区人民政府办公厅关于印发＜广西北部湾经济区升级发展行动计划＞的通知》（桂政办发〔</w:t>
            </w:r>
            <w:r>
              <w:rPr>
                <w:rFonts w:eastAsia="宋体"/>
                <w:color w:val="000000" w:themeColor="text1"/>
                <w:highlight w:val="none"/>
                <w:u w:val="none"/>
                <w14:textFill>
                  <w14:solidFill>
                    <w14:schemeClr w14:val="tx1"/>
                  </w14:solidFill>
                </w14:textFill>
              </w:rPr>
              <w:t>2018</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8</w:t>
            </w:r>
            <w:r>
              <w:rPr>
                <w:rFonts w:hAnsi="宋体" w:eastAsia="宋体"/>
                <w:color w:val="000000" w:themeColor="text1"/>
                <w:highlight w:val="none"/>
                <w:u w:val="none"/>
                <w14:textFill>
                  <w14:solidFill>
                    <w14:schemeClr w14:val="tx1"/>
                  </w14:solidFill>
                </w14:textFill>
              </w:rPr>
              <w:t>号）、《广西壮族自治区人民政府办公厅关于加强广西北部湾沿海城市生态环境综合治理工作的实施意见》（桂政办发〔</w:t>
            </w:r>
            <w:r>
              <w:rPr>
                <w:rFonts w:eastAsia="宋体"/>
                <w:color w:val="000000" w:themeColor="text1"/>
                <w:highlight w:val="none"/>
                <w:u w:val="none"/>
                <w14:textFill>
                  <w14:solidFill>
                    <w14:schemeClr w14:val="tx1"/>
                  </w14:solidFill>
                </w14:textFill>
              </w:rPr>
              <w:t>2018</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71</w:t>
            </w:r>
            <w:r>
              <w:rPr>
                <w:rFonts w:hAnsi="宋体" w:eastAsia="宋体"/>
                <w:color w:val="000000" w:themeColor="text1"/>
                <w:highlight w:val="none"/>
                <w:u w:val="none"/>
                <w14:textFill>
                  <w14:solidFill>
                    <w14:schemeClr w14:val="tx1"/>
                  </w14:solidFill>
                </w14:textFill>
              </w:rPr>
              <w:t>号），参照《广西北部湾经济区高质量发展</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规划》《北部湾经济区沿海重点产业发展战略环境评价》提出。</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．依据《广西生态环境保护</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规划》提出。</w:t>
            </w:r>
          </w:p>
        </w:tc>
      </w:tr>
    </w:tbl>
    <w:p>
      <w:pPr>
        <w:widowControl/>
        <w:jc w:val="left"/>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br w:type="page"/>
      </w:r>
    </w:p>
    <w:p>
      <w:pPr>
        <w:pStyle w:val="3"/>
        <w:spacing w:before="156" w:after="156"/>
        <w:rPr>
          <w:rFonts w:ascii="黑体" w:hAnsi="黑体" w:eastAsia="黑体"/>
          <w:color w:val="000000" w:themeColor="text1"/>
          <w:szCs w:val="30"/>
          <w:highlight w:val="none"/>
          <w:u w:val="none"/>
          <w14:textFill>
            <w14:solidFill>
              <w14:schemeClr w14:val="tx1"/>
            </w14:solidFill>
          </w14:textFill>
        </w:rPr>
      </w:pPr>
      <w:bookmarkStart w:id="20" w:name="_Toc22468"/>
      <w:bookmarkStart w:id="21" w:name="_Toc17997"/>
      <w:bookmarkStart w:id="22" w:name="_Toc31722"/>
      <w:bookmarkStart w:id="23" w:name="_Toc10814"/>
      <w:r>
        <w:rPr>
          <w:rFonts w:ascii="黑体" w:hAnsi="黑体" w:eastAsia="黑体"/>
          <w:color w:val="000000" w:themeColor="text1"/>
          <w:szCs w:val="30"/>
          <w:highlight w:val="none"/>
          <w:u w:val="none"/>
          <w14:textFill>
            <w14:solidFill>
              <w14:schemeClr w14:val="tx1"/>
            </w14:solidFill>
          </w14:textFill>
        </w:rPr>
        <w:t>2.2左右江革命老区</w:t>
      </w:r>
      <w:bookmarkEnd w:id="20"/>
      <w:bookmarkEnd w:id="21"/>
      <w:bookmarkEnd w:id="22"/>
      <w:bookmarkEnd w:id="23"/>
    </w:p>
    <w:p>
      <w:pPr>
        <w:pStyle w:val="19"/>
        <w:rPr>
          <w:rFonts w:hAnsi="Times New Roman"/>
          <w:highlight w:val="none"/>
          <w:u w:val="none"/>
        </w:rPr>
      </w:pPr>
      <w:r>
        <w:rPr>
          <w:highlight w:val="none"/>
          <w:u w:val="none"/>
        </w:rPr>
        <w:t>表</w:t>
      </w:r>
      <w:r>
        <w:rPr>
          <w:rFonts w:hAnsi="Times New Roman"/>
          <w:highlight w:val="none"/>
          <w:u w:val="none"/>
        </w:rPr>
        <w:t xml:space="preserve">2.2-1  </w:t>
      </w:r>
      <w:r>
        <w:rPr>
          <w:highlight w:val="none"/>
          <w:u w:val="none"/>
        </w:rPr>
        <w:t>左右江革命老区生态环境总体准入及管控要求</w:t>
      </w:r>
    </w:p>
    <w:tbl>
      <w:tblPr>
        <w:tblStyle w:val="11"/>
        <w:tblW w:w="218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7"/>
        <w:gridCol w:w="1540"/>
        <w:gridCol w:w="2211"/>
        <w:gridCol w:w="9149"/>
        <w:gridCol w:w="69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blHeader/>
          <w:jc w:val="center"/>
        </w:trPr>
        <w:tc>
          <w:tcPr>
            <w:tcW w:w="1977"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适用分区</w:t>
            </w:r>
          </w:p>
        </w:tc>
        <w:tc>
          <w:tcPr>
            <w:tcW w:w="1540"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适用对象</w:t>
            </w:r>
          </w:p>
        </w:tc>
        <w:tc>
          <w:tcPr>
            <w:tcW w:w="2211"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管控要求类别</w:t>
            </w:r>
          </w:p>
        </w:tc>
        <w:tc>
          <w:tcPr>
            <w:tcW w:w="9149"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生态环境准入及管控要求</w:t>
            </w:r>
          </w:p>
        </w:tc>
        <w:tc>
          <w:tcPr>
            <w:tcW w:w="6936"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编制理由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9" w:hRule="atLeast"/>
          <w:jc w:val="center"/>
        </w:trPr>
        <w:tc>
          <w:tcPr>
            <w:tcW w:w="1977" w:type="dxa"/>
            <w:vMerge w:val="restart"/>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左右江革命老区</w:t>
            </w:r>
          </w:p>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全部分区</w:t>
            </w:r>
          </w:p>
        </w:tc>
        <w:tc>
          <w:tcPr>
            <w:tcW w:w="1540" w:type="dxa"/>
            <w:vMerge w:val="restart"/>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左右江革命老区（本清单适用于百色市、河池市）</w:t>
            </w:r>
          </w:p>
        </w:tc>
        <w:tc>
          <w:tcPr>
            <w:tcW w:w="2211"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空间布局约束</w:t>
            </w:r>
          </w:p>
        </w:tc>
        <w:tc>
          <w:tcPr>
            <w:tcW w:w="9149"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．坚持在高水平保护中高质量发展，将生态优势转化为发展优势，实现产业生态化和生态产业化协同发展。</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．有序承接产业转移，推进产业集群发展和人口集聚，引导企业入园集聚发展。加快推进新型工业化、城镇化、信息化进程，提高综合承载能力。</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．强化矿产资源开发管理和生态修复，大力实施石漠化治理，水土流失综合治理、矿山环境治理等重点生态修复工程，因地制宜开展生态移民。</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统筹推进左右江流域革命老区山水林田湖生态保护修复工程。加快百色、河池等西江上游地区生态公益林建设，建设生态屏障，提升水源涵养和水土保持功能。探索跨流域、区域横向生态补偿机制，严格控制人为因素对自然生态环境的干扰，维护国家生态安全。</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5</w:t>
            </w:r>
            <w:r>
              <w:rPr>
                <w:rFonts w:hAnsi="宋体" w:eastAsia="宋体"/>
                <w:color w:val="000000" w:themeColor="text1"/>
                <w:highlight w:val="none"/>
                <w:u w:val="none"/>
                <w14:textFill>
                  <w14:solidFill>
                    <w14:schemeClr w14:val="tx1"/>
                  </w14:solidFill>
                </w14:textFill>
              </w:rPr>
              <w:t>．防控农业面源污染，控制化肥、农药使用量。调整种植业结构与布局，在百色、河池等缺水地区鼓励发展节水栽培技术，依据当地气候特点，选用耐旱、耐瘠、抗病的旱地作物新品种；在桂西、桂中南、桂北工矿企业区及喀斯特地貌岩溶地区地下水易受污染地区，优先种植需肥需药量低、环境效益突出的农作物。</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6</w:t>
            </w:r>
            <w:r>
              <w:rPr>
                <w:rFonts w:hAnsi="宋体" w:eastAsia="宋体"/>
                <w:color w:val="000000" w:themeColor="text1"/>
                <w:highlight w:val="none"/>
                <w:u w:val="none"/>
                <w14:textFill>
                  <w14:solidFill>
                    <w14:schemeClr w14:val="tx1"/>
                  </w14:solidFill>
                </w14:textFill>
              </w:rPr>
              <w:t>．区直各部门、相关地市人民政府在符合国家法律规范和部门规章要求的前提下，允许在职能范围内对涉边境地区建立相对宽松的约束条件或采用特定快速工作机制开展项目管理，涉及保密的制度和政策按相应管理规定进行。</w:t>
            </w:r>
          </w:p>
        </w:tc>
        <w:tc>
          <w:tcPr>
            <w:tcW w:w="6936"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依据《左右江革命老区振兴规划（</w:t>
            </w:r>
            <w:r>
              <w:rPr>
                <w:rFonts w:eastAsia="宋体"/>
                <w:color w:val="000000" w:themeColor="text1"/>
                <w:highlight w:val="none"/>
                <w:u w:val="none"/>
                <w14:textFill>
                  <w14:solidFill>
                    <w14:schemeClr w14:val="tx1"/>
                  </w14:solidFill>
                </w14:textFill>
              </w:rPr>
              <w:t>2015-2025</w:t>
            </w:r>
            <w:r>
              <w:rPr>
                <w:rFonts w:hAnsi="宋体" w:eastAsia="宋体"/>
                <w:color w:val="000000" w:themeColor="text1"/>
                <w:highlight w:val="none"/>
                <w:u w:val="none"/>
                <w14:textFill>
                  <w14:solidFill>
                    <w14:schemeClr w14:val="tx1"/>
                  </w14:solidFill>
                </w14:textFill>
              </w:rPr>
              <w:t>年）》提出管控要求。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57" w:hRule="atLeast"/>
          <w:jc w:val="center"/>
        </w:trPr>
        <w:tc>
          <w:tcPr>
            <w:tcW w:w="1977"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1540"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2211"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污染物排放管控</w:t>
            </w:r>
          </w:p>
        </w:tc>
        <w:tc>
          <w:tcPr>
            <w:tcW w:w="9149"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加强百都河、那布河、平孟河、水口河、难滩河、归春河、平而河等跨国界河流水体的污染防治，提高跨国界水体的环境监测与预警能力，完善区域环保基础设施，探索和建立跨境水体水环境保护长效机制和跨国联动机制。</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．涉重金属建设项目实行污染物排放总量控制，加大历史遗留污染场地治理力度，积极开展重金属污染土壤调查与修复试点工作，防范涉重金属环境风险。</w:t>
            </w:r>
          </w:p>
        </w:tc>
        <w:tc>
          <w:tcPr>
            <w:tcW w:w="6936"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依据《广西壮族自治区</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三线一单</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研究报告》成果提出。</w:t>
            </w:r>
          </w:p>
        </w:tc>
      </w:tr>
    </w:tbl>
    <w:p>
      <w:pPr>
        <w:widowControl/>
        <w:jc w:val="left"/>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br w:type="page"/>
      </w:r>
    </w:p>
    <w:p>
      <w:pPr>
        <w:pStyle w:val="3"/>
        <w:spacing w:before="156" w:after="156"/>
        <w:rPr>
          <w:rFonts w:ascii="黑体" w:hAnsi="黑体" w:eastAsia="黑体"/>
          <w:color w:val="000000" w:themeColor="text1"/>
          <w:szCs w:val="30"/>
          <w:highlight w:val="none"/>
          <w:u w:val="none"/>
          <w14:textFill>
            <w14:solidFill>
              <w14:schemeClr w14:val="tx1"/>
            </w14:solidFill>
          </w14:textFill>
        </w:rPr>
      </w:pPr>
      <w:bookmarkStart w:id="24" w:name="_Toc451"/>
      <w:bookmarkStart w:id="25" w:name="_Toc21340"/>
      <w:bookmarkStart w:id="26" w:name="_Toc6210"/>
      <w:bookmarkStart w:id="27" w:name="_Toc11255"/>
      <w:r>
        <w:rPr>
          <w:rFonts w:ascii="黑体" w:hAnsi="黑体" w:eastAsia="黑体"/>
          <w:color w:val="000000" w:themeColor="text1"/>
          <w:szCs w:val="30"/>
          <w:highlight w:val="none"/>
          <w:u w:val="none"/>
          <w14:textFill>
            <w14:solidFill>
              <w14:schemeClr w14:val="tx1"/>
            </w14:solidFill>
          </w14:textFill>
        </w:rPr>
        <w:t>2.3西江经济带</w:t>
      </w:r>
      <w:bookmarkEnd w:id="24"/>
      <w:bookmarkEnd w:id="25"/>
      <w:bookmarkEnd w:id="26"/>
      <w:bookmarkEnd w:id="27"/>
    </w:p>
    <w:p>
      <w:pPr>
        <w:pStyle w:val="19"/>
        <w:rPr>
          <w:rFonts w:hAnsi="Times New Roman"/>
          <w:highlight w:val="none"/>
          <w:u w:val="none"/>
        </w:rPr>
      </w:pPr>
      <w:r>
        <w:rPr>
          <w:highlight w:val="none"/>
          <w:u w:val="none"/>
        </w:rPr>
        <w:t>表</w:t>
      </w:r>
      <w:r>
        <w:rPr>
          <w:rFonts w:hAnsi="Times New Roman"/>
          <w:highlight w:val="none"/>
          <w:u w:val="none"/>
        </w:rPr>
        <w:t xml:space="preserve">2.3-1  </w:t>
      </w:r>
      <w:r>
        <w:rPr>
          <w:highlight w:val="none"/>
          <w:u w:val="none"/>
        </w:rPr>
        <w:t>西江经济带生态环境总体准入及管控要求</w:t>
      </w:r>
    </w:p>
    <w:tbl>
      <w:tblPr>
        <w:tblStyle w:val="11"/>
        <w:tblW w:w="218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7"/>
        <w:gridCol w:w="1537"/>
        <w:gridCol w:w="2337"/>
        <w:gridCol w:w="9012"/>
        <w:gridCol w:w="69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blHeader/>
          <w:jc w:val="center"/>
        </w:trPr>
        <w:tc>
          <w:tcPr>
            <w:tcW w:w="1987"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适用分区</w:t>
            </w:r>
          </w:p>
        </w:tc>
        <w:tc>
          <w:tcPr>
            <w:tcW w:w="1537"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适用对象</w:t>
            </w:r>
          </w:p>
        </w:tc>
        <w:tc>
          <w:tcPr>
            <w:tcW w:w="2337"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管控要求类别</w:t>
            </w:r>
          </w:p>
        </w:tc>
        <w:tc>
          <w:tcPr>
            <w:tcW w:w="9012"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生态环境准入及管控要求</w:t>
            </w:r>
          </w:p>
        </w:tc>
        <w:tc>
          <w:tcPr>
            <w:tcW w:w="6940"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编制理由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2" w:hRule="atLeast"/>
          <w:jc w:val="center"/>
        </w:trPr>
        <w:tc>
          <w:tcPr>
            <w:tcW w:w="1987" w:type="dxa"/>
            <w:vMerge w:val="restart"/>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西江经济带</w:t>
            </w:r>
          </w:p>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全部分区</w:t>
            </w:r>
          </w:p>
        </w:tc>
        <w:tc>
          <w:tcPr>
            <w:tcW w:w="1537" w:type="dxa"/>
            <w:vMerge w:val="restart"/>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西江经济带（本清单适用于柳州市、来宾市、贵港市市、梧州市和贺州市）</w:t>
            </w:r>
          </w:p>
        </w:tc>
        <w:tc>
          <w:tcPr>
            <w:tcW w:w="2337"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空间布局约束</w:t>
            </w:r>
          </w:p>
        </w:tc>
        <w:tc>
          <w:tcPr>
            <w:tcW w:w="9012"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．坚持高质量绿色发展，打造成为我国西南中南地区开放发展新的增长极和东西部合作发展示范区，建设区域协调发展和流域生态文明建设示范区。</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．涉重金属冶炼企业应向基础设施和环境风险防范措施较完善的工业园区布局。</w:t>
            </w:r>
          </w:p>
          <w:p>
            <w:pPr>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3</w:t>
            </w:r>
            <w:r>
              <w:rPr>
                <w:rFonts w:ascii="Times New Roman" w:hAnsi="宋体" w:eastAsia="宋体" w:cs="Times New Roman"/>
                <w:color w:val="000000" w:themeColor="text1"/>
                <w:szCs w:val="21"/>
                <w:highlight w:val="none"/>
                <w:u w:val="none"/>
                <w14:textFill>
                  <w14:solidFill>
                    <w14:schemeClr w14:val="tx1"/>
                  </w14:solidFill>
                </w14:textFill>
              </w:rPr>
              <w:t>．依法淘汰落后产能和过剩产能，鼓励发展节能环保等新兴产业。加快西江流域产业结构转型升级，严格控制流域内高耗能高排放行业布局。</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．西江流域干流沿岸严格控制石油加工、化学原料和化学制品制造、医药制造、化学纤维制造、有色金属冶炼等项目和相关产业的工业园区建设，合理布局生产装置及危险化学品仓储等设施。</w:t>
            </w:r>
          </w:p>
        </w:tc>
        <w:tc>
          <w:tcPr>
            <w:tcW w:w="6940" w:type="dxa"/>
            <w:vMerge w:val="restart"/>
            <w:vAlign w:val="center"/>
          </w:tcPr>
          <w:p>
            <w:pPr>
              <w:pStyle w:val="21"/>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依据《珠江</w:t>
            </w:r>
            <w:r>
              <w:rPr>
                <w:rFonts w:eastAsia="宋体"/>
                <w:color w:val="000000" w:themeColor="text1"/>
                <w:highlight w:val="none"/>
                <w:u w:val="none"/>
                <w14:textFill>
                  <w14:solidFill>
                    <w14:schemeClr w14:val="tx1"/>
                  </w14:solidFill>
                </w14:textFill>
              </w:rPr>
              <w:t>-</w:t>
            </w:r>
            <w:r>
              <w:rPr>
                <w:rFonts w:hAnsi="宋体" w:eastAsia="宋体"/>
                <w:color w:val="000000" w:themeColor="text1"/>
                <w:highlight w:val="none"/>
                <w:u w:val="none"/>
                <w14:textFill>
                  <w14:solidFill>
                    <w14:schemeClr w14:val="tx1"/>
                  </w14:solidFill>
                </w14:textFill>
              </w:rPr>
              <w:t>西江经济带发展规划》《广西西江经济带水环境保护规划（</w:t>
            </w:r>
            <w:r>
              <w:rPr>
                <w:rFonts w:eastAsia="宋体"/>
                <w:color w:val="000000" w:themeColor="text1"/>
                <w:highlight w:val="none"/>
                <w:u w:val="none"/>
                <w14:textFill>
                  <w14:solidFill>
                    <w14:schemeClr w14:val="tx1"/>
                  </w14:solidFill>
                </w14:textFill>
              </w:rPr>
              <w:t>2016-2030</w:t>
            </w:r>
            <w:r>
              <w:rPr>
                <w:rFonts w:hAnsi="宋体" w:eastAsia="宋体"/>
                <w:color w:val="000000" w:themeColor="text1"/>
                <w:highlight w:val="none"/>
                <w:u w:val="none"/>
                <w14:textFill>
                  <w14:solidFill>
                    <w14:schemeClr w14:val="tx1"/>
                  </w14:solidFill>
                </w14:textFill>
              </w:rPr>
              <w:t>）》，参照《广西生态环境保护</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规划》《广西壮族自治区</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城市基础设施建设规划》（桂建城〔</w:t>
            </w:r>
            <w:r>
              <w:rPr>
                <w:rFonts w:eastAsia="宋体"/>
                <w:color w:val="000000" w:themeColor="text1"/>
                <w:highlight w:val="none"/>
                <w:u w:val="none"/>
                <w14:textFill>
                  <w14:solidFill>
                    <w14:schemeClr w14:val="tx1"/>
                  </w14:solidFill>
                </w14:textFill>
              </w:rPr>
              <w:t>2023</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20</w:t>
            </w:r>
            <w:r>
              <w:rPr>
                <w:rFonts w:hAnsi="宋体" w:eastAsia="宋体"/>
                <w:color w:val="000000" w:themeColor="text1"/>
                <w:highlight w:val="none"/>
                <w:u w:val="none"/>
                <w14:textFill>
                  <w14:solidFill>
                    <w14:schemeClr w14:val="tx1"/>
                  </w14:solidFill>
                </w14:textFill>
              </w:rPr>
              <w:t>号）提出管控要求。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2" w:hRule="atLeast"/>
          <w:jc w:val="center"/>
        </w:trPr>
        <w:tc>
          <w:tcPr>
            <w:tcW w:w="1987" w:type="dxa"/>
            <w:vMerge w:val="continue"/>
            <w:vAlign w:val="center"/>
          </w:tcPr>
          <w:p>
            <w:pPr>
              <w:pStyle w:val="21"/>
              <w:rPr>
                <w:rFonts w:eastAsia="宋体"/>
                <w:color w:val="000000" w:themeColor="text1"/>
                <w:highlight w:val="none"/>
                <w:u w:val="none"/>
                <w14:textFill>
                  <w14:solidFill>
                    <w14:schemeClr w14:val="tx1"/>
                  </w14:solidFill>
                </w14:textFill>
              </w:rPr>
            </w:pPr>
          </w:p>
        </w:tc>
        <w:tc>
          <w:tcPr>
            <w:tcW w:w="1537"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2337"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污染物排放管控</w:t>
            </w:r>
          </w:p>
        </w:tc>
        <w:tc>
          <w:tcPr>
            <w:tcW w:w="9012" w:type="dxa"/>
            <w:vAlign w:val="center"/>
          </w:tcPr>
          <w:p>
            <w:pPr>
              <w:pStyle w:val="21"/>
              <w:numPr>
                <w:ilvl w:val="0"/>
                <w:numId w:val="4"/>
              </w:numP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新建、改建、扩建重点行业建设项目主要污染物排放应控制在区域环境承载能力范围内，实施污染物排放区域削减，保障环境质量达标。</w:t>
            </w:r>
          </w:p>
          <w:p>
            <w:pPr>
              <w:pStyle w:val="21"/>
              <w:numPr>
                <w:ilvl w:val="0"/>
                <w:numId w:val="4"/>
              </w:numP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提升工业园区废水治理水平。加强化工、医药、有色金属冶炼等行业为主的园区初期雨水的收集和处理。新建、升级工业园区应同步规划、建设污水集中处理设施或利用现有的污水集中处理设施。污水处理设施应具备脱氮除磷工艺，并安装自动在线监控装置。</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加快入河排污口规范化建设。推进城镇污水处理设施建设与改造，加强配套管网建设、管网改造与管网完善。推进农村污水处理设施建设，确保已投入使用设施正常运行。推进污泥处理处置。因地制宜处理农村生活垃圾，并建立农村生活污染治理长效机制。</w:t>
            </w:r>
          </w:p>
          <w:p>
            <w:pPr>
              <w:adjustRightInd w:val="0"/>
              <w:snapToGrid w:val="0"/>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t>4</w:t>
            </w:r>
            <w:r>
              <w:rPr>
                <w:rFonts w:ascii="Times New Roman" w:hAnsi="宋体" w:eastAsia="宋体" w:cs="Times New Roman"/>
                <w:color w:val="000000" w:themeColor="text1"/>
                <w:szCs w:val="21"/>
                <w:highlight w:val="none"/>
                <w:u w:val="none"/>
                <w14:textFill>
                  <w14:solidFill>
                    <w14:schemeClr w14:val="tx1"/>
                  </w14:solidFill>
                </w14:textFill>
              </w:rPr>
              <w:t>．严格控制农业面源污染，调整种植业结构与布局。</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5</w:t>
            </w:r>
            <w:r>
              <w:rPr>
                <w:rFonts w:hAnsi="宋体" w:eastAsia="宋体"/>
                <w:color w:val="000000" w:themeColor="text1"/>
                <w:highlight w:val="none"/>
                <w:u w:val="none"/>
                <w14:textFill>
                  <w14:solidFill>
                    <w14:schemeClr w14:val="tx1"/>
                  </w14:solidFill>
                </w14:textFill>
              </w:rPr>
              <w:t>．加强养殖污染治理，控制化肥农药施用量。强化规模化养殖场污染治理设施建设，推广生态养殖技术，畜禽废物实行综合利用。控制水产养殖污染，推广先进的水产生态养殖技术。</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6</w:t>
            </w:r>
            <w:r>
              <w:rPr>
                <w:rFonts w:hAnsi="宋体" w:eastAsia="宋体"/>
                <w:color w:val="000000" w:themeColor="text1"/>
                <w:highlight w:val="none"/>
                <w:u w:val="none"/>
                <w14:textFill>
                  <w14:solidFill>
                    <w14:schemeClr w14:val="tx1"/>
                  </w14:solidFill>
                </w14:textFill>
              </w:rPr>
              <w:t>．控制港口和船舶污染，推进黔江、浔江、邕江等支流航道综合治理，开展垃圾接收、转运及处理处置设施建设，提高含油污水、化学品洗舱水等接收处置能力及污染事故应急能力。</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7</w:t>
            </w:r>
            <w:r>
              <w:rPr>
                <w:rFonts w:hAnsi="宋体" w:eastAsia="宋体"/>
                <w:color w:val="000000" w:themeColor="text1"/>
                <w:highlight w:val="none"/>
                <w:u w:val="none"/>
                <w14:textFill>
                  <w14:solidFill>
                    <w14:schemeClr w14:val="tx1"/>
                  </w14:solidFill>
                </w14:textFill>
              </w:rPr>
              <w:t>．西江航运干线加快淘汰老旧船舶，鼓励引导高能耗船舶技术改造升级和提前退出。推动新能源、清洁能源动力船舶应用，加快港口供电设施建设，提高船舶岸电设施使用率。</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8</w:t>
            </w:r>
            <w:r>
              <w:rPr>
                <w:rFonts w:hAnsi="宋体" w:eastAsia="宋体"/>
                <w:color w:val="000000" w:themeColor="text1"/>
                <w:highlight w:val="none"/>
                <w:u w:val="none"/>
                <w14:textFill>
                  <w14:solidFill>
                    <w14:schemeClr w14:val="tx1"/>
                  </w14:solidFill>
                </w14:textFill>
              </w:rPr>
              <w:t>．珠江</w:t>
            </w:r>
            <w:r>
              <w:rPr>
                <w:rFonts w:eastAsia="宋体"/>
                <w:color w:val="000000" w:themeColor="text1"/>
                <w:highlight w:val="none"/>
                <w:u w:val="none"/>
                <w14:textFill>
                  <w14:solidFill>
                    <w14:schemeClr w14:val="tx1"/>
                  </w14:solidFill>
                </w14:textFill>
              </w:rPr>
              <w:t>—</w:t>
            </w:r>
            <w:r>
              <w:rPr>
                <w:rFonts w:hAnsi="宋体" w:eastAsia="宋体"/>
                <w:color w:val="000000" w:themeColor="text1"/>
                <w:highlight w:val="none"/>
                <w:u w:val="none"/>
                <w14:textFill>
                  <w14:solidFill>
                    <w14:schemeClr w14:val="tx1"/>
                  </w14:solidFill>
                </w14:textFill>
              </w:rPr>
              <w:t>西江经济带城市实施生活污水集中处理设施能力提升全覆盖工程，开展城市污水处理设施差别化精准提标改造。</w:t>
            </w:r>
          </w:p>
        </w:tc>
        <w:tc>
          <w:tcPr>
            <w:tcW w:w="6940" w:type="dxa"/>
            <w:vMerge w:val="continue"/>
            <w:vAlign w:val="center"/>
          </w:tcPr>
          <w:p>
            <w:pPr>
              <w:pStyle w:val="21"/>
              <w:rPr>
                <w:rFonts w:eastAsia="宋体"/>
                <w:color w:val="000000" w:themeColor="text1"/>
                <w:highlight w:val="none"/>
                <w:u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jc w:val="center"/>
        </w:trPr>
        <w:tc>
          <w:tcPr>
            <w:tcW w:w="1987" w:type="dxa"/>
            <w:vMerge w:val="continue"/>
            <w:vAlign w:val="center"/>
          </w:tcPr>
          <w:p>
            <w:pPr>
              <w:pStyle w:val="21"/>
              <w:rPr>
                <w:rFonts w:eastAsia="宋体"/>
                <w:color w:val="000000" w:themeColor="text1"/>
                <w:highlight w:val="none"/>
                <w:u w:val="none"/>
                <w14:textFill>
                  <w14:solidFill>
                    <w14:schemeClr w14:val="tx1"/>
                  </w14:solidFill>
                </w14:textFill>
              </w:rPr>
            </w:pPr>
          </w:p>
        </w:tc>
        <w:tc>
          <w:tcPr>
            <w:tcW w:w="1537"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2337"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环境风险防控</w:t>
            </w:r>
          </w:p>
        </w:tc>
        <w:tc>
          <w:tcPr>
            <w:tcW w:w="9012"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加强西江沿江水环境风险防控，优化高风险产业布局。完善应急处置物资储备库建设，加强水环境应急救援队伍建设，强化应急演练，重点提高油品、危险化学品泄漏事故应急能力。</w:t>
            </w:r>
          </w:p>
        </w:tc>
        <w:tc>
          <w:tcPr>
            <w:tcW w:w="6940" w:type="dxa"/>
            <w:vMerge w:val="continue"/>
            <w:vAlign w:val="center"/>
          </w:tcPr>
          <w:p>
            <w:pPr>
              <w:pStyle w:val="21"/>
              <w:rPr>
                <w:rFonts w:eastAsia="宋体"/>
                <w:color w:val="000000" w:themeColor="text1"/>
                <w:highlight w:val="none"/>
                <w:u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01" w:hRule="atLeast"/>
          <w:jc w:val="center"/>
        </w:trPr>
        <w:tc>
          <w:tcPr>
            <w:tcW w:w="1987" w:type="dxa"/>
            <w:vMerge w:val="continue"/>
            <w:vAlign w:val="center"/>
          </w:tcPr>
          <w:p>
            <w:pPr>
              <w:pStyle w:val="21"/>
              <w:rPr>
                <w:rFonts w:eastAsia="宋体"/>
                <w:color w:val="000000" w:themeColor="text1"/>
                <w:highlight w:val="none"/>
                <w:u w:val="none"/>
                <w14:textFill>
                  <w14:solidFill>
                    <w14:schemeClr w14:val="tx1"/>
                  </w14:solidFill>
                </w14:textFill>
              </w:rPr>
            </w:pPr>
          </w:p>
        </w:tc>
        <w:tc>
          <w:tcPr>
            <w:tcW w:w="1537"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2337"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资源开发利用</w:t>
            </w:r>
          </w:p>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效率要求</w:t>
            </w:r>
          </w:p>
        </w:tc>
        <w:tc>
          <w:tcPr>
            <w:tcW w:w="9012"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加强工业水循环利用。推动钢铁、纺织印染、造纸、石油石化、化工、制革等高耗水企业废水深度处理回用。支持和推动具有经济效益的节水治污技术和示范项目。鼓励一水多用和再生水开发利用，提高企业工业用水回用率。</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促进再生水利用。逐步完善再生水利用设施，制定工业生产、城市绿化、道路清扫、车辆冲洗、建筑施工以及生态景观等用水优先使用再生水的政策。严格钢铁、火电、化工、制浆造纸、冶炼、印染等建设项目水资源论证，具备再生水使用条件但未充分利用的项目，</w:t>
            </w:r>
            <w:r>
              <w:rPr>
                <w:rFonts w:hAnsi="宋体" w:eastAsia="宋体"/>
                <w:b/>
                <w:bCs/>
                <w:color w:val="000000" w:themeColor="text1"/>
                <w:highlight w:val="none"/>
                <w:u w:val="none"/>
                <w14:textFill>
                  <w14:solidFill>
                    <w14:schemeClr w14:val="tx1"/>
                  </w14:solidFill>
                </w14:textFill>
              </w:rPr>
              <w:t>不得</w:t>
            </w:r>
            <w:r>
              <w:rPr>
                <w:rFonts w:hAnsi="宋体" w:eastAsia="宋体"/>
                <w:color w:val="000000" w:themeColor="text1"/>
                <w:highlight w:val="none"/>
                <w:u w:val="none"/>
                <w14:textFill>
                  <w14:solidFill>
                    <w14:schemeClr w14:val="tx1"/>
                  </w14:solidFill>
                </w14:textFill>
              </w:rPr>
              <w:t>批准其新增取水许可。</w:t>
            </w:r>
          </w:p>
        </w:tc>
        <w:tc>
          <w:tcPr>
            <w:tcW w:w="6940" w:type="dxa"/>
            <w:vMerge w:val="continue"/>
            <w:vAlign w:val="center"/>
          </w:tcPr>
          <w:p>
            <w:pPr>
              <w:pStyle w:val="21"/>
              <w:rPr>
                <w:rFonts w:eastAsia="宋体"/>
                <w:color w:val="000000" w:themeColor="text1"/>
                <w:highlight w:val="none"/>
                <w:u w:val="none"/>
                <w14:textFill>
                  <w14:solidFill>
                    <w14:schemeClr w14:val="tx1"/>
                  </w14:solidFill>
                </w14:textFill>
              </w:rPr>
            </w:pPr>
          </w:p>
        </w:tc>
      </w:tr>
    </w:tbl>
    <w:p>
      <w:pPr>
        <w:widowControl/>
        <w:jc w:val="left"/>
        <w:rPr>
          <w:rFonts w:ascii="Times New Roman" w:hAnsi="Times New Roman" w:eastAsia="宋体" w:cs="Times New Roman"/>
          <w:color w:val="000000" w:themeColor="text1"/>
          <w:szCs w:val="21"/>
          <w:highlight w:val="none"/>
          <w:u w:val="none"/>
          <w14:textFill>
            <w14:solidFill>
              <w14:schemeClr w14:val="tx1"/>
            </w14:solidFill>
          </w14:textFill>
        </w:rPr>
      </w:pPr>
      <w:r>
        <w:rPr>
          <w:rFonts w:ascii="Times New Roman" w:hAnsi="Times New Roman" w:eastAsia="宋体" w:cs="Times New Roman"/>
          <w:color w:val="000000" w:themeColor="text1"/>
          <w:szCs w:val="21"/>
          <w:highlight w:val="none"/>
          <w:u w:val="none"/>
          <w14:textFill>
            <w14:solidFill>
              <w14:schemeClr w14:val="tx1"/>
            </w14:solidFill>
          </w14:textFill>
        </w:rPr>
        <w:br w:type="page"/>
      </w:r>
    </w:p>
    <w:p>
      <w:pPr>
        <w:pStyle w:val="3"/>
        <w:spacing w:before="156" w:after="156"/>
        <w:rPr>
          <w:rFonts w:ascii="黑体" w:hAnsi="黑体" w:eastAsia="黑体"/>
          <w:color w:val="000000" w:themeColor="text1"/>
          <w:szCs w:val="30"/>
          <w:highlight w:val="none"/>
          <w:u w:val="none"/>
          <w14:textFill>
            <w14:solidFill>
              <w14:schemeClr w14:val="tx1"/>
            </w14:solidFill>
          </w14:textFill>
        </w:rPr>
      </w:pPr>
      <w:bookmarkStart w:id="28" w:name="_Toc6482"/>
      <w:bookmarkStart w:id="29" w:name="_Toc31726"/>
      <w:bookmarkStart w:id="30" w:name="_Toc14089"/>
      <w:bookmarkStart w:id="31" w:name="_Toc15246"/>
      <w:r>
        <w:rPr>
          <w:rFonts w:ascii="黑体" w:hAnsi="黑体" w:eastAsia="黑体"/>
          <w:color w:val="000000" w:themeColor="text1"/>
          <w:szCs w:val="30"/>
          <w:highlight w:val="none"/>
          <w:u w:val="none"/>
          <w14:textFill>
            <w14:solidFill>
              <w14:schemeClr w14:val="tx1"/>
            </w14:solidFill>
          </w14:textFill>
        </w:rPr>
        <w:t>2.4桂林国际旅游胜地</w:t>
      </w:r>
      <w:bookmarkEnd w:id="28"/>
      <w:bookmarkEnd w:id="29"/>
      <w:bookmarkEnd w:id="30"/>
      <w:bookmarkEnd w:id="31"/>
    </w:p>
    <w:p>
      <w:pPr>
        <w:pStyle w:val="19"/>
        <w:rPr>
          <w:rFonts w:hAnsi="Times New Roman"/>
          <w:highlight w:val="none"/>
          <w:u w:val="none"/>
        </w:rPr>
      </w:pPr>
      <w:r>
        <w:rPr>
          <w:highlight w:val="none"/>
          <w:u w:val="none"/>
        </w:rPr>
        <w:t>表</w:t>
      </w:r>
      <w:r>
        <w:rPr>
          <w:rFonts w:hAnsi="Times New Roman"/>
          <w:highlight w:val="none"/>
          <w:u w:val="none"/>
        </w:rPr>
        <w:t xml:space="preserve">2.4-1  </w:t>
      </w:r>
      <w:r>
        <w:rPr>
          <w:highlight w:val="none"/>
          <w:u w:val="none"/>
        </w:rPr>
        <w:t>桂林国际旅游胜地生态环境总体准入及管控要求</w:t>
      </w:r>
    </w:p>
    <w:tbl>
      <w:tblPr>
        <w:tblStyle w:val="11"/>
        <w:tblW w:w="218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0"/>
        <w:gridCol w:w="1541"/>
        <w:gridCol w:w="2365"/>
        <w:gridCol w:w="9042"/>
        <w:gridCol w:w="6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blHeader/>
          <w:jc w:val="center"/>
        </w:trPr>
        <w:tc>
          <w:tcPr>
            <w:tcW w:w="1880"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适用分区</w:t>
            </w:r>
          </w:p>
        </w:tc>
        <w:tc>
          <w:tcPr>
            <w:tcW w:w="1541"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适用对象</w:t>
            </w:r>
          </w:p>
        </w:tc>
        <w:tc>
          <w:tcPr>
            <w:tcW w:w="2365"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管控要求类别</w:t>
            </w:r>
          </w:p>
        </w:tc>
        <w:tc>
          <w:tcPr>
            <w:tcW w:w="9042"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生态环境准入及管控要求</w:t>
            </w:r>
          </w:p>
        </w:tc>
        <w:tc>
          <w:tcPr>
            <w:tcW w:w="6985" w:type="dxa"/>
            <w:vAlign w:val="center"/>
          </w:tcPr>
          <w:p>
            <w:pPr>
              <w:pStyle w:val="23"/>
              <w:rPr>
                <w:rFonts w:eastAsia="宋体" w:cs="Times New Roman"/>
                <w:color w:val="000000" w:themeColor="text1"/>
                <w:szCs w:val="21"/>
                <w:highlight w:val="none"/>
                <w:u w:val="none"/>
                <w14:textFill>
                  <w14:solidFill>
                    <w14:schemeClr w14:val="tx1"/>
                  </w14:solidFill>
                </w14:textFill>
              </w:rPr>
            </w:pPr>
            <w:r>
              <w:rPr>
                <w:rFonts w:hAnsi="宋体" w:eastAsia="宋体" w:cs="Times New Roman"/>
                <w:color w:val="000000" w:themeColor="text1"/>
                <w:szCs w:val="21"/>
                <w:highlight w:val="none"/>
                <w:u w:val="none"/>
                <w14:textFill>
                  <w14:solidFill>
                    <w14:schemeClr w14:val="tx1"/>
                  </w14:solidFill>
                </w14:textFill>
              </w:rPr>
              <w:t>编制理由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7" w:hRule="atLeast"/>
          <w:jc w:val="center"/>
        </w:trPr>
        <w:tc>
          <w:tcPr>
            <w:tcW w:w="1880" w:type="dxa"/>
            <w:vMerge w:val="restart"/>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桂林国际旅游胜地全部分区</w:t>
            </w:r>
          </w:p>
        </w:tc>
        <w:tc>
          <w:tcPr>
            <w:tcW w:w="1541" w:type="dxa"/>
            <w:vMerge w:val="restart"/>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桂林国际旅游胜地（本清单适用于桂林市）</w:t>
            </w:r>
          </w:p>
        </w:tc>
        <w:tc>
          <w:tcPr>
            <w:tcW w:w="2365"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空间布局约束</w:t>
            </w:r>
          </w:p>
        </w:tc>
        <w:tc>
          <w:tcPr>
            <w:tcW w:w="9042"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．桂林国际旅游胜地坚持可持续发展创新示范，打造世界一流的山水观光休闲度假旅游目的地和旅游集散地，建设国家生态文明示范区。</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坚持生态优先，以加强生态文明建设和生态环境保护为根本，妥善处理好保护与开发的关系；注重低碳环保和资源、能源集约利用，形成资源节约型和环境友好型的产业结构、发展方式和消费模式，实现生态环境与经济社会的协调可持续发展。</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．持续推进漓江流域山水林田湖草沙一体化保护和修复，持续推动漓江流域生态环境持续改善、生态系统持续优化、整体功能持续提升。</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．漓江流域严格按照《广西壮族自治区漓江流域生态环境保护条例》进行管控。</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5</w:t>
            </w:r>
            <w:r>
              <w:rPr>
                <w:rFonts w:hAnsi="宋体" w:eastAsia="宋体"/>
                <w:color w:val="000000" w:themeColor="text1"/>
                <w:highlight w:val="none"/>
                <w:u w:val="none"/>
                <w14:textFill>
                  <w14:solidFill>
                    <w14:schemeClr w14:val="tx1"/>
                  </w14:solidFill>
                </w14:textFill>
              </w:rPr>
              <w:t>．实施漓江流域生态保护和修复提升工程，提升流域水源涵养和水土保持能力。探索建立漓江流域生态环境保护补偿机制。</w:t>
            </w:r>
          </w:p>
        </w:tc>
        <w:tc>
          <w:tcPr>
            <w:tcW w:w="6985" w:type="dxa"/>
            <w:vMerge w:val="restart"/>
            <w:vAlign w:val="center"/>
          </w:tcPr>
          <w:p>
            <w:pPr>
              <w:pStyle w:val="21"/>
              <w:rPr>
                <w:rFonts w:eastAsia="宋体"/>
                <w:bCs/>
                <w:color w:val="000000" w:themeColor="text1"/>
                <w:highlight w:val="none"/>
                <w:u w:val="none"/>
                <w14:textFill>
                  <w14:solidFill>
                    <w14:schemeClr w14:val="tx1"/>
                  </w14:solidFill>
                </w14:textFill>
              </w:rPr>
            </w:pPr>
            <w:r>
              <w:rPr>
                <w:rFonts w:hAnsi="宋体" w:eastAsia="宋体"/>
                <w:bCs/>
                <w:color w:val="000000" w:themeColor="text1"/>
                <w:highlight w:val="none"/>
                <w:u w:val="none"/>
                <w14:textFill>
                  <w14:solidFill>
                    <w14:schemeClr w14:val="tx1"/>
                  </w14:solidFill>
                </w14:textFill>
              </w:rPr>
              <w:t>流域特点：漓江发源于广西兴安县猫儿山，经灵川、桂林、阳朔、平乐、昭平等县市，至梧州市汇入西江，全长</w:t>
            </w:r>
            <w:r>
              <w:rPr>
                <w:rFonts w:eastAsia="宋体"/>
                <w:bCs/>
                <w:color w:val="000000" w:themeColor="text1"/>
                <w:highlight w:val="none"/>
                <w:u w:val="none"/>
                <w14:textFill>
                  <w14:solidFill>
                    <w14:schemeClr w14:val="tx1"/>
                  </w14:solidFill>
                </w14:textFill>
              </w:rPr>
              <w:t>214</w:t>
            </w:r>
            <w:r>
              <w:rPr>
                <w:rFonts w:hAnsi="宋体" w:eastAsia="宋体"/>
                <w:bCs/>
                <w:color w:val="000000" w:themeColor="text1"/>
                <w:highlight w:val="none"/>
                <w:u w:val="none"/>
                <w14:textFill>
                  <w14:solidFill>
                    <w14:schemeClr w14:val="tx1"/>
                  </w14:solidFill>
                </w14:textFill>
              </w:rPr>
              <w:t>公里，是珠江的重要水源涵养地。</w:t>
            </w:r>
            <w:r>
              <w:rPr>
                <w:rFonts w:eastAsia="宋体"/>
                <w:bCs/>
                <w:color w:val="000000" w:themeColor="text1"/>
                <w:highlight w:val="none"/>
                <w:u w:val="none"/>
                <w14:textFill>
                  <w14:solidFill>
                    <w14:schemeClr w14:val="tx1"/>
                  </w14:solidFill>
                </w14:textFill>
              </w:rPr>
              <w:t>2017</w:t>
            </w:r>
            <w:r>
              <w:rPr>
                <w:rFonts w:hAnsi="宋体" w:eastAsia="宋体"/>
                <w:bCs/>
                <w:color w:val="000000" w:themeColor="text1"/>
                <w:highlight w:val="none"/>
                <w:u w:val="none"/>
                <w14:textFill>
                  <w14:solidFill>
                    <w14:schemeClr w14:val="tx1"/>
                  </w14:solidFill>
                </w14:textFill>
              </w:rPr>
              <w:t>年以来，漓江流域国家地表水考核断面连年保持</w:t>
            </w:r>
            <w:r>
              <w:rPr>
                <w:rFonts w:eastAsia="宋体"/>
                <w:bCs/>
                <w:color w:val="000000" w:themeColor="text1"/>
                <w:highlight w:val="none"/>
                <w:u w:val="none"/>
                <w14:textFill>
                  <w14:solidFill>
                    <w14:schemeClr w14:val="tx1"/>
                  </w14:solidFill>
                </w14:textFill>
              </w:rPr>
              <w:t>Ⅱ</w:t>
            </w:r>
            <w:r>
              <w:rPr>
                <w:rFonts w:hAnsi="宋体" w:eastAsia="宋体"/>
                <w:bCs/>
                <w:color w:val="000000" w:themeColor="text1"/>
                <w:highlight w:val="none"/>
                <w:u w:val="none"/>
                <w14:textFill>
                  <w14:solidFill>
                    <w14:schemeClr w14:val="tx1"/>
                  </w14:solidFill>
                </w14:textFill>
              </w:rPr>
              <w:t>类以上水质。漓江流域生态系统类型齐全，群落结构多样，生物资源丰富，特有物种繁多。</w:t>
            </w:r>
          </w:p>
          <w:p>
            <w:pPr>
              <w:pStyle w:val="21"/>
              <w:rPr>
                <w:rFonts w:eastAsia="宋体"/>
                <w:color w:val="000000" w:themeColor="text1"/>
                <w:highlight w:val="none"/>
                <w:u w:val="none"/>
                <w14:textFill>
                  <w14:solidFill>
                    <w14:schemeClr w14:val="tx1"/>
                  </w14:solidFill>
                </w14:textFill>
              </w:rPr>
            </w:pPr>
            <w:r>
              <w:rPr>
                <w:rFonts w:hAnsi="宋体" w:eastAsia="宋体"/>
                <w:bCs/>
                <w:color w:val="000000" w:themeColor="text1"/>
                <w:highlight w:val="none"/>
                <w:u w:val="none"/>
                <w14:textFill>
                  <w14:solidFill>
                    <w14:schemeClr w14:val="tx1"/>
                  </w14:solidFill>
                </w14:textFill>
              </w:rPr>
              <w:t>相关文件：依据《广西壮族自治区漓江流域生态环境保护条例（</w:t>
            </w:r>
            <w:r>
              <w:rPr>
                <w:rFonts w:eastAsia="宋体"/>
                <w:bCs/>
                <w:color w:val="000000" w:themeColor="text1"/>
                <w:highlight w:val="none"/>
                <w:u w:val="none"/>
                <w14:textFill>
                  <w14:solidFill>
                    <w14:schemeClr w14:val="tx1"/>
                  </w14:solidFill>
                </w14:textFill>
              </w:rPr>
              <w:t>2011</w:t>
            </w:r>
            <w:r>
              <w:rPr>
                <w:rFonts w:hAnsi="宋体" w:eastAsia="宋体"/>
                <w:bCs/>
                <w:color w:val="000000" w:themeColor="text1"/>
                <w:highlight w:val="none"/>
                <w:u w:val="none"/>
                <w14:textFill>
                  <w14:solidFill>
                    <w14:schemeClr w14:val="tx1"/>
                  </w14:solidFill>
                </w14:textFill>
              </w:rPr>
              <w:t>年）》</w:t>
            </w:r>
            <w:r>
              <w:rPr>
                <w:rFonts w:hAnsi="宋体" w:eastAsia="宋体"/>
                <w:color w:val="000000" w:themeColor="text1"/>
                <w:highlight w:val="none"/>
                <w:u w:val="none"/>
                <w14:textFill>
                  <w14:solidFill>
                    <w14:schemeClr w14:val="tx1"/>
                  </w14:solidFill>
                </w14:textFill>
              </w:rPr>
              <w:t>《漓江南流江九洲江钦江等重点流域水环境综合治理</w:t>
            </w:r>
            <w:r>
              <w:rPr>
                <w:rFonts w:eastAsia="宋体"/>
                <w:color w:val="000000" w:themeColor="text1"/>
                <w:highlight w:val="none"/>
                <w:u w:val="none"/>
                <w14:textFill>
                  <w14:solidFill>
                    <w14:schemeClr w14:val="tx1"/>
                  </w14:solidFill>
                </w14:textFill>
              </w:rPr>
              <w:t>2021</w:t>
            </w:r>
            <w:r>
              <w:rPr>
                <w:rFonts w:hAnsi="宋体" w:eastAsia="宋体"/>
                <w:color w:val="000000" w:themeColor="text1"/>
                <w:highlight w:val="none"/>
                <w:u w:val="none"/>
                <w14:textFill>
                  <w14:solidFill>
                    <w14:schemeClr w14:val="tx1"/>
                  </w14:solidFill>
                </w14:textFill>
              </w:rPr>
              <w:t>年度工作计划》《广西创建生态文明建设示范区工作方案》（桂政办发〔</w:t>
            </w:r>
            <w:r>
              <w:rPr>
                <w:rFonts w:eastAsia="宋体"/>
                <w:color w:val="000000" w:themeColor="text1"/>
                <w:highlight w:val="none"/>
                <w:u w:val="none"/>
                <w14:textFill>
                  <w14:solidFill>
                    <w14:schemeClr w14:val="tx1"/>
                  </w14:solidFill>
                </w14:textFill>
              </w:rPr>
              <w:t>2022</w:t>
            </w:r>
            <w:r>
              <w:rPr>
                <w:rFonts w:hAnsi="宋体" w:eastAsia="宋体"/>
                <w:color w:val="000000" w:themeColor="text1"/>
                <w:highlight w:val="none"/>
                <w:u w:val="none"/>
                <w14:textFill>
                  <w14:solidFill>
                    <w14:schemeClr w14:val="tx1"/>
                  </w14:solidFill>
                </w14:textFill>
              </w:rPr>
              <w:t>〕</w:t>
            </w:r>
            <w:r>
              <w:rPr>
                <w:rFonts w:eastAsia="宋体"/>
                <w:color w:val="000000" w:themeColor="text1"/>
                <w:highlight w:val="none"/>
                <w:u w:val="none"/>
                <w14:textFill>
                  <w14:solidFill>
                    <w14:schemeClr w14:val="tx1"/>
                  </w14:solidFill>
                </w14:textFill>
              </w:rPr>
              <w:t>67</w:t>
            </w:r>
            <w:r>
              <w:rPr>
                <w:rFonts w:hAnsi="宋体" w:eastAsia="宋体"/>
                <w:color w:val="000000" w:themeColor="text1"/>
                <w:highlight w:val="none"/>
                <w:u w:val="none"/>
                <w14:textFill>
                  <w14:solidFill>
                    <w14:schemeClr w14:val="tx1"/>
                  </w14:solidFill>
                </w14:textFill>
              </w:rPr>
              <w:t>号）《广西壮族自治区</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十四五</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重点流域水生态环境保护高质量发展规划》，参照《广西深入打好长江保护修复攻坚战行动工作方案》《桂林国际旅游胜地建设发展规划纲要（</w:t>
            </w:r>
            <w:r>
              <w:rPr>
                <w:rFonts w:eastAsia="宋体"/>
                <w:color w:val="000000" w:themeColor="text1"/>
                <w:highlight w:val="none"/>
                <w:u w:val="none"/>
                <w14:textFill>
                  <w14:solidFill>
                    <w14:schemeClr w14:val="tx1"/>
                  </w14:solidFill>
                </w14:textFill>
              </w:rPr>
              <w:t>2012-2020</w:t>
            </w:r>
            <w:r>
              <w:rPr>
                <w:rFonts w:hAnsi="宋体" w:eastAsia="宋体"/>
                <w:color w:val="000000" w:themeColor="text1"/>
                <w:highlight w:val="none"/>
                <w:u w:val="none"/>
                <w14:textFill>
                  <w14:solidFill>
                    <w14:schemeClr w14:val="tx1"/>
                  </w14:solidFill>
                </w14:textFill>
              </w:rPr>
              <w:t>年）》以及《广西壮族自治区</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三线一单</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研究报告》成果提出管控要求。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1" w:hRule="atLeast"/>
          <w:jc w:val="center"/>
        </w:trPr>
        <w:tc>
          <w:tcPr>
            <w:tcW w:w="1880"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1541"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2365"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污染物排放管控</w:t>
            </w:r>
          </w:p>
        </w:tc>
        <w:tc>
          <w:tcPr>
            <w:tcW w:w="9042"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控制工业开发强度，加强工业园区污水处理设施建设。完善漓江流域工业园区集中式污水处理设施建设；园区集中式污水处理设施总排口安装自动监控系统、视频监控系统，并与生态环境主管部门联网。入园企业要完成清洁化改造，按照</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清污分流、雨污分流</w:t>
            </w:r>
            <w:r>
              <w:rPr>
                <w:rFonts w:hint="eastAsia"/>
                <w:color w:val="000000" w:themeColor="text1"/>
                <w:highlight w:val="none"/>
                <w:u w:val="none"/>
                <w:lang w:eastAsia="zh-CN"/>
                <w14:textFill>
                  <w14:solidFill>
                    <w14:schemeClr w14:val="tx1"/>
                  </w14:solidFill>
                </w14:textFill>
              </w:rPr>
              <w:t>”</w:t>
            </w:r>
            <w:r>
              <w:rPr>
                <w:rFonts w:hAnsi="宋体" w:eastAsia="宋体"/>
                <w:color w:val="000000" w:themeColor="text1"/>
                <w:highlight w:val="none"/>
                <w:u w:val="none"/>
                <w14:textFill>
                  <w14:solidFill>
                    <w14:schemeClr w14:val="tx1"/>
                  </w14:solidFill>
                </w14:textFill>
              </w:rPr>
              <w:t>原则，实施废水分类收集、分质处理，园区集中处理达标统一排口外排。</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．加强城镇污水处理设施建设及提标改造，全面加强配套管网建设。对新建城区，管网和污水处理设施要与城镇发展同步规划、同步建设，做到雨污分流。</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3</w:t>
            </w:r>
            <w:r>
              <w:rPr>
                <w:rFonts w:hAnsi="宋体" w:eastAsia="宋体"/>
                <w:color w:val="000000" w:themeColor="text1"/>
                <w:highlight w:val="none"/>
                <w:u w:val="none"/>
                <w14:textFill>
                  <w14:solidFill>
                    <w14:schemeClr w14:val="tx1"/>
                  </w14:solidFill>
                </w14:textFill>
              </w:rPr>
              <w:t>．开展漓江小流域治理。对漓江及其主要支流小流域进行综合治理，改善支流生态环境，提高漓江防洪治涝能力。</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4</w:t>
            </w:r>
            <w:r>
              <w:rPr>
                <w:rFonts w:hAnsi="宋体" w:eastAsia="宋体"/>
                <w:color w:val="000000" w:themeColor="text1"/>
                <w:highlight w:val="none"/>
                <w:u w:val="none"/>
                <w14:textFill>
                  <w14:solidFill>
                    <w14:schemeClr w14:val="tx1"/>
                  </w14:solidFill>
                </w14:textFill>
              </w:rPr>
              <w:t>．推进农业农村环境综合整治，加大畜禽养殖业污染治理，控制农业面源污染。</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5</w:t>
            </w:r>
            <w:r>
              <w:rPr>
                <w:rFonts w:hAnsi="宋体" w:eastAsia="宋体"/>
                <w:color w:val="000000" w:themeColor="text1"/>
                <w:highlight w:val="none"/>
                <w:u w:val="none"/>
                <w14:textFill>
                  <w14:solidFill>
                    <w14:schemeClr w14:val="tx1"/>
                  </w14:solidFill>
                </w14:textFill>
              </w:rPr>
              <w:t>．控制船舶污染。建设完善船舶污染物接收处理设施，提高含油污水、化学品洗舱水、船舶垃圾等接收处置能力及污染事故应急能力；依法强制报废超过使用年限的船舶，规范拆船行为；实施漓江游船、排筏节能减排改造提升，提高漓江流域环境质量。</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6</w:t>
            </w:r>
            <w:r>
              <w:rPr>
                <w:rFonts w:hAnsi="宋体" w:eastAsia="宋体"/>
                <w:color w:val="000000" w:themeColor="text1"/>
                <w:highlight w:val="none"/>
                <w:u w:val="none"/>
                <w14:textFill>
                  <w14:solidFill>
                    <w14:schemeClr w14:val="tx1"/>
                  </w14:solidFill>
                </w14:textFill>
              </w:rPr>
              <w:t>．推进垃圾分类投放、收集、运输和处理系统建设，加强垃圾无害化资源化处理，推进污泥资源化利用，推动实现垃圾渗滤液全收集全处理。</w:t>
            </w:r>
          </w:p>
        </w:tc>
        <w:tc>
          <w:tcPr>
            <w:tcW w:w="6985" w:type="dxa"/>
            <w:vMerge w:val="continue"/>
            <w:vAlign w:val="center"/>
          </w:tcPr>
          <w:p>
            <w:pPr>
              <w:pStyle w:val="21"/>
              <w:rPr>
                <w:rFonts w:eastAsia="宋体"/>
                <w:color w:val="000000" w:themeColor="text1"/>
                <w:highlight w:val="none"/>
                <w:u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880"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1541"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2365"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环境风险防控</w:t>
            </w:r>
          </w:p>
        </w:tc>
        <w:tc>
          <w:tcPr>
            <w:tcW w:w="9042" w:type="dxa"/>
            <w:vAlign w:val="center"/>
          </w:tcPr>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1</w:t>
            </w:r>
            <w:r>
              <w:rPr>
                <w:rFonts w:hAnsi="宋体" w:eastAsia="宋体"/>
                <w:color w:val="000000" w:themeColor="text1"/>
                <w:highlight w:val="none"/>
                <w:u w:val="none"/>
                <w14:textFill>
                  <w14:solidFill>
                    <w14:schemeClr w14:val="tx1"/>
                  </w14:solidFill>
                </w14:textFill>
              </w:rPr>
              <w:t>．</w:t>
            </w:r>
            <w:r>
              <w:rPr>
                <w:rFonts w:hAnsi="宋体" w:eastAsia="宋体"/>
                <w:b/>
                <w:bCs/>
                <w:color w:val="000000" w:themeColor="text1"/>
                <w:highlight w:val="none"/>
                <w:u w:val="none"/>
                <w14:textFill>
                  <w14:solidFill>
                    <w14:schemeClr w14:val="tx1"/>
                  </w14:solidFill>
                </w14:textFill>
              </w:rPr>
              <w:t>禁止</w:t>
            </w:r>
            <w:r>
              <w:rPr>
                <w:rFonts w:hAnsi="宋体" w:eastAsia="宋体"/>
                <w:color w:val="000000" w:themeColor="text1"/>
                <w:highlight w:val="none"/>
                <w:u w:val="none"/>
                <w14:textFill>
                  <w14:solidFill>
                    <w14:schemeClr w14:val="tx1"/>
                  </w14:solidFill>
                </w14:textFill>
              </w:rPr>
              <w:t>在漓江干流、支流、水库使用不符合国家规定防污条件的水上运载工具运载油类以及其他有毒有害物品。</w:t>
            </w:r>
          </w:p>
          <w:p>
            <w:pPr>
              <w:pStyle w:val="21"/>
              <w:rPr>
                <w:rFonts w:eastAsia="宋体"/>
                <w:color w:val="000000" w:themeColor="text1"/>
                <w:highlight w:val="none"/>
                <w:u w:val="none"/>
                <w14:textFill>
                  <w14:solidFill>
                    <w14:schemeClr w14:val="tx1"/>
                  </w14:solidFill>
                </w14:textFill>
              </w:rPr>
            </w:pPr>
            <w:r>
              <w:rPr>
                <w:rFonts w:eastAsia="宋体"/>
                <w:color w:val="000000" w:themeColor="text1"/>
                <w:highlight w:val="none"/>
                <w:u w:val="none"/>
                <w14:textFill>
                  <w14:solidFill>
                    <w14:schemeClr w14:val="tx1"/>
                  </w14:solidFill>
                </w14:textFill>
              </w:rPr>
              <w:t>2</w:t>
            </w:r>
            <w:r>
              <w:rPr>
                <w:rFonts w:hAnsi="宋体" w:eastAsia="宋体"/>
                <w:color w:val="000000" w:themeColor="text1"/>
                <w:highlight w:val="none"/>
                <w:u w:val="none"/>
                <w14:textFill>
                  <w14:solidFill>
                    <w14:schemeClr w14:val="tx1"/>
                  </w14:solidFill>
                </w14:textFill>
              </w:rPr>
              <w:t>．</w:t>
            </w:r>
            <w:r>
              <w:rPr>
                <w:rFonts w:hAnsi="宋体" w:eastAsia="宋体"/>
                <w:b/>
                <w:bCs/>
                <w:color w:val="000000" w:themeColor="text1"/>
                <w:highlight w:val="none"/>
                <w:u w:val="none"/>
                <w14:textFill>
                  <w14:solidFill>
                    <w14:schemeClr w14:val="tx1"/>
                  </w14:solidFill>
                </w14:textFill>
              </w:rPr>
              <w:t>禁止</w:t>
            </w:r>
            <w:r>
              <w:rPr>
                <w:rFonts w:hAnsi="宋体" w:eastAsia="宋体"/>
                <w:color w:val="000000" w:themeColor="text1"/>
                <w:highlight w:val="none"/>
                <w:u w:val="none"/>
                <w14:textFill>
                  <w14:solidFill>
                    <w14:schemeClr w14:val="tx1"/>
                  </w14:solidFill>
                </w14:textFill>
              </w:rPr>
              <w:t>向漓江源头、干流、支流和水库等水体倾倒矿渣、有毒有害物质、垃圾、农业投入品废弃物以及其他污染水体的废弃物，</w:t>
            </w:r>
            <w:r>
              <w:rPr>
                <w:rFonts w:hAnsi="宋体" w:eastAsia="宋体"/>
                <w:b/>
                <w:bCs/>
                <w:color w:val="000000" w:themeColor="text1"/>
                <w:highlight w:val="none"/>
                <w:u w:val="none"/>
                <w14:textFill>
                  <w14:solidFill>
                    <w14:schemeClr w14:val="tx1"/>
                  </w14:solidFill>
                </w14:textFill>
              </w:rPr>
              <w:t>禁止</w:t>
            </w:r>
            <w:r>
              <w:rPr>
                <w:rFonts w:hAnsi="宋体" w:eastAsia="宋体"/>
                <w:color w:val="000000" w:themeColor="text1"/>
                <w:highlight w:val="none"/>
                <w:u w:val="none"/>
                <w14:textFill>
                  <w14:solidFill>
                    <w14:schemeClr w14:val="tx1"/>
                  </w14:solidFill>
                </w14:textFill>
              </w:rPr>
              <w:t>向水体丢弃死亡禽畜动物尸体和排放油类或者含病原体的污水及残液。</w:t>
            </w:r>
          </w:p>
        </w:tc>
        <w:tc>
          <w:tcPr>
            <w:tcW w:w="6985" w:type="dxa"/>
            <w:vMerge w:val="continue"/>
            <w:vAlign w:val="center"/>
          </w:tcPr>
          <w:p>
            <w:pPr>
              <w:pStyle w:val="21"/>
              <w:rPr>
                <w:rFonts w:eastAsia="宋体"/>
                <w:color w:val="000000" w:themeColor="text1"/>
                <w:highlight w:val="none"/>
                <w:u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1880"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1541" w:type="dxa"/>
            <w:vMerge w:val="continue"/>
            <w:vAlign w:val="center"/>
          </w:tcPr>
          <w:p>
            <w:pPr>
              <w:pStyle w:val="21"/>
              <w:jc w:val="center"/>
              <w:rPr>
                <w:rFonts w:eastAsia="宋体"/>
                <w:color w:val="000000" w:themeColor="text1"/>
                <w:highlight w:val="none"/>
                <w:u w:val="none"/>
                <w14:textFill>
                  <w14:solidFill>
                    <w14:schemeClr w14:val="tx1"/>
                  </w14:solidFill>
                </w14:textFill>
              </w:rPr>
            </w:pPr>
          </w:p>
        </w:tc>
        <w:tc>
          <w:tcPr>
            <w:tcW w:w="2365" w:type="dxa"/>
            <w:vAlign w:val="center"/>
          </w:tcPr>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资源开发利用</w:t>
            </w:r>
          </w:p>
          <w:p>
            <w:pPr>
              <w:pStyle w:val="21"/>
              <w:jc w:val="center"/>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效率要求</w:t>
            </w:r>
          </w:p>
        </w:tc>
        <w:tc>
          <w:tcPr>
            <w:tcW w:w="9042" w:type="dxa"/>
            <w:vAlign w:val="center"/>
          </w:tcPr>
          <w:p>
            <w:pPr>
              <w:pStyle w:val="21"/>
              <w:rPr>
                <w:rFonts w:eastAsia="宋体"/>
                <w:color w:val="000000" w:themeColor="text1"/>
                <w:highlight w:val="none"/>
                <w:u w:val="none"/>
                <w14:textFill>
                  <w14:solidFill>
                    <w14:schemeClr w14:val="tx1"/>
                  </w14:solidFill>
                </w14:textFill>
              </w:rPr>
            </w:pPr>
            <w:r>
              <w:rPr>
                <w:rFonts w:hAnsi="宋体" w:eastAsia="宋体"/>
                <w:color w:val="000000" w:themeColor="text1"/>
                <w:highlight w:val="none"/>
                <w:u w:val="none"/>
                <w14:textFill>
                  <w14:solidFill>
                    <w14:schemeClr w14:val="tx1"/>
                  </w14:solidFill>
                </w14:textFill>
              </w:rPr>
              <w:t>在地下水超采地区，严格控制开采地下水。在城市供水管网到达的范围，限期关闭自备水井。</w:t>
            </w:r>
          </w:p>
        </w:tc>
        <w:tc>
          <w:tcPr>
            <w:tcW w:w="6985" w:type="dxa"/>
            <w:vMerge w:val="continue"/>
            <w:vAlign w:val="center"/>
          </w:tcPr>
          <w:p>
            <w:pPr>
              <w:pStyle w:val="21"/>
              <w:rPr>
                <w:rFonts w:eastAsia="宋体"/>
                <w:color w:val="000000" w:themeColor="text1"/>
                <w:highlight w:val="none"/>
                <w:u w:val="none"/>
                <w14:textFill>
                  <w14:solidFill>
                    <w14:schemeClr w14:val="tx1"/>
                  </w14:solidFill>
                </w14:textFill>
              </w:rPr>
            </w:pPr>
          </w:p>
        </w:tc>
      </w:tr>
    </w:tbl>
    <w:p>
      <w:pPr>
        <w:widowControl/>
        <w:jc w:val="left"/>
        <w:rPr>
          <w:rFonts w:hint="default" w:ascii="Times New Roman" w:hAnsi="Times New Roman" w:eastAsia="宋体" w:cs="Times New Roman"/>
          <w:color w:val="000000" w:themeColor="text1"/>
          <w:szCs w:val="21"/>
          <w:highlight w:val="none"/>
          <w:u w:val="none"/>
          <w14:textFill>
            <w14:solidFill>
              <w14:schemeClr w14:val="tx1"/>
            </w14:solidFill>
          </w14:textFill>
        </w:rPr>
      </w:pPr>
    </w:p>
    <w:p>
      <w:pPr>
        <w:autoSpaceDE w:val="0"/>
        <w:autoSpaceDN w:val="0"/>
        <w:adjustRightInd w:val="0"/>
        <w:spacing w:line="580" w:lineRule="exact"/>
        <w:jc w:val="center"/>
        <w:rPr>
          <w:rFonts w:hint="eastAsia" w:ascii="黑体" w:hAnsi="黑体" w:eastAsia="黑体" w:cs="黑体"/>
          <w:color w:val="000000"/>
          <w:sz w:val="32"/>
          <w:szCs w:val="32"/>
          <w:highlight w:val="none"/>
          <w:lang w:eastAsia="zh-CN" w:bidi="ar"/>
        </w:rPr>
      </w:pPr>
    </w:p>
    <w:sectPr>
      <w:headerReference r:id="rId12" w:type="default"/>
      <w:footerReference r:id="rId13" w:type="default"/>
      <w:pgSz w:w="23814" w:h="16839" w:orient="landscape"/>
      <w:pgMar w:top="1797" w:right="1440" w:bottom="1797"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posOffset>4841240</wp:posOffset>
              </wp:positionH>
              <wp:positionV relativeFrom="paragraph">
                <wp:posOffset>0</wp:posOffset>
              </wp:positionV>
              <wp:extent cx="11684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1684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  \* MERGEFORMAT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381.2pt;margin-top:0pt;height:144pt;width:9.2pt;mso-position-horizontal-relative:margin;z-index:251659264;mso-width-relative:page;mso-height-relative:page;" filled="f" stroked="f" coordsize="21600,21600" o:gfxdata="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BYAAABkcnMvUEsBAhQAFAAA&#10;AAgAh07iQNrV8aDWAAAACAEAAA8AAAAAAAAAAQAgAAAAOAAAAGRycy9kb3ducmV2LnhtbFBLAQIU&#10;ABQAAAAIAIdO4kBLJToGGAIAABQEAAAOAAAAAAAAAAEAIAAAADsBAABkcnMvZTJvRG9jLnhtbFBL&#10;BQYAAAAABgAGAFkBAADFBQAAAAA=&#10;">
              <v:fill on="f" focussize="0,0"/>
              <v:stroke on="f" weight="0.5pt"/>
              <v:imagedata o:title=""/>
              <o:lock v:ext="edit" aspectratio="f"/>
              <v:textbox inset="0mm,0mm,0mm,0mm" style="mso-fit-shape-to-text:t;">
                <w:txbxContent>
                  <w:p>
                    <w:pPr>
                      <w:pStyle w:val="6"/>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  \* MERGEFORMAT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4859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4859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  \* MERGEFORMAT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1.7pt;mso-position-horizontal:center;mso-position-horizontal-relative:margin;z-index:251663360;mso-width-relative:page;mso-height-relative:page;" filled="f" stroked="f" coordsize="21600,21600" o:gfxdata="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g1uLLtMAAAAEAQAADwAAAAAAAAABACAAAAA4AAAAZHJzL2Rvd25yZXYueG1sUEsBAhQA&#10;FAAAAAgAh07iQOh88hkaAgAAFAQAAA4AAAAAAAAAAQAgAAAAOAEAAGRycy9lMm9Eb2MueG1sUEsF&#10;BgAAAAAGAAYAWQEAAMQFAAAAAA==&#10;">
              <v:fill on="f" focussize="0,0"/>
              <v:stroke on="f" weight="0.5pt"/>
              <v:imagedata o:title=""/>
              <o:lock v:ext="edit" aspectratio="f"/>
              <v:textbox inset="0mm,0mm,0mm,0mm" style="mso-fit-shape-to-text:t;">
                <w:txbxContent>
                  <w:p>
                    <w:pPr>
                      <w:pStyle w:val="6"/>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  \* MERGEFORMAT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584819"/>
                          </w:sdtPr>
                          <w:sdtContent>
                            <w:p>
                              <w:pPr>
                                <w:pStyle w:val="6"/>
                                <w:jc w:val="center"/>
                              </w:pPr>
                              <w:r>
                                <w:rPr>
                                  <w:rFonts w:ascii="Times New Roman" w:hAnsi="Times New Roman" w:cs="Times New Roman"/>
                                  <w:sz w:val="21"/>
                                  <w:szCs w:val="21"/>
                                </w:rPr>
                                <w:fldChar w:fldCharType="begin"/>
                              </w:r>
                              <w:r>
                                <w:rPr>
                                  <w:rFonts w:ascii="Times New Roman" w:hAnsi="Times New Roman" w:cs="Times New Roman"/>
                                  <w:sz w:val="21"/>
                                  <w:szCs w:val="21"/>
                                </w:rPr>
                                <w:instrText xml:space="preserve">PAGE   \* MERGEFORMAT</w:instrText>
                              </w:r>
                              <w:r>
                                <w:rPr>
                                  <w:rFonts w:ascii="Times New Roman" w:hAnsi="Times New Roman" w:cs="Times New Roman"/>
                                  <w:sz w:val="21"/>
                                  <w:szCs w:val="21"/>
                                </w:rPr>
                                <w:fldChar w:fldCharType="separate"/>
                              </w:r>
                              <w:r>
                                <w:rPr>
                                  <w:rFonts w:ascii="Times New Roman" w:hAnsi="Times New Roman" w:cs="Times New Roman"/>
                                  <w:sz w:val="21"/>
                                  <w:szCs w:val="21"/>
                                  <w:lang w:val="zh-CN"/>
                                </w:rPr>
                                <w:t>II</w:t>
                              </w:r>
                              <w:r>
                                <w:rPr>
                                  <w:rFonts w:ascii="Times New Roman" w:hAnsi="Times New Roman" w:cs="Times New Roman"/>
                                  <w:sz w:val="21"/>
                                  <w:szCs w:val="21"/>
                                </w:rPr>
                                <w:fldChar w:fldCharType="end"/>
                              </w:r>
                            </w:p>
                          </w:sdtContent>
                        </w:sdt>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FgAAAGRycy9QSwECFAAUAAAACACHTuJAs0lY&#10;7tAAAAAFAQAADwAAAAAAAAABACAAAAA4AAAAZHJzL2Rvd25yZXYueG1sUEsBAhQAFAAAAAgAh07i&#10;QMDe54oUAgAAEwQAAA4AAAAAAAAAAQAgAAAANQEAAGRycy9lMm9Eb2MueG1sUEsFBgAAAAAGAAYA&#10;WQEAALsFAAAAAA==&#10;">
              <v:fill on="f" focussize="0,0"/>
              <v:stroke on="f" weight="0.5pt"/>
              <v:imagedata o:title=""/>
              <o:lock v:ext="edit" aspectratio="f"/>
              <v:textbox inset="0mm,0mm,0mm,0mm" style="mso-fit-shape-to-text:t;">
                <w:txbxContent>
                  <w:sdt>
                    <w:sdtPr>
                      <w:id w:val="584819"/>
                    </w:sdtPr>
                    <w:sdtContent>
                      <w:p>
                        <w:pPr>
                          <w:pStyle w:val="6"/>
                          <w:jc w:val="center"/>
                        </w:pPr>
                        <w:r>
                          <w:rPr>
                            <w:rFonts w:ascii="Times New Roman" w:hAnsi="Times New Roman" w:cs="Times New Roman"/>
                            <w:sz w:val="21"/>
                            <w:szCs w:val="21"/>
                          </w:rPr>
                          <w:fldChar w:fldCharType="begin"/>
                        </w:r>
                        <w:r>
                          <w:rPr>
                            <w:rFonts w:ascii="Times New Roman" w:hAnsi="Times New Roman" w:cs="Times New Roman"/>
                            <w:sz w:val="21"/>
                            <w:szCs w:val="21"/>
                          </w:rPr>
                          <w:instrText xml:space="preserve">PAGE   \* MERGEFORMAT</w:instrText>
                        </w:r>
                        <w:r>
                          <w:rPr>
                            <w:rFonts w:ascii="Times New Roman" w:hAnsi="Times New Roman" w:cs="Times New Roman"/>
                            <w:sz w:val="21"/>
                            <w:szCs w:val="21"/>
                          </w:rPr>
                          <w:fldChar w:fldCharType="separate"/>
                        </w:r>
                        <w:r>
                          <w:rPr>
                            <w:rFonts w:ascii="Times New Roman" w:hAnsi="Times New Roman" w:cs="Times New Roman"/>
                            <w:sz w:val="21"/>
                            <w:szCs w:val="21"/>
                            <w:lang w:val="zh-CN"/>
                          </w:rPr>
                          <w:t>II</w:t>
                        </w:r>
                        <w:r>
                          <w:rPr>
                            <w:rFonts w:ascii="Times New Roman" w:hAnsi="Times New Roman" w:cs="Times New Roman"/>
                            <w:sz w:val="21"/>
                            <w:szCs w:val="21"/>
                          </w:rPr>
                          <w:fldChar w:fldCharType="end"/>
                        </w:r>
                      </w:p>
                    </w:sdtContent>
                  </w:sdt>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Calibri" w:hAnsi="Calibri" w:eastAsia="宋体" w:cs="Times New Roman"/>
        <w:szCs w:val="22"/>
      </w:rPr>
      <w:id w:val="584818"/>
    </w:sdtPr>
    <w:sdtEndPr>
      <w:rPr>
        <w:rFonts w:ascii="Calibri" w:hAnsi="Calibri" w:eastAsia="宋体" w:cs="Times New Roman"/>
        <w:sz w:val="18"/>
        <w:szCs w:val="18"/>
      </w:rPr>
    </w:sdtEndPr>
    <w:sdtContent>
      <w:p>
        <w:pPr>
          <w:tabs>
            <w:tab w:val="center" w:pos="4153"/>
            <w:tab w:val="right" w:pos="8306"/>
          </w:tabs>
          <w:snapToGrid w:val="0"/>
          <w:jc w:val="center"/>
          <w:rPr>
            <w:rFonts w:ascii="Calibri" w:hAnsi="Calibri" w:eastAsia="宋体" w:cs="Times New Roman"/>
            <w:sz w:val="18"/>
            <w:szCs w:val="18"/>
          </w:rPr>
        </w:pPr>
        <w:r>
          <w:rPr>
            <w:rFonts w:ascii="Calibri" w:hAnsi="Calibri" w:eastAsia="宋体" w:cs="Times New Roman"/>
            <w:sz w:val="18"/>
            <w:szCs w:val="18"/>
          </w:rPr>
          <w:t xml:space="preserve">- </w:t>
        </w:r>
        <w:r>
          <w:rPr>
            <w:rFonts w:ascii="Times New Roman" w:hAnsi="Times New Roman" w:eastAsia="宋体" w:cs="Times New Roman"/>
            <w:szCs w:val="21"/>
          </w:rPr>
          <w:fldChar w:fldCharType="begin"/>
        </w:r>
        <w:r>
          <w:rPr>
            <w:rFonts w:ascii="Times New Roman" w:hAnsi="Times New Roman" w:eastAsia="宋体" w:cs="Times New Roman"/>
            <w:szCs w:val="21"/>
          </w:rPr>
          <w:instrText xml:space="preserve">PAGE   \* MERGEFORMAT</w:instrText>
        </w:r>
        <w:r>
          <w:rPr>
            <w:rFonts w:ascii="Times New Roman" w:hAnsi="Times New Roman" w:eastAsia="宋体" w:cs="Times New Roman"/>
            <w:szCs w:val="21"/>
          </w:rPr>
          <w:fldChar w:fldCharType="separate"/>
        </w:r>
        <w:r>
          <w:rPr>
            <w:rFonts w:ascii="Times New Roman" w:hAnsi="Times New Roman" w:eastAsia="宋体" w:cs="Times New Roman"/>
            <w:szCs w:val="21"/>
            <w:lang w:val="zh-CN"/>
          </w:rPr>
          <w:t>218</w:t>
        </w:r>
        <w:r>
          <w:rPr>
            <w:rFonts w:ascii="Times New Roman" w:hAnsi="Times New Roman" w:eastAsia="宋体" w:cs="Times New Roman"/>
            <w:szCs w:val="21"/>
          </w:rPr>
          <w:fldChar w:fldCharType="end"/>
        </w:r>
        <w:r>
          <w:rPr>
            <w:rFonts w:ascii="Times New Roman" w:hAnsi="Times New Roman" w:eastAsia="宋体" w:cs="Times New Roman"/>
            <w:szCs w:val="21"/>
          </w:rPr>
          <w:t xml:space="preserve"> -</w:t>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jc w:val="center"/>
                          </w:pPr>
                          <w:r>
                            <w:t xml:space="preserve">- </w:t>
                          </w:r>
                          <w:r>
                            <w:rPr>
                              <w:rFonts w:ascii="Times New Roman" w:hAnsi="Times New Roman" w:cs="Times New Roman"/>
                              <w:sz w:val="20"/>
                            </w:rPr>
                            <w:fldChar w:fldCharType="begin"/>
                          </w:r>
                          <w:r>
                            <w:rPr>
                              <w:rFonts w:ascii="Times New Roman" w:hAnsi="Times New Roman" w:cs="Times New Roman"/>
                              <w:sz w:val="20"/>
                            </w:rPr>
                            <w:instrText xml:space="preserve">PAGE   \* MERGEFORMAT</w:instrText>
                          </w:r>
                          <w:r>
                            <w:rPr>
                              <w:rFonts w:ascii="Times New Roman" w:hAnsi="Times New Roman" w:cs="Times New Roman"/>
                              <w:sz w:val="20"/>
                            </w:rPr>
                            <w:fldChar w:fldCharType="separate"/>
                          </w:r>
                          <w:r>
                            <w:rPr>
                              <w:rFonts w:ascii="Times New Roman" w:hAnsi="Times New Roman" w:cs="Times New Roman"/>
                              <w:sz w:val="20"/>
                              <w:lang w:val="zh-CN"/>
                            </w:rPr>
                            <w:t>134</w:t>
                          </w:r>
                          <w:r>
                            <w:rPr>
                              <w:rFonts w:ascii="Times New Roman" w:hAnsi="Times New Roman" w:cs="Times New Roman"/>
                              <w:sz w:val="20"/>
                            </w:rPr>
                            <w:fldChar w:fldCharType="end"/>
                          </w:r>
                          <w:r>
                            <w:rPr>
                              <w:rFonts w:ascii="Times New Roman" w:hAnsi="Times New Roman" w:cs="Times New Roman"/>
                              <w:sz w:val="20"/>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LNJ&#10;WO7QAAAABQEAAA8AAAAAAAAAAQAgAAAAOAAAAGRycy9kb3ducmV2LnhtbFBLAQIUABQAAAAIAIdO&#10;4kCb0gwvFQIAABMEAAAOAAAAAAAAAAEAIAAAADUBAABkcnMvZTJvRG9jLnhtbFBLBQYAAAAABgAG&#10;AFkBAAC8BQAAAAA=&#10;">
              <v:fill on="f" focussize="0,0"/>
              <v:stroke on="f" weight="0.5pt"/>
              <v:imagedata o:title=""/>
              <o:lock v:ext="edit" aspectratio="f"/>
              <v:textbox inset="0mm,0mm,0mm,0mm" style="mso-fit-shape-to-text:t;">
                <w:txbxContent>
                  <w:p>
                    <w:pPr>
                      <w:pStyle w:val="6"/>
                      <w:jc w:val="center"/>
                    </w:pPr>
                    <w:r>
                      <w:t xml:space="preserve">- </w:t>
                    </w:r>
                    <w:r>
                      <w:rPr>
                        <w:rFonts w:ascii="Times New Roman" w:hAnsi="Times New Roman" w:cs="Times New Roman"/>
                        <w:sz w:val="20"/>
                      </w:rPr>
                      <w:fldChar w:fldCharType="begin"/>
                    </w:r>
                    <w:r>
                      <w:rPr>
                        <w:rFonts w:ascii="Times New Roman" w:hAnsi="Times New Roman" w:cs="Times New Roman"/>
                        <w:sz w:val="20"/>
                      </w:rPr>
                      <w:instrText xml:space="preserve">PAGE   \* MERGEFORMAT</w:instrText>
                    </w:r>
                    <w:r>
                      <w:rPr>
                        <w:rFonts w:ascii="Times New Roman" w:hAnsi="Times New Roman" w:cs="Times New Roman"/>
                        <w:sz w:val="20"/>
                      </w:rPr>
                      <w:fldChar w:fldCharType="separate"/>
                    </w:r>
                    <w:r>
                      <w:rPr>
                        <w:rFonts w:ascii="Times New Roman" w:hAnsi="Times New Roman" w:cs="Times New Roman"/>
                        <w:sz w:val="20"/>
                        <w:lang w:val="zh-CN"/>
                      </w:rPr>
                      <w:t>134</w:t>
                    </w:r>
                    <w:r>
                      <w:rPr>
                        <w:rFonts w:ascii="Times New Roman" w:hAnsi="Times New Roman" w:cs="Times New Roman"/>
                        <w:sz w:val="20"/>
                      </w:rPr>
                      <w:fldChar w:fldCharType="end"/>
                    </w:r>
                    <w:r>
                      <w:rPr>
                        <w:rFonts w:ascii="Times New Roman" w:hAnsi="Times New Roman" w:cs="Times New Roman"/>
                        <w:sz w:val="20"/>
                      </w:rPr>
                      <w:t xml:space="preserve"> -</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sz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jc w:val="center"/>
                          </w:pPr>
                          <w:r>
                            <w:t xml:space="preserve">- </w:t>
                          </w:r>
                          <w:sdt>
                            <w:sdtPr>
                              <w:id w:val="584820"/>
                            </w:sdtPr>
                            <w:sdtEndPr>
                              <w:rPr>
                                <w:sz w:val="20"/>
                              </w:rPr>
                            </w:sdtEndPr>
                            <w:sdtContent>
                              <w:r>
                                <w:rPr>
                                  <w:rFonts w:ascii="Times New Roman" w:hAnsi="Times New Roman" w:cs="Times New Roman"/>
                                  <w:sz w:val="20"/>
                                </w:rPr>
                                <w:fldChar w:fldCharType="begin"/>
                              </w:r>
                              <w:r>
                                <w:rPr>
                                  <w:rFonts w:ascii="Times New Roman" w:hAnsi="Times New Roman" w:cs="Times New Roman"/>
                                  <w:sz w:val="20"/>
                                </w:rPr>
                                <w:instrText xml:space="preserve">PAGE   \* MERGEFORMAT</w:instrText>
                              </w:r>
                              <w:r>
                                <w:rPr>
                                  <w:rFonts w:ascii="Times New Roman" w:hAnsi="Times New Roman" w:cs="Times New Roman"/>
                                  <w:sz w:val="20"/>
                                </w:rPr>
                                <w:fldChar w:fldCharType="separate"/>
                              </w:r>
                              <w:r>
                                <w:rPr>
                                  <w:rFonts w:ascii="Times New Roman" w:hAnsi="Times New Roman" w:cs="Times New Roman"/>
                                  <w:sz w:val="20"/>
                                  <w:lang w:val="zh-CN"/>
                                </w:rPr>
                                <w:t>1101</w:t>
                              </w:r>
                              <w:r>
                                <w:rPr>
                                  <w:rFonts w:ascii="Times New Roman" w:hAnsi="Times New Roman" w:cs="Times New Roman"/>
                                  <w:sz w:val="20"/>
                                </w:rPr>
                                <w:fldChar w:fldCharType="end"/>
                              </w:r>
                              <w:r>
                                <w:rPr>
                                  <w:rFonts w:ascii="Times New Roman" w:hAnsi="Times New Roman" w:cs="Times New Roman"/>
                                  <w:sz w:val="20"/>
                                </w:rPr>
                                <w:t xml:space="preserve"> -</w:t>
                              </w:r>
                            </w:sdtContent>
                          </w:sdt>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FgAAAGRycy9QSwECFAAUAAAACACHTuJAs0lY&#10;7tAAAAAFAQAADwAAAAAAAAABACAAAAA4AAAAZHJzL2Rvd25yZXYueG1sUEsBAhQAFAAAAAgAh07i&#10;QF7QmRUUAgAAEwQAAA4AAAAAAAAAAQAgAAAANQEAAGRycy9lMm9Eb2MueG1sUEsFBgAAAAAGAAYA&#10;WQEAALsFAAAAAA==&#10;">
              <v:fill on="f" focussize="0,0"/>
              <v:stroke on="f" weight="0.5pt"/>
              <v:imagedata o:title=""/>
              <o:lock v:ext="edit" aspectratio="f"/>
              <v:textbox inset="0mm,0mm,0mm,0mm" style="mso-fit-shape-to-text:t;">
                <w:txbxContent>
                  <w:p>
                    <w:pPr>
                      <w:pStyle w:val="6"/>
                      <w:jc w:val="center"/>
                    </w:pPr>
                    <w:r>
                      <w:t xml:space="preserve">- </w:t>
                    </w:r>
                    <w:sdt>
                      <w:sdtPr>
                        <w:id w:val="584820"/>
                      </w:sdtPr>
                      <w:sdtEndPr>
                        <w:rPr>
                          <w:sz w:val="20"/>
                        </w:rPr>
                      </w:sdtEndPr>
                      <w:sdtContent>
                        <w:r>
                          <w:rPr>
                            <w:rFonts w:ascii="Times New Roman" w:hAnsi="Times New Roman" w:cs="Times New Roman"/>
                            <w:sz w:val="20"/>
                          </w:rPr>
                          <w:fldChar w:fldCharType="begin"/>
                        </w:r>
                        <w:r>
                          <w:rPr>
                            <w:rFonts w:ascii="Times New Roman" w:hAnsi="Times New Roman" w:cs="Times New Roman"/>
                            <w:sz w:val="20"/>
                          </w:rPr>
                          <w:instrText xml:space="preserve">PAGE   \* MERGEFORMAT</w:instrText>
                        </w:r>
                        <w:r>
                          <w:rPr>
                            <w:rFonts w:ascii="Times New Roman" w:hAnsi="Times New Roman" w:cs="Times New Roman"/>
                            <w:sz w:val="20"/>
                          </w:rPr>
                          <w:fldChar w:fldCharType="separate"/>
                        </w:r>
                        <w:r>
                          <w:rPr>
                            <w:rFonts w:ascii="Times New Roman" w:hAnsi="Times New Roman" w:cs="Times New Roman"/>
                            <w:sz w:val="20"/>
                            <w:lang w:val="zh-CN"/>
                          </w:rPr>
                          <w:t>1101</w:t>
                        </w:r>
                        <w:r>
                          <w:rPr>
                            <w:rFonts w:ascii="Times New Roman" w:hAnsi="Times New Roman" w:cs="Times New Roman"/>
                            <w:sz w:val="20"/>
                          </w:rPr>
                          <w:fldChar w:fldCharType="end"/>
                        </w:r>
                        <w:r>
                          <w:rPr>
                            <w:rFonts w:ascii="Times New Roman" w:hAnsi="Times New Roman" w:cs="Times New Roman"/>
                            <w:sz w:val="20"/>
                          </w:rPr>
                          <w:t xml:space="preserve"> -</w:t>
                        </w:r>
                      </w:sdtContent>
                    </w:sdt>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eastAsiaTheme="minorEastAsia"/>
        <w:sz w:val="20"/>
        <w:lang w:eastAsia="zh-CN"/>
      </w:rPr>
    </w:pPr>
    <w:r>
      <w:rPr>
        <w:rFonts w:hint="eastAsia"/>
        <w:sz w:val="20"/>
      </w:rPr>
      <w:t>广西壮族自治区生态环境准入及管控要求清单</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tabs>
        <w:tab w:val="center" w:pos="4153"/>
        <w:tab w:val="right" w:pos="8306"/>
      </w:tabs>
      <w:snapToGrid w:val="0"/>
      <w:jc w:val="center"/>
      <w:rPr>
        <w:rFonts w:hint="eastAsia" w:ascii="Calibri" w:hAnsi="Calibri" w:eastAsia="宋体" w:cs="Times New Roman"/>
        <w:sz w:val="20"/>
        <w:szCs w:val="18"/>
        <w:lang w:eastAsia="zh-CN"/>
      </w:rPr>
    </w:pPr>
    <w:r>
      <w:rPr>
        <w:rFonts w:hint="eastAsia" w:ascii="Calibri" w:hAnsi="Calibri" w:eastAsia="宋体" w:cs="Times New Roman"/>
        <w:sz w:val="20"/>
        <w:szCs w:val="18"/>
        <w:lang w:eastAsia="zh-CN"/>
      </w:rPr>
      <w:t>广西壮族自治区生态环境准入及管控要求清单（试行）</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lang w:eastAsia="zh-CN"/>
      </w:rPr>
    </w:pPr>
    <w:r>
      <w:rPr>
        <w:rFonts w:hint="eastAsia"/>
        <w:sz w:val="20"/>
      </w:rPr>
      <w:t>广西壮族自治区生态环境准入及管控要求清单</w:t>
    </w:r>
    <w:r>
      <w:rPr>
        <w:rFonts w:hint="eastAsia"/>
        <w:sz w:val="20"/>
        <w:lang w:eastAsia="zh-CN"/>
      </w:rPr>
      <w:t>（</w:t>
    </w:r>
    <w:r>
      <w:rPr>
        <w:rFonts w:hint="eastAsia"/>
        <w:sz w:val="20"/>
        <w:lang w:val="en-US" w:eastAsia="zh-CN"/>
      </w:rPr>
      <w:t>试行</w:t>
    </w:r>
    <w:r>
      <w:rPr>
        <w:rFonts w:hint="eastAsia"/>
        <w:sz w:val="20"/>
        <w:lang w:eastAsia="zh-CN"/>
      </w:rPr>
      <w:t>）</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eastAsia" w:eastAsiaTheme="minorEastAsia"/>
        <w:sz w:val="20"/>
        <w:lang w:eastAsia="zh-CN"/>
      </w:rPr>
    </w:pPr>
    <w:r>
      <w:rPr>
        <w:rFonts w:hint="eastAsia"/>
        <w:sz w:val="20"/>
        <w:lang w:eastAsia="zh-CN"/>
      </w:rPr>
      <w:t>广西壮族自治区生态环境准入及管控要求清单（试行）</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D6326C"/>
    <w:multiLevelType w:val="singleLevel"/>
    <w:tmpl w:val="A6D6326C"/>
    <w:lvl w:ilvl="0" w:tentative="0">
      <w:start w:val="1"/>
      <w:numFmt w:val="decimal"/>
      <w:suff w:val="nothing"/>
      <w:lvlText w:val="%1．"/>
      <w:lvlJc w:val="left"/>
    </w:lvl>
  </w:abstractNum>
  <w:abstractNum w:abstractNumId="1">
    <w:nsid w:val="BDA56A03"/>
    <w:multiLevelType w:val="singleLevel"/>
    <w:tmpl w:val="BDA56A03"/>
    <w:lvl w:ilvl="0" w:tentative="0">
      <w:start w:val="1"/>
      <w:numFmt w:val="decimal"/>
      <w:suff w:val="nothing"/>
      <w:lvlText w:val="%1．"/>
      <w:lvlJc w:val="left"/>
    </w:lvl>
  </w:abstractNum>
  <w:abstractNum w:abstractNumId="2">
    <w:nsid w:val="D96B279A"/>
    <w:multiLevelType w:val="singleLevel"/>
    <w:tmpl w:val="D96B279A"/>
    <w:lvl w:ilvl="0" w:tentative="0">
      <w:start w:val="1"/>
      <w:numFmt w:val="decimal"/>
      <w:lvlText w:val="%1"/>
      <w:lvlJc w:val="left"/>
    </w:lvl>
  </w:abstractNum>
  <w:abstractNum w:abstractNumId="3">
    <w:nsid w:val="F40484D0"/>
    <w:multiLevelType w:val="singleLevel"/>
    <w:tmpl w:val="F40484D0"/>
    <w:lvl w:ilvl="0" w:tentative="0">
      <w:start w:val="2"/>
      <w:numFmt w:val="decimal"/>
      <w:suff w:val="nothing"/>
      <w:lvlText w:val="%1．"/>
      <w:lvlJc w:val="left"/>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05F6"/>
    <w:rsid w:val="00022D78"/>
    <w:rsid w:val="000C7C90"/>
    <w:rsid w:val="00152F2E"/>
    <w:rsid w:val="00277F03"/>
    <w:rsid w:val="00344F31"/>
    <w:rsid w:val="004D4659"/>
    <w:rsid w:val="005154D2"/>
    <w:rsid w:val="007E05F6"/>
    <w:rsid w:val="00DF4CC0"/>
    <w:rsid w:val="09CF6A16"/>
    <w:rsid w:val="253959F5"/>
    <w:rsid w:val="25834A6B"/>
    <w:rsid w:val="26E92D99"/>
    <w:rsid w:val="338269AE"/>
    <w:rsid w:val="3EA2644E"/>
    <w:rsid w:val="437B4D6F"/>
    <w:rsid w:val="43E7282C"/>
    <w:rsid w:val="44611303"/>
    <w:rsid w:val="44C26CDC"/>
    <w:rsid w:val="4E532747"/>
    <w:rsid w:val="575B629A"/>
    <w:rsid w:val="5EFD608F"/>
    <w:rsid w:val="76FD7759"/>
    <w:rsid w:val="C07DE9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9"/>
    <w:pPr>
      <w:keepNext/>
      <w:keepLines/>
      <w:adjustRightInd w:val="0"/>
      <w:snapToGrid w:val="0"/>
      <w:spacing w:beforeLines="50" w:afterLines="50" w:line="300" w:lineRule="auto"/>
      <w:outlineLvl w:val="0"/>
    </w:pPr>
    <w:rPr>
      <w:rFonts w:ascii="Times New Roman" w:hAnsi="Times New Roman" w:eastAsia="黑体"/>
      <w:bCs/>
      <w:kern w:val="44"/>
      <w:sz w:val="32"/>
      <w:szCs w:val="44"/>
    </w:rPr>
  </w:style>
  <w:style w:type="paragraph" w:styleId="3">
    <w:name w:val="heading 2"/>
    <w:basedOn w:val="1"/>
    <w:next w:val="1"/>
    <w:unhideWhenUsed/>
    <w:qFormat/>
    <w:uiPriority w:val="0"/>
    <w:pPr>
      <w:keepNext/>
      <w:keepLines/>
      <w:adjustRightInd w:val="0"/>
      <w:snapToGrid w:val="0"/>
      <w:spacing w:beforeLines="50" w:afterLines="50" w:line="300" w:lineRule="auto"/>
      <w:outlineLvl w:val="1"/>
    </w:pPr>
    <w:rPr>
      <w:rFonts w:ascii="Times New Roman" w:hAnsi="Times New Roman" w:eastAsia="黑体" w:cs="Times New Roman"/>
      <w:bCs/>
      <w:sz w:val="30"/>
      <w:szCs w:val="32"/>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4">
    <w:name w:val="Body Text"/>
    <w:basedOn w:val="1"/>
    <w:next w:val="1"/>
    <w:qFormat/>
    <w:uiPriority w:val="0"/>
    <w:pPr>
      <w:autoSpaceDE w:val="0"/>
      <w:autoSpaceDN w:val="0"/>
      <w:jc w:val="left"/>
    </w:pPr>
    <w:rPr>
      <w:rFonts w:ascii="方正仿宋_GBK" w:hAnsi="方正仿宋_GBK" w:eastAsia="方正仿宋_GBK" w:cs="方正仿宋_GBK"/>
      <w:kern w:val="0"/>
      <w:sz w:val="32"/>
      <w:szCs w:val="32"/>
      <w:lang w:val="zh-CN" w:bidi="zh-CN"/>
    </w:rPr>
  </w:style>
  <w:style w:type="paragraph" w:styleId="5">
    <w:name w:val="Balloon Text"/>
    <w:basedOn w:val="1"/>
    <w:link w:val="18"/>
    <w:qFormat/>
    <w:uiPriority w:val="0"/>
    <w:rPr>
      <w:sz w:val="18"/>
      <w:szCs w:val="18"/>
    </w:rPr>
  </w:style>
  <w:style w:type="paragraph" w:styleId="6">
    <w:name w:val="footer"/>
    <w:basedOn w:val="1"/>
    <w:link w:val="17"/>
    <w:qFormat/>
    <w:uiPriority w:val="0"/>
    <w:pPr>
      <w:tabs>
        <w:tab w:val="center" w:pos="4153"/>
        <w:tab w:val="right" w:pos="8306"/>
      </w:tabs>
      <w:snapToGrid w:val="0"/>
      <w:jc w:val="left"/>
    </w:pPr>
    <w:rPr>
      <w:sz w:val="18"/>
      <w:szCs w:val="18"/>
    </w:rPr>
  </w:style>
  <w:style w:type="paragraph" w:styleId="7">
    <w:name w:val="header"/>
    <w:basedOn w:val="1"/>
    <w:link w:val="16"/>
    <w:qFormat/>
    <w:uiPriority w:val="0"/>
    <w:pPr>
      <w:pBdr>
        <w:bottom w:val="single" w:color="auto" w:sz="6" w:space="1"/>
      </w:pBdr>
      <w:tabs>
        <w:tab w:val="center" w:pos="4153"/>
        <w:tab w:val="right" w:pos="8306"/>
      </w:tabs>
      <w:snapToGrid w:val="0"/>
      <w:jc w:val="center"/>
    </w:pPr>
    <w:rPr>
      <w:sz w:val="18"/>
      <w:szCs w:val="18"/>
    </w:rPr>
  </w:style>
  <w:style w:type="paragraph" w:styleId="8">
    <w:name w:val="toc 1"/>
    <w:basedOn w:val="1"/>
    <w:next w:val="1"/>
    <w:unhideWhenUsed/>
    <w:qFormat/>
    <w:uiPriority w:val="39"/>
    <w:pPr>
      <w:widowControl/>
      <w:spacing w:after="100" w:line="276" w:lineRule="auto"/>
      <w:jc w:val="left"/>
    </w:pPr>
    <w:rPr>
      <w:kern w:val="0"/>
      <w:sz w:val="22"/>
    </w:rPr>
  </w:style>
  <w:style w:type="paragraph" w:styleId="9">
    <w:name w:val="toc 2"/>
    <w:basedOn w:val="1"/>
    <w:next w:val="1"/>
    <w:unhideWhenUsed/>
    <w:qFormat/>
    <w:uiPriority w:val="0"/>
    <w:pPr>
      <w:widowControl/>
      <w:spacing w:after="100" w:line="276" w:lineRule="auto"/>
      <w:ind w:left="220"/>
      <w:jc w:val="left"/>
    </w:pPr>
    <w:rPr>
      <w:kern w:val="0"/>
      <w:sz w:val="22"/>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
    <w:name w:val="font31"/>
    <w:basedOn w:val="12"/>
    <w:qFormat/>
    <w:uiPriority w:val="0"/>
    <w:rPr>
      <w:rFonts w:hint="default" w:ascii="Arial" w:hAnsi="Arial" w:cs="Arial"/>
      <w:color w:val="000000"/>
      <w:sz w:val="24"/>
      <w:szCs w:val="24"/>
      <w:u w:val="none"/>
    </w:rPr>
  </w:style>
  <w:style w:type="character" w:customStyle="1" w:styleId="14">
    <w:name w:val="font01"/>
    <w:basedOn w:val="12"/>
    <w:qFormat/>
    <w:uiPriority w:val="0"/>
    <w:rPr>
      <w:rFonts w:hint="eastAsia" w:ascii="宋体" w:hAnsi="宋体" w:eastAsia="宋体" w:cs="宋体"/>
      <w:color w:val="000000"/>
      <w:sz w:val="24"/>
      <w:szCs w:val="24"/>
      <w:u w:val="none"/>
    </w:rPr>
  </w:style>
  <w:style w:type="paragraph" w:customStyle="1" w:styleId="15">
    <w:name w:val="Default"/>
    <w:unhideWhenUsed/>
    <w:qFormat/>
    <w:uiPriority w:val="99"/>
    <w:pPr>
      <w:widowControl w:val="0"/>
      <w:autoSpaceDE w:val="0"/>
      <w:autoSpaceDN w:val="0"/>
      <w:adjustRightInd w:val="0"/>
    </w:pPr>
    <w:rPr>
      <w:rFonts w:hint="eastAsia" w:ascii="方正小标宋_GBK" w:hAnsi="方正小标宋_GBK" w:eastAsia="方正小标宋_GBK" w:cs="Times New Roman"/>
      <w:color w:val="000000"/>
      <w:sz w:val="24"/>
      <w:lang w:val="en-US" w:eastAsia="zh-CN" w:bidi="ar-SA"/>
    </w:rPr>
  </w:style>
  <w:style w:type="character" w:customStyle="1" w:styleId="16">
    <w:name w:val="页眉 Char"/>
    <w:basedOn w:val="12"/>
    <w:link w:val="7"/>
    <w:qFormat/>
    <w:uiPriority w:val="0"/>
    <w:rPr>
      <w:rFonts w:asciiTheme="minorHAnsi" w:hAnsiTheme="minorHAnsi" w:eastAsiaTheme="minorEastAsia" w:cstheme="minorBidi"/>
      <w:kern w:val="2"/>
      <w:sz w:val="18"/>
      <w:szCs w:val="18"/>
    </w:rPr>
  </w:style>
  <w:style w:type="character" w:customStyle="1" w:styleId="17">
    <w:name w:val="页脚 Char"/>
    <w:basedOn w:val="12"/>
    <w:link w:val="6"/>
    <w:qFormat/>
    <w:uiPriority w:val="0"/>
    <w:rPr>
      <w:rFonts w:asciiTheme="minorHAnsi" w:hAnsiTheme="minorHAnsi" w:eastAsiaTheme="minorEastAsia" w:cstheme="minorBidi"/>
      <w:kern w:val="2"/>
      <w:sz w:val="18"/>
      <w:szCs w:val="18"/>
    </w:rPr>
  </w:style>
  <w:style w:type="character" w:customStyle="1" w:styleId="18">
    <w:name w:val="批注框文本 Char"/>
    <w:basedOn w:val="12"/>
    <w:link w:val="5"/>
    <w:qFormat/>
    <w:uiPriority w:val="0"/>
    <w:rPr>
      <w:rFonts w:asciiTheme="minorHAnsi" w:hAnsiTheme="minorHAnsi" w:eastAsiaTheme="minorEastAsia" w:cstheme="minorBidi"/>
      <w:kern w:val="2"/>
      <w:sz w:val="18"/>
      <w:szCs w:val="18"/>
    </w:rPr>
  </w:style>
  <w:style w:type="paragraph" w:customStyle="1" w:styleId="19">
    <w:name w:val="表格标题"/>
    <w:basedOn w:val="1"/>
    <w:qFormat/>
    <w:uiPriority w:val="0"/>
    <w:pPr>
      <w:adjustRightInd w:val="0"/>
      <w:snapToGrid w:val="0"/>
      <w:jc w:val="center"/>
      <w:outlineLvl w:val="1"/>
    </w:pPr>
    <w:rPr>
      <w:rFonts w:ascii="黑体" w:hAnsi="黑体" w:eastAsia="黑体" w:cs="Times New Roman"/>
      <w:color w:val="000000" w:themeColor="text1"/>
      <w:sz w:val="24"/>
      <w14:textFill>
        <w14:solidFill>
          <w14:schemeClr w14:val="tx1"/>
        </w14:solidFill>
      </w14:textFill>
    </w:rPr>
  </w:style>
  <w:style w:type="table" w:customStyle="1" w:styleId="20">
    <w:name w:val="网格型24"/>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1">
    <w:name w:val="表格内容"/>
    <w:basedOn w:val="1"/>
    <w:qFormat/>
    <w:uiPriority w:val="0"/>
    <w:pPr>
      <w:adjustRightInd w:val="0"/>
      <w:snapToGrid w:val="0"/>
    </w:pPr>
    <w:rPr>
      <w:rFonts w:ascii="Times New Roman" w:hAnsi="Times New Roman" w:eastAsia="宋体" w:cs="Times New Roman"/>
      <w:szCs w:val="21"/>
    </w:rPr>
  </w:style>
  <w:style w:type="paragraph" w:styleId="22">
    <w:name w:val="List Paragraph"/>
    <w:basedOn w:val="1"/>
    <w:qFormat/>
    <w:uiPriority w:val="34"/>
    <w:pPr>
      <w:ind w:firstLine="420" w:firstLineChars="200"/>
    </w:pPr>
  </w:style>
  <w:style w:type="paragraph" w:customStyle="1" w:styleId="23">
    <w:name w:val="表格首行"/>
    <w:basedOn w:val="24"/>
    <w:qFormat/>
    <w:uiPriority w:val="0"/>
    <w:pPr>
      <w:adjustRightInd w:val="0"/>
      <w:snapToGrid w:val="0"/>
      <w:spacing w:line="240" w:lineRule="auto"/>
      <w:jc w:val="center"/>
    </w:pPr>
    <w:rPr>
      <w:rFonts w:ascii="Times New Roman" w:hAnsi="Times New Roman" w:eastAsia="宋体"/>
      <w:b/>
      <w:sz w:val="21"/>
    </w:rPr>
  </w:style>
  <w:style w:type="paragraph" w:customStyle="1" w:styleId="24">
    <w:name w:val="样式 样式 样式 首行缩进:  2 字符 + 首行缩进:  2 字符 + 首行缩进:  2 字符"/>
    <w:basedOn w:val="1"/>
    <w:qFormat/>
    <w:uiPriority w:val="0"/>
    <w:pPr>
      <w:spacing w:line="360" w:lineRule="auto"/>
    </w:pPr>
    <w:rPr>
      <w:rFonts w:ascii="Arial" w:hAnsi="Arial" w:eastAsia="新宋体" w:cs="宋体"/>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jpeg"/><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3</Pages>
  <Words>24</Words>
  <Characters>143</Characters>
  <Lines>1</Lines>
  <Paragraphs>1</Paragraphs>
  <TotalTime>4</TotalTime>
  <ScaleCrop>false</ScaleCrop>
  <LinksUpToDate>false</LinksUpToDate>
  <CharactersWithSpaces>166</CharactersWithSpaces>
  <Application>WPS Office_11.8.2.10624_F1E327BC-269C-435d-A152-05C5408002CA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2021-03-31T19:40:00Z</dcterms:created>
  <dc:creator>何玉霜</dc:creator>
  <cp:lastModifiedBy>杨春琳</cp:lastModifiedBy>
  <dcterms:modified xsi:type="dcterms:W3CDTF">2024-01-10T17:54:14Z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2052-11.8.2.10624</vt:lpwstr>
  </property>
</Properties>
</file>