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《广西壮族自治区生态环境损害赔偿工作细则（征求意见稿）》编制说明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深入贯彻习近平生态文明思想，全面落实国家生态环境损害赔偿制度改革部署，严格执行《生态环境损害赔偿制度改革方案》和《生态环境损害赔偿管理规定》的要求，落实《关于深入推进生态环境损害赔偿制度改革若干具体问题的意见》</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明确我区生态环境损害赔偿工作的目标任务、职责分工、工作机制和具体程序，规范生态环境损害赔偿案件线索筛查、调查评估、赔偿磋商、修复及效果评估、资金管理等环节，切实维护人民权益，推动生态环境质量持续改善，自治区生态环境厅起草了《广西壮族自治区生态环境损害赔偿工作细则》（以下简称《工作细则》），现将有关情况说明如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Fonts w:hint="default" w:ascii="Times New Roman" w:hAnsi="Times New Roman" w:eastAsia="黑体" w:cs="Times New Roman"/>
          <w:b w:val="0"/>
          <w:bCs/>
          <w:sz w:val="32"/>
          <w:szCs w:val="32"/>
        </w:rPr>
      </w:pPr>
      <w:bookmarkStart w:id="0" w:name="heading_0"/>
      <w:r>
        <w:rPr>
          <w:rFonts w:hint="default" w:ascii="Times New Roman" w:hAnsi="Times New Roman" w:eastAsia="黑体" w:cs="Times New Roman"/>
          <w:b w:val="0"/>
          <w:bCs/>
          <w:sz w:val="32"/>
          <w:szCs w:val="32"/>
        </w:rPr>
        <w:t>一、制定背景和必要性</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 w:val="0"/>
          <w:bCs w:val="0"/>
          <w:sz w:val="32"/>
        </w:rPr>
      </w:pPr>
      <w:bookmarkStart w:id="1" w:name="heading_2"/>
      <w:r>
        <w:rPr>
          <w:rFonts w:hint="default" w:ascii="Times New Roman" w:hAnsi="Times New Roman" w:eastAsia="楷体" w:cs="Times New Roman"/>
          <w:b w:val="0"/>
          <w:bCs w:val="0"/>
          <w:sz w:val="32"/>
        </w:rPr>
        <w:t>（一）编制背景</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 w:cs="Times New Roman"/>
          <w:color w:val="000000"/>
          <w:sz w:val="32"/>
        </w:rPr>
      </w:pPr>
      <w:r>
        <w:rPr>
          <w:rFonts w:hint="default" w:ascii="Times New Roman" w:hAnsi="Times New Roman" w:eastAsia="仿宋" w:cs="Times New Roman"/>
          <w:color w:val="000000"/>
          <w:sz w:val="32"/>
        </w:rPr>
        <w:t>2018年6月14日自治区党委办公厅、自治区人民政府办公厅印发《广西壮族自治区生态环境损害赔偿制度改革实施方案》（桂办发〔2018〕27号）；为推进生态环境损害赔改革制度落实，2019年8月16日自治区生态环境厅联合自治区自然资源厅、自治区住房城乡建设厅、自治区交通运输厅、自治区水利厅、自治区农业农村厅、林业局印发《生态环境损害赔偿制度改革实施方案配套文件的通知》，从赔偿磋商、鉴定评估、信息公开、损害修复等方面细化损害赔偿的工作内容。2022年10月13日，原自治区生态环境损害赔偿制度改革工作领导小组办公室发布《关于进一步推进生态环境损害赔偿工作的通知》（桂环函〔2022〕1523号）。</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 w:cs="Times New Roman"/>
          <w:color w:val="000000"/>
          <w:sz w:val="32"/>
        </w:rPr>
      </w:pPr>
      <w:r>
        <w:rPr>
          <w:rFonts w:hint="default" w:ascii="Times New Roman" w:hAnsi="Times New Roman" w:eastAsia="仿宋" w:cs="Times New Roman"/>
          <w:color w:val="000000"/>
          <w:sz w:val="32"/>
        </w:rPr>
        <w:t>为深入贯彻习近平生态文明思想，落实党中央、国务院关于生态文明体制改革的决策部署，生态环境部等14部门联合印发《生态环境损害赔偿管理规定》，《关于深入推进生态环境损害赔偿制度改革若干具体问题的意见》进一步细化了改革实践要求，为全国生态环境损害赔偿工作提供了明确制度遵循和操作指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 w:cs="Times New Roman"/>
          <w:color w:val="000000"/>
          <w:sz w:val="32"/>
        </w:rPr>
      </w:pPr>
      <w:r>
        <w:rPr>
          <w:rFonts w:hint="default" w:ascii="Times New Roman" w:hAnsi="Times New Roman" w:eastAsia="仿宋" w:cs="Times New Roman"/>
          <w:color w:val="000000"/>
          <w:sz w:val="32"/>
        </w:rPr>
        <w:t>广西生态资源丰富，生态安全战略地位重要，为将国家层面政策要求与本地生态环境保护实际相结合，破解实践中存在的责任认定、磋商诉讼、修复执行等具体问题，推动生态环境损害赔偿工作制度化、规范化、常态化，切实筑牢南方生态安全屏障，特制定本</w:t>
      </w:r>
      <w:r>
        <w:rPr>
          <w:rFonts w:hint="default" w:ascii="Times New Roman" w:hAnsi="Times New Roman" w:eastAsia="仿宋" w:cs="Times New Roman"/>
          <w:sz w:val="32"/>
        </w:rPr>
        <w:t>《工作细则》</w:t>
      </w:r>
      <w:r>
        <w:rPr>
          <w:rFonts w:hint="default" w:ascii="Times New Roman" w:hAnsi="Times New Roman" w:eastAsia="仿宋" w:cs="Times New Roman"/>
          <w:color w:val="000000"/>
          <w:sz w:val="32"/>
        </w:rPr>
        <w:t>。</w:t>
      </w:r>
    </w:p>
    <w:p>
      <w:pPr>
        <w:pStyle w:val="6"/>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楷体" w:cs="Times New Roman"/>
          <w:b w:val="0"/>
          <w:bCs w:val="0"/>
          <w:sz w:val="32"/>
        </w:rPr>
      </w:pPr>
      <w:r>
        <w:rPr>
          <w:rFonts w:hint="default" w:ascii="Times New Roman" w:hAnsi="Times New Roman" w:eastAsia="楷体" w:cs="Times New Roman"/>
          <w:b w:val="0"/>
          <w:bCs w:val="0"/>
          <w:sz w:val="32"/>
        </w:rPr>
        <w:t>（二）编制必要性</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sz w:val="32"/>
        </w:rPr>
      </w:pPr>
      <w:r>
        <w:rPr>
          <w:rFonts w:hint="default" w:ascii="Times New Roman" w:hAnsi="Times New Roman" w:eastAsia="仿宋" w:cs="Times New Roman"/>
          <w:sz w:val="32"/>
        </w:rPr>
        <w:t>生态环境损害赔偿制度改革自2020年全国范围试行结束转入常态化工作开展以来，我区一直沿用2018年印发实施的《广西壮族自治区生态环境损害赔偿制度改革实施方案》和配套试行的5项制度，实务工作中仍然存在部门联动不足、程序规范有待明确等问题。</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sz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黑体" w:hAnsi="黑体" w:eastAsia="黑体" w:cs="黑体"/>
          <w:b w:val="0"/>
          <w:bCs/>
          <w:color w:val="000000"/>
          <w:sz w:val="32"/>
        </w:rPr>
      </w:pPr>
      <w:r>
        <w:rPr>
          <w:rFonts w:hint="eastAsia" w:ascii="黑体" w:hAnsi="黑体" w:eastAsia="黑体" w:cs="黑体"/>
          <w:b w:val="0"/>
          <w:bCs/>
          <w:color w:val="000000"/>
          <w:sz w:val="32"/>
        </w:rPr>
        <w:t>二、主要依据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sz w:val="32"/>
        </w:rPr>
      </w:pPr>
      <w:r>
        <w:rPr>
          <w:rFonts w:hint="default" w:ascii="Times New Roman" w:hAnsi="Times New Roman" w:eastAsia="仿宋" w:cs="Times New Roman"/>
          <w:sz w:val="32"/>
          <w:lang w:eastAsia="zh-CN"/>
        </w:rPr>
        <w:t>（一）</w:t>
      </w:r>
      <w:r>
        <w:rPr>
          <w:rFonts w:hint="default" w:ascii="Times New Roman" w:hAnsi="Times New Roman" w:eastAsia="仿宋" w:cs="Times New Roman"/>
          <w:sz w:val="32"/>
        </w:rPr>
        <w:t>《中华人民共和国民法典》（2020年5月28日第十三届全国人民代表大会第三次会议通过，自2021年1月1日起施行）；</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hAnsi="Times New Roman" w:eastAsia="仿宋" w:cs="Times New Roman"/>
          <w:sz w:val="32"/>
          <w:lang w:eastAsia="zh-CN"/>
        </w:rPr>
      </w:pPr>
      <w:r>
        <w:rPr>
          <w:rFonts w:hint="default" w:ascii="Times New Roman" w:hAnsi="Times New Roman" w:eastAsia="仿宋" w:cs="Times New Roman"/>
          <w:sz w:val="32"/>
          <w:lang w:eastAsia="zh-CN"/>
        </w:rPr>
        <w:t>（</w:t>
      </w:r>
      <w:r>
        <w:rPr>
          <w:rFonts w:hint="eastAsia" w:eastAsia="仿宋" w:cs="Times New Roman"/>
          <w:sz w:val="32"/>
          <w:lang w:eastAsia="zh-CN"/>
        </w:rPr>
        <w:t>二</w:t>
      </w:r>
      <w:r>
        <w:rPr>
          <w:rFonts w:hint="default" w:ascii="Times New Roman" w:hAnsi="Times New Roman" w:eastAsia="仿宋" w:cs="Times New Roman"/>
          <w:sz w:val="32"/>
          <w:lang w:eastAsia="zh-CN"/>
        </w:rPr>
        <w:t>）</w:t>
      </w:r>
      <w:r>
        <w:rPr>
          <w:rFonts w:hint="default" w:ascii="Times New Roman" w:hAnsi="Times New Roman" w:eastAsia="仿宋" w:cs="Times New Roman"/>
          <w:sz w:val="32"/>
        </w:rPr>
        <w:t>《生态环境损害赔偿制度改革方案》（2017年8月29日中央全面深化改革领导小组第三十八次会议审议通过）</w:t>
      </w:r>
      <w:r>
        <w:rPr>
          <w:rFonts w:hint="eastAsia" w:eastAsia="仿宋" w:cs="Times New Roman"/>
          <w:sz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eastAsia" w:eastAsia="仿宋_GB2312" w:cs="Times New Roman"/>
          <w:sz w:val="32"/>
          <w:lang w:eastAsia="zh-CN"/>
        </w:rPr>
        <w:t>三</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《生态环境损害赔偿管理规定》（环法规〔2022〕31号）</w:t>
      </w:r>
      <w:r>
        <w:rPr>
          <w:rFonts w:hint="eastAsia" w:eastAsia="仿宋_GB2312" w:cs="Times New Roman"/>
          <w:sz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hAnsi="Times New Roman" w:eastAsia="仿宋" w:cs="Times New Roman"/>
          <w:sz w:val="32"/>
          <w:lang w:eastAsia="zh-CN"/>
        </w:rPr>
      </w:pPr>
      <w:r>
        <w:rPr>
          <w:rFonts w:hint="default" w:ascii="Times New Roman" w:hAnsi="Times New Roman" w:eastAsia="仿宋" w:cs="Times New Roman"/>
          <w:color w:val="auto"/>
          <w:kern w:val="0"/>
          <w:sz w:val="32"/>
          <w:lang w:eastAsia="zh-CN"/>
        </w:rPr>
        <w:t>（</w:t>
      </w:r>
      <w:r>
        <w:rPr>
          <w:rFonts w:hint="eastAsia" w:eastAsia="仿宋" w:cs="Times New Roman"/>
          <w:color w:val="auto"/>
          <w:kern w:val="0"/>
          <w:sz w:val="32"/>
          <w:lang w:eastAsia="zh-CN"/>
        </w:rPr>
        <w:t>四</w:t>
      </w:r>
      <w:r>
        <w:rPr>
          <w:rFonts w:hint="default" w:ascii="Times New Roman" w:hAnsi="Times New Roman" w:eastAsia="仿宋" w:cs="Times New Roman"/>
          <w:color w:val="auto"/>
          <w:kern w:val="0"/>
          <w:sz w:val="32"/>
          <w:lang w:eastAsia="zh-CN"/>
        </w:rPr>
        <w:t>）</w:t>
      </w:r>
      <w:r>
        <w:rPr>
          <w:rFonts w:hint="default" w:ascii="Times New Roman" w:hAnsi="Times New Roman" w:eastAsia="仿宋" w:cs="Times New Roman"/>
          <w:color w:val="auto"/>
          <w:kern w:val="0"/>
          <w:sz w:val="32"/>
        </w:rPr>
        <w:t>《中共中央</w:t>
      </w:r>
      <w:r>
        <w:rPr>
          <w:rFonts w:hint="default" w:ascii="Times New Roman" w:hAnsi="Times New Roman" w:cs="Times New Roman"/>
          <w:color w:val="auto"/>
          <w:kern w:val="0"/>
          <w:sz w:val="32"/>
        </w:rPr>
        <w:t xml:space="preserve"> </w:t>
      </w:r>
      <w:r>
        <w:rPr>
          <w:rFonts w:hint="default" w:ascii="Times New Roman" w:hAnsi="Times New Roman" w:eastAsia="仿宋" w:cs="Times New Roman"/>
          <w:color w:val="auto"/>
          <w:kern w:val="0"/>
          <w:sz w:val="32"/>
        </w:rPr>
        <w:t>国务院关于全面推进美丽中国建设的意见》（202</w:t>
      </w:r>
      <w:r>
        <w:rPr>
          <w:rFonts w:hint="default" w:ascii="Times New Roman" w:hAnsi="Times New Roman" w:cs="Times New Roman"/>
          <w:color w:val="auto"/>
          <w:kern w:val="0"/>
          <w:sz w:val="32"/>
        </w:rPr>
        <w:t>3</w:t>
      </w:r>
      <w:r>
        <w:rPr>
          <w:rFonts w:hint="default" w:ascii="Times New Roman" w:hAnsi="Times New Roman" w:eastAsia="仿宋" w:cs="Times New Roman"/>
          <w:color w:val="auto"/>
          <w:kern w:val="0"/>
          <w:sz w:val="32"/>
        </w:rPr>
        <w:t>年12月27日）</w:t>
      </w:r>
      <w:r>
        <w:rPr>
          <w:rFonts w:hint="eastAsia" w:eastAsia="仿宋" w:cs="Times New Roman"/>
          <w:color w:val="auto"/>
          <w:kern w:val="0"/>
          <w:sz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hAnsi="Times New Roman" w:eastAsia="仿宋" w:cs="Times New Roman"/>
          <w:sz w:val="32"/>
          <w:lang w:eastAsia="zh-CN"/>
        </w:rPr>
      </w:pPr>
      <w:r>
        <w:rPr>
          <w:rFonts w:hint="default" w:ascii="Times New Roman" w:hAnsi="Times New Roman" w:eastAsia="仿宋" w:cs="Times New Roman"/>
          <w:sz w:val="32"/>
          <w:lang w:eastAsia="zh-CN"/>
        </w:rPr>
        <w:t>（</w:t>
      </w:r>
      <w:r>
        <w:rPr>
          <w:rFonts w:hint="eastAsia" w:eastAsia="仿宋" w:cs="Times New Roman"/>
          <w:sz w:val="32"/>
          <w:lang w:eastAsia="zh-CN"/>
        </w:rPr>
        <w:t>五</w:t>
      </w:r>
      <w:r>
        <w:rPr>
          <w:rFonts w:hint="default" w:ascii="Times New Roman" w:hAnsi="Times New Roman" w:eastAsia="仿宋" w:cs="Times New Roman"/>
          <w:sz w:val="32"/>
          <w:lang w:eastAsia="zh-CN"/>
        </w:rPr>
        <w:t>）</w:t>
      </w:r>
      <w:r>
        <w:rPr>
          <w:rFonts w:hint="default" w:ascii="Times New Roman" w:hAnsi="Times New Roman" w:eastAsia="仿宋" w:cs="Times New Roman"/>
          <w:sz w:val="32"/>
        </w:rPr>
        <w:t>《</w:t>
      </w:r>
      <w:r>
        <w:rPr>
          <w:rFonts w:hint="default" w:ascii="Times New Roman" w:hAnsi="Times New Roman" w:eastAsia="仿宋" w:cs="Times New Roman"/>
          <w:color w:val="000000"/>
          <w:sz w:val="32"/>
        </w:rPr>
        <w:t>关于深入推进生态环境损害赔偿制度改革若干具体问题的意见</w:t>
      </w:r>
      <w:r>
        <w:rPr>
          <w:rFonts w:hint="default" w:ascii="Times New Roman" w:hAnsi="Times New Roman" w:eastAsia="仿宋" w:cs="Times New Roman"/>
          <w:sz w:val="32"/>
        </w:rPr>
        <w:t>》（环法规〔2025〕6号）</w:t>
      </w:r>
      <w:r>
        <w:rPr>
          <w:rFonts w:hint="eastAsia" w:eastAsia="仿宋" w:cs="Times New Roman"/>
          <w:sz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sz w:val="32"/>
        </w:rPr>
      </w:pPr>
      <w:r>
        <w:rPr>
          <w:rFonts w:hint="default" w:ascii="Times New Roman" w:hAnsi="Times New Roman" w:eastAsia="仿宋" w:cs="Times New Roman"/>
          <w:sz w:val="32"/>
          <w:lang w:eastAsia="zh-CN"/>
        </w:rPr>
        <w:t>（</w:t>
      </w:r>
      <w:r>
        <w:rPr>
          <w:rFonts w:hint="eastAsia" w:eastAsia="仿宋" w:cs="Times New Roman"/>
          <w:sz w:val="32"/>
          <w:lang w:eastAsia="zh-CN"/>
        </w:rPr>
        <w:t>六</w:t>
      </w:r>
      <w:r>
        <w:rPr>
          <w:rFonts w:hint="default" w:ascii="Times New Roman" w:hAnsi="Times New Roman" w:eastAsia="仿宋" w:cs="Times New Roman"/>
          <w:sz w:val="32"/>
          <w:lang w:eastAsia="zh-CN"/>
        </w:rPr>
        <w:t>）</w:t>
      </w:r>
      <w:r>
        <w:rPr>
          <w:rFonts w:hint="default" w:ascii="Times New Roman" w:hAnsi="Times New Roman" w:eastAsia="仿宋" w:cs="Times New Roman"/>
          <w:sz w:val="32"/>
        </w:rPr>
        <w:t>关于印发《广西壮族自治区生态环境损害赔偿制度改革实施方案》的通知（桂办发〔2018〕27号）；</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sz w:val="32"/>
        </w:rPr>
      </w:pPr>
      <w:r>
        <w:rPr>
          <w:rFonts w:hint="default" w:ascii="Times New Roman" w:hAnsi="Times New Roman" w:eastAsia="仿宋" w:cs="Times New Roman"/>
          <w:sz w:val="32"/>
          <w:lang w:eastAsia="zh-CN"/>
        </w:rPr>
        <w:t>（</w:t>
      </w:r>
      <w:r>
        <w:rPr>
          <w:rFonts w:hint="eastAsia" w:eastAsia="仿宋" w:cs="Times New Roman"/>
          <w:sz w:val="32"/>
          <w:lang w:eastAsia="zh-CN"/>
        </w:rPr>
        <w:t>七</w:t>
      </w:r>
      <w:r>
        <w:rPr>
          <w:rFonts w:hint="default" w:ascii="Times New Roman" w:hAnsi="Times New Roman" w:eastAsia="仿宋" w:cs="Times New Roman"/>
          <w:sz w:val="32"/>
          <w:lang w:eastAsia="zh-CN"/>
        </w:rPr>
        <w:t>）</w:t>
      </w:r>
      <w:r>
        <w:rPr>
          <w:rFonts w:hint="default" w:ascii="Times New Roman" w:hAnsi="Times New Roman" w:eastAsia="仿宋" w:cs="Times New Roman"/>
          <w:sz w:val="32"/>
        </w:rPr>
        <w:t>关于印发《生态环境损害赔偿制度改革实施方案配套文件的通知》（桂环规范〔2019〕5号）；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 w:cs="Times New Roman"/>
          <w:sz w:val="32"/>
        </w:rPr>
      </w:pPr>
      <w:r>
        <w:rPr>
          <w:rFonts w:hint="default" w:ascii="Times New Roman" w:hAnsi="Times New Roman" w:eastAsia="仿宋" w:cs="Times New Roman"/>
          <w:sz w:val="32"/>
          <w:lang w:eastAsia="zh-CN"/>
        </w:rPr>
        <w:t>（</w:t>
      </w:r>
      <w:r>
        <w:rPr>
          <w:rFonts w:hint="eastAsia" w:eastAsia="仿宋" w:cs="Times New Roman"/>
          <w:sz w:val="32"/>
          <w:lang w:eastAsia="zh-CN"/>
        </w:rPr>
        <w:t>八</w:t>
      </w:r>
      <w:r>
        <w:rPr>
          <w:rFonts w:hint="default" w:ascii="Times New Roman" w:hAnsi="Times New Roman" w:eastAsia="仿宋" w:cs="Times New Roman"/>
          <w:sz w:val="32"/>
          <w:lang w:eastAsia="zh-CN"/>
        </w:rPr>
        <w:t>）</w:t>
      </w:r>
      <w:r>
        <w:rPr>
          <w:rFonts w:hint="default" w:ascii="Times New Roman" w:hAnsi="Times New Roman" w:eastAsia="仿宋" w:cs="Times New Roman"/>
          <w:sz w:val="32"/>
        </w:rPr>
        <w:t>《自治区生态环境损害赔偿制度改革工作领导小组办公室关于进一步推进生态环境损害赔偿工作的通知》（桂环函〔2022〕1523号）。</w:t>
      </w:r>
      <w:bookmarkEnd w:id="1"/>
      <w:bookmarkStart w:id="2" w:name="heading_3"/>
    </w:p>
    <w:bookmarkEnd w:id="2"/>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rPr>
      </w:pPr>
      <w:bookmarkStart w:id="10" w:name="_GoBack"/>
      <w:bookmarkEnd w:id="10"/>
      <w:r>
        <w:rPr>
          <w:rFonts w:hint="eastAsia" w:ascii="黑体" w:hAnsi="黑体" w:eastAsia="黑体" w:cs="黑体"/>
          <w:sz w:val="32"/>
          <w:szCs w:val="32"/>
        </w:rPr>
        <w:t>三、编制过程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2025年2月，生态环境部正式印发《关于深入推进生态环境损害赔偿制度改革若干具体问题的意见》（环法规〔2025〕6号），针对生态环境损害赔偿制度改革以来存在的一些问题在政策层面予以明确，规定了索赔工作的具体负责部门或机构、优化了案件办理程序、对显著轻微案件、简单案件、重大案件类型进行了明确，损害赔偿与行政执法联络常态化、信息共享、移交畅通，提高生态环境损害赔偿工作的规范性和可操作性。为推动我区生态环境损害赔偿工作常态化，落实《意见》的具体实施，推进美丽广西建设，</w:t>
      </w:r>
      <w:r>
        <w:rPr>
          <w:rFonts w:hint="default" w:ascii="Times New Roman" w:hAnsi="Times New Roman" w:eastAsia="仿宋" w:cs="Times New Roman"/>
          <w:sz w:val="32"/>
          <w:szCs w:val="32"/>
          <w:lang w:val="en-US" w:eastAsia="zh-CN"/>
        </w:rPr>
        <w:t>2025年8月，</w:t>
      </w:r>
      <w:r>
        <w:rPr>
          <w:rFonts w:hint="default" w:ascii="Times New Roman" w:hAnsi="Times New Roman" w:eastAsia="仿宋" w:cs="Times New Roman"/>
          <w:sz w:val="32"/>
          <w:szCs w:val="32"/>
        </w:rPr>
        <w:t>自治区生态环境厅组织</w:t>
      </w:r>
      <w:r>
        <w:rPr>
          <w:rFonts w:hint="default" w:ascii="Times New Roman" w:hAnsi="Times New Roman" w:eastAsia="仿宋" w:cs="Times New Roman"/>
          <w:sz w:val="32"/>
          <w:szCs w:val="32"/>
          <w:lang w:eastAsia="zh-CN"/>
        </w:rPr>
        <w:t>自治区环科院组成项目组，</w:t>
      </w:r>
      <w:r>
        <w:rPr>
          <w:rFonts w:hint="default" w:ascii="Times New Roman" w:hAnsi="Times New Roman" w:eastAsia="仿宋" w:cs="Times New Roman"/>
          <w:sz w:val="32"/>
          <w:szCs w:val="32"/>
        </w:rPr>
        <w:t>进行《广西壮族自治区生态环境损害赔偿工作细则》编制工作。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项目组</w:t>
      </w:r>
      <w:r>
        <w:rPr>
          <w:rFonts w:hint="default" w:ascii="Times New Roman" w:hAnsi="Times New Roman" w:eastAsia="仿宋" w:cs="Times New Roman"/>
          <w:sz w:val="32"/>
          <w:szCs w:val="32"/>
        </w:rPr>
        <w:t>全面梳理国家法律法规、部委规章及改革文件，准确把握核心要求。</w:t>
      </w:r>
      <w:r>
        <w:rPr>
          <w:rFonts w:hint="default" w:ascii="Times New Roman" w:hAnsi="Times New Roman" w:eastAsia="仿宋" w:cs="Times New Roman"/>
          <w:sz w:val="32"/>
          <w:szCs w:val="32"/>
          <w:lang w:eastAsia="zh-CN"/>
        </w:rPr>
        <w:t>总结</w:t>
      </w:r>
      <w:r>
        <w:rPr>
          <w:rFonts w:hint="default" w:ascii="Times New Roman" w:hAnsi="Times New Roman" w:eastAsia="仿宋" w:cs="Times New Roman"/>
          <w:sz w:val="32"/>
          <w:szCs w:val="32"/>
        </w:rPr>
        <w:t>全区近年案件办理、磋商诉讼、生态修复、资金管理等经验做法，提炼固化有效机制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经多</w:t>
      </w:r>
      <w:r>
        <w:rPr>
          <w:rFonts w:hint="eastAsia" w:eastAsia="仿宋" w:cs="Times New Roman"/>
          <w:sz w:val="32"/>
          <w:szCs w:val="32"/>
          <w:lang w:eastAsia="zh-CN"/>
        </w:rPr>
        <w:t>次</w:t>
      </w:r>
      <w:r>
        <w:rPr>
          <w:rFonts w:hint="default" w:ascii="Times New Roman" w:hAnsi="Times New Roman" w:eastAsia="仿宋" w:cs="Times New Roman"/>
          <w:sz w:val="32"/>
          <w:szCs w:val="32"/>
        </w:rPr>
        <w:t>修改、逻辑优化，形成本征求意见稿。</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Fonts w:hint="eastAsia" w:ascii="黑体" w:hAnsi="黑体" w:eastAsia="黑体" w:cs="黑体"/>
          <w:b w:val="0"/>
          <w:bCs/>
          <w:sz w:val="32"/>
          <w:szCs w:val="32"/>
        </w:rPr>
      </w:pPr>
      <w:bookmarkStart w:id="3" w:name="heading_4"/>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、主要内容</w:t>
      </w:r>
      <w:bookmarkEnd w:id="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《工作细则》共8章44条，主要内容如下：</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第一章“总则”，共</w:t>
      </w:r>
      <w:r>
        <w:rPr>
          <w:rFonts w:hint="default" w:ascii="Times New Roman" w:hAnsi="Times New Roman" w:eastAsia="仿宋" w:cs="Times New Roman"/>
          <w:b/>
          <w:bCs/>
          <w:sz w:val="32"/>
          <w:szCs w:val="32"/>
          <w:lang w:val="en-US" w:eastAsia="zh-CN"/>
        </w:rPr>
        <w:t>9</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明确制定目的、指导思想、工作原则、适用范围、生态环境损害定义、赔偿范围、赔偿权利人与赔偿义务人、责任优先原则等。</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第二章“任务分工”，共</w:t>
      </w:r>
      <w:r>
        <w:rPr>
          <w:rFonts w:hint="eastAsia" w:eastAsia="仿宋" w:cs="Times New Roman"/>
          <w:b/>
          <w:bCs/>
          <w:sz w:val="32"/>
          <w:szCs w:val="32"/>
          <w:lang w:val="en-US" w:eastAsia="zh-CN"/>
        </w:rPr>
        <w:t>1</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明确各级党委生态环境保护议事协调机构、政府及相关职能部门职责，划分自治区与设区市案件管辖权限，建立联合办案机制。</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第三章“生态环境损害调查”，共</w:t>
      </w:r>
      <w:r>
        <w:rPr>
          <w:rFonts w:hint="default" w:ascii="Times New Roman" w:hAnsi="Times New Roman" w:eastAsia="仿宋" w:cs="Times New Roman"/>
          <w:b/>
          <w:bCs/>
          <w:sz w:val="32"/>
          <w:szCs w:val="32"/>
          <w:lang w:val="en-US" w:eastAsia="zh-CN"/>
        </w:rPr>
        <w:t>4</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建立跨部门线索筛查移送机制，明确10类重点线索渠道，规范初步核查、立案、调查期限、调查报告及不予/终止索赔情形。</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第四章“生态环境损害鉴定评估”，共2条。</w:t>
      </w:r>
      <w:r>
        <w:rPr>
          <w:rFonts w:hint="default" w:ascii="Times New Roman" w:hAnsi="Times New Roman" w:eastAsia="仿宋" w:cs="Times New Roman"/>
          <w:sz w:val="32"/>
          <w:szCs w:val="32"/>
        </w:rPr>
        <w:t>规范鉴定评估机构选取、简单案件专家评估、评估内容、异议处理及第三方论证机制。</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第五章“生态环境损害赔偿磋商”，共</w:t>
      </w:r>
      <w:r>
        <w:rPr>
          <w:rFonts w:hint="default"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明确磋商启动、会议程序、期限次数、协议内容、司法确认、磋商不成情形及诚信激励、失信约束措施。</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第六章“生态环境修复与效果评估”，共7条。</w:t>
      </w:r>
      <w:r>
        <w:rPr>
          <w:rFonts w:hint="default" w:ascii="Times New Roman" w:hAnsi="Times New Roman" w:eastAsia="仿宋" w:cs="Times New Roman"/>
          <w:sz w:val="32"/>
          <w:szCs w:val="32"/>
        </w:rPr>
        <w:t>坚持修复优先，规范原位修复、替代修复及劳务代偿、异地修复、技改抵扣、分期赔付等多元化履责方式，建立修复监督、效果评估、验收结案流程。</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第七章“生态环境损害赔偿监督与保障”，共</w:t>
      </w:r>
      <w:r>
        <w:rPr>
          <w:rFonts w:hint="eastAsia" w:eastAsia="仿宋" w:cs="Times New Roman"/>
          <w:b/>
          <w:bCs/>
          <w:sz w:val="32"/>
          <w:szCs w:val="32"/>
          <w:lang w:val="en-US" w:eastAsia="zh-CN"/>
        </w:rPr>
        <w:t>9</w:t>
      </w:r>
      <w:r>
        <w:rPr>
          <w:rFonts w:hint="default" w:ascii="Times New Roman" w:hAnsi="Times New Roman" w:eastAsia="仿宋" w:cs="Times New Roman"/>
          <w:b/>
          <w:bCs/>
          <w:sz w:val="32"/>
          <w:szCs w:val="32"/>
          <w:lang w:val="en-US" w:eastAsia="zh-CN"/>
        </w:rPr>
        <w:t>条。</w:t>
      </w:r>
      <w:r>
        <w:rPr>
          <w:rFonts w:hint="default" w:ascii="Times New Roman" w:hAnsi="Times New Roman" w:eastAsia="仿宋" w:cs="Times New Roman"/>
          <w:sz w:val="32"/>
          <w:szCs w:val="32"/>
        </w:rPr>
        <w:t>建立信息共享、重大案件督办、公众参与、信息公开、档案管理、考核督察、责任追究与表彰激励机制，规范赔偿资金管理使用。</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第八章“附则”，共3条。</w:t>
      </w:r>
      <w:r>
        <w:rPr>
          <w:rFonts w:hint="default" w:ascii="Times New Roman" w:hAnsi="Times New Roman" w:eastAsia="仿宋" w:cs="Times New Roman"/>
          <w:sz w:val="32"/>
          <w:szCs w:val="32"/>
        </w:rPr>
        <w:t>明确解释主体、期限计算、施行日期及原有文件废止等事项。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Fonts w:hint="default" w:ascii="Times New Roman" w:hAnsi="Times New Roman" w:eastAsia="黑体" w:cs="Times New Roman"/>
          <w:b w:val="0"/>
          <w:bCs/>
          <w:sz w:val="32"/>
          <w:szCs w:val="32"/>
        </w:rPr>
      </w:pPr>
      <w:bookmarkStart w:id="4" w:name="heading_5"/>
      <w:r>
        <w:rPr>
          <w:rFonts w:hint="eastAsia" w:ascii="Times New Roman" w:hAnsi="Times New Roman" w:eastAsia="黑体" w:cs="Times New Roman"/>
          <w:b w:val="0"/>
          <w:bCs/>
          <w:sz w:val="32"/>
          <w:szCs w:val="32"/>
          <w:lang w:eastAsia="zh-CN"/>
        </w:rPr>
        <w:t>五</w:t>
      </w:r>
      <w:r>
        <w:rPr>
          <w:rFonts w:hint="default" w:ascii="Times New Roman" w:hAnsi="Times New Roman" w:eastAsia="黑体" w:cs="Times New Roman"/>
          <w:b w:val="0"/>
          <w:bCs/>
          <w:sz w:val="32"/>
          <w:szCs w:val="32"/>
        </w:rPr>
        <w:t>、重点问题说明</w:t>
      </w:r>
      <w:bookmarkEnd w:id="4"/>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楷体" w:cs="Times New Roman"/>
          <w:b w:val="0"/>
          <w:bCs/>
          <w:sz w:val="32"/>
          <w:szCs w:val="32"/>
        </w:rPr>
      </w:pPr>
      <w:bookmarkStart w:id="5" w:name="heading_6"/>
      <w:r>
        <w:rPr>
          <w:rFonts w:hint="default" w:ascii="Times New Roman" w:hAnsi="Times New Roman" w:eastAsia="楷体" w:cs="Times New Roman"/>
          <w:b w:val="0"/>
          <w:bCs/>
          <w:sz w:val="32"/>
          <w:szCs w:val="32"/>
        </w:rPr>
        <w:t>（一）关于适用范围</w:t>
      </w:r>
      <w:bookmarkEnd w:id="5"/>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明确适用于我区行政区域内生态环境损害赔偿全流程工作，排除人身财产损害、海洋生态损害及责任主体不明确的历史遗留问题，与上位法保持衔接一致。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楷体" w:cs="Times New Roman"/>
          <w:b w:val="0"/>
          <w:bCs/>
          <w:sz w:val="32"/>
          <w:szCs w:val="32"/>
        </w:rPr>
      </w:pPr>
      <w:bookmarkStart w:id="6" w:name="heading_7"/>
      <w:r>
        <w:rPr>
          <w:rFonts w:hint="default" w:ascii="Times New Roman" w:hAnsi="Times New Roman" w:eastAsia="楷体" w:cs="Times New Roman"/>
          <w:b w:val="0"/>
          <w:bCs/>
          <w:sz w:val="32"/>
          <w:szCs w:val="32"/>
        </w:rPr>
        <w:t>（二）关于简单案件快速办理</w:t>
      </w:r>
      <w:bookmarkEnd w:id="6"/>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对损害事实清楚、责任认定无争议、损害数额不超过30万元的简单案件，简化鉴定评估、磋商程序，提高办案效率。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楷体" w:cs="Times New Roman"/>
          <w:b w:val="0"/>
          <w:bCs/>
          <w:sz w:val="32"/>
          <w:szCs w:val="32"/>
        </w:rPr>
      </w:pPr>
      <w:bookmarkStart w:id="7" w:name="heading_8"/>
      <w:r>
        <w:rPr>
          <w:rFonts w:hint="default" w:ascii="Times New Roman" w:hAnsi="Times New Roman" w:eastAsia="楷体" w:cs="Times New Roman"/>
          <w:b w:val="0"/>
          <w:bCs/>
          <w:sz w:val="32"/>
          <w:szCs w:val="32"/>
        </w:rPr>
        <w:t>（三）关于赔偿磋商全流程规范</w:t>
      </w:r>
      <w:bookmarkEnd w:id="7"/>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1.磋商启动：赔偿权利人指定部门出具磋商告知书并送达；赔偿义务人主动申请的，可先行启动磋商。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2</w:t>
      </w:r>
      <w:r>
        <w:rPr>
          <w:rFonts w:hint="default" w:ascii="Times New Roman" w:hAnsi="Times New Roman" w:eastAsia="仿宋" w:cs="Times New Roman"/>
          <w:sz w:val="32"/>
          <w:szCs w:val="32"/>
        </w:rPr>
        <w:t>.期限次数：磋商期限不超过90日，会议原则上不超过3次；复杂案件经批准可适当增加。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3</w:t>
      </w:r>
      <w:r>
        <w:rPr>
          <w:rFonts w:hint="default" w:ascii="Times New Roman" w:hAnsi="Times New Roman" w:eastAsia="仿宋" w:cs="Times New Roman"/>
          <w:sz w:val="32"/>
          <w:szCs w:val="32"/>
        </w:rPr>
        <w:t>.协议内容：明确损害事实、证据依据、修复方案、履行期限、违约责任、效果评估、争议解决等必备条款。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4</w:t>
      </w:r>
      <w:r>
        <w:rPr>
          <w:rFonts w:hint="default" w:ascii="Times New Roman" w:hAnsi="Times New Roman" w:eastAsia="仿宋" w:cs="Times New Roman"/>
          <w:sz w:val="32"/>
          <w:szCs w:val="32"/>
        </w:rPr>
        <w:t>.司法确认：磋商协议可申请司法确认；未予确认的重新磋商一次，仍不成及时提起诉讼。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5</w:t>
      </w:r>
      <w:r>
        <w:rPr>
          <w:rFonts w:hint="default" w:ascii="Times New Roman" w:hAnsi="Times New Roman" w:eastAsia="仿宋" w:cs="Times New Roman"/>
          <w:sz w:val="32"/>
          <w:szCs w:val="32"/>
        </w:rPr>
        <w:t>.磋商不成情形：明确拒绝磋商、逾期未答复、无故缺席、退出会议、无法送达、超期未达成一致等7类情形。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6</w:t>
      </w:r>
      <w:r>
        <w:rPr>
          <w:rFonts w:hint="default" w:ascii="Times New Roman" w:hAnsi="Times New Roman" w:eastAsia="仿宋" w:cs="Times New Roman"/>
          <w:sz w:val="32"/>
          <w:szCs w:val="32"/>
        </w:rPr>
        <w:t>.诚信激励与失信约束：对积极磋商、及时履责的，依法从轻或减轻行政处罚；对不履行生效协议或裁判的，依法申请强制执行，列入失信被执行人名单。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楷体" w:cs="Times New Roman"/>
          <w:b w:val="0"/>
          <w:bCs/>
          <w:sz w:val="32"/>
          <w:szCs w:val="32"/>
        </w:rPr>
      </w:pPr>
      <w:bookmarkStart w:id="8" w:name="heading_9"/>
      <w:r>
        <w:rPr>
          <w:rFonts w:hint="default" w:ascii="Times New Roman" w:hAnsi="Times New Roman" w:eastAsia="楷体" w:cs="Times New Roman"/>
          <w:b w:val="0"/>
          <w:bCs/>
          <w:sz w:val="32"/>
          <w:szCs w:val="32"/>
        </w:rPr>
        <w:t>（四）关于多元化生态修复</w:t>
      </w:r>
      <w:bookmarkEnd w:id="8"/>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结合广西实际，创新设置原位修复、替代修复、劳务代偿、异地修复、技改抵扣、分期赔付等履责方式，兼顾义务人履行能力与生态环境恢复效果，确保实现“环境等量恢复”。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楷体" w:cs="Times New Roman"/>
          <w:b w:val="0"/>
          <w:bCs/>
          <w:sz w:val="32"/>
          <w:szCs w:val="32"/>
        </w:rPr>
      </w:pPr>
      <w:bookmarkStart w:id="9" w:name="heading_10"/>
      <w:r>
        <w:rPr>
          <w:rFonts w:hint="default" w:ascii="Times New Roman" w:hAnsi="Times New Roman" w:eastAsia="楷体" w:cs="Times New Roman"/>
          <w:b w:val="0"/>
          <w:bCs/>
          <w:sz w:val="32"/>
          <w:szCs w:val="32"/>
        </w:rPr>
        <w:t>（五）关于部门协同联动</w:t>
      </w:r>
      <w:bookmarkEnd w:id="9"/>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强化生态环境、自然资源、住房城乡建设、水利、农业农村、林业及公检法等部门协作，建立线索移送、信息共享、联合办案、重大案件督办机制，提升工作合力。</w:t>
      </w:r>
    </w:p>
    <w:sectPr>
      <w:footerReference r:id="rId3" w:type="default"/>
      <w:pgSz w:w="11905" w:h="16840"/>
      <w:pgMar w:top="1440" w:right="1361" w:bottom="1440" w:left="147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172A27"/>
    <w:rsid w:val="165E318A"/>
    <w:rsid w:val="1E053349"/>
    <w:rsid w:val="4AA21E99"/>
    <w:rsid w:val="4FAE02E6"/>
    <w:rsid w:val="6E9F56D9"/>
    <w:rsid w:val="FFFE1D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2"/>
    <w:basedOn w:val="1"/>
    <w:next w:val="1"/>
    <w:qFormat/>
    <w:uiPriority w:val="0"/>
    <w:pPr>
      <w:spacing w:before="100" w:beforeAutospacing="1" w:after="100" w:afterAutospacing="1"/>
      <w:jc w:val="left"/>
      <w:outlineLvl w:val="1"/>
    </w:pPr>
    <w:rPr>
      <w:rFonts w:ascii="宋体" w:hAnsi="宋体"/>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beforeLines="0" w:after="120" w:afterLines="0"/>
    </w:pPr>
    <w:rPr>
      <w:rFonts w:hint="eastAsia"/>
      <w:sz w:val="32"/>
    </w:rPr>
  </w:style>
  <w:style w:type="paragraph" w:styleId="4">
    <w:name w:val="Title"/>
    <w:basedOn w:val="1"/>
    <w:next w:val="1"/>
    <w:unhideWhenUsed/>
    <w:qFormat/>
    <w:uiPriority w:val="10"/>
    <w:pPr>
      <w:spacing w:before="240" w:beforeLines="0" w:after="60" w:afterLines="0"/>
      <w:jc w:val="center"/>
      <w:outlineLvl w:val="0"/>
    </w:pPr>
    <w:rPr>
      <w:rFonts w:hint="default" w:ascii="Cambria" w:hAnsi="Cambria" w:eastAsia="仿宋"/>
      <w:b/>
      <w:sz w:val="32"/>
      <w:lang w:val="zh-CN"/>
    </w:rPr>
  </w:style>
  <w:style w:type="paragraph" w:styleId="5">
    <w:name w:val="footer"/>
    <w:basedOn w:val="1"/>
    <w:next w:val="1"/>
    <w:unhideWhenUsed/>
    <w:qFormat/>
    <w:uiPriority w:val="0"/>
    <w:pPr>
      <w:tabs>
        <w:tab w:val="center" w:pos="4153"/>
        <w:tab w:val="right" w:pos="8306"/>
      </w:tabs>
      <w:snapToGrid w:val="0"/>
      <w:spacing w:beforeLines="0" w:afterLines="0"/>
      <w:jc w:val="left"/>
    </w:pPr>
    <w:rPr>
      <w:rFonts w:hint="eastAsia"/>
      <w:sz w:val="18"/>
    </w:rPr>
  </w:style>
  <w:style w:type="paragraph" w:styleId="6">
    <w:name w:val="Body Text First Indent"/>
    <w:basedOn w:val="3"/>
    <w:unhideWhenUsed/>
    <w:qFormat/>
    <w:uiPriority w:val="99"/>
    <w:pPr>
      <w:spacing w:beforeLines="0" w:afterLines="0"/>
      <w:ind w:firstLine="420" w:firstLineChars="100"/>
    </w:pPr>
    <w:rPr>
      <w:rFonts w:hint="eastAsia"/>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26</TotalTime>
  <ScaleCrop>false</ScaleCrop>
  <LinksUpToDate>false</LinksUpToDate>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2026-03-02T18:15:00Z</dcterms:created>
  <dc:creator>Apache POI</dc:creator>
  <cp:lastModifiedBy>吴静雯</cp:lastModifiedBy>
  <dcterms:modified xsi:type="dcterms:W3CDTF">2026-03-13T18:07:14Z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