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kern w:val="0"/>
          <w:sz w:val="32"/>
          <w:szCs w:val="32"/>
          <w:lang w:val="en-US" w:eastAsia="zh-CN"/>
        </w:rPr>
      </w:pPr>
      <w:bookmarkStart w:id="19" w:name="_GoBack"/>
      <w:bookmarkEnd w:id="19"/>
    </w:p>
    <w:p>
      <w:pPr>
        <w:keepNext w:val="0"/>
        <w:keepLines w:val="0"/>
        <w:pageBreakBefore w:val="0"/>
        <w:widowControl/>
        <w:kinsoku/>
        <w:overflowPunct/>
        <w:topLinePunct w:val="0"/>
        <w:autoSpaceDE/>
        <w:autoSpaceDN/>
        <w:bidi w:val="0"/>
        <w:adjustRightInd/>
        <w:snapToGrid/>
        <w:spacing w:line="600" w:lineRule="exact"/>
        <w:jc w:val="both"/>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附件1</w:t>
      </w:r>
    </w:p>
    <w:p>
      <w:pPr>
        <w:keepNext w:val="0"/>
        <w:keepLines w:val="0"/>
        <w:pageBreakBefore w:val="0"/>
        <w:widowControl w:val="0"/>
        <w:kinsoku/>
        <w:wordWrap/>
        <w:autoSpaceDE/>
        <w:autoSpaceDN/>
        <w:bidi w:val="0"/>
        <w:adjustRightInd/>
        <w:snapToGrid/>
        <w:spacing w:line="600" w:lineRule="exact"/>
        <w:ind w:firstLine="880" w:firstLineChars="200"/>
        <w:jc w:val="center"/>
        <w:textAlignment w:val="auto"/>
        <w:rPr>
          <w:rFonts w:hint="eastAsia" w:ascii="方正小标宋_GBK" w:hAnsi="方正小标宋_GBK" w:eastAsia="方正小标宋_GBK" w:cs="方正小标宋_GBK"/>
          <w:b w:val="0"/>
          <w:bCs/>
          <w:kern w:val="0"/>
          <w:sz w:val="44"/>
          <w:szCs w:val="44"/>
          <w:lang w:val="zh-CN"/>
        </w:rPr>
      </w:pPr>
    </w:p>
    <w:p>
      <w:pPr>
        <w:keepNext w:val="0"/>
        <w:keepLines w:val="0"/>
        <w:pageBreakBefore w:val="0"/>
        <w:widowControl w:val="0"/>
        <w:kinsoku/>
        <w:wordWrap/>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kern w:val="0"/>
          <w:sz w:val="44"/>
          <w:szCs w:val="44"/>
          <w:lang w:val="zh-CN"/>
        </w:rPr>
      </w:pPr>
      <w:r>
        <w:rPr>
          <w:rFonts w:hint="eastAsia" w:ascii="方正小标宋_GBK" w:hAnsi="方正小标宋_GBK" w:eastAsia="方正小标宋_GBK" w:cs="方正小标宋_GBK"/>
          <w:b w:val="0"/>
          <w:bCs/>
          <w:kern w:val="0"/>
          <w:sz w:val="44"/>
          <w:szCs w:val="44"/>
          <w:lang w:val="zh-CN"/>
        </w:rPr>
        <w:t>《广西</w:t>
      </w:r>
      <w:r>
        <w:rPr>
          <w:rFonts w:hint="eastAsia" w:ascii="方正小标宋_GBK" w:hAnsi="方正小标宋_GBK" w:eastAsia="方正小标宋_GBK" w:cs="方正小标宋_GBK"/>
          <w:b w:val="0"/>
          <w:bCs/>
          <w:kern w:val="0"/>
          <w:sz w:val="44"/>
          <w:szCs w:val="44"/>
          <w:lang w:val="en-US" w:eastAsia="zh-CN"/>
        </w:rPr>
        <w:t>壮族自治区环境行政处罚</w:t>
      </w:r>
      <w:r>
        <w:rPr>
          <w:rFonts w:hint="eastAsia" w:ascii="方正小标宋_GBK" w:hAnsi="方正小标宋_GBK" w:eastAsia="方正小标宋_GBK" w:cs="方正小标宋_GBK"/>
          <w:b w:val="0"/>
          <w:bCs/>
          <w:kern w:val="0"/>
          <w:sz w:val="44"/>
          <w:szCs w:val="44"/>
          <w:lang w:val="zh-CN"/>
        </w:rPr>
        <w:t>自由裁量</w:t>
      </w:r>
    </w:p>
    <w:p>
      <w:pPr>
        <w:keepNext w:val="0"/>
        <w:keepLines w:val="0"/>
        <w:pageBreakBefore w:val="0"/>
        <w:widowControl w:val="0"/>
        <w:kinsoku/>
        <w:wordWrap/>
        <w:autoSpaceDE/>
        <w:autoSpaceDN/>
        <w:bidi w:val="0"/>
        <w:adjustRightInd/>
        <w:snapToGrid/>
        <w:spacing w:line="600" w:lineRule="exact"/>
        <w:jc w:val="center"/>
        <w:textAlignment w:val="auto"/>
        <w:rPr>
          <w:rFonts w:hint="eastAsia" w:ascii="黑体" w:hAnsi="黑体" w:eastAsia="黑体" w:cs="黑体"/>
          <w:kern w:val="0"/>
          <w:sz w:val="32"/>
          <w:szCs w:val="32"/>
          <w:lang w:val="zh-CN"/>
        </w:rPr>
      </w:pPr>
      <w:r>
        <w:rPr>
          <w:rFonts w:hint="eastAsia" w:ascii="方正小标宋_GBK" w:hAnsi="方正小标宋_GBK" w:eastAsia="方正小标宋_GBK" w:cs="方正小标宋_GBK"/>
          <w:b w:val="0"/>
          <w:bCs/>
          <w:kern w:val="0"/>
          <w:sz w:val="44"/>
          <w:szCs w:val="44"/>
          <w:lang w:val="zh-CN"/>
        </w:rPr>
        <w:t>规则</w:t>
      </w:r>
      <w:r>
        <w:rPr>
          <w:rFonts w:hint="eastAsia" w:ascii="方正小标宋_GBK" w:hAnsi="方正小标宋_GBK" w:eastAsia="方正小标宋_GBK" w:cs="方正小标宋_GBK"/>
          <w:b w:val="0"/>
          <w:bCs/>
          <w:kern w:val="0"/>
          <w:sz w:val="44"/>
          <w:szCs w:val="44"/>
          <w:lang w:val="en-US" w:eastAsia="zh-CN"/>
        </w:rPr>
        <w:t>和基准</w:t>
      </w:r>
      <w:r>
        <w:rPr>
          <w:rFonts w:hint="eastAsia" w:ascii="方正小标宋_GBK" w:hAnsi="方正小标宋_GBK" w:eastAsia="方正小标宋_GBK" w:cs="方正小标宋_GBK"/>
          <w:b w:val="0"/>
          <w:bCs/>
          <w:kern w:val="0"/>
          <w:sz w:val="44"/>
          <w:szCs w:val="44"/>
          <w:lang w:val="zh-CN"/>
        </w:rPr>
        <w:t>》起草说明</w:t>
      </w:r>
    </w:p>
    <w:p>
      <w:pPr>
        <w:keepNext w:val="0"/>
        <w:keepLines w:val="0"/>
        <w:pageBreakBefore w:val="0"/>
        <w:widowControl w:val="0"/>
        <w:kinsoku/>
        <w:wordWrap/>
        <w:autoSpaceDE/>
        <w:autoSpaceDN/>
        <w:bidi w:val="0"/>
        <w:adjustRightInd/>
        <w:snapToGrid/>
        <w:spacing w:line="600" w:lineRule="exact"/>
        <w:ind w:firstLine="640" w:firstLineChars="200"/>
        <w:textAlignment w:val="auto"/>
        <w:rPr>
          <w:rFonts w:hint="eastAsia" w:ascii="黑体" w:hAnsi="黑体" w:eastAsia="黑体" w:cs="黑体"/>
          <w:kern w:val="0"/>
          <w:sz w:val="32"/>
          <w:szCs w:val="32"/>
          <w:lang w:val="zh-CN"/>
        </w:rPr>
      </w:pPr>
    </w:p>
    <w:p>
      <w:pPr>
        <w:keepNext w:val="0"/>
        <w:keepLines w:val="0"/>
        <w:pageBreakBefore w:val="0"/>
        <w:widowControl w:val="0"/>
        <w:kinsoku/>
        <w:wordWrap/>
        <w:autoSpaceDE/>
        <w:autoSpaceDN/>
        <w:bidi w:val="0"/>
        <w:adjustRightInd/>
        <w:snapToGrid/>
        <w:spacing w:line="600" w:lineRule="exact"/>
        <w:ind w:firstLine="640" w:firstLineChars="200"/>
        <w:textAlignment w:val="auto"/>
        <w:rPr>
          <w:rFonts w:hint="eastAsia" w:ascii="黑体" w:hAnsi="黑体" w:eastAsia="黑体" w:cs="黑体"/>
          <w:kern w:val="0"/>
          <w:sz w:val="32"/>
          <w:szCs w:val="32"/>
          <w:lang w:val="zh-CN"/>
        </w:rPr>
      </w:pPr>
      <w:r>
        <w:rPr>
          <w:rFonts w:hint="eastAsia" w:ascii="黑体" w:hAnsi="黑体" w:eastAsia="黑体" w:cs="黑体"/>
          <w:kern w:val="0"/>
          <w:sz w:val="32"/>
          <w:szCs w:val="32"/>
          <w:lang w:val="zh-CN"/>
        </w:rPr>
        <w:t>一、《规则</w:t>
      </w:r>
      <w:r>
        <w:rPr>
          <w:rFonts w:hint="eastAsia" w:ascii="黑体" w:hAnsi="黑体" w:eastAsia="黑体" w:cs="黑体"/>
          <w:kern w:val="0"/>
          <w:sz w:val="32"/>
          <w:szCs w:val="32"/>
          <w:lang w:val="en-US" w:eastAsia="zh-CN"/>
        </w:rPr>
        <w:t>和基准</w:t>
      </w:r>
      <w:r>
        <w:rPr>
          <w:rFonts w:hint="eastAsia" w:ascii="黑体" w:hAnsi="黑体" w:eastAsia="黑体" w:cs="黑体"/>
          <w:kern w:val="0"/>
          <w:sz w:val="32"/>
          <w:szCs w:val="32"/>
          <w:lang w:val="zh-CN"/>
        </w:rPr>
        <w:t>》制定的必要性</w:t>
      </w:r>
    </w:p>
    <w:p>
      <w:pPr>
        <w:keepNext w:val="0"/>
        <w:keepLines w:val="0"/>
        <w:pageBreakBefore w:val="0"/>
        <w:widowControl w:val="0"/>
        <w:kinsoku/>
        <w:wordWrap/>
        <w:autoSpaceDE/>
        <w:autoSpaceDN/>
        <w:bidi w:val="0"/>
        <w:adjustRightInd/>
        <w:snapToGrid/>
        <w:spacing w:line="600" w:lineRule="exact"/>
        <w:ind w:firstLine="640" w:firstLineChars="200"/>
        <w:textAlignment w:val="auto"/>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2017年11月10日，原广西壮族自治区环境保护厅印发了</w:t>
      </w:r>
      <w:r>
        <w:rPr>
          <w:rFonts w:hint="eastAsia" w:ascii="仿宋" w:hAnsi="仿宋" w:eastAsia="仿宋" w:cs="仿宋"/>
          <w:kern w:val="36"/>
          <w:sz w:val="32"/>
          <w:szCs w:val="32"/>
        </w:rPr>
        <w:t>《广西壮族自治区规范环境行政处罚自由裁量权实施办法》</w:t>
      </w:r>
      <w:r>
        <w:rPr>
          <w:rFonts w:hint="eastAsia" w:ascii="仿宋" w:hAnsi="仿宋" w:eastAsia="仿宋" w:cs="仿宋"/>
          <w:kern w:val="0"/>
          <w:sz w:val="32"/>
          <w:szCs w:val="32"/>
          <w:lang w:val="zh-CN"/>
        </w:rPr>
        <w:t>，用于规范全区环境行政处罚自由裁量权。该办法印发实施以来，对规范各级生态环境部门依法行使环境行政处罚权发挥了重要作用。随着环境行政处罚工作的调整和推进，该办法存在的裁量因素单一、自由裁量空间较大、特殊情形考虑不足等问题逐渐显现，与目前全区的生态环境执法工作形势不相适应，有必要对现有的裁量办法进行修订完善，制定《广西</w:t>
      </w:r>
      <w:r>
        <w:rPr>
          <w:rFonts w:hint="eastAsia" w:ascii="仿宋" w:hAnsi="仿宋" w:eastAsia="仿宋" w:cs="仿宋"/>
          <w:kern w:val="0"/>
          <w:sz w:val="32"/>
          <w:szCs w:val="32"/>
          <w:lang w:val="en-US" w:eastAsia="zh-CN"/>
        </w:rPr>
        <w:t>壮族自治区</w:t>
      </w:r>
      <w:r>
        <w:rPr>
          <w:rFonts w:hint="eastAsia" w:ascii="仿宋" w:hAnsi="仿宋" w:eastAsia="仿宋" w:cs="仿宋"/>
          <w:kern w:val="2"/>
          <w:sz w:val="32"/>
          <w:szCs w:val="32"/>
          <w:lang w:val="en-US" w:eastAsia="zh-CN"/>
        </w:rPr>
        <w:t>环境行政处罚</w:t>
      </w:r>
      <w:r>
        <w:rPr>
          <w:rFonts w:hint="eastAsia" w:ascii="仿宋" w:hAnsi="仿宋" w:eastAsia="仿宋" w:cs="仿宋"/>
          <w:kern w:val="0"/>
          <w:sz w:val="32"/>
          <w:szCs w:val="32"/>
          <w:lang w:val="zh-CN"/>
        </w:rPr>
        <w:t>自由裁量规则</w:t>
      </w:r>
      <w:r>
        <w:rPr>
          <w:rFonts w:hint="eastAsia" w:ascii="仿宋" w:hAnsi="仿宋" w:eastAsia="仿宋" w:cs="仿宋"/>
          <w:kern w:val="0"/>
          <w:sz w:val="32"/>
          <w:szCs w:val="32"/>
          <w:lang w:val="en-US" w:eastAsia="zh-CN"/>
        </w:rPr>
        <w:t>和基准</w:t>
      </w:r>
      <w:r>
        <w:rPr>
          <w:rFonts w:hint="eastAsia" w:ascii="仿宋" w:hAnsi="仿宋" w:eastAsia="仿宋" w:cs="仿宋"/>
          <w:kern w:val="0"/>
          <w:sz w:val="32"/>
          <w:szCs w:val="32"/>
          <w:lang w:val="zh-CN"/>
        </w:rPr>
        <w:t>》（以下简称《规则</w:t>
      </w:r>
      <w:r>
        <w:rPr>
          <w:rFonts w:hint="eastAsia" w:ascii="仿宋" w:hAnsi="仿宋" w:eastAsia="仿宋" w:cs="仿宋"/>
          <w:kern w:val="0"/>
          <w:sz w:val="32"/>
          <w:szCs w:val="32"/>
          <w:lang w:val="en-US" w:eastAsia="zh-CN"/>
        </w:rPr>
        <w:t>和基准</w:t>
      </w:r>
      <w:r>
        <w:rPr>
          <w:rFonts w:hint="eastAsia" w:ascii="仿宋" w:hAnsi="仿宋" w:eastAsia="仿宋" w:cs="仿宋"/>
          <w:kern w:val="0"/>
          <w:sz w:val="32"/>
          <w:szCs w:val="32"/>
          <w:lang w:val="zh-CN"/>
        </w:rPr>
        <w:t>》）。</w:t>
      </w:r>
    </w:p>
    <w:p>
      <w:pPr>
        <w:keepNext w:val="0"/>
        <w:keepLines w:val="0"/>
        <w:pageBreakBefore w:val="0"/>
        <w:widowControl w:val="0"/>
        <w:kinsoku/>
        <w:wordWrap/>
        <w:autoSpaceDE/>
        <w:autoSpaceDN/>
        <w:bidi w:val="0"/>
        <w:adjustRightInd/>
        <w:snapToGrid/>
        <w:spacing w:line="600" w:lineRule="exact"/>
        <w:ind w:firstLine="640" w:firstLineChars="200"/>
        <w:textAlignment w:val="auto"/>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2019年5月22日，生态环境部颁布《关于进一步规范适用环境行政处罚自由裁量权的指导意见》，明确要求省级生态环境部门应当根据指导意见提供的制定方法，结合本地区法规和规章，制定本地区行政处罚自由裁量规则和基准。</w:t>
      </w:r>
    </w:p>
    <w:p>
      <w:pPr>
        <w:keepNext w:val="0"/>
        <w:keepLines w:val="0"/>
        <w:pageBreakBefore w:val="0"/>
        <w:widowControl w:val="0"/>
        <w:kinsoku/>
        <w:wordWrap/>
        <w:autoSpaceDE/>
        <w:autoSpaceDN/>
        <w:bidi w:val="0"/>
        <w:adjustRightInd/>
        <w:snapToGrid/>
        <w:spacing w:line="600" w:lineRule="exact"/>
        <w:ind w:firstLine="640" w:firstLineChars="200"/>
        <w:textAlignment w:val="auto"/>
        <w:rPr>
          <w:rFonts w:hint="eastAsia" w:ascii="黑体" w:hAnsi="黑体" w:eastAsia="黑体" w:cs="黑体"/>
          <w:kern w:val="0"/>
          <w:sz w:val="32"/>
          <w:szCs w:val="32"/>
          <w:lang w:val="zh-CN"/>
        </w:rPr>
      </w:pPr>
      <w:r>
        <w:rPr>
          <w:rFonts w:hint="eastAsia" w:ascii="黑体" w:hAnsi="黑体" w:eastAsia="黑体" w:cs="黑体"/>
          <w:kern w:val="0"/>
          <w:sz w:val="32"/>
          <w:szCs w:val="32"/>
          <w:lang w:val="zh-CN"/>
        </w:rPr>
        <w:t>二、《规则</w:t>
      </w:r>
      <w:r>
        <w:rPr>
          <w:rFonts w:hint="eastAsia" w:ascii="黑体" w:hAnsi="黑体" w:eastAsia="黑体" w:cs="黑体"/>
          <w:kern w:val="0"/>
          <w:sz w:val="32"/>
          <w:szCs w:val="32"/>
          <w:lang w:val="en-US" w:eastAsia="zh-CN"/>
        </w:rPr>
        <w:t>和基准</w:t>
      </w:r>
      <w:r>
        <w:rPr>
          <w:rFonts w:hint="eastAsia" w:ascii="黑体" w:hAnsi="黑体" w:eastAsia="黑体" w:cs="黑体"/>
          <w:kern w:val="0"/>
          <w:sz w:val="32"/>
          <w:szCs w:val="32"/>
          <w:lang w:val="zh-CN"/>
        </w:rPr>
        <w:t>》制定的依据</w:t>
      </w:r>
    </w:p>
    <w:p>
      <w:pPr>
        <w:keepNext w:val="0"/>
        <w:keepLines w:val="0"/>
        <w:pageBreakBefore w:val="0"/>
        <w:widowControl w:val="0"/>
        <w:kinsoku/>
        <w:wordWrap/>
        <w:autoSpaceDE/>
        <w:autoSpaceDN/>
        <w:bidi w:val="0"/>
        <w:adjustRightInd/>
        <w:snapToGrid/>
        <w:spacing w:line="600" w:lineRule="exact"/>
        <w:ind w:firstLine="640" w:firstLineChars="200"/>
        <w:textAlignment w:val="auto"/>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《规则</w:t>
      </w:r>
      <w:r>
        <w:rPr>
          <w:rFonts w:hint="eastAsia" w:ascii="仿宋" w:hAnsi="仿宋" w:eastAsia="仿宋" w:cs="仿宋"/>
          <w:kern w:val="0"/>
          <w:sz w:val="32"/>
          <w:szCs w:val="32"/>
          <w:lang w:val="en-US" w:eastAsia="zh-CN"/>
        </w:rPr>
        <w:t>和基准</w:t>
      </w:r>
      <w:r>
        <w:rPr>
          <w:rFonts w:hint="eastAsia" w:ascii="仿宋" w:hAnsi="仿宋" w:eastAsia="仿宋" w:cs="仿宋"/>
          <w:kern w:val="0"/>
          <w:sz w:val="32"/>
          <w:szCs w:val="32"/>
          <w:lang w:val="zh-CN"/>
        </w:rPr>
        <w:t>》依据《中华人民共和国行政处罚法》《环境行政处罚办法》《关于进一步规范适用环境行政处罚自由裁量权的指导意见》等有关法律、规章和文件制定，对《中华人民共和国水污染防治法》《建设项目环境保护管理条例》等有关法律、法规涉及的环境违法行为的行政处罚自由裁量权进行了细化和量化。</w:t>
      </w:r>
    </w:p>
    <w:p>
      <w:pPr>
        <w:keepNext w:val="0"/>
        <w:keepLines w:val="0"/>
        <w:pageBreakBefore w:val="0"/>
        <w:widowControl w:val="0"/>
        <w:kinsoku/>
        <w:wordWrap/>
        <w:autoSpaceDE/>
        <w:autoSpaceDN/>
        <w:bidi w:val="0"/>
        <w:adjustRightInd/>
        <w:snapToGrid/>
        <w:spacing w:line="600" w:lineRule="exact"/>
        <w:ind w:firstLine="640" w:firstLineChars="200"/>
        <w:textAlignment w:val="auto"/>
        <w:rPr>
          <w:rFonts w:hint="eastAsia" w:ascii="黑体" w:hAnsi="黑体" w:eastAsia="黑体" w:cs="黑体"/>
          <w:kern w:val="0"/>
          <w:sz w:val="32"/>
          <w:szCs w:val="32"/>
          <w:lang w:val="zh-CN"/>
        </w:rPr>
      </w:pPr>
      <w:r>
        <w:rPr>
          <w:rFonts w:hint="eastAsia" w:ascii="黑体" w:hAnsi="黑体" w:eastAsia="黑体" w:cs="黑体"/>
          <w:kern w:val="0"/>
          <w:sz w:val="32"/>
          <w:szCs w:val="32"/>
          <w:lang w:val="zh-CN"/>
        </w:rPr>
        <w:t>三、《规则</w:t>
      </w:r>
      <w:r>
        <w:rPr>
          <w:rFonts w:hint="eastAsia" w:ascii="黑体" w:hAnsi="黑体" w:eastAsia="黑体" w:cs="黑体"/>
          <w:kern w:val="0"/>
          <w:sz w:val="32"/>
          <w:szCs w:val="32"/>
          <w:lang w:val="en-US" w:eastAsia="zh-CN"/>
        </w:rPr>
        <w:t>和基准</w:t>
      </w:r>
      <w:r>
        <w:rPr>
          <w:rFonts w:hint="eastAsia" w:ascii="黑体" w:hAnsi="黑体" w:eastAsia="黑体" w:cs="黑体"/>
          <w:kern w:val="0"/>
          <w:sz w:val="32"/>
          <w:szCs w:val="32"/>
          <w:lang w:val="zh-CN"/>
        </w:rPr>
        <w:t>》的主要内容和特色</w:t>
      </w:r>
    </w:p>
    <w:p>
      <w:pPr>
        <w:keepNext w:val="0"/>
        <w:keepLines w:val="0"/>
        <w:pageBreakBefore w:val="0"/>
        <w:widowControl w:val="0"/>
        <w:kinsoku/>
        <w:wordWrap/>
        <w:autoSpaceDE/>
        <w:autoSpaceDN/>
        <w:bidi w:val="0"/>
        <w:adjustRightInd/>
        <w:snapToGrid/>
        <w:spacing w:line="600" w:lineRule="exact"/>
        <w:ind w:firstLine="640" w:firstLineChars="200"/>
        <w:textAlignment w:val="auto"/>
        <w:rPr>
          <w:rFonts w:hint="eastAsia" w:ascii="楷体" w:hAnsi="楷体" w:eastAsia="楷体" w:cs="楷体"/>
          <w:kern w:val="0"/>
          <w:sz w:val="32"/>
          <w:szCs w:val="32"/>
          <w:lang w:val="zh-CN"/>
        </w:rPr>
      </w:pPr>
      <w:r>
        <w:rPr>
          <w:rFonts w:hint="eastAsia" w:ascii="楷体" w:hAnsi="楷体" w:eastAsia="楷体" w:cs="楷体"/>
          <w:kern w:val="0"/>
          <w:sz w:val="32"/>
          <w:szCs w:val="32"/>
          <w:lang w:val="zh-CN"/>
        </w:rPr>
        <w:t>（一）制定裁量规范和裁量方式</w:t>
      </w:r>
    </w:p>
    <w:p>
      <w:pPr>
        <w:keepNext w:val="0"/>
        <w:keepLines w:val="0"/>
        <w:pageBreakBefore w:val="0"/>
        <w:widowControl w:val="0"/>
        <w:kinsoku/>
        <w:wordWrap/>
        <w:autoSpaceDE/>
        <w:autoSpaceDN/>
        <w:bidi w:val="0"/>
        <w:adjustRightInd/>
        <w:snapToGrid/>
        <w:spacing w:line="600" w:lineRule="exact"/>
        <w:ind w:firstLine="640" w:firstLineChars="200"/>
        <w:textAlignment w:val="auto"/>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《规则</w:t>
      </w:r>
      <w:r>
        <w:rPr>
          <w:rFonts w:hint="eastAsia" w:ascii="仿宋" w:hAnsi="仿宋" w:eastAsia="仿宋" w:cs="仿宋"/>
          <w:kern w:val="0"/>
          <w:sz w:val="32"/>
          <w:szCs w:val="32"/>
          <w:lang w:val="en-US" w:eastAsia="zh-CN"/>
        </w:rPr>
        <w:t>和基准</w:t>
      </w:r>
      <w:r>
        <w:rPr>
          <w:rFonts w:hint="eastAsia" w:ascii="仿宋" w:hAnsi="仿宋" w:eastAsia="仿宋" w:cs="仿宋"/>
          <w:kern w:val="0"/>
          <w:sz w:val="32"/>
          <w:szCs w:val="32"/>
          <w:lang w:val="zh-CN"/>
        </w:rPr>
        <w:t>》分为裁量规则、裁量基准两部分内容。</w:t>
      </w:r>
    </w:p>
    <w:p>
      <w:pPr>
        <w:keepNext w:val="0"/>
        <w:keepLines w:val="0"/>
        <w:pageBreakBefore w:val="0"/>
        <w:widowControl w:val="0"/>
        <w:kinsoku/>
        <w:wordWrap/>
        <w:autoSpaceDE/>
        <w:autoSpaceDN/>
        <w:bidi w:val="0"/>
        <w:adjustRightInd/>
        <w:snapToGrid/>
        <w:spacing w:line="600" w:lineRule="exact"/>
        <w:ind w:firstLine="640" w:firstLineChars="200"/>
        <w:textAlignment w:val="auto"/>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裁量规则的内容共十</w:t>
      </w:r>
      <w:r>
        <w:rPr>
          <w:rFonts w:hint="eastAsia" w:ascii="仿宋" w:hAnsi="仿宋" w:eastAsia="仿宋" w:cs="仿宋"/>
          <w:kern w:val="0"/>
          <w:sz w:val="32"/>
          <w:szCs w:val="32"/>
          <w:lang w:val="en-US" w:eastAsia="zh-CN"/>
        </w:rPr>
        <w:t>四</w:t>
      </w:r>
      <w:r>
        <w:rPr>
          <w:rFonts w:hint="eastAsia" w:ascii="仿宋" w:hAnsi="仿宋" w:eastAsia="仿宋" w:cs="仿宋"/>
          <w:kern w:val="0"/>
          <w:sz w:val="32"/>
          <w:szCs w:val="32"/>
          <w:lang w:val="zh-CN"/>
        </w:rPr>
        <w:t>条，对裁量规则的适用范围、基本原则、裁量方式、从重从轻减轻或免予处罚情形、法律适用、调查取证等规则具体运用的有关内容进行了原则性规定。</w:t>
      </w:r>
    </w:p>
    <w:p>
      <w:pPr>
        <w:keepNext w:val="0"/>
        <w:keepLines w:val="0"/>
        <w:pageBreakBefore w:val="0"/>
        <w:widowControl w:val="0"/>
        <w:kinsoku/>
        <w:wordWrap/>
        <w:autoSpaceDE/>
        <w:autoSpaceDN/>
        <w:bidi w:val="0"/>
        <w:adjustRightInd/>
        <w:snapToGrid/>
        <w:spacing w:line="600" w:lineRule="exact"/>
        <w:ind w:firstLine="640" w:firstLineChars="200"/>
        <w:textAlignment w:val="auto"/>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裁量基准的内容分为个性裁量基准、共性裁量基准、修正裁量基准三部分。</w:t>
      </w:r>
    </w:p>
    <w:p>
      <w:pPr>
        <w:keepNext w:val="0"/>
        <w:keepLines w:val="0"/>
        <w:pageBreakBefore w:val="0"/>
        <w:widowControl w:val="0"/>
        <w:kinsoku/>
        <w:wordWrap/>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个性裁量基准为十三类，对应环境行政执法中常见的十三类环境违法行为，每类设置若干裁量因子。个性裁量基准并非对每一种违法行为都单独设置，无法适用个性裁量基准的违法行为则适用共性裁量基准和修正裁量基准进行裁量。</w:t>
      </w:r>
    </w:p>
    <w:p>
      <w:pPr>
        <w:keepNext w:val="0"/>
        <w:keepLines w:val="0"/>
        <w:pageBreakBefore w:val="0"/>
        <w:widowControl w:val="0"/>
        <w:kinsoku/>
        <w:wordWrap/>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共性裁量基准为</w:t>
      </w:r>
      <w:r>
        <w:rPr>
          <w:rFonts w:hint="eastAsia" w:ascii="仿宋" w:hAnsi="仿宋" w:eastAsia="仿宋" w:cs="仿宋"/>
          <w:sz w:val="32"/>
          <w:szCs w:val="32"/>
          <w:lang w:val="en-US" w:eastAsia="zh-CN"/>
        </w:rPr>
        <w:t>七</w:t>
      </w:r>
      <w:r>
        <w:rPr>
          <w:rFonts w:hint="eastAsia" w:ascii="仿宋" w:hAnsi="仿宋" w:eastAsia="仿宋" w:cs="仿宋"/>
          <w:sz w:val="32"/>
          <w:szCs w:val="32"/>
        </w:rPr>
        <w:t>项，修正裁量基准为</w:t>
      </w:r>
      <w:r>
        <w:rPr>
          <w:rFonts w:hint="eastAsia" w:ascii="仿宋" w:hAnsi="仿宋" w:eastAsia="仿宋" w:cs="仿宋"/>
          <w:sz w:val="32"/>
          <w:szCs w:val="32"/>
          <w:lang w:val="en-US" w:eastAsia="zh-CN"/>
        </w:rPr>
        <w:t>六</w:t>
      </w:r>
      <w:r>
        <w:rPr>
          <w:rFonts w:hint="eastAsia" w:ascii="仿宋" w:hAnsi="仿宋" w:eastAsia="仿宋" w:cs="仿宋"/>
          <w:sz w:val="32"/>
          <w:szCs w:val="32"/>
        </w:rPr>
        <w:t>项，系所有环境违法行为通用，与个性裁量基准共同计入裁量公式计算。</w:t>
      </w:r>
    </w:p>
    <w:p>
      <w:pPr>
        <w:keepNext w:val="0"/>
        <w:keepLines w:val="0"/>
        <w:pageBreakBefore w:val="0"/>
        <w:widowControl w:val="0"/>
        <w:kinsoku/>
        <w:wordWrap/>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kern w:val="0"/>
          <w:sz w:val="32"/>
          <w:szCs w:val="32"/>
          <w:lang w:val="zh-CN"/>
        </w:rPr>
        <w:t>在办理</w:t>
      </w:r>
      <w:r>
        <w:rPr>
          <w:rFonts w:hint="eastAsia" w:ascii="仿宋" w:hAnsi="仿宋" w:eastAsia="仿宋" w:cs="仿宋"/>
          <w:sz w:val="32"/>
          <w:szCs w:val="32"/>
        </w:rPr>
        <w:t>十</w:t>
      </w:r>
      <w:r>
        <w:rPr>
          <w:rFonts w:hint="eastAsia" w:ascii="仿宋" w:hAnsi="仿宋" w:eastAsia="仿宋" w:cs="仿宋"/>
          <w:sz w:val="32"/>
          <w:szCs w:val="32"/>
          <w:lang w:val="en-US" w:eastAsia="zh-CN"/>
        </w:rPr>
        <w:t>三</w:t>
      </w:r>
      <w:r>
        <w:rPr>
          <w:rFonts w:hint="eastAsia" w:ascii="仿宋" w:hAnsi="仿宋" w:eastAsia="仿宋" w:cs="仿宋"/>
          <w:sz w:val="32"/>
          <w:szCs w:val="32"/>
        </w:rPr>
        <w:t>类特定生态环境违法案件时，通过个性、共性和修正裁量基准计算罚款金额，在办理其他生态环境违法案件时，通过共性和修正裁量基准计算罚款金额。</w:t>
      </w:r>
    </w:p>
    <w:p>
      <w:pPr>
        <w:keepNext w:val="0"/>
        <w:keepLines w:val="0"/>
        <w:pageBreakBefore w:val="0"/>
        <w:widowControl w:val="0"/>
        <w:kinsoku/>
        <w:wordWrap/>
        <w:autoSpaceDE/>
        <w:autoSpaceDN/>
        <w:bidi w:val="0"/>
        <w:adjustRightInd/>
        <w:snapToGrid/>
        <w:spacing w:line="600" w:lineRule="exact"/>
        <w:ind w:firstLine="640" w:firstLineChars="200"/>
        <w:textAlignment w:val="auto"/>
        <w:rPr>
          <w:rFonts w:hint="eastAsia" w:ascii="楷体" w:hAnsi="楷体" w:eastAsia="楷体" w:cs="楷体"/>
          <w:kern w:val="0"/>
          <w:sz w:val="32"/>
          <w:szCs w:val="32"/>
          <w:lang w:val="zh-CN"/>
        </w:rPr>
      </w:pPr>
      <w:r>
        <w:rPr>
          <w:rFonts w:hint="eastAsia" w:ascii="楷体" w:hAnsi="楷体" w:eastAsia="楷体" w:cs="楷体"/>
          <w:kern w:val="0"/>
          <w:sz w:val="32"/>
          <w:szCs w:val="32"/>
          <w:lang w:val="zh-CN"/>
        </w:rPr>
        <w:t>（二）科学合理确定裁量结果</w:t>
      </w:r>
    </w:p>
    <w:p>
      <w:pPr>
        <w:keepNext w:val="0"/>
        <w:keepLines w:val="0"/>
        <w:pageBreakBefore w:val="0"/>
        <w:widowControl w:val="0"/>
        <w:kinsoku/>
        <w:wordWrap/>
        <w:autoSpaceDE/>
        <w:autoSpaceDN/>
        <w:bidi w:val="0"/>
        <w:adjustRightInd/>
        <w:snapToGrid/>
        <w:spacing w:line="600" w:lineRule="exact"/>
        <w:ind w:firstLine="640" w:firstLineChars="200"/>
        <w:textAlignment w:val="auto"/>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裁量基准根据违法行为的构成要素和情节，有针对性地设定多个裁量因素和多种裁量因子，弥补了原办法裁量因子单一、宽泛的不足，确保裁量结果的科学、合理、准确。</w:t>
      </w:r>
    </w:p>
    <w:p>
      <w:pPr>
        <w:keepNext w:val="0"/>
        <w:keepLines w:val="0"/>
        <w:pageBreakBefore w:val="0"/>
        <w:widowControl w:val="0"/>
        <w:kinsoku/>
        <w:wordWrap/>
        <w:autoSpaceDE/>
        <w:autoSpaceDN/>
        <w:bidi w:val="0"/>
        <w:adjustRightInd/>
        <w:snapToGrid/>
        <w:spacing w:line="600" w:lineRule="exact"/>
        <w:ind w:firstLine="640" w:firstLineChars="200"/>
        <w:textAlignment w:val="auto"/>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以超标排放大气污染物这一违法行为为例，原办法仅以超标百分比和烟气黑度作为裁量因子，考虑因素不够全面。裁量基准则综合考虑超标因子个数、排放去向、废气类别、排污超标状况、小时烟气流量、排放时期环境敏感度等因素，指导执法人员根据违法行为的事实、情节、后果有针对性地调取证据，对违法行为进行综合考量和全面裁定，最大限度地实现过罚相当。</w:t>
      </w:r>
    </w:p>
    <w:p>
      <w:pPr>
        <w:keepNext w:val="0"/>
        <w:keepLines w:val="0"/>
        <w:pageBreakBefore w:val="0"/>
        <w:widowControl w:val="0"/>
        <w:kinsoku/>
        <w:wordWrap/>
        <w:autoSpaceDE/>
        <w:autoSpaceDN/>
        <w:bidi w:val="0"/>
        <w:adjustRightInd/>
        <w:snapToGrid/>
        <w:spacing w:line="600" w:lineRule="exact"/>
        <w:ind w:firstLine="640" w:firstLineChars="200"/>
        <w:textAlignment w:val="auto"/>
        <w:rPr>
          <w:rFonts w:hint="eastAsia" w:ascii="楷体" w:hAnsi="楷体" w:eastAsia="楷体" w:cs="楷体"/>
          <w:kern w:val="0"/>
          <w:sz w:val="32"/>
          <w:szCs w:val="32"/>
          <w:lang w:val="zh-CN"/>
        </w:rPr>
      </w:pPr>
      <w:r>
        <w:rPr>
          <w:rFonts w:hint="eastAsia" w:ascii="楷体" w:hAnsi="楷体" w:eastAsia="楷体" w:cs="楷体"/>
          <w:kern w:val="0"/>
          <w:sz w:val="32"/>
          <w:szCs w:val="32"/>
          <w:lang w:val="zh-CN"/>
        </w:rPr>
        <w:t>（三）依法依规计算罚款金额</w:t>
      </w:r>
    </w:p>
    <w:p>
      <w:pPr>
        <w:keepNext w:val="0"/>
        <w:keepLines w:val="0"/>
        <w:pageBreakBefore w:val="0"/>
        <w:widowControl w:val="0"/>
        <w:kinsoku/>
        <w:wordWrap/>
        <w:autoSpaceDE/>
        <w:autoSpaceDN/>
        <w:bidi w:val="0"/>
        <w:adjustRightInd/>
        <w:snapToGrid/>
        <w:spacing w:line="600" w:lineRule="exact"/>
        <w:ind w:firstLine="640" w:firstLineChars="200"/>
        <w:textAlignment w:val="auto"/>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按照裁量基准确定罚款金额时，首先明确违法行为对应的个性裁量基准、共性裁量基准、修正裁量基准，确定各个基准中相应的各项裁量因子的裁量等级，再将裁量等级数值套入</w:t>
      </w:r>
      <w:r>
        <w:rPr>
          <w:rFonts w:hint="eastAsia" w:ascii="仿宋" w:hAnsi="仿宋" w:eastAsia="仿宋" w:cs="仿宋"/>
          <w:sz w:val="32"/>
          <w:szCs w:val="32"/>
        </w:rPr>
        <w:t>固定裁量</w:t>
      </w:r>
      <w:r>
        <w:rPr>
          <w:rFonts w:hint="eastAsia" w:ascii="仿宋" w:hAnsi="仿宋" w:eastAsia="仿宋" w:cs="仿宋"/>
          <w:kern w:val="0"/>
          <w:sz w:val="32"/>
          <w:szCs w:val="32"/>
          <w:lang w:val="zh-CN"/>
        </w:rPr>
        <w:t>公式计算罚款金额，最大限度减少人为因素干预。</w:t>
      </w:r>
    </w:p>
    <w:p>
      <w:pPr>
        <w:keepNext w:val="0"/>
        <w:keepLines w:val="0"/>
        <w:pageBreakBefore w:val="0"/>
        <w:widowControl w:val="0"/>
        <w:kinsoku/>
        <w:wordWrap/>
        <w:autoSpaceDE/>
        <w:autoSpaceDN/>
        <w:bidi w:val="0"/>
        <w:adjustRightInd/>
        <w:snapToGrid/>
        <w:spacing w:line="600" w:lineRule="exact"/>
        <w:ind w:firstLine="640" w:firstLineChars="200"/>
        <w:textAlignment w:val="auto"/>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通过“裁量基准+裁量公式”的方式计算罚款金额，实现处罚金额裁定的高效、便捷、准确，细化了裁量标准，压缩了裁量空间，避免人为因素对行政执法的过多干预，保护了执法人员。</w:t>
      </w:r>
    </w:p>
    <w:p>
      <w:pPr>
        <w:keepNext w:val="0"/>
        <w:keepLines w:val="0"/>
        <w:pageBreakBefore w:val="0"/>
        <w:widowControl w:val="0"/>
        <w:kinsoku/>
        <w:wordWrap/>
        <w:autoSpaceDE/>
        <w:autoSpaceDN/>
        <w:bidi w:val="0"/>
        <w:adjustRightInd/>
        <w:snapToGrid/>
        <w:spacing w:line="600" w:lineRule="exact"/>
        <w:ind w:firstLine="640" w:firstLineChars="200"/>
        <w:textAlignment w:val="auto"/>
        <w:rPr>
          <w:rFonts w:hint="eastAsia" w:ascii="楷体" w:hAnsi="楷体" w:eastAsia="楷体" w:cs="楷体"/>
          <w:kern w:val="0"/>
          <w:sz w:val="32"/>
          <w:szCs w:val="32"/>
          <w:lang w:val="zh-CN"/>
        </w:rPr>
      </w:pPr>
      <w:r>
        <w:rPr>
          <w:rFonts w:hint="eastAsia" w:ascii="楷体" w:hAnsi="楷体" w:eastAsia="楷体" w:cs="楷体"/>
          <w:kern w:val="0"/>
          <w:sz w:val="32"/>
          <w:szCs w:val="32"/>
          <w:lang w:val="zh-CN"/>
        </w:rPr>
        <w:t>（四）明确免于行政处罚的具体情形</w:t>
      </w:r>
    </w:p>
    <w:p>
      <w:pPr>
        <w:keepNext w:val="0"/>
        <w:keepLines w:val="0"/>
        <w:pageBreakBefore w:val="0"/>
        <w:widowControl w:val="0"/>
        <w:kinsoku/>
        <w:wordWrap/>
        <w:autoSpaceDE/>
        <w:autoSpaceDN/>
        <w:bidi w:val="0"/>
        <w:adjustRightInd/>
        <w:snapToGrid/>
        <w:spacing w:line="600" w:lineRule="exact"/>
        <w:ind w:firstLine="640" w:firstLineChars="200"/>
        <w:textAlignment w:val="auto"/>
        <w:rPr>
          <w:rFonts w:hint="eastAsia" w:ascii="仿宋" w:hAnsi="仿宋" w:eastAsia="仿宋" w:cs="仿宋"/>
          <w:kern w:val="0"/>
          <w:sz w:val="32"/>
          <w:szCs w:val="32"/>
          <w:lang w:val="en"/>
        </w:rPr>
      </w:pPr>
      <w:r>
        <w:rPr>
          <w:rFonts w:hint="eastAsia" w:ascii="仿宋" w:hAnsi="仿宋" w:eastAsia="仿宋" w:cs="仿宋"/>
          <w:kern w:val="0"/>
          <w:sz w:val="32"/>
          <w:szCs w:val="32"/>
          <w:lang w:val="zh-CN"/>
        </w:rPr>
        <w:t>根据《行政处罚法》和《关于进一步规范适用环境行政处罚自由裁量权的指导意见》，</w:t>
      </w:r>
      <w:r>
        <w:rPr>
          <w:rFonts w:hint="eastAsia" w:ascii="仿宋" w:hAnsi="仿宋" w:eastAsia="仿宋" w:cs="仿宋"/>
          <w:color w:val="000000" w:themeColor="text1"/>
          <w:kern w:val="0"/>
          <w:sz w:val="32"/>
          <w:szCs w:val="32"/>
          <w:lang w:val="zh-CN"/>
          <w14:textFill>
            <w14:solidFill>
              <w14:schemeClr w14:val="tx1"/>
            </w14:solidFill>
          </w14:textFill>
        </w:rPr>
        <w:t>参照部分外省的做法，首次明确了</w:t>
      </w:r>
      <w:r>
        <w:rPr>
          <w:rFonts w:hint="eastAsia" w:ascii="仿宋" w:hAnsi="仿宋" w:eastAsia="仿宋" w:cs="仿宋"/>
          <w:color w:val="000000" w:themeColor="text1"/>
          <w:kern w:val="0"/>
          <w:sz w:val="32"/>
          <w:szCs w:val="32"/>
          <w:lang w:val="en-US" w:eastAsia="zh-CN"/>
          <w14:textFill>
            <w14:solidFill>
              <w14:schemeClr w14:val="tx1"/>
            </w14:solidFill>
          </w14:textFill>
        </w:rPr>
        <w:t>十一</w:t>
      </w:r>
      <w:r>
        <w:rPr>
          <w:rFonts w:hint="eastAsia" w:ascii="仿宋" w:hAnsi="仿宋" w:eastAsia="仿宋" w:cs="仿宋"/>
          <w:color w:val="000000" w:themeColor="text1"/>
          <w:kern w:val="0"/>
          <w:sz w:val="32"/>
          <w:szCs w:val="32"/>
          <w:lang w:val="zh-CN"/>
          <w14:textFill>
            <w14:solidFill>
              <w14:schemeClr w14:val="tx1"/>
            </w14:solidFill>
          </w14:textFill>
        </w:rPr>
        <w:t>种免于处罚的情形，</w:t>
      </w:r>
      <w:r>
        <w:rPr>
          <w:rFonts w:hint="eastAsia" w:ascii="仿宋" w:hAnsi="仿宋" w:eastAsia="仿宋" w:cs="仿宋"/>
          <w:kern w:val="0"/>
          <w:sz w:val="32"/>
          <w:szCs w:val="32"/>
          <w:lang w:val="zh-CN"/>
        </w:rPr>
        <w:t>包括：建设单位未依法备案建设项目环境影响登记表，且在10个工作日内改正的；建设项目“未批先建”，企业自行实施关停或者实施停止建设、停止生产等措施的；建设项目投入生产，但污染防治设施未按规定进行验收，企业自行实施关停或者实施停止建设、停止生产等措施，及时开展验收工作的；除第一类污染物、有毒有害物质、放射性物质、重金属、病原体、持久性有机污染物之外，超标排放水污染物或者大气污染物倍数在0.1倍以内、噪声超标在1分贝以内、pH值大于等于5且小于等于9.5、排放时间不超过2小时，且在当日完成整改的；不规范贮存危险废物时间不超过24小时、数量小于0.01吨，且在当日完成整改的；未设置或未规范设置危险废物识别标志等危险废物管理不规范行为，首次发现，且经现场检查指出后立即改正的；未密闭易产生扬尘的物料，或者未采取有效措施防治扬尘污染，首次发现，经责令限期改正后及时完成整改的；已按规范制定突发环境事件（事故）应急预案但未按规定将应急预案备案或者未按规定开展应急培训、如实记录培训情况，且在10个工作日内整改的；因突发故障等非主观故意因素导致污染防治设施不正常运行，24小时内及时报告并采取停、限产措施减少污染物排放，且日均值未超标的；未按照规定时限公开环境信息或者未按照规定的内容公开环境信息，且在当日完成整改的；其他违法行为轻微并及时纠正，没有造成危害后果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免于处罚情形的确定，体现了宽严相济的处罚精神，有利于鼓励和引导企业及时改正轻微违法行为，有利于生态环境部门集中力量精准打击严重违法行为，也是生态环境部门优化服务营商环境的重要举措。</w:t>
      </w:r>
    </w:p>
    <w:p>
      <w:pPr>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br w:type="page"/>
      </w:r>
    </w:p>
    <w:p>
      <w:pPr>
        <w:spacing w:line="600" w:lineRule="exact"/>
        <w:jc w:val="left"/>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附件2</w:t>
      </w:r>
    </w:p>
    <w:p>
      <w:pPr>
        <w:spacing w:line="600" w:lineRule="exact"/>
        <w:jc w:val="center"/>
        <w:rPr>
          <w:rFonts w:hint="eastAsia" w:ascii="方正小标宋_GBK" w:hAnsi="方正小标宋_GBK" w:eastAsia="方正小标宋_GBK" w:cs="方正小标宋_GBK"/>
          <w:bCs/>
          <w:sz w:val="44"/>
          <w:szCs w:val="44"/>
        </w:rPr>
      </w:pPr>
    </w:p>
    <w:p>
      <w:pPr>
        <w:spacing w:line="600" w:lineRule="exact"/>
        <w:jc w:val="center"/>
        <w:rPr>
          <w:rFonts w:hint="eastAsia" w:ascii="方正小标宋_GBK" w:hAnsi="方正小标宋_GBK" w:eastAsia="方正小标宋_GBK" w:cs="方正小标宋_GBK"/>
          <w:bCs/>
          <w:sz w:val="44"/>
          <w:szCs w:val="44"/>
          <w:lang w:eastAsia="zh-CN"/>
        </w:rPr>
      </w:pPr>
      <w:r>
        <w:rPr>
          <w:rFonts w:hint="eastAsia" w:ascii="方正小标宋_GBK" w:hAnsi="方正小标宋_GBK" w:eastAsia="方正小标宋_GBK" w:cs="方正小标宋_GBK"/>
          <w:bCs/>
          <w:sz w:val="44"/>
          <w:szCs w:val="44"/>
        </w:rPr>
        <w:t>广西壮族自治区</w:t>
      </w:r>
      <w:r>
        <w:rPr>
          <w:rFonts w:hint="eastAsia" w:ascii="方正小标宋_GBK" w:hAnsi="方正小标宋_GBK" w:eastAsia="方正小标宋_GBK" w:cs="方正小标宋_GBK"/>
          <w:bCs/>
          <w:sz w:val="44"/>
          <w:szCs w:val="44"/>
          <w:lang w:eastAsia="zh-CN"/>
        </w:rPr>
        <w:t>环境行政处罚</w:t>
      </w:r>
    </w:p>
    <w:p>
      <w:pPr>
        <w:spacing w:line="60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自由裁量规则（征求意见稿）</w:t>
      </w:r>
    </w:p>
    <w:p>
      <w:pPr>
        <w:spacing w:line="600" w:lineRule="exact"/>
        <w:ind w:firstLine="560" w:firstLineChars="200"/>
        <w:rPr>
          <w:rFonts w:hint="eastAsia" w:ascii="宋体" w:hAnsi="宋体" w:eastAsia="宋体"/>
          <w:sz w:val="28"/>
          <w:szCs w:val="28"/>
        </w:rPr>
      </w:pPr>
    </w:p>
    <w:p>
      <w:pPr>
        <w:spacing w:line="600" w:lineRule="exact"/>
        <w:ind w:firstLine="560" w:firstLineChars="200"/>
        <w:rPr>
          <w:rFonts w:hint="eastAsia" w:ascii="宋体" w:hAnsi="宋体" w:eastAsia="宋体"/>
          <w:sz w:val="28"/>
          <w:szCs w:val="28"/>
        </w:rPr>
      </w:pPr>
      <w:r>
        <w:rPr>
          <w:rFonts w:hint="eastAsia" w:ascii="宋体" w:hAnsi="宋体" w:eastAsia="宋体"/>
          <w:sz w:val="28"/>
          <w:szCs w:val="28"/>
        </w:rPr>
        <w:t xml:space="preserve">第一条 </w:t>
      </w:r>
      <w:r>
        <w:rPr>
          <w:rFonts w:hint="eastAsia" w:ascii="宋体" w:hAnsi="宋体" w:eastAsia="宋体" w:cs="宋体"/>
          <w:b/>
          <w:bCs/>
          <w:color w:val="000000"/>
          <w:kern w:val="0"/>
          <w:sz w:val="28"/>
          <w:szCs w:val="28"/>
          <w:lang w:val="zh-CN"/>
        </w:rPr>
        <w:t xml:space="preserve">【制定目的及依据】 </w:t>
      </w:r>
      <w:r>
        <w:rPr>
          <w:rFonts w:hint="eastAsia" w:ascii="宋体" w:hAnsi="宋体" w:eastAsia="宋体"/>
          <w:sz w:val="28"/>
          <w:szCs w:val="28"/>
        </w:rPr>
        <w:t>为规范</w:t>
      </w:r>
      <w:r>
        <w:rPr>
          <w:rFonts w:hint="eastAsia" w:ascii="宋体" w:hAnsi="宋体" w:eastAsia="宋体"/>
          <w:sz w:val="28"/>
          <w:szCs w:val="28"/>
          <w:lang w:eastAsia="zh-CN"/>
        </w:rPr>
        <w:t>环境行政处罚</w:t>
      </w:r>
      <w:r>
        <w:rPr>
          <w:rFonts w:hint="eastAsia" w:ascii="宋体" w:hAnsi="宋体" w:eastAsia="宋体"/>
          <w:sz w:val="28"/>
          <w:szCs w:val="28"/>
        </w:rPr>
        <w:t>自由裁量权的行使，保护公民、法人和其他组织的合法权益，根据《中华人民共和国行政处罚法》《环境行政处罚办法》《</w:t>
      </w:r>
      <w:r>
        <w:rPr>
          <w:rFonts w:hint="eastAsia" w:ascii="宋体" w:hAnsi="宋体" w:eastAsia="宋体"/>
          <w:kern w:val="36"/>
          <w:sz w:val="28"/>
          <w:szCs w:val="28"/>
          <w:lang w:val="en"/>
        </w:rPr>
        <w:t>关于进一步规范适用环境行政处罚自由裁量权的指导意见</w:t>
      </w:r>
      <w:r>
        <w:rPr>
          <w:rFonts w:hint="eastAsia" w:ascii="宋体" w:hAnsi="宋体" w:eastAsia="宋体"/>
          <w:sz w:val="28"/>
          <w:szCs w:val="28"/>
        </w:rPr>
        <w:t>》等法律、规章、文件的规定，结合我区实际，制定本规则。</w:t>
      </w:r>
    </w:p>
    <w:p>
      <w:pPr>
        <w:spacing w:line="600" w:lineRule="exact"/>
        <w:ind w:firstLine="560" w:firstLineChars="200"/>
        <w:rPr>
          <w:rFonts w:hint="eastAsia" w:ascii="楷体" w:hAnsi="楷体" w:eastAsia="楷体"/>
          <w:sz w:val="28"/>
          <w:szCs w:val="28"/>
        </w:rPr>
      </w:pPr>
      <w:r>
        <w:rPr>
          <w:rFonts w:hint="eastAsia" w:ascii="楷体" w:hAnsi="楷体" w:eastAsia="楷体"/>
          <w:sz w:val="28"/>
          <w:szCs w:val="28"/>
        </w:rPr>
        <w:t>【制定理由</w:t>
      </w:r>
      <w:r>
        <w:rPr>
          <w:rFonts w:hint="eastAsia" w:ascii="楷体" w:hAnsi="楷体" w:eastAsia="楷体" w:cs="宋体"/>
          <w:bCs/>
          <w:color w:val="000000"/>
          <w:kern w:val="0"/>
          <w:sz w:val="28"/>
          <w:szCs w:val="28"/>
          <w:lang w:val="zh-CN"/>
        </w:rPr>
        <w:t>】</w:t>
      </w:r>
      <w:r>
        <w:rPr>
          <w:rFonts w:hint="eastAsia" w:ascii="楷体" w:hAnsi="楷体" w:eastAsia="楷体"/>
          <w:sz w:val="28"/>
          <w:szCs w:val="28"/>
        </w:rPr>
        <w:t>明确制定行政处罚自由裁量规则的目的和依据。</w:t>
      </w:r>
    </w:p>
    <w:p>
      <w:pPr>
        <w:spacing w:line="600" w:lineRule="exact"/>
        <w:ind w:firstLine="560" w:firstLineChars="200"/>
        <w:rPr>
          <w:rFonts w:hint="eastAsia" w:ascii="宋体" w:hAnsi="宋体" w:eastAsia="宋体"/>
          <w:sz w:val="28"/>
          <w:szCs w:val="28"/>
        </w:rPr>
      </w:pPr>
      <w:r>
        <w:rPr>
          <w:rFonts w:hint="eastAsia" w:ascii="宋体" w:hAnsi="宋体" w:eastAsia="宋体"/>
          <w:sz w:val="28"/>
          <w:szCs w:val="28"/>
        </w:rPr>
        <w:t xml:space="preserve">第二条 </w:t>
      </w:r>
      <w:r>
        <w:rPr>
          <w:rFonts w:hint="eastAsia" w:ascii="宋体" w:hAnsi="宋体" w:eastAsia="宋体" w:cs="宋体"/>
          <w:b/>
          <w:bCs/>
          <w:color w:val="000000"/>
          <w:kern w:val="0"/>
          <w:sz w:val="28"/>
          <w:szCs w:val="28"/>
          <w:lang w:val="zh-CN"/>
        </w:rPr>
        <w:t xml:space="preserve">【适用范围】 </w:t>
      </w:r>
      <w:r>
        <w:rPr>
          <w:rFonts w:hint="eastAsia" w:ascii="宋体" w:hAnsi="宋体" w:eastAsia="宋体"/>
          <w:sz w:val="28"/>
          <w:szCs w:val="28"/>
        </w:rPr>
        <w:t>我区各级生态环境主管部门在行使行政处罚自由裁量权时，适用本规则及其附件《广西壮族自治区</w:t>
      </w:r>
      <w:r>
        <w:rPr>
          <w:rFonts w:hint="eastAsia" w:ascii="宋体" w:hAnsi="宋体" w:eastAsia="宋体"/>
          <w:sz w:val="28"/>
          <w:szCs w:val="28"/>
          <w:lang w:eastAsia="zh-CN"/>
        </w:rPr>
        <w:t>环境行政处罚</w:t>
      </w:r>
      <w:r>
        <w:rPr>
          <w:rFonts w:hint="eastAsia" w:ascii="宋体" w:hAnsi="宋体" w:eastAsia="宋体"/>
          <w:sz w:val="28"/>
          <w:szCs w:val="28"/>
        </w:rPr>
        <w:t>自由裁量基准》。</w:t>
      </w:r>
    </w:p>
    <w:p>
      <w:pPr>
        <w:spacing w:line="600" w:lineRule="exact"/>
        <w:ind w:firstLine="560" w:firstLineChars="200"/>
        <w:rPr>
          <w:rFonts w:hint="eastAsia" w:ascii="宋体" w:hAnsi="宋体" w:eastAsia="宋体"/>
          <w:sz w:val="28"/>
          <w:szCs w:val="28"/>
        </w:rPr>
      </w:pPr>
      <w:r>
        <w:rPr>
          <w:rFonts w:hint="eastAsia" w:ascii="宋体" w:hAnsi="宋体" w:eastAsia="宋体"/>
          <w:sz w:val="28"/>
          <w:szCs w:val="28"/>
        </w:rPr>
        <w:t>法律、法规、规章对行使行政处罚自由裁量权另有规定的，从其规定。</w:t>
      </w:r>
    </w:p>
    <w:p>
      <w:pPr>
        <w:spacing w:line="600" w:lineRule="exact"/>
        <w:ind w:firstLine="560" w:firstLineChars="200"/>
        <w:rPr>
          <w:rFonts w:hint="eastAsia" w:ascii="楷体" w:hAnsi="楷体" w:eastAsia="楷体"/>
          <w:sz w:val="28"/>
          <w:szCs w:val="28"/>
        </w:rPr>
      </w:pPr>
      <w:r>
        <w:rPr>
          <w:rFonts w:hint="eastAsia" w:ascii="楷体" w:hAnsi="楷体" w:eastAsia="楷体"/>
          <w:sz w:val="28"/>
          <w:szCs w:val="28"/>
        </w:rPr>
        <w:t>【制定理由</w:t>
      </w:r>
      <w:r>
        <w:rPr>
          <w:rFonts w:hint="eastAsia" w:ascii="楷体" w:hAnsi="楷体" w:eastAsia="楷体" w:cs="宋体"/>
          <w:bCs/>
          <w:color w:val="000000"/>
          <w:kern w:val="0"/>
          <w:sz w:val="28"/>
          <w:szCs w:val="28"/>
          <w:lang w:val="zh-CN"/>
        </w:rPr>
        <w:t>】</w:t>
      </w:r>
      <w:r>
        <w:rPr>
          <w:rFonts w:hint="eastAsia" w:ascii="楷体" w:hAnsi="楷体" w:eastAsia="楷体"/>
          <w:sz w:val="28"/>
          <w:szCs w:val="28"/>
        </w:rPr>
        <w:t>明确裁量规则的适用范围及例外情况。</w:t>
      </w:r>
    </w:p>
    <w:p>
      <w:pPr>
        <w:spacing w:line="600" w:lineRule="exact"/>
        <w:ind w:firstLine="560" w:firstLineChars="200"/>
        <w:rPr>
          <w:rFonts w:hint="eastAsia" w:ascii="宋体" w:hAnsi="宋体" w:eastAsia="宋体"/>
          <w:sz w:val="28"/>
          <w:szCs w:val="28"/>
        </w:rPr>
      </w:pPr>
      <w:r>
        <w:rPr>
          <w:rFonts w:hint="eastAsia" w:ascii="宋体" w:hAnsi="宋体" w:eastAsia="宋体"/>
          <w:sz w:val="28"/>
          <w:szCs w:val="28"/>
        </w:rPr>
        <w:t xml:space="preserve">第三条 </w:t>
      </w:r>
      <w:r>
        <w:rPr>
          <w:rFonts w:hint="eastAsia" w:ascii="宋体" w:hAnsi="宋体" w:eastAsia="宋体" w:cs="宋体"/>
          <w:b/>
          <w:bCs/>
          <w:color w:val="000000"/>
          <w:kern w:val="0"/>
          <w:sz w:val="28"/>
          <w:szCs w:val="28"/>
          <w:lang w:val="zh-CN"/>
        </w:rPr>
        <w:t xml:space="preserve">【适用原则】 </w:t>
      </w:r>
      <w:r>
        <w:rPr>
          <w:rFonts w:hint="eastAsia" w:ascii="宋体" w:hAnsi="宋体" w:eastAsia="宋体"/>
          <w:sz w:val="28"/>
          <w:szCs w:val="28"/>
        </w:rPr>
        <w:t>行使</w:t>
      </w:r>
      <w:r>
        <w:rPr>
          <w:rFonts w:hint="eastAsia" w:ascii="宋体" w:hAnsi="宋体" w:eastAsia="宋体"/>
          <w:sz w:val="28"/>
          <w:szCs w:val="28"/>
          <w:lang w:eastAsia="zh-CN"/>
        </w:rPr>
        <w:t>环境行政处罚</w:t>
      </w:r>
      <w:r>
        <w:rPr>
          <w:rFonts w:hint="eastAsia" w:ascii="宋体" w:hAnsi="宋体" w:eastAsia="宋体"/>
          <w:sz w:val="28"/>
          <w:szCs w:val="28"/>
        </w:rPr>
        <w:t>自由裁量权，应当遵循合法、合理、过罚相当、公开公平公正的原则。</w:t>
      </w:r>
    </w:p>
    <w:p>
      <w:pPr>
        <w:spacing w:line="600" w:lineRule="exact"/>
        <w:ind w:firstLine="560" w:firstLineChars="200"/>
        <w:rPr>
          <w:rFonts w:hint="eastAsia" w:ascii="宋体" w:hAnsi="宋体" w:eastAsia="宋体"/>
          <w:sz w:val="28"/>
          <w:szCs w:val="28"/>
        </w:rPr>
      </w:pPr>
      <w:r>
        <w:rPr>
          <w:rFonts w:hint="eastAsia" w:ascii="楷体" w:hAnsi="楷体" w:eastAsia="楷体"/>
          <w:sz w:val="28"/>
          <w:szCs w:val="28"/>
        </w:rPr>
        <w:t>【制定理由】明确行使自由裁量权应遵循的原则。</w:t>
      </w:r>
    </w:p>
    <w:p>
      <w:pPr>
        <w:spacing w:line="600" w:lineRule="exact"/>
        <w:ind w:firstLine="560" w:firstLineChars="200"/>
        <w:rPr>
          <w:rFonts w:hint="eastAsia" w:ascii="宋体" w:hAnsi="宋体" w:eastAsia="宋体"/>
          <w:sz w:val="28"/>
          <w:szCs w:val="28"/>
        </w:rPr>
      </w:pPr>
      <w:r>
        <w:rPr>
          <w:rFonts w:hint="eastAsia" w:ascii="宋体" w:hAnsi="宋体" w:eastAsia="宋体"/>
          <w:sz w:val="28"/>
          <w:szCs w:val="28"/>
        </w:rPr>
        <w:t xml:space="preserve">第四条 </w:t>
      </w:r>
      <w:r>
        <w:rPr>
          <w:rFonts w:hint="eastAsia" w:ascii="宋体" w:hAnsi="宋体" w:eastAsia="宋体" w:cs="宋体"/>
          <w:b/>
          <w:bCs/>
          <w:color w:val="000000"/>
          <w:kern w:val="0"/>
          <w:sz w:val="28"/>
          <w:szCs w:val="28"/>
          <w:lang w:val="zh-CN"/>
        </w:rPr>
        <w:t xml:space="preserve">【裁量因子设定考量】 </w:t>
      </w:r>
      <w:r>
        <w:rPr>
          <w:rFonts w:hint="eastAsia" w:ascii="宋体" w:hAnsi="宋体" w:eastAsia="宋体"/>
          <w:sz w:val="28"/>
          <w:szCs w:val="28"/>
        </w:rPr>
        <w:t>本规则采用固定裁量公式计算罚款金额。根据违法行为构成要素和情节，设定个性、共性和修正裁量基准，裁量因子的设定综合考虑以下因素：</w:t>
      </w:r>
    </w:p>
    <w:p>
      <w:pPr>
        <w:spacing w:line="600" w:lineRule="exact"/>
        <w:ind w:firstLine="560" w:firstLineChars="200"/>
        <w:rPr>
          <w:rFonts w:ascii="宋体" w:hAnsi="宋体" w:eastAsia="宋体"/>
          <w:kern w:val="0"/>
          <w:sz w:val="28"/>
          <w:szCs w:val="28"/>
        </w:rPr>
      </w:pPr>
      <w:r>
        <w:rPr>
          <w:rFonts w:ascii="宋体" w:hAnsi="宋体" w:eastAsia="宋体"/>
          <w:kern w:val="0"/>
          <w:sz w:val="28"/>
          <w:szCs w:val="28"/>
        </w:rPr>
        <w:t>（一）违法行为造成的环境污染、生态破坏</w:t>
      </w:r>
      <w:r>
        <w:rPr>
          <w:rFonts w:hint="eastAsia" w:ascii="宋体" w:hAnsi="宋体" w:eastAsia="宋体"/>
          <w:kern w:val="0"/>
          <w:sz w:val="28"/>
          <w:szCs w:val="28"/>
        </w:rPr>
        <w:t>以及</w:t>
      </w:r>
      <w:r>
        <w:rPr>
          <w:rFonts w:ascii="宋体" w:hAnsi="宋体" w:eastAsia="宋体"/>
          <w:kern w:val="0"/>
          <w:sz w:val="28"/>
          <w:szCs w:val="28"/>
        </w:rPr>
        <w:t>社会影响；</w:t>
      </w:r>
    </w:p>
    <w:p>
      <w:pPr>
        <w:spacing w:line="600" w:lineRule="exact"/>
        <w:ind w:firstLine="560" w:firstLineChars="200"/>
        <w:rPr>
          <w:rFonts w:ascii="宋体" w:hAnsi="宋体" w:eastAsia="宋体"/>
          <w:kern w:val="0"/>
          <w:sz w:val="28"/>
          <w:szCs w:val="28"/>
        </w:rPr>
      </w:pPr>
      <w:r>
        <w:rPr>
          <w:rFonts w:ascii="宋体" w:hAnsi="宋体" w:eastAsia="宋体"/>
          <w:kern w:val="0"/>
          <w:sz w:val="28"/>
          <w:szCs w:val="28"/>
        </w:rPr>
        <w:t>（二）</w:t>
      </w:r>
      <w:r>
        <w:rPr>
          <w:rFonts w:hint="eastAsia" w:ascii="宋体" w:hAnsi="宋体" w:eastAsia="宋体"/>
          <w:kern w:val="0"/>
          <w:sz w:val="28"/>
          <w:szCs w:val="28"/>
        </w:rPr>
        <w:t>违法行为</w:t>
      </w:r>
      <w:r>
        <w:rPr>
          <w:rFonts w:ascii="宋体" w:hAnsi="宋体" w:eastAsia="宋体"/>
          <w:kern w:val="0"/>
          <w:sz w:val="28"/>
          <w:szCs w:val="28"/>
        </w:rPr>
        <w:t>当事人的</w:t>
      </w:r>
      <w:r>
        <w:rPr>
          <w:rFonts w:hint="eastAsia" w:ascii="宋体" w:hAnsi="宋体" w:eastAsia="宋体"/>
          <w:kern w:val="0"/>
          <w:sz w:val="28"/>
          <w:szCs w:val="28"/>
        </w:rPr>
        <w:t>主观</w:t>
      </w:r>
      <w:r>
        <w:rPr>
          <w:rFonts w:ascii="宋体" w:hAnsi="宋体" w:eastAsia="宋体"/>
          <w:kern w:val="0"/>
          <w:sz w:val="28"/>
          <w:szCs w:val="28"/>
        </w:rPr>
        <w:t>过错程度；</w:t>
      </w:r>
    </w:p>
    <w:p>
      <w:pPr>
        <w:spacing w:line="600" w:lineRule="exact"/>
        <w:ind w:firstLine="560" w:firstLineChars="200"/>
        <w:rPr>
          <w:rFonts w:ascii="宋体" w:hAnsi="宋体" w:eastAsia="宋体"/>
          <w:kern w:val="0"/>
          <w:sz w:val="28"/>
          <w:szCs w:val="28"/>
        </w:rPr>
      </w:pPr>
      <w:r>
        <w:rPr>
          <w:rFonts w:ascii="宋体" w:hAnsi="宋体" w:eastAsia="宋体"/>
          <w:kern w:val="0"/>
          <w:sz w:val="28"/>
          <w:szCs w:val="28"/>
        </w:rPr>
        <w:t>（三）违法行为的具体</w:t>
      </w:r>
      <w:r>
        <w:rPr>
          <w:rFonts w:hint="eastAsia" w:ascii="宋体" w:hAnsi="宋体" w:eastAsia="宋体"/>
          <w:kern w:val="0"/>
          <w:sz w:val="28"/>
          <w:szCs w:val="28"/>
        </w:rPr>
        <w:t>表现形式</w:t>
      </w:r>
      <w:r>
        <w:rPr>
          <w:rFonts w:ascii="宋体" w:hAnsi="宋体" w:eastAsia="宋体"/>
          <w:kern w:val="0"/>
          <w:sz w:val="28"/>
          <w:szCs w:val="28"/>
        </w:rPr>
        <w:t>；</w:t>
      </w:r>
    </w:p>
    <w:p>
      <w:pPr>
        <w:spacing w:line="600" w:lineRule="exact"/>
        <w:ind w:firstLine="560" w:firstLineChars="200"/>
        <w:rPr>
          <w:rFonts w:ascii="宋体" w:hAnsi="宋体" w:eastAsia="宋体"/>
          <w:kern w:val="0"/>
          <w:sz w:val="28"/>
          <w:szCs w:val="28"/>
        </w:rPr>
      </w:pPr>
      <w:r>
        <w:rPr>
          <w:rFonts w:ascii="宋体" w:hAnsi="宋体" w:eastAsia="宋体"/>
          <w:kern w:val="0"/>
          <w:sz w:val="28"/>
          <w:szCs w:val="28"/>
        </w:rPr>
        <w:t>（四）违法行为危害的具体对象；</w:t>
      </w:r>
    </w:p>
    <w:p>
      <w:pPr>
        <w:spacing w:line="600" w:lineRule="exact"/>
        <w:ind w:firstLine="560" w:firstLineChars="200"/>
        <w:rPr>
          <w:rFonts w:ascii="宋体" w:hAnsi="宋体" w:eastAsia="宋体"/>
          <w:kern w:val="0"/>
          <w:sz w:val="28"/>
          <w:szCs w:val="28"/>
        </w:rPr>
      </w:pPr>
      <w:r>
        <w:rPr>
          <w:rFonts w:ascii="宋体" w:hAnsi="宋体" w:eastAsia="宋体"/>
          <w:kern w:val="0"/>
          <w:sz w:val="28"/>
          <w:szCs w:val="28"/>
        </w:rPr>
        <w:t>（五）</w:t>
      </w:r>
      <w:r>
        <w:rPr>
          <w:rFonts w:hint="eastAsia" w:ascii="宋体" w:hAnsi="宋体" w:eastAsia="宋体"/>
          <w:kern w:val="0"/>
          <w:sz w:val="28"/>
          <w:szCs w:val="28"/>
        </w:rPr>
        <w:t>违法行为</w:t>
      </w:r>
      <w:r>
        <w:rPr>
          <w:rFonts w:ascii="宋体" w:hAnsi="宋体" w:eastAsia="宋体"/>
          <w:kern w:val="0"/>
          <w:sz w:val="28"/>
          <w:szCs w:val="28"/>
        </w:rPr>
        <w:t>当事人是初犯还是再犯；</w:t>
      </w:r>
    </w:p>
    <w:p>
      <w:pPr>
        <w:spacing w:line="600" w:lineRule="exact"/>
        <w:ind w:firstLine="560" w:firstLineChars="200"/>
        <w:rPr>
          <w:rFonts w:hint="eastAsia" w:ascii="宋体" w:hAnsi="宋体" w:eastAsia="宋体"/>
          <w:kern w:val="0"/>
          <w:sz w:val="28"/>
          <w:szCs w:val="28"/>
        </w:rPr>
      </w:pPr>
      <w:r>
        <w:rPr>
          <w:rFonts w:ascii="宋体" w:hAnsi="宋体" w:eastAsia="宋体"/>
          <w:kern w:val="0"/>
          <w:sz w:val="28"/>
          <w:szCs w:val="28"/>
        </w:rPr>
        <w:t>（六）改正</w:t>
      </w:r>
      <w:r>
        <w:rPr>
          <w:rFonts w:hint="eastAsia" w:ascii="宋体" w:hAnsi="宋体" w:eastAsia="宋体"/>
          <w:kern w:val="0"/>
          <w:sz w:val="28"/>
          <w:szCs w:val="28"/>
        </w:rPr>
        <w:t>环境</w:t>
      </w:r>
      <w:r>
        <w:rPr>
          <w:rFonts w:ascii="宋体" w:hAnsi="宋体" w:eastAsia="宋体"/>
          <w:kern w:val="0"/>
          <w:sz w:val="28"/>
          <w:szCs w:val="28"/>
        </w:rPr>
        <w:t>违法行为的态度和所采取的改正措施及效果。</w:t>
      </w:r>
    </w:p>
    <w:p>
      <w:pPr>
        <w:spacing w:line="600" w:lineRule="exact"/>
        <w:ind w:firstLine="560" w:firstLineChars="200"/>
        <w:rPr>
          <w:rFonts w:hint="eastAsia" w:ascii="宋体" w:hAnsi="宋体" w:eastAsia="宋体"/>
          <w:b/>
          <w:kern w:val="0"/>
          <w:sz w:val="28"/>
          <w:szCs w:val="28"/>
          <w:lang w:val="zh-CN"/>
        </w:rPr>
      </w:pPr>
      <w:r>
        <w:rPr>
          <w:rFonts w:hint="eastAsia" w:ascii="楷体" w:hAnsi="楷体" w:eastAsia="楷体"/>
          <w:sz w:val="28"/>
          <w:szCs w:val="28"/>
        </w:rPr>
        <w:t>【制定理由】</w:t>
      </w:r>
      <w:r>
        <w:rPr>
          <w:rFonts w:hint="eastAsia" w:ascii="楷体" w:hAnsi="楷体" w:eastAsia="楷体" w:cs="宋体"/>
          <w:bCs/>
          <w:color w:val="000000"/>
          <w:kern w:val="0"/>
          <w:sz w:val="28"/>
          <w:szCs w:val="28"/>
          <w:lang w:val="zh-CN"/>
        </w:rPr>
        <w:t>说明裁量因子的设定所考虑的具体情节和因素。</w:t>
      </w:r>
    </w:p>
    <w:p>
      <w:pPr>
        <w:spacing w:line="600" w:lineRule="exact"/>
        <w:ind w:firstLine="560" w:firstLineChars="200"/>
        <w:rPr>
          <w:rFonts w:hint="eastAsia" w:ascii="宋体" w:hAnsi="宋体" w:eastAsia="宋体"/>
          <w:sz w:val="28"/>
          <w:szCs w:val="28"/>
        </w:rPr>
      </w:pPr>
      <w:r>
        <w:rPr>
          <w:rFonts w:hint="eastAsia" w:ascii="宋体" w:hAnsi="宋体" w:eastAsia="宋体" w:cs="宋体"/>
          <w:bCs/>
          <w:color w:val="000000"/>
          <w:kern w:val="0"/>
          <w:sz w:val="28"/>
          <w:szCs w:val="28"/>
          <w:lang w:val="zh-CN"/>
        </w:rPr>
        <w:t xml:space="preserve">第五条 </w:t>
      </w:r>
      <w:r>
        <w:rPr>
          <w:rFonts w:hint="eastAsia" w:ascii="宋体" w:hAnsi="宋体" w:eastAsia="宋体" w:cs="宋体"/>
          <w:b/>
          <w:bCs/>
          <w:color w:val="000000"/>
          <w:kern w:val="0"/>
          <w:sz w:val="28"/>
          <w:szCs w:val="28"/>
          <w:lang w:val="zh-CN"/>
        </w:rPr>
        <w:t xml:space="preserve">【裁量基准适用原则】 </w:t>
      </w:r>
      <w:r>
        <w:rPr>
          <w:rFonts w:hint="eastAsia" w:ascii="宋体" w:hAnsi="宋体" w:eastAsia="宋体"/>
          <w:sz w:val="28"/>
          <w:szCs w:val="28"/>
        </w:rPr>
        <w:t>生态环境主管部门办理本规则附件中的十三类特定生态环境违法案件时，应当通过个性、共性和修正裁量基准计算罚款金额；办理其他生态环境违法案件时，应当通过共性和修正裁量基准计算罚款金额。</w:t>
      </w:r>
    </w:p>
    <w:p>
      <w:pPr>
        <w:spacing w:line="600" w:lineRule="exact"/>
        <w:ind w:firstLine="560" w:firstLineChars="200"/>
        <w:rPr>
          <w:rFonts w:hint="eastAsia" w:ascii="宋体" w:hAnsi="宋体" w:eastAsia="宋体"/>
          <w:b/>
          <w:kern w:val="0"/>
          <w:sz w:val="28"/>
          <w:szCs w:val="28"/>
          <w:lang w:val="zh-CN"/>
        </w:rPr>
      </w:pPr>
      <w:r>
        <w:rPr>
          <w:rFonts w:hint="eastAsia" w:ascii="楷体" w:hAnsi="楷体" w:eastAsia="楷体"/>
          <w:sz w:val="28"/>
          <w:szCs w:val="28"/>
        </w:rPr>
        <w:t>【制定理由】</w:t>
      </w:r>
      <w:r>
        <w:rPr>
          <w:rFonts w:hint="eastAsia" w:ascii="楷体" w:hAnsi="楷体" w:eastAsia="楷体"/>
          <w:kern w:val="0"/>
          <w:sz w:val="28"/>
          <w:szCs w:val="28"/>
          <w:lang w:val="en"/>
        </w:rPr>
        <w:t>说明不同环境违法案件所对应适用的裁量基准。</w:t>
      </w:r>
    </w:p>
    <w:p>
      <w:pPr>
        <w:spacing w:line="360" w:lineRule="auto"/>
        <w:ind w:firstLine="560" w:firstLineChars="200"/>
        <w:rPr>
          <w:rFonts w:hint="eastAsia" w:ascii="宋体" w:hAnsi="宋体" w:eastAsia="宋体"/>
          <w:kern w:val="0"/>
          <w:sz w:val="28"/>
          <w:szCs w:val="28"/>
        </w:rPr>
      </w:pPr>
      <w:r>
        <w:rPr>
          <w:rFonts w:hint="eastAsia" w:ascii="宋体" w:hAnsi="宋体" w:eastAsia="宋体" w:cs="宋体"/>
          <w:bCs/>
          <w:color w:val="000000"/>
          <w:kern w:val="0"/>
          <w:sz w:val="28"/>
          <w:szCs w:val="28"/>
          <w:lang w:val="zh-CN"/>
        </w:rPr>
        <w:t xml:space="preserve">第六条 </w:t>
      </w:r>
      <w:r>
        <w:rPr>
          <w:rFonts w:hint="eastAsia" w:ascii="宋体" w:hAnsi="宋体" w:eastAsia="宋体" w:cs="宋体"/>
          <w:b/>
          <w:bCs/>
          <w:color w:val="000000"/>
          <w:kern w:val="0"/>
          <w:sz w:val="28"/>
          <w:szCs w:val="28"/>
          <w:lang w:val="zh-CN"/>
        </w:rPr>
        <w:t xml:space="preserve">【自由裁量系统】 </w:t>
      </w:r>
      <w:r>
        <w:rPr>
          <w:rFonts w:hint="eastAsia" w:ascii="宋体" w:hAnsi="宋体" w:eastAsia="宋体"/>
          <w:kern w:val="0"/>
          <w:sz w:val="28"/>
          <w:szCs w:val="28"/>
        </w:rPr>
        <w:t>自治区生态环境主管部门运用信息化手段，开发具备</w:t>
      </w:r>
      <w:r>
        <w:rPr>
          <w:rFonts w:hint="eastAsia" w:ascii="宋体" w:hAnsi="宋体" w:eastAsia="宋体" w:cs="TimesNewRomanPSMT"/>
          <w:kern w:val="0"/>
          <w:sz w:val="28"/>
          <w:szCs w:val="28"/>
        </w:rPr>
        <w:t>“</w:t>
      </w:r>
      <w:r>
        <w:rPr>
          <w:rFonts w:hint="eastAsia" w:ascii="宋体" w:hAnsi="宋体" w:eastAsia="宋体"/>
          <w:kern w:val="0"/>
          <w:sz w:val="28"/>
          <w:szCs w:val="28"/>
        </w:rPr>
        <w:t>行政处罚自由裁量计算器</w:t>
      </w:r>
      <w:r>
        <w:rPr>
          <w:rFonts w:hint="eastAsia" w:ascii="宋体" w:hAnsi="宋体" w:eastAsia="宋体" w:cs="TimesNewRomanPSMT"/>
          <w:kern w:val="0"/>
          <w:sz w:val="28"/>
          <w:szCs w:val="28"/>
        </w:rPr>
        <w:t>”</w:t>
      </w:r>
      <w:r>
        <w:rPr>
          <w:rFonts w:hint="eastAsia" w:ascii="宋体" w:hAnsi="宋体" w:eastAsia="宋体"/>
          <w:kern w:val="0"/>
          <w:sz w:val="28"/>
          <w:szCs w:val="28"/>
        </w:rPr>
        <w:t>功能的自由裁量系统，严格按照裁量规则和基准设计并及时更新。裁量计算器通过输入有关裁量因子，自动计算处罚金额，实现金额裁定的高效、便捷、准确。</w:t>
      </w:r>
    </w:p>
    <w:p>
      <w:pPr>
        <w:spacing w:line="600" w:lineRule="exact"/>
        <w:ind w:firstLine="560" w:firstLineChars="200"/>
        <w:rPr>
          <w:rFonts w:hint="eastAsia" w:ascii="宋体" w:hAnsi="宋体" w:eastAsia="宋体"/>
          <w:b/>
          <w:kern w:val="0"/>
          <w:sz w:val="28"/>
          <w:szCs w:val="28"/>
          <w:lang w:val="zh-CN"/>
        </w:rPr>
      </w:pPr>
      <w:r>
        <w:rPr>
          <w:rFonts w:hint="eastAsia" w:ascii="楷体" w:hAnsi="楷体" w:eastAsia="楷体"/>
          <w:sz w:val="28"/>
          <w:szCs w:val="28"/>
        </w:rPr>
        <w:t>【制定理由】</w:t>
      </w:r>
      <w:r>
        <w:rPr>
          <w:rFonts w:hint="eastAsia" w:ascii="楷体" w:hAnsi="楷体" w:eastAsia="楷体"/>
          <w:kern w:val="0"/>
          <w:sz w:val="28"/>
          <w:szCs w:val="28"/>
          <w:lang w:val="en"/>
        </w:rPr>
        <w:t>明确以信息化手段执行行政处罚自由裁量权。</w:t>
      </w:r>
    </w:p>
    <w:p>
      <w:pPr>
        <w:spacing w:line="600" w:lineRule="exact"/>
        <w:ind w:firstLine="560" w:firstLineChars="200"/>
        <w:rPr>
          <w:rFonts w:hint="eastAsia" w:ascii="宋体" w:hAnsi="宋体" w:eastAsia="宋体" w:cs="宋体"/>
          <w:kern w:val="0"/>
          <w:sz w:val="28"/>
          <w:szCs w:val="28"/>
        </w:rPr>
      </w:pPr>
      <w:r>
        <w:rPr>
          <w:rFonts w:hint="eastAsia" w:ascii="宋体" w:hAnsi="宋体" w:eastAsia="宋体"/>
          <w:kern w:val="0"/>
          <w:sz w:val="28"/>
          <w:szCs w:val="28"/>
          <w:lang w:val="en"/>
        </w:rPr>
        <w:t xml:space="preserve">第七条 </w:t>
      </w:r>
      <w:r>
        <w:rPr>
          <w:rFonts w:hint="eastAsia" w:ascii="宋体" w:hAnsi="宋体" w:eastAsia="宋体" w:cs="宋体"/>
          <w:b/>
          <w:bCs/>
          <w:color w:val="000000"/>
          <w:kern w:val="0"/>
          <w:sz w:val="28"/>
          <w:szCs w:val="28"/>
          <w:lang w:val="zh-CN"/>
        </w:rPr>
        <w:t xml:space="preserve">【从轻减轻情形规定】 </w:t>
      </w:r>
      <w:r>
        <w:rPr>
          <w:rFonts w:hint="eastAsia" w:ascii="宋体" w:hAnsi="宋体" w:eastAsia="宋体"/>
          <w:sz w:val="28"/>
          <w:szCs w:val="28"/>
        </w:rPr>
        <w:t>生态环境主管部门</w:t>
      </w:r>
      <w:r>
        <w:rPr>
          <w:rFonts w:hint="eastAsia" w:ascii="宋体" w:hAnsi="宋体" w:eastAsia="宋体"/>
          <w:sz w:val="28"/>
          <w:szCs w:val="28"/>
          <w:lang w:val="en"/>
        </w:rPr>
        <w:t>根据国家、自治区宏观形势和政策要求</w:t>
      </w:r>
      <w:r>
        <w:rPr>
          <w:rFonts w:hint="eastAsia" w:ascii="宋体" w:hAnsi="宋体" w:eastAsia="宋体"/>
          <w:kern w:val="0"/>
          <w:sz w:val="28"/>
          <w:szCs w:val="28"/>
          <w:lang w:val="en"/>
        </w:rPr>
        <w:t>，经</w:t>
      </w:r>
      <w:r>
        <w:rPr>
          <w:rFonts w:hint="eastAsia" w:ascii="宋体" w:hAnsi="宋体" w:eastAsia="宋体"/>
          <w:sz w:val="28"/>
          <w:szCs w:val="28"/>
          <w:lang w:val="en"/>
        </w:rPr>
        <w:t>生态环境主管部门负责人集体讨论，可以在</w:t>
      </w:r>
      <w:r>
        <w:rPr>
          <w:rFonts w:hint="eastAsia" w:ascii="宋体" w:hAnsi="宋体" w:eastAsia="宋体"/>
          <w:sz w:val="28"/>
          <w:szCs w:val="28"/>
        </w:rPr>
        <w:t>裁量公式计算结果的基础上，下浮</w:t>
      </w:r>
      <w:r>
        <w:rPr>
          <w:rFonts w:hint="eastAsia" w:ascii="宋体" w:hAnsi="宋体" w:eastAsia="宋体" w:cs="宋体"/>
          <w:kern w:val="0"/>
          <w:sz w:val="28"/>
          <w:szCs w:val="28"/>
          <w:lang w:val="en-US" w:eastAsia="zh-CN"/>
        </w:rPr>
        <w:t>1</w:t>
      </w:r>
      <w:r>
        <w:rPr>
          <w:rFonts w:ascii="宋体" w:hAnsi="宋体" w:eastAsia="宋体" w:cs="宋体"/>
          <w:kern w:val="0"/>
          <w:sz w:val="28"/>
          <w:szCs w:val="28"/>
        </w:rPr>
        <w:t>0%</w:t>
      </w:r>
      <w:r>
        <w:rPr>
          <w:rFonts w:hint="eastAsia" w:ascii="宋体" w:hAnsi="宋体" w:eastAsia="宋体" w:cs="宋体"/>
          <w:kern w:val="0"/>
          <w:sz w:val="28"/>
          <w:szCs w:val="28"/>
        </w:rPr>
        <w:t>以内执行</w:t>
      </w:r>
      <w:r>
        <w:rPr>
          <w:rFonts w:hint="eastAsia" w:ascii="宋体" w:hAnsi="宋体" w:eastAsia="宋体"/>
          <w:sz w:val="28"/>
          <w:szCs w:val="28"/>
          <w:lang w:val="en"/>
        </w:rPr>
        <w:t>。</w:t>
      </w:r>
    </w:p>
    <w:p>
      <w:pPr>
        <w:spacing w:line="600" w:lineRule="exact"/>
        <w:ind w:firstLine="560" w:firstLineChars="200"/>
        <w:rPr>
          <w:rFonts w:hint="eastAsia" w:ascii="宋体" w:hAnsi="宋体" w:eastAsia="宋体"/>
          <w:b/>
          <w:kern w:val="0"/>
          <w:sz w:val="28"/>
          <w:szCs w:val="28"/>
          <w:lang w:val="zh-CN"/>
        </w:rPr>
      </w:pPr>
      <w:r>
        <w:rPr>
          <w:rFonts w:hint="eastAsia" w:ascii="楷体" w:hAnsi="楷体" w:eastAsia="楷体"/>
          <w:sz w:val="28"/>
          <w:szCs w:val="28"/>
        </w:rPr>
        <w:t>【制定理由】</w:t>
      </w:r>
      <w:r>
        <w:rPr>
          <w:rFonts w:hint="eastAsia" w:ascii="楷体" w:hAnsi="楷体" w:eastAsia="楷体"/>
          <w:kern w:val="0"/>
          <w:sz w:val="28"/>
          <w:szCs w:val="28"/>
          <w:lang w:val="en"/>
        </w:rPr>
        <w:t>明确按照国家、自治区政策形势要求，可以从轻减轻处罚的特定情形。</w:t>
      </w:r>
    </w:p>
    <w:p>
      <w:pPr>
        <w:spacing w:line="600" w:lineRule="exact"/>
        <w:ind w:firstLine="560" w:firstLineChars="200"/>
        <w:rPr>
          <w:rFonts w:hint="eastAsia" w:ascii="宋体" w:hAnsi="宋体" w:eastAsia="宋体"/>
          <w:kern w:val="0"/>
          <w:sz w:val="28"/>
          <w:szCs w:val="28"/>
          <w:lang w:val="en"/>
        </w:rPr>
      </w:pPr>
      <w:r>
        <w:rPr>
          <w:rFonts w:hint="eastAsia" w:ascii="宋体" w:hAnsi="宋体" w:eastAsia="宋体"/>
          <w:kern w:val="0"/>
          <w:sz w:val="28"/>
          <w:szCs w:val="28"/>
          <w:lang w:val="en"/>
        </w:rPr>
        <w:t xml:space="preserve">第八条 </w:t>
      </w:r>
      <w:r>
        <w:rPr>
          <w:rFonts w:hint="eastAsia" w:ascii="宋体" w:hAnsi="宋体" w:eastAsia="宋体" w:cs="宋体"/>
          <w:b/>
          <w:bCs/>
          <w:color w:val="000000"/>
          <w:kern w:val="0"/>
          <w:sz w:val="28"/>
          <w:szCs w:val="28"/>
          <w:lang w:val="zh-CN"/>
        </w:rPr>
        <w:t xml:space="preserve">【免予处罚情形规定】 </w:t>
      </w:r>
      <w:r>
        <w:rPr>
          <w:rFonts w:hint="eastAsia" w:ascii="宋体" w:hAnsi="宋体" w:eastAsia="宋体"/>
          <w:kern w:val="0"/>
          <w:sz w:val="28"/>
          <w:szCs w:val="28"/>
          <w:lang w:val="en"/>
        </w:rPr>
        <w:t>有下列情形之一，</w:t>
      </w:r>
      <w:r>
        <w:rPr>
          <w:rFonts w:hint="eastAsia" w:ascii="宋体" w:hAnsi="宋体" w:eastAsia="宋体" w:cs="仿宋"/>
          <w:kern w:val="0"/>
          <w:sz w:val="28"/>
          <w:szCs w:val="28"/>
        </w:rPr>
        <w:t>且未造成环境污染后果的，</w:t>
      </w:r>
      <w:r>
        <w:rPr>
          <w:rFonts w:hint="eastAsia" w:ascii="宋体" w:hAnsi="宋体" w:eastAsia="宋体"/>
          <w:kern w:val="0"/>
          <w:sz w:val="28"/>
          <w:szCs w:val="28"/>
          <w:lang w:val="en"/>
        </w:rPr>
        <w:t>可以免予处罚：</w:t>
      </w:r>
    </w:p>
    <w:p>
      <w:pPr>
        <w:spacing w:line="600" w:lineRule="exact"/>
        <w:ind w:firstLine="560" w:firstLineChars="200"/>
        <w:rPr>
          <w:rFonts w:ascii="宋体" w:hAnsi="宋体" w:eastAsia="宋体"/>
          <w:kern w:val="0"/>
          <w:sz w:val="28"/>
          <w:szCs w:val="28"/>
          <w:lang w:val="en"/>
        </w:rPr>
      </w:pPr>
      <w:r>
        <w:rPr>
          <w:rFonts w:hint="eastAsia" w:ascii="宋体" w:hAnsi="宋体" w:eastAsia="宋体" w:cs="仿宋"/>
          <w:kern w:val="0"/>
          <w:sz w:val="28"/>
          <w:szCs w:val="28"/>
        </w:rPr>
        <w:t>（一）建设单位未依法备案建设项目环境影响登记表，且在10个工作日内改正的；</w:t>
      </w:r>
    </w:p>
    <w:p>
      <w:pPr>
        <w:spacing w:line="600" w:lineRule="exact"/>
        <w:ind w:firstLine="560" w:firstLineChars="200"/>
        <w:rPr>
          <w:rFonts w:hint="eastAsia" w:ascii="宋体" w:hAnsi="宋体" w:eastAsia="宋体"/>
          <w:kern w:val="0"/>
          <w:sz w:val="28"/>
          <w:szCs w:val="28"/>
          <w:lang w:val="en"/>
        </w:rPr>
      </w:pPr>
      <w:r>
        <w:rPr>
          <w:rFonts w:hint="eastAsia" w:ascii="宋体" w:hAnsi="宋体" w:eastAsia="宋体"/>
          <w:kern w:val="0"/>
          <w:sz w:val="28"/>
          <w:szCs w:val="28"/>
          <w:lang w:val="en"/>
        </w:rPr>
        <w:t>（二）建设项目“未批先建”，企业自行实施关停或者实施停止建设、停止生产等措施的；</w:t>
      </w:r>
    </w:p>
    <w:p>
      <w:pPr>
        <w:spacing w:line="360" w:lineRule="auto"/>
        <w:ind w:firstLine="560" w:firstLineChars="200"/>
        <w:rPr>
          <w:rFonts w:hint="eastAsia" w:ascii="宋体" w:hAnsi="宋体" w:eastAsia="宋体"/>
          <w:kern w:val="0"/>
          <w:sz w:val="28"/>
          <w:szCs w:val="28"/>
        </w:rPr>
      </w:pPr>
      <w:r>
        <w:rPr>
          <w:rFonts w:hint="eastAsia" w:ascii="宋体" w:hAnsi="宋体" w:eastAsia="宋体"/>
          <w:kern w:val="0"/>
          <w:sz w:val="28"/>
          <w:szCs w:val="28"/>
          <w:lang w:val="en"/>
        </w:rPr>
        <w:t>（三）</w:t>
      </w:r>
      <w:r>
        <w:rPr>
          <w:rFonts w:hint="eastAsia" w:ascii="宋体" w:hAnsi="宋体" w:eastAsia="宋体"/>
          <w:kern w:val="0"/>
          <w:sz w:val="28"/>
          <w:szCs w:val="28"/>
        </w:rPr>
        <w:t>建设项目投入生产，但</w:t>
      </w:r>
      <w:r>
        <w:rPr>
          <w:rFonts w:hint="eastAsia" w:ascii="宋体" w:hAnsi="宋体" w:eastAsia="宋体"/>
          <w:sz w:val="28"/>
          <w:szCs w:val="28"/>
          <w:shd w:val="clear" w:color="auto" w:fill="FFFFFF"/>
        </w:rPr>
        <w:t>污染防治设施</w:t>
      </w:r>
      <w:r>
        <w:rPr>
          <w:rFonts w:hint="eastAsia" w:ascii="宋体" w:hAnsi="宋体" w:eastAsia="宋体"/>
          <w:kern w:val="0"/>
          <w:sz w:val="28"/>
          <w:szCs w:val="28"/>
        </w:rPr>
        <w:t>未按规定进行验收，</w:t>
      </w:r>
      <w:r>
        <w:rPr>
          <w:rFonts w:hint="eastAsia" w:ascii="宋体" w:hAnsi="宋体" w:eastAsia="宋体"/>
          <w:sz w:val="28"/>
          <w:szCs w:val="28"/>
          <w:shd w:val="clear" w:color="auto" w:fill="FFFFFF"/>
        </w:rPr>
        <w:t>企业自行实施关停或者实施停止建设、停止生产等措施，及时开展验收工作的；</w:t>
      </w:r>
    </w:p>
    <w:p>
      <w:pPr>
        <w:spacing w:line="600" w:lineRule="exact"/>
        <w:ind w:firstLine="560" w:firstLineChars="200"/>
        <w:rPr>
          <w:rFonts w:hint="eastAsia" w:ascii="宋体" w:hAnsi="宋体" w:eastAsia="宋体" w:cs="仿宋"/>
          <w:kern w:val="0"/>
          <w:sz w:val="28"/>
          <w:szCs w:val="28"/>
        </w:rPr>
      </w:pPr>
      <w:r>
        <w:rPr>
          <w:rFonts w:hint="eastAsia" w:ascii="宋体" w:hAnsi="宋体" w:eastAsia="宋体"/>
          <w:kern w:val="0"/>
          <w:sz w:val="28"/>
          <w:szCs w:val="28"/>
          <w:lang w:val="en"/>
        </w:rPr>
        <w:t>（四）</w:t>
      </w:r>
      <w:r>
        <w:rPr>
          <w:rFonts w:hint="eastAsia" w:ascii="宋体" w:hAnsi="宋体" w:eastAsia="宋体" w:cs="仿宋"/>
          <w:kern w:val="0"/>
          <w:sz w:val="28"/>
          <w:szCs w:val="28"/>
        </w:rPr>
        <w:t>除第一类污染物、有毒有害物质、放射性物质、重金属、病原体、持久性有机污染物之外，超标排放水污染物或者大气污染物倍数在</w:t>
      </w:r>
      <w:r>
        <w:rPr>
          <w:rFonts w:ascii="宋体" w:hAnsi="宋体" w:eastAsia="宋体" w:cs="仿宋"/>
          <w:kern w:val="0"/>
          <w:sz w:val="28"/>
          <w:szCs w:val="28"/>
        </w:rPr>
        <w:t>0.1</w:t>
      </w:r>
      <w:r>
        <w:rPr>
          <w:rFonts w:hint="eastAsia" w:ascii="宋体" w:hAnsi="宋体" w:eastAsia="宋体" w:cs="仿宋"/>
          <w:kern w:val="0"/>
          <w:sz w:val="28"/>
          <w:szCs w:val="28"/>
        </w:rPr>
        <w:t>倍以内、噪声超标在</w:t>
      </w:r>
      <w:r>
        <w:rPr>
          <w:rFonts w:ascii="宋体" w:hAnsi="宋体" w:eastAsia="宋体" w:cs="仿宋"/>
          <w:kern w:val="0"/>
          <w:sz w:val="28"/>
          <w:szCs w:val="28"/>
        </w:rPr>
        <w:t>1</w:t>
      </w:r>
      <w:r>
        <w:rPr>
          <w:rFonts w:hint="eastAsia" w:ascii="宋体" w:hAnsi="宋体" w:eastAsia="宋体" w:cs="仿宋"/>
          <w:kern w:val="0"/>
          <w:sz w:val="28"/>
          <w:szCs w:val="28"/>
        </w:rPr>
        <w:t>分贝以内、</w:t>
      </w:r>
      <w:r>
        <w:rPr>
          <w:rFonts w:ascii="宋体" w:hAnsi="宋体" w:eastAsia="宋体" w:cs="仿宋"/>
          <w:kern w:val="0"/>
          <w:sz w:val="28"/>
          <w:szCs w:val="28"/>
        </w:rPr>
        <w:t>pH</w:t>
      </w:r>
      <w:r>
        <w:rPr>
          <w:rFonts w:hint="eastAsia" w:ascii="宋体" w:hAnsi="宋体" w:eastAsia="宋体" w:cs="仿宋"/>
          <w:kern w:val="0"/>
          <w:sz w:val="28"/>
          <w:szCs w:val="28"/>
        </w:rPr>
        <w:t>值大于等于</w:t>
      </w:r>
      <w:r>
        <w:rPr>
          <w:rFonts w:ascii="宋体" w:hAnsi="宋体" w:eastAsia="宋体" w:cs="仿宋"/>
          <w:kern w:val="0"/>
          <w:sz w:val="28"/>
          <w:szCs w:val="28"/>
        </w:rPr>
        <w:t>5</w:t>
      </w:r>
      <w:r>
        <w:rPr>
          <w:rFonts w:hint="eastAsia" w:ascii="宋体" w:hAnsi="宋体" w:eastAsia="宋体" w:cs="仿宋"/>
          <w:kern w:val="0"/>
          <w:sz w:val="28"/>
          <w:szCs w:val="28"/>
        </w:rPr>
        <w:t>且小于等于</w:t>
      </w:r>
      <w:r>
        <w:rPr>
          <w:rFonts w:ascii="宋体" w:hAnsi="宋体" w:eastAsia="宋体" w:cs="仿宋"/>
          <w:kern w:val="0"/>
          <w:sz w:val="28"/>
          <w:szCs w:val="28"/>
        </w:rPr>
        <w:t>9.5</w:t>
      </w:r>
      <w:r>
        <w:rPr>
          <w:rFonts w:hint="eastAsia" w:ascii="宋体" w:hAnsi="宋体" w:eastAsia="宋体" w:cs="仿宋"/>
          <w:kern w:val="0"/>
          <w:sz w:val="28"/>
          <w:szCs w:val="28"/>
        </w:rPr>
        <w:t>、排放时间不超过2小时，且在当日完成整改的；</w:t>
      </w:r>
    </w:p>
    <w:p>
      <w:pPr>
        <w:spacing w:line="600" w:lineRule="exact"/>
        <w:ind w:firstLine="560" w:firstLineChars="200"/>
        <w:rPr>
          <w:rFonts w:hint="eastAsia" w:ascii="宋体" w:hAnsi="宋体" w:eastAsia="宋体"/>
          <w:kern w:val="0"/>
          <w:sz w:val="28"/>
          <w:szCs w:val="28"/>
          <w:lang w:val="en"/>
        </w:rPr>
      </w:pPr>
      <w:r>
        <w:rPr>
          <w:rFonts w:hint="eastAsia" w:ascii="宋体" w:hAnsi="宋体" w:eastAsia="宋体"/>
          <w:kern w:val="0"/>
          <w:sz w:val="28"/>
          <w:szCs w:val="28"/>
          <w:lang w:val="en"/>
        </w:rPr>
        <w:t>（五）不规范贮存危险废物时间不超过24小时、数量小于0.01吨，且在当日完成整改的；</w:t>
      </w:r>
    </w:p>
    <w:p>
      <w:pPr>
        <w:spacing w:line="600" w:lineRule="exact"/>
        <w:ind w:firstLine="560" w:firstLineChars="200"/>
        <w:rPr>
          <w:rFonts w:hint="eastAsia" w:ascii="宋体" w:hAnsi="宋体" w:eastAsia="宋体"/>
          <w:kern w:val="0"/>
          <w:sz w:val="28"/>
          <w:szCs w:val="28"/>
        </w:rPr>
      </w:pPr>
      <w:r>
        <w:rPr>
          <w:rFonts w:hint="eastAsia" w:ascii="宋体" w:hAnsi="宋体" w:eastAsia="宋体"/>
          <w:kern w:val="0"/>
          <w:sz w:val="28"/>
          <w:szCs w:val="28"/>
        </w:rPr>
        <w:t>（六）未设置或未规范设置危险废物识别标志等危险废物管理不规范行为，首次发现，且经现场检查指出后立即改正的；</w:t>
      </w:r>
    </w:p>
    <w:p>
      <w:pPr>
        <w:spacing w:line="360" w:lineRule="auto"/>
        <w:ind w:firstLine="560" w:firstLineChars="200"/>
        <w:rPr>
          <w:rFonts w:hint="eastAsia" w:ascii="宋体" w:hAnsi="宋体" w:eastAsia="宋体" w:cs="仿宋_GB2312"/>
          <w:kern w:val="0"/>
          <w:sz w:val="28"/>
          <w:szCs w:val="28"/>
        </w:rPr>
      </w:pPr>
      <w:r>
        <w:rPr>
          <w:rFonts w:hint="eastAsia" w:ascii="宋体" w:hAnsi="宋体" w:eastAsia="宋体" w:cs="仿宋_GB2312"/>
          <w:kern w:val="0"/>
          <w:sz w:val="28"/>
          <w:szCs w:val="28"/>
        </w:rPr>
        <w:t>（七）未密闭易产生扬尘的物料，或者未采取有效措施防治扬尘污染，首次发现，经责令限期改正后及时完成整改的；</w:t>
      </w:r>
    </w:p>
    <w:p>
      <w:pPr>
        <w:spacing w:line="600" w:lineRule="exact"/>
        <w:ind w:firstLine="560" w:firstLineChars="200"/>
        <w:rPr>
          <w:rFonts w:hint="eastAsia" w:ascii="宋体" w:hAnsi="宋体" w:eastAsia="宋体" w:cs="仿宋"/>
          <w:kern w:val="0"/>
          <w:sz w:val="28"/>
          <w:szCs w:val="28"/>
        </w:rPr>
      </w:pPr>
      <w:r>
        <w:rPr>
          <w:rFonts w:hint="eastAsia" w:ascii="宋体" w:hAnsi="宋体" w:eastAsia="宋体" w:cs="仿宋"/>
          <w:kern w:val="0"/>
          <w:sz w:val="28"/>
          <w:szCs w:val="28"/>
        </w:rPr>
        <w:t>（八）已按规范制定突发环境事件（事故）应急预案但未按规定将应急预案备案或者未按规定开展应急培训、如实记录培训情况，且在10个工作日内整改的；</w:t>
      </w:r>
    </w:p>
    <w:p>
      <w:pPr>
        <w:spacing w:line="360" w:lineRule="auto"/>
        <w:ind w:firstLine="560" w:firstLineChars="200"/>
        <w:rPr>
          <w:rFonts w:hint="eastAsia" w:ascii="宋体" w:hAnsi="宋体" w:eastAsia="宋体"/>
          <w:kern w:val="0"/>
          <w:sz w:val="28"/>
          <w:szCs w:val="28"/>
        </w:rPr>
      </w:pPr>
      <w:r>
        <w:rPr>
          <w:rFonts w:hint="eastAsia" w:ascii="宋体" w:hAnsi="宋体" w:eastAsia="宋体"/>
          <w:kern w:val="0"/>
          <w:sz w:val="28"/>
          <w:szCs w:val="28"/>
        </w:rPr>
        <w:t>（九）因突发故障等非主观故意因素导致污染防治设施不正常运行，24小时内及时报告并采取停、限产措施减少污染物排放，且日均值未超标的；</w:t>
      </w:r>
    </w:p>
    <w:p>
      <w:pPr>
        <w:spacing w:line="600" w:lineRule="exact"/>
        <w:ind w:firstLine="560" w:firstLineChars="200"/>
        <w:rPr>
          <w:rFonts w:hint="eastAsia" w:ascii="宋体" w:hAnsi="宋体" w:eastAsia="宋体" w:cs="仿宋"/>
          <w:kern w:val="0"/>
          <w:sz w:val="28"/>
          <w:szCs w:val="28"/>
        </w:rPr>
      </w:pPr>
      <w:r>
        <w:rPr>
          <w:rFonts w:hint="eastAsia" w:ascii="宋体" w:hAnsi="宋体" w:eastAsia="宋体" w:cs="仿宋"/>
          <w:kern w:val="0"/>
          <w:sz w:val="28"/>
          <w:szCs w:val="28"/>
        </w:rPr>
        <w:t>（十）未按照规定时限公开环境信息或者未按照规定的内容公开环境信息，且在当日完成整改的；</w:t>
      </w:r>
    </w:p>
    <w:p>
      <w:pPr>
        <w:spacing w:line="600" w:lineRule="exact"/>
        <w:ind w:firstLine="560" w:firstLineChars="200"/>
        <w:rPr>
          <w:rFonts w:hint="eastAsia" w:ascii="宋体" w:hAnsi="宋体" w:eastAsia="宋体"/>
          <w:kern w:val="0"/>
          <w:sz w:val="28"/>
          <w:szCs w:val="28"/>
          <w:lang w:val="en"/>
        </w:rPr>
      </w:pPr>
      <w:r>
        <w:rPr>
          <w:rFonts w:hint="eastAsia" w:ascii="宋体" w:hAnsi="宋体" w:eastAsia="宋体"/>
          <w:kern w:val="0"/>
          <w:sz w:val="28"/>
          <w:szCs w:val="28"/>
          <w:lang w:val="en"/>
        </w:rPr>
        <w:t>（十一）其他违法行为轻微并及时纠正，没有造成危害后果的。</w:t>
      </w:r>
    </w:p>
    <w:p>
      <w:pPr>
        <w:spacing w:line="600" w:lineRule="exact"/>
        <w:ind w:firstLine="560" w:firstLineChars="200"/>
        <w:rPr>
          <w:rFonts w:hint="eastAsia" w:ascii="宋体" w:hAnsi="宋体" w:eastAsia="宋体"/>
          <w:b/>
          <w:kern w:val="0"/>
          <w:sz w:val="28"/>
          <w:szCs w:val="28"/>
          <w:lang w:val="zh-CN"/>
        </w:rPr>
      </w:pPr>
      <w:r>
        <w:rPr>
          <w:rFonts w:hint="eastAsia" w:ascii="楷体" w:hAnsi="楷体" w:eastAsia="楷体"/>
          <w:sz w:val="28"/>
          <w:szCs w:val="28"/>
        </w:rPr>
        <w:t>【制定理由】明确可以</w:t>
      </w:r>
      <w:r>
        <w:rPr>
          <w:rFonts w:hint="eastAsia" w:ascii="楷体" w:hAnsi="楷体" w:eastAsia="楷体"/>
          <w:sz w:val="28"/>
          <w:szCs w:val="28"/>
          <w:lang w:eastAsia="zh-CN"/>
        </w:rPr>
        <w:t>免予</w:t>
      </w:r>
      <w:r>
        <w:rPr>
          <w:rFonts w:hint="eastAsia" w:ascii="楷体" w:hAnsi="楷体" w:eastAsia="楷体"/>
          <w:sz w:val="28"/>
          <w:szCs w:val="28"/>
        </w:rPr>
        <w:t>处罚的具体情形。</w:t>
      </w:r>
    </w:p>
    <w:p>
      <w:pPr>
        <w:spacing w:line="600" w:lineRule="exact"/>
        <w:ind w:firstLine="560" w:firstLineChars="200"/>
        <w:rPr>
          <w:rFonts w:hint="eastAsia" w:ascii="宋体" w:hAnsi="宋体" w:eastAsia="宋体"/>
          <w:kern w:val="0"/>
          <w:sz w:val="28"/>
          <w:szCs w:val="28"/>
          <w:lang w:val="en"/>
        </w:rPr>
      </w:pPr>
      <w:r>
        <w:rPr>
          <w:rFonts w:hint="eastAsia" w:ascii="宋体" w:hAnsi="宋体" w:eastAsia="宋体"/>
          <w:sz w:val="28"/>
          <w:szCs w:val="28"/>
        </w:rPr>
        <w:t xml:space="preserve">第九条 </w:t>
      </w:r>
      <w:r>
        <w:rPr>
          <w:rFonts w:hint="eastAsia" w:ascii="宋体" w:hAnsi="宋体" w:eastAsia="宋体" w:cs="宋体"/>
          <w:b/>
          <w:bCs/>
          <w:color w:val="000000"/>
          <w:kern w:val="0"/>
          <w:sz w:val="28"/>
          <w:szCs w:val="28"/>
          <w:lang w:val="zh-CN"/>
        </w:rPr>
        <w:t xml:space="preserve">【法律适用原则】 </w:t>
      </w:r>
      <w:r>
        <w:rPr>
          <w:rFonts w:hint="eastAsia" w:ascii="宋体" w:hAnsi="宋体" w:eastAsia="宋体"/>
          <w:sz w:val="28"/>
          <w:szCs w:val="28"/>
        </w:rPr>
        <w:t>同一违法行为违反了不同法律规范，在适用法律、法规、规章时，应当考虑下列原则：</w:t>
      </w:r>
    </w:p>
    <w:p>
      <w:pPr>
        <w:spacing w:line="600" w:lineRule="exact"/>
        <w:ind w:firstLine="560" w:firstLineChars="200"/>
        <w:rPr>
          <w:rFonts w:hint="eastAsia" w:ascii="宋体" w:hAnsi="宋体" w:eastAsia="宋体"/>
          <w:sz w:val="28"/>
          <w:szCs w:val="28"/>
        </w:rPr>
      </w:pPr>
      <w:r>
        <w:rPr>
          <w:rFonts w:hint="eastAsia" w:ascii="宋体" w:hAnsi="宋体" w:eastAsia="宋体"/>
          <w:sz w:val="28"/>
          <w:szCs w:val="28"/>
        </w:rPr>
        <w:t>（一）上位法优于下位法；</w:t>
      </w:r>
    </w:p>
    <w:p>
      <w:pPr>
        <w:spacing w:line="600" w:lineRule="exact"/>
        <w:ind w:firstLine="560" w:firstLineChars="200"/>
        <w:rPr>
          <w:rFonts w:hint="eastAsia" w:ascii="宋体" w:hAnsi="宋体" w:eastAsia="宋体"/>
          <w:sz w:val="28"/>
          <w:szCs w:val="28"/>
        </w:rPr>
      </w:pPr>
      <w:r>
        <w:rPr>
          <w:rFonts w:hint="eastAsia" w:ascii="宋体" w:hAnsi="宋体" w:eastAsia="宋体"/>
          <w:sz w:val="28"/>
          <w:szCs w:val="28"/>
        </w:rPr>
        <w:t>（二）特别法优于一般法；</w:t>
      </w:r>
    </w:p>
    <w:p>
      <w:pPr>
        <w:spacing w:line="600" w:lineRule="exact"/>
        <w:ind w:firstLine="560" w:firstLineChars="200"/>
        <w:rPr>
          <w:rFonts w:hint="eastAsia" w:ascii="宋体" w:hAnsi="宋体" w:eastAsia="宋体"/>
          <w:sz w:val="28"/>
          <w:szCs w:val="28"/>
        </w:rPr>
      </w:pPr>
      <w:r>
        <w:rPr>
          <w:rFonts w:hint="eastAsia" w:ascii="宋体" w:hAnsi="宋体" w:eastAsia="宋体"/>
          <w:sz w:val="28"/>
          <w:szCs w:val="28"/>
        </w:rPr>
        <w:t>（三）新法优于旧法。</w:t>
      </w:r>
    </w:p>
    <w:p>
      <w:pPr>
        <w:spacing w:line="360" w:lineRule="auto"/>
        <w:ind w:firstLine="560" w:firstLineChars="200"/>
        <w:rPr>
          <w:rFonts w:hint="eastAsia" w:ascii="宋体" w:hAnsi="宋体" w:eastAsia="宋体" w:cs="E-BZ"/>
          <w:kern w:val="0"/>
          <w:sz w:val="28"/>
          <w:szCs w:val="28"/>
        </w:rPr>
      </w:pPr>
      <w:r>
        <w:rPr>
          <w:rFonts w:hint="eastAsia" w:ascii="宋体" w:hAnsi="宋体" w:eastAsia="宋体"/>
          <w:kern w:val="0"/>
          <w:sz w:val="28"/>
          <w:szCs w:val="28"/>
        </w:rPr>
        <w:t>行政处罚的依据适用违法行为发生时的法律</w:t>
      </w:r>
      <w:r>
        <w:rPr>
          <w:rFonts w:hint="eastAsia" w:ascii="宋体" w:hAnsi="宋体" w:eastAsia="宋体" w:cs="E-BZ"/>
          <w:kern w:val="0"/>
          <w:sz w:val="28"/>
          <w:szCs w:val="28"/>
        </w:rPr>
        <w:t>、</w:t>
      </w:r>
      <w:r>
        <w:rPr>
          <w:rFonts w:hint="eastAsia" w:ascii="宋体" w:hAnsi="宋体" w:eastAsia="宋体"/>
          <w:kern w:val="0"/>
          <w:sz w:val="28"/>
          <w:szCs w:val="28"/>
        </w:rPr>
        <w:t>法规和规章的规定</w:t>
      </w:r>
      <w:r>
        <w:rPr>
          <w:rFonts w:hint="eastAsia" w:ascii="宋体" w:hAnsi="宋体" w:eastAsia="宋体" w:cs="E-BZ"/>
          <w:kern w:val="0"/>
          <w:sz w:val="28"/>
          <w:szCs w:val="28"/>
        </w:rPr>
        <w:t>。</w:t>
      </w:r>
      <w:r>
        <w:rPr>
          <w:rFonts w:hint="eastAsia" w:ascii="宋体" w:hAnsi="宋体" w:eastAsia="宋体"/>
          <w:kern w:val="0"/>
          <w:sz w:val="28"/>
          <w:szCs w:val="28"/>
        </w:rPr>
        <w:t>但是作出行政处罚决定时</w:t>
      </w:r>
      <w:r>
        <w:rPr>
          <w:rFonts w:hint="eastAsia" w:ascii="宋体" w:hAnsi="宋体" w:eastAsia="宋体" w:cs="E-BZ"/>
          <w:kern w:val="0"/>
          <w:sz w:val="28"/>
          <w:szCs w:val="28"/>
          <w:lang w:eastAsia="zh-CN"/>
        </w:rPr>
        <w:t>，</w:t>
      </w:r>
      <w:r>
        <w:rPr>
          <w:rFonts w:hint="eastAsia" w:ascii="宋体" w:hAnsi="宋体" w:eastAsia="宋体"/>
          <w:kern w:val="0"/>
          <w:sz w:val="28"/>
          <w:szCs w:val="28"/>
        </w:rPr>
        <w:t>法律</w:t>
      </w:r>
      <w:r>
        <w:rPr>
          <w:rFonts w:hint="eastAsia" w:ascii="宋体" w:hAnsi="宋体" w:eastAsia="宋体" w:cs="E-BZ"/>
          <w:kern w:val="0"/>
          <w:sz w:val="28"/>
          <w:szCs w:val="28"/>
        </w:rPr>
        <w:t>、</w:t>
      </w:r>
      <w:r>
        <w:rPr>
          <w:rFonts w:hint="eastAsia" w:ascii="宋体" w:hAnsi="宋体" w:eastAsia="宋体"/>
          <w:kern w:val="0"/>
          <w:sz w:val="28"/>
          <w:szCs w:val="28"/>
        </w:rPr>
        <w:t>法规和规章已被修改或者废止</w:t>
      </w:r>
      <w:r>
        <w:rPr>
          <w:rFonts w:hint="eastAsia" w:ascii="宋体" w:hAnsi="宋体" w:eastAsia="宋体" w:cs="E-BZ"/>
          <w:kern w:val="0"/>
          <w:sz w:val="28"/>
          <w:szCs w:val="28"/>
          <w:lang w:eastAsia="zh-CN"/>
        </w:rPr>
        <w:t>，</w:t>
      </w:r>
      <w:r>
        <w:rPr>
          <w:rFonts w:hint="eastAsia" w:ascii="宋体" w:hAnsi="宋体" w:eastAsia="宋体"/>
          <w:kern w:val="0"/>
          <w:sz w:val="28"/>
          <w:szCs w:val="28"/>
        </w:rPr>
        <w:t>且新的法律</w:t>
      </w:r>
      <w:r>
        <w:rPr>
          <w:rFonts w:hint="eastAsia" w:ascii="宋体" w:hAnsi="宋体" w:eastAsia="宋体" w:cs="E-BZ"/>
          <w:kern w:val="0"/>
          <w:sz w:val="28"/>
          <w:szCs w:val="28"/>
          <w:lang w:eastAsia="zh-CN"/>
        </w:rPr>
        <w:t>、</w:t>
      </w:r>
      <w:r>
        <w:rPr>
          <w:rFonts w:hint="eastAsia" w:ascii="宋体" w:hAnsi="宋体" w:eastAsia="宋体"/>
          <w:kern w:val="0"/>
          <w:sz w:val="28"/>
          <w:szCs w:val="28"/>
        </w:rPr>
        <w:t>法规和规章的规定更有利于当事人的</w:t>
      </w:r>
      <w:r>
        <w:rPr>
          <w:rFonts w:hint="eastAsia" w:ascii="宋体" w:hAnsi="宋体" w:eastAsia="宋体" w:cs="E-BZ"/>
          <w:kern w:val="0"/>
          <w:sz w:val="28"/>
          <w:szCs w:val="28"/>
          <w:lang w:eastAsia="zh-CN"/>
        </w:rPr>
        <w:t>，</w:t>
      </w:r>
      <w:r>
        <w:rPr>
          <w:rFonts w:hint="eastAsia" w:ascii="宋体" w:hAnsi="宋体" w:eastAsia="宋体"/>
          <w:kern w:val="0"/>
          <w:sz w:val="28"/>
          <w:szCs w:val="28"/>
        </w:rPr>
        <w:t>适用新的法律</w:t>
      </w:r>
      <w:r>
        <w:rPr>
          <w:rFonts w:hint="eastAsia" w:ascii="宋体" w:hAnsi="宋体" w:eastAsia="宋体"/>
          <w:kern w:val="0"/>
          <w:sz w:val="28"/>
          <w:szCs w:val="28"/>
          <w:lang w:eastAsia="zh-CN"/>
        </w:rPr>
        <w:t>、</w:t>
      </w:r>
      <w:r>
        <w:rPr>
          <w:rFonts w:hint="eastAsia" w:ascii="宋体" w:hAnsi="宋体" w:eastAsia="宋体"/>
          <w:kern w:val="0"/>
          <w:sz w:val="28"/>
          <w:szCs w:val="28"/>
        </w:rPr>
        <w:t>法规和规章的规定</w:t>
      </w:r>
      <w:r>
        <w:rPr>
          <w:rFonts w:hint="eastAsia" w:ascii="宋体" w:hAnsi="宋体" w:eastAsia="宋体" w:cs="E-BZ"/>
          <w:kern w:val="0"/>
          <w:sz w:val="28"/>
          <w:szCs w:val="28"/>
        </w:rPr>
        <w:t>。</w:t>
      </w:r>
    </w:p>
    <w:p>
      <w:pPr>
        <w:spacing w:line="600" w:lineRule="exact"/>
        <w:ind w:firstLine="560" w:firstLineChars="200"/>
        <w:rPr>
          <w:rFonts w:hint="eastAsia" w:ascii="宋体" w:hAnsi="宋体" w:eastAsia="宋体"/>
          <w:b/>
          <w:kern w:val="0"/>
          <w:sz w:val="28"/>
          <w:szCs w:val="28"/>
          <w:lang w:val="zh-CN"/>
        </w:rPr>
      </w:pPr>
      <w:r>
        <w:rPr>
          <w:rFonts w:hint="eastAsia" w:ascii="楷体" w:hAnsi="楷体" w:eastAsia="楷体"/>
          <w:sz w:val="28"/>
          <w:szCs w:val="28"/>
        </w:rPr>
        <w:t>【制定理由】明确不同等级法律的适用原则。</w:t>
      </w:r>
    </w:p>
    <w:p>
      <w:pPr>
        <w:spacing w:line="600" w:lineRule="exact"/>
        <w:ind w:firstLine="560" w:firstLineChars="200"/>
        <w:rPr>
          <w:rFonts w:ascii="宋体" w:hAnsi="宋体" w:eastAsia="宋体"/>
          <w:kern w:val="0"/>
          <w:sz w:val="28"/>
          <w:szCs w:val="28"/>
          <w:lang w:val="en"/>
        </w:rPr>
      </w:pPr>
      <w:r>
        <w:rPr>
          <w:rFonts w:hint="eastAsia" w:ascii="宋体" w:hAnsi="宋体" w:eastAsia="宋体"/>
          <w:sz w:val="28"/>
          <w:szCs w:val="28"/>
        </w:rPr>
        <w:t xml:space="preserve">第十条 </w:t>
      </w:r>
      <w:r>
        <w:rPr>
          <w:rFonts w:hint="eastAsia" w:ascii="宋体" w:hAnsi="宋体" w:eastAsia="宋体" w:cs="宋体"/>
          <w:b/>
          <w:bCs/>
          <w:color w:val="000000"/>
          <w:kern w:val="0"/>
          <w:sz w:val="28"/>
          <w:szCs w:val="28"/>
          <w:lang w:val="zh-CN"/>
        </w:rPr>
        <w:t xml:space="preserve">【调查及裁量要求】 </w:t>
      </w:r>
      <w:r>
        <w:rPr>
          <w:rFonts w:hint="eastAsia" w:ascii="宋体" w:hAnsi="宋体" w:eastAsia="宋体"/>
          <w:kern w:val="0"/>
          <w:sz w:val="28"/>
          <w:szCs w:val="28"/>
          <w:lang w:val="en"/>
        </w:rPr>
        <w:t>环境违法案件调查取证过程中，执法人员应当以裁量规则和基准为指导，全面调取有关违法行为和情节的证据；在提交行政处罚案件调查报告时，不仅要附有违法行为的定性证据，还应根据裁量因子提供有关定量证据。</w:t>
      </w:r>
    </w:p>
    <w:p>
      <w:pPr>
        <w:spacing w:line="600" w:lineRule="exact"/>
        <w:ind w:firstLine="560" w:firstLineChars="200"/>
        <w:rPr>
          <w:rFonts w:hint="eastAsia" w:ascii="宋体" w:hAnsi="宋体" w:eastAsia="宋体"/>
          <w:kern w:val="0"/>
          <w:sz w:val="28"/>
          <w:szCs w:val="28"/>
          <w:lang w:val="en"/>
        </w:rPr>
      </w:pPr>
      <w:r>
        <w:rPr>
          <w:rFonts w:hint="eastAsia" w:ascii="宋体" w:hAnsi="宋体" w:eastAsia="宋体"/>
          <w:kern w:val="0"/>
          <w:sz w:val="28"/>
          <w:szCs w:val="28"/>
          <w:lang w:val="en"/>
        </w:rPr>
        <w:t>案件审查人员应当严格遵守裁量规则和使用裁量基准，对具体案件的处罚额度提出合理的裁量建议；经集体审议的案件应当专门对案件的裁量情况进行审议，书面记录审议结果，并随案卷归档。</w:t>
      </w:r>
    </w:p>
    <w:p>
      <w:pPr>
        <w:spacing w:line="600" w:lineRule="exact"/>
        <w:ind w:firstLine="560" w:firstLineChars="200"/>
        <w:rPr>
          <w:rFonts w:hint="eastAsia" w:ascii="宋体" w:hAnsi="宋体" w:eastAsia="宋体"/>
          <w:b/>
          <w:kern w:val="0"/>
          <w:sz w:val="28"/>
          <w:szCs w:val="28"/>
          <w:lang w:val="zh-CN"/>
        </w:rPr>
      </w:pPr>
      <w:r>
        <w:rPr>
          <w:rFonts w:hint="eastAsia" w:ascii="楷体" w:hAnsi="楷体" w:eastAsia="楷体"/>
          <w:sz w:val="28"/>
          <w:szCs w:val="28"/>
        </w:rPr>
        <w:t>【制定理由】说明对调查取证和案件审查的具体要求。</w:t>
      </w:r>
    </w:p>
    <w:p>
      <w:pPr>
        <w:spacing w:line="600" w:lineRule="exact"/>
        <w:ind w:firstLine="560" w:firstLineChars="200"/>
        <w:rPr>
          <w:rFonts w:ascii="宋体" w:hAnsi="宋体" w:eastAsia="宋体"/>
          <w:kern w:val="0"/>
          <w:sz w:val="28"/>
          <w:szCs w:val="28"/>
        </w:rPr>
      </w:pPr>
      <w:r>
        <w:rPr>
          <w:rFonts w:hint="eastAsia" w:ascii="宋体" w:hAnsi="宋体" w:eastAsia="宋体"/>
          <w:sz w:val="28"/>
          <w:szCs w:val="28"/>
        </w:rPr>
        <w:t xml:space="preserve">第十一条 </w:t>
      </w:r>
      <w:r>
        <w:rPr>
          <w:rFonts w:hint="eastAsia" w:ascii="宋体" w:hAnsi="宋体" w:eastAsia="宋体" w:cs="宋体"/>
          <w:b/>
          <w:bCs/>
          <w:color w:val="000000"/>
          <w:kern w:val="0"/>
          <w:sz w:val="28"/>
          <w:szCs w:val="28"/>
          <w:lang w:val="zh-CN"/>
        </w:rPr>
        <w:t xml:space="preserve">【行政处罚程序】 </w:t>
      </w:r>
      <w:r>
        <w:rPr>
          <w:rFonts w:hint="eastAsia" w:ascii="宋体" w:hAnsi="宋体" w:eastAsia="宋体"/>
          <w:kern w:val="0"/>
          <w:sz w:val="28"/>
          <w:szCs w:val="28"/>
        </w:rPr>
        <w:t>生态环境主管部门在查办环境违法案件过程中，发现涉嫌环境犯罪案件的，应当将案件移送公安机关；未作出行政处罚决定的，应当在公安机关决定不予立案或者撤销案件、人民检察院作出不起诉决定、人民法院作出无罪判决或者免予刑事处罚后，再决定是否给予行政处罚。</w:t>
      </w:r>
    </w:p>
    <w:p>
      <w:pPr>
        <w:spacing w:line="600" w:lineRule="exact"/>
        <w:ind w:firstLine="560" w:firstLineChars="200"/>
        <w:rPr>
          <w:rFonts w:hint="eastAsia" w:ascii="宋体" w:hAnsi="宋体" w:eastAsia="宋体"/>
          <w:b/>
          <w:kern w:val="0"/>
          <w:sz w:val="28"/>
          <w:szCs w:val="28"/>
          <w:lang w:val="zh-CN"/>
        </w:rPr>
      </w:pPr>
      <w:r>
        <w:rPr>
          <w:rFonts w:hint="eastAsia" w:ascii="楷体" w:hAnsi="楷体" w:eastAsia="楷体"/>
          <w:sz w:val="28"/>
          <w:szCs w:val="28"/>
        </w:rPr>
        <w:t>【制定理由】对涉嫌环境犯罪的行政处罚案件的处罚程序提出要求。</w:t>
      </w:r>
    </w:p>
    <w:p>
      <w:pPr>
        <w:spacing w:line="600" w:lineRule="exact"/>
        <w:ind w:firstLine="560" w:firstLineChars="200"/>
        <w:rPr>
          <w:rFonts w:ascii="宋体" w:hAnsi="宋体" w:eastAsia="宋体"/>
          <w:sz w:val="28"/>
          <w:szCs w:val="28"/>
        </w:rPr>
      </w:pPr>
      <w:r>
        <w:rPr>
          <w:rFonts w:hint="eastAsia" w:ascii="宋体" w:hAnsi="宋体" w:eastAsia="宋体"/>
          <w:sz w:val="28"/>
          <w:szCs w:val="28"/>
        </w:rPr>
        <w:t xml:space="preserve">第十二条 </w:t>
      </w:r>
      <w:r>
        <w:rPr>
          <w:rFonts w:hint="eastAsia" w:ascii="宋体" w:hAnsi="宋体" w:eastAsia="宋体" w:cs="宋体"/>
          <w:b/>
          <w:bCs/>
          <w:color w:val="000000"/>
          <w:kern w:val="0"/>
          <w:sz w:val="28"/>
          <w:szCs w:val="28"/>
          <w:lang w:val="zh-CN"/>
        </w:rPr>
        <w:t xml:space="preserve">【名词解释】 </w:t>
      </w:r>
      <w:r>
        <w:rPr>
          <w:rFonts w:hint="eastAsia" w:ascii="宋体" w:hAnsi="宋体" w:eastAsia="宋体" w:cs="仿宋"/>
          <w:kern w:val="0"/>
          <w:sz w:val="28"/>
          <w:szCs w:val="28"/>
        </w:rPr>
        <w:t>有毒有害物质，指列入国家</w:t>
      </w:r>
      <w:r>
        <w:rPr>
          <w:rFonts w:hint="eastAsia" w:ascii="宋体" w:hAnsi="宋体" w:eastAsia="宋体"/>
          <w:sz w:val="28"/>
          <w:szCs w:val="28"/>
          <w:lang w:val="en"/>
        </w:rPr>
        <w:t>《有毒有害水污染物名录》《有毒有害大气污染物名录》等相关名录中的物质。</w:t>
      </w:r>
    </w:p>
    <w:p>
      <w:pPr>
        <w:spacing w:line="600" w:lineRule="exact"/>
        <w:ind w:firstLine="560" w:firstLineChars="200"/>
        <w:rPr>
          <w:rFonts w:hint="eastAsia" w:ascii="宋体" w:hAnsi="宋体" w:eastAsia="宋体"/>
          <w:b/>
          <w:sz w:val="28"/>
          <w:szCs w:val="28"/>
        </w:rPr>
      </w:pPr>
      <w:r>
        <w:rPr>
          <w:rFonts w:hint="eastAsia" w:ascii="宋体" w:hAnsi="宋体" w:eastAsia="宋体"/>
          <w:sz w:val="28"/>
          <w:szCs w:val="28"/>
        </w:rPr>
        <w:t>本规则附件中所称的“以上”包括本数，所称的“以下”不包括本数。</w:t>
      </w:r>
    </w:p>
    <w:p>
      <w:pPr>
        <w:spacing w:line="600" w:lineRule="exact"/>
        <w:ind w:firstLine="560" w:firstLineChars="200"/>
        <w:rPr>
          <w:rFonts w:hint="eastAsia" w:ascii="宋体" w:hAnsi="宋体" w:eastAsia="宋体"/>
          <w:b/>
          <w:kern w:val="0"/>
          <w:sz w:val="28"/>
          <w:szCs w:val="28"/>
          <w:lang w:val="zh-CN"/>
        </w:rPr>
      </w:pPr>
      <w:r>
        <w:rPr>
          <w:rFonts w:hint="eastAsia" w:ascii="楷体" w:hAnsi="楷体" w:eastAsia="楷体"/>
          <w:sz w:val="28"/>
          <w:szCs w:val="28"/>
        </w:rPr>
        <w:t>【制定理由】对特定的名词作出明确说明。</w:t>
      </w:r>
    </w:p>
    <w:p>
      <w:pPr>
        <w:spacing w:line="600" w:lineRule="exact"/>
        <w:ind w:firstLine="560" w:firstLineChars="200"/>
        <w:rPr>
          <w:rFonts w:hint="eastAsia" w:ascii="宋体" w:hAnsi="宋体" w:eastAsia="宋体" w:cs="宋体"/>
          <w:b/>
          <w:bCs/>
          <w:color w:val="000000"/>
          <w:kern w:val="0"/>
          <w:sz w:val="28"/>
          <w:szCs w:val="28"/>
          <w:lang w:val="zh-CN"/>
        </w:rPr>
      </w:pPr>
      <w:r>
        <w:rPr>
          <w:rFonts w:hint="eastAsia" w:ascii="宋体" w:hAnsi="宋体" w:eastAsia="宋体"/>
          <w:sz w:val="28"/>
          <w:szCs w:val="28"/>
        </w:rPr>
        <w:t xml:space="preserve">第十三条 </w:t>
      </w:r>
      <w:r>
        <w:rPr>
          <w:rFonts w:hint="eastAsia" w:ascii="宋体" w:hAnsi="宋体" w:eastAsia="宋体" w:cs="宋体"/>
          <w:b/>
          <w:bCs/>
          <w:color w:val="000000"/>
          <w:kern w:val="0"/>
          <w:sz w:val="28"/>
          <w:szCs w:val="28"/>
          <w:lang w:val="zh-CN"/>
        </w:rPr>
        <w:t xml:space="preserve">【规则调整】 </w:t>
      </w:r>
      <w:r>
        <w:rPr>
          <w:rFonts w:hint="eastAsia" w:ascii="宋体" w:hAnsi="宋体" w:eastAsia="宋体"/>
          <w:sz w:val="28"/>
          <w:szCs w:val="28"/>
        </w:rPr>
        <w:t>本规则可以根据生态环境行政执法的具体情况，适时进行调整和修正。</w:t>
      </w:r>
    </w:p>
    <w:p>
      <w:pPr>
        <w:spacing w:line="600" w:lineRule="exact"/>
        <w:ind w:firstLine="560" w:firstLineChars="200"/>
        <w:rPr>
          <w:rFonts w:hint="eastAsia" w:ascii="宋体" w:hAnsi="宋体" w:eastAsia="宋体"/>
          <w:b/>
          <w:kern w:val="0"/>
          <w:sz w:val="28"/>
          <w:szCs w:val="28"/>
          <w:lang w:val="zh-CN"/>
        </w:rPr>
      </w:pPr>
      <w:r>
        <w:rPr>
          <w:rFonts w:hint="eastAsia" w:ascii="楷体" w:hAnsi="楷体" w:eastAsia="楷体"/>
          <w:sz w:val="28"/>
          <w:szCs w:val="28"/>
        </w:rPr>
        <w:t>【制定理由】说明规则可以按照实际执法状况进行调整。</w:t>
      </w:r>
    </w:p>
    <w:p>
      <w:pPr>
        <w:spacing w:line="600" w:lineRule="exact"/>
        <w:ind w:firstLine="560" w:firstLineChars="200"/>
        <w:rPr>
          <w:rFonts w:hint="eastAsia" w:ascii="宋体" w:hAnsi="宋体" w:eastAsia="宋体" w:cs="宋体"/>
          <w:b/>
          <w:bCs/>
          <w:color w:val="000000"/>
          <w:kern w:val="0"/>
          <w:sz w:val="28"/>
          <w:szCs w:val="28"/>
          <w:lang w:val="zh-CN"/>
        </w:rPr>
      </w:pPr>
      <w:r>
        <w:rPr>
          <w:rFonts w:hint="eastAsia" w:ascii="宋体" w:hAnsi="宋体" w:eastAsia="宋体"/>
          <w:sz w:val="28"/>
          <w:szCs w:val="28"/>
        </w:rPr>
        <w:t xml:space="preserve">第十四条 </w:t>
      </w:r>
      <w:r>
        <w:rPr>
          <w:rFonts w:hint="eastAsia" w:ascii="宋体" w:hAnsi="宋体" w:eastAsia="宋体" w:cs="宋体"/>
          <w:b/>
          <w:bCs/>
          <w:color w:val="000000"/>
          <w:kern w:val="0"/>
          <w:sz w:val="28"/>
          <w:szCs w:val="28"/>
          <w:lang w:val="zh-CN"/>
        </w:rPr>
        <w:t xml:space="preserve">【实施日期】 </w:t>
      </w:r>
      <w:r>
        <w:rPr>
          <w:rFonts w:hint="eastAsia" w:ascii="宋体" w:hAnsi="宋体" w:eastAsia="宋体"/>
          <w:sz w:val="28"/>
          <w:szCs w:val="28"/>
        </w:rPr>
        <w:t>本规则自2021年1月1日起施行，原</w:t>
      </w:r>
      <w:r>
        <w:rPr>
          <w:rFonts w:ascii="宋体" w:hAnsi="宋体" w:eastAsia="宋体"/>
          <w:kern w:val="36"/>
          <w:sz w:val="28"/>
          <w:szCs w:val="28"/>
        </w:rPr>
        <w:t>《广西壮族自治区规范环境行政处罚自由裁量权实施办法》</w:t>
      </w:r>
      <w:r>
        <w:rPr>
          <w:rFonts w:hint="eastAsia" w:ascii="宋体" w:hAnsi="宋体" w:eastAsia="宋体"/>
          <w:kern w:val="36"/>
          <w:sz w:val="28"/>
          <w:szCs w:val="28"/>
        </w:rPr>
        <w:t>（</w:t>
      </w:r>
      <w:r>
        <w:rPr>
          <w:rFonts w:ascii="宋体" w:hAnsi="宋体" w:eastAsia="宋体"/>
          <w:sz w:val="28"/>
          <w:szCs w:val="28"/>
        </w:rPr>
        <w:t>桂环规范〔2017〕8号</w:t>
      </w:r>
      <w:r>
        <w:rPr>
          <w:rFonts w:hint="eastAsia" w:ascii="宋体" w:hAnsi="宋体" w:eastAsia="宋体"/>
          <w:kern w:val="36"/>
          <w:sz w:val="28"/>
          <w:szCs w:val="28"/>
        </w:rPr>
        <w:t>）同时废止</w:t>
      </w:r>
      <w:r>
        <w:rPr>
          <w:rFonts w:hint="eastAsia" w:ascii="宋体" w:hAnsi="宋体" w:eastAsia="宋体"/>
          <w:sz w:val="28"/>
          <w:szCs w:val="28"/>
        </w:rPr>
        <w:t>。</w:t>
      </w:r>
    </w:p>
    <w:p>
      <w:pPr>
        <w:spacing w:line="600" w:lineRule="exact"/>
        <w:ind w:firstLine="560" w:firstLineChars="200"/>
        <w:rPr>
          <w:rFonts w:hint="eastAsia" w:ascii="宋体" w:hAnsi="宋体" w:eastAsia="宋体"/>
          <w:sz w:val="28"/>
          <w:szCs w:val="28"/>
          <w:lang w:val="en"/>
        </w:rPr>
      </w:pPr>
      <w:r>
        <w:rPr>
          <w:rFonts w:hint="eastAsia" w:ascii="楷体" w:hAnsi="楷体" w:eastAsia="楷体"/>
          <w:sz w:val="28"/>
          <w:szCs w:val="28"/>
        </w:rPr>
        <w:t>【制定理由】</w:t>
      </w:r>
      <w:r>
        <w:rPr>
          <w:rFonts w:hint="eastAsia" w:ascii="楷体" w:hAnsi="楷体" w:eastAsia="楷体"/>
          <w:sz w:val="28"/>
          <w:szCs w:val="28"/>
          <w:lang w:val="en"/>
        </w:rPr>
        <w:t>明确裁量规则的实施日期。</w:t>
      </w:r>
    </w:p>
    <w:p>
      <w:pPr>
        <w:rPr>
          <w:rFonts w:hint="eastAsia" w:ascii="宋体" w:hAnsi="宋体" w:eastAsia="宋体"/>
          <w:sz w:val="28"/>
          <w:szCs w:val="28"/>
        </w:rPr>
      </w:pPr>
      <w:r>
        <w:rPr>
          <w:rFonts w:hint="eastAsia" w:ascii="宋体" w:hAnsi="宋体" w:eastAsia="宋体"/>
          <w:sz w:val="28"/>
          <w:szCs w:val="28"/>
        </w:rPr>
        <w:br w:type="page"/>
      </w:r>
    </w:p>
    <w:p>
      <w:pPr>
        <w:keepNext w:val="0"/>
        <w:keepLines w:val="0"/>
        <w:pageBreakBefore w:val="0"/>
        <w:widowControl/>
        <w:kinsoku/>
        <w:overflowPunct/>
        <w:topLinePunct w:val="0"/>
        <w:autoSpaceDE/>
        <w:autoSpaceDN/>
        <w:bidi w:val="0"/>
        <w:adjustRightInd/>
        <w:snapToGrid/>
        <w:spacing w:line="600" w:lineRule="exact"/>
        <w:jc w:val="both"/>
        <w:textAlignment w:val="auto"/>
        <w:rPr>
          <w:rFonts w:hint="default"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附件3</w:t>
      </w:r>
    </w:p>
    <w:p>
      <w:pPr>
        <w:overflowPunct w:val="0"/>
        <w:topLinePunct/>
        <w:spacing w:line="600" w:lineRule="exact"/>
        <w:jc w:val="left"/>
        <w:outlineLvl w:val="0"/>
        <w:rPr>
          <w:rFonts w:hint="eastAsia" w:ascii="仿宋" w:hAnsi="仿宋" w:eastAsia="仿宋" w:cs="仿宋"/>
          <w:sz w:val="32"/>
          <w:szCs w:val="32"/>
        </w:rPr>
      </w:pPr>
    </w:p>
    <w:p>
      <w:pPr>
        <w:overflowPunct w:val="0"/>
        <w:topLinePunct/>
        <w:spacing w:line="600" w:lineRule="exact"/>
        <w:jc w:val="center"/>
        <w:outlineLvl w:val="0"/>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广西壮族自治区</w:t>
      </w:r>
      <w:r>
        <w:rPr>
          <w:rFonts w:hint="eastAsia" w:ascii="方正小标宋_GBK" w:hAnsi="方正小标宋_GBK" w:eastAsia="方正小标宋_GBK" w:cs="方正小标宋_GBK"/>
          <w:sz w:val="44"/>
          <w:szCs w:val="44"/>
          <w:lang w:eastAsia="zh-CN"/>
        </w:rPr>
        <w:t>环境行政处罚</w:t>
      </w:r>
    </w:p>
    <w:p>
      <w:pPr>
        <w:overflowPunct w:val="0"/>
        <w:topLinePunct/>
        <w:spacing w:line="600" w:lineRule="exact"/>
        <w:jc w:val="center"/>
        <w:outlineLvl w:val="0"/>
        <w:rPr>
          <w:rFonts w:ascii="宋体"/>
          <w:sz w:val="24"/>
          <w:szCs w:val="24"/>
        </w:rPr>
      </w:pPr>
      <w:r>
        <w:rPr>
          <w:rFonts w:hint="eastAsia" w:ascii="方正小标宋_GBK" w:hAnsi="方正小标宋_GBK" w:eastAsia="方正小标宋_GBK" w:cs="方正小标宋_GBK"/>
          <w:sz w:val="44"/>
          <w:szCs w:val="44"/>
        </w:rPr>
        <w:t>自由裁量基准</w:t>
      </w:r>
      <w:bookmarkStart w:id="0" w:name="_Toc339006021"/>
      <w:r>
        <w:rPr>
          <w:rFonts w:hint="eastAsia" w:ascii="方正小标宋_GBK" w:hAnsi="方正小标宋_GBK" w:eastAsia="方正小标宋_GBK" w:cs="方正小标宋_GBK"/>
          <w:sz w:val="44"/>
          <w:szCs w:val="44"/>
        </w:rPr>
        <w:t>（征求意见稿）</w:t>
      </w:r>
    </w:p>
    <w:p>
      <w:pPr>
        <w:overflowPunct w:val="0"/>
        <w:topLinePunct/>
        <w:adjustRightInd w:val="0"/>
        <w:snapToGrid w:val="0"/>
        <w:spacing w:line="600" w:lineRule="exact"/>
        <w:ind w:firstLine="640" w:firstLineChars="200"/>
        <w:outlineLvl w:val="0"/>
        <w:rPr>
          <w:rFonts w:hint="eastAsia" w:ascii="仿宋" w:hAnsi="仿宋" w:eastAsia="仿宋" w:cs="仿宋"/>
          <w:kern w:val="0"/>
          <w:sz w:val="32"/>
          <w:szCs w:val="32"/>
        </w:rPr>
      </w:pPr>
    </w:p>
    <w:p>
      <w:pPr>
        <w:overflowPunct w:val="0"/>
        <w:topLinePunct/>
        <w:adjustRightInd w:val="0"/>
        <w:snapToGrid w:val="0"/>
        <w:spacing w:line="600" w:lineRule="exact"/>
        <w:ind w:firstLine="640" w:firstLineChars="200"/>
        <w:outlineLvl w:val="0"/>
        <w:rPr>
          <w:rFonts w:hint="eastAsia" w:ascii="黑体" w:hAnsi="黑体" w:eastAsia="黑体" w:cs="黑体"/>
          <w:kern w:val="0"/>
          <w:sz w:val="32"/>
          <w:szCs w:val="32"/>
        </w:rPr>
      </w:pPr>
      <w:r>
        <w:rPr>
          <w:rFonts w:hint="eastAsia" w:ascii="黑体" w:hAnsi="黑体" w:eastAsia="黑体" w:cs="黑体"/>
          <w:kern w:val="0"/>
          <w:sz w:val="32"/>
          <w:szCs w:val="32"/>
        </w:rPr>
        <w:t>一、违法行为个性裁量</w:t>
      </w:r>
      <w:bookmarkStart w:id="1" w:name="_Toc31696"/>
      <w:bookmarkStart w:id="2" w:name="_Toc28849"/>
      <w:r>
        <w:rPr>
          <w:rFonts w:hint="eastAsia" w:ascii="黑体" w:hAnsi="黑体" w:eastAsia="黑体" w:cs="黑体"/>
          <w:kern w:val="0"/>
          <w:sz w:val="32"/>
          <w:szCs w:val="32"/>
        </w:rPr>
        <w:t>基准</w:t>
      </w:r>
    </w:p>
    <w:p>
      <w:pPr>
        <w:overflowPunct w:val="0"/>
        <w:topLinePunct/>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下列表格用数值表示裁量因子不同的裁量等级，1-5代表违法行为从轻微到严重的不同程度。</w:t>
      </w:r>
    </w:p>
    <w:p>
      <w:pPr>
        <w:overflowPunct w:val="0"/>
        <w:topLinePunct/>
        <w:spacing w:line="60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（一）违反环境影响评价制度的行为</w:t>
      </w:r>
      <w:bookmarkEnd w:id="1"/>
      <w:bookmarkEnd w:id="2"/>
      <w:r>
        <w:rPr>
          <w:rFonts w:hint="eastAsia" w:ascii="楷体" w:hAnsi="楷体" w:eastAsia="楷体" w:cs="楷体"/>
          <w:sz w:val="32"/>
          <w:szCs w:val="32"/>
        </w:rPr>
        <w:t>（报告书、报告表类）</w:t>
      </w:r>
    </w:p>
    <w:tbl>
      <w:tblPr>
        <w:tblStyle w:val="4"/>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2082"/>
        <w:gridCol w:w="5304"/>
        <w:gridCol w:w="1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4" w:hRule="atLeast"/>
          <w:jc w:val="center"/>
        </w:trPr>
        <w:tc>
          <w:tcPr>
            <w:tcW w:w="2082" w:type="dxa"/>
            <w:vAlign w:val="center"/>
          </w:tcPr>
          <w:p>
            <w:pPr>
              <w:overflowPunct w:val="0"/>
              <w:topLinePunct/>
              <w:snapToGrid w:val="0"/>
              <w:jc w:val="center"/>
              <w:rPr>
                <w:rFonts w:ascii="宋体"/>
                <w:kern w:val="0"/>
                <w:sz w:val="24"/>
                <w:szCs w:val="24"/>
              </w:rPr>
            </w:pPr>
            <w:r>
              <w:rPr>
                <w:rFonts w:hint="eastAsia" w:ascii="宋体" w:hAnsi="宋体" w:cs="宋体"/>
                <w:kern w:val="0"/>
                <w:sz w:val="24"/>
                <w:szCs w:val="24"/>
              </w:rPr>
              <w:t>裁量因素</w:t>
            </w:r>
          </w:p>
        </w:tc>
        <w:tc>
          <w:tcPr>
            <w:tcW w:w="5304" w:type="dxa"/>
            <w:vAlign w:val="center"/>
          </w:tcPr>
          <w:p>
            <w:pPr>
              <w:overflowPunct w:val="0"/>
              <w:topLinePunct/>
              <w:snapToGrid w:val="0"/>
              <w:jc w:val="center"/>
              <w:rPr>
                <w:rFonts w:ascii="宋体"/>
                <w:kern w:val="0"/>
                <w:sz w:val="24"/>
                <w:szCs w:val="24"/>
              </w:rPr>
            </w:pPr>
            <w:r>
              <w:rPr>
                <w:rFonts w:hint="eastAsia" w:ascii="宋体" w:hAnsi="宋体" w:cs="宋体"/>
                <w:kern w:val="0"/>
                <w:sz w:val="24"/>
                <w:szCs w:val="24"/>
              </w:rPr>
              <w:t>裁量因子</w:t>
            </w:r>
          </w:p>
        </w:tc>
        <w:tc>
          <w:tcPr>
            <w:tcW w:w="1334" w:type="dxa"/>
            <w:vAlign w:val="center"/>
          </w:tcPr>
          <w:p>
            <w:pPr>
              <w:overflowPunct w:val="0"/>
              <w:topLinePunct/>
              <w:snapToGrid w:val="0"/>
              <w:jc w:val="center"/>
              <w:rPr>
                <w:rFonts w:ascii="宋体"/>
                <w:kern w:val="0"/>
                <w:sz w:val="24"/>
                <w:szCs w:val="24"/>
              </w:rPr>
            </w:pPr>
            <w:r>
              <w:rPr>
                <w:rFonts w:hint="eastAsia" w:ascii="宋体" w:hAnsi="宋体" w:cs="宋体"/>
                <w:kern w:val="0"/>
                <w:sz w:val="24"/>
                <w:szCs w:val="24"/>
              </w:rPr>
              <w:t>裁量等级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50" w:hRule="atLeast"/>
          <w:jc w:val="center"/>
        </w:trPr>
        <w:tc>
          <w:tcPr>
            <w:tcW w:w="2082" w:type="dxa"/>
            <w:vMerge w:val="restart"/>
            <w:vAlign w:val="center"/>
          </w:tcPr>
          <w:p>
            <w:pPr>
              <w:overflowPunct w:val="0"/>
              <w:topLinePunct/>
              <w:snapToGrid w:val="0"/>
              <w:jc w:val="center"/>
              <w:rPr>
                <w:rFonts w:ascii="宋体"/>
                <w:kern w:val="0"/>
                <w:sz w:val="24"/>
                <w:szCs w:val="24"/>
              </w:rPr>
            </w:pPr>
            <w:r>
              <w:rPr>
                <w:rFonts w:hint="eastAsia" w:ascii="宋体" w:hAnsi="宋体" w:cs="宋体"/>
                <w:kern w:val="0"/>
                <w:sz w:val="24"/>
                <w:szCs w:val="24"/>
              </w:rPr>
              <w:t>项目环评文件类别</w:t>
            </w:r>
          </w:p>
        </w:tc>
        <w:tc>
          <w:tcPr>
            <w:tcW w:w="5304" w:type="dxa"/>
            <w:vAlign w:val="center"/>
          </w:tcPr>
          <w:p>
            <w:pPr>
              <w:overflowPunct w:val="0"/>
              <w:topLinePunct/>
              <w:snapToGrid w:val="0"/>
              <w:rPr>
                <w:rFonts w:ascii="宋体"/>
                <w:kern w:val="0"/>
                <w:sz w:val="24"/>
                <w:szCs w:val="24"/>
              </w:rPr>
            </w:pPr>
            <w:r>
              <w:rPr>
                <w:rFonts w:hint="eastAsia" w:ascii="宋体" w:hAnsi="宋体" w:cs="宋体"/>
                <w:kern w:val="0"/>
                <w:sz w:val="24"/>
                <w:szCs w:val="24"/>
              </w:rPr>
              <w:t>报告表（非生产型）</w:t>
            </w:r>
          </w:p>
        </w:tc>
        <w:tc>
          <w:tcPr>
            <w:tcW w:w="1334" w:type="dxa"/>
            <w:vAlign w:val="center"/>
          </w:tcPr>
          <w:p>
            <w:pPr>
              <w:overflowPunct w:val="0"/>
              <w:topLinePunct/>
              <w:snapToGrid w:val="0"/>
              <w:jc w:val="center"/>
              <w:rPr>
                <w:rFonts w:ascii="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58" w:hRule="atLeast"/>
          <w:jc w:val="center"/>
        </w:trPr>
        <w:tc>
          <w:tcPr>
            <w:tcW w:w="2082" w:type="dxa"/>
            <w:vMerge w:val="continue"/>
            <w:vAlign w:val="center"/>
          </w:tcPr>
          <w:p>
            <w:pPr>
              <w:overflowPunct w:val="0"/>
              <w:topLinePunct/>
              <w:snapToGrid w:val="0"/>
              <w:jc w:val="center"/>
              <w:rPr>
                <w:rFonts w:ascii="宋体"/>
                <w:kern w:val="0"/>
                <w:sz w:val="24"/>
                <w:szCs w:val="24"/>
              </w:rPr>
            </w:pPr>
          </w:p>
        </w:tc>
        <w:tc>
          <w:tcPr>
            <w:tcW w:w="5304" w:type="dxa"/>
            <w:vAlign w:val="center"/>
          </w:tcPr>
          <w:p>
            <w:pPr>
              <w:overflowPunct w:val="0"/>
              <w:topLinePunct/>
              <w:snapToGrid w:val="0"/>
              <w:rPr>
                <w:rFonts w:ascii="宋体"/>
                <w:kern w:val="0"/>
                <w:sz w:val="24"/>
                <w:szCs w:val="24"/>
              </w:rPr>
            </w:pPr>
            <w:r>
              <w:rPr>
                <w:rFonts w:hint="eastAsia" w:ascii="宋体" w:hAnsi="宋体" w:cs="宋体"/>
                <w:kern w:val="0"/>
                <w:sz w:val="24"/>
                <w:szCs w:val="24"/>
              </w:rPr>
              <w:t>报告表（生产型）</w:t>
            </w:r>
          </w:p>
        </w:tc>
        <w:tc>
          <w:tcPr>
            <w:tcW w:w="1334" w:type="dxa"/>
            <w:vAlign w:val="center"/>
          </w:tcPr>
          <w:p>
            <w:pPr>
              <w:overflowPunct w:val="0"/>
              <w:topLinePunct/>
              <w:snapToGrid w:val="0"/>
              <w:jc w:val="center"/>
              <w:rPr>
                <w:rFonts w:ascii="宋体"/>
                <w:kern w:val="0"/>
                <w:sz w:val="24"/>
                <w:szCs w:val="24"/>
              </w:rPr>
            </w:pPr>
            <w:r>
              <w:rPr>
                <w:rFonts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58" w:hRule="atLeast"/>
          <w:jc w:val="center"/>
        </w:trPr>
        <w:tc>
          <w:tcPr>
            <w:tcW w:w="2082" w:type="dxa"/>
            <w:vMerge w:val="continue"/>
            <w:vAlign w:val="center"/>
          </w:tcPr>
          <w:p>
            <w:pPr>
              <w:overflowPunct w:val="0"/>
              <w:topLinePunct/>
              <w:snapToGrid w:val="0"/>
              <w:jc w:val="center"/>
              <w:rPr>
                <w:rFonts w:ascii="宋体"/>
                <w:kern w:val="0"/>
                <w:sz w:val="24"/>
                <w:szCs w:val="24"/>
              </w:rPr>
            </w:pPr>
          </w:p>
        </w:tc>
        <w:tc>
          <w:tcPr>
            <w:tcW w:w="5304" w:type="dxa"/>
            <w:vAlign w:val="center"/>
          </w:tcPr>
          <w:p>
            <w:pPr>
              <w:overflowPunct w:val="0"/>
              <w:topLinePunct/>
              <w:snapToGrid w:val="0"/>
              <w:rPr>
                <w:rFonts w:ascii="宋体"/>
                <w:kern w:val="0"/>
                <w:sz w:val="24"/>
                <w:szCs w:val="24"/>
              </w:rPr>
            </w:pPr>
            <w:r>
              <w:rPr>
                <w:rFonts w:hint="eastAsia" w:ascii="宋体" w:hAnsi="宋体" w:cs="宋体"/>
                <w:kern w:val="0"/>
                <w:sz w:val="24"/>
                <w:szCs w:val="24"/>
              </w:rPr>
              <w:t>报告书（非生产型）</w:t>
            </w:r>
          </w:p>
        </w:tc>
        <w:tc>
          <w:tcPr>
            <w:tcW w:w="1334" w:type="dxa"/>
            <w:vAlign w:val="center"/>
          </w:tcPr>
          <w:p>
            <w:pPr>
              <w:overflowPunct w:val="0"/>
              <w:topLinePunct/>
              <w:snapToGrid w:val="0"/>
              <w:jc w:val="center"/>
              <w:rPr>
                <w:rFonts w:ascii="宋体"/>
                <w:kern w:val="0"/>
                <w:sz w:val="24"/>
                <w:szCs w:val="24"/>
              </w:rPr>
            </w:pPr>
            <w:r>
              <w:rPr>
                <w:rFonts w:ascii="宋体" w:hAns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57" w:hRule="atLeast"/>
          <w:jc w:val="center"/>
        </w:trPr>
        <w:tc>
          <w:tcPr>
            <w:tcW w:w="2082" w:type="dxa"/>
            <w:vMerge w:val="continue"/>
            <w:vAlign w:val="center"/>
          </w:tcPr>
          <w:p>
            <w:pPr>
              <w:overflowPunct w:val="0"/>
              <w:topLinePunct/>
              <w:snapToGrid w:val="0"/>
              <w:jc w:val="center"/>
              <w:rPr>
                <w:rFonts w:ascii="宋体"/>
                <w:kern w:val="0"/>
                <w:sz w:val="24"/>
                <w:szCs w:val="24"/>
              </w:rPr>
            </w:pPr>
          </w:p>
        </w:tc>
        <w:tc>
          <w:tcPr>
            <w:tcW w:w="5304" w:type="dxa"/>
            <w:vAlign w:val="center"/>
          </w:tcPr>
          <w:p>
            <w:pPr>
              <w:overflowPunct w:val="0"/>
              <w:topLinePunct/>
              <w:snapToGrid w:val="0"/>
              <w:rPr>
                <w:rFonts w:ascii="宋体"/>
                <w:kern w:val="0"/>
                <w:sz w:val="24"/>
                <w:szCs w:val="24"/>
              </w:rPr>
            </w:pPr>
            <w:r>
              <w:rPr>
                <w:rFonts w:hint="eastAsia" w:ascii="宋体" w:hAnsi="宋体" w:cs="宋体"/>
                <w:kern w:val="0"/>
                <w:sz w:val="24"/>
                <w:szCs w:val="24"/>
              </w:rPr>
              <w:t>报告书</w:t>
            </w:r>
          </w:p>
        </w:tc>
        <w:tc>
          <w:tcPr>
            <w:tcW w:w="1334" w:type="dxa"/>
            <w:vAlign w:val="center"/>
          </w:tcPr>
          <w:p>
            <w:pPr>
              <w:overflowPunct w:val="0"/>
              <w:topLinePunct/>
              <w:snapToGrid w:val="0"/>
              <w:jc w:val="center"/>
              <w:rPr>
                <w:rFonts w:ascii="宋体"/>
                <w:kern w:val="0"/>
                <w:sz w:val="24"/>
                <w:szCs w:val="24"/>
              </w:rPr>
            </w:pPr>
            <w:r>
              <w:rPr>
                <w:rFonts w:ascii="宋体" w:hAnsi="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50" w:hRule="atLeast"/>
          <w:jc w:val="center"/>
        </w:trPr>
        <w:tc>
          <w:tcPr>
            <w:tcW w:w="2082" w:type="dxa"/>
            <w:vMerge w:val="continue"/>
            <w:vAlign w:val="center"/>
          </w:tcPr>
          <w:p>
            <w:pPr>
              <w:overflowPunct w:val="0"/>
              <w:topLinePunct/>
              <w:snapToGrid w:val="0"/>
              <w:jc w:val="center"/>
              <w:rPr>
                <w:rFonts w:ascii="宋体"/>
                <w:kern w:val="0"/>
                <w:sz w:val="24"/>
                <w:szCs w:val="24"/>
              </w:rPr>
            </w:pPr>
          </w:p>
        </w:tc>
        <w:tc>
          <w:tcPr>
            <w:tcW w:w="5304" w:type="dxa"/>
            <w:vAlign w:val="center"/>
          </w:tcPr>
          <w:p>
            <w:pPr>
              <w:overflowPunct w:val="0"/>
              <w:topLinePunct/>
              <w:snapToGrid w:val="0"/>
              <w:jc w:val="left"/>
              <w:rPr>
                <w:rFonts w:ascii="宋体"/>
                <w:kern w:val="0"/>
                <w:sz w:val="24"/>
                <w:szCs w:val="24"/>
              </w:rPr>
            </w:pPr>
            <w:r>
              <w:rPr>
                <w:rFonts w:hint="eastAsia" w:ascii="宋体" w:hAnsi="宋体" w:cs="宋体"/>
                <w:kern w:val="0"/>
                <w:sz w:val="24"/>
                <w:szCs w:val="24"/>
              </w:rPr>
              <w:t>报告书（化工、电镀、皮革、造纸、制浆、冶炼、放射性、印染、染料、炼焦、炼油项目）</w:t>
            </w:r>
          </w:p>
        </w:tc>
        <w:tc>
          <w:tcPr>
            <w:tcW w:w="1334" w:type="dxa"/>
            <w:vAlign w:val="center"/>
          </w:tcPr>
          <w:p>
            <w:pPr>
              <w:overflowPunct w:val="0"/>
              <w:topLinePunct/>
              <w:snapToGrid w:val="0"/>
              <w:jc w:val="center"/>
              <w:rPr>
                <w:rFonts w:ascii="宋体"/>
                <w:kern w:val="0"/>
                <w:sz w:val="24"/>
                <w:szCs w:val="24"/>
              </w:rPr>
            </w:pPr>
            <w:r>
              <w:rPr>
                <w:rFonts w:ascii="宋体" w:hAnsi="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50" w:hRule="atLeast"/>
          <w:jc w:val="center"/>
        </w:trPr>
        <w:tc>
          <w:tcPr>
            <w:tcW w:w="2082" w:type="dxa"/>
            <w:vMerge w:val="restart"/>
            <w:shd w:val="clear" w:color="auto" w:fill="auto"/>
            <w:vAlign w:val="center"/>
          </w:tcPr>
          <w:p>
            <w:pPr>
              <w:overflowPunct w:val="0"/>
              <w:topLinePunct/>
              <w:snapToGrid w:val="0"/>
              <w:jc w:val="center"/>
              <w:rPr>
                <w:rFonts w:ascii="宋体"/>
                <w:kern w:val="0"/>
                <w:sz w:val="24"/>
                <w:szCs w:val="24"/>
              </w:rPr>
            </w:pPr>
            <w:r>
              <w:rPr>
                <w:rFonts w:hint="eastAsia" w:ascii="宋体" w:hAnsi="宋体" w:cs="宋体"/>
                <w:kern w:val="0"/>
                <w:sz w:val="24"/>
                <w:szCs w:val="24"/>
              </w:rPr>
              <w:t>项目建设进程</w:t>
            </w:r>
          </w:p>
        </w:tc>
        <w:tc>
          <w:tcPr>
            <w:tcW w:w="5304" w:type="dxa"/>
            <w:shd w:val="clear" w:color="000000" w:fill="FFFFFF"/>
            <w:vAlign w:val="center"/>
          </w:tcPr>
          <w:p>
            <w:pPr>
              <w:overflowPunct w:val="0"/>
              <w:topLinePunct/>
              <w:snapToGrid w:val="0"/>
              <w:jc w:val="left"/>
              <w:rPr>
                <w:rFonts w:ascii="宋体"/>
                <w:kern w:val="0"/>
                <w:sz w:val="24"/>
                <w:szCs w:val="24"/>
              </w:rPr>
            </w:pPr>
            <w:r>
              <w:rPr>
                <w:rFonts w:hint="eastAsia" w:ascii="宋体" w:hAnsi="宋体" w:cs="宋体"/>
                <w:kern w:val="0"/>
                <w:sz w:val="24"/>
                <w:szCs w:val="24"/>
              </w:rPr>
              <w:t>基础建设阶段</w:t>
            </w:r>
          </w:p>
        </w:tc>
        <w:tc>
          <w:tcPr>
            <w:tcW w:w="1334" w:type="dxa"/>
            <w:vAlign w:val="center"/>
          </w:tcPr>
          <w:p>
            <w:pPr>
              <w:overflowPunct w:val="0"/>
              <w:topLinePunct/>
              <w:snapToGrid w:val="0"/>
              <w:jc w:val="center"/>
              <w:rPr>
                <w:rFonts w:ascii="宋体" w:hAnsi="宋体" w:cs="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50" w:hRule="atLeast"/>
          <w:jc w:val="center"/>
        </w:trPr>
        <w:tc>
          <w:tcPr>
            <w:tcW w:w="2082" w:type="dxa"/>
            <w:vMerge w:val="continue"/>
            <w:shd w:val="clear" w:color="auto" w:fill="auto"/>
            <w:vAlign w:val="center"/>
          </w:tcPr>
          <w:p>
            <w:pPr>
              <w:overflowPunct w:val="0"/>
              <w:topLinePunct/>
              <w:snapToGrid w:val="0"/>
              <w:jc w:val="center"/>
              <w:rPr>
                <w:rFonts w:ascii="宋体"/>
                <w:kern w:val="0"/>
                <w:sz w:val="24"/>
                <w:szCs w:val="24"/>
              </w:rPr>
            </w:pPr>
          </w:p>
        </w:tc>
        <w:tc>
          <w:tcPr>
            <w:tcW w:w="5304" w:type="dxa"/>
            <w:shd w:val="clear" w:color="000000" w:fill="FFFFFF"/>
            <w:vAlign w:val="center"/>
          </w:tcPr>
          <w:p>
            <w:pPr>
              <w:overflowPunct w:val="0"/>
              <w:topLinePunct/>
              <w:snapToGrid w:val="0"/>
              <w:jc w:val="left"/>
              <w:rPr>
                <w:rFonts w:ascii="宋体"/>
                <w:kern w:val="0"/>
                <w:sz w:val="24"/>
                <w:szCs w:val="24"/>
              </w:rPr>
            </w:pPr>
            <w:r>
              <w:rPr>
                <w:rFonts w:hint="eastAsia" w:ascii="宋体" w:hAnsi="宋体" w:cs="宋体"/>
                <w:kern w:val="0"/>
                <w:sz w:val="24"/>
                <w:szCs w:val="24"/>
              </w:rPr>
              <w:t>主体建设阶段</w:t>
            </w:r>
          </w:p>
        </w:tc>
        <w:tc>
          <w:tcPr>
            <w:tcW w:w="1334" w:type="dxa"/>
            <w:vAlign w:val="center"/>
          </w:tcPr>
          <w:p>
            <w:pPr>
              <w:overflowPunct w:val="0"/>
              <w:topLinePunct/>
              <w:snapToGrid w:val="0"/>
              <w:jc w:val="center"/>
              <w:rPr>
                <w:rFonts w:ascii="宋体"/>
                <w:kern w:val="0"/>
                <w:sz w:val="24"/>
                <w:szCs w:val="24"/>
              </w:rPr>
            </w:pPr>
            <w:r>
              <w:rPr>
                <w:rFonts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50" w:hRule="atLeast"/>
          <w:jc w:val="center"/>
        </w:trPr>
        <w:tc>
          <w:tcPr>
            <w:tcW w:w="2082" w:type="dxa"/>
            <w:vMerge w:val="continue"/>
            <w:shd w:val="clear" w:color="auto" w:fill="auto"/>
            <w:vAlign w:val="center"/>
          </w:tcPr>
          <w:p>
            <w:pPr>
              <w:overflowPunct w:val="0"/>
              <w:topLinePunct/>
              <w:snapToGrid w:val="0"/>
              <w:jc w:val="center"/>
              <w:rPr>
                <w:rFonts w:ascii="宋体"/>
                <w:kern w:val="0"/>
                <w:sz w:val="24"/>
                <w:szCs w:val="24"/>
              </w:rPr>
            </w:pPr>
          </w:p>
        </w:tc>
        <w:tc>
          <w:tcPr>
            <w:tcW w:w="5304" w:type="dxa"/>
            <w:shd w:val="clear" w:color="000000" w:fill="FFFFFF"/>
            <w:vAlign w:val="center"/>
          </w:tcPr>
          <w:p>
            <w:pPr>
              <w:overflowPunct w:val="0"/>
              <w:topLinePunct/>
              <w:snapToGrid w:val="0"/>
              <w:jc w:val="left"/>
              <w:rPr>
                <w:rFonts w:ascii="宋体"/>
                <w:kern w:val="0"/>
                <w:sz w:val="24"/>
                <w:szCs w:val="24"/>
              </w:rPr>
            </w:pPr>
            <w:r>
              <w:rPr>
                <w:rFonts w:hint="eastAsia" w:ascii="宋体" w:hAnsi="宋体" w:cs="宋体"/>
                <w:kern w:val="0"/>
                <w:sz w:val="24"/>
                <w:szCs w:val="24"/>
              </w:rPr>
              <w:t>设备安装阶段</w:t>
            </w:r>
          </w:p>
        </w:tc>
        <w:tc>
          <w:tcPr>
            <w:tcW w:w="1334" w:type="dxa"/>
            <w:vAlign w:val="center"/>
          </w:tcPr>
          <w:p>
            <w:pPr>
              <w:overflowPunct w:val="0"/>
              <w:topLinePunct/>
              <w:snapToGrid w:val="0"/>
              <w:jc w:val="center"/>
              <w:rPr>
                <w:rFonts w:ascii="宋体"/>
                <w:kern w:val="0"/>
                <w:sz w:val="24"/>
                <w:szCs w:val="24"/>
              </w:rPr>
            </w:pPr>
            <w:r>
              <w:rPr>
                <w:rFonts w:ascii="宋体" w:hAns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4" w:hRule="atLeast"/>
          <w:jc w:val="center"/>
        </w:trPr>
        <w:tc>
          <w:tcPr>
            <w:tcW w:w="2082" w:type="dxa"/>
            <w:vMerge w:val="continue"/>
            <w:shd w:val="clear" w:color="auto" w:fill="auto"/>
            <w:vAlign w:val="center"/>
          </w:tcPr>
          <w:p>
            <w:pPr>
              <w:overflowPunct w:val="0"/>
              <w:topLinePunct/>
              <w:snapToGrid w:val="0"/>
              <w:jc w:val="left"/>
              <w:rPr>
                <w:rFonts w:ascii="宋体"/>
                <w:kern w:val="0"/>
                <w:sz w:val="24"/>
                <w:szCs w:val="24"/>
              </w:rPr>
            </w:pPr>
          </w:p>
        </w:tc>
        <w:tc>
          <w:tcPr>
            <w:tcW w:w="5304" w:type="dxa"/>
            <w:shd w:val="clear" w:color="000000" w:fill="FFFFFF"/>
            <w:vAlign w:val="center"/>
          </w:tcPr>
          <w:p>
            <w:pPr>
              <w:overflowPunct w:val="0"/>
              <w:topLinePunct/>
              <w:snapToGrid w:val="0"/>
              <w:jc w:val="left"/>
              <w:rPr>
                <w:rFonts w:ascii="宋体"/>
                <w:kern w:val="0"/>
                <w:sz w:val="24"/>
                <w:szCs w:val="24"/>
              </w:rPr>
            </w:pPr>
            <w:r>
              <w:rPr>
                <w:rFonts w:hint="eastAsia" w:ascii="宋体" w:hAnsi="宋体" w:cs="宋体"/>
                <w:kern w:val="0"/>
                <w:sz w:val="24"/>
                <w:szCs w:val="24"/>
              </w:rPr>
              <w:t>调试阶段</w:t>
            </w:r>
          </w:p>
        </w:tc>
        <w:tc>
          <w:tcPr>
            <w:tcW w:w="1334" w:type="dxa"/>
            <w:vAlign w:val="center"/>
          </w:tcPr>
          <w:p>
            <w:pPr>
              <w:overflowPunct w:val="0"/>
              <w:topLinePunct/>
              <w:snapToGrid w:val="0"/>
              <w:jc w:val="center"/>
              <w:rPr>
                <w:rFonts w:ascii="宋体"/>
                <w:kern w:val="0"/>
                <w:sz w:val="24"/>
                <w:szCs w:val="24"/>
              </w:rPr>
            </w:pPr>
            <w:r>
              <w:rPr>
                <w:rFonts w:ascii="宋体" w:hAnsi="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4" w:hRule="atLeast"/>
          <w:jc w:val="center"/>
        </w:trPr>
        <w:tc>
          <w:tcPr>
            <w:tcW w:w="2082" w:type="dxa"/>
            <w:vMerge w:val="continue"/>
            <w:shd w:val="clear" w:color="auto" w:fill="auto"/>
            <w:vAlign w:val="center"/>
          </w:tcPr>
          <w:p>
            <w:pPr>
              <w:overflowPunct w:val="0"/>
              <w:topLinePunct/>
              <w:snapToGrid w:val="0"/>
              <w:jc w:val="left"/>
              <w:rPr>
                <w:rFonts w:ascii="宋体"/>
                <w:kern w:val="0"/>
                <w:sz w:val="24"/>
                <w:szCs w:val="24"/>
              </w:rPr>
            </w:pPr>
          </w:p>
        </w:tc>
        <w:tc>
          <w:tcPr>
            <w:tcW w:w="5304" w:type="dxa"/>
            <w:shd w:val="clear" w:color="000000" w:fill="FFFFFF"/>
            <w:vAlign w:val="center"/>
          </w:tcPr>
          <w:p>
            <w:pPr>
              <w:overflowPunct w:val="0"/>
              <w:topLinePunct/>
              <w:snapToGrid w:val="0"/>
              <w:jc w:val="left"/>
              <w:rPr>
                <w:rFonts w:ascii="宋体"/>
                <w:kern w:val="0"/>
                <w:sz w:val="24"/>
                <w:szCs w:val="24"/>
              </w:rPr>
            </w:pPr>
            <w:r>
              <w:rPr>
                <w:rFonts w:hint="eastAsia" w:ascii="宋体" w:hAnsi="宋体" w:cs="宋体"/>
                <w:kern w:val="0"/>
                <w:sz w:val="24"/>
                <w:szCs w:val="24"/>
              </w:rPr>
              <w:t>生产阶段或不停止建设</w:t>
            </w:r>
          </w:p>
        </w:tc>
        <w:tc>
          <w:tcPr>
            <w:tcW w:w="1334" w:type="dxa"/>
            <w:vAlign w:val="center"/>
          </w:tcPr>
          <w:p>
            <w:pPr>
              <w:overflowPunct w:val="0"/>
              <w:topLinePunct/>
              <w:snapToGrid w:val="0"/>
              <w:jc w:val="center"/>
              <w:rPr>
                <w:rFonts w:ascii="宋体" w:hAnsi="宋体" w:cs="宋体"/>
                <w:kern w:val="0"/>
                <w:sz w:val="24"/>
                <w:szCs w:val="24"/>
              </w:rPr>
            </w:pPr>
            <w:r>
              <w:rPr>
                <w:rFonts w:ascii="宋体" w:hAnsi="宋体" w:cs="宋体"/>
                <w:kern w:val="0"/>
                <w:sz w:val="24"/>
                <w:szCs w:val="24"/>
              </w:rPr>
              <w:t>5</w:t>
            </w:r>
          </w:p>
        </w:tc>
      </w:tr>
    </w:tbl>
    <w:p>
      <w:pPr>
        <w:overflowPunct w:val="0"/>
        <w:topLinePunct/>
        <w:adjustRightInd w:val="0"/>
        <w:snapToGrid w:val="0"/>
        <w:spacing w:line="360" w:lineRule="exact"/>
        <w:ind w:firstLine="480" w:firstLineChars="200"/>
        <w:rPr>
          <w:rFonts w:ascii="宋体"/>
          <w:kern w:val="0"/>
          <w:sz w:val="24"/>
          <w:szCs w:val="24"/>
        </w:rPr>
      </w:pPr>
      <w:bookmarkStart w:id="3" w:name="_Toc11716"/>
      <w:bookmarkStart w:id="4" w:name="_Toc20520"/>
      <w:r>
        <w:rPr>
          <w:rFonts w:hint="eastAsia" w:ascii="宋体" w:hAnsi="宋体" w:cs="宋体"/>
          <w:kern w:val="0"/>
          <w:sz w:val="24"/>
          <w:szCs w:val="24"/>
        </w:rPr>
        <w:t>注：本表适用于《中华人民共和国环境影响评价法》第三十一条以及其他同类型的环境违法行为。</w:t>
      </w:r>
    </w:p>
    <w:p>
      <w:pPr>
        <w:overflowPunct w:val="0"/>
        <w:topLinePunct/>
        <w:adjustRightInd w:val="0"/>
        <w:snapToGrid w:val="0"/>
        <w:spacing w:line="600" w:lineRule="exact"/>
        <w:ind w:firstLine="480" w:firstLineChars="200"/>
        <w:rPr>
          <w:rFonts w:ascii="宋体"/>
          <w:kern w:val="0"/>
          <w:sz w:val="24"/>
          <w:szCs w:val="24"/>
        </w:rPr>
      </w:pPr>
    </w:p>
    <w:p>
      <w:pPr>
        <w:overflowPunct w:val="0"/>
        <w:topLinePunct/>
        <w:adjustRightInd w:val="0"/>
        <w:snapToGrid w:val="0"/>
        <w:spacing w:line="600" w:lineRule="exact"/>
        <w:ind w:firstLine="640" w:firstLineChars="200"/>
        <w:outlineLvl w:val="1"/>
        <w:rPr>
          <w:rFonts w:hint="eastAsia" w:ascii="楷体" w:hAnsi="楷体" w:eastAsia="楷体" w:cs="楷体"/>
          <w:sz w:val="32"/>
          <w:szCs w:val="32"/>
        </w:rPr>
      </w:pPr>
      <w:r>
        <w:rPr>
          <w:rFonts w:hint="eastAsia" w:ascii="楷体" w:hAnsi="楷体" w:eastAsia="楷体" w:cs="楷体"/>
          <w:sz w:val="32"/>
          <w:szCs w:val="32"/>
        </w:rPr>
        <w:t>（二）违反排污许可管理制度的行为</w:t>
      </w:r>
      <w:bookmarkEnd w:id="3"/>
      <w:bookmarkEnd w:id="4"/>
    </w:p>
    <w:tbl>
      <w:tblPr>
        <w:tblStyle w:val="4"/>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2098"/>
        <w:gridCol w:w="5549"/>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tblHeader/>
          <w:jc w:val="center"/>
        </w:trPr>
        <w:tc>
          <w:tcPr>
            <w:tcW w:w="2098" w:type="dxa"/>
            <w:vAlign w:val="center"/>
          </w:tcPr>
          <w:p>
            <w:pPr>
              <w:overflowPunct w:val="0"/>
              <w:topLinePunct/>
              <w:snapToGrid w:val="0"/>
              <w:jc w:val="center"/>
              <w:rPr>
                <w:rFonts w:ascii="宋体"/>
                <w:kern w:val="0"/>
                <w:sz w:val="24"/>
                <w:szCs w:val="24"/>
              </w:rPr>
            </w:pPr>
            <w:r>
              <w:rPr>
                <w:rFonts w:hint="eastAsia" w:ascii="宋体" w:hAnsi="宋体" w:cs="宋体"/>
                <w:kern w:val="0"/>
                <w:sz w:val="24"/>
                <w:szCs w:val="24"/>
              </w:rPr>
              <w:t>裁量因素</w:t>
            </w:r>
          </w:p>
        </w:tc>
        <w:tc>
          <w:tcPr>
            <w:tcW w:w="5549" w:type="dxa"/>
            <w:vAlign w:val="center"/>
          </w:tcPr>
          <w:p>
            <w:pPr>
              <w:overflowPunct w:val="0"/>
              <w:topLinePunct/>
              <w:snapToGrid w:val="0"/>
              <w:jc w:val="center"/>
              <w:rPr>
                <w:rFonts w:ascii="宋体"/>
                <w:kern w:val="0"/>
                <w:sz w:val="24"/>
                <w:szCs w:val="24"/>
              </w:rPr>
            </w:pPr>
            <w:r>
              <w:rPr>
                <w:rFonts w:hint="eastAsia" w:ascii="宋体" w:hAnsi="宋体" w:cs="宋体"/>
                <w:kern w:val="0"/>
                <w:sz w:val="24"/>
                <w:szCs w:val="24"/>
              </w:rPr>
              <w:t>裁量因子</w:t>
            </w:r>
          </w:p>
        </w:tc>
        <w:tc>
          <w:tcPr>
            <w:tcW w:w="1073" w:type="dxa"/>
            <w:vAlign w:val="center"/>
          </w:tcPr>
          <w:p>
            <w:pPr>
              <w:overflowPunct w:val="0"/>
              <w:topLinePunct/>
              <w:snapToGrid w:val="0"/>
              <w:jc w:val="center"/>
              <w:rPr>
                <w:rFonts w:ascii="宋体"/>
                <w:kern w:val="0"/>
                <w:sz w:val="24"/>
                <w:szCs w:val="24"/>
              </w:rPr>
            </w:pPr>
            <w:r>
              <w:rPr>
                <w:rFonts w:hint="eastAsia" w:ascii="宋体" w:hAnsi="宋体" w:cs="宋体"/>
                <w:kern w:val="0"/>
                <w:sz w:val="24"/>
                <w:szCs w:val="24"/>
              </w:rPr>
              <w:t>裁量等级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2098" w:type="dxa"/>
            <w:vMerge w:val="restart"/>
            <w:vAlign w:val="center"/>
          </w:tcPr>
          <w:p>
            <w:pPr>
              <w:overflowPunct w:val="0"/>
              <w:topLinePunct/>
              <w:snapToGrid w:val="0"/>
              <w:jc w:val="center"/>
              <w:rPr>
                <w:rFonts w:ascii="宋体"/>
                <w:kern w:val="0"/>
                <w:sz w:val="24"/>
                <w:szCs w:val="24"/>
              </w:rPr>
            </w:pPr>
            <w:r>
              <w:rPr>
                <w:rFonts w:hint="eastAsia" w:ascii="宋体" w:hAnsi="宋体" w:cs="宋体"/>
                <w:kern w:val="0"/>
                <w:sz w:val="24"/>
                <w:szCs w:val="24"/>
              </w:rPr>
              <w:t>排污单位管理类别</w:t>
            </w:r>
          </w:p>
        </w:tc>
        <w:tc>
          <w:tcPr>
            <w:tcW w:w="5549" w:type="dxa"/>
            <w:vAlign w:val="center"/>
          </w:tcPr>
          <w:p>
            <w:pPr>
              <w:overflowPunct w:val="0"/>
              <w:topLinePunct/>
              <w:snapToGrid w:val="0"/>
              <w:rPr>
                <w:rFonts w:ascii="宋体"/>
                <w:kern w:val="0"/>
                <w:sz w:val="24"/>
                <w:szCs w:val="24"/>
              </w:rPr>
            </w:pPr>
            <w:r>
              <w:rPr>
                <w:rFonts w:hint="eastAsia" w:ascii="宋体" w:hAnsi="宋体" w:cs="宋体"/>
                <w:kern w:val="0"/>
                <w:sz w:val="24"/>
                <w:szCs w:val="24"/>
              </w:rPr>
              <w:t>登记管理</w:t>
            </w:r>
          </w:p>
        </w:tc>
        <w:tc>
          <w:tcPr>
            <w:tcW w:w="1073" w:type="dxa"/>
            <w:vAlign w:val="center"/>
          </w:tcPr>
          <w:p>
            <w:pPr>
              <w:overflowPunct w:val="0"/>
              <w:topLinePunct/>
              <w:snapToGrid w:val="0"/>
              <w:jc w:val="center"/>
              <w:rPr>
                <w:rFonts w:ascii="宋体" w:hAnsi="宋体" w:cs="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2098" w:type="dxa"/>
            <w:vMerge w:val="continue"/>
            <w:vAlign w:val="center"/>
          </w:tcPr>
          <w:p>
            <w:pPr>
              <w:overflowPunct w:val="0"/>
              <w:topLinePunct/>
              <w:snapToGrid w:val="0"/>
              <w:jc w:val="center"/>
              <w:rPr>
                <w:rFonts w:ascii="宋体"/>
                <w:kern w:val="0"/>
                <w:sz w:val="24"/>
                <w:szCs w:val="24"/>
              </w:rPr>
            </w:pPr>
          </w:p>
        </w:tc>
        <w:tc>
          <w:tcPr>
            <w:tcW w:w="5549" w:type="dxa"/>
            <w:vAlign w:val="center"/>
          </w:tcPr>
          <w:p>
            <w:pPr>
              <w:overflowPunct w:val="0"/>
              <w:topLinePunct/>
              <w:snapToGrid w:val="0"/>
              <w:rPr>
                <w:rFonts w:ascii="宋体"/>
                <w:kern w:val="0"/>
                <w:sz w:val="24"/>
                <w:szCs w:val="24"/>
              </w:rPr>
            </w:pPr>
            <w:r>
              <w:rPr>
                <w:rFonts w:hint="eastAsia" w:ascii="宋体" w:hAnsi="宋体" w:cs="宋体"/>
                <w:kern w:val="0"/>
                <w:sz w:val="24"/>
                <w:szCs w:val="24"/>
              </w:rPr>
              <w:t>简化管理</w:t>
            </w:r>
          </w:p>
        </w:tc>
        <w:tc>
          <w:tcPr>
            <w:tcW w:w="1073" w:type="dxa"/>
            <w:vAlign w:val="center"/>
          </w:tcPr>
          <w:p>
            <w:pPr>
              <w:overflowPunct w:val="0"/>
              <w:topLinePunct/>
              <w:snapToGrid w:val="0"/>
              <w:jc w:val="center"/>
              <w:rPr>
                <w:rFonts w:ascii="宋体" w:hAnsi="宋体" w:cs="宋体"/>
                <w:kern w:val="0"/>
                <w:sz w:val="24"/>
                <w:szCs w:val="24"/>
              </w:rPr>
            </w:pPr>
            <w:r>
              <w:rPr>
                <w:rFonts w:ascii="宋体" w:hAns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2098" w:type="dxa"/>
            <w:vMerge w:val="continue"/>
            <w:vAlign w:val="center"/>
          </w:tcPr>
          <w:p>
            <w:pPr>
              <w:overflowPunct w:val="0"/>
              <w:topLinePunct/>
              <w:snapToGrid w:val="0"/>
              <w:jc w:val="center"/>
              <w:rPr>
                <w:rFonts w:ascii="宋体"/>
                <w:kern w:val="0"/>
                <w:sz w:val="24"/>
                <w:szCs w:val="24"/>
              </w:rPr>
            </w:pPr>
          </w:p>
        </w:tc>
        <w:tc>
          <w:tcPr>
            <w:tcW w:w="5549" w:type="dxa"/>
            <w:vAlign w:val="center"/>
          </w:tcPr>
          <w:p>
            <w:pPr>
              <w:overflowPunct w:val="0"/>
              <w:topLinePunct/>
              <w:snapToGrid w:val="0"/>
              <w:rPr>
                <w:rFonts w:ascii="宋体"/>
                <w:kern w:val="0"/>
                <w:sz w:val="24"/>
                <w:szCs w:val="24"/>
              </w:rPr>
            </w:pPr>
            <w:r>
              <w:rPr>
                <w:rFonts w:hint="eastAsia" w:ascii="宋体" w:hAnsi="宋体" w:cs="宋体"/>
                <w:kern w:val="0"/>
                <w:sz w:val="24"/>
                <w:szCs w:val="24"/>
              </w:rPr>
              <w:t>重点管理</w:t>
            </w:r>
          </w:p>
        </w:tc>
        <w:tc>
          <w:tcPr>
            <w:tcW w:w="1073" w:type="dxa"/>
            <w:vAlign w:val="center"/>
          </w:tcPr>
          <w:p>
            <w:pPr>
              <w:overflowPunct w:val="0"/>
              <w:topLinePunct/>
              <w:snapToGrid w:val="0"/>
              <w:jc w:val="center"/>
              <w:rPr>
                <w:rFonts w:ascii="宋体" w:hAnsi="宋体" w:cs="宋体"/>
                <w:kern w:val="0"/>
                <w:sz w:val="24"/>
                <w:szCs w:val="24"/>
              </w:rPr>
            </w:pPr>
            <w:r>
              <w:rPr>
                <w:rFonts w:ascii="宋体" w:hAnsi="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02" w:hRule="atLeast"/>
          <w:jc w:val="center"/>
        </w:trPr>
        <w:tc>
          <w:tcPr>
            <w:tcW w:w="2098" w:type="dxa"/>
            <w:vMerge w:val="restart"/>
            <w:vAlign w:val="center"/>
          </w:tcPr>
          <w:p>
            <w:pPr>
              <w:spacing w:line="360" w:lineRule="auto"/>
              <w:ind w:left="360" w:hanging="360" w:hangingChars="150"/>
              <w:rPr>
                <w:rFonts w:ascii="宋体"/>
                <w:kern w:val="0"/>
                <w:sz w:val="24"/>
                <w:szCs w:val="24"/>
              </w:rPr>
            </w:pPr>
            <w:r>
              <w:rPr>
                <w:rFonts w:hint="eastAsia" w:ascii="宋体" w:hAnsi="宋体" w:cs="宋体"/>
                <w:kern w:val="0"/>
                <w:sz w:val="24"/>
                <w:szCs w:val="24"/>
              </w:rPr>
              <w:t>排放去向或区域（水、气）</w:t>
            </w:r>
          </w:p>
          <w:p>
            <w:pPr>
              <w:overflowPunct w:val="0"/>
              <w:topLinePunct/>
              <w:snapToGrid w:val="0"/>
              <w:jc w:val="center"/>
              <w:rPr>
                <w:rFonts w:ascii="宋体"/>
                <w:kern w:val="0"/>
                <w:sz w:val="24"/>
                <w:szCs w:val="24"/>
              </w:rPr>
            </w:pPr>
          </w:p>
        </w:tc>
        <w:tc>
          <w:tcPr>
            <w:tcW w:w="5549" w:type="dxa"/>
            <w:vAlign w:val="center"/>
          </w:tcPr>
          <w:p>
            <w:pPr>
              <w:spacing w:line="360" w:lineRule="auto"/>
              <w:rPr>
                <w:rFonts w:ascii="宋体"/>
                <w:kern w:val="0"/>
                <w:sz w:val="24"/>
                <w:szCs w:val="24"/>
              </w:rPr>
            </w:pPr>
            <w:r>
              <w:rPr>
                <w:rFonts w:hint="eastAsia" w:ascii="宋体" w:hAnsi="宋体" w:cs="宋体"/>
                <w:kern w:val="0"/>
                <w:sz w:val="24"/>
                <w:szCs w:val="24"/>
              </w:rPr>
              <w:t>二类功能区（工业区和农村地区）</w:t>
            </w:r>
            <w:r>
              <w:rPr>
                <w:rFonts w:ascii="宋体" w:hAnsi="宋体" w:cs="宋体"/>
                <w:kern w:val="0"/>
                <w:sz w:val="24"/>
                <w:szCs w:val="24"/>
              </w:rPr>
              <w:t>/V</w:t>
            </w:r>
            <w:r>
              <w:rPr>
                <w:rFonts w:hint="eastAsia" w:ascii="宋体" w:hAnsi="宋体" w:cs="宋体"/>
                <w:kern w:val="0"/>
                <w:sz w:val="24"/>
                <w:szCs w:val="24"/>
              </w:rPr>
              <w:t>类水体或污</w:t>
            </w:r>
          </w:p>
          <w:p>
            <w:pPr>
              <w:spacing w:line="360" w:lineRule="auto"/>
              <w:rPr>
                <w:rFonts w:ascii="宋体"/>
                <w:kern w:val="0"/>
                <w:sz w:val="24"/>
                <w:szCs w:val="24"/>
              </w:rPr>
            </w:pPr>
            <w:r>
              <w:rPr>
                <w:rFonts w:hint="eastAsia" w:ascii="宋体" w:hAnsi="宋体" w:cs="宋体"/>
                <w:kern w:val="0"/>
                <w:sz w:val="24"/>
                <w:szCs w:val="24"/>
              </w:rPr>
              <w:t>水集中处理设施</w:t>
            </w:r>
          </w:p>
        </w:tc>
        <w:tc>
          <w:tcPr>
            <w:tcW w:w="1073" w:type="dxa"/>
            <w:vAlign w:val="center"/>
          </w:tcPr>
          <w:p>
            <w:pPr>
              <w:overflowPunct w:val="0"/>
              <w:topLinePunct/>
              <w:snapToGrid w:val="0"/>
              <w:jc w:val="center"/>
              <w:rPr>
                <w:rFonts w:ascii="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02" w:hRule="atLeast"/>
          <w:jc w:val="center"/>
        </w:trPr>
        <w:tc>
          <w:tcPr>
            <w:tcW w:w="2098" w:type="dxa"/>
            <w:vMerge w:val="continue"/>
            <w:vAlign w:val="center"/>
          </w:tcPr>
          <w:p>
            <w:pPr>
              <w:overflowPunct w:val="0"/>
              <w:topLinePunct/>
              <w:snapToGrid w:val="0"/>
              <w:jc w:val="center"/>
              <w:rPr>
                <w:rFonts w:ascii="宋体"/>
                <w:kern w:val="0"/>
                <w:sz w:val="24"/>
                <w:szCs w:val="24"/>
              </w:rPr>
            </w:pPr>
          </w:p>
        </w:tc>
        <w:tc>
          <w:tcPr>
            <w:tcW w:w="5549" w:type="dxa"/>
            <w:vAlign w:val="center"/>
          </w:tcPr>
          <w:p>
            <w:pPr>
              <w:overflowPunct w:val="0"/>
              <w:topLinePunct/>
              <w:snapToGrid w:val="0"/>
              <w:rPr>
                <w:rFonts w:ascii="宋体"/>
                <w:kern w:val="0"/>
                <w:sz w:val="24"/>
                <w:szCs w:val="24"/>
              </w:rPr>
            </w:pPr>
            <w:r>
              <w:rPr>
                <w:rFonts w:hint="eastAsia" w:ascii="宋体" w:hAnsi="宋体" w:cs="宋体"/>
                <w:kern w:val="0"/>
                <w:sz w:val="24"/>
                <w:szCs w:val="24"/>
              </w:rPr>
              <w:t>Ⅳ类水体</w:t>
            </w:r>
          </w:p>
        </w:tc>
        <w:tc>
          <w:tcPr>
            <w:tcW w:w="1073" w:type="dxa"/>
            <w:vAlign w:val="center"/>
          </w:tcPr>
          <w:p>
            <w:pPr>
              <w:overflowPunct w:val="0"/>
              <w:topLinePunct/>
              <w:snapToGrid w:val="0"/>
              <w:jc w:val="center"/>
              <w:rPr>
                <w:rFonts w:ascii="宋体"/>
                <w:kern w:val="0"/>
                <w:sz w:val="24"/>
                <w:szCs w:val="24"/>
              </w:rPr>
            </w:pPr>
            <w:r>
              <w:rPr>
                <w:rFonts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02" w:hRule="atLeast"/>
          <w:jc w:val="center"/>
        </w:trPr>
        <w:tc>
          <w:tcPr>
            <w:tcW w:w="2098" w:type="dxa"/>
            <w:vMerge w:val="continue"/>
            <w:vAlign w:val="center"/>
          </w:tcPr>
          <w:p>
            <w:pPr>
              <w:overflowPunct w:val="0"/>
              <w:topLinePunct/>
              <w:snapToGrid w:val="0"/>
              <w:jc w:val="center"/>
              <w:rPr>
                <w:rFonts w:ascii="宋体"/>
                <w:kern w:val="0"/>
                <w:sz w:val="24"/>
                <w:szCs w:val="24"/>
              </w:rPr>
            </w:pPr>
          </w:p>
        </w:tc>
        <w:tc>
          <w:tcPr>
            <w:tcW w:w="5549" w:type="dxa"/>
            <w:vAlign w:val="center"/>
          </w:tcPr>
          <w:p>
            <w:pPr>
              <w:spacing w:line="360" w:lineRule="auto"/>
              <w:rPr>
                <w:rFonts w:ascii="宋体"/>
                <w:kern w:val="0"/>
                <w:sz w:val="24"/>
                <w:szCs w:val="24"/>
              </w:rPr>
            </w:pPr>
            <w:r>
              <w:rPr>
                <w:rFonts w:hint="eastAsia" w:ascii="宋体" w:hAnsi="宋体" w:cs="宋体"/>
                <w:kern w:val="0"/>
                <w:sz w:val="24"/>
                <w:szCs w:val="24"/>
              </w:rPr>
              <w:t>二类功能区（居民区、商业交通居民混合区、文化</w:t>
            </w:r>
          </w:p>
          <w:p>
            <w:pPr>
              <w:overflowPunct w:val="0"/>
              <w:topLinePunct/>
              <w:snapToGrid w:val="0"/>
              <w:rPr>
                <w:rFonts w:ascii="宋体"/>
                <w:kern w:val="0"/>
                <w:sz w:val="24"/>
                <w:szCs w:val="24"/>
              </w:rPr>
            </w:pPr>
            <w:r>
              <w:rPr>
                <w:rFonts w:hint="eastAsia" w:ascii="宋体" w:hAnsi="宋体" w:cs="宋体"/>
                <w:kern w:val="0"/>
                <w:sz w:val="24"/>
                <w:szCs w:val="24"/>
              </w:rPr>
              <w:t>区）</w:t>
            </w:r>
            <w:r>
              <w:rPr>
                <w:rFonts w:ascii="宋体" w:hAnsi="宋体" w:cs="宋体"/>
                <w:kern w:val="0"/>
                <w:sz w:val="24"/>
                <w:szCs w:val="24"/>
              </w:rPr>
              <w:t>/</w:t>
            </w:r>
            <w:r>
              <w:rPr>
                <w:rFonts w:hint="eastAsia" w:ascii="宋体" w:hAnsi="宋体" w:cs="宋体"/>
                <w:kern w:val="0"/>
                <w:sz w:val="24"/>
                <w:szCs w:val="24"/>
              </w:rPr>
              <w:t>Ⅲ类水体</w:t>
            </w:r>
          </w:p>
        </w:tc>
        <w:tc>
          <w:tcPr>
            <w:tcW w:w="1073" w:type="dxa"/>
            <w:vAlign w:val="center"/>
          </w:tcPr>
          <w:p>
            <w:pPr>
              <w:overflowPunct w:val="0"/>
              <w:topLinePunct/>
              <w:snapToGrid w:val="0"/>
              <w:jc w:val="center"/>
              <w:rPr>
                <w:rFonts w:ascii="宋体"/>
                <w:kern w:val="0"/>
                <w:sz w:val="24"/>
                <w:szCs w:val="24"/>
              </w:rPr>
            </w:pPr>
            <w:r>
              <w:rPr>
                <w:rFonts w:ascii="宋体" w:hAns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02" w:hRule="atLeast"/>
          <w:jc w:val="center"/>
        </w:trPr>
        <w:tc>
          <w:tcPr>
            <w:tcW w:w="2098" w:type="dxa"/>
            <w:vMerge w:val="continue"/>
            <w:vAlign w:val="center"/>
          </w:tcPr>
          <w:p>
            <w:pPr>
              <w:overflowPunct w:val="0"/>
              <w:topLinePunct/>
              <w:snapToGrid w:val="0"/>
              <w:jc w:val="center"/>
              <w:rPr>
                <w:rFonts w:ascii="宋体"/>
                <w:kern w:val="0"/>
                <w:sz w:val="24"/>
                <w:szCs w:val="24"/>
              </w:rPr>
            </w:pPr>
          </w:p>
        </w:tc>
        <w:tc>
          <w:tcPr>
            <w:tcW w:w="5549" w:type="dxa"/>
            <w:vAlign w:val="center"/>
          </w:tcPr>
          <w:p>
            <w:pPr>
              <w:overflowPunct w:val="0"/>
              <w:topLinePunct/>
              <w:snapToGrid w:val="0"/>
              <w:rPr>
                <w:rFonts w:ascii="宋体"/>
                <w:kern w:val="0"/>
                <w:sz w:val="24"/>
                <w:szCs w:val="24"/>
              </w:rPr>
            </w:pPr>
            <w:r>
              <w:rPr>
                <w:rFonts w:ascii="宋体" w:hAnsi="宋体" w:cs="宋体"/>
                <w:kern w:val="0"/>
                <w:sz w:val="24"/>
                <w:szCs w:val="24"/>
              </w:rPr>
              <w:t>I</w:t>
            </w:r>
            <w:r>
              <w:rPr>
                <w:rFonts w:hint="eastAsia" w:ascii="宋体" w:hAnsi="宋体" w:cs="宋体"/>
                <w:kern w:val="0"/>
                <w:sz w:val="24"/>
                <w:szCs w:val="24"/>
              </w:rPr>
              <w:t>、Ⅱ类水体</w:t>
            </w:r>
          </w:p>
        </w:tc>
        <w:tc>
          <w:tcPr>
            <w:tcW w:w="1073" w:type="dxa"/>
            <w:vAlign w:val="center"/>
          </w:tcPr>
          <w:p>
            <w:pPr>
              <w:overflowPunct w:val="0"/>
              <w:topLinePunct/>
              <w:snapToGrid w:val="0"/>
              <w:jc w:val="center"/>
              <w:rPr>
                <w:rFonts w:ascii="宋体"/>
                <w:kern w:val="0"/>
                <w:sz w:val="24"/>
                <w:szCs w:val="24"/>
              </w:rPr>
            </w:pPr>
            <w:r>
              <w:rPr>
                <w:rFonts w:ascii="宋体" w:hAnsi="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02" w:hRule="atLeast"/>
          <w:jc w:val="center"/>
        </w:trPr>
        <w:tc>
          <w:tcPr>
            <w:tcW w:w="2098" w:type="dxa"/>
            <w:vMerge w:val="continue"/>
            <w:vAlign w:val="center"/>
          </w:tcPr>
          <w:p>
            <w:pPr>
              <w:overflowPunct w:val="0"/>
              <w:topLinePunct/>
              <w:snapToGrid w:val="0"/>
              <w:jc w:val="center"/>
              <w:rPr>
                <w:rFonts w:ascii="宋体"/>
                <w:kern w:val="0"/>
                <w:sz w:val="24"/>
                <w:szCs w:val="24"/>
              </w:rPr>
            </w:pPr>
          </w:p>
        </w:tc>
        <w:tc>
          <w:tcPr>
            <w:tcW w:w="5549" w:type="dxa"/>
            <w:vAlign w:val="center"/>
          </w:tcPr>
          <w:p>
            <w:pPr>
              <w:overflowPunct w:val="0"/>
              <w:topLinePunct/>
              <w:snapToGrid w:val="0"/>
              <w:rPr>
                <w:rFonts w:ascii="宋体"/>
                <w:kern w:val="0"/>
                <w:sz w:val="24"/>
                <w:szCs w:val="24"/>
              </w:rPr>
            </w:pPr>
            <w:r>
              <w:rPr>
                <w:rFonts w:hint="eastAsia" w:ascii="宋体" w:hAnsi="宋体" w:cs="宋体"/>
                <w:kern w:val="0"/>
                <w:sz w:val="24"/>
                <w:szCs w:val="24"/>
              </w:rPr>
              <w:t>一类功能区</w:t>
            </w:r>
            <w:r>
              <w:rPr>
                <w:rFonts w:ascii="宋体" w:hAnsi="宋体" w:cs="宋体"/>
                <w:kern w:val="0"/>
                <w:sz w:val="24"/>
                <w:szCs w:val="24"/>
              </w:rPr>
              <w:t>/</w:t>
            </w:r>
            <w:r>
              <w:rPr>
                <w:rFonts w:hint="eastAsia" w:ascii="宋体" w:hAnsi="宋体" w:cs="宋体"/>
                <w:kern w:val="0"/>
                <w:sz w:val="24"/>
                <w:szCs w:val="24"/>
              </w:rPr>
              <w:t>饮用水水源保护区</w:t>
            </w:r>
          </w:p>
        </w:tc>
        <w:tc>
          <w:tcPr>
            <w:tcW w:w="1073" w:type="dxa"/>
            <w:vAlign w:val="center"/>
          </w:tcPr>
          <w:p>
            <w:pPr>
              <w:overflowPunct w:val="0"/>
              <w:topLinePunct/>
              <w:snapToGrid w:val="0"/>
              <w:jc w:val="center"/>
              <w:rPr>
                <w:rFonts w:ascii="宋体"/>
                <w:kern w:val="0"/>
                <w:sz w:val="24"/>
                <w:szCs w:val="24"/>
              </w:rPr>
            </w:pPr>
            <w:r>
              <w:rPr>
                <w:rFonts w:ascii="宋体" w:hAnsi="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55" w:hRule="atLeast"/>
          <w:jc w:val="center"/>
        </w:trPr>
        <w:tc>
          <w:tcPr>
            <w:tcW w:w="2098" w:type="dxa"/>
            <w:vMerge w:val="restart"/>
            <w:vAlign w:val="center"/>
          </w:tcPr>
          <w:p>
            <w:pPr>
              <w:overflowPunct w:val="0"/>
              <w:topLinePunct/>
              <w:snapToGrid w:val="0"/>
              <w:spacing w:line="360" w:lineRule="exact"/>
              <w:jc w:val="center"/>
              <w:rPr>
                <w:rFonts w:ascii="宋体"/>
                <w:kern w:val="0"/>
                <w:sz w:val="24"/>
                <w:szCs w:val="24"/>
              </w:rPr>
            </w:pPr>
            <w:r>
              <w:rPr>
                <w:rFonts w:hint="eastAsia" w:ascii="宋体" w:hAnsi="宋体" w:cs="宋体"/>
                <w:kern w:val="0"/>
                <w:sz w:val="24"/>
                <w:szCs w:val="24"/>
              </w:rPr>
              <w:t>废气类别</w:t>
            </w:r>
          </w:p>
        </w:tc>
        <w:tc>
          <w:tcPr>
            <w:tcW w:w="5549" w:type="dxa"/>
            <w:vAlign w:val="center"/>
          </w:tcPr>
          <w:p>
            <w:pPr>
              <w:overflowPunct w:val="0"/>
              <w:topLinePunct/>
              <w:snapToGrid w:val="0"/>
              <w:spacing w:line="360" w:lineRule="exact"/>
              <w:rPr>
                <w:rFonts w:ascii="宋体"/>
                <w:kern w:val="0"/>
                <w:sz w:val="24"/>
                <w:szCs w:val="24"/>
              </w:rPr>
            </w:pPr>
            <w:r>
              <w:rPr>
                <w:rFonts w:hint="eastAsia" w:ascii="宋体" w:hAnsi="宋体" w:cs="宋体"/>
                <w:kern w:val="0"/>
                <w:sz w:val="24"/>
                <w:szCs w:val="24"/>
              </w:rPr>
              <w:t>餐饮油烟（经营）</w:t>
            </w:r>
          </w:p>
        </w:tc>
        <w:tc>
          <w:tcPr>
            <w:tcW w:w="1073" w:type="dxa"/>
            <w:vAlign w:val="center"/>
          </w:tcPr>
          <w:p>
            <w:pPr>
              <w:overflowPunct w:val="0"/>
              <w:topLinePunct/>
              <w:snapToGrid w:val="0"/>
              <w:spacing w:line="360" w:lineRule="exact"/>
              <w:jc w:val="center"/>
              <w:rPr>
                <w:rFonts w:ascii="宋体" w:hAnsi="宋体" w:cs="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55" w:hRule="atLeast"/>
          <w:jc w:val="center"/>
        </w:trPr>
        <w:tc>
          <w:tcPr>
            <w:tcW w:w="2098" w:type="dxa"/>
            <w:vMerge w:val="continue"/>
            <w:vAlign w:val="center"/>
          </w:tcPr>
          <w:p>
            <w:pPr>
              <w:overflowPunct w:val="0"/>
              <w:topLinePunct/>
              <w:snapToGrid w:val="0"/>
              <w:spacing w:line="360" w:lineRule="exact"/>
              <w:jc w:val="center"/>
              <w:rPr>
                <w:rFonts w:ascii="宋体"/>
                <w:kern w:val="0"/>
                <w:sz w:val="24"/>
                <w:szCs w:val="24"/>
              </w:rPr>
            </w:pPr>
          </w:p>
        </w:tc>
        <w:tc>
          <w:tcPr>
            <w:tcW w:w="5549" w:type="dxa"/>
            <w:vAlign w:val="center"/>
          </w:tcPr>
          <w:p>
            <w:pPr>
              <w:overflowPunct w:val="0"/>
              <w:topLinePunct/>
              <w:snapToGrid w:val="0"/>
              <w:spacing w:line="360" w:lineRule="exact"/>
              <w:rPr>
                <w:rFonts w:ascii="宋体"/>
                <w:kern w:val="0"/>
                <w:sz w:val="24"/>
                <w:szCs w:val="24"/>
              </w:rPr>
            </w:pPr>
            <w:r>
              <w:rPr>
                <w:rFonts w:hint="eastAsia" w:ascii="宋体" w:hAnsi="宋体" w:cs="宋体"/>
                <w:kern w:val="0"/>
                <w:sz w:val="24"/>
                <w:szCs w:val="24"/>
              </w:rPr>
              <w:t>农业生产、畜禽养殖</w:t>
            </w:r>
            <w:r>
              <w:rPr>
                <w:rFonts w:ascii="宋体" w:hAnsi="宋体" w:cs="宋体"/>
                <w:kern w:val="0"/>
                <w:sz w:val="24"/>
                <w:szCs w:val="24"/>
              </w:rPr>
              <w:t>/</w:t>
            </w:r>
            <w:r>
              <w:rPr>
                <w:rFonts w:hint="eastAsia" w:ascii="宋体" w:hAnsi="宋体" w:cs="宋体"/>
                <w:kern w:val="0"/>
                <w:sz w:val="24"/>
                <w:szCs w:val="24"/>
              </w:rPr>
              <w:t>扬尘</w:t>
            </w:r>
            <w:r>
              <w:rPr>
                <w:rFonts w:ascii="宋体" w:hAnsi="宋体" w:cs="宋体"/>
                <w:kern w:val="0"/>
                <w:sz w:val="24"/>
                <w:szCs w:val="24"/>
              </w:rPr>
              <w:t>/</w:t>
            </w:r>
            <w:r>
              <w:rPr>
                <w:rFonts w:hint="eastAsia" w:ascii="宋体" w:hAnsi="宋体" w:cs="宋体"/>
                <w:kern w:val="0"/>
                <w:sz w:val="24"/>
                <w:szCs w:val="24"/>
              </w:rPr>
              <w:t>机械、汽车修理</w:t>
            </w:r>
          </w:p>
        </w:tc>
        <w:tc>
          <w:tcPr>
            <w:tcW w:w="1073" w:type="dxa"/>
            <w:vAlign w:val="center"/>
          </w:tcPr>
          <w:p>
            <w:pPr>
              <w:overflowPunct w:val="0"/>
              <w:topLinePunct/>
              <w:snapToGrid w:val="0"/>
              <w:spacing w:line="360" w:lineRule="exact"/>
              <w:jc w:val="center"/>
              <w:rPr>
                <w:rFonts w:ascii="宋体"/>
                <w:kern w:val="0"/>
                <w:sz w:val="24"/>
                <w:szCs w:val="24"/>
              </w:rPr>
            </w:pPr>
            <w:r>
              <w:rPr>
                <w:rFonts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2098" w:type="dxa"/>
            <w:vMerge w:val="continue"/>
            <w:vAlign w:val="center"/>
          </w:tcPr>
          <w:p>
            <w:pPr>
              <w:overflowPunct w:val="0"/>
              <w:topLinePunct/>
              <w:snapToGrid w:val="0"/>
              <w:spacing w:line="360" w:lineRule="exact"/>
              <w:jc w:val="left"/>
              <w:rPr>
                <w:rFonts w:ascii="宋体"/>
                <w:kern w:val="0"/>
                <w:sz w:val="24"/>
                <w:szCs w:val="24"/>
              </w:rPr>
            </w:pPr>
          </w:p>
        </w:tc>
        <w:tc>
          <w:tcPr>
            <w:tcW w:w="5549" w:type="dxa"/>
            <w:vAlign w:val="center"/>
          </w:tcPr>
          <w:p>
            <w:pPr>
              <w:overflowPunct w:val="0"/>
              <w:topLinePunct/>
              <w:snapToGrid w:val="0"/>
              <w:spacing w:line="360" w:lineRule="exact"/>
              <w:rPr>
                <w:rFonts w:ascii="宋体"/>
                <w:kern w:val="0"/>
                <w:sz w:val="24"/>
                <w:szCs w:val="24"/>
              </w:rPr>
            </w:pPr>
            <w:r>
              <w:rPr>
                <w:rFonts w:hint="eastAsia" w:ascii="宋体" w:hAnsi="宋体" w:cs="宋体"/>
                <w:kern w:val="0"/>
                <w:sz w:val="24"/>
                <w:szCs w:val="24"/>
              </w:rPr>
              <w:t>一般工业废气</w:t>
            </w:r>
            <w:r>
              <w:rPr>
                <w:rFonts w:ascii="宋体" w:hAnsi="宋体" w:cs="宋体"/>
                <w:kern w:val="0"/>
                <w:sz w:val="24"/>
                <w:szCs w:val="24"/>
              </w:rPr>
              <w:t>/</w:t>
            </w:r>
            <w:r>
              <w:rPr>
                <w:rFonts w:hint="eastAsia" w:ascii="宋体" w:hAnsi="宋体" w:cs="宋体"/>
                <w:kern w:val="0"/>
                <w:sz w:val="24"/>
                <w:szCs w:val="24"/>
              </w:rPr>
              <w:t>含恶臭污染物的废气</w:t>
            </w:r>
            <w:r>
              <w:rPr>
                <w:rFonts w:ascii="宋体" w:hAnsi="宋体" w:cs="宋体"/>
                <w:kern w:val="0"/>
                <w:sz w:val="24"/>
                <w:szCs w:val="24"/>
              </w:rPr>
              <w:t>/</w:t>
            </w:r>
            <w:r>
              <w:rPr>
                <w:rFonts w:hint="eastAsia" w:ascii="宋体" w:hAnsi="宋体" w:cs="宋体"/>
                <w:kern w:val="0"/>
                <w:sz w:val="24"/>
                <w:szCs w:val="24"/>
              </w:rPr>
              <w:t>医疗</w:t>
            </w:r>
            <w:r>
              <w:rPr>
                <w:rFonts w:ascii="宋体" w:hAnsi="宋体" w:cs="宋体"/>
                <w:kern w:val="0"/>
                <w:sz w:val="24"/>
                <w:szCs w:val="24"/>
              </w:rPr>
              <w:t>/</w:t>
            </w:r>
            <w:r>
              <w:rPr>
                <w:rFonts w:hint="eastAsia" w:ascii="宋体" w:hAnsi="宋体" w:cs="宋体"/>
                <w:kern w:val="0"/>
                <w:sz w:val="24"/>
                <w:szCs w:val="24"/>
              </w:rPr>
              <w:t>实验室</w:t>
            </w:r>
          </w:p>
        </w:tc>
        <w:tc>
          <w:tcPr>
            <w:tcW w:w="1073" w:type="dxa"/>
            <w:vAlign w:val="center"/>
          </w:tcPr>
          <w:p>
            <w:pPr>
              <w:overflowPunct w:val="0"/>
              <w:topLinePunct/>
              <w:snapToGrid w:val="0"/>
              <w:spacing w:line="360" w:lineRule="exact"/>
              <w:jc w:val="center"/>
              <w:rPr>
                <w:rFonts w:ascii="宋体" w:hAnsi="宋体" w:cs="宋体"/>
                <w:kern w:val="0"/>
                <w:sz w:val="24"/>
                <w:szCs w:val="24"/>
              </w:rPr>
            </w:pPr>
            <w:r>
              <w:rPr>
                <w:rFonts w:ascii="宋体" w:hAns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2098" w:type="dxa"/>
            <w:vMerge w:val="continue"/>
            <w:vAlign w:val="center"/>
          </w:tcPr>
          <w:p>
            <w:pPr>
              <w:overflowPunct w:val="0"/>
              <w:topLinePunct/>
              <w:snapToGrid w:val="0"/>
              <w:spacing w:line="360" w:lineRule="exact"/>
              <w:jc w:val="left"/>
              <w:rPr>
                <w:rFonts w:ascii="宋体"/>
                <w:kern w:val="0"/>
                <w:sz w:val="24"/>
                <w:szCs w:val="24"/>
              </w:rPr>
            </w:pPr>
          </w:p>
        </w:tc>
        <w:tc>
          <w:tcPr>
            <w:tcW w:w="5549" w:type="dxa"/>
            <w:vAlign w:val="center"/>
          </w:tcPr>
          <w:p>
            <w:pPr>
              <w:rPr>
                <w:rFonts w:ascii="宋体"/>
                <w:sz w:val="24"/>
                <w:szCs w:val="24"/>
              </w:rPr>
            </w:pPr>
            <w:r>
              <w:rPr>
                <w:rFonts w:hint="eastAsia" w:ascii="宋体" w:hAnsi="宋体" w:cs="宋体"/>
                <w:kern w:val="0"/>
                <w:sz w:val="24"/>
                <w:szCs w:val="24"/>
              </w:rPr>
              <w:t>火电、钢铁、石化、水泥、炼焦、有色、化工废气、烟尘</w:t>
            </w:r>
            <w:r>
              <w:rPr>
                <w:rFonts w:ascii="宋体" w:hAnsi="宋体" w:cs="宋体"/>
                <w:kern w:val="0"/>
                <w:sz w:val="24"/>
                <w:szCs w:val="24"/>
              </w:rPr>
              <w:t>/</w:t>
            </w:r>
            <w:r>
              <w:rPr>
                <w:rFonts w:hint="eastAsia" w:ascii="宋体" w:hAnsi="宋体" w:cs="宋体"/>
                <w:kern w:val="0"/>
                <w:sz w:val="24"/>
                <w:szCs w:val="24"/>
              </w:rPr>
              <w:t>燃煤锅炉废气、烟尘</w:t>
            </w:r>
          </w:p>
        </w:tc>
        <w:tc>
          <w:tcPr>
            <w:tcW w:w="1073" w:type="dxa"/>
            <w:vAlign w:val="center"/>
          </w:tcPr>
          <w:p>
            <w:pPr>
              <w:overflowPunct w:val="0"/>
              <w:topLinePunct/>
              <w:snapToGrid w:val="0"/>
              <w:spacing w:line="360" w:lineRule="exact"/>
              <w:jc w:val="center"/>
              <w:rPr>
                <w:rFonts w:ascii="宋体" w:hAnsi="宋体" w:cs="宋体"/>
                <w:kern w:val="0"/>
                <w:sz w:val="24"/>
                <w:szCs w:val="24"/>
              </w:rPr>
            </w:pPr>
            <w:r>
              <w:rPr>
                <w:rFonts w:ascii="宋体" w:hAnsi="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2098" w:type="dxa"/>
            <w:vMerge w:val="continue"/>
            <w:vAlign w:val="center"/>
          </w:tcPr>
          <w:p>
            <w:pPr>
              <w:overflowPunct w:val="0"/>
              <w:topLinePunct/>
              <w:snapToGrid w:val="0"/>
              <w:spacing w:line="360" w:lineRule="exact"/>
              <w:jc w:val="left"/>
              <w:rPr>
                <w:rFonts w:ascii="宋体"/>
                <w:kern w:val="0"/>
                <w:sz w:val="24"/>
                <w:szCs w:val="24"/>
              </w:rPr>
            </w:pPr>
          </w:p>
        </w:tc>
        <w:tc>
          <w:tcPr>
            <w:tcW w:w="5549" w:type="dxa"/>
            <w:vAlign w:val="center"/>
          </w:tcPr>
          <w:p>
            <w:pPr>
              <w:overflowPunct w:val="0"/>
              <w:topLinePunct/>
              <w:snapToGrid w:val="0"/>
              <w:spacing w:line="360" w:lineRule="exact"/>
              <w:rPr>
                <w:rFonts w:ascii="宋体"/>
                <w:kern w:val="0"/>
                <w:sz w:val="24"/>
                <w:szCs w:val="24"/>
              </w:rPr>
            </w:pPr>
            <w:r>
              <w:rPr>
                <w:rFonts w:hint="eastAsia" w:ascii="宋体" w:hAnsi="宋体" w:cs="宋体"/>
                <w:kern w:val="0"/>
                <w:sz w:val="24"/>
                <w:szCs w:val="24"/>
              </w:rPr>
              <w:t>含有毒有害物质的废气</w:t>
            </w:r>
          </w:p>
        </w:tc>
        <w:tc>
          <w:tcPr>
            <w:tcW w:w="1073" w:type="dxa"/>
            <w:vAlign w:val="center"/>
          </w:tcPr>
          <w:p>
            <w:pPr>
              <w:overflowPunct w:val="0"/>
              <w:topLinePunct/>
              <w:snapToGrid w:val="0"/>
              <w:spacing w:line="360" w:lineRule="exact"/>
              <w:jc w:val="center"/>
              <w:rPr>
                <w:rFonts w:ascii="宋体" w:hAnsi="宋体" w:cs="宋体"/>
                <w:kern w:val="0"/>
                <w:sz w:val="24"/>
                <w:szCs w:val="24"/>
              </w:rPr>
            </w:pPr>
            <w:r>
              <w:rPr>
                <w:rFonts w:ascii="宋体" w:hAnsi="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55" w:hRule="atLeast"/>
          <w:jc w:val="center"/>
        </w:trPr>
        <w:tc>
          <w:tcPr>
            <w:tcW w:w="2098" w:type="dxa"/>
            <w:vMerge w:val="restart"/>
            <w:vAlign w:val="center"/>
          </w:tcPr>
          <w:p>
            <w:pPr>
              <w:overflowPunct w:val="0"/>
              <w:topLinePunct/>
              <w:snapToGrid w:val="0"/>
              <w:spacing w:line="360" w:lineRule="exact"/>
              <w:jc w:val="center"/>
              <w:rPr>
                <w:rFonts w:ascii="宋体"/>
                <w:kern w:val="0"/>
                <w:sz w:val="24"/>
                <w:szCs w:val="24"/>
              </w:rPr>
            </w:pPr>
            <w:r>
              <w:rPr>
                <w:rFonts w:hint="eastAsia" w:ascii="宋体" w:hAnsi="宋体" w:cs="宋体"/>
                <w:kern w:val="0"/>
                <w:sz w:val="24"/>
                <w:szCs w:val="24"/>
              </w:rPr>
              <w:t>废水类别</w:t>
            </w:r>
          </w:p>
        </w:tc>
        <w:tc>
          <w:tcPr>
            <w:tcW w:w="5549" w:type="dxa"/>
            <w:vAlign w:val="center"/>
          </w:tcPr>
          <w:p>
            <w:pPr>
              <w:overflowPunct w:val="0"/>
              <w:topLinePunct/>
              <w:snapToGrid w:val="0"/>
              <w:spacing w:line="360" w:lineRule="exact"/>
              <w:rPr>
                <w:rFonts w:ascii="宋体"/>
                <w:sz w:val="24"/>
                <w:szCs w:val="24"/>
              </w:rPr>
            </w:pPr>
            <w:r>
              <w:rPr>
                <w:rFonts w:hint="eastAsia" w:ascii="宋体" w:hAnsi="宋体" w:cs="宋体"/>
                <w:sz w:val="24"/>
                <w:szCs w:val="24"/>
              </w:rPr>
              <w:t>生活废水</w:t>
            </w:r>
          </w:p>
        </w:tc>
        <w:tc>
          <w:tcPr>
            <w:tcW w:w="1073" w:type="dxa"/>
            <w:vAlign w:val="center"/>
          </w:tcPr>
          <w:p>
            <w:pPr>
              <w:overflowPunct w:val="0"/>
              <w:topLinePunct/>
              <w:snapToGrid w:val="0"/>
              <w:spacing w:line="360" w:lineRule="exact"/>
              <w:jc w:val="center"/>
              <w:rPr>
                <w:rFonts w:ascii="宋体" w:hAnsi="宋体" w:cs="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55" w:hRule="atLeast"/>
          <w:jc w:val="center"/>
        </w:trPr>
        <w:tc>
          <w:tcPr>
            <w:tcW w:w="2098" w:type="dxa"/>
            <w:vMerge w:val="continue"/>
            <w:vAlign w:val="center"/>
          </w:tcPr>
          <w:p>
            <w:pPr>
              <w:overflowPunct w:val="0"/>
              <w:topLinePunct/>
              <w:snapToGrid w:val="0"/>
              <w:spacing w:line="360" w:lineRule="exact"/>
              <w:jc w:val="center"/>
              <w:rPr>
                <w:rFonts w:ascii="宋体"/>
                <w:kern w:val="0"/>
                <w:sz w:val="24"/>
                <w:szCs w:val="24"/>
              </w:rPr>
            </w:pPr>
          </w:p>
        </w:tc>
        <w:tc>
          <w:tcPr>
            <w:tcW w:w="5549" w:type="dxa"/>
            <w:vAlign w:val="center"/>
          </w:tcPr>
          <w:p>
            <w:pPr>
              <w:overflowPunct w:val="0"/>
              <w:topLinePunct/>
              <w:snapToGrid w:val="0"/>
              <w:spacing w:line="360" w:lineRule="exact"/>
              <w:rPr>
                <w:rFonts w:ascii="宋体"/>
                <w:sz w:val="24"/>
                <w:szCs w:val="24"/>
              </w:rPr>
            </w:pPr>
            <w:r>
              <w:rPr>
                <w:rFonts w:hint="eastAsia" w:ascii="宋体" w:hAnsi="宋体" w:cs="宋体"/>
                <w:sz w:val="24"/>
                <w:szCs w:val="24"/>
              </w:rPr>
              <w:t>服务业废水</w:t>
            </w:r>
          </w:p>
        </w:tc>
        <w:tc>
          <w:tcPr>
            <w:tcW w:w="1073" w:type="dxa"/>
            <w:vAlign w:val="center"/>
          </w:tcPr>
          <w:p>
            <w:pPr>
              <w:overflowPunct w:val="0"/>
              <w:topLinePunct/>
              <w:snapToGrid w:val="0"/>
              <w:spacing w:line="360" w:lineRule="exact"/>
              <w:jc w:val="center"/>
              <w:rPr>
                <w:rFonts w:ascii="宋体"/>
                <w:kern w:val="0"/>
                <w:sz w:val="24"/>
                <w:szCs w:val="24"/>
              </w:rPr>
            </w:pPr>
            <w:r>
              <w:rPr>
                <w:rFonts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2098" w:type="dxa"/>
            <w:vMerge w:val="continue"/>
            <w:vAlign w:val="center"/>
          </w:tcPr>
          <w:p>
            <w:pPr>
              <w:overflowPunct w:val="0"/>
              <w:topLinePunct/>
              <w:snapToGrid w:val="0"/>
              <w:spacing w:line="360" w:lineRule="exact"/>
              <w:jc w:val="left"/>
              <w:rPr>
                <w:rFonts w:ascii="宋体"/>
                <w:kern w:val="0"/>
                <w:sz w:val="24"/>
                <w:szCs w:val="24"/>
              </w:rPr>
            </w:pPr>
          </w:p>
        </w:tc>
        <w:tc>
          <w:tcPr>
            <w:tcW w:w="5549" w:type="dxa"/>
            <w:vAlign w:val="center"/>
          </w:tcPr>
          <w:p>
            <w:pPr>
              <w:overflowPunct w:val="0"/>
              <w:topLinePunct/>
              <w:snapToGrid w:val="0"/>
              <w:spacing w:line="360" w:lineRule="exact"/>
              <w:rPr>
                <w:rFonts w:ascii="宋体"/>
                <w:sz w:val="24"/>
                <w:szCs w:val="24"/>
              </w:rPr>
            </w:pPr>
            <w:r>
              <w:rPr>
                <w:rFonts w:hint="eastAsia" w:ascii="宋体" w:hAnsi="宋体" w:cs="宋体"/>
                <w:sz w:val="24"/>
                <w:szCs w:val="24"/>
              </w:rPr>
              <w:t>一般工业废水</w:t>
            </w:r>
          </w:p>
        </w:tc>
        <w:tc>
          <w:tcPr>
            <w:tcW w:w="1073" w:type="dxa"/>
            <w:vAlign w:val="center"/>
          </w:tcPr>
          <w:p>
            <w:pPr>
              <w:overflowPunct w:val="0"/>
              <w:topLinePunct/>
              <w:snapToGrid w:val="0"/>
              <w:spacing w:line="360" w:lineRule="exact"/>
              <w:jc w:val="center"/>
              <w:rPr>
                <w:rFonts w:ascii="宋体" w:hAnsi="宋体" w:cs="宋体"/>
                <w:kern w:val="0"/>
                <w:sz w:val="24"/>
                <w:szCs w:val="24"/>
              </w:rPr>
            </w:pPr>
            <w:r>
              <w:rPr>
                <w:rFonts w:ascii="宋体" w:hAns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2098" w:type="dxa"/>
            <w:vMerge w:val="continue"/>
            <w:vAlign w:val="center"/>
          </w:tcPr>
          <w:p>
            <w:pPr>
              <w:overflowPunct w:val="0"/>
              <w:topLinePunct/>
              <w:snapToGrid w:val="0"/>
              <w:spacing w:line="360" w:lineRule="exact"/>
              <w:jc w:val="left"/>
              <w:rPr>
                <w:rFonts w:ascii="宋体"/>
                <w:kern w:val="0"/>
                <w:sz w:val="24"/>
                <w:szCs w:val="24"/>
              </w:rPr>
            </w:pPr>
          </w:p>
        </w:tc>
        <w:tc>
          <w:tcPr>
            <w:tcW w:w="5549" w:type="dxa"/>
            <w:vAlign w:val="center"/>
          </w:tcPr>
          <w:p>
            <w:pPr>
              <w:overflowPunct w:val="0"/>
              <w:topLinePunct/>
              <w:snapToGrid w:val="0"/>
              <w:spacing w:line="360" w:lineRule="exact"/>
              <w:rPr>
                <w:rFonts w:ascii="宋体"/>
                <w:sz w:val="24"/>
                <w:szCs w:val="24"/>
              </w:rPr>
            </w:pPr>
            <w:r>
              <w:rPr>
                <w:rFonts w:hint="eastAsia" w:ascii="宋体" w:hAnsi="宋体" w:cs="宋体"/>
                <w:kern w:val="0"/>
                <w:sz w:val="24"/>
                <w:szCs w:val="24"/>
              </w:rPr>
              <w:t>含其他有毒有害物质的废水、医疗废水</w:t>
            </w:r>
          </w:p>
        </w:tc>
        <w:tc>
          <w:tcPr>
            <w:tcW w:w="1073" w:type="dxa"/>
            <w:vAlign w:val="center"/>
          </w:tcPr>
          <w:p>
            <w:pPr>
              <w:overflowPunct w:val="0"/>
              <w:topLinePunct/>
              <w:snapToGrid w:val="0"/>
              <w:spacing w:line="360" w:lineRule="exact"/>
              <w:jc w:val="center"/>
              <w:rPr>
                <w:rFonts w:ascii="宋体" w:hAnsi="宋体" w:cs="宋体"/>
                <w:kern w:val="0"/>
                <w:sz w:val="24"/>
                <w:szCs w:val="24"/>
              </w:rPr>
            </w:pPr>
            <w:r>
              <w:rPr>
                <w:rFonts w:ascii="宋体" w:hAnsi="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2098" w:type="dxa"/>
            <w:vMerge w:val="continue"/>
            <w:vAlign w:val="center"/>
          </w:tcPr>
          <w:p>
            <w:pPr>
              <w:overflowPunct w:val="0"/>
              <w:topLinePunct/>
              <w:snapToGrid w:val="0"/>
              <w:spacing w:line="360" w:lineRule="exact"/>
              <w:jc w:val="left"/>
              <w:rPr>
                <w:rFonts w:ascii="宋体"/>
                <w:kern w:val="0"/>
                <w:sz w:val="24"/>
                <w:szCs w:val="24"/>
              </w:rPr>
            </w:pPr>
          </w:p>
        </w:tc>
        <w:tc>
          <w:tcPr>
            <w:tcW w:w="5549" w:type="dxa"/>
            <w:vAlign w:val="center"/>
          </w:tcPr>
          <w:p>
            <w:pPr>
              <w:overflowPunct w:val="0"/>
              <w:topLinePunct/>
              <w:snapToGrid w:val="0"/>
              <w:spacing w:line="360" w:lineRule="exact"/>
              <w:rPr>
                <w:rFonts w:ascii="宋体"/>
                <w:w w:val="90"/>
                <w:sz w:val="24"/>
                <w:szCs w:val="24"/>
              </w:rPr>
            </w:pPr>
            <w:r>
              <w:rPr>
                <w:rFonts w:hint="eastAsia" w:ascii="宋体" w:hAnsi="宋体" w:cs="宋体"/>
                <w:kern w:val="0"/>
                <w:sz w:val="24"/>
                <w:szCs w:val="24"/>
              </w:rPr>
              <w:t>含一类污染物或重金属、病原体、放射性物质的废水</w:t>
            </w:r>
          </w:p>
        </w:tc>
        <w:tc>
          <w:tcPr>
            <w:tcW w:w="1073" w:type="dxa"/>
            <w:vAlign w:val="center"/>
          </w:tcPr>
          <w:p>
            <w:pPr>
              <w:overflowPunct w:val="0"/>
              <w:topLinePunct/>
              <w:snapToGrid w:val="0"/>
              <w:spacing w:line="360" w:lineRule="exact"/>
              <w:jc w:val="center"/>
              <w:rPr>
                <w:rFonts w:ascii="宋体" w:hAnsi="宋体" w:cs="宋体"/>
                <w:kern w:val="0"/>
                <w:sz w:val="24"/>
                <w:szCs w:val="24"/>
              </w:rPr>
            </w:pPr>
            <w:r>
              <w:rPr>
                <w:rFonts w:ascii="宋体" w:hAnsi="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02" w:hRule="atLeast"/>
          <w:jc w:val="center"/>
        </w:trPr>
        <w:tc>
          <w:tcPr>
            <w:tcW w:w="2098" w:type="dxa"/>
            <w:vMerge w:val="restart"/>
            <w:vAlign w:val="top"/>
          </w:tcPr>
          <w:p>
            <w:pPr>
              <w:overflowPunct w:val="0"/>
              <w:topLinePunct/>
              <w:spacing w:line="360" w:lineRule="exact"/>
              <w:rPr>
                <w:rFonts w:ascii="宋体"/>
                <w:kern w:val="0"/>
                <w:sz w:val="24"/>
                <w:szCs w:val="24"/>
              </w:rPr>
            </w:pPr>
          </w:p>
          <w:p>
            <w:pPr>
              <w:rPr>
                <w:rFonts w:ascii="宋体"/>
                <w:kern w:val="0"/>
                <w:sz w:val="24"/>
                <w:szCs w:val="24"/>
              </w:rPr>
            </w:pPr>
          </w:p>
          <w:p>
            <w:pPr>
              <w:rPr>
                <w:rFonts w:ascii="宋体"/>
                <w:kern w:val="0"/>
                <w:sz w:val="24"/>
                <w:szCs w:val="24"/>
              </w:rPr>
            </w:pPr>
          </w:p>
          <w:p>
            <w:pPr>
              <w:rPr>
                <w:rFonts w:ascii="宋体"/>
                <w:kern w:val="0"/>
                <w:sz w:val="24"/>
                <w:szCs w:val="24"/>
              </w:rPr>
            </w:pPr>
          </w:p>
          <w:p>
            <w:pPr>
              <w:rPr>
                <w:rFonts w:ascii="宋体"/>
                <w:kern w:val="0"/>
                <w:sz w:val="24"/>
                <w:szCs w:val="24"/>
              </w:rPr>
            </w:pPr>
          </w:p>
          <w:p>
            <w:pPr>
              <w:jc w:val="center"/>
              <w:rPr>
                <w:rFonts w:ascii="宋体"/>
                <w:kern w:val="0"/>
                <w:sz w:val="24"/>
                <w:szCs w:val="24"/>
              </w:rPr>
            </w:pPr>
            <w:r>
              <w:rPr>
                <w:rFonts w:hint="eastAsia" w:ascii="宋体" w:hAnsi="宋体" w:cs="宋体"/>
                <w:kern w:val="0"/>
                <w:sz w:val="24"/>
                <w:szCs w:val="24"/>
              </w:rPr>
              <w:t>小时烟气流量（气）</w:t>
            </w:r>
            <w:r>
              <w:rPr>
                <w:rFonts w:ascii="宋体" w:hAnsi="宋体" w:cs="宋体"/>
                <w:kern w:val="0"/>
                <w:sz w:val="24"/>
                <w:szCs w:val="24"/>
              </w:rPr>
              <w:t>/</w:t>
            </w:r>
            <w:r>
              <w:rPr>
                <w:rFonts w:hint="eastAsia" w:ascii="宋体" w:hAnsi="宋体" w:cs="宋体"/>
                <w:kern w:val="0"/>
                <w:sz w:val="24"/>
                <w:szCs w:val="24"/>
              </w:rPr>
              <w:t>日排放量（水）</w:t>
            </w:r>
          </w:p>
          <w:p>
            <w:pPr>
              <w:overflowPunct w:val="0"/>
              <w:topLinePunct/>
              <w:spacing w:line="360" w:lineRule="exact"/>
              <w:rPr>
                <w:rFonts w:ascii="宋体"/>
                <w:kern w:val="0"/>
                <w:sz w:val="24"/>
                <w:szCs w:val="24"/>
              </w:rPr>
            </w:pPr>
          </w:p>
        </w:tc>
        <w:tc>
          <w:tcPr>
            <w:tcW w:w="5549" w:type="dxa"/>
            <w:vAlign w:val="top"/>
          </w:tcPr>
          <w:p>
            <w:pPr>
              <w:rPr>
                <w:rFonts w:ascii="宋体"/>
                <w:kern w:val="0"/>
                <w:sz w:val="24"/>
                <w:szCs w:val="24"/>
              </w:rPr>
            </w:pPr>
            <w:r>
              <w:rPr>
                <w:rFonts w:hint="eastAsia" w:ascii="宋体" w:hAnsi="宋体" w:cs="宋体"/>
                <w:kern w:val="0"/>
                <w:sz w:val="24"/>
                <w:szCs w:val="24"/>
              </w:rPr>
              <w:t>不足</w:t>
            </w:r>
            <w:r>
              <w:rPr>
                <w:rFonts w:ascii="宋体" w:hAnsi="宋体" w:cs="宋体"/>
                <w:kern w:val="0"/>
                <w:sz w:val="24"/>
                <w:szCs w:val="24"/>
              </w:rPr>
              <w:t>1000</w:t>
            </w:r>
            <w:r>
              <w:rPr>
                <w:rFonts w:hint="eastAsia" w:ascii="宋体" w:hAnsi="宋体" w:cs="宋体"/>
                <w:kern w:val="0"/>
                <w:sz w:val="24"/>
                <w:szCs w:val="24"/>
              </w:rPr>
              <w:t>标立方米</w:t>
            </w:r>
            <w:r>
              <w:rPr>
                <w:rFonts w:ascii="宋体" w:hAnsi="宋体" w:cs="宋体"/>
                <w:kern w:val="0"/>
                <w:sz w:val="24"/>
                <w:szCs w:val="24"/>
              </w:rPr>
              <w:t>/</w:t>
            </w:r>
            <w:r>
              <w:rPr>
                <w:rFonts w:hint="eastAsia" w:ascii="宋体" w:hAnsi="宋体" w:cs="宋体"/>
                <w:kern w:val="0"/>
                <w:sz w:val="24"/>
                <w:szCs w:val="24"/>
              </w:rPr>
              <w:t>不足</w:t>
            </w:r>
            <w:r>
              <w:rPr>
                <w:rFonts w:ascii="宋体" w:hAnsi="宋体" w:cs="宋体"/>
                <w:kern w:val="0"/>
                <w:sz w:val="24"/>
                <w:szCs w:val="24"/>
              </w:rPr>
              <w:t>10</w:t>
            </w:r>
            <w:r>
              <w:rPr>
                <w:rFonts w:hint="eastAsia" w:ascii="宋体" w:hAnsi="宋体" w:cs="宋体"/>
                <w:kern w:val="0"/>
                <w:sz w:val="24"/>
                <w:szCs w:val="24"/>
              </w:rPr>
              <w:t>吨（一般排污单位）</w:t>
            </w:r>
            <w:r>
              <w:rPr>
                <w:rFonts w:ascii="宋体" w:hAnsi="宋体" w:cs="宋体"/>
                <w:kern w:val="0"/>
                <w:sz w:val="24"/>
                <w:szCs w:val="24"/>
              </w:rPr>
              <w:t>/</w:t>
            </w:r>
            <w:r>
              <w:rPr>
                <w:rFonts w:hint="eastAsia" w:ascii="宋体" w:hAnsi="宋体" w:cs="宋体"/>
                <w:kern w:val="0"/>
                <w:sz w:val="24"/>
                <w:szCs w:val="24"/>
              </w:rPr>
              <w:t>不足</w:t>
            </w:r>
            <w:r>
              <w:rPr>
                <w:rFonts w:ascii="宋体" w:hAnsi="宋体" w:cs="宋体"/>
                <w:kern w:val="0"/>
                <w:sz w:val="24"/>
                <w:szCs w:val="24"/>
              </w:rPr>
              <w:t>5</w:t>
            </w:r>
            <w:r>
              <w:rPr>
                <w:rFonts w:hint="eastAsia" w:ascii="宋体" w:hAnsi="宋体" w:cs="宋体"/>
                <w:kern w:val="0"/>
                <w:sz w:val="24"/>
                <w:szCs w:val="24"/>
              </w:rPr>
              <w:t>万吨（生活污水处理厂）</w:t>
            </w:r>
            <w:r>
              <w:rPr>
                <w:rFonts w:ascii="宋体" w:hAnsi="宋体" w:cs="宋体"/>
                <w:kern w:val="0"/>
                <w:sz w:val="24"/>
                <w:szCs w:val="24"/>
              </w:rPr>
              <w:t>/</w:t>
            </w:r>
            <w:r>
              <w:rPr>
                <w:rFonts w:hint="eastAsia" w:ascii="宋体" w:hAnsi="宋体" w:cs="宋体"/>
                <w:kern w:val="0"/>
                <w:sz w:val="24"/>
                <w:szCs w:val="24"/>
              </w:rPr>
              <w:t>不足</w:t>
            </w:r>
            <w:r>
              <w:rPr>
                <w:rFonts w:ascii="宋体" w:hAnsi="宋体" w:cs="宋体"/>
                <w:kern w:val="0"/>
                <w:sz w:val="24"/>
                <w:szCs w:val="24"/>
              </w:rPr>
              <w:t>2000</w:t>
            </w:r>
            <w:r>
              <w:rPr>
                <w:rFonts w:hint="eastAsia" w:ascii="宋体" w:hAnsi="宋体" w:cs="宋体"/>
                <w:kern w:val="0"/>
                <w:sz w:val="24"/>
                <w:szCs w:val="24"/>
              </w:rPr>
              <w:t>吨（工业污水处理厂）</w:t>
            </w:r>
          </w:p>
        </w:tc>
        <w:tc>
          <w:tcPr>
            <w:tcW w:w="1073" w:type="dxa"/>
            <w:vAlign w:val="center"/>
          </w:tcPr>
          <w:p>
            <w:pPr>
              <w:overflowPunct w:val="0"/>
              <w:topLinePunct/>
              <w:spacing w:line="360" w:lineRule="exact"/>
              <w:jc w:val="center"/>
              <w:rPr>
                <w:rFonts w:ascii="宋体"/>
                <w:kern w:val="0"/>
                <w:sz w:val="24"/>
                <w:szCs w:val="24"/>
              </w:rPr>
            </w:pPr>
            <w:r>
              <w:rPr>
                <w:rFonts w:asci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02" w:hRule="atLeast"/>
          <w:jc w:val="center"/>
        </w:trPr>
        <w:tc>
          <w:tcPr>
            <w:tcW w:w="2098" w:type="dxa"/>
            <w:vMerge w:val="continue"/>
            <w:vAlign w:val="top"/>
          </w:tcPr>
          <w:p>
            <w:pPr>
              <w:overflowPunct w:val="0"/>
              <w:topLinePunct/>
              <w:snapToGrid w:val="0"/>
              <w:spacing w:line="360" w:lineRule="exact"/>
              <w:jc w:val="left"/>
              <w:rPr>
                <w:rFonts w:ascii="宋体"/>
                <w:kern w:val="0"/>
                <w:sz w:val="24"/>
                <w:szCs w:val="24"/>
              </w:rPr>
            </w:pPr>
          </w:p>
        </w:tc>
        <w:tc>
          <w:tcPr>
            <w:tcW w:w="5549" w:type="dxa"/>
            <w:vAlign w:val="top"/>
          </w:tcPr>
          <w:p>
            <w:pPr>
              <w:rPr>
                <w:rFonts w:ascii="宋体"/>
                <w:kern w:val="0"/>
                <w:sz w:val="24"/>
                <w:szCs w:val="24"/>
              </w:rPr>
            </w:pPr>
            <w:r>
              <w:rPr>
                <w:rFonts w:ascii="宋体" w:hAnsi="宋体" w:cs="宋体"/>
                <w:kern w:val="0"/>
                <w:sz w:val="24"/>
                <w:szCs w:val="24"/>
              </w:rPr>
              <w:t>1000</w:t>
            </w:r>
            <w:r>
              <w:rPr>
                <w:rFonts w:hint="eastAsia" w:ascii="宋体" w:hAnsi="宋体" w:cs="宋体"/>
                <w:kern w:val="0"/>
                <w:sz w:val="24"/>
                <w:szCs w:val="24"/>
              </w:rPr>
              <w:t>标立方米以上不足</w:t>
            </w:r>
            <w:r>
              <w:rPr>
                <w:rFonts w:ascii="宋体" w:hAnsi="宋体" w:cs="宋体"/>
                <w:kern w:val="0"/>
                <w:sz w:val="24"/>
                <w:szCs w:val="24"/>
              </w:rPr>
              <w:t>1</w:t>
            </w:r>
            <w:r>
              <w:rPr>
                <w:rFonts w:hint="eastAsia" w:ascii="宋体" w:hAnsi="宋体" w:cs="宋体"/>
                <w:kern w:val="0"/>
                <w:sz w:val="24"/>
                <w:szCs w:val="24"/>
              </w:rPr>
              <w:t>万标立方米</w:t>
            </w:r>
            <w:r>
              <w:rPr>
                <w:rFonts w:ascii="宋体" w:hAnsi="宋体" w:cs="宋体"/>
                <w:kern w:val="0"/>
                <w:sz w:val="24"/>
                <w:szCs w:val="24"/>
              </w:rPr>
              <w:t>/10</w:t>
            </w:r>
            <w:r>
              <w:rPr>
                <w:rFonts w:hint="eastAsia" w:ascii="宋体" w:hAnsi="宋体" w:cs="宋体"/>
                <w:kern w:val="0"/>
                <w:sz w:val="24"/>
                <w:szCs w:val="24"/>
              </w:rPr>
              <w:t>吨以上不足</w:t>
            </w:r>
            <w:r>
              <w:rPr>
                <w:rFonts w:ascii="宋体" w:hAnsi="宋体" w:cs="宋体"/>
                <w:kern w:val="0"/>
                <w:sz w:val="24"/>
                <w:szCs w:val="24"/>
              </w:rPr>
              <w:t>100</w:t>
            </w:r>
            <w:r>
              <w:rPr>
                <w:rFonts w:hint="eastAsia" w:ascii="宋体" w:hAnsi="宋体" w:cs="宋体"/>
                <w:kern w:val="0"/>
                <w:sz w:val="24"/>
                <w:szCs w:val="24"/>
              </w:rPr>
              <w:t>吨（一般排污单位）</w:t>
            </w:r>
            <w:r>
              <w:rPr>
                <w:rFonts w:ascii="宋体" w:hAnsi="宋体" w:cs="宋体"/>
                <w:kern w:val="0"/>
                <w:sz w:val="24"/>
                <w:szCs w:val="24"/>
              </w:rPr>
              <w:t>/5</w:t>
            </w:r>
            <w:r>
              <w:rPr>
                <w:rFonts w:hint="eastAsia" w:ascii="宋体" w:hAnsi="宋体" w:cs="宋体"/>
                <w:kern w:val="0"/>
                <w:sz w:val="24"/>
                <w:szCs w:val="24"/>
              </w:rPr>
              <w:t>万吨以上不足</w:t>
            </w:r>
            <w:r>
              <w:rPr>
                <w:rFonts w:ascii="宋体" w:hAnsi="宋体" w:cs="宋体"/>
                <w:kern w:val="0"/>
                <w:sz w:val="24"/>
                <w:szCs w:val="24"/>
              </w:rPr>
              <w:t>10</w:t>
            </w:r>
            <w:r>
              <w:rPr>
                <w:rFonts w:hint="eastAsia" w:ascii="宋体" w:hAnsi="宋体" w:cs="宋体"/>
                <w:kern w:val="0"/>
                <w:sz w:val="24"/>
                <w:szCs w:val="24"/>
              </w:rPr>
              <w:t>万吨（生活污水处理厂）</w:t>
            </w:r>
            <w:r>
              <w:rPr>
                <w:rFonts w:ascii="宋体" w:hAnsi="宋体" w:cs="宋体"/>
                <w:kern w:val="0"/>
                <w:sz w:val="24"/>
                <w:szCs w:val="24"/>
              </w:rPr>
              <w:t>/2000</w:t>
            </w:r>
            <w:r>
              <w:rPr>
                <w:rFonts w:hint="eastAsia" w:ascii="宋体" w:hAnsi="宋体" w:cs="宋体"/>
                <w:kern w:val="0"/>
                <w:sz w:val="24"/>
                <w:szCs w:val="24"/>
              </w:rPr>
              <w:t>吨以上不足</w:t>
            </w:r>
            <w:r>
              <w:rPr>
                <w:rFonts w:ascii="宋体" w:hAnsi="宋体" w:cs="宋体"/>
                <w:kern w:val="0"/>
                <w:sz w:val="24"/>
                <w:szCs w:val="24"/>
              </w:rPr>
              <w:t>5000</w:t>
            </w:r>
            <w:r>
              <w:rPr>
                <w:rFonts w:hint="eastAsia" w:ascii="宋体" w:hAnsi="宋体" w:cs="宋体"/>
                <w:kern w:val="0"/>
                <w:sz w:val="24"/>
                <w:szCs w:val="24"/>
              </w:rPr>
              <w:t>吨（工业污水处理厂）</w:t>
            </w:r>
          </w:p>
        </w:tc>
        <w:tc>
          <w:tcPr>
            <w:tcW w:w="1073" w:type="dxa"/>
            <w:vAlign w:val="center"/>
          </w:tcPr>
          <w:p>
            <w:pPr>
              <w:overflowPunct w:val="0"/>
              <w:topLinePunct/>
              <w:snapToGrid w:val="0"/>
              <w:spacing w:line="360" w:lineRule="exact"/>
              <w:jc w:val="center"/>
              <w:rPr>
                <w:rFonts w:ascii="宋体"/>
                <w:kern w:val="0"/>
                <w:sz w:val="24"/>
                <w:szCs w:val="24"/>
              </w:rPr>
            </w:pPr>
            <w:r>
              <w:rPr>
                <w:rFonts w:asci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02" w:hRule="atLeast"/>
          <w:jc w:val="center"/>
        </w:trPr>
        <w:tc>
          <w:tcPr>
            <w:tcW w:w="2098" w:type="dxa"/>
            <w:vMerge w:val="continue"/>
            <w:vAlign w:val="top"/>
          </w:tcPr>
          <w:p>
            <w:pPr>
              <w:overflowPunct w:val="0"/>
              <w:topLinePunct/>
              <w:snapToGrid w:val="0"/>
              <w:spacing w:line="360" w:lineRule="exact"/>
              <w:jc w:val="left"/>
              <w:rPr>
                <w:rFonts w:ascii="宋体"/>
                <w:kern w:val="0"/>
                <w:sz w:val="24"/>
                <w:szCs w:val="24"/>
              </w:rPr>
            </w:pPr>
          </w:p>
        </w:tc>
        <w:tc>
          <w:tcPr>
            <w:tcW w:w="5549" w:type="dxa"/>
            <w:vAlign w:val="top"/>
          </w:tcPr>
          <w:p>
            <w:pPr>
              <w:overflowPunct w:val="0"/>
              <w:topLinePunct/>
              <w:snapToGrid w:val="0"/>
              <w:spacing w:line="360" w:lineRule="exact"/>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万标立方米以上不足</w:t>
            </w:r>
            <w:r>
              <w:rPr>
                <w:rFonts w:ascii="宋体" w:hAnsi="宋体" w:cs="宋体"/>
                <w:kern w:val="0"/>
                <w:sz w:val="24"/>
                <w:szCs w:val="24"/>
              </w:rPr>
              <w:t>10</w:t>
            </w:r>
            <w:r>
              <w:rPr>
                <w:rFonts w:hint="eastAsia" w:ascii="宋体" w:hAnsi="宋体" w:cs="宋体"/>
                <w:kern w:val="0"/>
                <w:sz w:val="24"/>
                <w:szCs w:val="24"/>
              </w:rPr>
              <w:t>万标立方米</w:t>
            </w:r>
            <w:r>
              <w:rPr>
                <w:rFonts w:ascii="宋体" w:hAnsi="宋体" w:cs="宋体"/>
                <w:kern w:val="0"/>
                <w:sz w:val="24"/>
                <w:szCs w:val="24"/>
              </w:rPr>
              <w:t>/100</w:t>
            </w:r>
            <w:r>
              <w:rPr>
                <w:rFonts w:hint="eastAsia" w:ascii="宋体" w:hAnsi="宋体" w:cs="宋体"/>
                <w:kern w:val="0"/>
                <w:sz w:val="24"/>
                <w:szCs w:val="24"/>
              </w:rPr>
              <w:t>吨以上不足</w:t>
            </w:r>
            <w:r>
              <w:rPr>
                <w:rFonts w:ascii="宋体" w:hAnsi="宋体" w:cs="宋体"/>
                <w:kern w:val="0"/>
                <w:sz w:val="24"/>
                <w:szCs w:val="24"/>
              </w:rPr>
              <w:t>500</w:t>
            </w:r>
            <w:r>
              <w:rPr>
                <w:rFonts w:hint="eastAsia" w:ascii="宋体" w:hAnsi="宋体" w:cs="宋体"/>
                <w:kern w:val="0"/>
                <w:sz w:val="24"/>
                <w:szCs w:val="24"/>
              </w:rPr>
              <w:t>吨（一般排污单位）</w:t>
            </w:r>
            <w:r>
              <w:rPr>
                <w:rFonts w:ascii="宋体" w:hAnsi="宋体" w:cs="宋体"/>
                <w:kern w:val="0"/>
                <w:sz w:val="24"/>
                <w:szCs w:val="24"/>
              </w:rPr>
              <w:t>/10</w:t>
            </w:r>
            <w:r>
              <w:rPr>
                <w:rFonts w:hint="eastAsia" w:ascii="宋体" w:hAnsi="宋体" w:cs="宋体"/>
                <w:kern w:val="0"/>
                <w:sz w:val="24"/>
                <w:szCs w:val="24"/>
              </w:rPr>
              <w:t>万吨以上不足</w:t>
            </w:r>
            <w:r>
              <w:rPr>
                <w:rFonts w:ascii="宋体" w:hAnsi="宋体" w:cs="宋体"/>
                <w:kern w:val="0"/>
                <w:sz w:val="24"/>
                <w:szCs w:val="24"/>
              </w:rPr>
              <w:t>20</w:t>
            </w:r>
            <w:r>
              <w:rPr>
                <w:rFonts w:hint="eastAsia" w:ascii="宋体" w:hAnsi="宋体" w:cs="宋体"/>
                <w:kern w:val="0"/>
                <w:sz w:val="24"/>
                <w:szCs w:val="24"/>
              </w:rPr>
              <w:t>万吨（生活污水处理厂）</w:t>
            </w:r>
            <w:r>
              <w:rPr>
                <w:rFonts w:ascii="宋体" w:hAnsi="宋体" w:cs="宋体"/>
                <w:kern w:val="0"/>
                <w:sz w:val="24"/>
                <w:szCs w:val="24"/>
              </w:rPr>
              <w:t>/5000</w:t>
            </w:r>
            <w:r>
              <w:rPr>
                <w:rFonts w:hint="eastAsia" w:ascii="宋体" w:hAnsi="宋体" w:cs="宋体"/>
                <w:kern w:val="0"/>
                <w:sz w:val="24"/>
                <w:szCs w:val="24"/>
              </w:rPr>
              <w:t>吨以上不足</w:t>
            </w:r>
            <w:r>
              <w:rPr>
                <w:rFonts w:ascii="宋体" w:hAnsi="宋体" w:cs="宋体"/>
                <w:kern w:val="0"/>
                <w:sz w:val="24"/>
                <w:szCs w:val="24"/>
              </w:rPr>
              <w:t>1</w:t>
            </w:r>
            <w:r>
              <w:rPr>
                <w:rFonts w:hint="eastAsia" w:ascii="宋体" w:hAnsi="宋体" w:cs="宋体"/>
                <w:kern w:val="0"/>
                <w:sz w:val="24"/>
                <w:szCs w:val="24"/>
              </w:rPr>
              <w:t>万吨（工业污水处理厂）</w:t>
            </w:r>
          </w:p>
        </w:tc>
        <w:tc>
          <w:tcPr>
            <w:tcW w:w="1073" w:type="dxa"/>
            <w:vAlign w:val="center"/>
          </w:tcPr>
          <w:p>
            <w:pPr>
              <w:overflowPunct w:val="0"/>
              <w:topLinePunct/>
              <w:snapToGrid w:val="0"/>
              <w:spacing w:line="360" w:lineRule="exact"/>
              <w:jc w:val="center"/>
              <w:rPr>
                <w:rFonts w:ascii="宋体"/>
                <w:kern w:val="0"/>
                <w:sz w:val="24"/>
                <w:szCs w:val="24"/>
              </w:rPr>
            </w:pPr>
            <w:r>
              <w:rPr>
                <w:rFonts w:asci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02" w:hRule="atLeast"/>
          <w:jc w:val="center"/>
        </w:trPr>
        <w:tc>
          <w:tcPr>
            <w:tcW w:w="2098" w:type="dxa"/>
            <w:vMerge w:val="continue"/>
            <w:vAlign w:val="top"/>
          </w:tcPr>
          <w:p>
            <w:pPr>
              <w:overflowPunct w:val="0"/>
              <w:topLinePunct/>
              <w:snapToGrid w:val="0"/>
              <w:spacing w:line="360" w:lineRule="exact"/>
              <w:jc w:val="left"/>
              <w:rPr>
                <w:rFonts w:ascii="宋体"/>
                <w:kern w:val="0"/>
                <w:sz w:val="24"/>
                <w:szCs w:val="24"/>
              </w:rPr>
            </w:pPr>
          </w:p>
        </w:tc>
        <w:tc>
          <w:tcPr>
            <w:tcW w:w="5549" w:type="dxa"/>
            <w:vAlign w:val="top"/>
          </w:tcPr>
          <w:p>
            <w:pPr>
              <w:overflowPunct w:val="0"/>
              <w:topLinePunct/>
              <w:snapToGrid w:val="0"/>
              <w:spacing w:line="360" w:lineRule="exact"/>
              <w:rPr>
                <w:rFonts w:ascii="宋体"/>
                <w:kern w:val="0"/>
                <w:sz w:val="24"/>
                <w:szCs w:val="24"/>
              </w:rPr>
            </w:pPr>
            <w:r>
              <w:rPr>
                <w:rFonts w:ascii="宋体" w:hAnsi="宋体" w:cs="宋体"/>
                <w:kern w:val="0"/>
                <w:sz w:val="24"/>
                <w:szCs w:val="24"/>
              </w:rPr>
              <w:t>10</w:t>
            </w:r>
            <w:r>
              <w:rPr>
                <w:rFonts w:hint="eastAsia" w:ascii="宋体" w:hAnsi="宋体" w:cs="宋体"/>
                <w:kern w:val="0"/>
                <w:sz w:val="24"/>
                <w:szCs w:val="24"/>
              </w:rPr>
              <w:t>万标立方米以上不足</w:t>
            </w:r>
            <w:r>
              <w:rPr>
                <w:rFonts w:ascii="宋体" w:hAnsi="宋体" w:cs="宋体"/>
                <w:kern w:val="0"/>
                <w:sz w:val="24"/>
                <w:szCs w:val="24"/>
              </w:rPr>
              <w:t>20</w:t>
            </w:r>
            <w:r>
              <w:rPr>
                <w:rFonts w:hint="eastAsia" w:ascii="宋体" w:hAnsi="宋体" w:cs="宋体"/>
                <w:kern w:val="0"/>
                <w:sz w:val="24"/>
                <w:szCs w:val="24"/>
              </w:rPr>
              <w:t>万标立方米</w:t>
            </w:r>
            <w:r>
              <w:rPr>
                <w:rFonts w:ascii="宋体" w:hAnsi="宋体" w:cs="宋体"/>
                <w:kern w:val="0"/>
                <w:sz w:val="24"/>
                <w:szCs w:val="24"/>
              </w:rPr>
              <w:t>/500</w:t>
            </w:r>
            <w:r>
              <w:rPr>
                <w:rFonts w:hint="eastAsia" w:ascii="宋体" w:hAnsi="宋体" w:cs="宋体"/>
                <w:kern w:val="0"/>
                <w:sz w:val="24"/>
                <w:szCs w:val="24"/>
              </w:rPr>
              <w:t>吨以上不足</w:t>
            </w:r>
            <w:r>
              <w:rPr>
                <w:rFonts w:ascii="宋体" w:hAnsi="宋体" w:cs="宋体"/>
                <w:kern w:val="0"/>
                <w:sz w:val="24"/>
                <w:szCs w:val="24"/>
              </w:rPr>
              <w:t>1000</w:t>
            </w:r>
            <w:r>
              <w:rPr>
                <w:rFonts w:hint="eastAsia" w:ascii="宋体" w:hAnsi="宋体" w:cs="宋体"/>
                <w:kern w:val="0"/>
                <w:sz w:val="24"/>
                <w:szCs w:val="24"/>
              </w:rPr>
              <w:t>吨（一般排污单位）</w:t>
            </w:r>
            <w:r>
              <w:rPr>
                <w:rFonts w:ascii="宋体" w:hAnsi="宋体" w:cs="宋体"/>
                <w:kern w:val="0"/>
                <w:sz w:val="24"/>
                <w:szCs w:val="24"/>
              </w:rPr>
              <w:t>/20</w:t>
            </w:r>
            <w:r>
              <w:rPr>
                <w:rFonts w:hint="eastAsia" w:ascii="宋体" w:hAnsi="宋体" w:cs="宋体"/>
                <w:kern w:val="0"/>
                <w:sz w:val="24"/>
                <w:szCs w:val="24"/>
              </w:rPr>
              <w:t>万吨以上不足</w:t>
            </w:r>
            <w:r>
              <w:rPr>
                <w:rFonts w:ascii="宋体" w:hAnsi="宋体" w:cs="宋体"/>
                <w:kern w:val="0"/>
                <w:sz w:val="24"/>
                <w:szCs w:val="24"/>
              </w:rPr>
              <w:t>50</w:t>
            </w:r>
            <w:r>
              <w:rPr>
                <w:rFonts w:hint="eastAsia" w:ascii="宋体" w:hAnsi="宋体" w:cs="宋体"/>
                <w:kern w:val="0"/>
                <w:sz w:val="24"/>
                <w:szCs w:val="24"/>
              </w:rPr>
              <w:t>万吨（生活污水处理厂）</w:t>
            </w:r>
            <w:r>
              <w:rPr>
                <w:rFonts w:ascii="宋体" w:hAnsi="宋体" w:cs="宋体"/>
                <w:kern w:val="0"/>
                <w:sz w:val="24"/>
                <w:szCs w:val="24"/>
              </w:rPr>
              <w:t>/1</w:t>
            </w:r>
            <w:r>
              <w:rPr>
                <w:rFonts w:hint="eastAsia" w:ascii="宋体" w:hAnsi="宋体" w:cs="宋体"/>
                <w:kern w:val="0"/>
                <w:sz w:val="24"/>
                <w:szCs w:val="24"/>
              </w:rPr>
              <w:t>万吨以上不足</w:t>
            </w:r>
            <w:r>
              <w:rPr>
                <w:rFonts w:ascii="宋体" w:hAnsi="宋体" w:cs="宋体"/>
                <w:kern w:val="0"/>
                <w:sz w:val="24"/>
                <w:szCs w:val="24"/>
              </w:rPr>
              <w:t>5</w:t>
            </w:r>
            <w:r>
              <w:rPr>
                <w:rFonts w:hint="eastAsia" w:ascii="宋体" w:hAnsi="宋体" w:cs="宋体"/>
                <w:kern w:val="0"/>
                <w:sz w:val="24"/>
                <w:szCs w:val="24"/>
              </w:rPr>
              <w:t>万吨（工业污水处理厂）</w:t>
            </w:r>
          </w:p>
        </w:tc>
        <w:tc>
          <w:tcPr>
            <w:tcW w:w="1073" w:type="dxa"/>
            <w:vAlign w:val="center"/>
          </w:tcPr>
          <w:p>
            <w:pPr>
              <w:overflowPunct w:val="0"/>
              <w:topLinePunct/>
              <w:snapToGrid w:val="0"/>
              <w:spacing w:line="360" w:lineRule="exact"/>
              <w:jc w:val="center"/>
              <w:rPr>
                <w:rFonts w:ascii="宋体"/>
                <w:kern w:val="0"/>
                <w:sz w:val="24"/>
                <w:szCs w:val="24"/>
              </w:rPr>
            </w:pPr>
            <w:r>
              <w:rPr>
                <w:rFonts w:ascii="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02" w:hRule="atLeast"/>
          <w:jc w:val="center"/>
        </w:trPr>
        <w:tc>
          <w:tcPr>
            <w:tcW w:w="2098" w:type="dxa"/>
            <w:vMerge w:val="continue"/>
            <w:vAlign w:val="top"/>
          </w:tcPr>
          <w:p>
            <w:pPr>
              <w:overflowPunct w:val="0"/>
              <w:topLinePunct/>
              <w:snapToGrid w:val="0"/>
              <w:spacing w:line="360" w:lineRule="exact"/>
              <w:jc w:val="left"/>
              <w:rPr>
                <w:rFonts w:ascii="宋体"/>
                <w:kern w:val="0"/>
                <w:sz w:val="24"/>
                <w:szCs w:val="24"/>
              </w:rPr>
            </w:pPr>
          </w:p>
        </w:tc>
        <w:tc>
          <w:tcPr>
            <w:tcW w:w="5549" w:type="dxa"/>
            <w:vAlign w:val="top"/>
          </w:tcPr>
          <w:p>
            <w:pPr>
              <w:rPr>
                <w:rFonts w:ascii="宋体"/>
                <w:kern w:val="0"/>
                <w:sz w:val="24"/>
                <w:szCs w:val="24"/>
              </w:rPr>
            </w:pPr>
            <w:r>
              <w:rPr>
                <w:rFonts w:ascii="宋体" w:hAnsi="宋体" w:cs="宋体"/>
                <w:kern w:val="0"/>
                <w:sz w:val="24"/>
                <w:szCs w:val="24"/>
              </w:rPr>
              <w:t>20</w:t>
            </w:r>
            <w:r>
              <w:rPr>
                <w:rFonts w:hint="eastAsia" w:ascii="宋体" w:hAnsi="宋体" w:cs="宋体"/>
                <w:kern w:val="0"/>
                <w:sz w:val="24"/>
                <w:szCs w:val="24"/>
              </w:rPr>
              <w:t>万标立方米以上</w:t>
            </w:r>
            <w:r>
              <w:rPr>
                <w:rFonts w:ascii="宋体" w:hAnsi="宋体" w:cs="宋体"/>
                <w:kern w:val="0"/>
                <w:sz w:val="24"/>
                <w:szCs w:val="24"/>
              </w:rPr>
              <w:t>/1000</w:t>
            </w:r>
            <w:r>
              <w:rPr>
                <w:rFonts w:hint="eastAsia" w:ascii="宋体" w:hAnsi="宋体" w:cs="宋体"/>
                <w:kern w:val="0"/>
                <w:sz w:val="24"/>
                <w:szCs w:val="24"/>
              </w:rPr>
              <w:t>吨以上（一般排污单位）</w:t>
            </w:r>
          </w:p>
          <w:p>
            <w:pPr>
              <w:rPr>
                <w:rFonts w:ascii="宋体"/>
                <w:kern w:val="0"/>
                <w:sz w:val="24"/>
                <w:szCs w:val="24"/>
              </w:rPr>
            </w:pPr>
            <w:r>
              <w:rPr>
                <w:rFonts w:ascii="宋体" w:hAnsi="宋体" w:cs="宋体"/>
                <w:kern w:val="0"/>
                <w:sz w:val="24"/>
                <w:szCs w:val="24"/>
              </w:rPr>
              <w:t>/50</w:t>
            </w:r>
            <w:r>
              <w:rPr>
                <w:rFonts w:hint="eastAsia" w:ascii="宋体" w:hAnsi="宋体" w:cs="宋体"/>
                <w:kern w:val="0"/>
                <w:sz w:val="24"/>
                <w:szCs w:val="24"/>
              </w:rPr>
              <w:t>万吨以上（生活污水处理厂）</w:t>
            </w:r>
            <w:r>
              <w:rPr>
                <w:rFonts w:ascii="宋体" w:hAnsi="宋体" w:cs="宋体"/>
                <w:kern w:val="0"/>
                <w:sz w:val="24"/>
                <w:szCs w:val="24"/>
              </w:rPr>
              <w:t>/5</w:t>
            </w:r>
            <w:r>
              <w:rPr>
                <w:rFonts w:hint="eastAsia" w:ascii="宋体" w:hAnsi="宋体" w:cs="宋体"/>
                <w:kern w:val="0"/>
                <w:sz w:val="24"/>
                <w:szCs w:val="24"/>
              </w:rPr>
              <w:t>万吨以上（工</w:t>
            </w:r>
          </w:p>
          <w:p>
            <w:pPr>
              <w:spacing w:line="360" w:lineRule="auto"/>
              <w:rPr>
                <w:rFonts w:ascii="宋体"/>
                <w:kern w:val="0"/>
                <w:sz w:val="24"/>
                <w:szCs w:val="24"/>
              </w:rPr>
            </w:pPr>
            <w:r>
              <w:rPr>
                <w:rFonts w:hint="eastAsia" w:ascii="宋体" w:hAnsi="宋体" w:cs="宋体"/>
                <w:kern w:val="0"/>
                <w:sz w:val="24"/>
                <w:szCs w:val="24"/>
              </w:rPr>
              <w:t>业污水处理厂）</w:t>
            </w:r>
          </w:p>
        </w:tc>
        <w:tc>
          <w:tcPr>
            <w:tcW w:w="1073" w:type="dxa"/>
            <w:vAlign w:val="center"/>
          </w:tcPr>
          <w:p>
            <w:pPr>
              <w:overflowPunct w:val="0"/>
              <w:topLinePunct/>
              <w:snapToGrid w:val="0"/>
              <w:spacing w:line="360" w:lineRule="exact"/>
              <w:jc w:val="center"/>
              <w:rPr>
                <w:rFonts w:ascii="宋体"/>
                <w:kern w:val="0"/>
                <w:sz w:val="24"/>
                <w:szCs w:val="24"/>
              </w:rPr>
            </w:pPr>
            <w:r>
              <w:rPr>
                <w:rFonts w:ascii="宋体" w:cs="宋体"/>
                <w:kern w:val="0"/>
                <w:sz w:val="24"/>
                <w:szCs w:val="24"/>
              </w:rPr>
              <w:t>5</w:t>
            </w:r>
          </w:p>
        </w:tc>
      </w:tr>
    </w:tbl>
    <w:p>
      <w:pPr>
        <w:overflowPunct w:val="0"/>
        <w:topLinePunct/>
        <w:adjustRightInd w:val="0"/>
        <w:snapToGrid w:val="0"/>
        <w:spacing w:line="280" w:lineRule="exact"/>
        <w:ind w:firstLine="480" w:firstLineChars="200"/>
        <w:rPr>
          <w:rFonts w:ascii="宋体"/>
          <w:kern w:val="0"/>
          <w:sz w:val="24"/>
          <w:szCs w:val="24"/>
        </w:rPr>
      </w:pPr>
      <w:bookmarkStart w:id="5" w:name="_Toc11834"/>
      <w:bookmarkStart w:id="6" w:name="_Toc20220"/>
      <w:r>
        <w:rPr>
          <w:rFonts w:hint="eastAsia" w:ascii="宋体" w:hAnsi="宋体" w:cs="宋体"/>
          <w:kern w:val="0"/>
          <w:sz w:val="24"/>
          <w:szCs w:val="24"/>
        </w:rPr>
        <w:t>注：本表适用于《中华人民共和国水污染防治法》第八十三条第一项、《中华人民共和国大气污染防治法》第九十九条第一项及其他同类型的环境违法行为。</w:t>
      </w:r>
    </w:p>
    <w:p>
      <w:pPr>
        <w:overflowPunct w:val="0"/>
        <w:topLinePunct/>
        <w:adjustRightInd w:val="0"/>
        <w:snapToGrid w:val="0"/>
        <w:spacing w:line="600" w:lineRule="exact"/>
        <w:rPr>
          <w:rFonts w:ascii="宋体"/>
          <w:kern w:val="0"/>
          <w:sz w:val="24"/>
          <w:szCs w:val="24"/>
        </w:rPr>
      </w:pPr>
    </w:p>
    <w:p>
      <w:pPr>
        <w:overflowPunct w:val="0"/>
        <w:topLinePunct/>
        <w:adjustRightInd w:val="0"/>
        <w:snapToGrid w:val="0"/>
        <w:spacing w:line="600" w:lineRule="exact"/>
        <w:ind w:firstLine="640" w:firstLineChars="200"/>
        <w:outlineLvl w:val="1"/>
        <w:rPr>
          <w:rFonts w:hint="eastAsia" w:ascii="楷体" w:hAnsi="楷体" w:eastAsia="楷体" w:cs="楷体"/>
          <w:sz w:val="32"/>
          <w:szCs w:val="32"/>
        </w:rPr>
      </w:pPr>
      <w:r>
        <w:rPr>
          <w:rFonts w:hint="eastAsia" w:ascii="楷体" w:hAnsi="楷体" w:eastAsia="楷体" w:cs="楷体"/>
          <w:sz w:val="32"/>
          <w:szCs w:val="32"/>
        </w:rPr>
        <w:t>（三）逃避监管排放污染物</w:t>
      </w:r>
      <w:r>
        <w:rPr>
          <w:rFonts w:hint="eastAsia" w:ascii="楷体" w:hAnsi="楷体" w:eastAsia="楷体" w:cs="楷体"/>
          <w:sz w:val="32"/>
          <w:szCs w:val="32"/>
          <w:lang w:eastAsia="zh-CN"/>
        </w:rPr>
        <w:t>的</w:t>
      </w:r>
      <w:r>
        <w:rPr>
          <w:rFonts w:hint="eastAsia" w:ascii="楷体" w:hAnsi="楷体" w:eastAsia="楷体" w:cs="楷体"/>
          <w:sz w:val="32"/>
          <w:szCs w:val="32"/>
        </w:rPr>
        <w:t>行为</w:t>
      </w:r>
    </w:p>
    <w:tbl>
      <w:tblPr>
        <w:tblStyle w:val="4"/>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2098"/>
        <w:gridCol w:w="5549"/>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tblHeader/>
          <w:jc w:val="center"/>
        </w:trPr>
        <w:tc>
          <w:tcPr>
            <w:tcW w:w="2098" w:type="dxa"/>
            <w:vAlign w:val="center"/>
          </w:tcPr>
          <w:p>
            <w:pPr>
              <w:overflowPunct w:val="0"/>
              <w:topLinePunct/>
              <w:snapToGrid w:val="0"/>
              <w:jc w:val="center"/>
              <w:rPr>
                <w:rFonts w:ascii="宋体"/>
                <w:kern w:val="0"/>
                <w:sz w:val="24"/>
                <w:szCs w:val="24"/>
              </w:rPr>
            </w:pPr>
            <w:r>
              <w:rPr>
                <w:rFonts w:hint="eastAsia" w:ascii="宋体" w:hAnsi="宋体" w:cs="宋体"/>
                <w:kern w:val="0"/>
                <w:sz w:val="24"/>
                <w:szCs w:val="24"/>
              </w:rPr>
              <w:t>裁量因素</w:t>
            </w:r>
          </w:p>
        </w:tc>
        <w:tc>
          <w:tcPr>
            <w:tcW w:w="5549" w:type="dxa"/>
            <w:vAlign w:val="center"/>
          </w:tcPr>
          <w:p>
            <w:pPr>
              <w:overflowPunct w:val="0"/>
              <w:topLinePunct/>
              <w:snapToGrid w:val="0"/>
              <w:jc w:val="center"/>
              <w:rPr>
                <w:rFonts w:ascii="宋体"/>
                <w:kern w:val="0"/>
                <w:sz w:val="24"/>
                <w:szCs w:val="24"/>
              </w:rPr>
            </w:pPr>
            <w:r>
              <w:rPr>
                <w:rFonts w:hint="eastAsia" w:ascii="宋体" w:hAnsi="宋体" w:cs="宋体"/>
                <w:kern w:val="0"/>
                <w:sz w:val="24"/>
                <w:szCs w:val="24"/>
              </w:rPr>
              <w:t>裁量因子</w:t>
            </w:r>
          </w:p>
        </w:tc>
        <w:tc>
          <w:tcPr>
            <w:tcW w:w="1073" w:type="dxa"/>
            <w:vAlign w:val="center"/>
          </w:tcPr>
          <w:p>
            <w:pPr>
              <w:overflowPunct w:val="0"/>
              <w:topLinePunct/>
              <w:snapToGrid w:val="0"/>
              <w:jc w:val="center"/>
              <w:rPr>
                <w:rFonts w:ascii="宋体"/>
                <w:kern w:val="0"/>
                <w:sz w:val="24"/>
                <w:szCs w:val="24"/>
              </w:rPr>
            </w:pPr>
            <w:r>
              <w:rPr>
                <w:rFonts w:hint="eastAsia" w:ascii="宋体" w:hAnsi="宋体" w:cs="宋体"/>
                <w:kern w:val="0"/>
                <w:sz w:val="24"/>
                <w:szCs w:val="24"/>
              </w:rPr>
              <w:t>裁量等级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02" w:hRule="atLeast"/>
          <w:jc w:val="center"/>
        </w:trPr>
        <w:tc>
          <w:tcPr>
            <w:tcW w:w="2098" w:type="dxa"/>
            <w:vMerge w:val="restart"/>
            <w:vAlign w:val="center"/>
          </w:tcPr>
          <w:p>
            <w:pPr>
              <w:spacing w:line="360" w:lineRule="auto"/>
              <w:ind w:left="360" w:hanging="360" w:hangingChars="150"/>
              <w:jc w:val="center"/>
              <w:rPr>
                <w:rFonts w:ascii="宋体"/>
                <w:kern w:val="0"/>
                <w:sz w:val="24"/>
                <w:szCs w:val="24"/>
              </w:rPr>
            </w:pPr>
            <w:r>
              <w:rPr>
                <w:rFonts w:hint="eastAsia" w:ascii="宋体" w:hAnsi="宋体" w:cs="宋体"/>
                <w:kern w:val="0"/>
                <w:sz w:val="24"/>
                <w:szCs w:val="24"/>
              </w:rPr>
              <w:t>排放去向或区域（水、气）</w:t>
            </w:r>
          </w:p>
          <w:p>
            <w:pPr>
              <w:overflowPunct w:val="0"/>
              <w:topLinePunct/>
              <w:snapToGrid w:val="0"/>
              <w:jc w:val="center"/>
              <w:rPr>
                <w:rFonts w:ascii="宋体"/>
                <w:kern w:val="0"/>
                <w:sz w:val="24"/>
                <w:szCs w:val="24"/>
              </w:rPr>
            </w:pPr>
          </w:p>
        </w:tc>
        <w:tc>
          <w:tcPr>
            <w:tcW w:w="5549" w:type="dxa"/>
            <w:vAlign w:val="center"/>
          </w:tcPr>
          <w:p>
            <w:pPr>
              <w:spacing w:line="360" w:lineRule="auto"/>
              <w:rPr>
                <w:rFonts w:ascii="宋体"/>
                <w:kern w:val="0"/>
                <w:sz w:val="24"/>
                <w:szCs w:val="24"/>
              </w:rPr>
            </w:pPr>
            <w:r>
              <w:rPr>
                <w:rFonts w:hint="eastAsia" w:ascii="宋体" w:hAnsi="宋体" w:cs="宋体"/>
                <w:kern w:val="0"/>
                <w:sz w:val="24"/>
                <w:szCs w:val="24"/>
              </w:rPr>
              <w:t>二类功能区（工业区和农村地区）</w:t>
            </w:r>
            <w:r>
              <w:rPr>
                <w:rFonts w:ascii="宋体" w:hAnsi="宋体" w:cs="宋体"/>
                <w:kern w:val="0"/>
                <w:sz w:val="24"/>
                <w:szCs w:val="24"/>
              </w:rPr>
              <w:t>/V</w:t>
            </w:r>
            <w:r>
              <w:rPr>
                <w:rFonts w:hint="eastAsia" w:ascii="宋体" w:hAnsi="宋体" w:cs="宋体"/>
                <w:kern w:val="0"/>
                <w:sz w:val="24"/>
                <w:szCs w:val="24"/>
              </w:rPr>
              <w:t>类水体或污</w:t>
            </w:r>
          </w:p>
          <w:p>
            <w:pPr>
              <w:spacing w:line="360" w:lineRule="auto"/>
              <w:rPr>
                <w:rFonts w:ascii="宋体"/>
                <w:kern w:val="0"/>
                <w:sz w:val="24"/>
                <w:szCs w:val="24"/>
              </w:rPr>
            </w:pPr>
            <w:r>
              <w:rPr>
                <w:rFonts w:hint="eastAsia" w:ascii="宋体" w:hAnsi="宋体" w:cs="宋体"/>
                <w:kern w:val="0"/>
                <w:sz w:val="24"/>
                <w:szCs w:val="24"/>
              </w:rPr>
              <w:t>水集中处理设施</w:t>
            </w:r>
          </w:p>
        </w:tc>
        <w:tc>
          <w:tcPr>
            <w:tcW w:w="1073" w:type="dxa"/>
            <w:vAlign w:val="center"/>
          </w:tcPr>
          <w:p>
            <w:pPr>
              <w:overflowPunct w:val="0"/>
              <w:topLinePunct/>
              <w:snapToGrid w:val="0"/>
              <w:jc w:val="center"/>
              <w:rPr>
                <w:rFonts w:ascii="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02" w:hRule="atLeast"/>
          <w:jc w:val="center"/>
        </w:trPr>
        <w:tc>
          <w:tcPr>
            <w:tcW w:w="2098" w:type="dxa"/>
            <w:vMerge w:val="continue"/>
            <w:vAlign w:val="center"/>
          </w:tcPr>
          <w:p>
            <w:pPr>
              <w:overflowPunct w:val="0"/>
              <w:topLinePunct/>
              <w:snapToGrid w:val="0"/>
              <w:jc w:val="center"/>
              <w:rPr>
                <w:rFonts w:ascii="宋体"/>
                <w:kern w:val="0"/>
                <w:sz w:val="24"/>
                <w:szCs w:val="24"/>
              </w:rPr>
            </w:pPr>
          </w:p>
        </w:tc>
        <w:tc>
          <w:tcPr>
            <w:tcW w:w="5549" w:type="dxa"/>
            <w:vAlign w:val="center"/>
          </w:tcPr>
          <w:p>
            <w:pPr>
              <w:overflowPunct w:val="0"/>
              <w:topLinePunct/>
              <w:snapToGrid w:val="0"/>
              <w:rPr>
                <w:rFonts w:ascii="宋体"/>
                <w:kern w:val="0"/>
                <w:sz w:val="24"/>
                <w:szCs w:val="24"/>
              </w:rPr>
            </w:pPr>
            <w:r>
              <w:rPr>
                <w:rFonts w:hint="eastAsia" w:ascii="宋体" w:hAnsi="宋体" w:cs="宋体"/>
                <w:kern w:val="0"/>
                <w:sz w:val="24"/>
                <w:szCs w:val="24"/>
              </w:rPr>
              <w:t>Ⅳ类水体</w:t>
            </w:r>
          </w:p>
        </w:tc>
        <w:tc>
          <w:tcPr>
            <w:tcW w:w="1073" w:type="dxa"/>
            <w:vAlign w:val="center"/>
          </w:tcPr>
          <w:p>
            <w:pPr>
              <w:overflowPunct w:val="0"/>
              <w:topLinePunct/>
              <w:snapToGrid w:val="0"/>
              <w:jc w:val="center"/>
              <w:rPr>
                <w:rFonts w:ascii="宋体"/>
                <w:kern w:val="0"/>
                <w:sz w:val="24"/>
                <w:szCs w:val="24"/>
              </w:rPr>
            </w:pPr>
            <w:r>
              <w:rPr>
                <w:rFonts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02" w:hRule="atLeast"/>
          <w:jc w:val="center"/>
        </w:trPr>
        <w:tc>
          <w:tcPr>
            <w:tcW w:w="2098" w:type="dxa"/>
            <w:vMerge w:val="continue"/>
            <w:vAlign w:val="center"/>
          </w:tcPr>
          <w:p>
            <w:pPr>
              <w:overflowPunct w:val="0"/>
              <w:topLinePunct/>
              <w:snapToGrid w:val="0"/>
              <w:jc w:val="center"/>
              <w:rPr>
                <w:rFonts w:ascii="宋体"/>
                <w:kern w:val="0"/>
                <w:sz w:val="24"/>
                <w:szCs w:val="24"/>
              </w:rPr>
            </w:pPr>
          </w:p>
        </w:tc>
        <w:tc>
          <w:tcPr>
            <w:tcW w:w="5549" w:type="dxa"/>
            <w:vAlign w:val="center"/>
          </w:tcPr>
          <w:p>
            <w:pPr>
              <w:spacing w:line="360" w:lineRule="auto"/>
              <w:rPr>
                <w:rFonts w:ascii="宋体"/>
                <w:kern w:val="0"/>
                <w:sz w:val="24"/>
                <w:szCs w:val="24"/>
              </w:rPr>
            </w:pPr>
            <w:r>
              <w:rPr>
                <w:rFonts w:hint="eastAsia" w:ascii="宋体" w:hAnsi="宋体" w:cs="宋体"/>
                <w:kern w:val="0"/>
                <w:sz w:val="24"/>
                <w:szCs w:val="24"/>
              </w:rPr>
              <w:t>二类功能区（居民区、商业交通居民混合区、文化</w:t>
            </w:r>
          </w:p>
          <w:p>
            <w:pPr>
              <w:overflowPunct w:val="0"/>
              <w:topLinePunct/>
              <w:snapToGrid w:val="0"/>
              <w:rPr>
                <w:rFonts w:ascii="宋体"/>
                <w:kern w:val="0"/>
                <w:sz w:val="24"/>
                <w:szCs w:val="24"/>
              </w:rPr>
            </w:pPr>
            <w:r>
              <w:rPr>
                <w:rFonts w:hint="eastAsia" w:ascii="宋体" w:hAnsi="宋体" w:cs="宋体"/>
                <w:kern w:val="0"/>
                <w:sz w:val="24"/>
                <w:szCs w:val="24"/>
              </w:rPr>
              <w:t>区）</w:t>
            </w:r>
            <w:r>
              <w:rPr>
                <w:rFonts w:ascii="宋体" w:hAnsi="宋体" w:cs="宋体"/>
                <w:kern w:val="0"/>
                <w:sz w:val="24"/>
                <w:szCs w:val="24"/>
              </w:rPr>
              <w:t>/</w:t>
            </w:r>
            <w:r>
              <w:rPr>
                <w:rFonts w:hint="eastAsia" w:ascii="宋体" w:hAnsi="宋体" w:cs="宋体"/>
                <w:kern w:val="0"/>
                <w:sz w:val="24"/>
                <w:szCs w:val="24"/>
              </w:rPr>
              <w:t>Ⅲ类水体</w:t>
            </w:r>
          </w:p>
        </w:tc>
        <w:tc>
          <w:tcPr>
            <w:tcW w:w="1073" w:type="dxa"/>
            <w:vAlign w:val="center"/>
          </w:tcPr>
          <w:p>
            <w:pPr>
              <w:overflowPunct w:val="0"/>
              <w:topLinePunct/>
              <w:snapToGrid w:val="0"/>
              <w:jc w:val="center"/>
              <w:rPr>
                <w:rFonts w:ascii="宋体"/>
                <w:kern w:val="0"/>
                <w:sz w:val="24"/>
                <w:szCs w:val="24"/>
              </w:rPr>
            </w:pPr>
            <w:r>
              <w:rPr>
                <w:rFonts w:ascii="宋体" w:hAns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02" w:hRule="atLeast"/>
          <w:jc w:val="center"/>
        </w:trPr>
        <w:tc>
          <w:tcPr>
            <w:tcW w:w="2098" w:type="dxa"/>
            <w:vMerge w:val="continue"/>
            <w:vAlign w:val="center"/>
          </w:tcPr>
          <w:p>
            <w:pPr>
              <w:overflowPunct w:val="0"/>
              <w:topLinePunct/>
              <w:snapToGrid w:val="0"/>
              <w:jc w:val="center"/>
              <w:rPr>
                <w:rFonts w:ascii="宋体"/>
                <w:kern w:val="0"/>
                <w:sz w:val="24"/>
                <w:szCs w:val="24"/>
              </w:rPr>
            </w:pPr>
          </w:p>
        </w:tc>
        <w:tc>
          <w:tcPr>
            <w:tcW w:w="5549" w:type="dxa"/>
            <w:vAlign w:val="center"/>
          </w:tcPr>
          <w:p>
            <w:pPr>
              <w:overflowPunct w:val="0"/>
              <w:topLinePunct/>
              <w:snapToGrid w:val="0"/>
              <w:rPr>
                <w:rFonts w:ascii="宋体"/>
                <w:kern w:val="0"/>
                <w:sz w:val="24"/>
                <w:szCs w:val="24"/>
              </w:rPr>
            </w:pPr>
            <w:r>
              <w:rPr>
                <w:rFonts w:ascii="宋体" w:hAnsi="宋体" w:cs="宋体"/>
                <w:kern w:val="0"/>
                <w:sz w:val="24"/>
                <w:szCs w:val="24"/>
              </w:rPr>
              <w:t>I</w:t>
            </w:r>
            <w:r>
              <w:rPr>
                <w:rFonts w:hint="eastAsia" w:ascii="宋体" w:hAnsi="宋体" w:cs="宋体"/>
                <w:kern w:val="0"/>
                <w:sz w:val="24"/>
                <w:szCs w:val="24"/>
              </w:rPr>
              <w:t>、Ⅱ类水体</w:t>
            </w:r>
          </w:p>
        </w:tc>
        <w:tc>
          <w:tcPr>
            <w:tcW w:w="1073" w:type="dxa"/>
            <w:vAlign w:val="center"/>
          </w:tcPr>
          <w:p>
            <w:pPr>
              <w:overflowPunct w:val="0"/>
              <w:topLinePunct/>
              <w:snapToGrid w:val="0"/>
              <w:jc w:val="center"/>
              <w:rPr>
                <w:rFonts w:ascii="宋体"/>
                <w:kern w:val="0"/>
                <w:sz w:val="24"/>
                <w:szCs w:val="24"/>
              </w:rPr>
            </w:pPr>
            <w:r>
              <w:rPr>
                <w:rFonts w:ascii="宋体" w:hAnsi="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02" w:hRule="atLeast"/>
          <w:jc w:val="center"/>
        </w:trPr>
        <w:tc>
          <w:tcPr>
            <w:tcW w:w="2098" w:type="dxa"/>
            <w:vMerge w:val="continue"/>
            <w:vAlign w:val="center"/>
          </w:tcPr>
          <w:p>
            <w:pPr>
              <w:overflowPunct w:val="0"/>
              <w:topLinePunct/>
              <w:snapToGrid w:val="0"/>
              <w:jc w:val="center"/>
              <w:rPr>
                <w:rFonts w:ascii="宋体"/>
                <w:kern w:val="0"/>
                <w:sz w:val="24"/>
                <w:szCs w:val="24"/>
              </w:rPr>
            </w:pPr>
          </w:p>
        </w:tc>
        <w:tc>
          <w:tcPr>
            <w:tcW w:w="5549" w:type="dxa"/>
            <w:vAlign w:val="center"/>
          </w:tcPr>
          <w:p>
            <w:pPr>
              <w:overflowPunct w:val="0"/>
              <w:topLinePunct/>
              <w:snapToGrid w:val="0"/>
              <w:rPr>
                <w:rFonts w:ascii="宋体"/>
                <w:kern w:val="0"/>
                <w:sz w:val="24"/>
                <w:szCs w:val="24"/>
              </w:rPr>
            </w:pPr>
            <w:r>
              <w:rPr>
                <w:rFonts w:hint="eastAsia" w:ascii="宋体" w:hAnsi="宋体" w:cs="宋体"/>
                <w:kern w:val="0"/>
                <w:sz w:val="24"/>
                <w:szCs w:val="24"/>
              </w:rPr>
              <w:t>一类功能区</w:t>
            </w:r>
            <w:r>
              <w:rPr>
                <w:rFonts w:ascii="宋体" w:hAnsi="宋体" w:cs="宋体"/>
                <w:kern w:val="0"/>
                <w:sz w:val="24"/>
                <w:szCs w:val="24"/>
              </w:rPr>
              <w:t>/</w:t>
            </w:r>
            <w:r>
              <w:rPr>
                <w:rFonts w:hint="eastAsia" w:ascii="宋体" w:hAnsi="宋体" w:cs="宋体"/>
                <w:kern w:val="0"/>
                <w:sz w:val="24"/>
                <w:szCs w:val="24"/>
              </w:rPr>
              <w:t>饮用水水源保护区</w:t>
            </w:r>
          </w:p>
        </w:tc>
        <w:tc>
          <w:tcPr>
            <w:tcW w:w="1073" w:type="dxa"/>
            <w:vAlign w:val="center"/>
          </w:tcPr>
          <w:p>
            <w:pPr>
              <w:overflowPunct w:val="0"/>
              <w:topLinePunct/>
              <w:snapToGrid w:val="0"/>
              <w:jc w:val="center"/>
              <w:rPr>
                <w:rFonts w:ascii="宋体"/>
                <w:kern w:val="0"/>
                <w:sz w:val="24"/>
                <w:szCs w:val="24"/>
              </w:rPr>
            </w:pPr>
            <w:r>
              <w:rPr>
                <w:rFonts w:ascii="宋体" w:hAnsi="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55" w:hRule="atLeast"/>
          <w:jc w:val="center"/>
        </w:trPr>
        <w:tc>
          <w:tcPr>
            <w:tcW w:w="2098" w:type="dxa"/>
            <w:vMerge w:val="restart"/>
            <w:vAlign w:val="center"/>
          </w:tcPr>
          <w:p>
            <w:pPr>
              <w:overflowPunct w:val="0"/>
              <w:topLinePunct/>
              <w:snapToGrid w:val="0"/>
              <w:spacing w:line="360" w:lineRule="exact"/>
              <w:jc w:val="center"/>
              <w:rPr>
                <w:rFonts w:ascii="宋体"/>
                <w:kern w:val="0"/>
                <w:sz w:val="24"/>
                <w:szCs w:val="24"/>
              </w:rPr>
            </w:pPr>
            <w:r>
              <w:rPr>
                <w:rFonts w:hint="eastAsia" w:ascii="宋体" w:hAnsi="宋体" w:cs="宋体"/>
                <w:kern w:val="0"/>
                <w:sz w:val="24"/>
                <w:szCs w:val="24"/>
              </w:rPr>
              <w:t>废气类别</w:t>
            </w:r>
          </w:p>
        </w:tc>
        <w:tc>
          <w:tcPr>
            <w:tcW w:w="5549" w:type="dxa"/>
            <w:vAlign w:val="center"/>
          </w:tcPr>
          <w:p>
            <w:pPr>
              <w:overflowPunct w:val="0"/>
              <w:topLinePunct/>
              <w:snapToGrid w:val="0"/>
              <w:spacing w:line="360" w:lineRule="exact"/>
              <w:rPr>
                <w:rFonts w:ascii="宋体"/>
                <w:kern w:val="0"/>
                <w:sz w:val="24"/>
                <w:szCs w:val="24"/>
              </w:rPr>
            </w:pPr>
            <w:r>
              <w:rPr>
                <w:rFonts w:hint="eastAsia" w:ascii="宋体" w:hAnsi="宋体" w:cs="宋体"/>
                <w:kern w:val="0"/>
                <w:sz w:val="24"/>
                <w:szCs w:val="24"/>
              </w:rPr>
              <w:t>餐饮油烟（经营）</w:t>
            </w:r>
          </w:p>
        </w:tc>
        <w:tc>
          <w:tcPr>
            <w:tcW w:w="1073" w:type="dxa"/>
            <w:vAlign w:val="center"/>
          </w:tcPr>
          <w:p>
            <w:pPr>
              <w:overflowPunct w:val="0"/>
              <w:topLinePunct/>
              <w:snapToGrid w:val="0"/>
              <w:spacing w:line="360" w:lineRule="exact"/>
              <w:jc w:val="center"/>
              <w:rPr>
                <w:rFonts w:ascii="宋体" w:hAnsi="宋体" w:cs="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55" w:hRule="atLeast"/>
          <w:jc w:val="center"/>
        </w:trPr>
        <w:tc>
          <w:tcPr>
            <w:tcW w:w="2098" w:type="dxa"/>
            <w:vMerge w:val="continue"/>
            <w:vAlign w:val="center"/>
          </w:tcPr>
          <w:p>
            <w:pPr>
              <w:overflowPunct w:val="0"/>
              <w:topLinePunct/>
              <w:snapToGrid w:val="0"/>
              <w:spacing w:line="360" w:lineRule="exact"/>
              <w:jc w:val="center"/>
              <w:rPr>
                <w:rFonts w:ascii="宋体"/>
                <w:kern w:val="0"/>
                <w:sz w:val="24"/>
                <w:szCs w:val="24"/>
              </w:rPr>
            </w:pPr>
          </w:p>
        </w:tc>
        <w:tc>
          <w:tcPr>
            <w:tcW w:w="5549" w:type="dxa"/>
            <w:vAlign w:val="center"/>
          </w:tcPr>
          <w:p>
            <w:pPr>
              <w:overflowPunct w:val="0"/>
              <w:topLinePunct/>
              <w:snapToGrid w:val="0"/>
              <w:spacing w:line="360" w:lineRule="exact"/>
              <w:rPr>
                <w:rFonts w:ascii="宋体"/>
                <w:kern w:val="0"/>
                <w:sz w:val="24"/>
                <w:szCs w:val="24"/>
              </w:rPr>
            </w:pPr>
            <w:r>
              <w:rPr>
                <w:rFonts w:hint="eastAsia" w:ascii="宋体" w:hAnsi="宋体" w:cs="宋体"/>
                <w:kern w:val="0"/>
                <w:sz w:val="24"/>
                <w:szCs w:val="24"/>
              </w:rPr>
              <w:t>农业生产、畜禽养殖</w:t>
            </w:r>
            <w:r>
              <w:rPr>
                <w:rFonts w:ascii="宋体" w:hAnsi="宋体" w:cs="宋体"/>
                <w:kern w:val="0"/>
                <w:sz w:val="24"/>
                <w:szCs w:val="24"/>
              </w:rPr>
              <w:t>/</w:t>
            </w:r>
            <w:r>
              <w:rPr>
                <w:rFonts w:hint="eastAsia" w:ascii="宋体" w:hAnsi="宋体" w:cs="宋体"/>
                <w:kern w:val="0"/>
                <w:sz w:val="24"/>
                <w:szCs w:val="24"/>
              </w:rPr>
              <w:t>扬尘</w:t>
            </w:r>
            <w:r>
              <w:rPr>
                <w:rFonts w:ascii="宋体" w:hAnsi="宋体" w:cs="宋体"/>
                <w:kern w:val="0"/>
                <w:sz w:val="24"/>
                <w:szCs w:val="24"/>
              </w:rPr>
              <w:t>/</w:t>
            </w:r>
            <w:r>
              <w:rPr>
                <w:rFonts w:hint="eastAsia" w:ascii="宋体" w:hAnsi="宋体" w:cs="宋体"/>
                <w:kern w:val="0"/>
                <w:sz w:val="24"/>
                <w:szCs w:val="24"/>
              </w:rPr>
              <w:t>机械、汽车修理</w:t>
            </w:r>
          </w:p>
        </w:tc>
        <w:tc>
          <w:tcPr>
            <w:tcW w:w="1073" w:type="dxa"/>
            <w:vAlign w:val="center"/>
          </w:tcPr>
          <w:p>
            <w:pPr>
              <w:overflowPunct w:val="0"/>
              <w:topLinePunct/>
              <w:snapToGrid w:val="0"/>
              <w:spacing w:line="360" w:lineRule="exact"/>
              <w:jc w:val="center"/>
              <w:rPr>
                <w:rFonts w:ascii="宋体"/>
                <w:kern w:val="0"/>
                <w:sz w:val="24"/>
                <w:szCs w:val="24"/>
              </w:rPr>
            </w:pPr>
            <w:r>
              <w:rPr>
                <w:rFonts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2098" w:type="dxa"/>
            <w:vMerge w:val="continue"/>
            <w:vAlign w:val="center"/>
          </w:tcPr>
          <w:p>
            <w:pPr>
              <w:overflowPunct w:val="0"/>
              <w:topLinePunct/>
              <w:snapToGrid w:val="0"/>
              <w:spacing w:line="360" w:lineRule="exact"/>
              <w:jc w:val="left"/>
              <w:rPr>
                <w:rFonts w:ascii="宋体"/>
                <w:kern w:val="0"/>
                <w:sz w:val="24"/>
                <w:szCs w:val="24"/>
              </w:rPr>
            </w:pPr>
          </w:p>
        </w:tc>
        <w:tc>
          <w:tcPr>
            <w:tcW w:w="5549" w:type="dxa"/>
            <w:vAlign w:val="center"/>
          </w:tcPr>
          <w:p>
            <w:pPr>
              <w:overflowPunct w:val="0"/>
              <w:topLinePunct/>
              <w:snapToGrid w:val="0"/>
              <w:spacing w:line="360" w:lineRule="exact"/>
              <w:rPr>
                <w:rFonts w:ascii="宋体"/>
                <w:kern w:val="0"/>
                <w:sz w:val="24"/>
                <w:szCs w:val="24"/>
              </w:rPr>
            </w:pPr>
            <w:r>
              <w:rPr>
                <w:rFonts w:hint="eastAsia" w:ascii="宋体" w:hAnsi="宋体" w:cs="宋体"/>
                <w:kern w:val="0"/>
                <w:sz w:val="24"/>
                <w:szCs w:val="24"/>
              </w:rPr>
              <w:t>一般工业废气</w:t>
            </w:r>
            <w:r>
              <w:rPr>
                <w:rFonts w:ascii="宋体" w:hAnsi="宋体" w:cs="宋体"/>
                <w:kern w:val="0"/>
                <w:sz w:val="24"/>
                <w:szCs w:val="24"/>
              </w:rPr>
              <w:t>/</w:t>
            </w:r>
            <w:r>
              <w:rPr>
                <w:rFonts w:hint="eastAsia" w:ascii="宋体" w:hAnsi="宋体" w:cs="宋体"/>
                <w:kern w:val="0"/>
                <w:sz w:val="24"/>
                <w:szCs w:val="24"/>
              </w:rPr>
              <w:t>含恶臭污染物的废气</w:t>
            </w:r>
            <w:r>
              <w:rPr>
                <w:rFonts w:ascii="宋体" w:hAnsi="宋体" w:cs="宋体"/>
                <w:kern w:val="0"/>
                <w:sz w:val="24"/>
                <w:szCs w:val="24"/>
              </w:rPr>
              <w:t>/</w:t>
            </w:r>
            <w:r>
              <w:rPr>
                <w:rFonts w:hint="eastAsia" w:ascii="宋体" w:hAnsi="宋体" w:cs="宋体"/>
                <w:kern w:val="0"/>
                <w:sz w:val="24"/>
                <w:szCs w:val="24"/>
              </w:rPr>
              <w:t>医疗</w:t>
            </w:r>
            <w:r>
              <w:rPr>
                <w:rFonts w:ascii="宋体" w:hAnsi="宋体" w:cs="宋体"/>
                <w:kern w:val="0"/>
                <w:sz w:val="24"/>
                <w:szCs w:val="24"/>
              </w:rPr>
              <w:t>/</w:t>
            </w:r>
            <w:r>
              <w:rPr>
                <w:rFonts w:hint="eastAsia" w:ascii="宋体" w:hAnsi="宋体" w:cs="宋体"/>
                <w:kern w:val="0"/>
                <w:sz w:val="24"/>
                <w:szCs w:val="24"/>
              </w:rPr>
              <w:t>实验室</w:t>
            </w:r>
          </w:p>
        </w:tc>
        <w:tc>
          <w:tcPr>
            <w:tcW w:w="1073" w:type="dxa"/>
            <w:vAlign w:val="center"/>
          </w:tcPr>
          <w:p>
            <w:pPr>
              <w:overflowPunct w:val="0"/>
              <w:topLinePunct/>
              <w:snapToGrid w:val="0"/>
              <w:spacing w:line="360" w:lineRule="exact"/>
              <w:jc w:val="center"/>
              <w:rPr>
                <w:rFonts w:ascii="宋体" w:hAnsi="宋体" w:cs="宋体"/>
                <w:kern w:val="0"/>
                <w:sz w:val="24"/>
                <w:szCs w:val="24"/>
              </w:rPr>
            </w:pPr>
            <w:r>
              <w:rPr>
                <w:rFonts w:ascii="宋体" w:hAns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2098" w:type="dxa"/>
            <w:vMerge w:val="continue"/>
            <w:vAlign w:val="center"/>
          </w:tcPr>
          <w:p>
            <w:pPr>
              <w:overflowPunct w:val="0"/>
              <w:topLinePunct/>
              <w:snapToGrid w:val="0"/>
              <w:spacing w:line="360" w:lineRule="exact"/>
              <w:jc w:val="left"/>
              <w:rPr>
                <w:rFonts w:ascii="宋体"/>
                <w:kern w:val="0"/>
                <w:sz w:val="24"/>
                <w:szCs w:val="24"/>
              </w:rPr>
            </w:pPr>
          </w:p>
        </w:tc>
        <w:tc>
          <w:tcPr>
            <w:tcW w:w="5549" w:type="dxa"/>
            <w:vAlign w:val="center"/>
          </w:tcPr>
          <w:p>
            <w:pPr>
              <w:rPr>
                <w:rFonts w:ascii="宋体"/>
                <w:sz w:val="24"/>
                <w:szCs w:val="24"/>
              </w:rPr>
            </w:pPr>
            <w:r>
              <w:rPr>
                <w:rFonts w:hint="eastAsia" w:ascii="宋体" w:hAnsi="宋体" w:cs="宋体"/>
                <w:kern w:val="0"/>
                <w:sz w:val="24"/>
                <w:szCs w:val="24"/>
              </w:rPr>
              <w:t>火电、钢铁、石化、水泥、炼焦、有色、化工废气、烟尘</w:t>
            </w:r>
            <w:r>
              <w:rPr>
                <w:rFonts w:ascii="宋体" w:hAnsi="宋体" w:cs="宋体"/>
                <w:kern w:val="0"/>
                <w:sz w:val="24"/>
                <w:szCs w:val="24"/>
              </w:rPr>
              <w:t>/</w:t>
            </w:r>
            <w:r>
              <w:rPr>
                <w:rFonts w:hint="eastAsia" w:ascii="宋体" w:hAnsi="宋体" w:cs="宋体"/>
                <w:kern w:val="0"/>
                <w:sz w:val="24"/>
                <w:szCs w:val="24"/>
              </w:rPr>
              <w:t>燃煤锅炉废气、烟尘</w:t>
            </w:r>
          </w:p>
        </w:tc>
        <w:tc>
          <w:tcPr>
            <w:tcW w:w="1073" w:type="dxa"/>
            <w:vAlign w:val="center"/>
          </w:tcPr>
          <w:p>
            <w:pPr>
              <w:overflowPunct w:val="0"/>
              <w:topLinePunct/>
              <w:snapToGrid w:val="0"/>
              <w:spacing w:line="360" w:lineRule="exact"/>
              <w:jc w:val="center"/>
              <w:rPr>
                <w:rFonts w:ascii="宋体" w:hAnsi="宋体" w:cs="宋体"/>
                <w:kern w:val="0"/>
                <w:sz w:val="24"/>
                <w:szCs w:val="24"/>
              </w:rPr>
            </w:pPr>
            <w:r>
              <w:rPr>
                <w:rFonts w:ascii="宋体" w:hAnsi="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2098" w:type="dxa"/>
            <w:vMerge w:val="continue"/>
            <w:vAlign w:val="center"/>
          </w:tcPr>
          <w:p>
            <w:pPr>
              <w:overflowPunct w:val="0"/>
              <w:topLinePunct/>
              <w:snapToGrid w:val="0"/>
              <w:spacing w:line="360" w:lineRule="exact"/>
              <w:jc w:val="left"/>
              <w:rPr>
                <w:rFonts w:ascii="宋体"/>
                <w:kern w:val="0"/>
                <w:sz w:val="24"/>
                <w:szCs w:val="24"/>
              </w:rPr>
            </w:pPr>
          </w:p>
        </w:tc>
        <w:tc>
          <w:tcPr>
            <w:tcW w:w="5549" w:type="dxa"/>
            <w:vAlign w:val="center"/>
          </w:tcPr>
          <w:p>
            <w:pPr>
              <w:overflowPunct w:val="0"/>
              <w:topLinePunct/>
              <w:snapToGrid w:val="0"/>
              <w:spacing w:line="360" w:lineRule="exact"/>
              <w:rPr>
                <w:rFonts w:ascii="宋体"/>
                <w:kern w:val="0"/>
                <w:sz w:val="24"/>
                <w:szCs w:val="24"/>
              </w:rPr>
            </w:pPr>
            <w:r>
              <w:rPr>
                <w:rFonts w:hint="eastAsia" w:ascii="宋体" w:hAnsi="宋体" w:cs="宋体"/>
                <w:kern w:val="0"/>
                <w:sz w:val="24"/>
                <w:szCs w:val="24"/>
              </w:rPr>
              <w:t>含有毒有害物质的废气</w:t>
            </w:r>
          </w:p>
        </w:tc>
        <w:tc>
          <w:tcPr>
            <w:tcW w:w="1073" w:type="dxa"/>
            <w:vAlign w:val="center"/>
          </w:tcPr>
          <w:p>
            <w:pPr>
              <w:overflowPunct w:val="0"/>
              <w:topLinePunct/>
              <w:snapToGrid w:val="0"/>
              <w:spacing w:line="360" w:lineRule="exact"/>
              <w:jc w:val="center"/>
              <w:rPr>
                <w:rFonts w:ascii="宋体" w:hAnsi="宋体" w:cs="宋体"/>
                <w:kern w:val="0"/>
                <w:sz w:val="24"/>
                <w:szCs w:val="24"/>
              </w:rPr>
            </w:pPr>
            <w:r>
              <w:rPr>
                <w:rFonts w:ascii="宋体" w:hAnsi="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55" w:hRule="atLeast"/>
          <w:jc w:val="center"/>
        </w:trPr>
        <w:tc>
          <w:tcPr>
            <w:tcW w:w="2098" w:type="dxa"/>
            <w:vMerge w:val="restart"/>
            <w:vAlign w:val="center"/>
          </w:tcPr>
          <w:p>
            <w:pPr>
              <w:overflowPunct w:val="0"/>
              <w:topLinePunct/>
              <w:snapToGrid w:val="0"/>
              <w:spacing w:line="360" w:lineRule="exact"/>
              <w:jc w:val="center"/>
              <w:rPr>
                <w:rFonts w:ascii="宋体"/>
                <w:kern w:val="0"/>
                <w:sz w:val="24"/>
                <w:szCs w:val="24"/>
              </w:rPr>
            </w:pPr>
            <w:r>
              <w:rPr>
                <w:rFonts w:hint="eastAsia" w:ascii="宋体" w:hAnsi="宋体" w:cs="宋体"/>
                <w:kern w:val="0"/>
                <w:sz w:val="24"/>
                <w:szCs w:val="24"/>
              </w:rPr>
              <w:t>废水类别</w:t>
            </w:r>
          </w:p>
        </w:tc>
        <w:tc>
          <w:tcPr>
            <w:tcW w:w="5549" w:type="dxa"/>
            <w:vAlign w:val="center"/>
          </w:tcPr>
          <w:p>
            <w:pPr>
              <w:overflowPunct w:val="0"/>
              <w:topLinePunct/>
              <w:snapToGrid w:val="0"/>
              <w:spacing w:line="360" w:lineRule="exact"/>
              <w:rPr>
                <w:rFonts w:ascii="宋体"/>
                <w:sz w:val="24"/>
                <w:szCs w:val="24"/>
              </w:rPr>
            </w:pPr>
            <w:r>
              <w:rPr>
                <w:rFonts w:hint="eastAsia" w:ascii="宋体" w:hAnsi="宋体" w:cs="宋体"/>
                <w:sz w:val="24"/>
                <w:szCs w:val="24"/>
              </w:rPr>
              <w:t>生活废水</w:t>
            </w:r>
          </w:p>
        </w:tc>
        <w:tc>
          <w:tcPr>
            <w:tcW w:w="1073" w:type="dxa"/>
            <w:vAlign w:val="center"/>
          </w:tcPr>
          <w:p>
            <w:pPr>
              <w:overflowPunct w:val="0"/>
              <w:topLinePunct/>
              <w:snapToGrid w:val="0"/>
              <w:spacing w:line="360" w:lineRule="exact"/>
              <w:jc w:val="center"/>
              <w:rPr>
                <w:rFonts w:ascii="宋体" w:hAnsi="宋体" w:cs="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55" w:hRule="atLeast"/>
          <w:jc w:val="center"/>
        </w:trPr>
        <w:tc>
          <w:tcPr>
            <w:tcW w:w="2098" w:type="dxa"/>
            <w:vMerge w:val="continue"/>
            <w:vAlign w:val="center"/>
          </w:tcPr>
          <w:p>
            <w:pPr>
              <w:overflowPunct w:val="0"/>
              <w:topLinePunct/>
              <w:snapToGrid w:val="0"/>
              <w:spacing w:line="360" w:lineRule="exact"/>
              <w:jc w:val="center"/>
              <w:rPr>
                <w:rFonts w:ascii="宋体"/>
                <w:kern w:val="0"/>
                <w:sz w:val="24"/>
                <w:szCs w:val="24"/>
              </w:rPr>
            </w:pPr>
          </w:p>
        </w:tc>
        <w:tc>
          <w:tcPr>
            <w:tcW w:w="5549" w:type="dxa"/>
            <w:vAlign w:val="center"/>
          </w:tcPr>
          <w:p>
            <w:pPr>
              <w:overflowPunct w:val="0"/>
              <w:topLinePunct/>
              <w:snapToGrid w:val="0"/>
              <w:spacing w:line="360" w:lineRule="exact"/>
              <w:rPr>
                <w:rFonts w:ascii="宋体"/>
                <w:sz w:val="24"/>
                <w:szCs w:val="24"/>
              </w:rPr>
            </w:pPr>
            <w:r>
              <w:rPr>
                <w:rFonts w:hint="eastAsia" w:ascii="宋体" w:hAnsi="宋体" w:cs="宋体"/>
                <w:sz w:val="24"/>
                <w:szCs w:val="24"/>
              </w:rPr>
              <w:t>服务业废水</w:t>
            </w:r>
          </w:p>
        </w:tc>
        <w:tc>
          <w:tcPr>
            <w:tcW w:w="1073" w:type="dxa"/>
            <w:vAlign w:val="center"/>
          </w:tcPr>
          <w:p>
            <w:pPr>
              <w:overflowPunct w:val="0"/>
              <w:topLinePunct/>
              <w:snapToGrid w:val="0"/>
              <w:spacing w:line="360" w:lineRule="exact"/>
              <w:jc w:val="center"/>
              <w:rPr>
                <w:rFonts w:ascii="宋体"/>
                <w:kern w:val="0"/>
                <w:sz w:val="24"/>
                <w:szCs w:val="24"/>
              </w:rPr>
            </w:pPr>
            <w:r>
              <w:rPr>
                <w:rFonts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2098" w:type="dxa"/>
            <w:vMerge w:val="continue"/>
            <w:vAlign w:val="center"/>
          </w:tcPr>
          <w:p>
            <w:pPr>
              <w:overflowPunct w:val="0"/>
              <w:topLinePunct/>
              <w:snapToGrid w:val="0"/>
              <w:spacing w:line="360" w:lineRule="exact"/>
              <w:jc w:val="left"/>
              <w:rPr>
                <w:rFonts w:ascii="宋体"/>
                <w:kern w:val="0"/>
                <w:sz w:val="24"/>
                <w:szCs w:val="24"/>
              </w:rPr>
            </w:pPr>
          </w:p>
        </w:tc>
        <w:tc>
          <w:tcPr>
            <w:tcW w:w="5549" w:type="dxa"/>
            <w:vAlign w:val="center"/>
          </w:tcPr>
          <w:p>
            <w:pPr>
              <w:overflowPunct w:val="0"/>
              <w:topLinePunct/>
              <w:snapToGrid w:val="0"/>
              <w:spacing w:line="360" w:lineRule="exact"/>
              <w:rPr>
                <w:rFonts w:ascii="宋体"/>
                <w:sz w:val="24"/>
                <w:szCs w:val="24"/>
              </w:rPr>
            </w:pPr>
            <w:r>
              <w:rPr>
                <w:rFonts w:hint="eastAsia" w:ascii="宋体" w:hAnsi="宋体" w:cs="宋体"/>
                <w:sz w:val="24"/>
                <w:szCs w:val="24"/>
              </w:rPr>
              <w:t>一般工业废水</w:t>
            </w:r>
          </w:p>
        </w:tc>
        <w:tc>
          <w:tcPr>
            <w:tcW w:w="1073" w:type="dxa"/>
            <w:vAlign w:val="center"/>
          </w:tcPr>
          <w:p>
            <w:pPr>
              <w:overflowPunct w:val="0"/>
              <w:topLinePunct/>
              <w:snapToGrid w:val="0"/>
              <w:spacing w:line="360" w:lineRule="exact"/>
              <w:jc w:val="center"/>
              <w:rPr>
                <w:rFonts w:ascii="宋体" w:hAnsi="宋体" w:cs="宋体"/>
                <w:kern w:val="0"/>
                <w:sz w:val="24"/>
                <w:szCs w:val="24"/>
              </w:rPr>
            </w:pPr>
            <w:r>
              <w:rPr>
                <w:rFonts w:ascii="宋体" w:hAns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2098" w:type="dxa"/>
            <w:vMerge w:val="continue"/>
            <w:vAlign w:val="center"/>
          </w:tcPr>
          <w:p>
            <w:pPr>
              <w:overflowPunct w:val="0"/>
              <w:topLinePunct/>
              <w:snapToGrid w:val="0"/>
              <w:spacing w:line="360" w:lineRule="exact"/>
              <w:jc w:val="left"/>
              <w:rPr>
                <w:rFonts w:ascii="宋体"/>
                <w:kern w:val="0"/>
                <w:sz w:val="24"/>
                <w:szCs w:val="24"/>
              </w:rPr>
            </w:pPr>
          </w:p>
        </w:tc>
        <w:tc>
          <w:tcPr>
            <w:tcW w:w="5549" w:type="dxa"/>
            <w:vAlign w:val="center"/>
          </w:tcPr>
          <w:p>
            <w:pPr>
              <w:overflowPunct w:val="0"/>
              <w:topLinePunct/>
              <w:snapToGrid w:val="0"/>
              <w:spacing w:line="360" w:lineRule="exact"/>
              <w:rPr>
                <w:rFonts w:ascii="宋体"/>
                <w:sz w:val="24"/>
                <w:szCs w:val="24"/>
              </w:rPr>
            </w:pPr>
            <w:r>
              <w:rPr>
                <w:rFonts w:hint="eastAsia" w:ascii="宋体" w:hAnsi="宋体" w:cs="宋体"/>
                <w:kern w:val="0"/>
                <w:sz w:val="24"/>
                <w:szCs w:val="24"/>
              </w:rPr>
              <w:t>含其他有毒有害物质的废水、医疗废水</w:t>
            </w:r>
          </w:p>
        </w:tc>
        <w:tc>
          <w:tcPr>
            <w:tcW w:w="1073" w:type="dxa"/>
            <w:vAlign w:val="center"/>
          </w:tcPr>
          <w:p>
            <w:pPr>
              <w:overflowPunct w:val="0"/>
              <w:topLinePunct/>
              <w:snapToGrid w:val="0"/>
              <w:spacing w:line="360" w:lineRule="exact"/>
              <w:jc w:val="center"/>
              <w:rPr>
                <w:rFonts w:ascii="宋体" w:hAnsi="宋体" w:cs="宋体"/>
                <w:kern w:val="0"/>
                <w:sz w:val="24"/>
                <w:szCs w:val="24"/>
              </w:rPr>
            </w:pPr>
            <w:r>
              <w:rPr>
                <w:rFonts w:ascii="宋体" w:hAnsi="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2098" w:type="dxa"/>
            <w:vMerge w:val="continue"/>
            <w:vAlign w:val="center"/>
          </w:tcPr>
          <w:p>
            <w:pPr>
              <w:overflowPunct w:val="0"/>
              <w:topLinePunct/>
              <w:snapToGrid w:val="0"/>
              <w:spacing w:line="360" w:lineRule="exact"/>
              <w:jc w:val="left"/>
              <w:rPr>
                <w:rFonts w:ascii="宋体"/>
                <w:kern w:val="0"/>
                <w:sz w:val="24"/>
                <w:szCs w:val="24"/>
              </w:rPr>
            </w:pPr>
          </w:p>
        </w:tc>
        <w:tc>
          <w:tcPr>
            <w:tcW w:w="5549" w:type="dxa"/>
            <w:vAlign w:val="center"/>
          </w:tcPr>
          <w:p>
            <w:pPr>
              <w:overflowPunct w:val="0"/>
              <w:topLinePunct/>
              <w:snapToGrid w:val="0"/>
              <w:spacing w:line="360" w:lineRule="exact"/>
              <w:rPr>
                <w:rFonts w:ascii="宋体"/>
                <w:w w:val="90"/>
                <w:sz w:val="24"/>
                <w:szCs w:val="24"/>
              </w:rPr>
            </w:pPr>
            <w:r>
              <w:rPr>
                <w:rFonts w:hint="eastAsia" w:ascii="宋体" w:hAnsi="宋体" w:cs="宋体"/>
                <w:kern w:val="0"/>
                <w:sz w:val="24"/>
                <w:szCs w:val="24"/>
              </w:rPr>
              <w:t>含一类污染物或重金属、病原体、放射性物质的废水</w:t>
            </w:r>
          </w:p>
        </w:tc>
        <w:tc>
          <w:tcPr>
            <w:tcW w:w="1073" w:type="dxa"/>
            <w:vAlign w:val="center"/>
          </w:tcPr>
          <w:p>
            <w:pPr>
              <w:overflowPunct w:val="0"/>
              <w:topLinePunct/>
              <w:snapToGrid w:val="0"/>
              <w:spacing w:line="360" w:lineRule="exact"/>
              <w:jc w:val="center"/>
              <w:rPr>
                <w:rFonts w:ascii="宋体" w:hAnsi="宋体" w:cs="宋体"/>
                <w:kern w:val="0"/>
                <w:sz w:val="24"/>
                <w:szCs w:val="24"/>
              </w:rPr>
            </w:pPr>
            <w:r>
              <w:rPr>
                <w:rFonts w:ascii="宋体" w:hAnsi="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70" w:hRule="atLeast"/>
          <w:jc w:val="center"/>
        </w:trPr>
        <w:tc>
          <w:tcPr>
            <w:tcW w:w="2098" w:type="dxa"/>
            <w:vMerge w:val="restart"/>
            <w:vAlign w:val="center"/>
          </w:tcPr>
          <w:p>
            <w:pPr>
              <w:overflowPunct w:val="0"/>
              <w:topLinePunct/>
              <w:snapToGrid w:val="0"/>
              <w:spacing w:line="360" w:lineRule="exact"/>
              <w:jc w:val="center"/>
              <w:rPr>
                <w:rFonts w:ascii="宋体"/>
                <w:kern w:val="0"/>
                <w:sz w:val="24"/>
                <w:szCs w:val="24"/>
              </w:rPr>
            </w:pPr>
            <w:r>
              <w:rPr>
                <w:rFonts w:hint="eastAsia" w:ascii="宋体" w:cs="宋体"/>
                <w:kern w:val="0"/>
                <w:sz w:val="24"/>
                <w:szCs w:val="24"/>
              </w:rPr>
              <w:t>工业固体废物类别</w:t>
            </w:r>
          </w:p>
        </w:tc>
        <w:tc>
          <w:tcPr>
            <w:tcW w:w="5549" w:type="dxa"/>
            <w:vAlign w:val="center"/>
          </w:tcPr>
          <w:p>
            <w:pPr>
              <w:overflowPunct w:val="0"/>
              <w:topLinePunct/>
              <w:snapToGrid w:val="0"/>
              <w:spacing w:line="360" w:lineRule="exact"/>
              <w:rPr>
                <w:rFonts w:ascii="宋体"/>
                <w:kern w:val="0"/>
                <w:sz w:val="24"/>
                <w:szCs w:val="24"/>
              </w:rPr>
            </w:pPr>
            <w:r>
              <w:rPr>
                <w:rFonts w:hint="eastAsia" w:ascii="宋体" w:hAnsi="宋体" w:cs="宋体"/>
                <w:kern w:val="0"/>
                <w:sz w:val="24"/>
                <w:szCs w:val="24"/>
              </w:rPr>
              <w:t>Ⅰ类一般工业固体废物</w:t>
            </w:r>
          </w:p>
        </w:tc>
        <w:tc>
          <w:tcPr>
            <w:tcW w:w="1073" w:type="dxa"/>
            <w:vAlign w:val="center"/>
          </w:tcPr>
          <w:p>
            <w:pPr>
              <w:overflowPunct w:val="0"/>
              <w:topLinePunct/>
              <w:snapToGrid w:val="0"/>
              <w:spacing w:line="360" w:lineRule="exact"/>
              <w:jc w:val="center"/>
              <w:rPr>
                <w:rFonts w:ascii="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70" w:hRule="atLeast"/>
          <w:jc w:val="center"/>
        </w:trPr>
        <w:tc>
          <w:tcPr>
            <w:tcW w:w="2098" w:type="dxa"/>
            <w:vMerge w:val="continue"/>
            <w:vAlign w:val="center"/>
          </w:tcPr>
          <w:p>
            <w:pPr>
              <w:overflowPunct w:val="0"/>
              <w:topLinePunct/>
              <w:snapToGrid w:val="0"/>
              <w:spacing w:line="360" w:lineRule="exact"/>
              <w:jc w:val="left"/>
              <w:rPr>
                <w:rFonts w:ascii="宋体"/>
                <w:kern w:val="0"/>
                <w:sz w:val="24"/>
                <w:szCs w:val="24"/>
              </w:rPr>
            </w:pPr>
          </w:p>
        </w:tc>
        <w:tc>
          <w:tcPr>
            <w:tcW w:w="5549" w:type="dxa"/>
            <w:vAlign w:val="center"/>
          </w:tcPr>
          <w:p>
            <w:pPr>
              <w:overflowPunct w:val="0"/>
              <w:topLinePunct/>
              <w:snapToGrid w:val="0"/>
              <w:spacing w:line="360" w:lineRule="exact"/>
              <w:rPr>
                <w:rFonts w:ascii="宋体"/>
                <w:kern w:val="0"/>
                <w:sz w:val="24"/>
                <w:szCs w:val="24"/>
              </w:rPr>
            </w:pPr>
            <w:r>
              <w:rPr>
                <w:rFonts w:hint="eastAsia" w:ascii="宋体" w:hAnsi="宋体" w:cs="宋体"/>
                <w:kern w:val="0"/>
                <w:sz w:val="24"/>
                <w:szCs w:val="24"/>
              </w:rPr>
              <w:t>Ⅱ类一般工业固体废物</w:t>
            </w:r>
          </w:p>
        </w:tc>
        <w:tc>
          <w:tcPr>
            <w:tcW w:w="1073" w:type="dxa"/>
            <w:vAlign w:val="center"/>
          </w:tcPr>
          <w:p>
            <w:pPr>
              <w:overflowPunct w:val="0"/>
              <w:topLinePunct/>
              <w:snapToGrid w:val="0"/>
              <w:spacing w:line="360" w:lineRule="exact"/>
              <w:jc w:val="center"/>
              <w:rPr>
                <w:rFonts w:ascii="宋体"/>
                <w:kern w:val="0"/>
                <w:sz w:val="24"/>
                <w:szCs w:val="24"/>
              </w:rPr>
            </w:pPr>
            <w:r>
              <w:rPr>
                <w:rFonts w:ascii="宋体" w:hAns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70" w:hRule="atLeast"/>
          <w:jc w:val="center"/>
        </w:trPr>
        <w:tc>
          <w:tcPr>
            <w:tcW w:w="2098" w:type="dxa"/>
            <w:vMerge w:val="continue"/>
            <w:vAlign w:val="center"/>
          </w:tcPr>
          <w:p>
            <w:pPr>
              <w:overflowPunct w:val="0"/>
              <w:topLinePunct/>
              <w:snapToGrid w:val="0"/>
              <w:spacing w:line="360" w:lineRule="exact"/>
              <w:jc w:val="left"/>
              <w:rPr>
                <w:rFonts w:ascii="宋体"/>
                <w:kern w:val="0"/>
                <w:sz w:val="24"/>
                <w:szCs w:val="24"/>
              </w:rPr>
            </w:pPr>
          </w:p>
        </w:tc>
        <w:tc>
          <w:tcPr>
            <w:tcW w:w="5549" w:type="dxa"/>
            <w:vAlign w:val="center"/>
          </w:tcPr>
          <w:p>
            <w:pPr>
              <w:overflowPunct w:val="0"/>
              <w:topLinePunct/>
              <w:snapToGrid w:val="0"/>
              <w:spacing w:line="360" w:lineRule="exact"/>
              <w:rPr>
                <w:rFonts w:ascii="宋体"/>
                <w:kern w:val="0"/>
                <w:sz w:val="24"/>
                <w:szCs w:val="24"/>
              </w:rPr>
            </w:pPr>
            <w:r>
              <w:rPr>
                <w:rFonts w:hint="eastAsia" w:ascii="宋体" w:hAnsi="宋体" w:cs="宋体"/>
                <w:kern w:val="0"/>
                <w:sz w:val="24"/>
                <w:szCs w:val="24"/>
              </w:rPr>
              <w:t>危险废物</w:t>
            </w:r>
          </w:p>
        </w:tc>
        <w:tc>
          <w:tcPr>
            <w:tcW w:w="1073" w:type="dxa"/>
            <w:vAlign w:val="center"/>
          </w:tcPr>
          <w:p>
            <w:pPr>
              <w:overflowPunct w:val="0"/>
              <w:topLinePunct/>
              <w:snapToGrid w:val="0"/>
              <w:spacing w:line="360" w:lineRule="exact"/>
              <w:jc w:val="center"/>
              <w:rPr>
                <w:rFonts w:ascii="宋体"/>
                <w:kern w:val="0"/>
                <w:sz w:val="24"/>
                <w:szCs w:val="24"/>
              </w:rPr>
            </w:pPr>
            <w:r>
              <w:rPr>
                <w:rFonts w:ascii="宋体" w:hAnsi="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2" w:hRule="atLeast"/>
          <w:jc w:val="center"/>
        </w:trPr>
        <w:tc>
          <w:tcPr>
            <w:tcW w:w="2098" w:type="dxa"/>
            <w:vMerge w:val="restart"/>
            <w:vAlign w:val="center"/>
          </w:tcPr>
          <w:p>
            <w:pPr>
              <w:overflowPunct w:val="0"/>
              <w:topLinePunct/>
              <w:snapToGrid w:val="0"/>
              <w:spacing w:line="360" w:lineRule="exact"/>
              <w:ind w:firstLine="360" w:firstLineChars="150"/>
              <w:jc w:val="left"/>
              <w:rPr>
                <w:rFonts w:ascii="宋体"/>
                <w:kern w:val="0"/>
                <w:sz w:val="24"/>
                <w:szCs w:val="24"/>
              </w:rPr>
            </w:pPr>
            <w:r>
              <w:rPr>
                <w:rFonts w:hint="eastAsia" w:ascii="宋体" w:cs="宋体"/>
                <w:kern w:val="0"/>
                <w:sz w:val="24"/>
                <w:szCs w:val="24"/>
              </w:rPr>
              <w:t>排污超标状况</w:t>
            </w:r>
          </w:p>
        </w:tc>
        <w:tc>
          <w:tcPr>
            <w:tcW w:w="5549" w:type="dxa"/>
            <w:vAlign w:val="center"/>
          </w:tcPr>
          <w:p>
            <w:pPr>
              <w:overflowPunct w:val="0"/>
              <w:topLinePunct/>
              <w:snapToGrid w:val="0"/>
              <w:spacing w:line="380" w:lineRule="exact"/>
              <w:rPr>
                <w:rFonts w:ascii="宋体"/>
                <w:kern w:val="0"/>
                <w:sz w:val="24"/>
                <w:szCs w:val="24"/>
              </w:rPr>
            </w:pPr>
            <w:r>
              <w:rPr>
                <w:rFonts w:hint="eastAsia" w:ascii="宋体" w:hAnsi="宋体" w:cs="宋体"/>
                <w:kern w:val="0"/>
                <w:sz w:val="24"/>
                <w:szCs w:val="24"/>
              </w:rPr>
              <w:t>不超标</w:t>
            </w:r>
            <w:r>
              <w:rPr>
                <w:rFonts w:ascii="宋体" w:hAnsi="宋体" w:cs="宋体"/>
                <w:kern w:val="0"/>
                <w:sz w:val="24"/>
                <w:szCs w:val="24"/>
              </w:rPr>
              <w:t>/</w:t>
            </w:r>
            <w:r>
              <w:rPr>
                <w:rFonts w:hint="eastAsia" w:ascii="宋体" w:hAnsi="宋体" w:cs="宋体"/>
                <w:kern w:val="0"/>
                <w:sz w:val="24"/>
                <w:szCs w:val="24"/>
              </w:rPr>
              <w:t>超标</w:t>
            </w:r>
            <w:r>
              <w:rPr>
                <w:rFonts w:ascii="宋体" w:hAnsi="宋体" w:cs="宋体"/>
                <w:kern w:val="0"/>
                <w:sz w:val="24"/>
                <w:szCs w:val="24"/>
              </w:rPr>
              <w:t>10%</w:t>
            </w:r>
            <w:r>
              <w:rPr>
                <w:rFonts w:hint="eastAsia" w:ascii="宋体" w:hAnsi="宋体" w:cs="宋体"/>
                <w:kern w:val="0"/>
                <w:sz w:val="24"/>
                <w:szCs w:val="24"/>
              </w:rPr>
              <w:t>以下</w:t>
            </w:r>
            <w:r>
              <w:rPr>
                <w:rFonts w:ascii="宋体" w:hAnsi="宋体" w:cs="宋体"/>
                <w:kern w:val="0"/>
                <w:sz w:val="24"/>
                <w:szCs w:val="24"/>
              </w:rPr>
              <w:t>/</w:t>
            </w:r>
            <w:r>
              <w:rPr>
                <w:rFonts w:hint="eastAsia" w:ascii="宋体" w:hAnsi="宋体" w:cs="宋体"/>
                <w:kern w:val="0"/>
                <w:sz w:val="24"/>
                <w:szCs w:val="24"/>
              </w:rPr>
              <w:t>林格曼黑度</w:t>
            </w:r>
            <w:r>
              <w:rPr>
                <w:rFonts w:ascii="宋体" w:hAnsi="宋体" w:cs="宋体"/>
                <w:kern w:val="0"/>
                <w:sz w:val="24"/>
                <w:szCs w:val="24"/>
              </w:rPr>
              <w:t>1</w:t>
            </w:r>
            <w:r>
              <w:rPr>
                <w:rFonts w:hint="eastAsia" w:ascii="宋体" w:hAnsi="宋体" w:cs="宋体"/>
                <w:kern w:val="0"/>
                <w:sz w:val="24"/>
                <w:szCs w:val="24"/>
              </w:rPr>
              <w:t>级</w:t>
            </w:r>
          </w:p>
        </w:tc>
        <w:tc>
          <w:tcPr>
            <w:tcW w:w="1073" w:type="dxa"/>
            <w:vAlign w:val="center"/>
          </w:tcPr>
          <w:p>
            <w:pPr>
              <w:overflowPunct w:val="0"/>
              <w:topLinePunct/>
              <w:snapToGrid w:val="0"/>
              <w:spacing w:line="360" w:lineRule="exact"/>
              <w:jc w:val="center"/>
              <w:rPr>
                <w:rFonts w:ascii="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2" w:hRule="atLeast"/>
          <w:jc w:val="center"/>
        </w:trPr>
        <w:tc>
          <w:tcPr>
            <w:tcW w:w="2098" w:type="dxa"/>
            <w:vMerge w:val="continue"/>
            <w:vAlign w:val="center"/>
          </w:tcPr>
          <w:p>
            <w:pPr>
              <w:overflowPunct w:val="0"/>
              <w:topLinePunct/>
              <w:snapToGrid w:val="0"/>
              <w:spacing w:line="360" w:lineRule="exact"/>
              <w:jc w:val="left"/>
              <w:rPr>
                <w:rFonts w:ascii="宋体"/>
                <w:kern w:val="0"/>
                <w:sz w:val="24"/>
                <w:szCs w:val="24"/>
              </w:rPr>
            </w:pPr>
          </w:p>
        </w:tc>
        <w:tc>
          <w:tcPr>
            <w:tcW w:w="5549" w:type="dxa"/>
            <w:vAlign w:val="center"/>
          </w:tcPr>
          <w:p>
            <w:pPr>
              <w:overflowPunct w:val="0"/>
              <w:topLinePunct/>
              <w:snapToGrid w:val="0"/>
              <w:spacing w:line="380" w:lineRule="exact"/>
              <w:rPr>
                <w:rFonts w:ascii="宋体"/>
                <w:kern w:val="0"/>
                <w:sz w:val="24"/>
                <w:szCs w:val="24"/>
              </w:rPr>
            </w:pPr>
            <w:r>
              <w:rPr>
                <w:rFonts w:hint="eastAsia" w:ascii="宋体" w:hAnsi="宋体" w:cs="宋体"/>
                <w:kern w:val="0"/>
                <w:sz w:val="24"/>
                <w:szCs w:val="24"/>
              </w:rPr>
              <w:t>超标</w:t>
            </w:r>
            <w:r>
              <w:rPr>
                <w:rFonts w:ascii="宋体" w:hAnsi="宋体" w:cs="宋体"/>
                <w:kern w:val="0"/>
                <w:sz w:val="24"/>
                <w:szCs w:val="24"/>
              </w:rPr>
              <w:t>10%</w:t>
            </w:r>
            <w:r>
              <w:rPr>
                <w:rFonts w:hint="eastAsia" w:ascii="宋体" w:hAnsi="宋体" w:cs="宋体"/>
                <w:kern w:val="0"/>
                <w:sz w:val="24"/>
                <w:szCs w:val="24"/>
              </w:rPr>
              <w:t>以上</w:t>
            </w:r>
            <w:r>
              <w:rPr>
                <w:rFonts w:ascii="宋体" w:hAnsi="宋体" w:cs="宋体"/>
                <w:kern w:val="0"/>
                <w:sz w:val="24"/>
                <w:szCs w:val="24"/>
              </w:rPr>
              <w:t>50%</w:t>
            </w:r>
            <w:r>
              <w:rPr>
                <w:rFonts w:hint="eastAsia" w:ascii="宋体" w:hAnsi="宋体" w:cs="宋体"/>
                <w:kern w:val="0"/>
                <w:sz w:val="24"/>
                <w:szCs w:val="24"/>
              </w:rPr>
              <w:t>以下</w:t>
            </w:r>
            <w:r>
              <w:rPr>
                <w:rFonts w:ascii="宋体" w:hAnsi="宋体" w:cs="宋体"/>
                <w:kern w:val="0"/>
                <w:sz w:val="24"/>
                <w:szCs w:val="24"/>
              </w:rPr>
              <w:t>/</w:t>
            </w:r>
            <w:r>
              <w:rPr>
                <w:rFonts w:hint="eastAsia" w:ascii="宋体" w:hAnsi="宋体" w:cs="宋体"/>
                <w:kern w:val="0"/>
                <w:sz w:val="24"/>
                <w:szCs w:val="24"/>
              </w:rPr>
              <w:t>林格曼黑度</w:t>
            </w:r>
            <w:r>
              <w:rPr>
                <w:rFonts w:ascii="宋体" w:hAnsi="宋体" w:cs="宋体"/>
                <w:kern w:val="0"/>
                <w:sz w:val="24"/>
                <w:szCs w:val="24"/>
              </w:rPr>
              <w:t>2</w:t>
            </w:r>
            <w:r>
              <w:rPr>
                <w:rFonts w:hint="eastAsia" w:ascii="宋体" w:hAnsi="宋体" w:cs="宋体"/>
                <w:kern w:val="0"/>
                <w:sz w:val="24"/>
                <w:szCs w:val="24"/>
              </w:rPr>
              <w:t>级</w:t>
            </w:r>
          </w:p>
        </w:tc>
        <w:tc>
          <w:tcPr>
            <w:tcW w:w="1073" w:type="dxa"/>
            <w:vAlign w:val="center"/>
          </w:tcPr>
          <w:p>
            <w:pPr>
              <w:overflowPunct w:val="0"/>
              <w:topLinePunct/>
              <w:snapToGrid w:val="0"/>
              <w:spacing w:line="360" w:lineRule="exact"/>
              <w:jc w:val="center"/>
              <w:rPr>
                <w:rFonts w:ascii="宋体"/>
                <w:kern w:val="0"/>
                <w:sz w:val="24"/>
                <w:szCs w:val="24"/>
              </w:rPr>
            </w:pPr>
            <w:r>
              <w:rPr>
                <w:rFonts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2" w:hRule="atLeast"/>
          <w:jc w:val="center"/>
        </w:trPr>
        <w:tc>
          <w:tcPr>
            <w:tcW w:w="2098" w:type="dxa"/>
            <w:vMerge w:val="continue"/>
            <w:vAlign w:val="center"/>
          </w:tcPr>
          <w:p>
            <w:pPr>
              <w:overflowPunct w:val="0"/>
              <w:topLinePunct/>
              <w:snapToGrid w:val="0"/>
              <w:spacing w:line="360" w:lineRule="exact"/>
              <w:jc w:val="left"/>
              <w:rPr>
                <w:rFonts w:ascii="宋体"/>
                <w:kern w:val="0"/>
                <w:sz w:val="24"/>
                <w:szCs w:val="24"/>
              </w:rPr>
            </w:pPr>
          </w:p>
        </w:tc>
        <w:tc>
          <w:tcPr>
            <w:tcW w:w="5549" w:type="dxa"/>
            <w:vAlign w:val="center"/>
          </w:tcPr>
          <w:p>
            <w:pPr>
              <w:overflowPunct w:val="0"/>
              <w:topLinePunct/>
              <w:snapToGrid w:val="0"/>
              <w:spacing w:line="380" w:lineRule="exact"/>
              <w:rPr>
                <w:rFonts w:ascii="宋体"/>
                <w:kern w:val="0"/>
                <w:sz w:val="24"/>
                <w:szCs w:val="24"/>
              </w:rPr>
            </w:pPr>
            <w:r>
              <w:rPr>
                <w:rFonts w:hint="eastAsia" w:ascii="宋体" w:hAnsi="宋体" w:cs="宋体"/>
                <w:kern w:val="0"/>
                <w:sz w:val="24"/>
                <w:szCs w:val="24"/>
              </w:rPr>
              <w:t>超标</w:t>
            </w:r>
            <w:r>
              <w:rPr>
                <w:rFonts w:ascii="宋体" w:hAnsi="宋体" w:cs="宋体"/>
                <w:kern w:val="0"/>
                <w:sz w:val="24"/>
                <w:szCs w:val="24"/>
              </w:rPr>
              <w:t>50%</w:t>
            </w:r>
            <w:r>
              <w:rPr>
                <w:rFonts w:hint="eastAsia" w:ascii="宋体" w:hAnsi="宋体" w:cs="宋体"/>
                <w:kern w:val="0"/>
                <w:sz w:val="24"/>
                <w:szCs w:val="24"/>
              </w:rPr>
              <w:t>以上</w:t>
            </w:r>
            <w:r>
              <w:rPr>
                <w:rFonts w:ascii="宋体" w:hAnsi="宋体" w:cs="宋体"/>
                <w:kern w:val="0"/>
                <w:sz w:val="24"/>
                <w:szCs w:val="24"/>
              </w:rPr>
              <w:t>100%</w:t>
            </w:r>
            <w:r>
              <w:rPr>
                <w:rFonts w:hint="eastAsia" w:ascii="宋体" w:hAnsi="宋体" w:cs="宋体"/>
                <w:kern w:val="0"/>
                <w:sz w:val="24"/>
                <w:szCs w:val="24"/>
              </w:rPr>
              <w:t>以下</w:t>
            </w:r>
            <w:r>
              <w:rPr>
                <w:rFonts w:ascii="宋体" w:hAnsi="宋体" w:cs="宋体"/>
                <w:kern w:val="0"/>
                <w:sz w:val="24"/>
                <w:szCs w:val="24"/>
              </w:rPr>
              <w:t>/</w:t>
            </w:r>
            <w:r>
              <w:rPr>
                <w:rFonts w:hint="eastAsia" w:ascii="宋体" w:hAnsi="宋体" w:cs="宋体"/>
                <w:kern w:val="0"/>
                <w:sz w:val="24"/>
                <w:szCs w:val="24"/>
              </w:rPr>
              <w:t>林格曼黑度</w:t>
            </w:r>
            <w:r>
              <w:rPr>
                <w:rFonts w:ascii="宋体" w:hAnsi="宋体" w:cs="宋体"/>
                <w:kern w:val="0"/>
                <w:sz w:val="24"/>
                <w:szCs w:val="24"/>
              </w:rPr>
              <w:t>3</w:t>
            </w:r>
            <w:r>
              <w:rPr>
                <w:rFonts w:hint="eastAsia" w:ascii="宋体" w:hAnsi="宋体" w:cs="宋体"/>
                <w:kern w:val="0"/>
                <w:sz w:val="24"/>
                <w:szCs w:val="24"/>
              </w:rPr>
              <w:t>级</w:t>
            </w:r>
          </w:p>
        </w:tc>
        <w:tc>
          <w:tcPr>
            <w:tcW w:w="1073" w:type="dxa"/>
            <w:vAlign w:val="center"/>
          </w:tcPr>
          <w:p>
            <w:pPr>
              <w:overflowPunct w:val="0"/>
              <w:topLinePunct/>
              <w:snapToGrid w:val="0"/>
              <w:spacing w:line="360" w:lineRule="exact"/>
              <w:jc w:val="center"/>
              <w:rPr>
                <w:rFonts w:ascii="宋体"/>
                <w:kern w:val="0"/>
                <w:sz w:val="24"/>
                <w:szCs w:val="24"/>
              </w:rPr>
            </w:pPr>
            <w:r>
              <w:rPr>
                <w:rFonts w:ascii="宋体" w:hAns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2" w:hRule="atLeast"/>
          <w:jc w:val="center"/>
        </w:trPr>
        <w:tc>
          <w:tcPr>
            <w:tcW w:w="2098" w:type="dxa"/>
            <w:vMerge w:val="continue"/>
            <w:vAlign w:val="center"/>
          </w:tcPr>
          <w:p>
            <w:pPr>
              <w:overflowPunct w:val="0"/>
              <w:topLinePunct/>
              <w:snapToGrid w:val="0"/>
              <w:spacing w:line="360" w:lineRule="exact"/>
              <w:jc w:val="left"/>
              <w:rPr>
                <w:rFonts w:ascii="宋体"/>
                <w:kern w:val="0"/>
                <w:sz w:val="24"/>
                <w:szCs w:val="24"/>
              </w:rPr>
            </w:pPr>
          </w:p>
        </w:tc>
        <w:tc>
          <w:tcPr>
            <w:tcW w:w="5549" w:type="dxa"/>
            <w:vAlign w:val="center"/>
          </w:tcPr>
          <w:p>
            <w:pPr>
              <w:overflowPunct w:val="0"/>
              <w:topLinePunct/>
              <w:snapToGrid w:val="0"/>
              <w:spacing w:line="380" w:lineRule="exact"/>
              <w:rPr>
                <w:rFonts w:ascii="宋体"/>
                <w:kern w:val="0"/>
                <w:sz w:val="24"/>
                <w:szCs w:val="24"/>
              </w:rPr>
            </w:pPr>
            <w:r>
              <w:rPr>
                <w:rFonts w:hint="eastAsia" w:ascii="宋体" w:hAnsi="宋体" w:cs="宋体"/>
                <w:kern w:val="0"/>
                <w:sz w:val="24"/>
                <w:szCs w:val="24"/>
              </w:rPr>
              <w:t>超标</w:t>
            </w:r>
            <w:r>
              <w:rPr>
                <w:rFonts w:ascii="宋体" w:hAnsi="宋体" w:cs="宋体"/>
                <w:kern w:val="0"/>
                <w:sz w:val="24"/>
                <w:szCs w:val="24"/>
              </w:rPr>
              <w:t>100%</w:t>
            </w:r>
            <w:r>
              <w:rPr>
                <w:rFonts w:hint="eastAsia" w:ascii="宋体" w:hAnsi="宋体" w:cs="宋体"/>
                <w:kern w:val="0"/>
                <w:sz w:val="24"/>
                <w:szCs w:val="24"/>
              </w:rPr>
              <w:t>以上</w:t>
            </w:r>
            <w:r>
              <w:rPr>
                <w:rFonts w:ascii="宋体" w:hAnsi="宋体" w:cs="宋体"/>
                <w:kern w:val="0"/>
                <w:sz w:val="24"/>
                <w:szCs w:val="24"/>
              </w:rPr>
              <w:t>200%</w:t>
            </w:r>
            <w:r>
              <w:rPr>
                <w:rFonts w:hint="eastAsia" w:ascii="宋体" w:hAnsi="宋体" w:cs="宋体"/>
                <w:kern w:val="0"/>
                <w:sz w:val="24"/>
                <w:szCs w:val="24"/>
              </w:rPr>
              <w:t>以下</w:t>
            </w:r>
            <w:r>
              <w:rPr>
                <w:rFonts w:ascii="宋体" w:hAnsi="宋体" w:cs="宋体"/>
                <w:kern w:val="0"/>
                <w:sz w:val="24"/>
                <w:szCs w:val="24"/>
              </w:rPr>
              <w:t>/</w:t>
            </w:r>
            <w:r>
              <w:rPr>
                <w:rFonts w:hint="eastAsia" w:ascii="宋体" w:hAnsi="宋体" w:cs="宋体"/>
                <w:kern w:val="0"/>
                <w:sz w:val="24"/>
                <w:szCs w:val="24"/>
              </w:rPr>
              <w:t>林格曼黑度</w:t>
            </w:r>
            <w:r>
              <w:rPr>
                <w:rFonts w:ascii="宋体" w:hAnsi="宋体" w:cs="宋体"/>
                <w:kern w:val="0"/>
                <w:sz w:val="24"/>
                <w:szCs w:val="24"/>
              </w:rPr>
              <w:t>4</w:t>
            </w:r>
            <w:r>
              <w:rPr>
                <w:rFonts w:hint="eastAsia" w:ascii="宋体" w:hAnsi="宋体" w:cs="宋体"/>
                <w:kern w:val="0"/>
                <w:sz w:val="24"/>
                <w:szCs w:val="24"/>
              </w:rPr>
              <w:t>级</w:t>
            </w:r>
          </w:p>
        </w:tc>
        <w:tc>
          <w:tcPr>
            <w:tcW w:w="1073" w:type="dxa"/>
            <w:vAlign w:val="center"/>
          </w:tcPr>
          <w:p>
            <w:pPr>
              <w:overflowPunct w:val="0"/>
              <w:topLinePunct/>
              <w:snapToGrid w:val="0"/>
              <w:spacing w:line="360" w:lineRule="exact"/>
              <w:jc w:val="center"/>
              <w:rPr>
                <w:rFonts w:ascii="宋体"/>
                <w:kern w:val="0"/>
                <w:sz w:val="24"/>
                <w:szCs w:val="24"/>
              </w:rPr>
            </w:pPr>
            <w:r>
              <w:rPr>
                <w:rFonts w:ascii="宋体" w:hAnsi="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2" w:hRule="atLeast"/>
          <w:jc w:val="center"/>
        </w:trPr>
        <w:tc>
          <w:tcPr>
            <w:tcW w:w="2098" w:type="dxa"/>
            <w:vMerge w:val="continue"/>
            <w:vAlign w:val="center"/>
          </w:tcPr>
          <w:p>
            <w:pPr>
              <w:overflowPunct w:val="0"/>
              <w:topLinePunct/>
              <w:snapToGrid w:val="0"/>
              <w:spacing w:line="360" w:lineRule="exact"/>
              <w:jc w:val="left"/>
              <w:rPr>
                <w:rFonts w:ascii="宋体"/>
                <w:kern w:val="0"/>
                <w:sz w:val="24"/>
                <w:szCs w:val="24"/>
              </w:rPr>
            </w:pPr>
          </w:p>
        </w:tc>
        <w:tc>
          <w:tcPr>
            <w:tcW w:w="5549" w:type="dxa"/>
            <w:vAlign w:val="center"/>
          </w:tcPr>
          <w:p>
            <w:pPr>
              <w:overflowPunct w:val="0"/>
              <w:topLinePunct/>
              <w:snapToGrid w:val="0"/>
              <w:spacing w:line="380" w:lineRule="exact"/>
              <w:rPr>
                <w:rFonts w:ascii="宋体"/>
                <w:kern w:val="0"/>
                <w:sz w:val="24"/>
                <w:szCs w:val="24"/>
              </w:rPr>
            </w:pPr>
            <w:r>
              <w:rPr>
                <w:rFonts w:hint="eastAsia" w:ascii="宋体" w:hAnsi="宋体" w:cs="宋体"/>
                <w:kern w:val="0"/>
                <w:sz w:val="24"/>
                <w:szCs w:val="24"/>
              </w:rPr>
              <w:t>超标</w:t>
            </w:r>
            <w:r>
              <w:rPr>
                <w:rFonts w:ascii="宋体" w:hAnsi="宋体" w:cs="宋体"/>
                <w:kern w:val="0"/>
                <w:sz w:val="24"/>
                <w:szCs w:val="24"/>
              </w:rPr>
              <w:t>200%</w:t>
            </w:r>
            <w:r>
              <w:rPr>
                <w:rFonts w:hint="eastAsia" w:ascii="宋体" w:hAnsi="宋体" w:cs="宋体"/>
                <w:kern w:val="0"/>
                <w:sz w:val="24"/>
                <w:szCs w:val="24"/>
              </w:rPr>
              <w:t>以上</w:t>
            </w:r>
            <w:r>
              <w:rPr>
                <w:rFonts w:ascii="宋体" w:hAnsi="宋体" w:cs="宋体"/>
                <w:kern w:val="0"/>
                <w:sz w:val="24"/>
                <w:szCs w:val="24"/>
              </w:rPr>
              <w:t>/</w:t>
            </w:r>
            <w:r>
              <w:rPr>
                <w:rFonts w:hint="eastAsia" w:ascii="宋体" w:hAnsi="宋体" w:cs="宋体"/>
                <w:kern w:val="0"/>
                <w:sz w:val="24"/>
                <w:szCs w:val="24"/>
              </w:rPr>
              <w:t>林格曼黑度</w:t>
            </w:r>
            <w:r>
              <w:rPr>
                <w:rFonts w:ascii="宋体" w:hAnsi="宋体" w:cs="宋体"/>
                <w:kern w:val="0"/>
                <w:sz w:val="24"/>
                <w:szCs w:val="24"/>
              </w:rPr>
              <w:t>5</w:t>
            </w:r>
            <w:r>
              <w:rPr>
                <w:rFonts w:hint="eastAsia" w:ascii="宋体" w:hAnsi="宋体" w:cs="宋体"/>
                <w:kern w:val="0"/>
                <w:sz w:val="24"/>
                <w:szCs w:val="24"/>
              </w:rPr>
              <w:t>级</w:t>
            </w:r>
          </w:p>
        </w:tc>
        <w:tc>
          <w:tcPr>
            <w:tcW w:w="1073" w:type="dxa"/>
            <w:vAlign w:val="center"/>
          </w:tcPr>
          <w:p>
            <w:pPr>
              <w:overflowPunct w:val="0"/>
              <w:topLinePunct/>
              <w:snapToGrid w:val="0"/>
              <w:spacing w:line="360" w:lineRule="exact"/>
              <w:jc w:val="center"/>
              <w:rPr>
                <w:rFonts w:ascii="宋体"/>
                <w:kern w:val="0"/>
                <w:sz w:val="24"/>
                <w:szCs w:val="24"/>
              </w:rPr>
            </w:pPr>
            <w:r>
              <w:rPr>
                <w:rFonts w:ascii="宋体" w:hAnsi="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2" w:hRule="atLeast"/>
          <w:jc w:val="center"/>
        </w:trPr>
        <w:tc>
          <w:tcPr>
            <w:tcW w:w="2098" w:type="dxa"/>
            <w:vMerge w:val="restart"/>
            <w:vAlign w:val="center"/>
          </w:tcPr>
          <w:p>
            <w:pPr>
              <w:overflowPunct w:val="0"/>
              <w:topLinePunct/>
              <w:snapToGrid w:val="0"/>
              <w:spacing w:line="360" w:lineRule="exact"/>
              <w:ind w:firstLine="480" w:firstLineChars="200"/>
              <w:jc w:val="left"/>
              <w:rPr>
                <w:rFonts w:ascii="宋体"/>
                <w:kern w:val="0"/>
                <w:sz w:val="24"/>
                <w:szCs w:val="24"/>
              </w:rPr>
            </w:pPr>
          </w:p>
          <w:p>
            <w:pPr>
              <w:overflowPunct w:val="0"/>
              <w:topLinePunct/>
              <w:snapToGrid w:val="0"/>
              <w:spacing w:line="360" w:lineRule="exact"/>
              <w:ind w:firstLine="240" w:firstLineChars="100"/>
              <w:jc w:val="center"/>
              <w:rPr>
                <w:rFonts w:ascii="宋体"/>
                <w:kern w:val="0"/>
                <w:sz w:val="24"/>
                <w:szCs w:val="24"/>
              </w:rPr>
            </w:pPr>
            <w:r>
              <w:rPr>
                <w:rFonts w:hint="eastAsia" w:ascii="宋体" w:cs="宋体"/>
                <w:kern w:val="0"/>
                <w:sz w:val="24"/>
                <w:szCs w:val="24"/>
              </w:rPr>
              <w:t>设施运行状况</w:t>
            </w:r>
          </w:p>
        </w:tc>
        <w:tc>
          <w:tcPr>
            <w:tcW w:w="5549" w:type="dxa"/>
            <w:vAlign w:val="center"/>
          </w:tcPr>
          <w:p>
            <w:pPr>
              <w:overflowPunct w:val="0"/>
              <w:topLinePunct/>
              <w:snapToGrid w:val="0"/>
              <w:spacing w:line="360" w:lineRule="exact"/>
              <w:rPr>
                <w:rFonts w:ascii="宋体"/>
                <w:kern w:val="0"/>
                <w:sz w:val="24"/>
                <w:szCs w:val="24"/>
              </w:rPr>
            </w:pPr>
            <w:r>
              <w:rPr>
                <w:rFonts w:hint="eastAsia" w:ascii="宋体" w:hAnsi="宋体" w:cs="宋体"/>
                <w:kern w:val="0"/>
                <w:sz w:val="24"/>
                <w:szCs w:val="24"/>
              </w:rPr>
              <w:t>部分处理设施不能正常运行</w:t>
            </w:r>
          </w:p>
        </w:tc>
        <w:tc>
          <w:tcPr>
            <w:tcW w:w="1073" w:type="dxa"/>
            <w:vAlign w:val="center"/>
          </w:tcPr>
          <w:p>
            <w:pPr>
              <w:overflowPunct w:val="0"/>
              <w:topLinePunct/>
              <w:snapToGrid w:val="0"/>
              <w:spacing w:line="360" w:lineRule="exact"/>
              <w:jc w:val="center"/>
              <w:rPr>
                <w:rFonts w:ascii="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2" w:hRule="atLeast"/>
          <w:jc w:val="center"/>
        </w:trPr>
        <w:tc>
          <w:tcPr>
            <w:tcW w:w="2098" w:type="dxa"/>
            <w:vMerge w:val="continue"/>
            <w:vAlign w:val="center"/>
          </w:tcPr>
          <w:p>
            <w:pPr>
              <w:overflowPunct w:val="0"/>
              <w:topLinePunct/>
              <w:snapToGrid w:val="0"/>
              <w:spacing w:line="360" w:lineRule="exact"/>
              <w:jc w:val="left"/>
              <w:rPr>
                <w:rFonts w:ascii="宋体"/>
                <w:kern w:val="0"/>
                <w:sz w:val="24"/>
                <w:szCs w:val="24"/>
              </w:rPr>
            </w:pPr>
          </w:p>
        </w:tc>
        <w:tc>
          <w:tcPr>
            <w:tcW w:w="5549" w:type="dxa"/>
            <w:vAlign w:val="center"/>
          </w:tcPr>
          <w:p>
            <w:pPr>
              <w:overflowPunct w:val="0"/>
              <w:topLinePunct/>
              <w:snapToGrid w:val="0"/>
              <w:spacing w:line="360" w:lineRule="exact"/>
              <w:rPr>
                <w:rFonts w:ascii="宋体"/>
                <w:kern w:val="0"/>
                <w:sz w:val="24"/>
                <w:szCs w:val="24"/>
              </w:rPr>
            </w:pPr>
            <w:r>
              <w:rPr>
                <w:rFonts w:hint="eastAsia" w:ascii="宋体" w:hAnsi="宋体" w:cs="宋体"/>
                <w:kern w:val="0"/>
                <w:sz w:val="24"/>
                <w:szCs w:val="24"/>
              </w:rPr>
              <w:t>部分处理设施停运</w:t>
            </w:r>
          </w:p>
        </w:tc>
        <w:tc>
          <w:tcPr>
            <w:tcW w:w="1073" w:type="dxa"/>
            <w:vAlign w:val="center"/>
          </w:tcPr>
          <w:p>
            <w:pPr>
              <w:overflowPunct w:val="0"/>
              <w:topLinePunct/>
              <w:snapToGrid w:val="0"/>
              <w:spacing w:line="360" w:lineRule="exact"/>
              <w:jc w:val="center"/>
              <w:rPr>
                <w:rFonts w:ascii="宋体"/>
                <w:kern w:val="0"/>
                <w:sz w:val="24"/>
                <w:szCs w:val="24"/>
              </w:rPr>
            </w:pPr>
            <w:r>
              <w:rPr>
                <w:rFonts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2" w:hRule="atLeast"/>
          <w:jc w:val="center"/>
        </w:trPr>
        <w:tc>
          <w:tcPr>
            <w:tcW w:w="2098" w:type="dxa"/>
            <w:vMerge w:val="continue"/>
            <w:vAlign w:val="center"/>
          </w:tcPr>
          <w:p>
            <w:pPr>
              <w:overflowPunct w:val="0"/>
              <w:topLinePunct/>
              <w:snapToGrid w:val="0"/>
              <w:spacing w:line="360" w:lineRule="exact"/>
              <w:jc w:val="left"/>
              <w:rPr>
                <w:rFonts w:ascii="宋体"/>
                <w:kern w:val="0"/>
                <w:sz w:val="24"/>
                <w:szCs w:val="24"/>
              </w:rPr>
            </w:pPr>
          </w:p>
        </w:tc>
        <w:tc>
          <w:tcPr>
            <w:tcW w:w="5549" w:type="dxa"/>
            <w:vAlign w:val="center"/>
          </w:tcPr>
          <w:p>
            <w:pPr>
              <w:overflowPunct w:val="0"/>
              <w:topLinePunct/>
              <w:snapToGrid w:val="0"/>
              <w:spacing w:line="360" w:lineRule="exact"/>
              <w:rPr>
                <w:rFonts w:ascii="宋体"/>
                <w:kern w:val="0"/>
                <w:sz w:val="24"/>
                <w:szCs w:val="24"/>
              </w:rPr>
            </w:pPr>
            <w:r>
              <w:rPr>
                <w:rFonts w:hint="eastAsia" w:ascii="宋体" w:hAnsi="宋体" w:cs="宋体"/>
                <w:kern w:val="0"/>
                <w:sz w:val="24"/>
                <w:szCs w:val="24"/>
              </w:rPr>
              <w:t>整体或关键处理设施不能正常运行</w:t>
            </w:r>
          </w:p>
        </w:tc>
        <w:tc>
          <w:tcPr>
            <w:tcW w:w="1073" w:type="dxa"/>
            <w:vAlign w:val="center"/>
          </w:tcPr>
          <w:p>
            <w:pPr>
              <w:overflowPunct w:val="0"/>
              <w:topLinePunct/>
              <w:snapToGrid w:val="0"/>
              <w:spacing w:line="360" w:lineRule="exact"/>
              <w:jc w:val="center"/>
              <w:rPr>
                <w:rFonts w:ascii="宋体"/>
                <w:kern w:val="0"/>
                <w:sz w:val="24"/>
                <w:szCs w:val="24"/>
              </w:rPr>
            </w:pPr>
            <w:r>
              <w:rPr>
                <w:rFonts w:ascii="宋体" w:hAns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2" w:hRule="atLeast"/>
          <w:jc w:val="center"/>
        </w:trPr>
        <w:tc>
          <w:tcPr>
            <w:tcW w:w="2098" w:type="dxa"/>
            <w:vMerge w:val="continue"/>
            <w:vAlign w:val="center"/>
          </w:tcPr>
          <w:p>
            <w:pPr>
              <w:overflowPunct w:val="0"/>
              <w:topLinePunct/>
              <w:snapToGrid w:val="0"/>
              <w:spacing w:line="360" w:lineRule="exact"/>
              <w:jc w:val="left"/>
              <w:rPr>
                <w:rFonts w:ascii="宋体"/>
                <w:kern w:val="0"/>
                <w:sz w:val="24"/>
                <w:szCs w:val="24"/>
              </w:rPr>
            </w:pPr>
          </w:p>
        </w:tc>
        <w:tc>
          <w:tcPr>
            <w:tcW w:w="5549" w:type="dxa"/>
            <w:vAlign w:val="center"/>
          </w:tcPr>
          <w:p>
            <w:pPr>
              <w:spacing w:line="360" w:lineRule="auto"/>
              <w:rPr>
                <w:rFonts w:ascii="宋体"/>
                <w:kern w:val="0"/>
                <w:sz w:val="24"/>
                <w:szCs w:val="24"/>
              </w:rPr>
            </w:pPr>
            <w:r>
              <w:rPr>
                <w:rFonts w:hint="eastAsia" w:ascii="宋体" w:hAnsi="宋体" w:cs="宋体"/>
                <w:kern w:val="0"/>
                <w:sz w:val="24"/>
                <w:szCs w:val="24"/>
              </w:rPr>
              <w:t>整体或关键处理设施停运</w:t>
            </w:r>
            <w:r>
              <w:rPr>
                <w:rFonts w:ascii="宋体" w:hAnsi="宋体" w:cs="宋体"/>
                <w:kern w:val="0"/>
                <w:sz w:val="24"/>
                <w:szCs w:val="24"/>
              </w:rPr>
              <w:t>/</w:t>
            </w:r>
            <w:r>
              <w:rPr>
                <w:rFonts w:hint="eastAsia" w:ascii="宋体" w:hAnsi="宋体" w:cs="宋体"/>
                <w:kern w:val="0"/>
                <w:sz w:val="24"/>
                <w:szCs w:val="24"/>
              </w:rPr>
              <w:t>为逃避现场检查临时</w:t>
            </w:r>
          </w:p>
          <w:p>
            <w:pPr>
              <w:overflowPunct w:val="0"/>
              <w:topLinePunct/>
              <w:snapToGrid w:val="0"/>
              <w:spacing w:line="360" w:lineRule="exact"/>
              <w:rPr>
                <w:rFonts w:ascii="宋体"/>
                <w:kern w:val="0"/>
                <w:sz w:val="24"/>
                <w:szCs w:val="24"/>
              </w:rPr>
            </w:pPr>
            <w:r>
              <w:rPr>
                <w:rFonts w:hint="eastAsia" w:ascii="宋体" w:hAnsi="宋体" w:cs="宋体"/>
                <w:kern w:val="0"/>
                <w:sz w:val="24"/>
                <w:szCs w:val="24"/>
              </w:rPr>
              <w:t>停产</w:t>
            </w:r>
          </w:p>
        </w:tc>
        <w:tc>
          <w:tcPr>
            <w:tcW w:w="1073" w:type="dxa"/>
            <w:vAlign w:val="center"/>
          </w:tcPr>
          <w:p>
            <w:pPr>
              <w:overflowPunct w:val="0"/>
              <w:topLinePunct/>
              <w:snapToGrid w:val="0"/>
              <w:spacing w:line="360" w:lineRule="exact"/>
              <w:jc w:val="center"/>
              <w:rPr>
                <w:rFonts w:ascii="宋体"/>
                <w:kern w:val="0"/>
                <w:sz w:val="24"/>
                <w:szCs w:val="24"/>
              </w:rPr>
            </w:pPr>
            <w:r>
              <w:rPr>
                <w:rFonts w:ascii="宋体" w:hAnsi="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2" w:hRule="atLeast"/>
          <w:jc w:val="center"/>
        </w:trPr>
        <w:tc>
          <w:tcPr>
            <w:tcW w:w="2098" w:type="dxa"/>
            <w:vMerge w:val="continue"/>
            <w:vAlign w:val="center"/>
          </w:tcPr>
          <w:p>
            <w:pPr>
              <w:overflowPunct w:val="0"/>
              <w:topLinePunct/>
              <w:snapToGrid w:val="0"/>
              <w:spacing w:line="360" w:lineRule="exact"/>
              <w:jc w:val="left"/>
              <w:rPr>
                <w:rFonts w:ascii="宋体"/>
                <w:kern w:val="0"/>
                <w:sz w:val="24"/>
                <w:szCs w:val="24"/>
              </w:rPr>
            </w:pPr>
          </w:p>
        </w:tc>
        <w:tc>
          <w:tcPr>
            <w:tcW w:w="5549" w:type="dxa"/>
            <w:vAlign w:val="center"/>
          </w:tcPr>
          <w:p>
            <w:pPr>
              <w:spacing w:line="360" w:lineRule="auto"/>
              <w:rPr>
                <w:rFonts w:ascii="宋体"/>
                <w:kern w:val="0"/>
                <w:sz w:val="24"/>
                <w:szCs w:val="24"/>
              </w:rPr>
            </w:pPr>
            <w:r>
              <w:rPr>
                <w:rFonts w:hint="eastAsia" w:ascii="宋体" w:hAnsi="宋体" w:cs="宋体"/>
                <w:kern w:val="0"/>
                <w:sz w:val="24"/>
                <w:szCs w:val="24"/>
              </w:rPr>
              <w:t>正常生产时不通过处理设施、利用其他方式直接</w:t>
            </w:r>
          </w:p>
          <w:p>
            <w:pPr>
              <w:overflowPunct w:val="0"/>
              <w:topLinePunct/>
              <w:snapToGrid w:val="0"/>
              <w:spacing w:line="360" w:lineRule="exact"/>
              <w:rPr>
                <w:rFonts w:ascii="宋体"/>
                <w:kern w:val="0"/>
                <w:sz w:val="24"/>
                <w:szCs w:val="24"/>
              </w:rPr>
            </w:pPr>
            <w:r>
              <w:rPr>
                <w:rFonts w:hint="eastAsia" w:ascii="宋体" w:hAnsi="宋体" w:cs="宋体"/>
                <w:kern w:val="0"/>
                <w:sz w:val="24"/>
                <w:szCs w:val="24"/>
              </w:rPr>
              <w:t>排放</w:t>
            </w:r>
            <w:r>
              <w:rPr>
                <w:rFonts w:ascii="宋体" w:hAnsi="宋体" w:cs="宋体"/>
                <w:kern w:val="0"/>
                <w:sz w:val="24"/>
                <w:szCs w:val="24"/>
              </w:rPr>
              <w:t>/</w:t>
            </w:r>
            <w:r>
              <w:rPr>
                <w:rFonts w:hint="eastAsia" w:ascii="宋体" w:hAnsi="宋体" w:cs="宋体"/>
                <w:kern w:val="0"/>
                <w:sz w:val="24"/>
                <w:szCs w:val="24"/>
              </w:rPr>
              <w:t>篡改、伪造监测数据</w:t>
            </w:r>
          </w:p>
        </w:tc>
        <w:tc>
          <w:tcPr>
            <w:tcW w:w="1073" w:type="dxa"/>
            <w:vAlign w:val="center"/>
          </w:tcPr>
          <w:p>
            <w:pPr>
              <w:overflowPunct w:val="0"/>
              <w:topLinePunct/>
              <w:snapToGrid w:val="0"/>
              <w:spacing w:line="360" w:lineRule="exact"/>
              <w:jc w:val="center"/>
              <w:rPr>
                <w:rFonts w:ascii="宋体"/>
                <w:kern w:val="0"/>
                <w:sz w:val="24"/>
                <w:szCs w:val="24"/>
              </w:rPr>
            </w:pPr>
            <w:r>
              <w:rPr>
                <w:rFonts w:ascii="宋体" w:hAnsi="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02" w:hRule="atLeast"/>
          <w:jc w:val="center"/>
        </w:trPr>
        <w:tc>
          <w:tcPr>
            <w:tcW w:w="2098" w:type="dxa"/>
            <w:vMerge w:val="restart"/>
            <w:vAlign w:val="top"/>
          </w:tcPr>
          <w:p>
            <w:pPr>
              <w:overflowPunct w:val="0"/>
              <w:topLinePunct/>
              <w:spacing w:line="360" w:lineRule="exact"/>
              <w:rPr>
                <w:rFonts w:ascii="宋体"/>
                <w:kern w:val="0"/>
                <w:sz w:val="24"/>
                <w:szCs w:val="24"/>
              </w:rPr>
            </w:pPr>
          </w:p>
          <w:p>
            <w:pPr>
              <w:rPr>
                <w:rFonts w:ascii="宋体"/>
                <w:kern w:val="0"/>
                <w:sz w:val="24"/>
                <w:szCs w:val="24"/>
              </w:rPr>
            </w:pPr>
          </w:p>
          <w:p>
            <w:pPr>
              <w:rPr>
                <w:rFonts w:ascii="宋体"/>
                <w:kern w:val="0"/>
                <w:sz w:val="24"/>
                <w:szCs w:val="24"/>
              </w:rPr>
            </w:pPr>
          </w:p>
          <w:p>
            <w:pPr>
              <w:rPr>
                <w:rFonts w:ascii="宋体"/>
                <w:kern w:val="0"/>
                <w:sz w:val="24"/>
                <w:szCs w:val="24"/>
              </w:rPr>
            </w:pPr>
          </w:p>
          <w:p>
            <w:pPr>
              <w:rPr>
                <w:rFonts w:ascii="宋体"/>
                <w:kern w:val="0"/>
                <w:sz w:val="24"/>
                <w:szCs w:val="24"/>
              </w:rPr>
            </w:pPr>
          </w:p>
          <w:p>
            <w:pPr>
              <w:jc w:val="center"/>
              <w:rPr>
                <w:rFonts w:ascii="宋体"/>
                <w:kern w:val="0"/>
                <w:sz w:val="24"/>
                <w:szCs w:val="24"/>
              </w:rPr>
            </w:pPr>
            <w:r>
              <w:rPr>
                <w:rFonts w:hint="eastAsia" w:ascii="宋体" w:hAnsi="宋体" w:cs="宋体"/>
                <w:kern w:val="0"/>
                <w:sz w:val="24"/>
                <w:szCs w:val="24"/>
              </w:rPr>
              <w:t>小时烟气流量（气）</w:t>
            </w:r>
            <w:r>
              <w:rPr>
                <w:rFonts w:ascii="宋体" w:hAnsi="宋体" w:cs="宋体"/>
                <w:kern w:val="0"/>
                <w:sz w:val="24"/>
                <w:szCs w:val="24"/>
              </w:rPr>
              <w:t>/</w:t>
            </w:r>
            <w:r>
              <w:rPr>
                <w:rFonts w:hint="eastAsia" w:ascii="宋体" w:hAnsi="宋体" w:cs="宋体"/>
                <w:kern w:val="0"/>
                <w:sz w:val="24"/>
                <w:szCs w:val="24"/>
              </w:rPr>
              <w:t>日排放量（水）</w:t>
            </w:r>
          </w:p>
          <w:p>
            <w:pPr>
              <w:overflowPunct w:val="0"/>
              <w:topLinePunct/>
              <w:spacing w:line="360" w:lineRule="exact"/>
              <w:rPr>
                <w:rFonts w:ascii="宋体"/>
                <w:kern w:val="0"/>
                <w:sz w:val="24"/>
                <w:szCs w:val="24"/>
              </w:rPr>
            </w:pPr>
          </w:p>
        </w:tc>
        <w:tc>
          <w:tcPr>
            <w:tcW w:w="5549" w:type="dxa"/>
            <w:vAlign w:val="top"/>
          </w:tcPr>
          <w:p>
            <w:pPr>
              <w:rPr>
                <w:rFonts w:ascii="宋体"/>
                <w:kern w:val="0"/>
                <w:sz w:val="24"/>
                <w:szCs w:val="24"/>
              </w:rPr>
            </w:pPr>
            <w:r>
              <w:rPr>
                <w:rFonts w:hint="eastAsia" w:ascii="宋体" w:hAnsi="宋体" w:cs="宋体"/>
                <w:kern w:val="0"/>
                <w:sz w:val="24"/>
                <w:szCs w:val="24"/>
              </w:rPr>
              <w:t>不足</w:t>
            </w:r>
            <w:r>
              <w:rPr>
                <w:rFonts w:ascii="宋体" w:hAnsi="宋体" w:cs="宋体"/>
                <w:kern w:val="0"/>
                <w:sz w:val="24"/>
                <w:szCs w:val="24"/>
              </w:rPr>
              <w:t>1000</w:t>
            </w:r>
            <w:r>
              <w:rPr>
                <w:rFonts w:hint="eastAsia" w:ascii="宋体" w:hAnsi="宋体" w:cs="宋体"/>
                <w:kern w:val="0"/>
                <w:sz w:val="24"/>
                <w:szCs w:val="24"/>
              </w:rPr>
              <w:t>标立方米</w:t>
            </w:r>
            <w:r>
              <w:rPr>
                <w:rFonts w:ascii="宋体" w:hAnsi="宋体" w:cs="宋体"/>
                <w:kern w:val="0"/>
                <w:sz w:val="24"/>
                <w:szCs w:val="24"/>
              </w:rPr>
              <w:t>/</w:t>
            </w:r>
            <w:r>
              <w:rPr>
                <w:rFonts w:hint="eastAsia" w:ascii="宋体" w:hAnsi="宋体" w:cs="宋体"/>
                <w:kern w:val="0"/>
                <w:sz w:val="24"/>
                <w:szCs w:val="24"/>
              </w:rPr>
              <w:t>不足</w:t>
            </w:r>
            <w:r>
              <w:rPr>
                <w:rFonts w:ascii="宋体" w:hAnsi="宋体" w:cs="宋体"/>
                <w:kern w:val="0"/>
                <w:sz w:val="24"/>
                <w:szCs w:val="24"/>
              </w:rPr>
              <w:t>10</w:t>
            </w:r>
            <w:r>
              <w:rPr>
                <w:rFonts w:hint="eastAsia" w:ascii="宋体" w:hAnsi="宋体" w:cs="宋体"/>
                <w:kern w:val="0"/>
                <w:sz w:val="24"/>
                <w:szCs w:val="24"/>
              </w:rPr>
              <w:t>吨（一般排污单位）</w:t>
            </w:r>
            <w:r>
              <w:rPr>
                <w:rFonts w:ascii="宋体" w:hAnsi="宋体" w:cs="宋体"/>
                <w:kern w:val="0"/>
                <w:sz w:val="24"/>
                <w:szCs w:val="24"/>
              </w:rPr>
              <w:t>/</w:t>
            </w:r>
            <w:r>
              <w:rPr>
                <w:rFonts w:hint="eastAsia" w:ascii="宋体" w:hAnsi="宋体" w:cs="宋体"/>
                <w:kern w:val="0"/>
                <w:sz w:val="24"/>
                <w:szCs w:val="24"/>
              </w:rPr>
              <w:t>不足</w:t>
            </w:r>
            <w:r>
              <w:rPr>
                <w:rFonts w:ascii="宋体" w:hAnsi="宋体" w:cs="宋体"/>
                <w:kern w:val="0"/>
                <w:sz w:val="24"/>
                <w:szCs w:val="24"/>
              </w:rPr>
              <w:t>5</w:t>
            </w:r>
            <w:r>
              <w:rPr>
                <w:rFonts w:hint="eastAsia" w:ascii="宋体" w:hAnsi="宋体" w:cs="宋体"/>
                <w:kern w:val="0"/>
                <w:sz w:val="24"/>
                <w:szCs w:val="24"/>
              </w:rPr>
              <w:t>万吨（生活污水处理厂）</w:t>
            </w:r>
            <w:r>
              <w:rPr>
                <w:rFonts w:ascii="宋体" w:hAnsi="宋体" w:cs="宋体"/>
                <w:kern w:val="0"/>
                <w:sz w:val="24"/>
                <w:szCs w:val="24"/>
              </w:rPr>
              <w:t>/</w:t>
            </w:r>
            <w:r>
              <w:rPr>
                <w:rFonts w:hint="eastAsia" w:ascii="宋体" w:hAnsi="宋体" w:cs="宋体"/>
                <w:kern w:val="0"/>
                <w:sz w:val="24"/>
                <w:szCs w:val="24"/>
              </w:rPr>
              <w:t>不足</w:t>
            </w:r>
            <w:r>
              <w:rPr>
                <w:rFonts w:ascii="宋体" w:hAnsi="宋体" w:cs="宋体"/>
                <w:kern w:val="0"/>
                <w:sz w:val="24"/>
                <w:szCs w:val="24"/>
              </w:rPr>
              <w:t>2000</w:t>
            </w:r>
            <w:r>
              <w:rPr>
                <w:rFonts w:hint="eastAsia" w:ascii="宋体" w:hAnsi="宋体" w:cs="宋体"/>
                <w:kern w:val="0"/>
                <w:sz w:val="24"/>
                <w:szCs w:val="24"/>
              </w:rPr>
              <w:t>吨（工</w:t>
            </w:r>
          </w:p>
          <w:p>
            <w:pPr>
              <w:rPr>
                <w:rFonts w:ascii="宋体"/>
                <w:kern w:val="0"/>
                <w:sz w:val="24"/>
                <w:szCs w:val="24"/>
              </w:rPr>
            </w:pPr>
            <w:r>
              <w:rPr>
                <w:rFonts w:hint="eastAsia" w:ascii="宋体" w:hAnsi="宋体" w:cs="宋体"/>
                <w:kern w:val="0"/>
                <w:sz w:val="24"/>
                <w:szCs w:val="24"/>
              </w:rPr>
              <w:t>业污水处理厂）</w:t>
            </w:r>
          </w:p>
        </w:tc>
        <w:tc>
          <w:tcPr>
            <w:tcW w:w="1073" w:type="dxa"/>
            <w:vAlign w:val="top"/>
          </w:tcPr>
          <w:p>
            <w:pPr>
              <w:overflowPunct w:val="0"/>
              <w:topLinePunct/>
              <w:spacing w:line="360" w:lineRule="exact"/>
              <w:rPr>
                <w:rFonts w:ascii="宋体"/>
                <w:kern w:val="0"/>
                <w:sz w:val="24"/>
                <w:szCs w:val="24"/>
              </w:rPr>
            </w:pPr>
            <w:r>
              <w:rPr>
                <w:rFonts w:ascii="宋体" w:cs="宋体"/>
                <w:kern w:val="0"/>
                <w:sz w:val="24"/>
                <w:szCs w:val="24"/>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02" w:hRule="atLeast"/>
          <w:jc w:val="center"/>
        </w:trPr>
        <w:tc>
          <w:tcPr>
            <w:tcW w:w="2098" w:type="dxa"/>
            <w:vMerge w:val="continue"/>
            <w:vAlign w:val="top"/>
          </w:tcPr>
          <w:p>
            <w:pPr>
              <w:overflowPunct w:val="0"/>
              <w:topLinePunct/>
              <w:snapToGrid w:val="0"/>
              <w:spacing w:line="360" w:lineRule="exact"/>
              <w:jc w:val="left"/>
              <w:rPr>
                <w:rFonts w:ascii="宋体"/>
                <w:kern w:val="0"/>
                <w:sz w:val="24"/>
                <w:szCs w:val="24"/>
              </w:rPr>
            </w:pPr>
          </w:p>
        </w:tc>
        <w:tc>
          <w:tcPr>
            <w:tcW w:w="5549" w:type="dxa"/>
            <w:vAlign w:val="top"/>
          </w:tcPr>
          <w:p>
            <w:pPr>
              <w:rPr>
                <w:rFonts w:ascii="宋体"/>
                <w:kern w:val="0"/>
                <w:sz w:val="24"/>
                <w:szCs w:val="24"/>
              </w:rPr>
            </w:pPr>
            <w:r>
              <w:rPr>
                <w:rFonts w:ascii="宋体" w:hAnsi="宋体" w:cs="宋体"/>
                <w:kern w:val="0"/>
                <w:sz w:val="24"/>
                <w:szCs w:val="24"/>
              </w:rPr>
              <w:t>1000</w:t>
            </w:r>
            <w:r>
              <w:rPr>
                <w:rFonts w:hint="eastAsia" w:ascii="宋体" w:hAnsi="宋体" w:cs="宋体"/>
                <w:kern w:val="0"/>
                <w:sz w:val="24"/>
                <w:szCs w:val="24"/>
              </w:rPr>
              <w:t>标立方米以上不足</w:t>
            </w:r>
            <w:r>
              <w:rPr>
                <w:rFonts w:ascii="宋体" w:hAnsi="宋体" w:cs="宋体"/>
                <w:kern w:val="0"/>
                <w:sz w:val="24"/>
                <w:szCs w:val="24"/>
              </w:rPr>
              <w:t>1</w:t>
            </w:r>
            <w:r>
              <w:rPr>
                <w:rFonts w:hint="eastAsia" w:ascii="宋体" w:hAnsi="宋体" w:cs="宋体"/>
                <w:kern w:val="0"/>
                <w:sz w:val="24"/>
                <w:szCs w:val="24"/>
              </w:rPr>
              <w:t>万标立方米</w:t>
            </w:r>
            <w:r>
              <w:rPr>
                <w:rFonts w:ascii="宋体" w:hAnsi="宋体" w:cs="宋体"/>
                <w:kern w:val="0"/>
                <w:sz w:val="24"/>
                <w:szCs w:val="24"/>
              </w:rPr>
              <w:t>/10</w:t>
            </w:r>
            <w:r>
              <w:rPr>
                <w:rFonts w:hint="eastAsia" w:ascii="宋体" w:hAnsi="宋体" w:cs="宋体"/>
                <w:kern w:val="0"/>
                <w:sz w:val="24"/>
                <w:szCs w:val="24"/>
              </w:rPr>
              <w:t>吨以上不足</w:t>
            </w:r>
            <w:r>
              <w:rPr>
                <w:rFonts w:ascii="宋体" w:hAnsi="宋体" w:cs="宋体"/>
                <w:kern w:val="0"/>
                <w:sz w:val="24"/>
                <w:szCs w:val="24"/>
              </w:rPr>
              <w:t>100</w:t>
            </w:r>
            <w:r>
              <w:rPr>
                <w:rFonts w:hint="eastAsia" w:ascii="宋体" w:hAnsi="宋体" w:cs="宋体"/>
                <w:kern w:val="0"/>
                <w:sz w:val="24"/>
                <w:szCs w:val="24"/>
              </w:rPr>
              <w:t>吨（一般排污单位）</w:t>
            </w:r>
            <w:r>
              <w:rPr>
                <w:rFonts w:ascii="宋体" w:hAnsi="宋体" w:cs="宋体"/>
                <w:kern w:val="0"/>
                <w:sz w:val="24"/>
                <w:szCs w:val="24"/>
              </w:rPr>
              <w:t>/5</w:t>
            </w:r>
            <w:r>
              <w:rPr>
                <w:rFonts w:hint="eastAsia" w:ascii="宋体" w:hAnsi="宋体" w:cs="宋体"/>
                <w:kern w:val="0"/>
                <w:sz w:val="24"/>
                <w:szCs w:val="24"/>
              </w:rPr>
              <w:t>万吨以上不足</w:t>
            </w:r>
            <w:r>
              <w:rPr>
                <w:rFonts w:ascii="宋体" w:hAnsi="宋体" w:cs="宋体"/>
                <w:kern w:val="0"/>
                <w:sz w:val="24"/>
                <w:szCs w:val="24"/>
              </w:rPr>
              <w:t>10</w:t>
            </w:r>
            <w:r>
              <w:rPr>
                <w:rFonts w:hint="eastAsia" w:ascii="宋体" w:hAnsi="宋体" w:cs="宋体"/>
                <w:kern w:val="0"/>
                <w:sz w:val="24"/>
                <w:szCs w:val="24"/>
              </w:rPr>
              <w:t>万吨（生活污水处理厂）</w:t>
            </w:r>
            <w:r>
              <w:rPr>
                <w:rFonts w:ascii="宋体" w:hAnsi="宋体" w:cs="宋体"/>
                <w:kern w:val="0"/>
                <w:sz w:val="24"/>
                <w:szCs w:val="24"/>
              </w:rPr>
              <w:t>/2000</w:t>
            </w:r>
            <w:r>
              <w:rPr>
                <w:rFonts w:hint="eastAsia" w:ascii="宋体" w:hAnsi="宋体" w:cs="宋体"/>
                <w:kern w:val="0"/>
                <w:sz w:val="24"/>
                <w:szCs w:val="24"/>
              </w:rPr>
              <w:t>吨以上不足</w:t>
            </w:r>
            <w:r>
              <w:rPr>
                <w:rFonts w:ascii="宋体" w:hAnsi="宋体" w:cs="宋体"/>
                <w:kern w:val="0"/>
                <w:sz w:val="24"/>
                <w:szCs w:val="24"/>
              </w:rPr>
              <w:t>5000</w:t>
            </w:r>
            <w:r>
              <w:rPr>
                <w:rFonts w:hint="eastAsia" w:ascii="宋体" w:hAnsi="宋体" w:cs="宋体"/>
                <w:kern w:val="0"/>
                <w:sz w:val="24"/>
                <w:szCs w:val="24"/>
              </w:rPr>
              <w:t>吨（工业污水处理厂）</w:t>
            </w:r>
          </w:p>
        </w:tc>
        <w:tc>
          <w:tcPr>
            <w:tcW w:w="1073" w:type="dxa"/>
            <w:vAlign w:val="top"/>
          </w:tcPr>
          <w:p>
            <w:pPr>
              <w:overflowPunct w:val="0"/>
              <w:topLinePunct/>
              <w:snapToGrid w:val="0"/>
              <w:spacing w:line="360" w:lineRule="exact"/>
              <w:jc w:val="center"/>
              <w:rPr>
                <w:rFonts w:ascii="宋体"/>
                <w:kern w:val="0"/>
                <w:sz w:val="24"/>
                <w:szCs w:val="24"/>
              </w:rPr>
            </w:pPr>
            <w:r>
              <w:rPr>
                <w:rFonts w:asci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02" w:hRule="atLeast"/>
          <w:jc w:val="center"/>
        </w:trPr>
        <w:tc>
          <w:tcPr>
            <w:tcW w:w="2098" w:type="dxa"/>
            <w:vMerge w:val="continue"/>
            <w:vAlign w:val="top"/>
          </w:tcPr>
          <w:p>
            <w:pPr>
              <w:overflowPunct w:val="0"/>
              <w:topLinePunct/>
              <w:snapToGrid w:val="0"/>
              <w:spacing w:line="360" w:lineRule="exact"/>
              <w:jc w:val="left"/>
              <w:rPr>
                <w:rFonts w:ascii="宋体"/>
                <w:kern w:val="0"/>
                <w:sz w:val="24"/>
                <w:szCs w:val="24"/>
              </w:rPr>
            </w:pPr>
          </w:p>
        </w:tc>
        <w:tc>
          <w:tcPr>
            <w:tcW w:w="5549" w:type="dxa"/>
            <w:vAlign w:val="top"/>
          </w:tcPr>
          <w:p>
            <w:pPr>
              <w:overflowPunct w:val="0"/>
              <w:topLinePunct/>
              <w:snapToGrid w:val="0"/>
              <w:spacing w:line="360" w:lineRule="exact"/>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万标立方米以上不足</w:t>
            </w:r>
            <w:r>
              <w:rPr>
                <w:rFonts w:ascii="宋体" w:hAnsi="宋体" w:cs="宋体"/>
                <w:kern w:val="0"/>
                <w:sz w:val="24"/>
                <w:szCs w:val="24"/>
              </w:rPr>
              <w:t>10</w:t>
            </w:r>
            <w:r>
              <w:rPr>
                <w:rFonts w:hint="eastAsia" w:ascii="宋体" w:hAnsi="宋体" w:cs="宋体"/>
                <w:kern w:val="0"/>
                <w:sz w:val="24"/>
                <w:szCs w:val="24"/>
              </w:rPr>
              <w:t>万标立方米</w:t>
            </w:r>
            <w:r>
              <w:rPr>
                <w:rFonts w:ascii="宋体" w:hAnsi="宋体" w:cs="宋体"/>
                <w:kern w:val="0"/>
                <w:sz w:val="24"/>
                <w:szCs w:val="24"/>
              </w:rPr>
              <w:t>/100</w:t>
            </w:r>
            <w:r>
              <w:rPr>
                <w:rFonts w:hint="eastAsia" w:ascii="宋体" w:hAnsi="宋体" w:cs="宋体"/>
                <w:kern w:val="0"/>
                <w:sz w:val="24"/>
                <w:szCs w:val="24"/>
              </w:rPr>
              <w:t>吨以上不足</w:t>
            </w:r>
            <w:r>
              <w:rPr>
                <w:rFonts w:ascii="宋体" w:hAnsi="宋体" w:cs="宋体"/>
                <w:kern w:val="0"/>
                <w:sz w:val="24"/>
                <w:szCs w:val="24"/>
              </w:rPr>
              <w:t>500</w:t>
            </w:r>
            <w:r>
              <w:rPr>
                <w:rFonts w:hint="eastAsia" w:ascii="宋体" w:hAnsi="宋体" w:cs="宋体"/>
                <w:kern w:val="0"/>
                <w:sz w:val="24"/>
                <w:szCs w:val="24"/>
              </w:rPr>
              <w:t>吨（一般排污单位）</w:t>
            </w:r>
            <w:r>
              <w:rPr>
                <w:rFonts w:ascii="宋体" w:hAnsi="宋体" w:cs="宋体"/>
                <w:kern w:val="0"/>
                <w:sz w:val="24"/>
                <w:szCs w:val="24"/>
              </w:rPr>
              <w:t>/10</w:t>
            </w:r>
            <w:r>
              <w:rPr>
                <w:rFonts w:hint="eastAsia" w:ascii="宋体" w:hAnsi="宋体" w:cs="宋体"/>
                <w:kern w:val="0"/>
                <w:sz w:val="24"/>
                <w:szCs w:val="24"/>
              </w:rPr>
              <w:t>万吨以上不足</w:t>
            </w:r>
            <w:r>
              <w:rPr>
                <w:rFonts w:ascii="宋体" w:hAnsi="宋体" w:cs="宋体"/>
                <w:kern w:val="0"/>
                <w:sz w:val="24"/>
                <w:szCs w:val="24"/>
              </w:rPr>
              <w:t>20</w:t>
            </w:r>
            <w:r>
              <w:rPr>
                <w:rFonts w:hint="eastAsia" w:ascii="宋体" w:hAnsi="宋体" w:cs="宋体"/>
                <w:kern w:val="0"/>
                <w:sz w:val="24"/>
                <w:szCs w:val="24"/>
              </w:rPr>
              <w:t>万吨（生活污水处理厂）</w:t>
            </w:r>
            <w:r>
              <w:rPr>
                <w:rFonts w:ascii="宋体" w:hAnsi="宋体" w:cs="宋体"/>
                <w:kern w:val="0"/>
                <w:sz w:val="24"/>
                <w:szCs w:val="24"/>
              </w:rPr>
              <w:t>/5000</w:t>
            </w:r>
            <w:r>
              <w:rPr>
                <w:rFonts w:hint="eastAsia" w:ascii="宋体" w:hAnsi="宋体" w:cs="宋体"/>
                <w:kern w:val="0"/>
                <w:sz w:val="24"/>
                <w:szCs w:val="24"/>
              </w:rPr>
              <w:t>吨以上不足</w:t>
            </w:r>
            <w:r>
              <w:rPr>
                <w:rFonts w:ascii="宋体" w:hAnsi="宋体" w:cs="宋体"/>
                <w:kern w:val="0"/>
                <w:sz w:val="24"/>
                <w:szCs w:val="24"/>
              </w:rPr>
              <w:t>1</w:t>
            </w:r>
            <w:r>
              <w:rPr>
                <w:rFonts w:hint="eastAsia" w:ascii="宋体" w:hAnsi="宋体" w:cs="宋体"/>
                <w:kern w:val="0"/>
                <w:sz w:val="24"/>
                <w:szCs w:val="24"/>
              </w:rPr>
              <w:t>万吨（工业污水处理厂）</w:t>
            </w:r>
          </w:p>
        </w:tc>
        <w:tc>
          <w:tcPr>
            <w:tcW w:w="1073" w:type="dxa"/>
            <w:vAlign w:val="top"/>
          </w:tcPr>
          <w:p>
            <w:pPr>
              <w:overflowPunct w:val="0"/>
              <w:topLinePunct/>
              <w:snapToGrid w:val="0"/>
              <w:spacing w:line="360" w:lineRule="exact"/>
              <w:jc w:val="center"/>
              <w:rPr>
                <w:rFonts w:ascii="宋体"/>
                <w:kern w:val="0"/>
                <w:sz w:val="24"/>
                <w:szCs w:val="24"/>
              </w:rPr>
            </w:pPr>
            <w:r>
              <w:rPr>
                <w:rFonts w:asci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02" w:hRule="atLeast"/>
          <w:jc w:val="center"/>
        </w:trPr>
        <w:tc>
          <w:tcPr>
            <w:tcW w:w="2098" w:type="dxa"/>
            <w:vMerge w:val="continue"/>
            <w:vAlign w:val="top"/>
          </w:tcPr>
          <w:p>
            <w:pPr>
              <w:overflowPunct w:val="0"/>
              <w:topLinePunct/>
              <w:snapToGrid w:val="0"/>
              <w:spacing w:line="360" w:lineRule="exact"/>
              <w:jc w:val="left"/>
              <w:rPr>
                <w:rFonts w:ascii="宋体"/>
                <w:kern w:val="0"/>
                <w:sz w:val="24"/>
                <w:szCs w:val="24"/>
              </w:rPr>
            </w:pPr>
          </w:p>
        </w:tc>
        <w:tc>
          <w:tcPr>
            <w:tcW w:w="5549" w:type="dxa"/>
            <w:vAlign w:val="top"/>
          </w:tcPr>
          <w:p>
            <w:pPr>
              <w:overflowPunct w:val="0"/>
              <w:topLinePunct/>
              <w:snapToGrid w:val="0"/>
              <w:spacing w:line="360" w:lineRule="exact"/>
              <w:rPr>
                <w:rFonts w:ascii="宋体"/>
                <w:kern w:val="0"/>
                <w:sz w:val="24"/>
                <w:szCs w:val="24"/>
              </w:rPr>
            </w:pPr>
            <w:r>
              <w:rPr>
                <w:rFonts w:ascii="宋体" w:hAnsi="宋体" w:cs="宋体"/>
                <w:kern w:val="0"/>
                <w:sz w:val="24"/>
                <w:szCs w:val="24"/>
              </w:rPr>
              <w:t xml:space="preserve">10 </w:t>
            </w:r>
            <w:r>
              <w:rPr>
                <w:rFonts w:hint="eastAsia" w:ascii="宋体" w:hAnsi="宋体" w:cs="宋体"/>
                <w:kern w:val="0"/>
                <w:sz w:val="24"/>
                <w:szCs w:val="24"/>
              </w:rPr>
              <w:t>万标立方米以上不足</w:t>
            </w:r>
            <w:r>
              <w:rPr>
                <w:rFonts w:ascii="宋体" w:hAnsi="宋体" w:cs="宋体"/>
                <w:kern w:val="0"/>
                <w:sz w:val="24"/>
                <w:szCs w:val="24"/>
              </w:rPr>
              <w:t>20</w:t>
            </w:r>
            <w:r>
              <w:rPr>
                <w:rFonts w:hint="eastAsia" w:ascii="宋体" w:hAnsi="宋体" w:cs="宋体"/>
                <w:kern w:val="0"/>
                <w:sz w:val="24"/>
                <w:szCs w:val="24"/>
              </w:rPr>
              <w:t>万标立方米</w:t>
            </w:r>
            <w:r>
              <w:rPr>
                <w:rFonts w:ascii="宋体" w:hAnsi="宋体" w:cs="宋体"/>
                <w:kern w:val="0"/>
                <w:sz w:val="24"/>
                <w:szCs w:val="24"/>
              </w:rPr>
              <w:t>/500</w:t>
            </w:r>
            <w:r>
              <w:rPr>
                <w:rFonts w:hint="eastAsia" w:ascii="宋体" w:hAnsi="宋体" w:cs="宋体"/>
                <w:kern w:val="0"/>
                <w:sz w:val="24"/>
                <w:szCs w:val="24"/>
              </w:rPr>
              <w:t>吨以上不足</w:t>
            </w:r>
            <w:r>
              <w:rPr>
                <w:rFonts w:ascii="宋体" w:hAnsi="宋体" w:cs="宋体"/>
                <w:kern w:val="0"/>
                <w:sz w:val="24"/>
                <w:szCs w:val="24"/>
              </w:rPr>
              <w:t>1000</w:t>
            </w:r>
            <w:r>
              <w:rPr>
                <w:rFonts w:hint="eastAsia" w:ascii="宋体" w:hAnsi="宋体" w:cs="宋体"/>
                <w:kern w:val="0"/>
                <w:sz w:val="24"/>
                <w:szCs w:val="24"/>
              </w:rPr>
              <w:t>吨（一般排污单位）</w:t>
            </w:r>
            <w:r>
              <w:rPr>
                <w:rFonts w:ascii="宋体" w:hAnsi="宋体" w:cs="宋体"/>
                <w:kern w:val="0"/>
                <w:sz w:val="24"/>
                <w:szCs w:val="24"/>
              </w:rPr>
              <w:t>/20</w:t>
            </w:r>
            <w:r>
              <w:rPr>
                <w:rFonts w:hint="eastAsia" w:ascii="宋体" w:hAnsi="宋体" w:cs="宋体"/>
                <w:kern w:val="0"/>
                <w:sz w:val="24"/>
                <w:szCs w:val="24"/>
              </w:rPr>
              <w:t>万吨以上不足</w:t>
            </w:r>
            <w:r>
              <w:rPr>
                <w:rFonts w:ascii="宋体" w:hAnsi="宋体" w:cs="宋体"/>
                <w:kern w:val="0"/>
                <w:sz w:val="24"/>
                <w:szCs w:val="24"/>
              </w:rPr>
              <w:t>50</w:t>
            </w:r>
            <w:r>
              <w:rPr>
                <w:rFonts w:hint="eastAsia" w:ascii="宋体" w:hAnsi="宋体" w:cs="宋体"/>
                <w:kern w:val="0"/>
                <w:sz w:val="24"/>
                <w:szCs w:val="24"/>
              </w:rPr>
              <w:t>万吨（生活污水处理厂）</w:t>
            </w:r>
            <w:r>
              <w:rPr>
                <w:rFonts w:ascii="宋体" w:hAnsi="宋体" w:cs="宋体"/>
                <w:kern w:val="0"/>
                <w:sz w:val="24"/>
                <w:szCs w:val="24"/>
              </w:rPr>
              <w:t>/1</w:t>
            </w:r>
            <w:r>
              <w:rPr>
                <w:rFonts w:hint="eastAsia" w:ascii="宋体" w:hAnsi="宋体" w:cs="宋体"/>
                <w:kern w:val="0"/>
                <w:sz w:val="24"/>
                <w:szCs w:val="24"/>
              </w:rPr>
              <w:t>万吨以上不足</w:t>
            </w:r>
            <w:r>
              <w:rPr>
                <w:rFonts w:ascii="宋体" w:hAnsi="宋体" w:cs="宋体"/>
                <w:kern w:val="0"/>
                <w:sz w:val="24"/>
                <w:szCs w:val="24"/>
              </w:rPr>
              <w:t>5</w:t>
            </w:r>
            <w:r>
              <w:rPr>
                <w:rFonts w:hint="eastAsia" w:ascii="宋体" w:hAnsi="宋体" w:cs="宋体"/>
                <w:kern w:val="0"/>
                <w:sz w:val="24"/>
                <w:szCs w:val="24"/>
              </w:rPr>
              <w:t>万吨（工业污水处理厂）</w:t>
            </w:r>
          </w:p>
        </w:tc>
        <w:tc>
          <w:tcPr>
            <w:tcW w:w="1073" w:type="dxa"/>
            <w:vAlign w:val="top"/>
          </w:tcPr>
          <w:p>
            <w:pPr>
              <w:overflowPunct w:val="0"/>
              <w:topLinePunct/>
              <w:snapToGrid w:val="0"/>
              <w:spacing w:line="360" w:lineRule="exact"/>
              <w:jc w:val="center"/>
              <w:rPr>
                <w:rFonts w:ascii="宋体"/>
                <w:kern w:val="0"/>
                <w:sz w:val="24"/>
                <w:szCs w:val="24"/>
              </w:rPr>
            </w:pPr>
            <w:r>
              <w:rPr>
                <w:rFonts w:ascii="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02" w:hRule="atLeast"/>
          <w:jc w:val="center"/>
        </w:trPr>
        <w:tc>
          <w:tcPr>
            <w:tcW w:w="2098" w:type="dxa"/>
            <w:vMerge w:val="continue"/>
            <w:vAlign w:val="top"/>
          </w:tcPr>
          <w:p>
            <w:pPr>
              <w:overflowPunct w:val="0"/>
              <w:topLinePunct/>
              <w:snapToGrid w:val="0"/>
              <w:spacing w:line="360" w:lineRule="exact"/>
              <w:jc w:val="left"/>
              <w:rPr>
                <w:rFonts w:ascii="宋体"/>
                <w:kern w:val="0"/>
                <w:sz w:val="24"/>
                <w:szCs w:val="24"/>
              </w:rPr>
            </w:pPr>
          </w:p>
        </w:tc>
        <w:tc>
          <w:tcPr>
            <w:tcW w:w="5549" w:type="dxa"/>
            <w:vAlign w:val="top"/>
          </w:tcPr>
          <w:p>
            <w:pPr>
              <w:rPr>
                <w:rFonts w:ascii="宋体"/>
                <w:kern w:val="0"/>
                <w:sz w:val="24"/>
                <w:szCs w:val="24"/>
              </w:rPr>
            </w:pPr>
            <w:r>
              <w:rPr>
                <w:rFonts w:ascii="宋体" w:hAnsi="宋体" w:cs="宋体"/>
                <w:kern w:val="0"/>
                <w:sz w:val="24"/>
                <w:szCs w:val="24"/>
              </w:rPr>
              <w:t>20</w:t>
            </w:r>
            <w:r>
              <w:rPr>
                <w:rFonts w:hint="eastAsia" w:ascii="宋体" w:hAnsi="宋体" w:cs="宋体"/>
                <w:kern w:val="0"/>
                <w:sz w:val="24"/>
                <w:szCs w:val="24"/>
              </w:rPr>
              <w:t>万标立方米以上</w:t>
            </w:r>
            <w:r>
              <w:rPr>
                <w:rFonts w:ascii="宋体" w:hAnsi="宋体" w:cs="宋体"/>
                <w:kern w:val="0"/>
                <w:sz w:val="24"/>
                <w:szCs w:val="24"/>
              </w:rPr>
              <w:t>/1000</w:t>
            </w:r>
            <w:r>
              <w:rPr>
                <w:rFonts w:hint="eastAsia" w:ascii="宋体" w:hAnsi="宋体" w:cs="宋体"/>
                <w:kern w:val="0"/>
                <w:sz w:val="24"/>
                <w:szCs w:val="24"/>
              </w:rPr>
              <w:t>吨以上（一般排污单位）</w:t>
            </w:r>
          </w:p>
          <w:p>
            <w:pPr>
              <w:rPr>
                <w:rFonts w:ascii="宋体"/>
                <w:kern w:val="0"/>
                <w:sz w:val="24"/>
                <w:szCs w:val="24"/>
              </w:rPr>
            </w:pPr>
            <w:r>
              <w:rPr>
                <w:rFonts w:ascii="宋体" w:hAnsi="宋体" w:cs="宋体"/>
                <w:kern w:val="0"/>
                <w:sz w:val="24"/>
                <w:szCs w:val="24"/>
              </w:rPr>
              <w:t>/50</w:t>
            </w:r>
            <w:r>
              <w:rPr>
                <w:rFonts w:hint="eastAsia" w:ascii="宋体" w:hAnsi="宋体" w:cs="宋体"/>
                <w:kern w:val="0"/>
                <w:sz w:val="24"/>
                <w:szCs w:val="24"/>
              </w:rPr>
              <w:t>万吨以上（生活污水处理厂）</w:t>
            </w:r>
            <w:r>
              <w:rPr>
                <w:rFonts w:ascii="宋体" w:hAnsi="宋体" w:cs="宋体"/>
                <w:kern w:val="0"/>
                <w:sz w:val="24"/>
                <w:szCs w:val="24"/>
              </w:rPr>
              <w:t>/5</w:t>
            </w:r>
            <w:r>
              <w:rPr>
                <w:rFonts w:hint="eastAsia" w:ascii="宋体" w:hAnsi="宋体" w:cs="宋体"/>
                <w:kern w:val="0"/>
                <w:sz w:val="24"/>
                <w:szCs w:val="24"/>
              </w:rPr>
              <w:t>万吨以上（工</w:t>
            </w:r>
          </w:p>
          <w:p>
            <w:pPr>
              <w:spacing w:line="360" w:lineRule="auto"/>
              <w:rPr>
                <w:rFonts w:ascii="宋体"/>
                <w:kern w:val="0"/>
                <w:sz w:val="24"/>
                <w:szCs w:val="24"/>
              </w:rPr>
            </w:pPr>
            <w:r>
              <w:rPr>
                <w:rFonts w:hint="eastAsia" w:ascii="宋体" w:hAnsi="宋体" w:cs="宋体"/>
                <w:kern w:val="0"/>
                <w:sz w:val="24"/>
                <w:szCs w:val="24"/>
              </w:rPr>
              <w:t>业污水处理厂）</w:t>
            </w:r>
          </w:p>
        </w:tc>
        <w:tc>
          <w:tcPr>
            <w:tcW w:w="1073" w:type="dxa"/>
            <w:vAlign w:val="top"/>
          </w:tcPr>
          <w:p>
            <w:pPr>
              <w:overflowPunct w:val="0"/>
              <w:topLinePunct/>
              <w:snapToGrid w:val="0"/>
              <w:spacing w:line="360" w:lineRule="exact"/>
              <w:jc w:val="center"/>
              <w:rPr>
                <w:rFonts w:ascii="宋体"/>
                <w:kern w:val="0"/>
                <w:sz w:val="24"/>
                <w:szCs w:val="24"/>
              </w:rPr>
            </w:pPr>
            <w:r>
              <w:rPr>
                <w:rFonts w:ascii="宋体" w:cs="宋体"/>
                <w:kern w:val="0"/>
                <w:sz w:val="24"/>
                <w:szCs w:val="24"/>
              </w:rPr>
              <w:t>5</w:t>
            </w:r>
          </w:p>
        </w:tc>
      </w:tr>
    </w:tbl>
    <w:p>
      <w:pPr>
        <w:numPr>
          <w:ilvl w:val="0"/>
          <w:numId w:val="0"/>
        </w:numPr>
        <w:overflowPunct w:val="0"/>
        <w:topLinePunct/>
        <w:adjustRightInd w:val="0"/>
        <w:snapToGrid w:val="0"/>
        <w:spacing w:line="300" w:lineRule="exact"/>
        <w:ind w:firstLine="480" w:firstLineChars="200"/>
        <w:rPr>
          <w:rFonts w:ascii="宋体"/>
          <w:kern w:val="0"/>
          <w:sz w:val="24"/>
          <w:szCs w:val="24"/>
        </w:rPr>
      </w:pPr>
      <w:r>
        <w:rPr>
          <w:rFonts w:hint="eastAsia" w:ascii="宋体" w:hAnsi="宋体" w:cs="宋体"/>
          <w:kern w:val="0"/>
          <w:sz w:val="24"/>
          <w:szCs w:val="24"/>
        </w:rPr>
        <w:t>注：本表适用于《中华人民共和国水污染防治法》第八十三条第三项、《中华人民共和国大气污染防治法》第九十九条第三项及其他同类型的环境违法行为。</w:t>
      </w:r>
    </w:p>
    <w:p>
      <w:pPr>
        <w:overflowPunct w:val="0"/>
        <w:topLinePunct/>
        <w:adjustRightInd w:val="0"/>
        <w:snapToGrid w:val="0"/>
        <w:spacing w:line="600" w:lineRule="exact"/>
        <w:ind w:firstLine="480" w:firstLineChars="200"/>
        <w:rPr>
          <w:rFonts w:ascii="宋体"/>
          <w:kern w:val="0"/>
          <w:sz w:val="24"/>
          <w:szCs w:val="24"/>
        </w:rPr>
      </w:pPr>
    </w:p>
    <w:p>
      <w:pPr>
        <w:overflowPunct w:val="0"/>
        <w:topLinePunct/>
        <w:adjustRightInd w:val="0"/>
        <w:snapToGrid w:val="0"/>
        <w:spacing w:line="600" w:lineRule="exact"/>
        <w:ind w:firstLine="640" w:firstLineChars="200"/>
        <w:outlineLvl w:val="1"/>
        <w:rPr>
          <w:rFonts w:hint="eastAsia" w:ascii="楷体" w:hAnsi="楷体" w:eastAsia="楷体" w:cs="楷体"/>
          <w:sz w:val="32"/>
          <w:szCs w:val="32"/>
        </w:rPr>
      </w:pPr>
      <w:r>
        <w:rPr>
          <w:rFonts w:hint="eastAsia" w:ascii="楷体" w:hAnsi="楷体" w:eastAsia="楷体" w:cs="楷体"/>
          <w:sz w:val="32"/>
          <w:szCs w:val="32"/>
        </w:rPr>
        <w:t>（四）违反现场检查规定的行为</w:t>
      </w:r>
    </w:p>
    <w:tbl>
      <w:tblPr>
        <w:tblStyle w:val="4"/>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8"/>
        <w:gridCol w:w="5192"/>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098" w:type="dxa"/>
            <w:vAlign w:val="center"/>
          </w:tcPr>
          <w:p>
            <w:pPr>
              <w:overflowPunct w:val="0"/>
              <w:topLinePunct/>
              <w:snapToGrid w:val="0"/>
              <w:jc w:val="center"/>
              <w:rPr>
                <w:rFonts w:ascii="宋体"/>
                <w:kern w:val="0"/>
                <w:sz w:val="24"/>
                <w:szCs w:val="24"/>
              </w:rPr>
            </w:pPr>
            <w:r>
              <w:rPr>
                <w:rFonts w:hint="eastAsia" w:ascii="宋体" w:hAnsi="宋体" w:cs="宋体"/>
                <w:kern w:val="0"/>
                <w:sz w:val="24"/>
                <w:szCs w:val="24"/>
              </w:rPr>
              <w:t>裁量因素</w:t>
            </w:r>
          </w:p>
        </w:tc>
        <w:tc>
          <w:tcPr>
            <w:tcW w:w="5192" w:type="dxa"/>
            <w:vAlign w:val="center"/>
          </w:tcPr>
          <w:p>
            <w:pPr>
              <w:overflowPunct w:val="0"/>
              <w:topLinePunct/>
              <w:snapToGrid w:val="0"/>
              <w:jc w:val="center"/>
              <w:rPr>
                <w:rFonts w:ascii="宋体"/>
                <w:kern w:val="0"/>
                <w:sz w:val="24"/>
                <w:szCs w:val="24"/>
              </w:rPr>
            </w:pPr>
            <w:r>
              <w:rPr>
                <w:rFonts w:hint="eastAsia" w:ascii="宋体" w:hAnsi="宋体" w:cs="宋体"/>
                <w:kern w:val="0"/>
                <w:sz w:val="24"/>
                <w:szCs w:val="24"/>
              </w:rPr>
              <w:t>裁量因子</w:t>
            </w:r>
          </w:p>
        </w:tc>
        <w:tc>
          <w:tcPr>
            <w:tcW w:w="1430" w:type="dxa"/>
            <w:vAlign w:val="center"/>
          </w:tcPr>
          <w:p>
            <w:pPr>
              <w:overflowPunct w:val="0"/>
              <w:topLinePunct/>
              <w:snapToGrid w:val="0"/>
              <w:jc w:val="center"/>
              <w:rPr>
                <w:rFonts w:ascii="宋体"/>
                <w:kern w:val="0"/>
                <w:sz w:val="24"/>
                <w:szCs w:val="24"/>
              </w:rPr>
            </w:pPr>
            <w:r>
              <w:rPr>
                <w:rFonts w:hint="eastAsia" w:ascii="宋体" w:hAnsi="宋体" w:cs="宋体"/>
                <w:kern w:val="0"/>
                <w:sz w:val="24"/>
                <w:szCs w:val="24"/>
              </w:rPr>
              <w:t>裁量等级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98" w:type="dxa"/>
            <w:vMerge w:val="restart"/>
            <w:vAlign w:val="center"/>
          </w:tcPr>
          <w:p>
            <w:pPr>
              <w:overflowPunct w:val="0"/>
              <w:topLinePunct/>
              <w:snapToGrid w:val="0"/>
              <w:jc w:val="center"/>
              <w:rPr>
                <w:rFonts w:ascii="宋体"/>
                <w:kern w:val="0"/>
                <w:sz w:val="24"/>
                <w:szCs w:val="24"/>
              </w:rPr>
            </w:pPr>
            <w:r>
              <w:rPr>
                <w:rFonts w:hint="eastAsia" w:ascii="宋体" w:hAnsi="宋体" w:cs="宋体"/>
                <w:kern w:val="0"/>
                <w:sz w:val="24"/>
                <w:szCs w:val="24"/>
              </w:rPr>
              <w:t>拒绝检查情形</w:t>
            </w:r>
          </w:p>
        </w:tc>
        <w:tc>
          <w:tcPr>
            <w:tcW w:w="5192" w:type="dxa"/>
            <w:vAlign w:val="center"/>
          </w:tcPr>
          <w:p>
            <w:pPr>
              <w:overflowPunct w:val="0"/>
              <w:topLinePunct/>
              <w:snapToGrid w:val="0"/>
              <w:rPr>
                <w:rFonts w:ascii="宋体"/>
                <w:kern w:val="0"/>
                <w:sz w:val="24"/>
                <w:szCs w:val="24"/>
              </w:rPr>
            </w:pPr>
            <w:r>
              <w:rPr>
                <w:rFonts w:hint="eastAsia" w:ascii="宋体" w:hAnsi="宋体" w:cs="宋体"/>
                <w:kern w:val="0"/>
                <w:sz w:val="24"/>
                <w:szCs w:val="24"/>
              </w:rPr>
              <w:t>迟滞</w:t>
            </w:r>
            <w:r>
              <w:rPr>
                <w:rFonts w:ascii="宋体" w:hAnsi="宋体" w:cs="宋体"/>
                <w:kern w:val="0"/>
                <w:sz w:val="24"/>
                <w:szCs w:val="24"/>
              </w:rPr>
              <w:t>10</w:t>
            </w:r>
            <w:r>
              <w:rPr>
                <w:rFonts w:hint="eastAsia" w:ascii="宋体" w:hAnsi="宋体" w:cs="宋体"/>
                <w:kern w:val="0"/>
                <w:sz w:val="24"/>
                <w:szCs w:val="24"/>
              </w:rPr>
              <w:t>分钟以上</w:t>
            </w:r>
            <w:r>
              <w:rPr>
                <w:rFonts w:ascii="宋体" w:hAnsi="宋体" w:cs="宋体"/>
                <w:kern w:val="0"/>
                <w:sz w:val="24"/>
                <w:szCs w:val="24"/>
              </w:rPr>
              <w:t>30</w:t>
            </w:r>
            <w:r>
              <w:rPr>
                <w:rFonts w:hint="eastAsia" w:ascii="宋体" w:hAnsi="宋体" w:cs="宋体"/>
                <w:kern w:val="0"/>
                <w:sz w:val="24"/>
                <w:szCs w:val="24"/>
              </w:rPr>
              <w:t>分钟以内</w:t>
            </w:r>
          </w:p>
        </w:tc>
        <w:tc>
          <w:tcPr>
            <w:tcW w:w="1430" w:type="dxa"/>
            <w:vAlign w:val="center"/>
          </w:tcPr>
          <w:p>
            <w:pPr>
              <w:overflowPunct w:val="0"/>
              <w:topLinePunct/>
              <w:snapToGrid w:val="0"/>
              <w:jc w:val="center"/>
              <w:rPr>
                <w:rFonts w:ascii="宋体" w:hAnsi="宋体" w:cs="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98" w:type="dxa"/>
            <w:vMerge w:val="continue"/>
            <w:vAlign w:val="center"/>
          </w:tcPr>
          <w:p>
            <w:pPr>
              <w:overflowPunct w:val="0"/>
              <w:topLinePunct/>
              <w:snapToGrid w:val="0"/>
              <w:jc w:val="left"/>
              <w:rPr>
                <w:rFonts w:ascii="宋体"/>
                <w:kern w:val="0"/>
                <w:sz w:val="24"/>
                <w:szCs w:val="24"/>
              </w:rPr>
            </w:pPr>
          </w:p>
        </w:tc>
        <w:tc>
          <w:tcPr>
            <w:tcW w:w="5192" w:type="dxa"/>
            <w:vAlign w:val="center"/>
          </w:tcPr>
          <w:p>
            <w:pPr>
              <w:overflowPunct w:val="0"/>
              <w:topLinePunct/>
              <w:snapToGrid w:val="0"/>
              <w:rPr>
                <w:rFonts w:ascii="宋体"/>
                <w:kern w:val="0"/>
                <w:sz w:val="24"/>
                <w:szCs w:val="24"/>
              </w:rPr>
            </w:pPr>
            <w:r>
              <w:rPr>
                <w:rFonts w:hint="eastAsia" w:ascii="宋体" w:hAnsi="宋体" w:cs="宋体"/>
                <w:kern w:val="0"/>
                <w:sz w:val="24"/>
                <w:szCs w:val="24"/>
              </w:rPr>
              <w:t>迟滞超过半小时</w:t>
            </w:r>
          </w:p>
        </w:tc>
        <w:tc>
          <w:tcPr>
            <w:tcW w:w="1430" w:type="dxa"/>
            <w:vAlign w:val="center"/>
          </w:tcPr>
          <w:p>
            <w:pPr>
              <w:overflowPunct w:val="0"/>
              <w:topLinePunct/>
              <w:snapToGrid w:val="0"/>
              <w:jc w:val="center"/>
              <w:rPr>
                <w:rFonts w:ascii="宋体" w:hAnsi="宋体" w:cs="宋体"/>
                <w:kern w:val="0"/>
                <w:sz w:val="24"/>
                <w:szCs w:val="24"/>
              </w:rPr>
            </w:pPr>
            <w:r>
              <w:rPr>
                <w:rFonts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98" w:type="dxa"/>
            <w:vMerge w:val="continue"/>
            <w:vAlign w:val="center"/>
          </w:tcPr>
          <w:p>
            <w:pPr>
              <w:overflowPunct w:val="0"/>
              <w:topLinePunct/>
              <w:snapToGrid w:val="0"/>
              <w:jc w:val="left"/>
              <w:rPr>
                <w:rFonts w:ascii="宋体"/>
                <w:kern w:val="0"/>
                <w:sz w:val="24"/>
                <w:szCs w:val="24"/>
              </w:rPr>
            </w:pPr>
          </w:p>
        </w:tc>
        <w:tc>
          <w:tcPr>
            <w:tcW w:w="5192" w:type="dxa"/>
            <w:vAlign w:val="center"/>
          </w:tcPr>
          <w:p>
            <w:pPr>
              <w:overflowPunct w:val="0"/>
              <w:topLinePunct/>
              <w:snapToGrid w:val="0"/>
              <w:rPr>
                <w:rFonts w:ascii="宋体"/>
                <w:kern w:val="0"/>
                <w:sz w:val="24"/>
                <w:szCs w:val="24"/>
              </w:rPr>
            </w:pPr>
            <w:r>
              <w:rPr>
                <w:rFonts w:hint="eastAsia" w:ascii="宋体" w:hAnsi="宋体" w:cs="宋体"/>
                <w:kern w:val="0"/>
                <w:sz w:val="24"/>
                <w:szCs w:val="24"/>
              </w:rPr>
              <w:t>阻碍或隐匿部分资料</w:t>
            </w:r>
          </w:p>
        </w:tc>
        <w:tc>
          <w:tcPr>
            <w:tcW w:w="1430" w:type="dxa"/>
            <w:vAlign w:val="center"/>
          </w:tcPr>
          <w:p>
            <w:pPr>
              <w:overflowPunct w:val="0"/>
              <w:topLinePunct/>
              <w:snapToGrid w:val="0"/>
              <w:jc w:val="center"/>
              <w:rPr>
                <w:rFonts w:ascii="宋体" w:hAnsi="宋体" w:cs="宋体"/>
                <w:kern w:val="0"/>
                <w:sz w:val="24"/>
                <w:szCs w:val="24"/>
              </w:rPr>
            </w:pPr>
            <w:r>
              <w:rPr>
                <w:rFonts w:ascii="宋体" w:hAns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98" w:type="dxa"/>
            <w:vMerge w:val="continue"/>
            <w:vAlign w:val="center"/>
          </w:tcPr>
          <w:p>
            <w:pPr>
              <w:overflowPunct w:val="0"/>
              <w:topLinePunct/>
              <w:snapToGrid w:val="0"/>
              <w:jc w:val="left"/>
              <w:rPr>
                <w:rFonts w:ascii="宋体"/>
                <w:kern w:val="0"/>
                <w:sz w:val="24"/>
                <w:szCs w:val="24"/>
              </w:rPr>
            </w:pPr>
          </w:p>
        </w:tc>
        <w:tc>
          <w:tcPr>
            <w:tcW w:w="5192" w:type="dxa"/>
            <w:vAlign w:val="center"/>
          </w:tcPr>
          <w:p>
            <w:pPr>
              <w:overflowPunct w:val="0"/>
              <w:topLinePunct/>
              <w:snapToGrid w:val="0"/>
              <w:rPr>
                <w:rFonts w:ascii="宋体"/>
                <w:kern w:val="0"/>
                <w:sz w:val="24"/>
                <w:szCs w:val="24"/>
              </w:rPr>
            </w:pPr>
            <w:r>
              <w:rPr>
                <w:rFonts w:hint="eastAsia" w:ascii="宋体" w:hAnsi="宋体" w:cs="宋体"/>
                <w:kern w:val="0"/>
                <w:sz w:val="24"/>
                <w:szCs w:val="24"/>
              </w:rPr>
              <w:t>围堵、留滞执法人员或拒绝提供资料</w:t>
            </w:r>
          </w:p>
        </w:tc>
        <w:tc>
          <w:tcPr>
            <w:tcW w:w="1430" w:type="dxa"/>
            <w:vAlign w:val="center"/>
          </w:tcPr>
          <w:p>
            <w:pPr>
              <w:overflowPunct w:val="0"/>
              <w:topLinePunct/>
              <w:snapToGrid w:val="0"/>
              <w:jc w:val="center"/>
              <w:rPr>
                <w:rFonts w:ascii="宋体" w:hAnsi="宋体" w:cs="宋体"/>
                <w:kern w:val="0"/>
                <w:sz w:val="24"/>
                <w:szCs w:val="24"/>
              </w:rPr>
            </w:pPr>
            <w:r>
              <w:rPr>
                <w:rFonts w:ascii="宋体" w:hAnsi="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98" w:type="dxa"/>
            <w:vMerge w:val="continue"/>
            <w:vAlign w:val="center"/>
          </w:tcPr>
          <w:p>
            <w:pPr>
              <w:overflowPunct w:val="0"/>
              <w:topLinePunct/>
              <w:snapToGrid w:val="0"/>
              <w:jc w:val="left"/>
              <w:rPr>
                <w:rFonts w:ascii="宋体"/>
                <w:kern w:val="0"/>
                <w:sz w:val="24"/>
                <w:szCs w:val="24"/>
              </w:rPr>
            </w:pPr>
          </w:p>
        </w:tc>
        <w:tc>
          <w:tcPr>
            <w:tcW w:w="5192" w:type="dxa"/>
            <w:vAlign w:val="center"/>
          </w:tcPr>
          <w:p>
            <w:pPr>
              <w:overflowPunct w:val="0"/>
              <w:topLinePunct/>
              <w:snapToGrid w:val="0"/>
              <w:rPr>
                <w:rFonts w:ascii="宋体"/>
                <w:kern w:val="0"/>
                <w:sz w:val="24"/>
                <w:szCs w:val="24"/>
              </w:rPr>
            </w:pPr>
            <w:r>
              <w:rPr>
                <w:rFonts w:hint="eastAsia" w:ascii="宋体" w:hAnsi="宋体" w:cs="宋体"/>
                <w:kern w:val="0"/>
                <w:sz w:val="24"/>
                <w:szCs w:val="24"/>
              </w:rPr>
              <w:t>暴力抗法</w:t>
            </w:r>
          </w:p>
        </w:tc>
        <w:tc>
          <w:tcPr>
            <w:tcW w:w="1430" w:type="dxa"/>
            <w:vAlign w:val="center"/>
          </w:tcPr>
          <w:p>
            <w:pPr>
              <w:overflowPunct w:val="0"/>
              <w:topLinePunct/>
              <w:snapToGrid w:val="0"/>
              <w:jc w:val="center"/>
              <w:rPr>
                <w:rFonts w:ascii="宋体" w:hAnsi="宋体" w:cs="宋体"/>
                <w:kern w:val="0"/>
                <w:sz w:val="24"/>
                <w:szCs w:val="24"/>
              </w:rPr>
            </w:pPr>
            <w:r>
              <w:rPr>
                <w:rFonts w:ascii="宋体" w:hAnsi="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2098" w:type="dxa"/>
            <w:vMerge w:val="restart"/>
            <w:vAlign w:val="center"/>
          </w:tcPr>
          <w:p>
            <w:pPr>
              <w:overflowPunct w:val="0"/>
              <w:topLinePunct/>
              <w:snapToGrid w:val="0"/>
              <w:ind w:firstLine="240" w:firstLineChars="100"/>
              <w:jc w:val="left"/>
              <w:rPr>
                <w:rFonts w:ascii="宋体"/>
                <w:kern w:val="0"/>
                <w:sz w:val="24"/>
                <w:szCs w:val="24"/>
              </w:rPr>
            </w:pPr>
            <w:r>
              <w:rPr>
                <w:rFonts w:hint="eastAsia" w:ascii="宋体" w:cs="宋体"/>
                <w:kern w:val="0"/>
                <w:sz w:val="24"/>
                <w:szCs w:val="24"/>
              </w:rPr>
              <w:t>弄虚作假情形</w:t>
            </w:r>
          </w:p>
        </w:tc>
        <w:tc>
          <w:tcPr>
            <w:tcW w:w="5192" w:type="dxa"/>
            <w:vAlign w:val="center"/>
          </w:tcPr>
          <w:p>
            <w:pPr>
              <w:overflowPunct w:val="0"/>
              <w:topLinePunct/>
              <w:snapToGrid w:val="0"/>
              <w:rPr>
                <w:rFonts w:ascii="宋体"/>
                <w:kern w:val="0"/>
                <w:sz w:val="24"/>
                <w:szCs w:val="24"/>
              </w:rPr>
            </w:pPr>
            <w:r>
              <w:rPr>
                <w:rFonts w:hint="eastAsia" w:ascii="宋体" w:hAnsi="宋体" w:cs="宋体"/>
                <w:kern w:val="0"/>
                <w:sz w:val="24"/>
                <w:szCs w:val="24"/>
              </w:rPr>
              <w:t>提供非关键性假信息</w:t>
            </w:r>
          </w:p>
        </w:tc>
        <w:tc>
          <w:tcPr>
            <w:tcW w:w="1430" w:type="dxa"/>
            <w:vAlign w:val="center"/>
          </w:tcPr>
          <w:p>
            <w:pPr>
              <w:overflowPunct w:val="0"/>
              <w:topLinePunct/>
              <w:snapToGrid w:val="0"/>
              <w:jc w:val="center"/>
              <w:rPr>
                <w:rFonts w:ascii="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2098" w:type="dxa"/>
            <w:vMerge w:val="continue"/>
            <w:vAlign w:val="center"/>
          </w:tcPr>
          <w:p>
            <w:pPr>
              <w:overflowPunct w:val="0"/>
              <w:topLinePunct/>
              <w:snapToGrid w:val="0"/>
              <w:ind w:firstLine="240" w:firstLineChars="100"/>
              <w:jc w:val="left"/>
              <w:rPr>
                <w:rFonts w:ascii="宋体"/>
                <w:kern w:val="0"/>
                <w:sz w:val="24"/>
                <w:szCs w:val="24"/>
              </w:rPr>
            </w:pPr>
          </w:p>
        </w:tc>
        <w:tc>
          <w:tcPr>
            <w:tcW w:w="5192" w:type="dxa"/>
            <w:vAlign w:val="center"/>
          </w:tcPr>
          <w:p>
            <w:pPr>
              <w:overflowPunct w:val="0"/>
              <w:topLinePunct/>
              <w:snapToGrid w:val="0"/>
              <w:rPr>
                <w:rFonts w:ascii="宋体"/>
                <w:kern w:val="0"/>
                <w:sz w:val="24"/>
                <w:szCs w:val="24"/>
              </w:rPr>
            </w:pPr>
            <w:r>
              <w:rPr>
                <w:rFonts w:hint="eastAsia" w:ascii="宋体" w:hAnsi="宋体" w:cs="宋体"/>
                <w:kern w:val="0"/>
                <w:sz w:val="24"/>
                <w:szCs w:val="24"/>
              </w:rPr>
              <w:t>提供假信息</w:t>
            </w:r>
          </w:p>
        </w:tc>
        <w:tc>
          <w:tcPr>
            <w:tcW w:w="1430" w:type="dxa"/>
            <w:vAlign w:val="center"/>
          </w:tcPr>
          <w:p>
            <w:pPr>
              <w:overflowPunct w:val="0"/>
              <w:topLinePunct/>
              <w:snapToGrid w:val="0"/>
              <w:jc w:val="center"/>
              <w:rPr>
                <w:rFonts w:ascii="宋体"/>
                <w:kern w:val="0"/>
                <w:sz w:val="24"/>
                <w:szCs w:val="24"/>
              </w:rPr>
            </w:pPr>
            <w:r>
              <w:rPr>
                <w:rFonts w:ascii="宋体" w:hAns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98" w:type="dxa"/>
            <w:vMerge w:val="continue"/>
            <w:vAlign w:val="center"/>
          </w:tcPr>
          <w:p>
            <w:pPr>
              <w:overflowPunct w:val="0"/>
              <w:topLinePunct/>
              <w:snapToGrid w:val="0"/>
              <w:ind w:firstLine="240" w:firstLineChars="100"/>
              <w:jc w:val="left"/>
              <w:rPr>
                <w:rFonts w:ascii="宋体"/>
                <w:kern w:val="0"/>
                <w:sz w:val="24"/>
                <w:szCs w:val="24"/>
              </w:rPr>
            </w:pPr>
          </w:p>
        </w:tc>
        <w:tc>
          <w:tcPr>
            <w:tcW w:w="5192" w:type="dxa"/>
            <w:vAlign w:val="center"/>
          </w:tcPr>
          <w:p>
            <w:pPr>
              <w:overflowPunct w:val="0"/>
              <w:topLinePunct/>
              <w:snapToGrid w:val="0"/>
              <w:rPr>
                <w:rFonts w:ascii="宋体"/>
                <w:kern w:val="0"/>
                <w:sz w:val="24"/>
                <w:szCs w:val="24"/>
              </w:rPr>
            </w:pPr>
            <w:r>
              <w:rPr>
                <w:rFonts w:hint="eastAsia" w:ascii="宋体" w:hAnsi="宋体" w:cs="宋体"/>
                <w:kern w:val="0"/>
                <w:sz w:val="24"/>
                <w:szCs w:val="24"/>
              </w:rPr>
              <w:t>伪造现场或证据/故意以停产、停排应对检查、监测</w:t>
            </w:r>
          </w:p>
        </w:tc>
        <w:tc>
          <w:tcPr>
            <w:tcW w:w="1430" w:type="dxa"/>
            <w:vAlign w:val="center"/>
          </w:tcPr>
          <w:p>
            <w:pPr>
              <w:overflowPunct w:val="0"/>
              <w:topLinePunct/>
              <w:snapToGrid w:val="0"/>
              <w:jc w:val="center"/>
              <w:rPr>
                <w:rFonts w:ascii="宋体"/>
                <w:kern w:val="0"/>
                <w:sz w:val="24"/>
                <w:szCs w:val="24"/>
              </w:rPr>
            </w:pPr>
            <w:r>
              <w:rPr>
                <w:rFonts w:ascii="宋体" w:hAnsi="宋体" w:cs="宋体"/>
                <w:kern w:val="0"/>
                <w:sz w:val="24"/>
                <w:szCs w:val="24"/>
              </w:rPr>
              <w:t>5</w:t>
            </w:r>
          </w:p>
        </w:tc>
      </w:tr>
    </w:tbl>
    <w:p>
      <w:pPr>
        <w:overflowPunct w:val="0"/>
        <w:topLinePunct/>
        <w:adjustRightInd w:val="0"/>
        <w:snapToGrid w:val="0"/>
        <w:spacing w:line="300" w:lineRule="exact"/>
        <w:ind w:firstLine="480" w:firstLineChars="200"/>
        <w:rPr>
          <w:rFonts w:ascii="宋体"/>
          <w:kern w:val="0"/>
          <w:sz w:val="24"/>
          <w:szCs w:val="24"/>
        </w:rPr>
      </w:pPr>
      <w:r>
        <w:rPr>
          <w:rFonts w:hint="eastAsia" w:ascii="宋体" w:hAnsi="宋体" w:cs="宋体"/>
          <w:kern w:val="0"/>
          <w:sz w:val="24"/>
          <w:szCs w:val="24"/>
        </w:rPr>
        <w:t>注：本表适用于《中华人民共和国水污染防治法》第八十一条、《中华人民共和国大气污染防治法》第九十八条、《中华人民共和国固体废物污染环境防治法》第一百零三条及其他同类型的环境违法行为。</w:t>
      </w:r>
    </w:p>
    <w:p>
      <w:pPr>
        <w:overflowPunct w:val="0"/>
        <w:topLinePunct/>
        <w:adjustRightInd w:val="0"/>
        <w:snapToGrid w:val="0"/>
        <w:spacing w:line="600" w:lineRule="exact"/>
        <w:ind w:firstLine="480" w:firstLineChars="200"/>
        <w:rPr>
          <w:rFonts w:ascii="宋体"/>
          <w:kern w:val="0"/>
          <w:sz w:val="24"/>
          <w:szCs w:val="24"/>
        </w:rPr>
      </w:pPr>
    </w:p>
    <w:bookmarkEnd w:id="5"/>
    <w:bookmarkEnd w:id="6"/>
    <w:p>
      <w:pPr>
        <w:overflowPunct w:val="0"/>
        <w:topLinePunct/>
        <w:adjustRightInd w:val="0"/>
        <w:snapToGrid w:val="0"/>
        <w:spacing w:line="600" w:lineRule="exact"/>
        <w:ind w:firstLine="640" w:firstLineChars="200"/>
        <w:outlineLvl w:val="1"/>
        <w:rPr>
          <w:rFonts w:hint="eastAsia" w:ascii="楷体" w:hAnsi="楷体" w:eastAsia="楷体" w:cs="楷体"/>
          <w:sz w:val="32"/>
          <w:szCs w:val="32"/>
        </w:rPr>
      </w:pPr>
      <w:bookmarkStart w:id="7" w:name="_Toc29270"/>
      <w:bookmarkStart w:id="8" w:name="_Toc20660"/>
      <w:r>
        <w:rPr>
          <w:rFonts w:hint="eastAsia" w:ascii="楷体" w:hAnsi="楷体" w:eastAsia="楷体" w:cs="楷体"/>
          <w:sz w:val="32"/>
          <w:szCs w:val="32"/>
        </w:rPr>
        <w:t>（五）超标或超总量排放污染物</w:t>
      </w:r>
      <w:r>
        <w:rPr>
          <w:rFonts w:hint="eastAsia" w:ascii="楷体" w:hAnsi="楷体" w:eastAsia="楷体" w:cs="楷体"/>
          <w:sz w:val="32"/>
          <w:szCs w:val="32"/>
          <w:lang w:eastAsia="zh-CN"/>
        </w:rPr>
        <w:t>的</w:t>
      </w:r>
      <w:r>
        <w:rPr>
          <w:rFonts w:hint="eastAsia" w:ascii="楷体" w:hAnsi="楷体" w:eastAsia="楷体" w:cs="楷体"/>
          <w:sz w:val="32"/>
          <w:szCs w:val="32"/>
        </w:rPr>
        <w:t>行为</w:t>
      </w:r>
      <w:bookmarkEnd w:id="7"/>
      <w:bookmarkEnd w:id="8"/>
    </w:p>
    <w:tbl>
      <w:tblPr>
        <w:tblStyle w:val="4"/>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2014"/>
        <w:gridCol w:w="5424"/>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82" w:hRule="atLeast"/>
          <w:tblHeader/>
          <w:jc w:val="center"/>
        </w:trPr>
        <w:tc>
          <w:tcPr>
            <w:tcW w:w="2014" w:type="dxa"/>
            <w:vAlign w:val="center"/>
          </w:tcPr>
          <w:p>
            <w:pPr>
              <w:overflowPunct w:val="0"/>
              <w:topLinePunct/>
              <w:snapToGrid w:val="0"/>
              <w:spacing w:line="360" w:lineRule="exact"/>
              <w:jc w:val="center"/>
              <w:rPr>
                <w:rFonts w:ascii="宋体"/>
                <w:kern w:val="0"/>
                <w:sz w:val="24"/>
                <w:szCs w:val="24"/>
              </w:rPr>
            </w:pPr>
            <w:r>
              <w:rPr>
                <w:rFonts w:hint="eastAsia" w:ascii="宋体" w:hAnsi="宋体" w:cs="宋体"/>
                <w:kern w:val="0"/>
                <w:sz w:val="24"/>
                <w:szCs w:val="24"/>
              </w:rPr>
              <w:t>裁量因素</w:t>
            </w:r>
          </w:p>
        </w:tc>
        <w:tc>
          <w:tcPr>
            <w:tcW w:w="5424" w:type="dxa"/>
            <w:vAlign w:val="center"/>
          </w:tcPr>
          <w:p>
            <w:pPr>
              <w:overflowPunct w:val="0"/>
              <w:topLinePunct/>
              <w:snapToGrid w:val="0"/>
              <w:spacing w:line="360" w:lineRule="exact"/>
              <w:jc w:val="center"/>
              <w:rPr>
                <w:rFonts w:ascii="宋体"/>
                <w:kern w:val="0"/>
                <w:sz w:val="24"/>
                <w:szCs w:val="24"/>
              </w:rPr>
            </w:pPr>
            <w:r>
              <w:rPr>
                <w:rFonts w:hint="eastAsia" w:ascii="宋体" w:hAnsi="宋体" w:cs="宋体"/>
                <w:kern w:val="0"/>
                <w:sz w:val="24"/>
                <w:szCs w:val="24"/>
              </w:rPr>
              <w:t>裁量因子</w:t>
            </w:r>
          </w:p>
        </w:tc>
        <w:tc>
          <w:tcPr>
            <w:tcW w:w="1282" w:type="dxa"/>
            <w:vAlign w:val="center"/>
          </w:tcPr>
          <w:p>
            <w:pPr>
              <w:overflowPunct w:val="0"/>
              <w:topLinePunct/>
              <w:snapToGrid w:val="0"/>
              <w:spacing w:line="360" w:lineRule="exact"/>
              <w:jc w:val="center"/>
              <w:rPr>
                <w:rFonts w:ascii="宋体"/>
                <w:kern w:val="0"/>
                <w:sz w:val="24"/>
                <w:szCs w:val="24"/>
              </w:rPr>
            </w:pPr>
            <w:r>
              <w:rPr>
                <w:rFonts w:hint="eastAsia" w:ascii="宋体" w:hAnsi="宋体" w:cs="宋体"/>
                <w:kern w:val="0"/>
                <w:sz w:val="24"/>
                <w:szCs w:val="24"/>
              </w:rPr>
              <w:t>裁量等级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82" w:hRule="atLeast"/>
          <w:jc w:val="center"/>
        </w:trPr>
        <w:tc>
          <w:tcPr>
            <w:tcW w:w="2014" w:type="dxa"/>
            <w:vMerge w:val="restart"/>
            <w:vAlign w:val="center"/>
          </w:tcPr>
          <w:p>
            <w:pPr>
              <w:overflowPunct w:val="0"/>
              <w:topLinePunct/>
              <w:snapToGrid w:val="0"/>
              <w:spacing w:line="380" w:lineRule="exact"/>
              <w:jc w:val="center"/>
              <w:rPr>
                <w:rFonts w:ascii="宋体"/>
                <w:kern w:val="0"/>
                <w:sz w:val="24"/>
                <w:szCs w:val="24"/>
              </w:rPr>
            </w:pPr>
            <w:r>
              <w:rPr>
                <w:rFonts w:hint="eastAsia" w:ascii="宋体" w:hAnsi="宋体" w:cs="宋体"/>
                <w:kern w:val="0"/>
                <w:sz w:val="24"/>
                <w:szCs w:val="24"/>
              </w:rPr>
              <w:t>超标因子</w:t>
            </w:r>
          </w:p>
        </w:tc>
        <w:tc>
          <w:tcPr>
            <w:tcW w:w="5424" w:type="dxa"/>
            <w:vAlign w:val="center"/>
          </w:tcPr>
          <w:p>
            <w:pPr>
              <w:overflowPunct w:val="0"/>
              <w:topLinePunct/>
              <w:snapToGrid w:val="0"/>
              <w:spacing w:line="380" w:lineRule="exact"/>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个</w:t>
            </w:r>
          </w:p>
        </w:tc>
        <w:tc>
          <w:tcPr>
            <w:tcW w:w="1282" w:type="dxa"/>
            <w:vAlign w:val="center"/>
          </w:tcPr>
          <w:p>
            <w:pPr>
              <w:overflowPunct w:val="0"/>
              <w:topLinePunct/>
              <w:snapToGrid w:val="0"/>
              <w:spacing w:line="380" w:lineRule="exact"/>
              <w:jc w:val="center"/>
              <w:rPr>
                <w:rFonts w:ascii="宋体" w:hAnsi="宋体" w:cs="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82" w:hRule="atLeast"/>
          <w:jc w:val="center"/>
        </w:trPr>
        <w:tc>
          <w:tcPr>
            <w:tcW w:w="2014" w:type="dxa"/>
            <w:vMerge w:val="continue"/>
            <w:vAlign w:val="center"/>
          </w:tcPr>
          <w:p>
            <w:pPr>
              <w:overflowPunct w:val="0"/>
              <w:topLinePunct/>
              <w:snapToGrid w:val="0"/>
              <w:spacing w:line="380" w:lineRule="exact"/>
              <w:jc w:val="left"/>
              <w:rPr>
                <w:rFonts w:ascii="宋体"/>
                <w:kern w:val="0"/>
                <w:sz w:val="24"/>
                <w:szCs w:val="24"/>
              </w:rPr>
            </w:pPr>
          </w:p>
        </w:tc>
        <w:tc>
          <w:tcPr>
            <w:tcW w:w="5424" w:type="dxa"/>
            <w:vAlign w:val="center"/>
          </w:tcPr>
          <w:p>
            <w:pPr>
              <w:overflowPunct w:val="0"/>
              <w:topLinePunct/>
              <w:snapToGrid w:val="0"/>
              <w:spacing w:line="380" w:lineRule="exact"/>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个</w:t>
            </w:r>
          </w:p>
        </w:tc>
        <w:tc>
          <w:tcPr>
            <w:tcW w:w="1282" w:type="dxa"/>
            <w:vAlign w:val="center"/>
          </w:tcPr>
          <w:p>
            <w:pPr>
              <w:overflowPunct w:val="0"/>
              <w:topLinePunct/>
              <w:snapToGrid w:val="0"/>
              <w:spacing w:line="380" w:lineRule="exact"/>
              <w:jc w:val="center"/>
              <w:rPr>
                <w:rFonts w:ascii="宋体" w:hAnsi="宋体" w:cs="宋体"/>
                <w:kern w:val="0"/>
                <w:sz w:val="24"/>
                <w:szCs w:val="24"/>
              </w:rPr>
            </w:pPr>
            <w:r>
              <w:rPr>
                <w:rFonts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82" w:hRule="atLeast"/>
          <w:jc w:val="center"/>
        </w:trPr>
        <w:tc>
          <w:tcPr>
            <w:tcW w:w="2014" w:type="dxa"/>
            <w:vMerge w:val="continue"/>
            <w:vAlign w:val="center"/>
          </w:tcPr>
          <w:p>
            <w:pPr>
              <w:overflowPunct w:val="0"/>
              <w:topLinePunct/>
              <w:snapToGrid w:val="0"/>
              <w:spacing w:line="380" w:lineRule="exact"/>
              <w:jc w:val="left"/>
              <w:rPr>
                <w:rFonts w:ascii="宋体"/>
                <w:kern w:val="0"/>
                <w:sz w:val="24"/>
                <w:szCs w:val="24"/>
              </w:rPr>
            </w:pPr>
          </w:p>
        </w:tc>
        <w:tc>
          <w:tcPr>
            <w:tcW w:w="5424" w:type="dxa"/>
            <w:vAlign w:val="center"/>
          </w:tcPr>
          <w:p>
            <w:pPr>
              <w:overflowPunct w:val="0"/>
              <w:topLinePunct/>
              <w:snapToGrid w:val="0"/>
              <w:spacing w:line="380" w:lineRule="exact"/>
              <w:rPr>
                <w:rFonts w:ascii="宋体"/>
                <w:kern w:val="0"/>
                <w:sz w:val="24"/>
                <w:szCs w:val="24"/>
              </w:rPr>
            </w:pPr>
            <w:r>
              <w:rPr>
                <w:rFonts w:ascii="宋体" w:hAnsi="宋体" w:cs="宋体"/>
                <w:kern w:val="0"/>
                <w:sz w:val="24"/>
                <w:szCs w:val="24"/>
              </w:rPr>
              <w:t>3</w:t>
            </w:r>
            <w:r>
              <w:rPr>
                <w:rFonts w:hint="eastAsia" w:ascii="宋体" w:hAnsi="宋体" w:cs="宋体"/>
                <w:kern w:val="0"/>
                <w:sz w:val="24"/>
                <w:szCs w:val="24"/>
              </w:rPr>
              <w:t>个</w:t>
            </w:r>
          </w:p>
        </w:tc>
        <w:tc>
          <w:tcPr>
            <w:tcW w:w="1282" w:type="dxa"/>
            <w:vAlign w:val="center"/>
          </w:tcPr>
          <w:p>
            <w:pPr>
              <w:overflowPunct w:val="0"/>
              <w:topLinePunct/>
              <w:snapToGrid w:val="0"/>
              <w:spacing w:line="380" w:lineRule="exact"/>
              <w:jc w:val="center"/>
              <w:rPr>
                <w:rFonts w:ascii="宋体" w:hAnsi="宋体" w:cs="宋体"/>
                <w:kern w:val="0"/>
                <w:sz w:val="24"/>
                <w:szCs w:val="24"/>
              </w:rPr>
            </w:pPr>
            <w:r>
              <w:rPr>
                <w:rFonts w:ascii="宋体" w:hAns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40" w:hRule="atLeast"/>
          <w:jc w:val="center"/>
        </w:trPr>
        <w:tc>
          <w:tcPr>
            <w:tcW w:w="2014" w:type="dxa"/>
            <w:vMerge w:val="continue"/>
            <w:vAlign w:val="center"/>
          </w:tcPr>
          <w:p>
            <w:pPr>
              <w:overflowPunct w:val="0"/>
              <w:topLinePunct/>
              <w:snapToGrid w:val="0"/>
              <w:spacing w:line="380" w:lineRule="exact"/>
              <w:jc w:val="left"/>
              <w:rPr>
                <w:rFonts w:ascii="宋体"/>
                <w:kern w:val="0"/>
                <w:sz w:val="24"/>
                <w:szCs w:val="24"/>
              </w:rPr>
            </w:pPr>
          </w:p>
        </w:tc>
        <w:tc>
          <w:tcPr>
            <w:tcW w:w="5424" w:type="dxa"/>
            <w:vAlign w:val="center"/>
          </w:tcPr>
          <w:p>
            <w:pPr>
              <w:overflowPunct w:val="0"/>
              <w:topLinePunct/>
              <w:snapToGrid w:val="0"/>
              <w:spacing w:line="380" w:lineRule="exact"/>
              <w:rPr>
                <w:rFonts w:ascii="宋体"/>
                <w:kern w:val="0"/>
                <w:sz w:val="24"/>
                <w:szCs w:val="24"/>
              </w:rPr>
            </w:pPr>
            <w:r>
              <w:rPr>
                <w:rFonts w:ascii="宋体" w:hAnsi="宋体" w:cs="宋体"/>
                <w:kern w:val="0"/>
                <w:sz w:val="24"/>
                <w:szCs w:val="24"/>
              </w:rPr>
              <w:t>4</w:t>
            </w:r>
            <w:r>
              <w:rPr>
                <w:rFonts w:hint="eastAsia" w:ascii="宋体" w:hAnsi="宋体" w:cs="宋体"/>
                <w:kern w:val="0"/>
                <w:sz w:val="24"/>
                <w:szCs w:val="24"/>
              </w:rPr>
              <w:t>个</w:t>
            </w:r>
          </w:p>
        </w:tc>
        <w:tc>
          <w:tcPr>
            <w:tcW w:w="1282" w:type="dxa"/>
            <w:vAlign w:val="center"/>
          </w:tcPr>
          <w:p>
            <w:pPr>
              <w:overflowPunct w:val="0"/>
              <w:topLinePunct/>
              <w:snapToGrid w:val="0"/>
              <w:spacing w:line="380" w:lineRule="exact"/>
              <w:jc w:val="center"/>
              <w:rPr>
                <w:rFonts w:ascii="宋体" w:hAnsi="宋体" w:cs="宋体"/>
                <w:kern w:val="0"/>
                <w:sz w:val="24"/>
                <w:szCs w:val="24"/>
              </w:rPr>
            </w:pPr>
            <w:r>
              <w:rPr>
                <w:rFonts w:ascii="宋体" w:hAnsi="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40" w:hRule="atLeast"/>
          <w:jc w:val="center"/>
        </w:trPr>
        <w:tc>
          <w:tcPr>
            <w:tcW w:w="2014" w:type="dxa"/>
            <w:vMerge w:val="continue"/>
            <w:vAlign w:val="center"/>
          </w:tcPr>
          <w:p>
            <w:pPr>
              <w:overflowPunct w:val="0"/>
              <w:topLinePunct/>
              <w:snapToGrid w:val="0"/>
              <w:spacing w:line="380" w:lineRule="exact"/>
              <w:jc w:val="left"/>
              <w:rPr>
                <w:rFonts w:ascii="宋体"/>
                <w:kern w:val="0"/>
                <w:sz w:val="24"/>
                <w:szCs w:val="24"/>
              </w:rPr>
            </w:pPr>
          </w:p>
        </w:tc>
        <w:tc>
          <w:tcPr>
            <w:tcW w:w="5424" w:type="dxa"/>
            <w:vAlign w:val="center"/>
          </w:tcPr>
          <w:p>
            <w:pPr>
              <w:overflowPunct w:val="0"/>
              <w:topLinePunct/>
              <w:snapToGrid w:val="0"/>
              <w:spacing w:line="380" w:lineRule="exact"/>
              <w:rPr>
                <w:rFonts w:ascii="宋体"/>
                <w:kern w:val="0"/>
                <w:sz w:val="24"/>
                <w:szCs w:val="24"/>
              </w:rPr>
            </w:pPr>
            <w:r>
              <w:rPr>
                <w:rFonts w:ascii="宋体" w:hAnsi="宋体" w:cs="宋体"/>
                <w:kern w:val="0"/>
                <w:sz w:val="24"/>
                <w:szCs w:val="24"/>
              </w:rPr>
              <w:t>5</w:t>
            </w:r>
            <w:r>
              <w:rPr>
                <w:rFonts w:hint="eastAsia" w:ascii="宋体" w:hAnsi="宋体" w:cs="宋体"/>
                <w:kern w:val="0"/>
                <w:sz w:val="24"/>
                <w:szCs w:val="24"/>
              </w:rPr>
              <w:t>个及以上</w:t>
            </w:r>
          </w:p>
        </w:tc>
        <w:tc>
          <w:tcPr>
            <w:tcW w:w="1282" w:type="dxa"/>
            <w:vAlign w:val="center"/>
          </w:tcPr>
          <w:p>
            <w:pPr>
              <w:overflowPunct w:val="0"/>
              <w:topLinePunct/>
              <w:snapToGrid w:val="0"/>
              <w:spacing w:line="380" w:lineRule="exact"/>
              <w:jc w:val="center"/>
              <w:rPr>
                <w:rFonts w:ascii="宋体"/>
                <w:kern w:val="0"/>
                <w:sz w:val="24"/>
                <w:szCs w:val="24"/>
              </w:rPr>
            </w:pPr>
            <w:r>
              <w:rPr>
                <w:rFonts w:ascii="宋体" w:hAnsi="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5" w:hRule="atLeast"/>
          <w:jc w:val="center"/>
        </w:trPr>
        <w:tc>
          <w:tcPr>
            <w:tcW w:w="2014" w:type="dxa"/>
            <w:vMerge w:val="restart"/>
            <w:vAlign w:val="center"/>
          </w:tcPr>
          <w:p>
            <w:pPr>
              <w:overflowPunct w:val="0"/>
              <w:topLinePunct/>
              <w:snapToGrid w:val="0"/>
              <w:spacing w:line="380" w:lineRule="exact"/>
              <w:jc w:val="center"/>
              <w:rPr>
                <w:rFonts w:ascii="宋体"/>
                <w:kern w:val="0"/>
                <w:sz w:val="24"/>
                <w:szCs w:val="24"/>
              </w:rPr>
            </w:pPr>
            <w:r>
              <w:rPr>
                <w:rFonts w:hint="eastAsia" w:ascii="宋体" w:hAnsi="宋体" w:cs="宋体"/>
                <w:kern w:val="0"/>
                <w:sz w:val="24"/>
                <w:szCs w:val="24"/>
              </w:rPr>
              <w:t>超总量因子</w:t>
            </w:r>
          </w:p>
        </w:tc>
        <w:tc>
          <w:tcPr>
            <w:tcW w:w="5424" w:type="dxa"/>
            <w:vAlign w:val="center"/>
          </w:tcPr>
          <w:p>
            <w:pPr>
              <w:overflowPunct w:val="0"/>
              <w:topLinePunct/>
              <w:snapToGrid w:val="0"/>
              <w:spacing w:line="380" w:lineRule="exact"/>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个</w:t>
            </w:r>
          </w:p>
        </w:tc>
        <w:tc>
          <w:tcPr>
            <w:tcW w:w="1282" w:type="dxa"/>
            <w:vAlign w:val="center"/>
          </w:tcPr>
          <w:p>
            <w:pPr>
              <w:overflowPunct w:val="0"/>
              <w:topLinePunct/>
              <w:snapToGrid w:val="0"/>
              <w:spacing w:line="380" w:lineRule="exact"/>
              <w:jc w:val="center"/>
              <w:rPr>
                <w:rFonts w:ascii="宋体" w:hAnsi="宋体" w:cs="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5" w:hRule="atLeast"/>
          <w:jc w:val="center"/>
        </w:trPr>
        <w:tc>
          <w:tcPr>
            <w:tcW w:w="2014" w:type="dxa"/>
            <w:vMerge w:val="continue"/>
            <w:vAlign w:val="center"/>
          </w:tcPr>
          <w:p>
            <w:pPr>
              <w:overflowPunct w:val="0"/>
              <w:topLinePunct/>
              <w:snapToGrid w:val="0"/>
              <w:spacing w:line="380" w:lineRule="exact"/>
              <w:jc w:val="left"/>
              <w:rPr>
                <w:rFonts w:ascii="宋体"/>
                <w:kern w:val="0"/>
                <w:sz w:val="24"/>
                <w:szCs w:val="24"/>
              </w:rPr>
            </w:pPr>
          </w:p>
        </w:tc>
        <w:tc>
          <w:tcPr>
            <w:tcW w:w="5424" w:type="dxa"/>
            <w:vAlign w:val="center"/>
          </w:tcPr>
          <w:p>
            <w:pPr>
              <w:overflowPunct w:val="0"/>
              <w:topLinePunct/>
              <w:snapToGrid w:val="0"/>
              <w:spacing w:line="380" w:lineRule="exact"/>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个</w:t>
            </w:r>
          </w:p>
        </w:tc>
        <w:tc>
          <w:tcPr>
            <w:tcW w:w="1282" w:type="dxa"/>
            <w:vAlign w:val="center"/>
          </w:tcPr>
          <w:p>
            <w:pPr>
              <w:overflowPunct w:val="0"/>
              <w:topLinePunct/>
              <w:snapToGrid w:val="0"/>
              <w:spacing w:line="380" w:lineRule="exact"/>
              <w:jc w:val="center"/>
              <w:rPr>
                <w:rFonts w:ascii="宋体"/>
                <w:kern w:val="0"/>
                <w:sz w:val="24"/>
                <w:szCs w:val="24"/>
              </w:rPr>
            </w:pPr>
            <w:r>
              <w:rPr>
                <w:rFonts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5" w:hRule="atLeast"/>
          <w:jc w:val="center"/>
        </w:trPr>
        <w:tc>
          <w:tcPr>
            <w:tcW w:w="2014" w:type="dxa"/>
            <w:vMerge w:val="continue"/>
            <w:vAlign w:val="center"/>
          </w:tcPr>
          <w:p>
            <w:pPr>
              <w:overflowPunct w:val="0"/>
              <w:topLinePunct/>
              <w:snapToGrid w:val="0"/>
              <w:spacing w:line="380" w:lineRule="exact"/>
              <w:jc w:val="left"/>
              <w:rPr>
                <w:rFonts w:ascii="宋体"/>
                <w:kern w:val="0"/>
                <w:sz w:val="24"/>
                <w:szCs w:val="24"/>
              </w:rPr>
            </w:pPr>
          </w:p>
        </w:tc>
        <w:tc>
          <w:tcPr>
            <w:tcW w:w="5424" w:type="dxa"/>
            <w:vAlign w:val="center"/>
          </w:tcPr>
          <w:p>
            <w:pPr>
              <w:overflowPunct w:val="0"/>
              <w:topLinePunct/>
              <w:snapToGrid w:val="0"/>
              <w:spacing w:line="380" w:lineRule="exact"/>
              <w:rPr>
                <w:rFonts w:ascii="宋体"/>
                <w:kern w:val="0"/>
                <w:sz w:val="24"/>
                <w:szCs w:val="24"/>
              </w:rPr>
            </w:pPr>
            <w:r>
              <w:rPr>
                <w:rFonts w:ascii="宋体" w:hAnsi="宋体" w:cs="宋体"/>
                <w:kern w:val="0"/>
                <w:sz w:val="24"/>
                <w:szCs w:val="24"/>
              </w:rPr>
              <w:t>3</w:t>
            </w:r>
            <w:r>
              <w:rPr>
                <w:rFonts w:hint="eastAsia" w:ascii="宋体" w:hAnsi="宋体" w:cs="宋体"/>
                <w:kern w:val="0"/>
                <w:sz w:val="24"/>
                <w:szCs w:val="24"/>
              </w:rPr>
              <w:t>个</w:t>
            </w:r>
          </w:p>
        </w:tc>
        <w:tc>
          <w:tcPr>
            <w:tcW w:w="1282" w:type="dxa"/>
            <w:vAlign w:val="center"/>
          </w:tcPr>
          <w:p>
            <w:pPr>
              <w:overflowPunct w:val="0"/>
              <w:topLinePunct/>
              <w:snapToGrid w:val="0"/>
              <w:spacing w:line="380" w:lineRule="exact"/>
              <w:jc w:val="center"/>
              <w:rPr>
                <w:rFonts w:ascii="宋体"/>
                <w:kern w:val="0"/>
                <w:sz w:val="24"/>
                <w:szCs w:val="24"/>
              </w:rPr>
            </w:pPr>
            <w:r>
              <w:rPr>
                <w:rFonts w:ascii="宋体" w:hAns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5" w:hRule="atLeast"/>
          <w:jc w:val="center"/>
        </w:trPr>
        <w:tc>
          <w:tcPr>
            <w:tcW w:w="2014" w:type="dxa"/>
            <w:vMerge w:val="continue"/>
            <w:vAlign w:val="center"/>
          </w:tcPr>
          <w:p>
            <w:pPr>
              <w:overflowPunct w:val="0"/>
              <w:topLinePunct/>
              <w:snapToGrid w:val="0"/>
              <w:spacing w:line="380" w:lineRule="exact"/>
              <w:jc w:val="left"/>
              <w:rPr>
                <w:rFonts w:ascii="宋体"/>
                <w:kern w:val="0"/>
                <w:sz w:val="24"/>
                <w:szCs w:val="24"/>
              </w:rPr>
            </w:pPr>
          </w:p>
        </w:tc>
        <w:tc>
          <w:tcPr>
            <w:tcW w:w="5424" w:type="dxa"/>
            <w:vAlign w:val="center"/>
          </w:tcPr>
          <w:p>
            <w:pPr>
              <w:overflowPunct w:val="0"/>
              <w:topLinePunct/>
              <w:snapToGrid w:val="0"/>
              <w:spacing w:line="380" w:lineRule="exact"/>
              <w:rPr>
                <w:rFonts w:ascii="宋体"/>
                <w:kern w:val="0"/>
                <w:sz w:val="24"/>
                <w:szCs w:val="24"/>
              </w:rPr>
            </w:pPr>
            <w:r>
              <w:rPr>
                <w:rFonts w:ascii="宋体" w:hAnsi="宋体" w:cs="宋体"/>
                <w:kern w:val="0"/>
                <w:sz w:val="24"/>
                <w:szCs w:val="24"/>
              </w:rPr>
              <w:t>4</w:t>
            </w:r>
            <w:r>
              <w:rPr>
                <w:rFonts w:hint="eastAsia" w:ascii="宋体" w:hAnsi="宋体" w:cs="宋体"/>
                <w:kern w:val="0"/>
                <w:sz w:val="24"/>
                <w:szCs w:val="24"/>
              </w:rPr>
              <w:t>个</w:t>
            </w:r>
          </w:p>
        </w:tc>
        <w:tc>
          <w:tcPr>
            <w:tcW w:w="1282" w:type="dxa"/>
            <w:vAlign w:val="center"/>
          </w:tcPr>
          <w:p>
            <w:pPr>
              <w:overflowPunct w:val="0"/>
              <w:topLinePunct/>
              <w:snapToGrid w:val="0"/>
              <w:spacing w:line="380" w:lineRule="exact"/>
              <w:jc w:val="center"/>
              <w:rPr>
                <w:rFonts w:ascii="宋体"/>
                <w:kern w:val="0"/>
                <w:sz w:val="24"/>
                <w:szCs w:val="24"/>
              </w:rPr>
            </w:pPr>
            <w:r>
              <w:rPr>
                <w:rFonts w:ascii="宋体" w:hAnsi="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5" w:hRule="atLeast"/>
          <w:jc w:val="center"/>
        </w:trPr>
        <w:tc>
          <w:tcPr>
            <w:tcW w:w="2014" w:type="dxa"/>
            <w:vMerge w:val="continue"/>
            <w:vAlign w:val="center"/>
          </w:tcPr>
          <w:p>
            <w:pPr>
              <w:overflowPunct w:val="0"/>
              <w:topLinePunct/>
              <w:snapToGrid w:val="0"/>
              <w:spacing w:line="380" w:lineRule="exact"/>
              <w:jc w:val="left"/>
              <w:rPr>
                <w:rFonts w:ascii="宋体"/>
                <w:kern w:val="0"/>
                <w:sz w:val="24"/>
                <w:szCs w:val="24"/>
              </w:rPr>
            </w:pPr>
          </w:p>
        </w:tc>
        <w:tc>
          <w:tcPr>
            <w:tcW w:w="5424" w:type="dxa"/>
            <w:vAlign w:val="center"/>
          </w:tcPr>
          <w:p>
            <w:pPr>
              <w:overflowPunct w:val="0"/>
              <w:topLinePunct/>
              <w:snapToGrid w:val="0"/>
              <w:spacing w:line="380" w:lineRule="exact"/>
              <w:rPr>
                <w:rFonts w:ascii="宋体"/>
                <w:kern w:val="0"/>
                <w:sz w:val="24"/>
                <w:szCs w:val="24"/>
              </w:rPr>
            </w:pPr>
            <w:r>
              <w:rPr>
                <w:rFonts w:ascii="宋体" w:hAnsi="宋体" w:cs="宋体"/>
                <w:kern w:val="0"/>
                <w:sz w:val="24"/>
                <w:szCs w:val="24"/>
              </w:rPr>
              <w:t>5</w:t>
            </w:r>
            <w:r>
              <w:rPr>
                <w:rFonts w:hint="eastAsia" w:ascii="宋体" w:hAnsi="宋体" w:cs="宋体"/>
                <w:kern w:val="0"/>
                <w:sz w:val="24"/>
                <w:szCs w:val="24"/>
              </w:rPr>
              <w:t>个及以上</w:t>
            </w:r>
          </w:p>
        </w:tc>
        <w:tc>
          <w:tcPr>
            <w:tcW w:w="1282" w:type="dxa"/>
            <w:vAlign w:val="center"/>
          </w:tcPr>
          <w:p>
            <w:pPr>
              <w:overflowPunct w:val="0"/>
              <w:topLinePunct/>
              <w:snapToGrid w:val="0"/>
              <w:spacing w:line="380" w:lineRule="exact"/>
              <w:jc w:val="center"/>
              <w:rPr>
                <w:rFonts w:ascii="宋体" w:hAnsi="宋体" w:cs="宋体"/>
                <w:kern w:val="0"/>
                <w:sz w:val="24"/>
                <w:szCs w:val="24"/>
              </w:rPr>
            </w:pPr>
            <w:r>
              <w:rPr>
                <w:rFonts w:ascii="宋体" w:hAnsi="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5" w:hRule="atLeast"/>
          <w:jc w:val="center"/>
        </w:trPr>
        <w:tc>
          <w:tcPr>
            <w:tcW w:w="2014" w:type="dxa"/>
            <w:vMerge w:val="restart"/>
            <w:vAlign w:val="center"/>
          </w:tcPr>
          <w:p>
            <w:pPr>
              <w:spacing w:line="360" w:lineRule="auto"/>
              <w:ind w:left="240" w:hanging="240" w:hangingChars="100"/>
              <w:jc w:val="center"/>
              <w:rPr>
                <w:rFonts w:ascii="宋体"/>
                <w:kern w:val="0"/>
                <w:sz w:val="24"/>
                <w:szCs w:val="24"/>
              </w:rPr>
            </w:pPr>
            <w:r>
              <w:rPr>
                <w:rFonts w:hint="eastAsia" w:ascii="宋体" w:hAnsi="宋体" w:cs="宋体"/>
                <w:kern w:val="0"/>
                <w:sz w:val="24"/>
                <w:szCs w:val="24"/>
              </w:rPr>
              <w:t>排放去向或区域（水、气）</w:t>
            </w:r>
          </w:p>
          <w:p>
            <w:pPr>
              <w:overflowPunct w:val="0"/>
              <w:topLinePunct/>
              <w:snapToGrid w:val="0"/>
              <w:jc w:val="center"/>
              <w:rPr>
                <w:rFonts w:ascii="宋体"/>
                <w:kern w:val="0"/>
                <w:sz w:val="24"/>
                <w:szCs w:val="24"/>
              </w:rPr>
            </w:pPr>
          </w:p>
        </w:tc>
        <w:tc>
          <w:tcPr>
            <w:tcW w:w="5424" w:type="dxa"/>
            <w:vAlign w:val="center"/>
          </w:tcPr>
          <w:p>
            <w:pPr>
              <w:spacing w:line="360" w:lineRule="auto"/>
              <w:rPr>
                <w:rFonts w:ascii="宋体"/>
                <w:kern w:val="0"/>
                <w:sz w:val="24"/>
                <w:szCs w:val="24"/>
              </w:rPr>
            </w:pPr>
            <w:r>
              <w:rPr>
                <w:rFonts w:hint="eastAsia" w:ascii="宋体" w:hAnsi="宋体" w:cs="宋体"/>
                <w:kern w:val="0"/>
                <w:sz w:val="24"/>
                <w:szCs w:val="24"/>
              </w:rPr>
              <w:t>二类功能区（工业区和农村地区）</w:t>
            </w:r>
            <w:r>
              <w:rPr>
                <w:rFonts w:ascii="宋体" w:hAnsi="宋体" w:cs="宋体"/>
                <w:kern w:val="0"/>
                <w:sz w:val="24"/>
                <w:szCs w:val="24"/>
              </w:rPr>
              <w:t xml:space="preserve">/V </w:t>
            </w:r>
            <w:r>
              <w:rPr>
                <w:rFonts w:hint="eastAsia" w:ascii="宋体" w:hAnsi="宋体" w:cs="宋体"/>
                <w:kern w:val="0"/>
                <w:sz w:val="24"/>
                <w:szCs w:val="24"/>
              </w:rPr>
              <w:t>类水体或污</w:t>
            </w:r>
          </w:p>
          <w:p>
            <w:pPr>
              <w:spacing w:line="360" w:lineRule="auto"/>
              <w:rPr>
                <w:rFonts w:ascii="宋体"/>
                <w:kern w:val="0"/>
                <w:sz w:val="24"/>
                <w:szCs w:val="24"/>
              </w:rPr>
            </w:pPr>
            <w:r>
              <w:rPr>
                <w:rFonts w:hint="eastAsia" w:ascii="宋体" w:hAnsi="宋体" w:cs="宋体"/>
                <w:kern w:val="0"/>
                <w:sz w:val="24"/>
                <w:szCs w:val="24"/>
              </w:rPr>
              <w:t>水集中处理设施</w:t>
            </w:r>
          </w:p>
        </w:tc>
        <w:tc>
          <w:tcPr>
            <w:tcW w:w="1282" w:type="dxa"/>
            <w:vAlign w:val="center"/>
          </w:tcPr>
          <w:p>
            <w:pPr>
              <w:overflowPunct w:val="0"/>
              <w:topLinePunct/>
              <w:snapToGrid w:val="0"/>
              <w:jc w:val="center"/>
              <w:rPr>
                <w:rFonts w:ascii="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5" w:hRule="atLeast"/>
          <w:jc w:val="center"/>
        </w:trPr>
        <w:tc>
          <w:tcPr>
            <w:tcW w:w="2014" w:type="dxa"/>
            <w:vMerge w:val="continue"/>
            <w:vAlign w:val="center"/>
          </w:tcPr>
          <w:p>
            <w:pPr>
              <w:overflowPunct w:val="0"/>
              <w:topLinePunct/>
              <w:snapToGrid w:val="0"/>
              <w:spacing w:line="380" w:lineRule="exact"/>
              <w:jc w:val="left"/>
              <w:rPr>
                <w:rFonts w:ascii="宋体"/>
                <w:kern w:val="0"/>
                <w:sz w:val="24"/>
                <w:szCs w:val="24"/>
              </w:rPr>
            </w:pPr>
          </w:p>
        </w:tc>
        <w:tc>
          <w:tcPr>
            <w:tcW w:w="5424" w:type="dxa"/>
            <w:vAlign w:val="center"/>
          </w:tcPr>
          <w:p>
            <w:pPr>
              <w:overflowPunct w:val="0"/>
              <w:topLinePunct/>
              <w:snapToGrid w:val="0"/>
              <w:spacing w:line="380" w:lineRule="exact"/>
              <w:rPr>
                <w:rFonts w:ascii="宋体"/>
                <w:kern w:val="0"/>
                <w:sz w:val="24"/>
                <w:szCs w:val="24"/>
              </w:rPr>
            </w:pPr>
            <w:r>
              <w:rPr>
                <w:rFonts w:hint="eastAsia" w:ascii="宋体" w:hAnsi="宋体" w:cs="宋体"/>
                <w:kern w:val="0"/>
                <w:sz w:val="24"/>
                <w:szCs w:val="24"/>
              </w:rPr>
              <w:t>Ⅳ类水体</w:t>
            </w:r>
          </w:p>
        </w:tc>
        <w:tc>
          <w:tcPr>
            <w:tcW w:w="1282" w:type="dxa"/>
            <w:vAlign w:val="center"/>
          </w:tcPr>
          <w:p>
            <w:pPr>
              <w:overflowPunct w:val="0"/>
              <w:topLinePunct/>
              <w:snapToGrid w:val="0"/>
              <w:spacing w:line="380" w:lineRule="exact"/>
              <w:jc w:val="center"/>
              <w:rPr>
                <w:rFonts w:ascii="宋体"/>
                <w:kern w:val="0"/>
                <w:sz w:val="24"/>
                <w:szCs w:val="24"/>
              </w:rPr>
            </w:pPr>
            <w:r>
              <w:rPr>
                <w:rFonts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5" w:hRule="atLeast"/>
          <w:jc w:val="center"/>
        </w:trPr>
        <w:tc>
          <w:tcPr>
            <w:tcW w:w="2014" w:type="dxa"/>
            <w:vMerge w:val="continue"/>
            <w:vAlign w:val="center"/>
          </w:tcPr>
          <w:p>
            <w:pPr>
              <w:overflowPunct w:val="0"/>
              <w:topLinePunct/>
              <w:snapToGrid w:val="0"/>
              <w:spacing w:line="380" w:lineRule="exact"/>
              <w:jc w:val="left"/>
              <w:rPr>
                <w:rFonts w:ascii="宋体"/>
                <w:kern w:val="0"/>
                <w:sz w:val="24"/>
                <w:szCs w:val="24"/>
              </w:rPr>
            </w:pPr>
          </w:p>
        </w:tc>
        <w:tc>
          <w:tcPr>
            <w:tcW w:w="5424" w:type="dxa"/>
            <w:vAlign w:val="center"/>
          </w:tcPr>
          <w:p>
            <w:pPr>
              <w:spacing w:line="360" w:lineRule="auto"/>
              <w:rPr>
                <w:rFonts w:ascii="宋体"/>
                <w:kern w:val="0"/>
                <w:sz w:val="24"/>
                <w:szCs w:val="24"/>
              </w:rPr>
            </w:pPr>
            <w:r>
              <w:rPr>
                <w:rFonts w:hint="eastAsia" w:ascii="宋体" w:hAnsi="宋体" w:cs="宋体"/>
                <w:kern w:val="0"/>
                <w:sz w:val="24"/>
                <w:szCs w:val="24"/>
              </w:rPr>
              <w:t>二类功能区（居民区、商业交通居民混合区、文化</w:t>
            </w:r>
          </w:p>
          <w:p>
            <w:pPr>
              <w:overflowPunct w:val="0"/>
              <w:topLinePunct/>
              <w:snapToGrid w:val="0"/>
              <w:spacing w:line="380" w:lineRule="exact"/>
              <w:rPr>
                <w:rFonts w:ascii="宋体"/>
                <w:kern w:val="0"/>
                <w:sz w:val="24"/>
                <w:szCs w:val="24"/>
              </w:rPr>
            </w:pPr>
            <w:r>
              <w:rPr>
                <w:rFonts w:hint="eastAsia" w:ascii="宋体" w:hAnsi="宋体" w:cs="宋体"/>
                <w:kern w:val="0"/>
                <w:sz w:val="24"/>
                <w:szCs w:val="24"/>
              </w:rPr>
              <w:t>区）</w:t>
            </w:r>
            <w:r>
              <w:rPr>
                <w:rFonts w:ascii="宋体" w:hAnsi="宋体" w:cs="宋体"/>
                <w:kern w:val="0"/>
                <w:sz w:val="24"/>
                <w:szCs w:val="24"/>
              </w:rPr>
              <w:t>/</w:t>
            </w:r>
            <w:r>
              <w:rPr>
                <w:rFonts w:hint="eastAsia" w:ascii="宋体" w:hAnsi="宋体" w:cs="宋体"/>
                <w:kern w:val="0"/>
                <w:sz w:val="24"/>
                <w:szCs w:val="24"/>
              </w:rPr>
              <w:t>Ⅲ类水体</w:t>
            </w:r>
          </w:p>
        </w:tc>
        <w:tc>
          <w:tcPr>
            <w:tcW w:w="1282" w:type="dxa"/>
            <w:vAlign w:val="center"/>
          </w:tcPr>
          <w:p>
            <w:pPr>
              <w:overflowPunct w:val="0"/>
              <w:topLinePunct/>
              <w:snapToGrid w:val="0"/>
              <w:spacing w:line="380" w:lineRule="exact"/>
              <w:jc w:val="center"/>
              <w:rPr>
                <w:rFonts w:ascii="宋体"/>
                <w:kern w:val="0"/>
                <w:sz w:val="24"/>
                <w:szCs w:val="24"/>
              </w:rPr>
            </w:pPr>
            <w:r>
              <w:rPr>
                <w:rFonts w:ascii="宋体" w:hAns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5" w:hRule="atLeast"/>
          <w:jc w:val="center"/>
        </w:trPr>
        <w:tc>
          <w:tcPr>
            <w:tcW w:w="2014" w:type="dxa"/>
            <w:vMerge w:val="continue"/>
            <w:vAlign w:val="center"/>
          </w:tcPr>
          <w:p>
            <w:pPr>
              <w:overflowPunct w:val="0"/>
              <w:topLinePunct/>
              <w:snapToGrid w:val="0"/>
              <w:spacing w:line="380" w:lineRule="exact"/>
              <w:jc w:val="left"/>
              <w:rPr>
                <w:rFonts w:ascii="宋体"/>
                <w:kern w:val="0"/>
                <w:sz w:val="24"/>
                <w:szCs w:val="24"/>
              </w:rPr>
            </w:pPr>
          </w:p>
        </w:tc>
        <w:tc>
          <w:tcPr>
            <w:tcW w:w="5424" w:type="dxa"/>
            <w:vAlign w:val="center"/>
          </w:tcPr>
          <w:p>
            <w:pPr>
              <w:overflowPunct w:val="0"/>
              <w:topLinePunct/>
              <w:snapToGrid w:val="0"/>
              <w:spacing w:line="380" w:lineRule="exact"/>
              <w:rPr>
                <w:rFonts w:ascii="宋体"/>
                <w:kern w:val="0"/>
                <w:sz w:val="24"/>
                <w:szCs w:val="24"/>
              </w:rPr>
            </w:pPr>
            <w:r>
              <w:rPr>
                <w:rFonts w:ascii="宋体" w:hAnsi="宋体" w:cs="宋体"/>
                <w:kern w:val="0"/>
                <w:sz w:val="24"/>
                <w:szCs w:val="24"/>
              </w:rPr>
              <w:t>I</w:t>
            </w:r>
            <w:r>
              <w:rPr>
                <w:rFonts w:hint="eastAsia" w:ascii="宋体" w:hAnsi="宋体" w:cs="宋体"/>
                <w:kern w:val="0"/>
                <w:sz w:val="24"/>
                <w:szCs w:val="24"/>
              </w:rPr>
              <w:t>、Ⅱ类水体</w:t>
            </w:r>
          </w:p>
        </w:tc>
        <w:tc>
          <w:tcPr>
            <w:tcW w:w="1282" w:type="dxa"/>
            <w:vAlign w:val="center"/>
          </w:tcPr>
          <w:p>
            <w:pPr>
              <w:overflowPunct w:val="0"/>
              <w:topLinePunct/>
              <w:snapToGrid w:val="0"/>
              <w:spacing w:line="380" w:lineRule="exact"/>
              <w:jc w:val="center"/>
              <w:rPr>
                <w:rFonts w:ascii="宋体"/>
                <w:kern w:val="0"/>
                <w:sz w:val="24"/>
                <w:szCs w:val="24"/>
              </w:rPr>
            </w:pPr>
            <w:r>
              <w:rPr>
                <w:rFonts w:ascii="宋体" w:hAnsi="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5" w:hRule="atLeast"/>
          <w:jc w:val="center"/>
        </w:trPr>
        <w:tc>
          <w:tcPr>
            <w:tcW w:w="2014" w:type="dxa"/>
            <w:vMerge w:val="continue"/>
            <w:vAlign w:val="center"/>
          </w:tcPr>
          <w:p>
            <w:pPr>
              <w:overflowPunct w:val="0"/>
              <w:topLinePunct/>
              <w:snapToGrid w:val="0"/>
              <w:spacing w:line="380" w:lineRule="exact"/>
              <w:jc w:val="left"/>
              <w:rPr>
                <w:rFonts w:ascii="宋体"/>
                <w:kern w:val="0"/>
                <w:sz w:val="24"/>
                <w:szCs w:val="24"/>
              </w:rPr>
            </w:pPr>
          </w:p>
        </w:tc>
        <w:tc>
          <w:tcPr>
            <w:tcW w:w="5424" w:type="dxa"/>
            <w:vAlign w:val="center"/>
          </w:tcPr>
          <w:p>
            <w:pPr>
              <w:overflowPunct w:val="0"/>
              <w:topLinePunct/>
              <w:snapToGrid w:val="0"/>
              <w:spacing w:line="380" w:lineRule="exact"/>
              <w:rPr>
                <w:rFonts w:ascii="宋体"/>
                <w:kern w:val="0"/>
                <w:sz w:val="24"/>
                <w:szCs w:val="24"/>
              </w:rPr>
            </w:pPr>
            <w:r>
              <w:rPr>
                <w:rFonts w:hint="eastAsia" w:ascii="宋体" w:hAnsi="宋体" w:cs="宋体"/>
                <w:kern w:val="0"/>
                <w:sz w:val="24"/>
                <w:szCs w:val="24"/>
              </w:rPr>
              <w:t>一类功能区</w:t>
            </w:r>
            <w:r>
              <w:rPr>
                <w:rFonts w:ascii="宋体" w:hAnsi="宋体" w:cs="宋体"/>
                <w:kern w:val="0"/>
                <w:sz w:val="24"/>
                <w:szCs w:val="24"/>
              </w:rPr>
              <w:t>/</w:t>
            </w:r>
            <w:r>
              <w:rPr>
                <w:rFonts w:hint="eastAsia" w:ascii="宋体" w:hAnsi="宋体" w:cs="宋体"/>
                <w:kern w:val="0"/>
                <w:sz w:val="24"/>
                <w:szCs w:val="24"/>
              </w:rPr>
              <w:t>饮用水水源保护区</w:t>
            </w:r>
          </w:p>
        </w:tc>
        <w:tc>
          <w:tcPr>
            <w:tcW w:w="1282" w:type="dxa"/>
            <w:vAlign w:val="center"/>
          </w:tcPr>
          <w:p>
            <w:pPr>
              <w:overflowPunct w:val="0"/>
              <w:topLinePunct/>
              <w:snapToGrid w:val="0"/>
              <w:spacing w:line="380" w:lineRule="exact"/>
              <w:jc w:val="center"/>
              <w:rPr>
                <w:rFonts w:ascii="宋体"/>
                <w:kern w:val="0"/>
                <w:sz w:val="24"/>
                <w:szCs w:val="24"/>
              </w:rPr>
            </w:pPr>
            <w:r>
              <w:rPr>
                <w:rFonts w:ascii="宋体" w:hAnsi="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40" w:hRule="atLeast"/>
          <w:jc w:val="center"/>
        </w:trPr>
        <w:tc>
          <w:tcPr>
            <w:tcW w:w="2014" w:type="dxa"/>
            <w:vMerge w:val="restart"/>
            <w:vAlign w:val="center"/>
          </w:tcPr>
          <w:p>
            <w:pPr>
              <w:overflowPunct w:val="0"/>
              <w:topLinePunct/>
              <w:snapToGrid w:val="0"/>
              <w:spacing w:line="360" w:lineRule="exact"/>
              <w:jc w:val="center"/>
              <w:rPr>
                <w:rFonts w:ascii="宋体"/>
                <w:kern w:val="0"/>
                <w:sz w:val="24"/>
                <w:szCs w:val="24"/>
              </w:rPr>
            </w:pPr>
            <w:r>
              <w:rPr>
                <w:rFonts w:hint="eastAsia" w:ascii="宋体" w:hAnsi="宋体" w:cs="宋体"/>
                <w:kern w:val="0"/>
                <w:sz w:val="24"/>
                <w:szCs w:val="24"/>
              </w:rPr>
              <w:t>废气类别</w:t>
            </w:r>
          </w:p>
        </w:tc>
        <w:tc>
          <w:tcPr>
            <w:tcW w:w="5424" w:type="dxa"/>
            <w:vAlign w:val="center"/>
          </w:tcPr>
          <w:p>
            <w:pPr>
              <w:overflowPunct w:val="0"/>
              <w:topLinePunct/>
              <w:snapToGrid w:val="0"/>
              <w:spacing w:line="360" w:lineRule="exact"/>
              <w:rPr>
                <w:rFonts w:ascii="宋体"/>
                <w:kern w:val="0"/>
                <w:sz w:val="24"/>
                <w:szCs w:val="24"/>
              </w:rPr>
            </w:pPr>
            <w:r>
              <w:rPr>
                <w:rFonts w:hint="eastAsia" w:ascii="宋体" w:hAnsi="宋体" w:cs="宋体"/>
                <w:kern w:val="0"/>
                <w:sz w:val="24"/>
                <w:szCs w:val="24"/>
              </w:rPr>
              <w:t>餐饮油烟（经营）</w:t>
            </w:r>
          </w:p>
        </w:tc>
        <w:tc>
          <w:tcPr>
            <w:tcW w:w="1282" w:type="dxa"/>
            <w:vAlign w:val="center"/>
          </w:tcPr>
          <w:p>
            <w:pPr>
              <w:overflowPunct w:val="0"/>
              <w:topLinePunct/>
              <w:snapToGrid w:val="0"/>
              <w:spacing w:line="360" w:lineRule="exact"/>
              <w:jc w:val="center"/>
              <w:rPr>
                <w:rFonts w:ascii="宋体" w:hAnsi="宋体" w:cs="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40" w:hRule="atLeast"/>
          <w:jc w:val="center"/>
        </w:trPr>
        <w:tc>
          <w:tcPr>
            <w:tcW w:w="2014" w:type="dxa"/>
            <w:vMerge w:val="continue"/>
            <w:vAlign w:val="center"/>
          </w:tcPr>
          <w:p>
            <w:pPr>
              <w:overflowPunct w:val="0"/>
              <w:topLinePunct/>
              <w:snapToGrid w:val="0"/>
              <w:spacing w:line="380" w:lineRule="exact"/>
              <w:jc w:val="center"/>
              <w:rPr>
                <w:rFonts w:ascii="宋体"/>
                <w:kern w:val="0"/>
                <w:sz w:val="24"/>
                <w:szCs w:val="24"/>
              </w:rPr>
            </w:pPr>
          </w:p>
        </w:tc>
        <w:tc>
          <w:tcPr>
            <w:tcW w:w="5424" w:type="dxa"/>
            <w:vAlign w:val="center"/>
          </w:tcPr>
          <w:p>
            <w:pPr>
              <w:overflowPunct w:val="0"/>
              <w:topLinePunct/>
              <w:snapToGrid w:val="0"/>
              <w:spacing w:line="380" w:lineRule="exact"/>
              <w:rPr>
                <w:rFonts w:ascii="宋体"/>
                <w:kern w:val="0"/>
                <w:sz w:val="24"/>
                <w:szCs w:val="24"/>
              </w:rPr>
            </w:pPr>
            <w:r>
              <w:rPr>
                <w:rFonts w:hint="eastAsia" w:ascii="宋体" w:hAnsi="宋体" w:cs="宋体"/>
                <w:kern w:val="0"/>
                <w:sz w:val="24"/>
                <w:szCs w:val="24"/>
              </w:rPr>
              <w:t>农业生产、畜禽养殖</w:t>
            </w:r>
            <w:r>
              <w:rPr>
                <w:rFonts w:ascii="宋体" w:hAnsi="宋体" w:cs="宋体"/>
                <w:kern w:val="0"/>
                <w:sz w:val="24"/>
                <w:szCs w:val="24"/>
              </w:rPr>
              <w:t>/</w:t>
            </w:r>
            <w:r>
              <w:rPr>
                <w:rFonts w:hint="eastAsia" w:ascii="宋体" w:hAnsi="宋体" w:cs="宋体"/>
                <w:kern w:val="0"/>
                <w:sz w:val="24"/>
                <w:szCs w:val="24"/>
              </w:rPr>
              <w:t>扬尘</w:t>
            </w:r>
            <w:r>
              <w:rPr>
                <w:rFonts w:ascii="宋体" w:hAnsi="宋体" w:cs="宋体"/>
                <w:kern w:val="0"/>
                <w:sz w:val="24"/>
                <w:szCs w:val="24"/>
              </w:rPr>
              <w:t>/</w:t>
            </w:r>
            <w:r>
              <w:rPr>
                <w:rFonts w:hint="eastAsia" w:ascii="宋体" w:hAnsi="宋体" w:cs="宋体"/>
                <w:kern w:val="0"/>
                <w:sz w:val="24"/>
                <w:szCs w:val="24"/>
              </w:rPr>
              <w:t>机械、汽车修理</w:t>
            </w:r>
          </w:p>
        </w:tc>
        <w:tc>
          <w:tcPr>
            <w:tcW w:w="1282" w:type="dxa"/>
            <w:vAlign w:val="center"/>
          </w:tcPr>
          <w:p>
            <w:pPr>
              <w:overflowPunct w:val="0"/>
              <w:topLinePunct/>
              <w:snapToGrid w:val="0"/>
              <w:spacing w:line="380" w:lineRule="exact"/>
              <w:jc w:val="center"/>
              <w:rPr>
                <w:rFonts w:ascii="宋体"/>
                <w:kern w:val="0"/>
                <w:sz w:val="24"/>
                <w:szCs w:val="24"/>
              </w:rPr>
            </w:pPr>
            <w:r>
              <w:rPr>
                <w:rFonts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82" w:hRule="atLeast"/>
          <w:jc w:val="center"/>
        </w:trPr>
        <w:tc>
          <w:tcPr>
            <w:tcW w:w="2014" w:type="dxa"/>
            <w:vMerge w:val="continue"/>
            <w:vAlign w:val="center"/>
          </w:tcPr>
          <w:p>
            <w:pPr>
              <w:overflowPunct w:val="0"/>
              <w:topLinePunct/>
              <w:snapToGrid w:val="0"/>
              <w:spacing w:line="380" w:lineRule="exact"/>
              <w:jc w:val="left"/>
              <w:rPr>
                <w:rFonts w:ascii="宋体"/>
                <w:kern w:val="0"/>
                <w:sz w:val="24"/>
                <w:szCs w:val="24"/>
              </w:rPr>
            </w:pPr>
          </w:p>
        </w:tc>
        <w:tc>
          <w:tcPr>
            <w:tcW w:w="5424" w:type="dxa"/>
            <w:vAlign w:val="center"/>
          </w:tcPr>
          <w:p>
            <w:pPr>
              <w:overflowPunct w:val="0"/>
              <w:topLinePunct/>
              <w:snapToGrid w:val="0"/>
              <w:spacing w:line="380" w:lineRule="exact"/>
              <w:rPr>
                <w:rFonts w:ascii="宋体"/>
                <w:spacing w:val="-4"/>
                <w:kern w:val="0"/>
                <w:sz w:val="24"/>
                <w:szCs w:val="24"/>
              </w:rPr>
            </w:pPr>
            <w:r>
              <w:rPr>
                <w:rFonts w:hint="eastAsia" w:ascii="宋体" w:hAnsi="宋体" w:cs="宋体"/>
                <w:kern w:val="0"/>
                <w:sz w:val="24"/>
                <w:szCs w:val="24"/>
              </w:rPr>
              <w:t>一般工业废气</w:t>
            </w:r>
            <w:r>
              <w:rPr>
                <w:rFonts w:ascii="宋体" w:hAnsi="宋体" w:cs="宋体"/>
                <w:kern w:val="0"/>
                <w:sz w:val="24"/>
                <w:szCs w:val="24"/>
              </w:rPr>
              <w:t>/</w:t>
            </w:r>
            <w:r>
              <w:rPr>
                <w:rFonts w:hint="eastAsia" w:ascii="宋体" w:hAnsi="宋体" w:cs="宋体"/>
                <w:kern w:val="0"/>
                <w:sz w:val="24"/>
                <w:szCs w:val="24"/>
              </w:rPr>
              <w:t>含恶臭污染物的废气</w:t>
            </w:r>
            <w:r>
              <w:rPr>
                <w:rFonts w:ascii="宋体" w:hAnsi="宋体" w:cs="宋体"/>
                <w:kern w:val="0"/>
                <w:sz w:val="24"/>
                <w:szCs w:val="24"/>
              </w:rPr>
              <w:t>/</w:t>
            </w:r>
            <w:r>
              <w:rPr>
                <w:rFonts w:hint="eastAsia" w:ascii="宋体" w:hAnsi="宋体" w:cs="宋体"/>
                <w:kern w:val="0"/>
                <w:sz w:val="24"/>
                <w:szCs w:val="24"/>
              </w:rPr>
              <w:t>医疗</w:t>
            </w:r>
            <w:r>
              <w:rPr>
                <w:rFonts w:ascii="宋体" w:hAnsi="宋体" w:cs="宋体"/>
                <w:kern w:val="0"/>
                <w:sz w:val="24"/>
                <w:szCs w:val="24"/>
              </w:rPr>
              <w:t>/</w:t>
            </w:r>
            <w:r>
              <w:rPr>
                <w:rFonts w:hint="eastAsia" w:ascii="宋体" w:hAnsi="宋体" w:cs="宋体"/>
                <w:kern w:val="0"/>
                <w:sz w:val="24"/>
                <w:szCs w:val="24"/>
              </w:rPr>
              <w:t>实验室</w:t>
            </w:r>
          </w:p>
        </w:tc>
        <w:tc>
          <w:tcPr>
            <w:tcW w:w="1282" w:type="dxa"/>
            <w:vAlign w:val="center"/>
          </w:tcPr>
          <w:p>
            <w:pPr>
              <w:overflowPunct w:val="0"/>
              <w:topLinePunct/>
              <w:snapToGrid w:val="0"/>
              <w:spacing w:line="380" w:lineRule="exact"/>
              <w:jc w:val="center"/>
              <w:rPr>
                <w:rFonts w:ascii="宋体"/>
                <w:kern w:val="0"/>
                <w:sz w:val="24"/>
                <w:szCs w:val="24"/>
              </w:rPr>
            </w:pPr>
            <w:r>
              <w:rPr>
                <w:rFonts w:ascii="宋体" w:hAns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82" w:hRule="atLeast"/>
          <w:jc w:val="center"/>
        </w:trPr>
        <w:tc>
          <w:tcPr>
            <w:tcW w:w="2014" w:type="dxa"/>
            <w:vMerge w:val="continue"/>
            <w:vAlign w:val="center"/>
          </w:tcPr>
          <w:p>
            <w:pPr>
              <w:overflowPunct w:val="0"/>
              <w:topLinePunct/>
              <w:snapToGrid w:val="0"/>
              <w:spacing w:line="380" w:lineRule="exact"/>
              <w:jc w:val="left"/>
              <w:rPr>
                <w:rFonts w:ascii="宋体"/>
                <w:kern w:val="0"/>
                <w:sz w:val="24"/>
                <w:szCs w:val="24"/>
              </w:rPr>
            </w:pPr>
          </w:p>
        </w:tc>
        <w:tc>
          <w:tcPr>
            <w:tcW w:w="5424" w:type="dxa"/>
            <w:vAlign w:val="center"/>
          </w:tcPr>
          <w:p>
            <w:pPr>
              <w:rPr>
                <w:rFonts w:ascii="宋体"/>
                <w:sz w:val="24"/>
                <w:szCs w:val="24"/>
              </w:rPr>
            </w:pPr>
            <w:r>
              <w:rPr>
                <w:rFonts w:hint="eastAsia" w:ascii="宋体" w:hAnsi="宋体" w:cs="宋体"/>
                <w:kern w:val="0"/>
                <w:sz w:val="24"/>
                <w:szCs w:val="24"/>
              </w:rPr>
              <w:t>火电、钢铁、石化、水泥、炼焦、有色、化工废气、烟尘</w:t>
            </w:r>
            <w:r>
              <w:rPr>
                <w:rFonts w:ascii="宋体" w:hAnsi="宋体" w:cs="宋体"/>
                <w:kern w:val="0"/>
                <w:sz w:val="24"/>
                <w:szCs w:val="24"/>
              </w:rPr>
              <w:t>/</w:t>
            </w:r>
            <w:r>
              <w:rPr>
                <w:rFonts w:hint="eastAsia" w:ascii="宋体" w:hAnsi="宋体" w:cs="宋体"/>
                <w:kern w:val="0"/>
                <w:sz w:val="24"/>
                <w:szCs w:val="24"/>
              </w:rPr>
              <w:t>燃煤锅炉废气、烟尘</w:t>
            </w:r>
          </w:p>
        </w:tc>
        <w:tc>
          <w:tcPr>
            <w:tcW w:w="1282" w:type="dxa"/>
            <w:vAlign w:val="center"/>
          </w:tcPr>
          <w:p>
            <w:pPr>
              <w:overflowPunct w:val="0"/>
              <w:topLinePunct/>
              <w:snapToGrid w:val="0"/>
              <w:spacing w:line="380" w:lineRule="exact"/>
              <w:jc w:val="center"/>
              <w:rPr>
                <w:rFonts w:ascii="宋体"/>
                <w:kern w:val="0"/>
                <w:sz w:val="24"/>
                <w:szCs w:val="24"/>
              </w:rPr>
            </w:pPr>
            <w:r>
              <w:rPr>
                <w:rFonts w:ascii="宋体" w:hAnsi="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82" w:hRule="atLeast"/>
          <w:jc w:val="center"/>
        </w:trPr>
        <w:tc>
          <w:tcPr>
            <w:tcW w:w="2014" w:type="dxa"/>
            <w:vMerge w:val="continue"/>
            <w:vAlign w:val="center"/>
          </w:tcPr>
          <w:p>
            <w:pPr>
              <w:overflowPunct w:val="0"/>
              <w:topLinePunct/>
              <w:snapToGrid w:val="0"/>
              <w:spacing w:line="380" w:lineRule="exact"/>
              <w:jc w:val="left"/>
              <w:rPr>
                <w:rFonts w:ascii="宋体"/>
                <w:kern w:val="0"/>
                <w:sz w:val="24"/>
                <w:szCs w:val="24"/>
              </w:rPr>
            </w:pPr>
          </w:p>
        </w:tc>
        <w:tc>
          <w:tcPr>
            <w:tcW w:w="5424" w:type="dxa"/>
            <w:vAlign w:val="center"/>
          </w:tcPr>
          <w:p>
            <w:pPr>
              <w:overflowPunct w:val="0"/>
              <w:topLinePunct/>
              <w:snapToGrid w:val="0"/>
              <w:spacing w:line="380" w:lineRule="exact"/>
              <w:rPr>
                <w:rFonts w:ascii="宋体"/>
                <w:kern w:val="0"/>
                <w:sz w:val="24"/>
                <w:szCs w:val="24"/>
              </w:rPr>
            </w:pPr>
            <w:r>
              <w:rPr>
                <w:rFonts w:hint="eastAsia" w:ascii="宋体" w:hAnsi="宋体" w:cs="宋体"/>
                <w:kern w:val="0"/>
                <w:sz w:val="24"/>
                <w:szCs w:val="24"/>
              </w:rPr>
              <w:t>含有毒有害物质的废气</w:t>
            </w:r>
          </w:p>
        </w:tc>
        <w:tc>
          <w:tcPr>
            <w:tcW w:w="1282" w:type="dxa"/>
            <w:vAlign w:val="center"/>
          </w:tcPr>
          <w:p>
            <w:pPr>
              <w:overflowPunct w:val="0"/>
              <w:topLinePunct/>
              <w:snapToGrid w:val="0"/>
              <w:spacing w:line="380" w:lineRule="exact"/>
              <w:jc w:val="center"/>
              <w:rPr>
                <w:rFonts w:ascii="宋体"/>
                <w:kern w:val="0"/>
                <w:sz w:val="24"/>
                <w:szCs w:val="24"/>
              </w:rPr>
            </w:pPr>
            <w:r>
              <w:rPr>
                <w:rFonts w:ascii="宋体" w:hAnsi="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40" w:hRule="atLeast"/>
          <w:jc w:val="center"/>
        </w:trPr>
        <w:tc>
          <w:tcPr>
            <w:tcW w:w="2014" w:type="dxa"/>
            <w:vMerge w:val="restart"/>
            <w:vAlign w:val="center"/>
          </w:tcPr>
          <w:p>
            <w:pPr>
              <w:overflowPunct w:val="0"/>
              <w:topLinePunct/>
              <w:snapToGrid w:val="0"/>
              <w:spacing w:line="360" w:lineRule="exact"/>
              <w:jc w:val="center"/>
              <w:rPr>
                <w:rFonts w:ascii="宋体"/>
                <w:kern w:val="0"/>
                <w:sz w:val="24"/>
                <w:szCs w:val="24"/>
              </w:rPr>
            </w:pPr>
            <w:r>
              <w:rPr>
                <w:rFonts w:hint="eastAsia" w:ascii="宋体" w:hAnsi="宋体" w:cs="宋体"/>
                <w:kern w:val="0"/>
                <w:sz w:val="24"/>
                <w:szCs w:val="24"/>
              </w:rPr>
              <w:t>废水类别</w:t>
            </w:r>
          </w:p>
        </w:tc>
        <w:tc>
          <w:tcPr>
            <w:tcW w:w="5424" w:type="dxa"/>
            <w:vAlign w:val="center"/>
          </w:tcPr>
          <w:p>
            <w:pPr>
              <w:overflowPunct w:val="0"/>
              <w:topLinePunct/>
              <w:snapToGrid w:val="0"/>
              <w:spacing w:line="360" w:lineRule="exact"/>
              <w:rPr>
                <w:rFonts w:ascii="宋体"/>
                <w:sz w:val="24"/>
                <w:szCs w:val="24"/>
              </w:rPr>
            </w:pPr>
            <w:r>
              <w:rPr>
                <w:rFonts w:hint="eastAsia" w:ascii="宋体" w:hAnsi="宋体" w:cs="宋体"/>
                <w:sz w:val="24"/>
                <w:szCs w:val="24"/>
              </w:rPr>
              <w:t>生活废水</w:t>
            </w:r>
          </w:p>
        </w:tc>
        <w:tc>
          <w:tcPr>
            <w:tcW w:w="1282" w:type="dxa"/>
            <w:vAlign w:val="center"/>
          </w:tcPr>
          <w:p>
            <w:pPr>
              <w:overflowPunct w:val="0"/>
              <w:topLinePunct/>
              <w:snapToGrid w:val="0"/>
              <w:spacing w:line="360" w:lineRule="exact"/>
              <w:jc w:val="center"/>
              <w:rPr>
                <w:rFonts w:ascii="宋体" w:hAnsi="宋体" w:cs="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40" w:hRule="atLeast"/>
          <w:jc w:val="center"/>
        </w:trPr>
        <w:tc>
          <w:tcPr>
            <w:tcW w:w="2014" w:type="dxa"/>
            <w:vMerge w:val="continue"/>
            <w:vAlign w:val="center"/>
          </w:tcPr>
          <w:p>
            <w:pPr>
              <w:overflowPunct w:val="0"/>
              <w:topLinePunct/>
              <w:snapToGrid w:val="0"/>
              <w:spacing w:line="380" w:lineRule="exact"/>
              <w:jc w:val="center"/>
              <w:rPr>
                <w:rFonts w:ascii="宋体"/>
                <w:kern w:val="0"/>
                <w:sz w:val="24"/>
                <w:szCs w:val="24"/>
              </w:rPr>
            </w:pPr>
          </w:p>
        </w:tc>
        <w:tc>
          <w:tcPr>
            <w:tcW w:w="5424" w:type="dxa"/>
            <w:vAlign w:val="center"/>
          </w:tcPr>
          <w:p>
            <w:pPr>
              <w:overflowPunct w:val="0"/>
              <w:topLinePunct/>
              <w:snapToGrid w:val="0"/>
              <w:spacing w:line="380" w:lineRule="exact"/>
              <w:rPr>
                <w:rFonts w:ascii="宋体"/>
                <w:sz w:val="24"/>
                <w:szCs w:val="24"/>
              </w:rPr>
            </w:pPr>
            <w:r>
              <w:rPr>
                <w:rFonts w:hint="eastAsia" w:ascii="宋体" w:hAnsi="宋体" w:cs="宋体"/>
                <w:sz w:val="24"/>
                <w:szCs w:val="24"/>
              </w:rPr>
              <w:t>服务业废水</w:t>
            </w:r>
          </w:p>
        </w:tc>
        <w:tc>
          <w:tcPr>
            <w:tcW w:w="1282" w:type="dxa"/>
            <w:vAlign w:val="center"/>
          </w:tcPr>
          <w:p>
            <w:pPr>
              <w:overflowPunct w:val="0"/>
              <w:topLinePunct/>
              <w:snapToGrid w:val="0"/>
              <w:spacing w:line="380" w:lineRule="exact"/>
              <w:jc w:val="center"/>
              <w:rPr>
                <w:rFonts w:ascii="宋体"/>
                <w:kern w:val="0"/>
                <w:sz w:val="24"/>
                <w:szCs w:val="24"/>
              </w:rPr>
            </w:pPr>
            <w:r>
              <w:rPr>
                <w:rFonts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82" w:hRule="atLeast"/>
          <w:jc w:val="center"/>
        </w:trPr>
        <w:tc>
          <w:tcPr>
            <w:tcW w:w="2014" w:type="dxa"/>
            <w:vMerge w:val="continue"/>
            <w:vAlign w:val="center"/>
          </w:tcPr>
          <w:p>
            <w:pPr>
              <w:overflowPunct w:val="0"/>
              <w:topLinePunct/>
              <w:snapToGrid w:val="0"/>
              <w:spacing w:line="380" w:lineRule="exact"/>
              <w:jc w:val="left"/>
              <w:rPr>
                <w:rFonts w:ascii="宋体"/>
                <w:kern w:val="0"/>
                <w:sz w:val="24"/>
                <w:szCs w:val="24"/>
              </w:rPr>
            </w:pPr>
          </w:p>
        </w:tc>
        <w:tc>
          <w:tcPr>
            <w:tcW w:w="5424" w:type="dxa"/>
            <w:vAlign w:val="center"/>
          </w:tcPr>
          <w:p>
            <w:pPr>
              <w:overflowPunct w:val="0"/>
              <w:topLinePunct/>
              <w:snapToGrid w:val="0"/>
              <w:spacing w:line="380" w:lineRule="exact"/>
              <w:rPr>
                <w:rFonts w:ascii="宋体"/>
                <w:sz w:val="24"/>
                <w:szCs w:val="24"/>
              </w:rPr>
            </w:pPr>
            <w:r>
              <w:rPr>
                <w:rFonts w:hint="eastAsia" w:ascii="宋体" w:hAnsi="宋体" w:cs="宋体"/>
                <w:sz w:val="24"/>
                <w:szCs w:val="24"/>
              </w:rPr>
              <w:t>一般工业废水</w:t>
            </w:r>
          </w:p>
        </w:tc>
        <w:tc>
          <w:tcPr>
            <w:tcW w:w="1282" w:type="dxa"/>
            <w:vAlign w:val="center"/>
          </w:tcPr>
          <w:p>
            <w:pPr>
              <w:overflowPunct w:val="0"/>
              <w:topLinePunct/>
              <w:snapToGrid w:val="0"/>
              <w:spacing w:line="380" w:lineRule="exact"/>
              <w:jc w:val="center"/>
              <w:rPr>
                <w:rFonts w:ascii="宋体"/>
                <w:kern w:val="0"/>
                <w:sz w:val="24"/>
                <w:szCs w:val="24"/>
              </w:rPr>
            </w:pPr>
            <w:r>
              <w:rPr>
                <w:rFonts w:ascii="宋体" w:hAns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82" w:hRule="atLeast"/>
          <w:jc w:val="center"/>
        </w:trPr>
        <w:tc>
          <w:tcPr>
            <w:tcW w:w="2014" w:type="dxa"/>
            <w:vMerge w:val="continue"/>
            <w:vAlign w:val="center"/>
          </w:tcPr>
          <w:p>
            <w:pPr>
              <w:overflowPunct w:val="0"/>
              <w:topLinePunct/>
              <w:snapToGrid w:val="0"/>
              <w:spacing w:line="380" w:lineRule="exact"/>
              <w:jc w:val="left"/>
              <w:rPr>
                <w:rFonts w:ascii="宋体"/>
                <w:kern w:val="0"/>
                <w:sz w:val="24"/>
                <w:szCs w:val="24"/>
              </w:rPr>
            </w:pPr>
          </w:p>
        </w:tc>
        <w:tc>
          <w:tcPr>
            <w:tcW w:w="5424" w:type="dxa"/>
            <w:vAlign w:val="center"/>
          </w:tcPr>
          <w:p>
            <w:pPr>
              <w:overflowPunct w:val="0"/>
              <w:topLinePunct/>
              <w:snapToGrid w:val="0"/>
              <w:spacing w:line="380" w:lineRule="exact"/>
              <w:rPr>
                <w:rFonts w:ascii="宋体"/>
                <w:spacing w:val="-10"/>
                <w:sz w:val="24"/>
                <w:szCs w:val="24"/>
              </w:rPr>
            </w:pPr>
            <w:r>
              <w:rPr>
                <w:rFonts w:hint="eastAsia" w:ascii="宋体" w:hAnsi="宋体" w:cs="宋体"/>
                <w:kern w:val="0"/>
                <w:sz w:val="24"/>
                <w:szCs w:val="24"/>
              </w:rPr>
              <w:t>含其他有毒有害物质的废水、医疗废水</w:t>
            </w:r>
          </w:p>
        </w:tc>
        <w:tc>
          <w:tcPr>
            <w:tcW w:w="1282" w:type="dxa"/>
            <w:vAlign w:val="center"/>
          </w:tcPr>
          <w:p>
            <w:pPr>
              <w:overflowPunct w:val="0"/>
              <w:topLinePunct/>
              <w:snapToGrid w:val="0"/>
              <w:spacing w:line="380" w:lineRule="exact"/>
              <w:jc w:val="center"/>
              <w:rPr>
                <w:rFonts w:ascii="宋体"/>
                <w:kern w:val="0"/>
                <w:sz w:val="24"/>
                <w:szCs w:val="24"/>
              </w:rPr>
            </w:pPr>
            <w:r>
              <w:rPr>
                <w:rFonts w:ascii="宋体" w:hAnsi="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82" w:hRule="atLeast"/>
          <w:jc w:val="center"/>
        </w:trPr>
        <w:tc>
          <w:tcPr>
            <w:tcW w:w="2014" w:type="dxa"/>
            <w:vMerge w:val="continue"/>
            <w:vAlign w:val="center"/>
          </w:tcPr>
          <w:p>
            <w:pPr>
              <w:overflowPunct w:val="0"/>
              <w:topLinePunct/>
              <w:snapToGrid w:val="0"/>
              <w:spacing w:line="380" w:lineRule="exact"/>
              <w:jc w:val="left"/>
              <w:rPr>
                <w:rFonts w:ascii="宋体"/>
                <w:kern w:val="0"/>
                <w:sz w:val="24"/>
                <w:szCs w:val="24"/>
              </w:rPr>
            </w:pPr>
          </w:p>
        </w:tc>
        <w:tc>
          <w:tcPr>
            <w:tcW w:w="5424" w:type="dxa"/>
            <w:vAlign w:val="center"/>
          </w:tcPr>
          <w:p>
            <w:pPr>
              <w:overflowPunct w:val="0"/>
              <w:topLinePunct/>
              <w:snapToGrid w:val="0"/>
              <w:spacing w:line="380" w:lineRule="exact"/>
              <w:rPr>
                <w:rFonts w:ascii="宋体"/>
                <w:sz w:val="24"/>
                <w:szCs w:val="24"/>
              </w:rPr>
            </w:pPr>
            <w:r>
              <w:rPr>
                <w:rFonts w:hint="eastAsia" w:ascii="宋体" w:hAnsi="宋体" w:cs="宋体"/>
                <w:kern w:val="0"/>
                <w:sz w:val="24"/>
                <w:szCs w:val="24"/>
              </w:rPr>
              <w:t>含一类污染物或重金属、病原体、放射性物质的废水</w:t>
            </w:r>
          </w:p>
        </w:tc>
        <w:tc>
          <w:tcPr>
            <w:tcW w:w="1282" w:type="dxa"/>
            <w:vAlign w:val="center"/>
          </w:tcPr>
          <w:p>
            <w:pPr>
              <w:overflowPunct w:val="0"/>
              <w:topLinePunct/>
              <w:snapToGrid w:val="0"/>
              <w:spacing w:line="380" w:lineRule="exact"/>
              <w:jc w:val="center"/>
              <w:rPr>
                <w:rFonts w:ascii="宋体"/>
                <w:kern w:val="0"/>
                <w:sz w:val="24"/>
                <w:szCs w:val="24"/>
              </w:rPr>
            </w:pPr>
            <w:r>
              <w:rPr>
                <w:rFonts w:ascii="宋体" w:hAnsi="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96" w:hRule="atLeast"/>
          <w:jc w:val="center"/>
        </w:trPr>
        <w:tc>
          <w:tcPr>
            <w:tcW w:w="2014" w:type="dxa"/>
            <w:vMerge w:val="restart"/>
            <w:vAlign w:val="center"/>
          </w:tcPr>
          <w:p>
            <w:pPr>
              <w:overflowPunct w:val="0"/>
              <w:topLinePunct/>
              <w:snapToGrid w:val="0"/>
              <w:spacing w:line="380" w:lineRule="exact"/>
              <w:jc w:val="center"/>
              <w:rPr>
                <w:rFonts w:ascii="宋体"/>
                <w:kern w:val="0"/>
                <w:sz w:val="24"/>
                <w:szCs w:val="24"/>
              </w:rPr>
            </w:pPr>
            <w:r>
              <w:rPr>
                <w:rFonts w:hint="eastAsia" w:ascii="宋体" w:cs="宋体"/>
                <w:kern w:val="0"/>
                <w:sz w:val="24"/>
                <w:szCs w:val="24"/>
              </w:rPr>
              <w:t>排污超标状况</w:t>
            </w:r>
          </w:p>
        </w:tc>
        <w:tc>
          <w:tcPr>
            <w:tcW w:w="5424" w:type="dxa"/>
            <w:vAlign w:val="center"/>
          </w:tcPr>
          <w:p>
            <w:pPr>
              <w:overflowPunct w:val="0"/>
              <w:topLinePunct/>
              <w:snapToGrid w:val="0"/>
              <w:spacing w:line="380" w:lineRule="exact"/>
              <w:rPr>
                <w:rFonts w:ascii="宋体"/>
                <w:kern w:val="0"/>
                <w:sz w:val="24"/>
                <w:szCs w:val="24"/>
              </w:rPr>
            </w:pPr>
            <w:r>
              <w:rPr>
                <w:rFonts w:hint="eastAsia" w:ascii="宋体" w:hAnsi="宋体" w:cs="宋体"/>
                <w:kern w:val="0"/>
                <w:sz w:val="24"/>
                <w:szCs w:val="24"/>
              </w:rPr>
              <w:t>超标</w:t>
            </w:r>
            <w:r>
              <w:rPr>
                <w:rFonts w:ascii="宋体" w:hAnsi="宋体" w:cs="宋体"/>
                <w:kern w:val="0"/>
                <w:sz w:val="24"/>
                <w:szCs w:val="24"/>
              </w:rPr>
              <w:t>10%</w:t>
            </w:r>
            <w:r>
              <w:rPr>
                <w:rFonts w:hint="eastAsia" w:ascii="宋体" w:hAnsi="宋体" w:cs="宋体"/>
                <w:kern w:val="0"/>
                <w:sz w:val="24"/>
                <w:szCs w:val="24"/>
              </w:rPr>
              <w:t>以下</w:t>
            </w:r>
            <w:r>
              <w:rPr>
                <w:rFonts w:ascii="宋体" w:hAnsi="宋体" w:cs="宋体"/>
                <w:kern w:val="0"/>
                <w:sz w:val="24"/>
                <w:szCs w:val="24"/>
              </w:rPr>
              <w:t>/</w:t>
            </w:r>
            <w:r>
              <w:rPr>
                <w:rFonts w:hint="eastAsia" w:ascii="宋体" w:hAnsi="宋体" w:cs="宋体"/>
                <w:kern w:val="0"/>
                <w:sz w:val="24"/>
                <w:szCs w:val="24"/>
              </w:rPr>
              <w:t>林格曼黑度</w:t>
            </w:r>
            <w:r>
              <w:rPr>
                <w:rFonts w:ascii="宋体" w:hAnsi="宋体" w:cs="宋体"/>
                <w:kern w:val="0"/>
                <w:sz w:val="24"/>
                <w:szCs w:val="24"/>
              </w:rPr>
              <w:t xml:space="preserve">1 </w:t>
            </w:r>
            <w:r>
              <w:rPr>
                <w:rFonts w:hint="eastAsia" w:ascii="宋体" w:hAnsi="宋体" w:cs="宋体"/>
                <w:kern w:val="0"/>
                <w:sz w:val="24"/>
                <w:szCs w:val="24"/>
              </w:rPr>
              <w:t>级</w:t>
            </w:r>
          </w:p>
        </w:tc>
        <w:tc>
          <w:tcPr>
            <w:tcW w:w="1282" w:type="dxa"/>
            <w:vAlign w:val="center"/>
          </w:tcPr>
          <w:p>
            <w:pPr>
              <w:overflowPunct w:val="0"/>
              <w:topLinePunct/>
              <w:snapToGrid w:val="0"/>
              <w:spacing w:line="380" w:lineRule="exact"/>
              <w:jc w:val="center"/>
              <w:rPr>
                <w:rFonts w:ascii="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96" w:hRule="atLeast"/>
          <w:jc w:val="center"/>
        </w:trPr>
        <w:tc>
          <w:tcPr>
            <w:tcW w:w="2014" w:type="dxa"/>
            <w:vMerge w:val="continue"/>
            <w:vAlign w:val="center"/>
          </w:tcPr>
          <w:p>
            <w:pPr>
              <w:overflowPunct w:val="0"/>
              <w:topLinePunct/>
              <w:snapToGrid w:val="0"/>
              <w:spacing w:line="380" w:lineRule="exact"/>
              <w:jc w:val="left"/>
              <w:rPr>
                <w:rFonts w:ascii="宋体"/>
                <w:kern w:val="0"/>
                <w:sz w:val="24"/>
                <w:szCs w:val="24"/>
              </w:rPr>
            </w:pPr>
          </w:p>
        </w:tc>
        <w:tc>
          <w:tcPr>
            <w:tcW w:w="5424" w:type="dxa"/>
            <w:vAlign w:val="center"/>
          </w:tcPr>
          <w:p>
            <w:pPr>
              <w:overflowPunct w:val="0"/>
              <w:topLinePunct/>
              <w:snapToGrid w:val="0"/>
              <w:spacing w:line="380" w:lineRule="exact"/>
              <w:rPr>
                <w:rFonts w:ascii="宋体"/>
                <w:kern w:val="0"/>
                <w:sz w:val="24"/>
                <w:szCs w:val="24"/>
              </w:rPr>
            </w:pPr>
            <w:r>
              <w:rPr>
                <w:rFonts w:hint="eastAsia" w:ascii="宋体" w:hAnsi="宋体" w:cs="宋体"/>
                <w:kern w:val="0"/>
                <w:sz w:val="24"/>
                <w:szCs w:val="24"/>
              </w:rPr>
              <w:t>超标</w:t>
            </w:r>
            <w:r>
              <w:rPr>
                <w:rFonts w:ascii="宋体" w:hAnsi="宋体" w:cs="宋体"/>
                <w:kern w:val="0"/>
                <w:sz w:val="24"/>
                <w:szCs w:val="24"/>
              </w:rPr>
              <w:t>10%</w:t>
            </w:r>
            <w:r>
              <w:rPr>
                <w:rFonts w:hint="eastAsia" w:ascii="宋体" w:hAnsi="宋体" w:cs="宋体"/>
                <w:kern w:val="0"/>
                <w:sz w:val="24"/>
                <w:szCs w:val="24"/>
              </w:rPr>
              <w:t>以上</w:t>
            </w:r>
            <w:r>
              <w:rPr>
                <w:rFonts w:ascii="宋体" w:hAnsi="宋体" w:cs="宋体"/>
                <w:kern w:val="0"/>
                <w:sz w:val="24"/>
                <w:szCs w:val="24"/>
              </w:rPr>
              <w:t>50%</w:t>
            </w:r>
            <w:r>
              <w:rPr>
                <w:rFonts w:hint="eastAsia" w:ascii="宋体" w:hAnsi="宋体" w:cs="宋体"/>
                <w:kern w:val="0"/>
                <w:sz w:val="24"/>
                <w:szCs w:val="24"/>
              </w:rPr>
              <w:t>以下</w:t>
            </w:r>
            <w:r>
              <w:rPr>
                <w:rFonts w:ascii="宋体" w:hAnsi="宋体" w:cs="宋体"/>
                <w:kern w:val="0"/>
                <w:sz w:val="24"/>
                <w:szCs w:val="24"/>
              </w:rPr>
              <w:t>/</w:t>
            </w:r>
            <w:r>
              <w:rPr>
                <w:rFonts w:hint="eastAsia" w:ascii="宋体" w:hAnsi="宋体" w:cs="宋体"/>
                <w:kern w:val="0"/>
                <w:sz w:val="24"/>
                <w:szCs w:val="24"/>
              </w:rPr>
              <w:t>林格曼黑度</w:t>
            </w:r>
            <w:r>
              <w:rPr>
                <w:rFonts w:ascii="宋体" w:hAnsi="宋体" w:cs="宋体"/>
                <w:kern w:val="0"/>
                <w:sz w:val="24"/>
                <w:szCs w:val="24"/>
              </w:rPr>
              <w:t xml:space="preserve">2 </w:t>
            </w:r>
            <w:r>
              <w:rPr>
                <w:rFonts w:hint="eastAsia" w:ascii="宋体" w:hAnsi="宋体" w:cs="宋体"/>
                <w:kern w:val="0"/>
                <w:sz w:val="24"/>
                <w:szCs w:val="24"/>
              </w:rPr>
              <w:t>级</w:t>
            </w:r>
          </w:p>
        </w:tc>
        <w:tc>
          <w:tcPr>
            <w:tcW w:w="1282" w:type="dxa"/>
            <w:vAlign w:val="center"/>
          </w:tcPr>
          <w:p>
            <w:pPr>
              <w:overflowPunct w:val="0"/>
              <w:topLinePunct/>
              <w:snapToGrid w:val="0"/>
              <w:spacing w:line="380" w:lineRule="exact"/>
              <w:jc w:val="center"/>
              <w:rPr>
                <w:rFonts w:ascii="宋体"/>
                <w:kern w:val="0"/>
                <w:sz w:val="24"/>
                <w:szCs w:val="24"/>
              </w:rPr>
            </w:pPr>
            <w:r>
              <w:rPr>
                <w:rFonts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96" w:hRule="atLeast"/>
          <w:jc w:val="center"/>
        </w:trPr>
        <w:tc>
          <w:tcPr>
            <w:tcW w:w="2014" w:type="dxa"/>
            <w:vMerge w:val="continue"/>
            <w:vAlign w:val="center"/>
          </w:tcPr>
          <w:p>
            <w:pPr>
              <w:overflowPunct w:val="0"/>
              <w:topLinePunct/>
              <w:snapToGrid w:val="0"/>
              <w:spacing w:line="380" w:lineRule="exact"/>
              <w:jc w:val="left"/>
              <w:rPr>
                <w:rFonts w:ascii="宋体"/>
                <w:kern w:val="0"/>
                <w:sz w:val="24"/>
                <w:szCs w:val="24"/>
              </w:rPr>
            </w:pPr>
          </w:p>
        </w:tc>
        <w:tc>
          <w:tcPr>
            <w:tcW w:w="5424" w:type="dxa"/>
            <w:vAlign w:val="center"/>
          </w:tcPr>
          <w:p>
            <w:pPr>
              <w:overflowPunct w:val="0"/>
              <w:topLinePunct/>
              <w:snapToGrid w:val="0"/>
              <w:spacing w:line="380" w:lineRule="exact"/>
              <w:rPr>
                <w:rFonts w:ascii="宋体"/>
                <w:kern w:val="0"/>
                <w:sz w:val="24"/>
                <w:szCs w:val="24"/>
              </w:rPr>
            </w:pPr>
            <w:r>
              <w:rPr>
                <w:rFonts w:hint="eastAsia" w:ascii="宋体" w:hAnsi="宋体" w:cs="宋体"/>
                <w:kern w:val="0"/>
                <w:sz w:val="24"/>
                <w:szCs w:val="24"/>
              </w:rPr>
              <w:t>超标</w:t>
            </w:r>
            <w:r>
              <w:rPr>
                <w:rFonts w:ascii="宋体" w:hAnsi="宋体" w:cs="宋体"/>
                <w:kern w:val="0"/>
                <w:sz w:val="24"/>
                <w:szCs w:val="24"/>
              </w:rPr>
              <w:t>50%</w:t>
            </w:r>
            <w:r>
              <w:rPr>
                <w:rFonts w:hint="eastAsia" w:ascii="宋体" w:hAnsi="宋体" w:cs="宋体"/>
                <w:kern w:val="0"/>
                <w:sz w:val="24"/>
                <w:szCs w:val="24"/>
              </w:rPr>
              <w:t>以上</w:t>
            </w:r>
            <w:r>
              <w:rPr>
                <w:rFonts w:ascii="宋体" w:hAnsi="宋体" w:cs="宋体"/>
                <w:kern w:val="0"/>
                <w:sz w:val="24"/>
                <w:szCs w:val="24"/>
              </w:rPr>
              <w:t>100%</w:t>
            </w:r>
            <w:r>
              <w:rPr>
                <w:rFonts w:hint="eastAsia" w:ascii="宋体" w:hAnsi="宋体" w:cs="宋体"/>
                <w:kern w:val="0"/>
                <w:sz w:val="24"/>
                <w:szCs w:val="24"/>
              </w:rPr>
              <w:t>以下</w:t>
            </w:r>
            <w:r>
              <w:rPr>
                <w:rFonts w:ascii="宋体" w:hAnsi="宋体" w:cs="宋体"/>
                <w:kern w:val="0"/>
                <w:sz w:val="24"/>
                <w:szCs w:val="24"/>
              </w:rPr>
              <w:t>/</w:t>
            </w:r>
            <w:r>
              <w:rPr>
                <w:rFonts w:hint="eastAsia" w:ascii="宋体" w:hAnsi="宋体" w:cs="宋体"/>
                <w:kern w:val="0"/>
                <w:sz w:val="24"/>
                <w:szCs w:val="24"/>
              </w:rPr>
              <w:t>林格曼黑度</w:t>
            </w:r>
            <w:r>
              <w:rPr>
                <w:rFonts w:ascii="宋体" w:hAnsi="宋体" w:cs="宋体"/>
                <w:kern w:val="0"/>
                <w:sz w:val="24"/>
                <w:szCs w:val="24"/>
              </w:rPr>
              <w:t xml:space="preserve">3 </w:t>
            </w:r>
            <w:r>
              <w:rPr>
                <w:rFonts w:hint="eastAsia" w:ascii="宋体" w:hAnsi="宋体" w:cs="宋体"/>
                <w:kern w:val="0"/>
                <w:sz w:val="24"/>
                <w:szCs w:val="24"/>
              </w:rPr>
              <w:t>级</w:t>
            </w:r>
          </w:p>
        </w:tc>
        <w:tc>
          <w:tcPr>
            <w:tcW w:w="1282" w:type="dxa"/>
            <w:vAlign w:val="center"/>
          </w:tcPr>
          <w:p>
            <w:pPr>
              <w:overflowPunct w:val="0"/>
              <w:topLinePunct/>
              <w:snapToGrid w:val="0"/>
              <w:spacing w:line="380" w:lineRule="exact"/>
              <w:jc w:val="center"/>
              <w:rPr>
                <w:rFonts w:ascii="宋体"/>
                <w:kern w:val="0"/>
                <w:sz w:val="24"/>
                <w:szCs w:val="24"/>
              </w:rPr>
            </w:pPr>
            <w:r>
              <w:rPr>
                <w:rFonts w:ascii="宋体" w:hAns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96" w:hRule="atLeast"/>
          <w:jc w:val="center"/>
        </w:trPr>
        <w:tc>
          <w:tcPr>
            <w:tcW w:w="2014" w:type="dxa"/>
            <w:vMerge w:val="continue"/>
            <w:vAlign w:val="center"/>
          </w:tcPr>
          <w:p>
            <w:pPr>
              <w:overflowPunct w:val="0"/>
              <w:topLinePunct/>
              <w:snapToGrid w:val="0"/>
              <w:spacing w:line="380" w:lineRule="exact"/>
              <w:jc w:val="left"/>
              <w:rPr>
                <w:rFonts w:ascii="宋体"/>
                <w:kern w:val="0"/>
                <w:sz w:val="24"/>
                <w:szCs w:val="24"/>
              </w:rPr>
            </w:pPr>
          </w:p>
        </w:tc>
        <w:tc>
          <w:tcPr>
            <w:tcW w:w="5424" w:type="dxa"/>
            <w:vAlign w:val="center"/>
          </w:tcPr>
          <w:p>
            <w:pPr>
              <w:overflowPunct w:val="0"/>
              <w:topLinePunct/>
              <w:snapToGrid w:val="0"/>
              <w:spacing w:line="380" w:lineRule="exact"/>
              <w:rPr>
                <w:rFonts w:ascii="宋体"/>
                <w:kern w:val="0"/>
                <w:sz w:val="24"/>
                <w:szCs w:val="24"/>
              </w:rPr>
            </w:pPr>
            <w:r>
              <w:rPr>
                <w:rFonts w:hint="eastAsia" w:ascii="宋体" w:hAnsi="宋体" w:cs="宋体"/>
                <w:kern w:val="0"/>
                <w:sz w:val="24"/>
                <w:szCs w:val="24"/>
              </w:rPr>
              <w:t>超标</w:t>
            </w:r>
            <w:r>
              <w:rPr>
                <w:rFonts w:ascii="宋体" w:hAnsi="宋体" w:cs="宋体"/>
                <w:kern w:val="0"/>
                <w:sz w:val="24"/>
                <w:szCs w:val="24"/>
              </w:rPr>
              <w:t>100%</w:t>
            </w:r>
            <w:r>
              <w:rPr>
                <w:rFonts w:hint="eastAsia" w:ascii="宋体" w:hAnsi="宋体" w:cs="宋体"/>
                <w:kern w:val="0"/>
                <w:sz w:val="24"/>
                <w:szCs w:val="24"/>
              </w:rPr>
              <w:t>以上</w:t>
            </w:r>
            <w:r>
              <w:rPr>
                <w:rFonts w:ascii="宋体" w:hAnsi="宋体" w:cs="宋体"/>
                <w:kern w:val="0"/>
                <w:sz w:val="24"/>
                <w:szCs w:val="24"/>
              </w:rPr>
              <w:t>200%</w:t>
            </w:r>
            <w:r>
              <w:rPr>
                <w:rFonts w:hint="eastAsia" w:ascii="宋体" w:hAnsi="宋体" w:cs="宋体"/>
                <w:kern w:val="0"/>
                <w:sz w:val="24"/>
                <w:szCs w:val="24"/>
              </w:rPr>
              <w:t>以下</w:t>
            </w:r>
            <w:r>
              <w:rPr>
                <w:rFonts w:ascii="宋体" w:hAnsi="宋体" w:cs="宋体"/>
                <w:kern w:val="0"/>
                <w:sz w:val="24"/>
                <w:szCs w:val="24"/>
              </w:rPr>
              <w:t>/</w:t>
            </w:r>
            <w:r>
              <w:rPr>
                <w:rFonts w:hint="eastAsia" w:ascii="宋体" w:hAnsi="宋体" w:cs="宋体"/>
                <w:kern w:val="0"/>
                <w:sz w:val="24"/>
                <w:szCs w:val="24"/>
              </w:rPr>
              <w:t>林格曼黑度</w:t>
            </w:r>
            <w:r>
              <w:rPr>
                <w:rFonts w:ascii="宋体" w:hAnsi="宋体" w:cs="宋体"/>
                <w:kern w:val="0"/>
                <w:sz w:val="24"/>
                <w:szCs w:val="24"/>
              </w:rPr>
              <w:t xml:space="preserve">4 </w:t>
            </w:r>
            <w:r>
              <w:rPr>
                <w:rFonts w:hint="eastAsia" w:ascii="宋体" w:hAnsi="宋体" w:cs="宋体"/>
                <w:kern w:val="0"/>
                <w:sz w:val="24"/>
                <w:szCs w:val="24"/>
              </w:rPr>
              <w:t>级</w:t>
            </w:r>
          </w:p>
        </w:tc>
        <w:tc>
          <w:tcPr>
            <w:tcW w:w="1282" w:type="dxa"/>
            <w:vAlign w:val="center"/>
          </w:tcPr>
          <w:p>
            <w:pPr>
              <w:overflowPunct w:val="0"/>
              <w:topLinePunct/>
              <w:snapToGrid w:val="0"/>
              <w:spacing w:line="380" w:lineRule="exact"/>
              <w:jc w:val="center"/>
              <w:rPr>
                <w:rFonts w:ascii="宋体"/>
                <w:kern w:val="0"/>
                <w:sz w:val="24"/>
                <w:szCs w:val="24"/>
              </w:rPr>
            </w:pPr>
            <w:r>
              <w:rPr>
                <w:rFonts w:ascii="宋体" w:hAnsi="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96" w:hRule="atLeast"/>
          <w:jc w:val="center"/>
        </w:trPr>
        <w:tc>
          <w:tcPr>
            <w:tcW w:w="2014" w:type="dxa"/>
            <w:vMerge w:val="continue"/>
            <w:vAlign w:val="center"/>
          </w:tcPr>
          <w:p>
            <w:pPr>
              <w:overflowPunct w:val="0"/>
              <w:topLinePunct/>
              <w:snapToGrid w:val="0"/>
              <w:spacing w:line="380" w:lineRule="exact"/>
              <w:jc w:val="left"/>
              <w:rPr>
                <w:rFonts w:ascii="宋体"/>
                <w:kern w:val="0"/>
                <w:sz w:val="24"/>
                <w:szCs w:val="24"/>
              </w:rPr>
            </w:pPr>
          </w:p>
        </w:tc>
        <w:tc>
          <w:tcPr>
            <w:tcW w:w="5424" w:type="dxa"/>
            <w:vAlign w:val="center"/>
          </w:tcPr>
          <w:p>
            <w:pPr>
              <w:overflowPunct w:val="0"/>
              <w:topLinePunct/>
              <w:snapToGrid w:val="0"/>
              <w:spacing w:line="380" w:lineRule="exact"/>
              <w:rPr>
                <w:rFonts w:ascii="宋体"/>
                <w:kern w:val="0"/>
                <w:sz w:val="24"/>
                <w:szCs w:val="24"/>
              </w:rPr>
            </w:pPr>
            <w:r>
              <w:rPr>
                <w:rFonts w:hint="eastAsia" w:ascii="宋体" w:hAnsi="宋体" w:cs="宋体"/>
                <w:kern w:val="0"/>
                <w:sz w:val="24"/>
                <w:szCs w:val="24"/>
              </w:rPr>
              <w:t>超标</w:t>
            </w:r>
            <w:r>
              <w:rPr>
                <w:rFonts w:ascii="宋体" w:hAnsi="宋体" w:cs="宋体"/>
                <w:kern w:val="0"/>
                <w:sz w:val="24"/>
                <w:szCs w:val="24"/>
              </w:rPr>
              <w:t>200%</w:t>
            </w:r>
            <w:r>
              <w:rPr>
                <w:rFonts w:hint="eastAsia" w:ascii="宋体" w:hAnsi="宋体" w:cs="宋体"/>
                <w:kern w:val="0"/>
                <w:sz w:val="24"/>
                <w:szCs w:val="24"/>
              </w:rPr>
              <w:t>以上</w:t>
            </w:r>
            <w:r>
              <w:rPr>
                <w:rFonts w:ascii="宋体" w:hAnsi="宋体" w:cs="宋体"/>
                <w:kern w:val="0"/>
                <w:sz w:val="24"/>
                <w:szCs w:val="24"/>
              </w:rPr>
              <w:t>/</w:t>
            </w:r>
            <w:r>
              <w:rPr>
                <w:rFonts w:hint="eastAsia" w:ascii="宋体" w:hAnsi="宋体" w:cs="宋体"/>
                <w:kern w:val="0"/>
                <w:sz w:val="24"/>
                <w:szCs w:val="24"/>
              </w:rPr>
              <w:t>林格曼黑度</w:t>
            </w:r>
            <w:r>
              <w:rPr>
                <w:rFonts w:ascii="宋体" w:hAnsi="宋体" w:cs="宋体"/>
                <w:kern w:val="0"/>
                <w:sz w:val="24"/>
                <w:szCs w:val="24"/>
              </w:rPr>
              <w:t xml:space="preserve">5 </w:t>
            </w:r>
            <w:r>
              <w:rPr>
                <w:rFonts w:hint="eastAsia" w:ascii="宋体" w:hAnsi="宋体" w:cs="宋体"/>
                <w:kern w:val="0"/>
                <w:sz w:val="24"/>
                <w:szCs w:val="24"/>
              </w:rPr>
              <w:t>级</w:t>
            </w:r>
          </w:p>
        </w:tc>
        <w:tc>
          <w:tcPr>
            <w:tcW w:w="1282" w:type="dxa"/>
            <w:vAlign w:val="center"/>
          </w:tcPr>
          <w:p>
            <w:pPr>
              <w:overflowPunct w:val="0"/>
              <w:topLinePunct/>
              <w:snapToGrid w:val="0"/>
              <w:spacing w:line="380" w:lineRule="exact"/>
              <w:jc w:val="center"/>
              <w:rPr>
                <w:rFonts w:ascii="宋体"/>
                <w:kern w:val="0"/>
                <w:sz w:val="24"/>
                <w:szCs w:val="24"/>
              </w:rPr>
            </w:pPr>
            <w:r>
              <w:rPr>
                <w:rFonts w:ascii="宋体" w:hAnsi="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5" w:hRule="atLeast"/>
          <w:jc w:val="center"/>
        </w:trPr>
        <w:tc>
          <w:tcPr>
            <w:tcW w:w="2014" w:type="dxa"/>
            <w:vMerge w:val="restart"/>
            <w:vAlign w:val="center"/>
          </w:tcPr>
          <w:p>
            <w:pPr>
              <w:overflowPunct w:val="0"/>
              <w:topLinePunct/>
              <w:snapToGrid w:val="0"/>
              <w:spacing w:line="380" w:lineRule="exact"/>
              <w:jc w:val="center"/>
              <w:rPr>
                <w:rFonts w:ascii="宋体"/>
                <w:kern w:val="0"/>
                <w:sz w:val="24"/>
                <w:szCs w:val="24"/>
              </w:rPr>
            </w:pPr>
            <w:r>
              <w:rPr>
                <w:rFonts w:hint="eastAsia" w:ascii="宋体" w:cs="宋体"/>
                <w:kern w:val="0"/>
                <w:sz w:val="24"/>
                <w:szCs w:val="24"/>
              </w:rPr>
              <w:t>超总量状况</w:t>
            </w:r>
          </w:p>
        </w:tc>
        <w:tc>
          <w:tcPr>
            <w:tcW w:w="5424" w:type="dxa"/>
            <w:vAlign w:val="center"/>
          </w:tcPr>
          <w:p>
            <w:pPr>
              <w:overflowPunct w:val="0"/>
              <w:topLinePunct/>
              <w:snapToGrid w:val="0"/>
              <w:spacing w:line="380" w:lineRule="exact"/>
              <w:rPr>
                <w:rFonts w:ascii="宋体"/>
                <w:kern w:val="0"/>
                <w:sz w:val="24"/>
                <w:szCs w:val="24"/>
              </w:rPr>
            </w:pPr>
            <w:r>
              <w:rPr>
                <w:rFonts w:hint="eastAsia" w:ascii="宋体" w:hAnsi="宋体" w:cs="宋体"/>
                <w:sz w:val="24"/>
                <w:szCs w:val="24"/>
              </w:rPr>
              <w:t>日总量</w:t>
            </w:r>
            <w:r>
              <w:rPr>
                <w:rFonts w:ascii="宋体" w:hAnsi="宋体" w:cs="宋体"/>
                <w:sz w:val="24"/>
                <w:szCs w:val="24"/>
              </w:rPr>
              <w:t>10</w:t>
            </w:r>
            <w:r>
              <w:rPr>
                <w:rFonts w:hint="eastAsia" w:ascii="宋体" w:hAnsi="宋体" w:cs="宋体"/>
                <w:sz w:val="24"/>
                <w:szCs w:val="24"/>
              </w:rPr>
              <w:t>％以下</w:t>
            </w:r>
          </w:p>
        </w:tc>
        <w:tc>
          <w:tcPr>
            <w:tcW w:w="1282" w:type="dxa"/>
            <w:vAlign w:val="center"/>
          </w:tcPr>
          <w:p>
            <w:pPr>
              <w:overflowPunct w:val="0"/>
              <w:topLinePunct/>
              <w:snapToGrid w:val="0"/>
              <w:spacing w:line="380" w:lineRule="exact"/>
              <w:jc w:val="center"/>
              <w:rPr>
                <w:rFonts w:ascii="宋体" w:hAnsi="宋体" w:cs="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5" w:hRule="atLeast"/>
          <w:jc w:val="center"/>
        </w:trPr>
        <w:tc>
          <w:tcPr>
            <w:tcW w:w="2014" w:type="dxa"/>
            <w:vMerge w:val="continue"/>
            <w:vAlign w:val="center"/>
          </w:tcPr>
          <w:p>
            <w:pPr>
              <w:overflowPunct w:val="0"/>
              <w:topLinePunct/>
              <w:snapToGrid w:val="0"/>
              <w:spacing w:line="380" w:lineRule="exact"/>
              <w:jc w:val="left"/>
              <w:rPr>
                <w:rFonts w:ascii="宋体"/>
                <w:kern w:val="0"/>
                <w:sz w:val="24"/>
                <w:szCs w:val="24"/>
              </w:rPr>
            </w:pPr>
          </w:p>
        </w:tc>
        <w:tc>
          <w:tcPr>
            <w:tcW w:w="5424" w:type="dxa"/>
            <w:vAlign w:val="center"/>
          </w:tcPr>
          <w:p>
            <w:pPr>
              <w:overflowPunct w:val="0"/>
              <w:topLinePunct/>
              <w:snapToGrid w:val="0"/>
              <w:spacing w:line="380" w:lineRule="exact"/>
              <w:rPr>
                <w:rFonts w:ascii="宋体"/>
                <w:kern w:val="0"/>
                <w:sz w:val="24"/>
                <w:szCs w:val="24"/>
              </w:rPr>
            </w:pPr>
            <w:r>
              <w:rPr>
                <w:rFonts w:hint="eastAsia" w:ascii="宋体" w:hAnsi="宋体" w:cs="宋体"/>
                <w:sz w:val="24"/>
                <w:szCs w:val="24"/>
              </w:rPr>
              <w:t>日总量</w:t>
            </w:r>
            <w:r>
              <w:rPr>
                <w:rFonts w:ascii="宋体" w:hAnsi="宋体" w:cs="宋体"/>
                <w:sz w:val="24"/>
                <w:szCs w:val="24"/>
              </w:rPr>
              <w:t>10</w:t>
            </w:r>
            <w:r>
              <w:rPr>
                <w:rFonts w:hint="eastAsia" w:ascii="宋体" w:hAnsi="宋体" w:cs="宋体"/>
                <w:sz w:val="24"/>
                <w:szCs w:val="24"/>
              </w:rPr>
              <w:t>％以上</w:t>
            </w:r>
            <w:r>
              <w:rPr>
                <w:rFonts w:ascii="宋体" w:hAnsi="宋体" w:cs="宋体"/>
                <w:sz w:val="24"/>
                <w:szCs w:val="24"/>
              </w:rPr>
              <w:t>20</w:t>
            </w:r>
            <w:r>
              <w:rPr>
                <w:rFonts w:hint="eastAsia" w:ascii="宋体" w:hAnsi="宋体" w:cs="宋体"/>
                <w:sz w:val="24"/>
                <w:szCs w:val="24"/>
              </w:rPr>
              <w:t>％以下</w:t>
            </w:r>
          </w:p>
        </w:tc>
        <w:tc>
          <w:tcPr>
            <w:tcW w:w="1282" w:type="dxa"/>
            <w:vAlign w:val="center"/>
          </w:tcPr>
          <w:p>
            <w:pPr>
              <w:overflowPunct w:val="0"/>
              <w:topLinePunct/>
              <w:snapToGrid w:val="0"/>
              <w:spacing w:line="380" w:lineRule="exact"/>
              <w:jc w:val="center"/>
              <w:rPr>
                <w:rFonts w:ascii="宋体" w:hAnsi="宋体" w:cs="宋体"/>
                <w:kern w:val="0"/>
                <w:sz w:val="24"/>
                <w:szCs w:val="24"/>
              </w:rPr>
            </w:pPr>
            <w:r>
              <w:rPr>
                <w:rFonts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5" w:hRule="atLeast"/>
          <w:jc w:val="center"/>
        </w:trPr>
        <w:tc>
          <w:tcPr>
            <w:tcW w:w="2014" w:type="dxa"/>
            <w:vMerge w:val="continue"/>
            <w:vAlign w:val="center"/>
          </w:tcPr>
          <w:p>
            <w:pPr>
              <w:overflowPunct w:val="0"/>
              <w:topLinePunct/>
              <w:snapToGrid w:val="0"/>
              <w:spacing w:line="380" w:lineRule="exact"/>
              <w:jc w:val="left"/>
              <w:rPr>
                <w:rFonts w:ascii="宋体"/>
                <w:kern w:val="0"/>
                <w:sz w:val="24"/>
                <w:szCs w:val="24"/>
              </w:rPr>
            </w:pPr>
          </w:p>
        </w:tc>
        <w:tc>
          <w:tcPr>
            <w:tcW w:w="5424" w:type="dxa"/>
            <w:vAlign w:val="center"/>
          </w:tcPr>
          <w:p>
            <w:pPr>
              <w:overflowPunct w:val="0"/>
              <w:topLinePunct/>
              <w:snapToGrid w:val="0"/>
              <w:spacing w:line="380" w:lineRule="exact"/>
              <w:rPr>
                <w:rFonts w:ascii="宋体"/>
                <w:kern w:val="0"/>
                <w:sz w:val="24"/>
                <w:szCs w:val="24"/>
              </w:rPr>
            </w:pPr>
            <w:r>
              <w:rPr>
                <w:rFonts w:hint="eastAsia" w:ascii="宋体" w:hAnsi="宋体" w:cs="宋体"/>
                <w:sz w:val="24"/>
                <w:szCs w:val="24"/>
              </w:rPr>
              <w:t>日总量</w:t>
            </w:r>
            <w:r>
              <w:rPr>
                <w:rFonts w:ascii="宋体" w:hAnsi="宋体" w:cs="宋体"/>
                <w:sz w:val="24"/>
                <w:szCs w:val="24"/>
              </w:rPr>
              <w:t>20</w:t>
            </w:r>
            <w:r>
              <w:rPr>
                <w:rFonts w:hint="eastAsia" w:ascii="宋体" w:hAnsi="宋体" w:cs="宋体"/>
                <w:sz w:val="24"/>
                <w:szCs w:val="24"/>
              </w:rPr>
              <w:t>％以上</w:t>
            </w:r>
            <w:r>
              <w:rPr>
                <w:rFonts w:ascii="宋体" w:hAnsi="宋体" w:cs="宋体"/>
                <w:sz w:val="24"/>
                <w:szCs w:val="24"/>
              </w:rPr>
              <w:t>50</w:t>
            </w:r>
            <w:r>
              <w:rPr>
                <w:rFonts w:hint="eastAsia" w:ascii="宋体" w:hAnsi="宋体" w:cs="宋体"/>
                <w:sz w:val="24"/>
                <w:szCs w:val="24"/>
              </w:rPr>
              <w:t>％以下</w:t>
            </w:r>
          </w:p>
        </w:tc>
        <w:tc>
          <w:tcPr>
            <w:tcW w:w="1282" w:type="dxa"/>
            <w:vAlign w:val="center"/>
          </w:tcPr>
          <w:p>
            <w:pPr>
              <w:overflowPunct w:val="0"/>
              <w:topLinePunct/>
              <w:snapToGrid w:val="0"/>
              <w:spacing w:line="380" w:lineRule="exact"/>
              <w:jc w:val="center"/>
              <w:rPr>
                <w:rFonts w:ascii="宋体" w:hAnsi="宋体" w:cs="宋体"/>
                <w:kern w:val="0"/>
                <w:sz w:val="24"/>
                <w:szCs w:val="24"/>
              </w:rPr>
            </w:pPr>
            <w:r>
              <w:rPr>
                <w:rFonts w:ascii="宋体" w:hAns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5" w:hRule="atLeast"/>
          <w:jc w:val="center"/>
        </w:trPr>
        <w:tc>
          <w:tcPr>
            <w:tcW w:w="2014" w:type="dxa"/>
            <w:vMerge w:val="continue"/>
            <w:vAlign w:val="center"/>
          </w:tcPr>
          <w:p>
            <w:pPr>
              <w:overflowPunct w:val="0"/>
              <w:topLinePunct/>
              <w:snapToGrid w:val="0"/>
              <w:spacing w:line="380" w:lineRule="exact"/>
              <w:jc w:val="left"/>
              <w:rPr>
                <w:rFonts w:ascii="宋体"/>
                <w:kern w:val="0"/>
                <w:sz w:val="24"/>
                <w:szCs w:val="24"/>
              </w:rPr>
            </w:pPr>
          </w:p>
        </w:tc>
        <w:tc>
          <w:tcPr>
            <w:tcW w:w="5424" w:type="dxa"/>
            <w:vAlign w:val="center"/>
          </w:tcPr>
          <w:p>
            <w:pPr>
              <w:overflowPunct w:val="0"/>
              <w:topLinePunct/>
              <w:snapToGrid w:val="0"/>
              <w:spacing w:line="380" w:lineRule="exact"/>
              <w:rPr>
                <w:rFonts w:ascii="宋体"/>
                <w:kern w:val="0"/>
                <w:sz w:val="24"/>
                <w:szCs w:val="24"/>
              </w:rPr>
            </w:pPr>
            <w:r>
              <w:rPr>
                <w:rFonts w:hint="eastAsia" w:ascii="宋体" w:hAnsi="宋体" w:cs="宋体"/>
                <w:sz w:val="24"/>
                <w:szCs w:val="24"/>
              </w:rPr>
              <w:t>日总量</w:t>
            </w:r>
            <w:r>
              <w:rPr>
                <w:rFonts w:ascii="宋体" w:hAnsi="宋体" w:cs="宋体"/>
                <w:sz w:val="24"/>
                <w:szCs w:val="24"/>
              </w:rPr>
              <w:t>50</w:t>
            </w:r>
            <w:r>
              <w:rPr>
                <w:rFonts w:hint="eastAsia" w:ascii="宋体" w:hAnsi="宋体" w:cs="宋体"/>
                <w:sz w:val="24"/>
                <w:szCs w:val="24"/>
              </w:rPr>
              <w:t>％以上</w:t>
            </w:r>
            <w:r>
              <w:rPr>
                <w:rFonts w:ascii="宋体" w:hAnsi="宋体" w:cs="宋体"/>
                <w:sz w:val="24"/>
                <w:szCs w:val="24"/>
              </w:rPr>
              <w:t>100</w:t>
            </w:r>
            <w:r>
              <w:rPr>
                <w:rFonts w:hint="eastAsia" w:ascii="宋体" w:hAnsi="宋体" w:cs="宋体"/>
                <w:sz w:val="24"/>
                <w:szCs w:val="24"/>
              </w:rPr>
              <w:t>％以下</w:t>
            </w:r>
          </w:p>
        </w:tc>
        <w:tc>
          <w:tcPr>
            <w:tcW w:w="1282" w:type="dxa"/>
            <w:vAlign w:val="center"/>
          </w:tcPr>
          <w:p>
            <w:pPr>
              <w:overflowPunct w:val="0"/>
              <w:topLinePunct/>
              <w:snapToGrid w:val="0"/>
              <w:spacing w:line="380" w:lineRule="exact"/>
              <w:jc w:val="center"/>
              <w:rPr>
                <w:rFonts w:ascii="宋体" w:hAnsi="宋体" w:cs="宋体"/>
                <w:kern w:val="0"/>
                <w:sz w:val="24"/>
                <w:szCs w:val="24"/>
              </w:rPr>
            </w:pPr>
            <w:r>
              <w:rPr>
                <w:rFonts w:ascii="宋体" w:hAnsi="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5" w:hRule="atLeast"/>
          <w:jc w:val="center"/>
        </w:trPr>
        <w:tc>
          <w:tcPr>
            <w:tcW w:w="2014" w:type="dxa"/>
            <w:vMerge w:val="continue"/>
            <w:vAlign w:val="center"/>
          </w:tcPr>
          <w:p>
            <w:pPr>
              <w:overflowPunct w:val="0"/>
              <w:topLinePunct/>
              <w:snapToGrid w:val="0"/>
              <w:spacing w:line="380" w:lineRule="exact"/>
              <w:jc w:val="left"/>
              <w:rPr>
                <w:rFonts w:ascii="宋体"/>
                <w:kern w:val="0"/>
                <w:sz w:val="24"/>
                <w:szCs w:val="24"/>
              </w:rPr>
            </w:pPr>
          </w:p>
        </w:tc>
        <w:tc>
          <w:tcPr>
            <w:tcW w:w="5424" w:type="dxa"/>
            <w:vAlign w:val="center"/>
          </w:tcPr>
          <w:p>
            <w:pPr>
              <w:overflowPunct w:val="0"/>
              <w:topLinePunct/>
              <w:snapToGrid w:val="0"/>
              <w:spacing w:line="380" w:lineRule="exact"/>
              <w:rPr>
                <w:rFonts w:ascii="宋体"/>
                <w:kern w:val="0"/>
                <w:sz w:val="24"/>
                <w:szCs w:val="24"/>
              </w:rPr>
            </w:pPr>
            <w:r>
              <w:rPr>
                <w:rFonts w:hint="eastAsia" w:ascii="宋体" w:hAnsi="宋体" w:cs="宋体"/>
                <w:sz w:val="24"/>
                <w:szCs w:val="24"/>
              </w:rPr>
              <w:t>日总量</w:t>
            </w:r>
            <w:r>
              <w:rPr>
                <w:rFonts w:ascii="宋体" w:hAnsi="宋体" w:cs="宋体"/>
                <w:sz w:val="24"/>
                <w:szCs w:val="24"/>
              </w:rPr>
              <w:t>100%</w:t>
            </w:r>
            <w:r>
              <w:rPr>
                <w:rFonts w:hint="eastAsia" w:ascii="宋体" w:hAnsi="宋体" w:cs="宋体"/>
                <w:sz w:val="24"/>
                <w:szCs w:val="24"/>
              </w:rPr>
              <w:t>以上或年总量</w:t>
            </w:r>
            <w:r>
              <w:rPr>
                <w:rFonts w:ascii="宋体" w:hAnsi="宋体" w:cs="宋体"/>
                <w:sz w:val="24"/>
                <w:szCs w:val="24"/>
              </w:rPr>
              <w:t>10</w:t>
            </w:r>
            <w:r>
              <w:rPr>
                <w:rFonts w:hint="eastAsia" w:ascii="宋体" w:hAnsi="宋体" w:cs="宋体"/>
                <w:sz w:val="24"/>
                <w:szCs w:val="24"/>
              </w:rPr>
              <w:t>％以上</w:t>
            </w:r>
          </w:p>
        </w:tc>
        <w:tc>
          <w:tcPr>
            <w:tcW w:w="1282" w:type="dxa"/>
            <w:vAlign w:val="center"/>
          </w:tcPr>
          <w:p>
            <w:pPr>
              <w:overflowPunct w:val="0"/>
              <w:topLinePunct/>
              <w:snapToGrid w:val="0"/>
              <w:spacing w:line="380" w:lineRule="exact"/>
              <w:jc w:val="center"/>
              <w:rPr>
                <w:rFonts w:ascii="宋体" w:hAnsi="宋体" w:cs="宋体"/>
                <w:kern w:val="0"/>
                <w:sz w:val="24"/>
                <w:szCs w:val="24"/>
              </w:rPr>
            </w:pPr>
            <w:r>
              <w:rPr>
                <w:rFonts w:ascii="宋体" w:hAnsi="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82" w:hRule="atLeast"/>
          <w:jc w:val="center"/>
        </w:trPr>
        <w:tc>
          <w:tcPr>
            <w:tcW w:w="2014" w:type="dxa"/>
            <w:vMerge w:val="restart"/>
            <w:vAlign w:val="top"/>
          </w:tcPr>
          <w:p>
            <w:pPr>
              <w:overflowPunct w:val="0"/>
              <w:topLinePunct/>
              <w:spacing w:line="360" w:lineRule="exact"/>
              <w:rPr>
                <w:rFonts w:ascii="宋体"/>
                <w:kern w:val="0"/>
                <w:sz w:val="24"/>
                <w:szCs w:val="24"/>
              </w:rPr>
            </w:pPr>
          </w:p>
          <w:p>
            <w:pPr>
              <w:rPr>
                <w:rFonts w:ascii="宋体"/>
                <w:kern w:val="0"/>
                <w:sz w:val="24"/>
                <w:szCs w:val="24"/>
              </w:rPr>
            </w:pPr>
          </w:p>
          <w:p>
            <w:pPr>
              <w:rPr>
                <w:rFonts w:ascii="宋体"/>
                <w:kern w:val="0"/>
                <w:sz w:val="24"/>
                <w:szCs w:val="24"/>
              </w:rPr>
            </w:pPr>
          </w:p>
          <w:p>
            <w:pPr>
              <w:rPr>
                <w:rFonts w:ascii="宋体"/>
                <w:kern w:val="0"/>
                <w:sz w:val="24"/>
                <w:szCs w:val="24"/>
              </w:rPr>
            </w:pPr>
          </w:p>
          <w:p>
            <w:pPr>
              <w:rPr>
                <w:rFonts w:ascii="宋体"/>
                <w:kern w:val="0"/>
                <w:sz w:val="24"/>
                <w:szCs w:val="24"/>
              </w:rPr>
            </w:pPr>
          </w:p>
          <w:p>
            <w:pPr>
              <w:jc w:val="center"/>
              <w:rPr>
                <w:rFonts w:ascii="宋体"/>
                <w:kern w:val="0"/>
                <w:sz w:val="24"/>
                <w:szCs w:val="24"/>
              </w:rPr>
            </w:pPr>
            <w:r>
              <w:rPr>
                <w:rFonts w:hint="eastAsia" w:ascii="宋体" w:hAnsi="宋体" w:cs="宋体"/>
                <w:kern w:val="0"/>
                <w:sz w:val="24"/>
                <w:szCs w:val="24"/>
              </w:rPr>
              <w:t>小时烟气流量（气）</w:t>
            </w:r>
            <w:r>
              <w:rPr>
                <w:rFonts w:ascii="宋体" w:hAnsi="宋体" w:cs="宋体"/>
                <w:kern w:val="0"/>
                <w:sz w:val="24"/>
                <w:szCs w:val="24"/>
              </w:rPr>
              <w:t>/</w:t>
            </w:r>
            <w:r>
              <w:rPr>
                <w:rFonts w:hint="eastAsia" w:ascii="宋体" w:hAnsi="宋体" w:cs="宋体"/>
                <w:kern w:val="0"/>
                <w:sz w:val="24"/>
                <w:szCs w:val="24"/>
              </w:rPr>
              <w:t>日排放量（水）</w:t>
            </w:r>
          </w:p>
          <w:p>
            <w:pPr>
              <w:overflowPunct w:val="0"/>
              <w:topLinePunct/>
              <w:spacing w:line="360" w:lineRule="exact"/>
              <w:rPr>
                <w:rFonts w:ascii="宋体"/>
                <w:kern w:val="0"/>
                <w:sz w:val="24"/>
                <w:szCs w:val="24"/>
              </w:rPr>
            </w:pPr>
          </w:p>
        </w:tc>
        <w:tc>
          <w:tcPr>
            <w:tcW w:w="5424" w:type="dxa"/>
            <w:vAlign w:val="top"/>
          </w:tcPr>
          <w:p>
            <w:pPr>
              <w:rPr>
                <w:rFonts w:ascii="宋体"/>
                <w:kern w:val="0"/>
                <w:sz w:val="24"/>
                <w:szCs w:val="24"/>
              </w:rPr>
            </w:pPr>
            <w:r>
              <w:rPr>
                <w:rFonts w:hint="eastAsia" w:ascii="宋体" w:hAnsi="宋体" w:cs="宋体"/>
                <w:kern w:val="0"/>
                <w:sz w:val="24"/>
                <w:szCs w:val="24"/>
              </w:rPr>
              <w:t>不足</w:t>
            </w:r>
            <w:r>
              <w:rPr>
                <w:rFonts w:ascii="宋体" w:hAnsi="宋体" w:cs="宋体"/>
                <w:kern w:val="0"/>
                <w:sz w:val="24"/>
                <w:szCs w:val="24"/>
              </w:rPr>
              <w:t>1000</w:t>
            </w:r>
            <w:r>
              <w:rPr>
                <w:rFonts w:hint="eastAsia" w:ascii="宋体" w:hAnsi="宋体" w:cs="宋体"/>
                <w:kern w:val="0"/>
                <w:sz w:val="24"/>
                <w:szCs w:val="24"/>
              </w:rPr>
              <w:t>标立方米</w:t>
            </w:r>
            <w:r>
              <w:rPr>
                <w:rFonts w:ascii="宋体" w:hAnsi="宋体" w:cs="宋体"/>
                <w:kern w:val="0"/>
                <w:sz w:val="24"/>
                <w:szCs w:val="24"/>
              </w:rPr>
              <w:t>/</w:t>
            </w:r>
            <w:r>
              <w:rPr>
                <w:rFonts w:hint="eastAsia" w:ascii="宋体" w:hAnsi="宋体" w:cs="宋体"/>
                <w:kern w:val="0"/>
                <w:sz w:val="24"/>
                <w:szCs w:val="24"/>
              </w:rPr>
              <w:t>不足</w:t>
            </w:r>
            <w:r>
              <w:rPr>
                <w:rFonts w:ascii="宋体" w:hAnsi="宋体" w:cs="宋体"/>
                <w:kern w:val="0"/>
                <w:sz w:val="24"/>
                <w:szCs w:val="24"/>
              </w:rPr>
              <w:t>10</w:t>
            </w:r>
            <w:r>
              <w:rPr>
                <w:rFonts w:hint="eastAsia" w:ascii="宋体" w:hAnsi="宋体" w:cs="宋体"/>
                <w:kern w:val="0"/>
                <w:sz w:val="24"/>
                <w:szCs w:val="24"/>
              </w:rPr>
              <w:t>吨（一般排污单位）</w:t>
            </w:r>
            <w:r>
              <w:rPr>
                <w:rFonts w:ascii="宋体" w:hAnsi="宋体" w:cs="宋体"/>
                <w:kern w:val="0"/>
                <w:sz w:val="24"/>
                <w:szCs w:val="24"/>
              </w:rPr>
              <w:t>/</w:t>
            </w:r>
            <w:r>
              <w:rPr>
                <w:rFonts w:hint="eastAsia" w:ascii="宋体" w:hAnsi="宋体" w:cs="宋体"/>
                <w:kern w:val="0"/>
                <w:sz w:val="24"/>
                <w:szCs w:val="24"/>
              </w:rPr>
              <w:t>不足</w:t>
            </w:r>
            <w:r>
              <w:rPr>
                <w:rFonts w:ascii="宋体" w:hAnsi="宋体" w:cs="宋体"/>
                <w:kern w:val="0"/>
                <w:sz w:val="24"/>
                <w:szCs w:val="24"/>
              </w:rPr>
              <w:t>5</w:t>
            </w:r>
            <w:r>
              <w:rPr>
                <w:rFonts w:hint="eastAsia" w:ascii="宋体" w:hAnsi="宋体" w:cs="宋体"/>
                <w:kern w:val="0"/>
                <w:sz w:val="24"/>
                <w:szCs w:val="24"/>
              </w:rPr>
              <w:t>万吨（生活污水处理厂）</w:t>
            </w:r>
            <w:r>
              <w:rPr>
                <w:rFonts w:ascii="宋体" w:hAnsi="宋体" w:cs="宋体"/>
                <w:kern w:val="0"/>
                <w:sz w:val="24"/>
                <w:szCs w:val="24"/>
              </w:rPr>
              <w:t>/</w:t>
            </w:r>
            <w:r>
              <w:rPr>
                <w:rFonts w:hint="eastAsia" w:ascii="宋体" w:hAnsi="宋体" w:cs="宋体"/>
                <w:kern w:val="0"/>
                <w:sz w:val="24"/>
                <w:szCs w:val="24"/>
              </w:rPr>
              <w:t>不足</w:t>
            </w:r>
            <w:r>
              <w:rPr>
                <w:rFonts w:ascii="宋体" w:hAnsi="宋体" w:cs="宋体"/>
                <w:kern w:val="0"/>
                <w:sz w:val="24"/>
                <w:szCs w:val="24"/>
              </w:rPr>
              <w:t>2000</w:t>
            </w:r>
            <w:r>
              <w:rPr>
                <w:rFonts w:hint="eastAsia" w:ascii="宋体" w:hAnsi="宋体" w:cs="宋体"/>
                <w:kern w:val="0"/>
                <w:sz w:val="24"/>
                <w:szCs w:val="24"/>
              </w:rPr>
              <w:t>吨（工业污水处理厂）</w:t>
            </w:r>
          </w:p>
        </w:tc>
        <w:tc>
          <w:tcPr>
            <w:tcW w:w="1282" w:type="dxa"/>
            <w:vAlign w:val="top"/>
          </w:tcPr>
          <w:p>
            <w:pPr>
              <w:overflowPunct w:val="0"/>
              <w:topLinePunct/>
              <w:spacing w:line="360" w:lineRule="exact"/>
              <w:jc w:val="center"/>
              <w:rPr>
                <w:rFonts w:ascii="宋体"/>
                <w:kern w:val="0"/>
                <w:sz w:val="24"/>
                <w:szCs w:val="24"/>
              </w:rPr>
            </w:pPr>
            <w:r>
              <w:rPr>
                <w:rFonts w:asci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82" w:hRule="atLeast"/>
          <w:jc w:val="center"/>
        </w:trPr>
        <w:tc>
          <w:tcPr>
            <w:tcW w:w="2014" w:type="dxa"/>
            <w:vMerge w:val="continue"/>
            <w:vAlign w:val="top"/>
          </w:tcPr>
          <w:p>
            <w:pPr>
              <w:overflowPunct w:val="0"/>
              <w:topLinePunct/>
              <w:snapToGrid w:val="0"/>
              <w:spacing w:line="380" w:lineRule="exact"/>
              <w:jc w:val="left"/>
              <w:rPr>
                <w:rFonts w:ascii="宋体"/>
                <w:kern w:val="0"/>
                <w:sz w:val="24"/>
                <w:szCs w:val="24"/>
              </w:rPr>
            </w:pPr>
          </w:p>
        </w:tc>
        <w:tc>
          <w:tcPr>
            <w:tcW w:w="5424" w:type="dxa"/>
            <w:vAlign w:val="top"/>
          </w:tcPr>
          <w:p>
            <w:pPr>
              <w:rPr>
                <w:rFonts w:ascii="宋体"/>
                <w:kern w:val="0"/>
                <w:sz w:val="24"/>
                <w:szCs w:val="24"/>
              </w:rPr>
            </w:pPr>
            <w:r>
              <w:rPr>
                <w:rFonts w:ascii="宋体" w:hAnsi="宋体" w:cs="宋体"/>
                <w:kern w:val="0"/>
                <w:sz w:val="24"/>
                <w:szCs w:val="24"/>
              </w:rPr>
              <w:t>1000</w:t>
            </w:r>
            <w:r>
              <w:rPr>
                <w:rFonts w:hint="eastAsia" w:ascii="宋体" w:hAnsi="宋体" w:cs="宋体"/>
                <w:kern w:val="0"/>
                <w:sz w:val="24"/>
                <w:szCs w:val="24"/>
              </w:rPr>
              <w:t>标立方米以上不足</w:t>
            </w:r>
            <w:r>
              <w:rPr>
                <w:rFonts w:ascii="宋体" w:hAnsi="宋体" w:cs="宋体"/>
                <w:kern w:val="0"/>
                <w:sz w:val="24"/>
                <w:szCs w:val="24"/>
              </w:rPr>
              <w:t>1</w:t>
            </w:r>
            <w:r>
              <w:rPr>
                <w:rFonts w:hint="eastAsia" w:ascii="宋体" w:hAnsi="宋体" w:cs="宋体"/>
                <w:kern w:val="0"/>
                <w:sz w:val="24"/>
                <w:szCs w:val="24"/>
              </w:rPr>
              <w:t>万标立方米</w:t>
            </w:r>
            <w:r>
              <w:rPr>
                <w:rFonts w:ascii="宋体" w:hAnsi="宋体" w:cs="宋体"/>
                <w:kern w:val="0"/>
                <w:sz w:val="24"/>
                <w:szCs w:val="24"/>
              </w:rPr>
              <w:t>/10</w:t>
            </w:r>
            <w:r>
              <w:rPr>
                <w:rFonts w:hint="eastAsia" w:ascii="宋体" w:hAnsi="宋体" w:cs="宋体"/>
                <w:kern w:val="0"/>
                <w:sz w:val="24"/>
                <w:szCs w:val="24"/>
              </w:rPr>
              <w:t>吨以上不足</w:t>
            </w:r>
            <w:r>
              <w:rPr>
                <w:rFonts w:ascii="宋体" w:hAnsi="宋体" w:cs="宋体"/>
                <w:kern w:val="0"/>
                <w:sz w:val="24"/>
                <w:szCs w:val="24"/>
              </w:rPr>
              <w:t>100</w:t>
            </w:r>
            <w:r>
              <w:rPr>
                <w:rFonts w:hint="eastAsia" w:ascii="宋体" w:hAnsi="宋体" w:cs="宋体"/>
                <w:kern w:val="0"/>
                <w:sz w:val="24"/>
                <w:szCs w:val="24"/>
              </w:rPr>
              <w:t>吨（一般排污单位）</w:t>
            </w:r>
            <w:r>
              <w:rPr>
                <w:rFonts w:ascii="宋体" w:hAnsi="宋体" w:cs="宋体"/>
                <w:kern w:val="0"/>
                <w:sz w:val="24"/>
                <w:szCs w:val="24"/>
              </w:rPr>
              <w:t>/5</w:t>
            </w:r>
            <w:r>
              <w:rPr>
                <w:rFonts w:hint="eastAsia" w:ascii="宋体" w:hAnsi="宋体" w:cs="宋体"/>
                <w:kern w:val="0"/>
                <w:sz w:val="24"/>
                <w:szCs w:val="24"/>
              </w:rPr>
              <w:t>万吨以上不足</w:t>
            </w:r>
            <w:r>
              <w:rPr>
                <w:rFonts w:ascii="宋体" w:hAnsi="宋体" w:cs="宋体"/>
                <w:kern w:val="0"/>
                <w:sz w:val="24"/>
                <w:szCs w:val="24"/>
              </w:rPr>
              <w:t>10</w:t>
            </w:r>
            <w:r>
              <w:rPr>
                <w:rFonts w:hint="eastAsia" w:ascii="宋体" w:hAnsi="宋体" w:cs="宋体"/>
                <w:kern w:val="0"/>
                <w:sz w:val="24"/>
                <w:szCs w:val="24"/>
              </w:rPr>
              <w:t>万吨（生活污水处理厂）</w:t>
            </w:r>
            <w:r>
              <w:rPr>
                <w:rFonts w:ascii="宋体" w:hAnsi="宋体" w:cs="宋体"/>
                <w:kern w:val="0"/>
                <w:sz w:val="24"/>
                <w:szCs w:val="24"/>
              </w:rPr>
              <w:t>/2000</w:t>
            </w:r>
            <w:r>
              <w:rPr>
                <w:rFonts w:hint="eastAsia" w:ascii="宋体" w:hAnsi="宋体" w:cs="宋体"/>
                <w:kern w:val="0"/>
                <w:sz w:val="24"/>
                <w:szCs w:val="24"/>
              </w:rPr>
              <w:t>吨以上不足</w:t>
            </w:r>
            <w:r>
              <w:rPr>
                <w:rFonts w:ascii="宋体" w:hAnsi="宋体" w:cs="宋体"/>
                <w:kern w:val="0"/>
                <w:sz w:val="24"/>
                <w:szCs w:val="24"/>
              </w:rPr>
              <w:t>5000</w:t>
            </w:r>
            <w:r>
              <w:rPr>
                <w:rFonts w:hint="eastAsia" w:ascii="宋体" w:hAnsi="宋体" w:cs="宋体"/>
                <w:kern w:val="0"/>
                <w:sz w:val="24"/>
                <w:szCs w:val="24"/>
              </w:rPr>
              <w:t>吨（工业污水处理厂）</w:t>
            </w:r>
          </w:p>
        </w:tc>
        <w:tc>
          <w:tcPr>
            <w:tcW w:w="1282" w:type="dxa"/>
            <w:vAlign w:val="top"/>
          </w:tcPr>
          <w:p>
            <w:pPr>
              <w:overflowPunct w:val="0"/>
              <w:topLinePunct/>
              <w:snapToGrid w:val="0"/>
              <w:spacing w:line="380" w:lineRule="exact"/>
              <w:jc w:val="center"/>
              <w:rPr>
                <w:rFonts w:ascii="宋体"/>
                <w:kern w:val="0"/>
                <w:sz w:val="24"/>
                <w:szCs w:val="24"/>
              </w:rPr>
            </w:pPr>
            <w:r>
              <w:rPr>
                <w:rFonts w:asci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82" w:hRule="atLeast"/>
          <w:jc w:val="center"/>
        </w:trPr>
        <w:tc>
          <w:tcPr>
            <w:tcW w:w="2014" w:type="dxa"/>
            <w:vMerge w:val="continue"/>
            <w:vAlign w:val="top"/>
          </w:tcPr>
          <w:p>
            <w:pPr>
              <w:overflowPunct w:val="0"/>
              <w:topLinePunct/>
              <w:snapToGrid w:val="0"/>
              <w:spacing w:line="380" w:lineRule="exact"/>
              <w:jc w:val="left"/>
              <w:rPr>
                <w:rFonts w:ascii="宋体"/>
                <w:kern w:val="0"/>
                <w:sz w:val="24"/>
                <w:szCs w:val="24"/>
              </w:rPr>
            </w:pPr>
          </w:p>
        </w:tc>
        <w:tc>
          <w:tcPr>
            <w:tcW w:w="5424" w:type="dxa"/>
            <w:vAlign w:val="top"/>
          </w:tcPr>
          <w:p>
            <w:pPr>
              <w:overflowPunct w:val="0"/>
              <w:topLinePunct/>
              <w:snapToGrid w:val="0"/>
              <w:spacing w:line="380" w:lineRule="exact"/>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万标立方米以上不足</w:t>
            </w:r>
            <w:r>
              <w:rPr>
                <w:rFonts w:ascii="宋体" w:hAnsi="宋体" w:cs="宋体"/>
                <w:kern w:val="0"/>
                <w:sz w:val="24"/>
                <w:szCs w:val="24"/>
              </w:rPr>
              <w:t>10</w:t>
            </w:r>
            <w:r>
              <w:rPr>
                <w:rFonts w:hint="eastAsia" w:ascii="宋体" w:hAnsi="宋体" w:cs="宋体"/>
                <w:kern w:val="0"/>
                <w:sz w:val="24"/>
                <w:szCs w:val="24"/>
              </w:rPr>
              <w:t>万标立方米</w:t>
            </w:r>
            <w:r>
              <w:rPr>
                <w:rFonts w:ascii="宋体" w:hAnsi="宋体" w:cs="宋体"/>
                <w:kern w:val="0"/>
                <w:sz w:val="24"/>
                <w:szCs w:val="24"/>
              </w:rPr>
              <w:t>/100</w:t>
            </w:r>
            <w:r>
              <w:rPr>
                <w:rFonts w:hint="eastAsia" w:ascii="宋体" w:hAnsi="宋体" w:cs="宋体"/>
                <w:kern w:val="0"/>
                <w:sz w:val="24"/>
                <w:szCs w:val="24"/>
              </w:rPr>
              <w:t>吨以上不足</w:t>
            </w:r>
            <w:r>
              <w:rPr>
                <w:rFonts w:ascii="宋体" w:hAnsi="宋体" w:cs="宋体"/>
                <w:kern w:val="0"/>
                <w:sz w:val="24"/>
                <w:szCs w:val="24"/>
              </w:rPr>
              <w:t>500</w:t>
            </w:r>
            <w:r>
              <w:rPr>
                <w:rFonts w:hint="eastAsia" w:ascii="宋体" w:hAnsi="宋体" w:cs="宋体"/>
                <w:kern w:val="0"/>
                <w:sz w:val="24"/>
                <w:szCs w:val="24"/>
              </w:rPr>
              <w:t>吨（一般排污单位）</w:t>
            </w:r>
            <w:r>
              <w:rPr>
                <w:rFonts w:ascii="宋体" w:hAnsi="宋体" w:cs="宋体"/>
                <w:kern w:val="0"/>
                <w:sz w:val="24"/>
                <w:szCs w:val="24"/>
              </w:rPr>
              <w:t>/10</w:t>
            </w:r>
            <w:r>
              <w:rPr>
                <w:rFonts w:hint="eastAsia" w:ascii="宋体" w:hAnsi="宋体" w:cs="宋体"/>
                <w:kern w:val="0"/>
                <w:sz w:val="24"/>
                <w:szCs w:val="24"/>
              </w:rPr>
              <w:t>万吨以上不足</w:t>
            </w:r>
            <w:r>
              <w:rPr>
                <w:rFonts w:ascii="宋体" w:hAnsi="宋体" w:cs="宋体"/>
                <w:kern w:val="0"/>
                <w:sz w:val="24"/>
                <w:szCs w:val="24"/>
              </w:rPr>
              <w:t>20</w:t>
            </w:r>
            <w:r>
              <w:rPr>
                <w:rFonts w:hint="eastAsia" w:ascii="宋体" w:hAnsi="宋体" w:cs="宋体"/>
                <w:kern w:val="0"/>
                <w:sz w:val="24"/>
                <w:szCs w:val="24"/>
              </w:rPr>
              <w:t>万吨（生活污水处理厂）</w:t>
            </w:r>
            <w:r>
              <w:rPr>
                <w:rFonts w:ascii="宋体" w:hAnsi="宋体" w:cs="宋体"/>
                <w:kern w:val="0"/>
                <w:sz w:val="24"/>
                <w:szCs w:val="24"/>
              </w:rPr>
              <w:t>/5000</w:t>
            </w:r>
            <w:r>
              <w:rPr>
                <w:rFonts w:hint="eastAsia" w:ascii="宋体" w:hAnsi="宋体" w:cs="宋体"/>
                <w:kern w:val="0"/>
                <w:sz w:val="24"/>
                <w:szCs w:val="24"/>
              </w:rPr>
              <w:t>吨以上不足</w:t>
            </w:r>
            <w:r>
              <w:rPr>
                <w:rFonts w:ascii="宋体" w:hAnsi="宋体" w:cs="宋体"/>
                <w:kern w:val="0"/>
                <w:sz w:val="24"/>
                <w:szCs w:val="24"/>
              </w:rPr>
              <w:t>1</w:t>
            </w:r>
            <w:r>
              <w:rPr>
                <w:rFonts w:hint="eastAsia" w:ascii="宋体" w:hAnsi="宋体" w:cs="宋体"/>
                <w:kern w:val="0"/>
                <w:sz w:val="24"/>
                <w:szCs w:val="24"/>
              </w:rPr>
              <w:t>万吨（工业污水处理厂）</w:t>
            </w:r>
          </w:p>
        </w:tc>
        <w:tc>
          <w:tcPr>
            <w:tcW w:w="1282" w:type="dxa"/>
            <w:vAlign w:val="top"/>
          </w:tcPr>
          <w:p>
            <w:pPr>
              <w:overflowPunct w:val="0"/>
              <w:topLinePunct/>
              <w:snapToGrid w:val="0"/>
              <w:spacing w:line="380" w:lineRule="exact"/>
              <w:jc w:val="center"/>
              <w:rPr>
                <w:rFonts w:ascii="宋体"/>
                <w:kern w:val="0"/>
                <w:sz w:val="24"/>
                <w:szCs w:val="24"/>
              </w:rPr>
            </w:pPr>
            <w:r>
              <w:rPr>
                <w:rFonts w:asci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82" w:hRule="atLeast"/>
          <w:jc w:val="center"/>
        </w:trPr>
        <w:tc>
          <w:tcPr>
            <w:tcW w:w="2014" w:type="dxa"/>
            <w:vMerge w:val="continue"/>
            <w:vAlign w:val="top"/>
          </w:tcPr>
          <w:p>
            <w:pPr>
              <w:overflowPunct w:val="0"/>
              <w:topLinePunct/>
              <w:snapToGrid w:val="0"/>
              <w:spacing w:line="380" w:lineRule="exact"/>
              <w:jc w:val="left"/>
              <w:rPr>
                <w:rFonts w:ascii="宋体"/>
                <w:kern w:val="0"/>
                <w:sz w:val="24"/>
                <w:szCs w:val="24"/>
              </w:rPr>
            </w:pPr>
          </w:p>
        </w:tc>
        <w:tc>
          <w:tcPr>
            <w:tcW w:w="5424" w:type="dxa"/>
            <w:vAlign w:val="top"/>
          </w:tcPr>
          <w:p>
            <w:pPr>
              <w:overflowPunct w:val="0"/>
              <w:topLinePunct/>
              <w:snapToGrid w:val="0"/>
              <w:spacing w:line="380" w:lineRule="exact"/>
              <w:rPr>
                <w:rFonts w:ascii="宋体"/>
                <w:kern w:val="0"/>
                <w:sz w:val="24"/>
                <w:szCs w:val="24"/>
              </w:rPr>
            </w:pPr>
            <w:r>
              <w:rPr>
                <w:rFonts w:ascii="宋体" w:hAnsi="宋体" w:cs="宋体"/>
                <w:kern w:val="0"/>
                <w:sz w:val="24"/>
                <w:szCs w:val="24"/>
              </w:rPr>
              <w:t>10</w:t>
            </w:r>
            <w:r>
              <w:rPr>
                <w:rFonts w:hint="eastAsia" w:ascii="宋体" w:hAnsi="宋体" w:cs="宋体"/>
                <w:kern w:val="0"/>
                <w:sz w:val="24"/>
                <w:szCs w:val="24"/>
              </w:rPr>
              <w:t>万标立方米以上不足</w:t>
            </w:r>
            <w:r>
              <w:rPr>
                <w:rFonts w:ascii="宋体" w:hAnsi="宋体" w:cs="宋体"/>
                <w:kern w:val="0"/>
                <w:sz w:val="24"/>
                <w:szCs w:val="24"/>
              </w:rPr>
              <w:t>20</w:t>
            </w:r>
            <w:r>
              <w:rPr>
                <w:rFonts w:hint="eastAsia" w:ascii="宋体" w:hAnsi="宋体" w:cs="宋体"/>
                <w:kern w:val="0"/>
                <w:sz w:val="24"/>
                <w:szCs w:val="24"/>
              </w:rPr>
              <w:t>万标立方米</w:t>
            </w:r>
            <w:r>
              <w:rPr>
                <w:rFonts w:ascii="宋体" w:hAnsi="宋体" w:cs="宋体"/>
                <w:kern w:val="0"/>
                <w:sz w:val="24"/>
                <w:szCs w:val="24"/>
              </w:rPr>
              <w:t>/500</w:t>
            </w:r>
            <w:r>
              <w:rPr>
                <w:rFonts w:hint="eastAsia" w:ascii="宋体" w:hAnsi="宋体" w:cs="宋体"/>
                <w:kern w:val="0"/>
                <w:sz w:val="24"/>
                <w:szCs w:val="24"/>
              </w:rPr>
              <w:t>吨以上不足</w:t>
            </w:r>
            <w:r>
              <w:rPr>
                <w:rFonts w:ascii="宋体" w:hAnsi="宋体" w:cs="宋体"/>
                <w:kern w:val="0"/>
                <w:sz w:val="24"/>
                <w:szCs w:val="24"/>
              </w:rPr>
              <w:t>1000</w:t>
            </w:r>
            <w:r>
              <w:rPr>
                <w:rFonts w:hint="eastAsia" w:ascii="宋体" w:hAnsi="宋体" w:cs="宋体"/>
                <w:kern w:val="0"/>
                <w:sz w:val="24"/>
                <w:szCs w:val="24"/>
              </w:rPr>
              <w:t>吨（一般排污单位）</w:t>
            </w:r>
            <w:r>
              <w:rPr>
                <w:rFonts w:ascii="宋体" w:hAnsi="宋体" w:cs="宋体"/>
                <w:kern w:val="0"/>
                <w:sz w:val="24"/>
                <w:szCs w:val="24"/>
              </w:rPr>
              <w:t>/20</w:t>
            </w:r>
            <w:r>
              <w:rPr>
                <w:rFonts w:hint="eastAsia" w:ascii="宋体" w:hAnsi="宋体" w:cs="宋体"/>
                <w:kern w:val="0"/>
                <w:sz w:val="24"/>
                <w:szCs w:val="24"/>
              </w:rPr>
              <w:t>万吨以上不足</w:t>
            </w:r>
            <w:r>
              <w:rPr>
                <w:rFonts w:ascii="宋体" w:hAnsi="宋体" w:cs="宋体"/>
                <w:kern w:val="0"/>
                <w:sz w:val="24"/>
                <w:szCs w:val="24"/>
              </w:rPr>
              <w:t xml:space="preserve">50 </w:t>
            </w:r>
            <w:r>
              <w:rPr>
                <w:rFonts w:hint="eastAsia" w:ascii="宋体" w:hAnsi="宋体" w:cs="宋体"/>
                <w:kern w:val="0"/>
                <w:sz w:val="24"/>
                <w:szCs w:val="24"/>
              </w:rPr>
              <w:t>万吨（生活污水处理厂）</w:t>
            </w:r>
            <w:r>
              <w:rPr>
                <w:rFonts w:ascii="宋体" w:hAnsi="宋体" w:cs="宋体"/>
                <w:kern w:val="0"/>
                <w:sz w:val="24"/>
                <w:szCs w:val="24"/>
              </w:rPr>
              <w:t>/1</w:t>
            </w:r>
            <w:r>
              <w:rPr>
                <w:rFonts w:hint="eastAsia" w:ascii="宋体" w:hAnsi="宋体" w:cs="宋体"/>
                <w:kern w:val="0"/>
                <w:sz w:val="24"/>
                <w:szCs w:val="24"/>
              </w:rPr>
              <w:t>万吨以上不足</w:t>
            </w:r>
            <w:r>
              <w:rPr>
                <w:rFonts w:ascii="宋体" w:hAnsi="宋体" w:cs="宋体"/>
                <w:kern w:val="0"/>
                <w:sz w:val="24"/>
                <w:szCs w:val="24"/>
              </w:rPr>
              <w:t>5</w:t>
            </w:r>
            <w:r>
              <w:rPr>
                <w:rFonts w:hint="eastAsia" w:ascii="宋体" w:hAnsi="宋体" w:cs="宋体"/>
                <w:kern w:val="0"/>
                <w:sz w:val="24"/>
                <w:szCs w:val="24"/>
              </w:rPr>
              <w:t>万吨（工业污水处理厂）</w:t>
            </w:r>
          </w:p>
        </w:tc>
        <w:tc>
          <w:tcPr>
            <w:tcW w:w="1282" w:type="dxa"/>
            <w:vAlign w:val="top"/>
          </w:tcPr>
          <w:p>
            <w:pPr>
              <w:overflowPunct w:val="0"/>
              <w:topLinePunct/>
              <w:snapToGrid w:val="0"/>
              <w:spacing w:line="380" w:lineRule="exact"/>
              <w:jc w:val="center"/>
              <w:rPr>
                <w:rFonts w:ascii="宋体"/>
                <w:kern w:val="0"/>
                <w:sz w:val="24"/>
                <w:szCs w:val="24"/>
              </w:rPr>
            </w:pPr>
            <w:r>
              <w:rPr>
                <w:rFonts w:ascii="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82" w:hRule="atLeast"/>
          <w:jc w:val="center"/>
        </w:trPr>
        <w:tc>
          <w:tcPr>
            <w:tcW w:w="2014" w:type="dxa"/>
            <w:vMerge w:val="continue"/>
            <w:vAlign w:val="top"/>
          </w:tcPr>
          <w:p>
            <w:pPr>
              <w:overflowPunct w:val="0"/>
              <w:topLinePunct/>
              <w:snapToGrid w:val="0"/>
              <w:spacing w:line="380" w:lineRule="exact"/>
              <w:jc w:val="left"/>
              <w:rPr>
                <w:rFonts w:ascii="宋体"/>
                <w:kern w:val="0"/>
                <w:sz w:val="24"/>
                <w:szCs w:val="24"/>
              </w:rPr>
            </w:pPr>
          </w:p>
        </w:tc>
        <w:tc>
          <w:tcPr>
            <w:tcW w:w="5424" w:type="dxa"/>
            <w:vAlign w:val="top"/>
          </w:tcPr>
          <w:p>
            <w:pPr>
              <w:rPr>
                <w:rFonts w:ascii="宋体"/>
                <w:kern w:val="0"/>
                <w:sz w:val="24"/>
                <w:szCs w:val="24"/>
              </w:rPr>
            </w:pPr>
            <w:r>
              <w:rPr>
                <w:rFonts w:ascii="宋体" w:hAnsi="宋体" w:cs="宋体"/>
                <w:kern w:val="0"/>
                <w:sz w:val="24"/>
                <w:szCs w:val="24"/>
              </w:rPr>
              <w:t>20</w:t>
            </w:r>
            <w:r>
              <w:rPr>
                <w:rFonts w:hint="eastAsia" w:ascii="宋体" w:hAnsi="宋体" w:cs="宋体"/>
                <w:kern w:val="0"/>
                <w:sz w:val="24"/>
                <w:szCs w:val="24"/>
              </w:rPr>
              <w:t>万标立方米以上</w:t>
            </w:r>
            <w:r>
              <w:rPr>
                <w:rFonts w:ascii="宋体" w:hAnsi="宋体" w:cs="宋体"/>
                <w:kern w:val="0"/>
                <w:sz w:val="24"/>
                <w:szCs w:val="24"/>
              </w:rPr>
              <w:t>/1000</w:t>
            </w:r>
            <w:r>
              <w:rPr>
                <w:rFonts w:hint="eastAsia" w:ascii="宋体" w:hAnsi="宋体" w:cs="宋体"/>
                <w:kern w:val="0"/>
                <w:sz w:val="24"/>
                <w:szCs w:val="24"/>
              </w:rPr>
              <w:t>吨以上（一般排污单位）</w:t>
            </w:r>
            <w:r>
              <w:rPr>
                <w:rFonts w:ascii="宋体" w:hAnsi="宋体" w:cs="宋体"/>
                <w:kern w:val="0"/>
                <w:sz w:val="24"/>
                <w:szCs w:val="24"/>
              </w:rPr>
              <w:t>/50</w:t>
            </w:r>
            <w:r>
              <w:rPr>
                <w:rFonts w:hint="eastAsia" w:ascii="宋体" w:hAnsi="宋体" w:cs="宋体"/>
                <w:kern w:val="0"/>
                <w:sz w:val="24"/>
                <w:szCs w:val="24"/>
              </w:rPr>
              <w:t>万吨以上（生活污水处理厂）</w:t>
            </w:r>
            <w:r>
              <w:rPr>
                <w:rFonts w:ascii="宋体" w:hAnsi="宋体" w:cs="宋体"/>
                <w:kern w:val="0"/>
                <w:sz w:val="24"/>
                <w:szCs w:val="24"/>
              </w:rPr>
              <w:t>/5</w:t>
            </w:r>
            <w:r>
              <w:rPr>
                <w:rFonts w:hint="eastAsia" w:ascii="宋体" w:hAnsi="宋体" w:cs="宋体"/>
                <w:kern w:val="0"/>
                <w:sz w:val="24"/>
                <w:szCs w:val="24"/>
              </w:rPr>
              <w:t>万吨以上（工</w:t>
            </w:r>
          </w:p>
          <w:p>
            <w:pPr>
              <w:overflowPunct w:val="0"/>
              <w:topLinePunct/>
              <w:snapToGrid w:val="0"/>
              <w:spacing w:line="380" w:lineRule="exact"/>
              <w:rPr>
                <w:rFonts w:ascii="宋体"/>
                <w:kern w:val="0"/>
                <w:sz w:val="24"/>
                <w:szCs w:val="24"/>
              </w:rPr>
            </w:pPr>
            <w:r>
              <w:rPr>
                <w:rFonts w:hint="eastAsia" w:ascii="宋体" w:hAnsi="宋体" w:cs="宋体"/>
                <w:kern w:val="0"/>
                <w:sz w:val="24"/>
                <w:szCs w:val="24"/>
              </w:rPr>
              <w:t>业污水处理厂）</w:t>
            </w:r>
          </w:p>
        </w:tc>
        <w:tc>
          <w:tcPr>
            <w:tcW w:w="1282" w:type="dxa"/>
            <w:vAlign w:val="top"/>
          </w:tcPr>
          <w:p>
            <w:pPr>
              <w:overflowPunct w:val="0"/>
              <w:topLinePunct/>
              <w:snapToGrid w:val="0"/>
              <w:spacing w:line="380" w:lineRule="exact"/>
              <w:jc w:val="center"/>
              <w:rPr>
                <w:rFonts w:ascii="宋体"/>
                <w:kern w:val="0"/>
                <w:sz w:val="24"/>
                <w:szCs w:val="24"/>
              </w:rPr>
            </w:pPr>
            <w:r>
              <w:rPr>
                <w:rFonts w:ascii="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82" w:hRule="atLeast"/>
          <w:jc w:val="center"/>
        </w:trPr>
        <w:tc>
          <w:tcPr>
            <w:tcW w:w="2014" w:type="dxa"/>
            <w:vMerge w:val="restart"/>
            <w:vAlign w:val="center"/>
          </w:tcPr>
          <w:p>
            <w:pPr>
              <w:overflowPunct w:val="0"/>
              <w:topLinePunct/>
              <w:spacing w:line="360" w:lineRule="exact"/>
              <w:jc w:val="center"/>
              <w:rPr>
                <w:rFonts w:ascii="宋体"/>
                <w:kern w:val="0"/>
                <w:sz w:val="24"/>
                <w:szCs w:val="24"/>
              </w:rPr>
            </w:pPr>
            <w:r>
              <w:rPr>
                <w:rFonts w:hint="eastAsia" w:ascii="宋体" w:hAnsi="宋体" w:cs="宋体"/>
                <w:kern w:val="0"/>
                <w:sz w:val="24"/>
                <w:szCs w:val="24"/>
              </w:rPr>
              <w:t>大气超标排放</w:t>
            </w:r>
          </w:p>
          <w:p>
            <w:pPr>
              <w:overflowPunct w:val="0"/>
              <w:topLinePunct/>
              <w:spacing w:line="360" w:lineRule="exact"/>
              <w:jc w:val="center"/>
              <w:rPr>
                <w:rFonts w:ascii="宋体"/>
                <w:kern w:val="0"/>
                <w:sz w:val="24"/>
                <w:szCs w:val="24"/>
              </w:rPr>
            </w:pPr>
            <w:r>
              <w:rPr>
                <w:rFonts w:hint="eastAsia" w:ascii="宋体" w:hAnsi="宋体" w:cs="宋体"/>
                <w:kern w:val="0"/>
                <w:sz w:val="24"/>
                <w:szCs w:val="24"/>
              </w:rPr>
              <w:t>时期敏感度</w:t>
            </w:r>
          </w:p>
        </w:tc>
        <w:tc>
          <w:tcPr>
            <w:tcW w:w="5424" w:type="dxa"/>
            <w:vAlign w:val="center"/>
          </w:tcPr>
          <w:p>
            <w:pPr>
              <w:overflowPunct w:val="0"/>
              <w:topLinePunct/>
              <w:spacing w:line="360" w:lineRule="exact"/>
              <w:rPr>
                <w:rFonts w:ascii="宋体"/>
                <w:kern w:val="0"/>
                <w:sz w:val="24"/>
                <w:szCs w:val="24"/>
              </w:rPr>
            </w:pPr>
            <w:r>
              <w:rPr>
                <w:rFonts w:hint="eastAsia" w:ascii="宋体" w:hAnsi="宋体" w:cs="宋体"/>
                <w:kern w:val="0"/>
                <w:sz w:val="24"/>
                <w:szCs w:val="24"/>
              </w:rPr>
              <w:t>一般期间</w:t>
            </w:r>
          </w:p>
        </w:tc>
        <w:tc>
          <w:tcPr>
            <w:tcW w:w="1282" w:type="dxa"/>
            <w:vAlign w:val="center"/>
          </w:tcPr>
          <w:p>
            <w:pPr>
              <w:overflowPunct w:val="0"/>
              <w:topLinePunct/>
              <w:spacing w:line="360" w:lineRule="exact"/>
              <w:jc w:val="center"/>
              <w:rPr>
                <w:rFonts w:ascii="宋体" w:hAnsi="宋体" w:cs="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82" w:hRule="atLeast"/>
          <w:jc w:val="center"/>
        </w:trPr>
        <w:tc>
          <w:tcPr>
            <w:tcW w:w="2014" w:type="dxa"/>
            <w:vMerge w:val="continue"/>
            <w:vAlign w:val="center"/>
          </w:tcPr>
          <w:p>
            <w:pPr>
              <w:overflowPunct w:val="0"/>
              <w:topLinePunct/>
              <w:snapToGrid w:val="0"/>
              <w:spacing w:line="360" w:lineRule="exact"/>
              <w:jc w:val="left"/>
              <w:rPr>
                <w:rFonts w:ascii="宋体"/>
                <w:kern w:val="0"/>
                <w:sz w:val="24"/>
                <w:szCs w:val="24"/>
              </w:rPr>
            </w:pPr>
          </w:p>
        </w:tc>
        <w:tc>
          <w:tcPr>
            <w:tcW w:w="5424" w:type="dxa"/>
            <w:vAlign w:val="center"/>
          </w:tcPr>
          <w:p>
            <w:pPr>
              <w:overflowPunct w:val="0"/>
              <w:topLinePunct/>
              <w:spacing w:line="360" w:lineRule="exact"/>
              <w:rPr>
                <w:rFonts w:ascii="宋体"/>
                <w:kern w:val="0"/>
                <w:sz w:val="24"/>
                <w:szCs w:val="24"/>
              </w:rPr>
            </w:pPr>
            <w:r>
              <w:rPr>
                <w:rFonts w:hint="eastAsia" w:ascii="宋体" w:hAnsi="宋体" w:cs="宋体"/>
                <w:kern w:val="0"/>
                <w:sz w:val="24"/>
                <w:szCs w:val="24"/>
              </w:rPr>
              <w:t>特殊或重大活动期间</w:t>
            </w:r>
          </w:p>
        </w:tc>
        <w:tc>
          <w:tcPr>
            <w:tcW w:w="1282" w:type="dxa"/>
            <w:vAlign w:val="center"/>
          </w:tcPr>
          <w:p>
            <w:pPr>
              <w:overflowPunct w:val="0"/>
              <w:topLinePunct/>
              <w:spacing w:line="360" w:lineRule="exact"/>
              <w:jc w:val="center"/>
              <w:rPr>
                <w:rFonts w:ascii="宋体" w:hAnsi="宋体" w:cs="宋体"/>
                <w:kern w:val="0"/>
                <w:sz w:val="24"/>
                <w:szCs w:val="24"/>
              </w:rPr>
            </w:pPr>
            <w:r>
              <w:rPr>
                <w:rFonts w:ascii="宋体" w:hAns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82" w:hRule="atLeast"/>
          <w:jc w:val="center"/>
        </w:trPr>
        <w:tc>
          <w:tcPr>
            <w:tcW w:w="2014" w:type="dxa"/>
            <w:vMerge w:val="continue"/>
            <w:vAlign w:val="center"/>
          </w:tcPr>
          <w:p>
            <w:pPr>
              <w:overflowPunct w:val="0"/>
              <w:topLinePunct/>
              <w:snapToGrid w:val="0"/>
              <w:spacing w:line="360" w:lineRule="exact"/>
              <w:jc w:val="left"/>
              <w:rPr>
                <w:rFonts w:ascii="宋体"/>
                <w:kern w:val="0"/>
                <w:sz w:val="24"/>
                <w:szCs w:val="24"/>
              </w:rPr>
            </w:pPr>
          </w:p>
        </w:tc>
        <w:tc>
          <w:tcPr>
            <w:tcW w:w="5424" w:type="dxa"/>
            <w:vAlign w:val="center"/>
          </w:tcPr>
          <w:p>
            <w:pPr>
              <w:overflowPunct w:val="0"/>
              <w:topLinePunct/>
              <w:spacing w:line="360" w:lineRule="exact"/>
              <w:rPr>
                <w:rFonts w:ascii="宋体"/>
                <w:kern w:val="0"/>
                <w:sz w:val="24"/>
                <w:szCs w:val="24"/>
              </w:rPr>
            </w:pPr>
            <w:r>
              <w:rPr>
                <w:rFonts w:hint="eastAsia" w:ascii="宋体" w:hAnsi="宋体" w:cs="宋体"/>
                <w:kern w:val="0"/>
                <w:sz w:val="24"/>
                <w:szCs w:val="24"/>
              </w:rPr>
              <w:t>重污染天气预警期间</w:t>
            </w:r>
          </w:p>
        </w:tc>
        <w:tc>
          <w:tcPr>
            <w:tcW w:w="1282" w:type="dxa"/>
            <w:vAlign w:val="center"/>
          </w:tcPr>
          <w:p>
            <w:pPr>
              <w:overflowPunct w:val="0"/>
              <w:topLinePunct/>
              <w:spacing w:line="360" w:lineRule="exact"/>
              <w:jc w:val="center"/>
              <w:rPr>
                <w:rFonts w:ascii="宋体" w:hAnsi="宋体" w:cs="宋体"/>
                <w:kern w:val="0"/>
                <w:sz w:val="24"/>
                <w:szCs w:val="24"/>
              </w:rPr>
            </w:pPr>
            <w:r>
              <w:rPr>
                <w:rFonts w:ascii="宋体" w:hAnsi="宋体" w:cs="宋体"/>
                <w:kern w:val="0"/>
                <w:sz w:val="24"/>
                <w:szCs w:val="24"/>
              </w:rPr>
              <w:t>5</w:t>
            </w:r>
          </w:p>
        </w:tc>
      </w:tr>
    </w:tbl>
    <w:p>
      <w:pPr>
        <w:overflowPunct w:val="0"/>
        <w:topLinePunct/>
        <w:adjustRightInd w:val="0"/>
        <w:snapToGrid w:val="0"/>
        <w:spacing w:line="360" w:lineRule="exact"/>
        <w:ind w:firstLine="480" w:firstLineChars="200"/>
        <w:rPr>
          <w:rFonts w:ascii="宋体"/>
          <w:kern w:val="0"/>
          <w:sz w:val="24"/>
          <w:szCs w:val="24"/>
        </w:rPr>
      </w:pPr>
      <w:bookmarkStart w:id="9" w:name="_Toc221"/>
      <w:bookmarkStart w:id="10" w:name="_Toc5350"/>
      <w:r>
        <w:rPr>
          <w:rFonts w:hint="eastAsia" w:ascii="宋体" w:hAnsi="宋体" w:cs="宋体"/>
          <w:kern w:val="0"/>
          <w:sz w:val="24"/>
          <w:szCs w:val="24"/>
        </w:rPr>
        <w:t>注：本表适用于《中华人民共和国水污染防治法》第八十三条第二项、《中华人民共和国大气污染防治法》第九十九条第二项以及其他同类型的环境违法行为。</w:t>
      </w:r>
    </w:p>
    <w:p>
      <w:pPr>
        <w:overflowPunct w:val="0"/>
        <w:topLinePunct/>
        <w:adjustRightInd w:val="0"/>
        <w:snapToGrid w:val="0"/>
        <w:spacing w:line="600" w:lineRule="exact"/>
        <w:ind w:firstLine="480" w:firstLineChars="200"/>
        <w:outlineLvl w:val="1"/>
        <w:rPr>
          <w:rFonts w:ascii="宋体"/>
          <w:kern w:val="0"/>
          <w:sz w:val="24"/>
          <w:szCs w:val="24"/>
        </w:rPr>
      </w:pPr>
    </w:p>
    <w:p>
      <w:pPr>
        <w:overflowPunct w:val="0"/>
        <w:topLinePunct/>
        <w:adjustRightInd w:val="0"/>
        <w:snapToGrid w:val="0"/>
        <w:spacing w:line="600" w:lineRule="exact"/>
        <w:ind w:firstLine="640" w:firstLineChars="200"/>
        <w:outlineLvl w:val="1"/>
        <w:rPr>
          <w:rFonts w:hint="eastAsia" w:ascii="楷体" w:hAnsi="楷体" w:eastAsia="楷体" w:cs="楷体"/>
          <w:sz w:val="32"/>
          <w:szCs w:val="32"/>
        </w:rPr>
      </w:pPr>
      <w:r>
        <w:rPr>
          <w:rFonts w:hint="eastAsia" w:ascii="楷体" w:hAnsi="楷体" w:eastAsia="楷体" w:cs="楷体"/>
          <w:sz w:val="32"/>
          <w:szCs w:val="32"/>
        </w:rPr>
        <w:t>（六）违反建设项目验收管理制度的行为</w:t>
      </w:r>
    </w:p>
    <w:tbl>
      <w:tblPr>
        <w:tblStyle w:val="4"/>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2166"/>
        <w:gridCol w:w="5173"/>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4" w:hRule="atLeast"/>
          <w:tblHeader/>
          <w:jc w:val="center"/>
        </w:trPr>
        <w:tc>
          <w:tcPr>
            <w:tcW w:w="2166" w:type="dxa"/>
            <w:vAlign w:val="center"/>
          </w:tcPr>
          <w:p>
            <w:pPr>
              <w:overflowPunct w:val="0"/>
              <w:topLinePunct/>
              <w:snapToGrid w:val="0"/>
              <w:jc w:val="center"/>
              <w:rPr>
                <w:rFonts w:ascii="宋体"/>
                <w:kern w:val="0"/>
                <w:sz w:val="24"/>
                <w:szCs w:val="24"/>
              </w:rPr>
            </w:pPr>
            <w:r>
              <w:rPr>
                <w:rFonts w:hint="eastAsia" w:ascii="宋体" w:hAnsi="宋体" w:cs="宋体"/>
                <w:kern w:val="0"/>
                <w:sz w:val="24"/>
                <w:szCs w:val="24"/>
              </w:rPr>
              <w:t>裁量因素</w:t>
            </w:r>
          </w:p>
        </w:tc>
        <w:tc>
          <w:tcPr>
            <w:tcW w:w="5173" w:type="dxa"/>
            <w:vAlign w:val="center"/>
          </w:tcPr>
          <w:p>
            <w:pPr>
              <w:overflowPunct w:val="0"/>
              <w:topLinePunct/>
              <w:snapToGrid w:val="0"/>
              <w:jc w:val="center"/>
              <w:rPr>
                <w:rFonts w:ascii="宋体"/>
                <w:kern w:val="0"/>
                <w:sz w:val="24"/>
                <w:szCs w:val="24"/>
              </w:rPr>
            </w:pPr>
            <w:r>
              <w:rPr>
                <w:rFonts w:hint="eastAsia" w:ascii="宋体" w:hAnsi="宋体" w:cs="宋体"/>
                <w:kern w:val="0"/>
                <w:sz w:val="24"/>
                <w:szCs w:val="24"/>
              </w:rPr>
              <w:t>裁量因子</w:t>
            </w:r>
          </w:p>
        </w:tc>
        <w:tc>
          <w:tcPr>
            <w:tcW w:w="1381" w:type="dxa"/>
            <w:vAlign w:val="center"/>
          </w:tcPr>
          <w:p>
            <w:pPr>
              <w:overflowPunct w:val="0"/>
              <w:topLinePunct/>
              <w:snapToGrid w:val="0"/>
              <w:jc w:val="center"/>
              <w:rPr>
                <w:rFonts w:ascii="宋体"/>
                <w:kern w:val="0"/>
                <w:sz w:val="24"/>
                <w:szCs w:val="24"/>
              </w:rPr>
            </w:pPr>
            <w:r>
              <w:rPr>
                <w:rFonts w:hint="eastAsia" w:ascii="宋体" w:hAnsi="宋体" w:cs="宋体"/>
                <w:kern w:val="0"/>
                <w:sz w:val="24"/>
                <w:szCs w:val="24"/>
              </w:rPr>
              <w:t>裁量等级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90" w:hRule="atLeast"/>
          <w:jc w:val="center"/>
        </w:trPr>
        <w:tc>
          <w:tcPr>
            <w:tcW w:w="2166" w:type="dxa"/>
            <w:vMerge w:val="restart"/>
            <w:vAlign w:val="center"/>
          </w:tcPr>
          <w:p>
            <w:pPr>
              <w:overflowPunct w:val="0"/>
              <w:topLinePunct/>
              <w:snapToGrid w:val="0"/>
              <w:jc w:val="center"/>
              <w:rPr>
                <w:rFonts w:ascii="宋体"/>
                <w:kern w:val="0"/>
                <w:sz w:val="24"/>
                <w:szCs w:val="24"/>
              </w:rPr>
            </w:pPr>
            <w:r>
              <w:rPr>
                <w:rFonts w:hint="eastAsia" w:ascii="宋体" w:hAnsi="宋体" w:cs="宋体"/>
                <w:kern w:val="0"/>
                <w:sz w:val="24"/>
                <w:szCs w:val="24"/>
              </w:rPr>
              <w:t>项目应报批的环评文件类别</w:t>
            </w:r>
          </w:p>
        </w:tc>
        <w:tc>
          <w:tcPr>
            <w:tcW w:w="5173" w:type="dxa"/>
            <w:vAlign w:val="center"/>
          </w:tcPr>
          <w:p>
            <w:pPr>
              <w:overflowPunct w:val="0"/>
              <w:topLinePunct/>
              <w:snapToGrid w:val="0"/>
              <w:rPr>
                <w:rFonts w:ascii="宋体"/>
                <w:kern w:val="0"/>
                <w:sz w:val="24"/>
                <w:szCs w:val="24"/>
              </w:rPr>
            </w:pPr>
            <w:r>
              <w:rPr>
                <w:rFonts w:hint="eastAsia" w:ascii="宋体" w:hAnsi="宋体" w:cs="宋体"/>
                <w:kern w:val="0"/>
                <w:sz w:val="24"/>
                <w:szCs w:val="24"/>
              </w:rPr>
              <w:t>报告表（非生产型）</w:t>
            </w:r>
          </w:p>
        </w:tc>
        <w:tc>
          <w:tcPr>
            <w:tcW w:w="1381" w:type="dxa"/>
            <w:vAlign w:val="center"/>
          </w:tcPr>
          <w:p>
            <w:pPr>
              <w:overflowPunct w:val="0"/>
              <w:topLinePunct/>
              <w:snapToGrid w:val="0"/>
              <w:jc w:val="center"/>
              <w:rPr>
                <w:rFonts w:ascii="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90" w:hRule="atLeast"/>
          <w:jc w:val="center"/>
        </w:trPr>
        <w:tc>
          <w:tcPr>
            <w:tcW w:w="2166" w:type="dxa"/>
            <w:vMerge w:val="continue"/>
            <w:vAlign w:val="center"/>
          </w:tcPr>
          <w:p>
            <w:pPr>
              <w:overflowPunct w:val="0"/>
              <w:topLinePunct/>
              <w:snapToGrid w:val="0"/>
              <w:jc w:val="center"/>
              <w:rPr>
                <w:rFonts w:ascii="宋体"/>
                <w:kern w:val="0"/>
                <w:sz w:val="24"/>
                <w:szCs w:val="24"/>
              </w:rPr>
            </w:pPr>
          </w:p>
        </w:tc>
        <w:tc>
          <w:tcPr>
            <w:tcW w:w="5173" w:type="dxa"/>
            <w:vAlign w:val="center"/>
          </w:tcPr>
          <w:p>
            <w:pPr>
              <w:overflowPunct w:val="0"/>
              <w:topLinePunct/>
              <w:snapToGrid w:val="0"/>
              <w:rPr>
                <w:rFonts w:ascii="宋体"/>
                <w:kern w:val="0"/>
                <w:sz w:val="24"/>
                <w:szCs w:val="24"/>
              </w:rPr>
            </w:pPr>
            <w:r>
              <w:rPr>
                <w:rFonts w:hint="eastAsia" w:ascii="宋体" w:hAnsi="宋体" w:cs="宋体"/>
                <w:kern w:val="0"/>
                <w:sz w:val="24"/>
                <w:szCs w:val="24"/>
              </w:rPr>
              <w:t>报告表（生产型）</w:t>
            </w:r>
          </w:p>
        </w:tc>
        <w:tc>
          <w:tcPr>
            <w:tcW w:w="1381" w:type="dxa"/>
            <w:vAlign w:val="center"/>
          </w:tcPr>
          <w:p>
            <w:pPr>
              <w:overflowPunct w:val="0"/>
              <w:topLinePunct/>
              <w:snapToGrid w:val="0"/>
              <w:jc w:val="center"/>
              <w:rPr>
                <w:rFonts w:ascii="宋体"/>
                <w:kern w:val="0"/>
                <w:sz w:val="24"/>
                <w:szCs w:val="24"/>
              </w:rPr>
            </w:pPr>
            <w:r>
              <w:rPr>
                <w:rFonts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90" w:hRule="atLeast"/>
          <w:jc w:val="center"/>
        </w:trPr>
        <w:tc>
          <w:tcPr>
            <w:tcW w:w="2166" w:type="dxa"/>
            <w:vMerge w:val="continue"/>
            <w:vAlign w:val="center"/>
          </w:tcPr>
          <w:p>
            <w:pPr>
              <w:overflowPunct w:val="0"/>
              <w:topLinePunct/>
              <w:snapToGrid w:val="0"/>
              <w:jc w:val="center"/>
              <w:rPr>
                <w:rFonts w:ascii="宋体"/>
                <w:kern w:val="0"/>
                <w:sz w:val="24"/>
                <w:szCs w:val="24"/>
              </w:rPr>
            </w:pPr>
          </w:p>
        </w:tc>
        <w:tc>
          <w:tcPr>
            <w:tcW w:w="5173" w:type="dxa"/>
            <w:vAlign w:val="center"/>
          </w:tcPr>
          <w:p>
            <w:pPr>
              <w:overflowPunct w:val="0"/>
              <w:topLinePunct/>
              <w:snapToGrid w:val="0"/>
              <w:rPr>
                <w:rFonts w:ascii="宋体"/>
                <w:kern w:val="0"/>
                <w:sz w:val="24"/>
                <w:szCs w:val="24"/>
              </w:rPr>
            </w:pPr>
            <w:r>
              <w:rPr>
                <w:rFonts w:hint="eastAsia" w:ascii="宋体" w:hAnsi="宋体" w:cs="宋体"/>
                <w:kern w:val="0"/>
                <w:sz w:val="24"/>
                <w:szCs w:val="24"/>
              </w:rPr>
              <w:t>报告书（非生产型）</w:t>
            </w:r>
          </w:p>
        </w:tc>
        <w:tc>
          <w:tcPr>
            <w:tcW w:w="1381" w:type="dxa"/>
            <w:vAlign w:val="center"/>
          </w:tcPr>
          <w:p>
            <w:pPr>
              <w:overflowPunct w:val="0"/>
              <w:topLinePunct/>
              <w:snapToGrid w:val="0"/>
              <w:jc w:val="center"/>
              <w:rPr>
                <w:rFonts w:ascii="宋体"/>
                <w:kern w:val="0"/>
                <w:sz w:val="24"/>
                <w:szCs w:val="24"/>
              </w:rPr>
            </w:pPr>
            <w:r>
              <w:rPr>
                <w:rFonts w:ascii="宋体" w:hAns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90" w:hRule="atLeast"/>
          <w:jc w:val="center"/>
        </w:trPr>
        <w:tc>
          <w:tcPr>
            <w:tcW w:w="2166" w:type="dxa"/>
            <w:vMerge w:val="continue"/>
            <w:vAlign w:val="center"/>
          </w:tcPr>
          <w:p>
            <w:pPr>
              <w:overflowPunct w:val="0"/>
              <w:topLinePunct/>
              <w:snapToGrid w:val="0"/>
              <w:jc w:val="center"/>
              <w:rPr>
                <w:rFonts w:ascii="宋体"/>
                <w:kern w:val="0"/>
                <w:sz w:val="24"/>
                <w:szCs w:val="24"/>
              </w:rPr>
            </w:pPr>
          </w:p>
        </w:tc>
        <w:tc>
          <w:tcPr>
            <w:tcW w:w="5173" w:type="dxa"/>
            <w:vAlign w:val="center"/>
          </w:tcPr>
          <w:p>
            <w:pPr>
              <w:overflowPunct w:val="0"/>
              <w:topLinePunct/>
              <w:snapToGrid w:val="0"/>
              <w:rPr>
                <w:rFonts w:ascii="宋体"/>
                <w:kern w:val="0"/>
                <w:sz w:val="24"/>
                <w:szCs w:val="24"/>
              </w:rPr>
            </w:pPr>
            <w:r>
              <w:rPr>
                <w:rFonts w:hint="eastAsia" w:ascii="宋体" w:hAnsi="宋体" w:cs="宋体"/>
                <w:kern w:val="0"/>
                <w:sz w:val="24"/>
                <w:szCs w:val="24"/>
              </w:rPr>
              <w:t>报告书</w:t>
            </w:r>
          </w:p>
        </w:tc>
        <w:tc>
          <w:tcPr>
            <w:tcW w:w="1381" w:type="dxa"/>
            <w:vAlign w:val="center"/>
          </w:tcPr>
          <w:p>
            <w:pPr>
              <w:overflowPunct w:val="0"/>
              <w:topLinePunct/>
              <w:snapToGrid w:val="0"/>
              <w:jc w:val="center"/>
              <w:rPr>
                <w:rFonts w:ascii="宋体"/>
                <w:kern w:val="0"/>
                <w:sz w:val="24"/>
                <w:szCs w:val="24"/>
              </w:rPr>
            </w:pPr>
            <w:r>
              <w:rPr>
                <w:rFonts w:ascii="宋体" w:hAnsi="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90" w:hRule="atLeast"/>
          <w:jc w:val="center"/>
        </w:trPr>
        <w:tc>
          <w:tcPr>
            <w:tcW w:w="2166" w:type="dxa"/>
            <w:vMerge w:val="continue"/>
            <w:vAlign w:val="center"/>
          </w:tcPr>
          <w:p>
            <w:pPr>
              <w:overflowPunct w:val="0"/>
              <w:topLinePunct/>
              <w:snapToGrid w:val="0"/>
              <w:jc w:val="center"/>
              <w:rPr>
                <w:rFonts w:ascii="宋体"/>
                <w:kern w:val="0"/>
                <w:sz w:val="24"/>
                <w:szCs w:val="24"/>
              </w:rPr>
            </w:pPr>
          </w:p>
        </w:tc>
        <w:tc>
          <w:tcPr>
            <w:tcW w:w="5173" w:type="dxa"/>
            <w:vAlign w:val="center"/>
          </w:tcPr>
          <w:p>
            <w:pPr>
              <w:overflowPunct w:val="0"/>
              <w:topLinePunct/>
              <w:snapToGrid w:val="0"/>
              <w:jc w:val="left"/>
              <w:rPr>
                <w:rFonts w:ascii="宋体"/>
                <w:kern w:val="0"/>
                <w:sz w:val="24"/>
                <w:szCs w:val="24"/>
              </w:rPr>
            </w:pPr>
            <w:r>
              <w:rPr>
                <w:rFonts w:hint="eastAsia" w:ascii="宋体" w:hAnsi="宋体" w:cs="宋体"/>
                <w:kern w:val="0"/>
                <w:sz w:val="24"/>
                <w:szCs w:val="24"/>
              </w:rPr>
              <w:t>报告书（化工、电镀、皮革、造纸、制浆、冶炼、放射性、印染、染料、炼焦、炼油项目）</w:t>
            </w:r>
          </w:p>
        </w:tc>
        <w:tc>
          <w:tcPr>
            <w:tcW w:w="1381" w:type="dxa"/>
            <w:vAlign w:val="center"/>
          </w:tcPr>
          <w:p>
            <w:pPr>
              <w:overflowPunct w:val="0"/>
              <w:topLinePunct/>
              <w:snapToGrid w:val="0"/>
              <w:jc w:val="center"/>
              <w:rPr>
                <w:rFonts w:ascii="宋体"/>
                <w:kern w:val="0"/>
                <w:sz w:val="24"/>
                <w:szCs w:val="24"/>
              </w:rPr>
            </w:pPr>
            <w:r>
              <w:rPr>
                <w:rFonts w:ascii="宋体" w:hAnsi="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83" w:hRule="atLeast"/>
          <w:jc w:val="center"/>
        </w:trPr>
        <w:tc>
          <w:tcPr>
            <w:tcW w:w="2166" w:type="dxa"/>
            <w:vMerge w:val="restart"/>
            <w:vAlign w:val="center"/>
          </w:tcPr>
          <w:p>
            <w:pPr>
              <w:overflowPunct w:val="0"/>
              <w:topLinePunct/>
              <w:snapToGrid w:val="0"/>
              <w:spacing w:line="400" w:lineRule="exact"/>
              <w:jc w:val="center"/>
              <w:rPr>
                <w:rFonts w:ascii="宋体"/>
                <w:kern w:val="0"/>
                <w:sz w:val="24"/>
                <w:szCs w:val="24"/>
              </w:rPr>
            </w:pPr>
            <w:r>
              <w:rPr>
                <w:rFonts w:hint="eastAsia" w:ascii="宋体" w:hAnsi="宋体" w:cs="宋体"/>
                <w:kern w:val="0"/>
                <w:sz w:val="24"/>
                <w:szCs w:val="24"/>
              </w:rPr>
              <w:t>环境保护设施建设、验收状况</w:t>
            </w:r>
          </w:p>
        </w:tc>
        <w:tc>
          <w:tcPr>
            <w:tcW w:w="5173" w:type="dxa"/>
            <w:vAlign w:val="center"/>
          </w:tcPr>
          <w:p>
            <w:pPr>
              <w:overflowPunct w:val="0"/>
              <w:topLinePunct/>
              <w:snapToGrid w:val="0"/>
              <w:spacing w:line="400" w:lineRule="exact"/>
              <w:rPr>
                <w:rFonts w:ascii="宋体"/>
                <w:kern w:val="0"/>
                <w:sz w:val="24"/>
                <w:szCs w:val="24"/>
              </w:rPr>
            </w:pPr>
            <w:r>
              <w:rPr>
                <w:rFonts w:hint="eastAsia" w:ascii="宋体" w:hAnsi="宋体" w:cs="宋体"/>
                <w:kern w:val="0"/>
                <w:sz w:val="24"/>
                <w:szCs w:val="24"/>
              </w:rPr>
              <w:t>有环评，有环境保护设施</w:t>
            </w:r>
          </w:p>
        </w:tc>
        <w:tc>
          <w:tcPr>
            <w:tcW w:w="1381" w:type="dxa"/>
            <w:vAlign w:val="center"/>
          </w:tcPr>
          <w:p>
            <w:pPr>
              <w:overflowPunct w:val="0"/>
              <w:topLinePunct/>
              <w:snapToGrid w:val="0"/>
              <w:jc w:val="center"/>
              <w:rPr>
                <w:rFonts w:ascii="宋体" w:hAnsi="宋体" w:cs="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83" w:hRule="atLeast"/>
          <w:jc w:val="center"/>
        </w:trPr>
        <w:tc>
          <w:tcPr>
            <w:tcW w:w="2166" w:type="dxa"/>
            <w:vMerge w:val="continue"/>
            <w:vAlign w:val="center"/>
          </w:tcPr>
          <w:p>
            <w:pPr>
              <w:overflowPunct w:val="0"/>
              <w:topLinePunct/>
              <w:snapToGrid w:val="0"/>
              <w:spacing w:line="400" w:lineRule="exact"/>
              <w:jc w:val="center"/>
              <w:rPr>
                <w:rFonts w:ascii="宋体"/>
                <w:kern w:val="0"/>
                <w:sz w:val="24"/>
                <w:szCs w:val="24"/>
              </w:rPr>
            </w:pPr>
          </w:p>
        </w:tc>
        <w:tc>
          <w:tcPr>
            <w:tcW w:w="5173" w:type="dxa"/>
            <w:vAlign w:val="center"/>
          </w:tcPr>
          <w:p>
            <w:pPr>
              <w:overflowPunct w:val="0"/>
              <w:topLinePunct/>
              <w:snapToGrid w:val="0"/>
              <w:spacing w:line="400" w:lineRule="exact"/>
              <w:rPr>
                <w:rFonts w:ascii="宋体"/>
                <w:kern w:val="0"/>
                <w:sz w:val="24"/>
                <w:szCs w:val="24"/>
              </w:rPr>
            </w:pPr>
            <w:r>
              <w:rPr>
                <w:rFonts w:hint="eastAsia" w:ascii="宋体" w:hAnsi="宋体" w:cs="宋体"/>
                <w:kern w:val="0"/>
                <w:sz w:val="24"/>
                <w:szCs w:val="24"/>
              </w:rPr>
              <w:t>无环评，有环境保护设施</w:t>
            </w:r>
          </w:p>
        </w:tc>
        <w:tc>
          <w:tcPr>
            <w:tcW w:w="1381" w:type="dxa"/>
            <w:vAlign w:val="center"/>
          </w:tcPr>
          <w:p>
            <w:pPr>
              <w:overflowPunct w:val="0"/>
              <w:topLinePunct/>
              <w:snapToGrid w:val="0"/>
              <w:jc w:val="center"/>
              <w:rPr>
                <w:rFonts w:ascii="宋体" w:hAnsi="宋体" w:cs="宋体"/>
                <w:kern w:val="0"/>
                <w:sz w:val="24"/>
                <w:szCs w:val="24"/>
              </w:rPr>
            </w:pPr>
            <w:r>
              <w:rPr>
                <w:rFonts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83" w:hRule="atLeast"/>
          <w:jc w:val="center"/>
        </w:trPr>
        <w:tc>
          <w:tcPr>
            <w:tcW w:w="2166" w:type="dxa"/>
            <w:vMerge w:val="continue"/>
            <w:vAlign w:val="center"/>
          </w:tcPr>
          <w:p>
            <w:pPr>
              <w:overflowPunct w:val="0"/>
              <w:topLinePunct/>
              <w:snapToGrid w:val="0"/>
              <w:spacing w:line="400" w:lineRule="exact"/>
              <w:jc w:val="center"/>
              <w:rPr>
                <w:rFonts w:ascii="宋体"/>
                <w:kern w:val="0"/>
                <w:sz w:val="24"/>
                <w:szCs w:val="24"/>
              </w:rPr>
            </w:pPr>
          </w:p>
        </w:tc>
        <w:tc>
          <w:tcPr>
            <w:tcW w:w="5173" w:type="dxa"/>
            <w:vAlign w:val="center"/>
          </w:tcPr>
          <w:p>
            <w:pPr>
              <w:overflowPunct w:val="0"/>
              <w:topLinePunct/>
              <w:snapToGrid w:val="0"/>
              <w:spacing w:line="400" w:lineRule="exact"/>
              <w:rPr>
                <w:rFonts w:ascii="宋体"/>
                <w:kern w:val="0"/>
                <w:sz w:val="24"/>
                <w:szCs w:val="24"/>
              </w:rPr>
            </w:pPr>
            <w:r>
              <w:rPr>
                <w:rFonts w:hint="eastAsia" w:ascii="宋体" w:hAnsi="宋体" w:cs="宋体"/>
                <w:kern w:val="0"/>
                <w:sz w:val="24"/>
                <w:szCs w:val="24"/>
              </w:rPr>
              <w:t>验收中弄虚作假</w:t>
            </w:r>
          </w:p>
        </w:tc>
        <w:tc>
          <w:tcPr>
            <w:tcW w:w="1381" w:type="dxa"/>
            <w:vAlign w:val="center"/>
          </w:tcPr>
          <w:p>
            <w:pPr>
              <w:overflowPunct w:val="0"/>
              <w:topLinePunct/>
              <w:snapToGrid w:val="0"/>
              <w:jc w:val="center"/>
              <w:rPr>
                <w:rFonts w:ascii="宋体" w:hAnsi="宋体" w:cs="宋体"/>
                <w:kern w:val="0"/>
                <w:sz w:val="24"/>
                <w:szCs w:val="24"/>
              </w:rPr>
            </w:pPr>
            <w:r>
              <w:rPr>
                <w:rFonts w:ascii="宋体" w:hAns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83" w:hRule="atLeast"/>
          <w:jc w:val="center"/>
        </w:trPr>
        <w:tc>
          <w:tcPr>
            <w:tcW w:w="2166" w:type="dxa"/>
            <w:vMerge w:val="continue"/>
            <w:vAlign w:val="center"/>
          </w:tcPr>
          <w:p>
            <w:pPr>
              <w:overflowPunct w:val="0"/>
              <w:topLinePunct/>
              <w:snapToGrid w:val="0"/>
              <w:spacing w:line="400" w:lineRule="exact"/>
              <w:jc w:val="center"/>
              <w:rPr>
                <w:rFonts w:ascii="宋体"/>
                <w:kern w:val="0"/>
                <w:sz w:val="24"/>
                <w:szCs w:val="24"/>
              </w:rPr>
            </w:pPr>
          </w:p>
        </w:tc>
        <w:tc>
          <w:tcPr>
            <w:tcW w:w="5173" w:type="dxa"/>
            <w:vAlign w:val="center"/>
          </w:tcPr>
          <w:p>
            <w:pPr>
              <w:overflowPunct w:val="0"/>
              <w:topLinePunct/>
              <w:snapToGrid w:val="0"/>
              <w:spacing w:line="400" w:lineRule="exact"/>
              <w:rPr>
                <w:rFonts w:ascii="宋体"/>
                <w:kern w:val="0"/>
                <w:sz w:val="24"/>
                <w:szCs w:val="24"/>
              </w:rPr>
            </w:pPr>
            <w:r>
              <w:rPr>
                <w:rFonts w:hint="eastAsia" w:ascii="宋体" w:hAnsi="宋体" w:cs="宋体"/>
                <w:kern w:val="0"/>
                <w:sz w:val="24"/>
                <w:szCs w:val="24"/>
              </w:rPr>
              <w:t>有环评，无环境保护设施</w:t>
            </w:r>
          </w:p>
        </w:tc>
        <w:tc>
          <w:tcPr>
            <w:tcW w:w="1381" w:type="dxa"/>
            <w:vAlign w:val="center"/>
          </w:tcPr>
          <w:p>
            <w:pPr>
              <w:overflowPunct w:val="0"/>
              <w:topLinePunct/>
              <w:snapToGrid w:val="0"/>
              <w:jc w:val="center"/>
              <w:rPr>
                <w:rFonts w:ascii="宋体" w:hAnsi="宋体" w:cs="宋体"/>
                <w:kern w:val="0"/>
                <w:sz w:val="24"/>
                <w:szCs w:val="24"/>
              </w:rPr>
            </w:pPr>
            <w:r>
              <w:rPr>
                <w:rFonts w:ascii="宋体" w:hAnsi="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83" w:hRule="atLeast"/>
          <w:jc w:val="center"/>
        </w:trPr>
        <w:tc>
          <w:tcPr>
            <w:tcW w:w="2166" w:type="dxa"/>
            <w:vMerge w:val="continue"/>
            <w:vAlign w:val="center"/>
          </w:tcPr>
          <w:p>
            <w:pPr>
              <w:overflowPunct w:val="0"/>
              <w:topLinePunct/>
              <w:snapToGrid w:val="0"/>
              <w:spacing w:line="400" w:lineRule="exact"/>
              <w:jc w:val="center"/>
              <w:rPr>
                <w:rFonts w:ascii="宋体"/>
                <w:kern w:val="0"/>
                <w:sz w:val="24"/>
                <w:szCs w:val="24"/>
              </w:rPr>
            </w:pPr>
          </w:p>
        </w:tc>
        <w:tc>
          <w:tcPr>
            <w:tcW w:w="5173" w:type="dxa"/>
            <w:vAlign w:val="center"/>
          </w:tcPr>
          <w:p>
            <w:pPr>
              <w:overflowPunct w:val="0"/>
              <w:topLinePunct/>
              <w:snapToGrid w:val="0"/>
              <w:spacing w:line="400" w:lineRule="exact"/>
              <w:rPr>
                <w:rFonts w:ascii="宋体"/>
                <w:kern w:val="0"/>
                <w:sz w:val="24"/>
                <w:szCs w:val="24"/>
              </w:rPr>
            </w:pPr>
            <w:r>
              <w:rPr>
                <w:rFonts w:hint="eastAsia" w:ascii="宋体" w:hAnsi="宋体" w:cs="宋体"/>
                <w:kern w:val="0"/>
                <w:sz w:val="24"/>
                <w:szCs w:val="24"/>
              </w:rPr>
              <w:t>无环评，无环境保护设施</w:t>
            </w:r>
          </w:p>
        </w:tc>
        <w:tc>
          <w:tcPr>
            <w:tcW w:w="1381" w:type="dxa"/>
            <w:vAlign w:val="center"/>
          </w:tcPr>
          <w:p>
            <w:pPr>
              <w:overflowPunct w:val="0"/>
              <w:topLinePunct/>
              <w:snapToGrid w:val="0"/>
              <w:jc w:val="center"/>
              <w:rPr>
                <w:rFonts w:ascii="宋体" w:hAnsi="宋体" w:cs="宋体"/>
                <w:kern w:val="0"/>
                <w:sz w:val="24"/>
                <w:szCs w:val="24"/>
              </w:rPr>
            </w:pPr>
            <w:r>
              <w:rPr>
                <w:rFonts w:ascii="宋体" w:hAnsi="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81" w:hRule="atLeast"/>
          <w:jc w:val="center"/>
        </w:trPr>
        <w:tc>
          <w:tcPr>
            <w:tcW w:w="2166" w:type="dxa"/>
            <w:vMerge w:val="restart"/>
            <w:vAlign w:val="center"/>
          </w:tcPr>
          <w:p>
            <w:pPr>
              <w:overflowPunct w:val="0"/>
              <w:topLinePunct/>
              <w:snapToGrid w:val="0"/>
              <w:spacing w:line="360" w:lineRule="exact"/>
              <w:jc w:val="center"/>
              <w:rPr>
                <w:rFonts w:ascii="宋体"/>
                <w:kern w:val="0"/>
                <w:sz w:val="24"/>
                <w:szCs w:val="24"/>
              </w:rPr>
            </w:pPr>
            <w:r>
              <w:rPr>
                <w:rFonts w:hint="eastAsia" w:ascii="宋体" w:hAnsi="宋体" w:cs="宋体"/>
                <w:kern w:val="0"/>
                <w:sz w:val="24"/>
                <w:szCs w:val="24"/>
              </w:rPr>
              <w:t>废气类别</w:t>
            </w:r>
          </w:p>
        </w:tc>
        <w:tc>
          <w:tcPr>
            <w:tcW w:w="5173" w:type="dxa"/>
            <w:vAlign w:val="center"/>
          </w:tcPr>
          <w:p>
            <w:pPr>
              <w:overflowPunct w:val="0"/>
              <w:topLinePunct/>
              <w:snapToGrid w:val="0"/>
              <w:spacing w:line="360" w:lineRule="exact"/>
              <w:rPr>
                <w:rFonts w:ascii="宋体"/>
                <w:kern w:val="0"/>
                <w:sz w:val="24"/>
                <w:szCs w:val="24"/>
              </w:rPr>
            </w:pPr>
            <w:r>
              <w:rPr>
                <w:rFonts w:hint="eastAsia" w:ascii="宋体" w:hAnsi="宋体" w:cs="宋体"/>
                <w:kern w:val="0"/>
                <w:sz w:val="24"/>
                <w:szCs w:val="24"/>
              </w:rPr>
              <w:t>餐饮油烟（经营）</w:t>
            </w:r>
          </w:p>
        </w:tc>
        <w:tc>
          <w:tcPr>
            <w:tcW w:w="1381" w:type="dxa"/>
            <w:vAlign w:val="center"/>
          </w:tcPr>
          <w:p>
            <w:pPr>
              <w:overflowPunct w:val="0"/>
              <w:topLinePunct/>
              <w:snapToGrid w:val="0"/>
              <w:spacing w:line="360" w:lineRule="exact"/>
              <w:jc w:val="center"/>
              <w:rPr>
                <w:rFonts w:ascii="宋体" w:hAnsi="宋体" w:cs="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81" w:hRule="atLeast"/>
          <w:jc w:val="center"/>
        </w:trPr>
        <w:tc>
          <w:tcPr>
            <w:tcW w:w="2166" w:type="dxa"/>
            <w:vMerge w:val="continue"/>
            <w:vAlign w:val="center"/>
          </w:tcPr>
          <w:p>
            <w:pPr>
              <w:overflowPunct w:val="0"/>
              <w:topLinePunct/>
              <w:snapToGrid w:val="0"/>
              <w:spacing w:line="400" w:lineRule="exact"/>
              <w:jc w:val="center"/>
              <w:rPr>
                <w:rFonts w:ascii="宋体"/>
                <w:kern w:val="0"/>
                <w:sz w:val="24"/>
                <w:szCs w:val="24"/>
              </w:rPr>
            </w:pPr>
          </w:p>
        </w:tc>
        <w:tc>
          <w:tcPr>
            <w:tcW w:w="5173" w:type="dxa"/>
            <w:vAlign w:val="center"/>
          </w:tcPr>
          <w:p>
            <w:pPr>
              <w:overflowPunct w:val="0"/>
              <w:topLinePunct/>
              <w:snapToGrid w:val="0"/>
              <w:spacing w:line="400" w:lineRule="exact"/>
              <w:rPr>
                <w:rFonts w:ascii="宋体"/>
                <w:kern w:val="0"/>
                <w:sz w:val="24"/>
                <w:szCs w:val="24"/>
              </w:rPr>
            </w:pPr>
            <w:r>
              <w:rPr>
                <w:rFonts w:hint="eastAsia" w:ascii="宋体" w:hAnsi="宋体" w:cs="宋体"/>
                <w:kern w:val="0"/>
                <w:sz w:val="24"/>
                <w:szCs w:val="24"/>
              </w:rPr>
              <w:t>农业生产、畜禽养殖</w:t>
            </w:r>
            <w:r>
              <w:rPr>
                <w:rFonts w:ascii="宋体" w:hAnsi="宋体" w:cs="宋体"/>
                <w:kern w:val="0"/>
                <w:sz w:val="24"/>
                <w:szCs w:val="24"/>
              </w:rPr>
              <w:t>/</w:t>
            </w:r>
            <w:r>
              <w:rPr>
                <w:rFonts w:hint="eastAsia" w:ascii="宋体" w:hAnsi="宋体" w:cs="宋体"/>
                <w:kern w:val="0"/>
                <w:sz w:val="24"/>
                <w:szCs w:val="24"/>
              </w:rPr>
              <w:t>扬尘</w:t>
            </w:r>
            <w:r>
              <w:rPr>
                <w:rFonts w:ascii="宋体" w:hAnsi="宋体" w:cs="宋体"/>
                <w:kern w:val="0"/>
                <w:sz w:val="24"/>
                <w:szCs w:val="24"/>
              </w:rPr>
              <w:t>/</w:t>
            </w:r>
            <w:r>
              <w:rPr>
                <w:rFonts w:hint="eastAsia" w:ascii="宋体" w:hAnsi="宋体" w:cs="宋体"/>
                <w:kern w:val="0"/>
                <w:sz w:val="24"/>
                <w:szCs w:val="24"/>
              </w:rPr>
              <w:t>机械、汽车修理</w:t>
            </w:r>
          </w:p>
        </w:tc>
        <w:tc>
          <w:tcPr>
            <w:tcW w:w="1381" w:type="dxa"/>
            <w:vAlign w:val="center"/>
          </w:tcPr>
          <w:p>
            <w:pPr>
              <w:overflowPunct w:val="0"/>
              <w:topLinePunct/>
              <w:snapToGrid w:val="0"/>
              <w:jc w:val="center"/>
              <w:rPr>
                <w:rFonts w:ascii="宋体"/>
                <w:kern w:val="0"/>
                <w:sz w:val="24"/>
                <w:szCs w:val="24"/>
              </w:rPr>
            </w:pPr>
            <w:r>
              <w:rPr>
                <w:rFonts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81" w:hRule="atLeast"/>
          <w:jc w:val="center"/>
        </w:trPr>
        <w:tc>
          <w:tcPr>
            <w:tcW w:w="2166" w:type="dxa"/>
            <w:vMerge w:val="continue"/>
            <w:vAlign w:val="center"/>
          </w:tcPr>
          <w:p>
            <w:pPr>
              <w:overflowPunct w:val="0"/>
              <w:topLinePunct/>
              <w:snapToGrid w:val="0"/>
              <w:spacing w:line="400" w:lineRule="exact"/>
              <w:jc w:val="center"/>
              <w:rPr>
                <w:rFonts w:ascii="宋体"/>
                <w:kern w:val="0"/>
                <w:sz w:val="24"/>
                <w:szCs w:val="24"/>
              </w:rPr>
            </w:pPr>
          </w:p>
        </w:tc>
        <w:tc>
          <w:tcPr>
            <w:tcW w:w="5173" w:type="dxa"/>
            <w:vAlign w:val="center"/>
          </w:tcPr>
          <w:p>
            <w:pPr>
              <w:overflowPunct w:val="0"/>
              <w:topLinePunct/>
              <w:snapToGrid w:val="0"/>
              <w:spacing w:line="400" w:lineRule="exact"/>
              <w:rPr>
                <w:rFonts w:ascii="宋体"/>
                <w:kern w:val="0"/>
                <w:sz w:val="24"/>
                <w:szCs w:val="24"/>
              </w:rPr>
            </w:pPr>
            <w:r>
              <w:rPr>
                <w:rFonts w:hint="eastAsia" w:ascii="宋体" w:hAnsi="宋体" w:cs="宋体"/>
                <w:kern w:val="0"/>
                <w:sz w:val="24"/>
                <w:szCs w:val="24"/>
              </w:rPr>
              <w:t>一般工业废气</w:t>
            </w:r>
            <w:r>
              <w:rPr>
                <w:rFonts w:ascii="宋体" w:hAnsi="宋体" w:cs="宋体"/>
                <w:kern w:val="0"/>
                <w:sz w:val="24"/>
                <w:szCs w:val="24"/>
              </w:rPr>
              <w:t>/</w:t>
            </w:r>
            <w:r>
              <w:rPr>
                <w:rFonts w:hint="eastAsia" w:ascii="宋体" w:hAnsi="宋体" w:cs="宋体"/>
                <w:kern w:val="0"/>
                <w:sz w:val="24"/>
                <w:szCs w:val="24"/>
              </w:rPr>
              <w:t>含恶臭污染物的废气</w:t>
            </w:r>
            <w:r>
              <w:rPr>
                <w:rFonts w:ascii="宋体" w:hAnsi="宋体" w:cs="宋体"/>
                <w:kern w:val="0"/>
                <w:sz w:val="24"/>
                <w:szCs w:val="24"/>
              </w:rPr>
              <w:t>/</w:t>
            </w:r>
            <w:r>
              <w:rPr>
                <w:rFonts w:hint="eastAsia" w:ascii="宋体" w:hAnsi="宋体" w:cs="宋体"/>
                <w:kern w:val="0"/>
                <w:sz w:val="24"/>
                <w:szCs w:val="24"/>
              </w:rPr>
              <w:t>医疗</w:t>
            </w:r>
            <w:r>
              <w:rPr>
                <w:rFonts w:ascii="宋体" w:hAnsi="宋体" w:cs="宋体"/>
                <w:kern w:val="0"/>
                <w:sz w:val="24"/>
                <w:szCs w:val="24"/>
              </w:rPr>
              <w:t>/</w:t>
            </w:r>
            <w:r>
              <w:rPr>
                <w:rFonts w:hint="eastAsia" w:ascii="宋体" w:hAnsi="宋体" w:cs="宋体"/>
                <w:kern w:val="0"/>
                <w:sz w:val="24"/>
                <w:szCs w:val="24"/>
              </w:rPr>
              <w:t>实验室</w:t>
            </w:r>
          </w:p>
        </w:tc>
        <w:tc>
          <w:tcPr>
            <w:tcW w:w="1381" w:type="dxa"/>
            <w:vAlign w:val="center"/>
          </w:tcPr>
          <w:p>
            <w:pPr>
              <w:overflowPunct w:val="0"/>
              <w:topLinePunct/>
              <w:snapToGrid w:val="0"/>
              <w:jc w:val="center"/>
              <w:rPr>
                <w:rFonts w:ascii="宋体"/>
                <w:kern w:val="0"/>
                <w:sz w:val="24"/>
                <w:szCs w:val="24"/>
              </w:rPr>
            </w:pPr>
            <w:r>
              <w:rPr>
                <w:rFonts w:ascii="宋体" w:hAns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81" w:hRule="atLeast"/>
          <w:jc w:val="center"/>
        </w:trPr>
        <w:tc>
          <w:tcPr>
            <w:tcW w:w="2166" w:type="dxa"/>
            <w:vMerge w:val="continue"/>
            <w:vAlign w:val="center"/>
          </w:tcPr>
          <w:p>
            <w:pPr>
              <w:overflowPunct w:val="0"/>
              <w:topLinePunct/>
              <w:snapToGrid w:val="0"/>
              <w:spacing w:line="400" w:lineRule="exact"/>
              <w:jc w:val="center"/>
              <w:rPr>
                <w:rFonts w:ascii="宋体"/>
                <w:kern w:val="0"/>
                <w:sz w:val="24"/>
                <w:szCs w:val="24"/>
              </w:rPr>
            </w:pPr>
          </w:p>
        </w:tc>
        <w:tc>
          <w:tcPr>
            <w:tcW w:w="5173" w:type="dxa"/>
            <w:vAlign w:val="center"/>
          </w:tcPr>
          <w:p>
            <w:pPr>
              <w:rPr>
                <w:rFonts w:ascii="宋体"/>
                <w:sz w:val="24"/>
                <w:szCs w:val="24"/>
              </w:rPr>
            </w:pPr>
            <w:r>
              <w:rPr>
                <w:rFonts w:hint="eastAsia" w:ascii="宋体" w:hAnsi="宋体" w:cs="宋体"/>
                <w:kern w:val="0"/>
                <w:sz w:val="24"/>
                <w:szCs w:val="24"/>
              </w:rPr>
              <w:t>火电、钢铁、石化、水泥、炼焦、有色、化工废气、烟尘</w:t>
            </w:r>
            <w:r>
              <w:rPr>
                <w:rFonts w:ascii="宋体" w:hAnsi="宋体" w:cs="宋体"/>
                <w:kern w:val="0"/>
                <w:sz w:val="24"/>
                <w:szCs w:val="24"/>
              </w:rPr>
              <w:t>/</w:t>
            </w:r>
            <w:r>
              <w:rPr>
                <w:rFonts w:hint="eastAsia" w:ascii="宋体" w:hAnsi="宋体" w:cs="宋体"/>
                <w:kern w:val="0"/>
                <w:sz w:val="24"/>
                <w:szCs w:val="24"/>
              </w:rPr>
              <w:t>燃煤锅炉废气、烟尘</w:t>
            </w:r>
          </w:p>
        </w:tc>
        <w:tc>
          <w:tcPr>
            <w:tcW w:w="1381" w:type="dxa"/>
            <w:vAlign w:val="center"/>
          </w:tcPr>
          <w:p>
            <w:pPr>
              <w:overflowPunct w:val="0"/>
              <w:topLinePunct/>
              <w:snapToGrid w:val="0"/>
              <w:jc w:val="center"/>
              <w:rPr>
                <w:rFonts w:ascii="宋体"/>
                <w:kern w:val="0"/>
                <w:sz w:val="24"/>
                <w:szCs w:val="24"/>
              </w:rPr>
            </w:pPr>
            <w:r>
              <w:rPr>
                <w:rFonts w:ascii="宋体" w:hAnsi="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81" w:hRule="atLeast"/>
          <w:jc w:val="center"/>
        </w:trPr>
        <w:tc>
          <w:tcPr>
            <w:tcW w:w="2166" w:type="dxa"/>
            <w:vMerge w:val="continue"/>
            <w:vAlign w:val="center"/>
          </w:tcPr>
          <w:p>
            <w:pPr>
              <w:overflowPunct w:val="0"/>
              <w:topLinePunct/>
              <w:snapToGrid w:val="0"/>
              <w:spacing w:line="400" w:lineRule="exact"/>
              <w:jc w:val="center"/>
              <w:rPr>
                <w:rFonts w:ascii="宋体"/>
                <w:kern w:val="0"/>
                <w:sz w:val="24"/>
                <w:szCs w:val="24"/>
              </w:rPr>
            </w:pPr>
          </w:p>
        </w:tc>
        <w:tc>
          <w:tcPr>
            <w:tcW w:w="5173" w:type="dxa"/>
            <w:vAlign w:val="center"/>
          </w:tcPr>
          <w:p>
            <w:pPr>
              <w:overflowPunct w:val="0"/>
              <w:topLinePunct/>
              <w:snapToGrid w:val="0"/>
              <w:spacing w:line="400" w:lineRule="exact"/>
              <w:rPr>
                <w:rFonts w:ascii="宋体"/>
                <w:kern w:val="0"/>
                <w:sz w:val="24"/>
                <w:szCs w:val="24"/>
              </w:rPr>
            </w:pPr>
            <w:r>
              <w:rPr>
                <w:rFonts w:hint="eastAsia" w:ascii="宋体" w:hAnsi="宋体" w:cs="宋体"/>
                <w:kern w:val="0"/>
                <w:sz w:val="24"/>
                <w:szCs w:val="24"/>
              </w:rPr>
              <w:t>含有毒有害物质的废气</w:t>
            </w:r>
          </w:p>
        </w:tc>
        <w:tc>
          <w:tcPr>
            <w:tcW w:w="1381" w:type="dxa"/>
            <w:vAlign w:val="center"/>
          </w:tcPr>
          <w:p>
            <w:pPr>
              <w:overflowPunct w:val="0"/>
              <w:topLinePunct/>
              <w:snapToGrid w:val="0"/>
              <w:jc w:val="center"/>
              <w:rPr>
                <w:rFonts w:ascii="宋体"/>
                <w:kern w:val="0"/>
                <w:sz w:val="24"/>
                <w:szCs w:val="24"/>
              </w:rPr>
            </w:pPr>
            <w:r>
              <w:rPr>
                <w:rFonts w:ascii="宋体" w:hAnsi="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81" w:hRule="atLeast"/>
          <w:jc w:val="center"/>
        </w:trPr>
        <w:tc>
          <w:tcPr>
            <w:tcW w:w="2166" w:type="dxa"/>
            <w:vMerge w:val="restart"/>
            <w:vAlign w:val="center"/>
          </w:tcPr>
          <w:p>
            <w:pPr>
              <w:overflowPunct w:val="0"/>
              <w:topLinePunct/>
              <w:snapToGrid w:val="0"/>
              <w:spacing w:line="360" w:lineRule="exact"/>
              <w:jc w:val="center"/>
              <w:rPr>
                <w:rFonts w:ascii="宋体"/>
                <w:kern w:val="0"/>
                <w:sz w:val="24"/>
                <w:szCs w:val="24"/>
              </w:rPr>
            </w:pPr>
            <w:r>
              <w:rPr>
                <w:rFonts w:hint="eastAsia" w:ascii="宋体" w:hAnsi="宋体" w:cs="宋体"/>
                <w:kern w:val="0"/>
                <w:sz w:val="24"/>
                <w:szCs w:val="24"/>
              </w:rPr>
              <w:t>废水类别</w:t>
            </w:r>
          </w:p>
        </w:tc>
        <w:tc>
          <w:tcPr>
            <w:tcW w:w="5173" w:type="dxa"/>
            <w:vAlign w:val="center"/>
          </w:tcPr>
          <w:p>
            <w:pPr>
              <w:overflowPunct w:val="0"/>
              <w:topLinePunct/>
              <w:snapToGrid w:val="0"/>
              <w:spacing w:line="360" w:lineRule="exact"/>
              <w:rPr>
                <w:rFonts w:ascii="宋体"/>
                <w:sz w:val="24"/>
                <w:szCs w:val="24"/>
              </w:rPr>
            </w:pPr>
            <w:r>
              <w:rPr>
                <w:rFonts w:hint="eastAsia" w:ascii="宋体" w:hAnsi="宋体" w:cs="宋体"/>
                <w:sz w:val="24"/>
                <w:szCs w:val="24"/>
              </w:rPr>
              <w:t>生活废水</w:t>
            </w:r>
          </w:p>
        </w:tc>
        <w:tc>
          <w:tcPr>
            <w:tcW w:w="1381" w:type="dxa"/>
            <w:vAlign w:val="center"/>
          </w:tcPr>
          <w:p>
            <w:pPr>
              <w:overflowPunct w:val="0"/>
              <w:topLinePunct/>
              <w:snapToGrid w:val="0"/>
              <w:spacing w:line="360" w:lineRule="exact"/>
              <w:jc w:val="center"/>
              <w:rPr>
                <w:rFonts w:ascii="宋体" w:hAnsi="宋体" w:cs="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81" w:hRule="atLeast"/>
          <w:jc w:val="center"/>
        </w:trPr>
        <w:tc>
          <w:tcPr>
            <w:tcW w:w="2166" w:type="dxa"/>
            <w:vMerge w:val="continue"/>
            <w:vAlign w:val="center"/>
          </w:tcPr>
          <w:p>
            <w:pPr>
              <w:overflowPunct w:val="0"/>
              <w:topLinePunct/>
              <w:snapToGrid w:val="0"/>
              <w:spacing w:line="400" w:lineRule="exact"/>
              <w:jc w:val="center"/>
              <w:rPr>
                <w:rFonts w:ascii="宋体"/>
                <w:kern w:val="0"/>
                <w:sz w:val="24"/>
                <w:szCs w:val="24"/>
              </w:rPr>
            </w:pPr>
          </w:p>
        </w:tc>
        <w:tc>
          <w:tcPr>
            <w:tcW w:w="5173" w:type="dxa"/>
            <w:vAlign w:val="center"/>
          </w:tcPr>
          <w:p>
            <w:pPr>
              <w:overflowPunct w:val="0"/>
              <w:topLinePunct/>
              <w:snapToGrid w:val="0"/>
              <w:spacing w:line="400" w:lineRule="exact"/>
              <w:rPr>
                <w:rFonts w:ascii="宋体"/>
                <w:kern w:val="0"/>
                <w:sz w:val="24"/>
                <w:szCs w:val="24"/>
              </w:rPr>
            </w:pPr>
            <w:r>
              <w:rPr>
                <w:rFonts w:hint="eastAsia" w:ascii="宋体" w:hAnsi="宋体" w:cs="宋体"/>
                <w:sz w:val="24"/>
                <w:szCs w:val="24"/>
              </w:rPr>
              <w:t>服务业废水</w:t>
            </w:r>
          </w:p>
        </w:tc>
        <w:tc>
          <w:tcPr>
            <w:tcW w:w="1381" w:type="dxa"/>
            <w:vAlign w:val="center"/>
          </w:tcPr>
          <w:p>
            <w:pPr>
              <w:overflowPunct w:val="0"/>
              <w:topLinePunct/>
              <w:snapToGrid w:val="0"/>
              <w:jc w:val="center"/>
              <w:rPr>
                <w:rFonts w:ascii="宋体"/>
                <w:kern w:val="0"/>
                <w:sz w:val="24"/>
                <w:szCs w:val="24"/>
              </w:rPr>
            </w:pPr>
            <w:r>
              <w:rPr>
                <w:rFonts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81" w:hRule="atLeast"/>
          <w:jc w:val="center"/>
        </w:trPr>
        <w:tc>
          <w:tcPr>
            <w:tcW w:w="2166" w:type="dxa"/>
            <w:vMerge w:val="continue"/>
            <w:vAlign w:val="center"/>
          </w:tcPr>
          <w:p>
            <w:pPr>
              <w:overflowPunct w:val="0"/>
              <w:topLinePunct/>
              <w:snapToGrid w:val="0"/>
              <w:spacing w:line="400" w:lineRule="exact"/>
              <w:jc w:val="center"/>
              <w:rPr>
                <w:rFonts w:ascii="宋体"/>
                <w:kern w:val="0"/>
                <w:sz w:val="24"/>
                <w:szCs w:val="24"/>
              </w:rPr>
            </w:pPr>
          </w:p>
        </w:tc>
        <w:tc>
          <w:tcPr>
            <w:tcW w:w="5173" w:type="dxa"/>
            <w:vAlign w:val="center"/>
          </w:tcPr>
          <w:p>
            <w:pPr>
              <w:overflowPunct w:val="0"/>
              <w:topLinePunct/>
              <w:snapToGrid w:val="0"/>
              <w:spacing w:line="400" w:lineRule="exact"/>
              <w:rPr>
                <w:rFonts w:ascii="宋体"/>
                <w:kern w:val="0"/>
                <w:sz w:val="24"/>
                <w:szCs w:val="24"/>
              </w:rPr>
            </w:pPr>
            <w:r>
              <w:rPr>
                <w:rFonts w:hint="eastAsia" w:ascii="宋体" w:hAnsi="宋体" w:cs="宋体"/>
                <w:sz w:val="24"/>
                <w:szCs w:val="24"/>
              </w:rPr>
              <w:t>一般工业废水</w:t>
            </w:r>
          </w:p>
        </w:tc>
        <w:tc>
          <w:tcPr>
            <w:tcW w:w="1381" w:type="dxa"/>
            <w:vAlign w:val="center"/>
          </w:tcPr>
          <w:p>
            <w:pPr>
              <w:overflowPunct w:val="0"/>
              <w:topLinePunct/>
              <w:snapToGrid w:val="0"/>
              <w:jc w:val="center"/>
              <w:rPr>
                <w:rFonts w:ascii="宋体"/>
                <w:kern w:val="0"/>
                <w:sz w:val="24"/>
                <w:szCs w:val="24"/>
              </w:rPr>
            </w:pPr>
            <w:r>
              <w:rPr>
                <w:rFonts w:ascii="宋体" w:hAns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81" w:hRule="atLeast"/>
          <w:jc w:val="center"/>
        </w:trPr>
        <w:tc>
          <w:tcPr>
            <w:tcW w:w="2166" w:type="dxa"/>
            <w:vMerge w:val="continue"/>
            <w:vAlign w:val="center"/>
          </w:tcPr>
          <w:p>
            <w:pPr>
              <w:overflowPunct w:val="0"/>
              <w:topLinePunct/>
              <w:snapToGrid w:val="0"/>
              <w:spacing w:line="400" w:lineRule="exact"/>
              <w:jc w:val="center"/>
              <w:rPr>
                <w:rFonts w:ascii="宋体"/>
                <w:kern w:val="0"/>
                <w:sz w:val="24"/>
                <w:szCs w:val="24"/>
              </w:rPr>
            </w:pPr>
          </w:p>
        </w:tc>
        <w:tc>
          <w:tcPr>
            <w:tcW w:w="5173" w:type="dxa"/>
            <w:vAlign w:val="center"/>
          </w:tcPr>
          <w:p>
            <w:pPr>
              <w:overflowPunct w:val="0"/>
              <w:topLinePunct/>
              <w:snapToGrid w:val="0"/>
              <w:spacing w:line="400" w:lineRule="exact"/>
              <w:rPr>
                <w:rFonts w:ascii="宋体"/>
                <w:kern w:val="0"/>
                <w:sz w:val="24"/>
                <w:szCs w:val="24"/>
              </w:rPr>
            </w:pPr>
            <w:r>
              <w:rPr>
                <w:rFonts w:hint="eastAsia" w:ascii="宋体" w:hAnsi="宋体" w:cs="宋体"/>
                <w:kern w:val="0"/>
                <w:sz w:val="24"/>
                <w:szCs w:val="24"/>
              </w:rPr>
              <w:t>含其他有毒有害物质的废水、医疗废水</w:t>
            </w:r>
          </w:p>
        </w:tc>
        <w:tc>
          <w:tcPr>
            <w:tcW w:w="1381" w:type="dxa"/>
            <w:vAlign w:val="center"/>
          </w:tcPr>
          <w:p>
            <w:pPr>
              <w:overflowPunct w:val="0"/>
              <w:topLinePunct/>
              <w:snapToGrid w:val="0"/>
              <w:jc w:val="center"/>
              <w:rPr>
                <w:rFonts w:ascii="宋体"/>
                <w:kern w:val="0"/>
                <w:sz w:val="24"/>
                <w:szCs w:val="24"/>
              </w:rPr>
            </w:pPr>
            <w:r>
              <w:rPr>
                <w:rFonts w:ascii="宋体" w:hAnsi="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81" w:hRule="atLeast"/>
          <w:jc w:val="center"/>
        </w:trPr>
        <w:tc>
          <w:tcPr>
            <w:tcW w:w="2166" w:type="dxa"/>
            <w:vMerge w:val="continue"/>
            <w:vAlign w:val="center"/>
          </w:tcPr>
          <w:p>
            <w:pPr>
              <w:overflowPunct w:val="0"/>
              <w:topLinePunct/>
              <w:snapToGrid w:val="0"/>
              <w:spacing w:line="400" w:lineRule="exact"/>
              <w:jc w:val="center"/>
              <w:rPr>
                <w:rFonts w:ascii="宋体"/>
                <w:kern w:val="0"/>
                <w:sz w:val="24"/>
                <w:szCs w:val="24"/>
              </w:rPr>
            </w:pPr>
          </w:p>
        </w:tc>
        <w:tc>
          <w:tcPr>
            <w:tcW w:w="5173" w:type="dxa"/>
            <w:vAlign w:val="center"/>
          </w:tcPr>
          <w:p>
            <w:pPr>
              <w:overflowPunct w:val="0"/>
              <w:topLinePunct/>
              <w:snapToGrid w:val="0"/>
              <w:spacing w:line="400" w:lineRule="exact"/>
              <w:rPr>
                <w:rFonts w:ascii="宋体"/>
                <w:kern w:val="0"/>
                <w:sz w:val="24"/>
                <w:szCs w:val="24"/>
              </w:rPr>
            </w:pPr>
            <w:r>
              <w:rPr>
                <w:rFonts w:hint="eastAsia" w:ascii="宋体" w:hAnsi="宋体" w:cs="宋体"/>
                <w:kern w:val="0"/>
                <w:sz w:val="24"/>
                <w:szCs w:val="24"/>
              </w:rPr>
              <w:t>含一类污染物或重金属、病原体、放射性物质的废水</w:t>
            </w:r>
          </w:p>
        </w:tc>
        <w:tc>
          <w:tcPr>
            <w:tcW w:w="1381" w:type="dxa"/>
            <w:vAlign w:val="center"/>
          </w:tcPr>
          <w:p>
            <w:pPr>
              <w:overflowPunct w:val="0"/>
              <w:topLinePunct/>
              <w:snapToGrid w:val="0"/>
              <w:jc w:val="center"/>
              <w:rPr>
                <w:rFonts w:ascii="宋体"/>
                <w:kern w:val="0"/>
                <w:sz w:val="24"/>
                <w:szCs w:val="24"/>
              </w:rPr>
            </w:pPr>
            <w:r>
              <w:rPr>
                <w:rFonts w:ascii="宋体" w:hAnsi="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7" w:hRule="atLeast"/>
          <w:jc w:val="center"/>
        </w:trPr>
        <w:tc>
          <w:tcPr>
            <w:tcW w:w="2166" w:type="dxa"/>
            <w:vMerge w:val="restart"/>
            <w:vAlign w:val="center"/>
          </w:tcPr>
          <w:p>
            <w:pPr>
              <w:overflowPunct w:val="0"/>
              <w:topLinePunct/>
              <w:snapToGrid w:val="0"/>
              <w:spacing w:line="360" w:lineRule="exact"/>
              <w:jc w:val="center"/>
              <w:rPr>
                <w:rFonts w:ascii="宋体"/>
                <w:kern w:val="0"/>
                <w:sz w:val="24"/>
                <w:szCs w:val="24"/>
              </w:rPr>
            </w:pPr>
            <w:r>
              <w:rPr>
                <w:rFonts w:hint="eastAsia" w:ascii="宋体" w:cs="宋体"/>
                <w:kern w:val="0"/>
                <w:sz w:val="24"/>
                <w:szCs w:val="24"/>
              </w:rPr>
              <w:t>工业固体废物类别</w:t>
            </w:r>
          </w:p>
        </w:tc>
        <w:tc>
          <w:tcPr>
            <w:tcW w:w="5173" w:type="dxa"/>
            <w:vAlign w:val="center"/>
          </w:tcPr>
          <w:p>
            <w:pPr>
              <w:overflowPunct w:val="0"/>
              <w:topLinePunct/>
              <w:snapToGrid w:val="0"/>
              <w:spacing w:line="360" w:lineRule="exact"/>
              <w:rPr>
                <w:rFonts w:ascii="宋体"/>
                <w:kern w:val="0"/>
                <w:sz w:val="24"/>
                <w:szCs w:val="24"/>
              </w:rPr>
            </w:pPr>
            <w:r>
              <w:rPr>
                <w:rFonts w:hint="eastAsia" w:ascii="宋体" w:hAnsi="宋体" w:cs="宋体"/>
                <w:kern w:val="0"/>
                <w:sz w:val="24"/>
                <w:szCs w:val="24"/>
              </w:rPr>
              <w:t>Ⅰ类一般工业固体废物</w:t>
            </w:r>
          </w:p>
        </w:tc>
        <w:tc>
          <w:tcPr>
            <w:tcW w:w="1381" w:type="dxa"/>
            <w:vAlign w:val="center"/>
          </w:tcPr>
          <w:p>
            <w:pPr>
              <w:overflowPunct w:val="0"/>
              <w:topLinePunct/>
              <w:snapToGrid w:val="0"/>
              <w:spacing w:line="360" w:lineRule="exact"/>
              <w:jc w:val="center"/>
              <w:rPr>
                <w:rFonts w:ascii="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10" w:hRule="atLeast"/>
          <w:jc w:val="center"/>
        </w:trPr>
        <w:tc>
          <w:tcPr>
            <w:tcW w:w="2166" w:type="dxa"/>
            <w:vMerge w:val="continue"/>
            <w:vAlign w:val="center"/>
          </w:tcPr>
          <w:p>
            <w:pPr>
              <w:overflowPunct w:val="0"/>
              <w:topLinePunct/>
              <w:snapToGrid w:val="0"/>
              <w:spacing w:line="400" w:lineRule="exact"/>
              <w:jc w:val="center"/>
              <w:rPr>
                <w:rFonts w:ascii="宋体"/>
                <w:kern w:val="0"/>
                <w:sz w:val="24"/>
                <w:szCs w:val="24"/>
              </w:rPr>
            </w:pPr>
          </w:p>
        </w:tc>
        <w:tc>
          <w:tcPr>
            <w:tcW w:w="5173" w:type="dxa"/>
            <w:vAlign w:val="center"/>
          </w:tcPr>
          <w:p>
            <w:pPr>
              <w:overflowPunct w:val="0"/>
              <w:topLinePunct/>
              <w:snapToGrid w:val="0"/>
              <w:spacing w:line="400" w:lineRule="exact"/>
              <w:rPr>
                <w:rFonts w:ascii="宋体"/>
                <w:kern w:val="0"/>
                <w:sz w:val="24"/>
                <w:szCs w:val="24"/>
              </w:rPr>
            </w:pPr>
            <w:r>
              <w:rPr>
                <w:rFonts w:hint="eastAsia" w:ascii="宋体" w:hAnsi="宋体" w:cs="宋体"/>
                <w:kern w:val="0"/>
                <w:sz w:val="24"/>
                <w:szCs w:val="24"/>
              </w:rPr>
              <w:t>Ⅱ类一般工业固体废物</w:t>
            </w:r>
          </w:p>
        </w:tc>
        <w:tc>
          <w:tcPr>
            <w:tcW w:w="1381" w:type="dxa"/>
            <w:vAlign w:val="center"/>
          </w:tcPr>
          <w:p>
            <w:pPr>
              <w:overflowPunct w:val="0"/>
              <w:topLinePunct/>
              <w:snapToGrid w:val="0"/>
              <w:jc w:val="center"/>
              <w:rPr>
                <w:rFonts w:ascii="宋体"/>
                <w:kern w:val="0"/>
                <w:sz w:val="24"/>
                <w:szCs w:val="24"/>
              </w:rPr>
            </w:pPr>
            <w:r>
              <w:rPr>
                <w:rFonts w:ascii="宋体" w:hAns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81" w:hRule="atLeast"/>
          <w:jc w:val="center"/>
        </w:trPr>
        <w:tc>
          <w:tcPr>
            <w:tcW w:w="2166" w:type="dxa"/>
            <w:vMerge w:val="continue"/>
            <w:vAlign w:val="center"/>
          </w:tcPr>
          <w:p>
            <w:pPr>
              <w:overflowPunct w:val="0"/>
              <w:topLinePunct/>
              <w:snapToGrid w:val="0"/>
              <w:spacing w:line="400" w:lineRule="exact"/>
              <w:jc w:val="center"/>
              <w:rPr>
                <w:rFonts w:ascii="宋体"/>
                <w:kern w:val="0"/>
                <w:sz w:val="24"/>
                <w:szCs w:val="24"/>
              </w:rPr>
            </w:pPr>
          </w:p>
        </w:tc>
        <w:tc>
          <w:tcPr>
            <w:tcW w:w="5173" w:type="dxa"/>
            <w:vAlign w:val="center"/>
          </w:tcPr>
          <w:p>
            <w:pPr>
              <w:overflowPunct w:val="0"/>
              <w:topLinePunct/>
              <w:snapToGrid w:val="0"/>
              <w:spacing w:line="400" w:lineRule="exact"/>
              <w:rPr>
                <w:rFonts w:ascii="宋体"/>
                <w:kern w:val="0"/>
                <w:sz w:val="24"/>
                <w:szCs w:val="24"/>
              </w:rPr>
            </w:pPr>
            <w:r>
              <w:rPr>
                <w:rFonts w:hint="eastAsia" w:ascii="宋体" w:hAnsi="宋体" w:cs="宋体"/>
                <w:kern w:val="0"/>
                <w:sz w:val="24"/>
                <w:szCs w:val="24"/>
              </w:rPr>
              <w:t>危险废物</w:t>
            </w:r>
          </w:p>
        </w:tc>
        <w:tc>
          <w:tcPr>
            <w:tcW w:w="1381" w:type="dxa"/>
            <w:vAlign w:val="center"/>
          </w:tcPr>
          <w:p>
            <w:pPr>
              <w:overflowPunct w:val="0"/>
              <w:topLinePunct/>
              <w:snapToGrid w:val="0"/>
              <w:jc w:val="center"/>
              <w:rPr>
                <w:rFonts w:ascii="宋体"/>
                <w:kern w:val="0"/>
                <w:sz w:val="24"/>
                <w:szCs w:val="24"/>
              </w:rPr>
            </w:pPr>
            <w:r>
              <w:rPr>
                <w:rFonts w:ascii="宋体" w:hAnsi="宋体" w:cs="宋体"/>
                <w:kern w:val="0"/>
                <w:sz w:val="24"/>
                <w:szCs w:val="24"/>
              </w:rPr>
              <w:t>5</w:t>
            </w:r>
          </w:p>
        </w:tc>
      </w:tr>
    </w:tbl>
    <w:p>
      <w:pPr>
        <w:overflowPunct w:val="0"/>
        <w:topLinePunct/>
        <w:adjustRightInd w:val="0"/>
        <w:snapToGrid w:val="0"/>
        <w:spacing w:line="300" w:lineRule="exact"/>
        <w:ind w:firstLine="480" w:firstLineChars="200"/>
        <w:rPr>
          <w:rFonts w:ascii="宋体"/>
          <w:kern w:val="0"/>
          <w:sz w:val="24"/>
          <w:szCs w:val="24"/>
        </w:rPr>
      </w:pPr>
      <w:r>
        <w:rPr>
          <w:rFonts w:hint="eastAsia" w:ascii="宋体" w:hAnsi="宋体" w:cs="宋体"/>
          <w:kern w:val="0"/>
          <w:sz w:val="24"/>
          <w:szCs w:val="24"/>
        </w:rPr>
        <w:t>注：本表适用于《建设项目环境保护管理条例》第二十三条以及其他同类型的环境违法行为。</w:t>
      </w:r>
    </w:p>
    <w:p>
      <w:pPr>
        <w:overflowPunct w:val="0"/>
        <w:topLinePunct/>
        <w:adjustRightInd w:val="0"/>
        <w:snapToGrid w:val="0"/>
        <w:spacing w:line="600" w:lineRule="exact"/>
        <w:ind w:firstLine="482" w:firstLineChars="200"/>
        <w:outlineLvl w:val="1"/>
        <w:rPr>
          <w:rFonts w:ascii="宋体"/>
          <w:b/>
          <w:bCs/>
          <w:sz w:val="24"/>
          <w:szCs w:val="24"/>
        </w:rPr>
      </w:pPr>
    </w:p>
    <w:p>
      <w:pPr>
        <w:overflowPunct w:val="0"/>
        <w:topLinePunct/>
        <w:adjustRightInd w:val="0"/>
        <w:snapToGrid w:val="0"/>
        <w:spacing w:line="600" w:lineRule="exact"/>
        <w:ind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（七）违反自行监测管理制度的行为</w:t>
      </w:r>
    </w:p>
    <w:tbl>
      <w:tblPr>
        <w:tblStyle w:val="4"/>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2098"/>
        <w:gridCol w:w="5192"/>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4" w:hRule="atLeast"/>
          <w:tblHeader/>
          <w:jc w:val="center"/>
        </w:trPr>
        <w:tc>
          <w:tcPr>
            <w:tcW w:w="2098" w:type="dxa"/>
            <w:vAlign w:val="center"/>
          </w:tcPr>
          <w:p>
            <w:pPr>
              <w:overflowPunct w:val="0"/>
              <w:topLinePunct/>
              <w:snapToGrid w:val="0"/>
              <w:jc w:val="center"/>
              <w:rPr>
                <w:rFonts w:ascii="宋体"/>
                <w:kern w:val="0"/>
                <w:sz w:val="24"/>
                <w:szCs w:val="24"/>
              </w:rPr>
            </w:pPr>
            <w:r>
              <w:rPr>
                <w:rFonts w:hint="eastAsia" w:ascii="宋体" w:hAnsi="宋体" w:cs="宋体"/>
                <w:kern w:val="0"/>
                <w:sz w:val="24"/>
                <w:szCs w:val="24"/>
              </w:rPr>
              <w:t>裁量因素</w:t>
            </w:r>
          </w:p>
        </w:tc>
        <w:tc>
          <w:tcPr>
            <w:tcW w:w="5192" w:type="dxa"/>
            <w:vAlign w:val="center"/>
          </w:tcPr>
          <w:p>
            <w:pPr>
              <w:overflowPunct w:val="0"/>
              <w:topLinePunct/>
              <w:snapToGrid w:val="0"/>
              <w:jc w:val="center"/>
              <w:rPr>
                <w:rFonts w:ascii="宋体"/>
                <w:kern w:val="0"/>
                <w:sz w:val="24"/>
                <w:szCs w:val="24"/>
              </w:rPr>
            </w:pPr>
            <w:r>
              <w:rPr>
                <w:rFonts w:hint="eastAsia" w:ascii="宋体" w:hAnsi="宋体" w:cs="宋体"/>
                <w:kern w:val="0"/>
                <w:sz w:val="24"/>
                <w:szCs w:val="24"/>
              </w:rPr>
              <w:t>裁量因子</w:t>
            </w:r>
          </w:p>
        </w:tc>
        <w:tc>
          <w:tcPr>
            <w:tcW w:w="1430" w:type="dxa"/>
            <w:vAlign w:val="center"/>
          </w:tcPr>
          <w:p>
            <w:pPr>
              <w:overflowPunct w:val="0"/>
              <w:topLinePunct/>
              <w:snapToGrid w:val="0"/>
              <w:jc w:val="center"/>
              <w:rPr>
                <w:rFonts w:ascii="宋体"/>
                <w:kern w:val="0"/>
                <w:sz w:val="24"/>
                <w:szCs w:val="24"/>
              </w:rPr>
            </w:pPr>
            <w:r>
              <w:rPr>
                <w:rFonts w:hint="eastAsia" w:ascii="宋体" w:hAnsi="宋体" w:cs="宋体"/>
                <w:kern w:val="0"/>
                <w:sz w:val="24"/>
                <w:szCs w:val="24"/>
              </w:rPr>
              <w:t>裁量等级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65" w:hRule="atLeast"/>
          <w:tblHeader/>
          <w:jc w:val="center"/>
        </w:trPr>
        <w:tc>
          <w:tcPr>
            <w:tcW w:w="2098" w:type="dxa"/>
            <w:vMerge w:val="restart"/>
            <w:vAlign w:val="center"/>
          </w:tcPr>
          <w:p>
            <w:pPr>
              <w:overflowPunct w:val="0"/>
              <w:topLinePunct/>
              <w:snapToGrid w:val="0"/>
              <w:jc w:val="center"/>
              <w:rPr>
                <w:rFonts w:ascii="宋体"/>
                <w:kern w:val="0"/>
                <w:sz w:val="24"/>
                <w:szCs w:val="24"/>
              </w:rPr>
            </w:pPr>
            <w:r>
              <w:rPr>
                <w:rFonts w:hint="eastAsia" w:ascii="宋体" w:hAnsi="宋体" w:cs="宋体"/>
                <w:kern w:val="0"/>
                <w:sz w:val="24"/>
                <w:szCs w:val="24"/>
              </w:rPr>
              <w:t>行为类别</w:t>
            </w:r>
          </w:p>
        </w:tc>
        <w:tc>
          <w:tcPr>
            <w:tcW w:w="5192" w:type="dxa"/>
            <w:vAlign w:val="center"/>
          </w:tcPr>
          <w:p>
            <w:pPr>
              <w:rPr>
                <w:sz w:val="24"/>
                <w:szCs w:val="24"/>
              </w:rPr>
            </w:pPr>
            <w:r>
              <w:rPr>
                <w:rFonts w:hint="eastAsia" w:cs="宋体"/>
                <w:sz w:val="24"/>
                <w:szCs w:val="24"/>
              </w:rPr>
              <w:t>按照规定对所排放的水污染物或者工业废气进行监测但保存原始监测记录</w:t>
            </w:r>
            <w:r>
              <w:rPr>
                <w:rFonts w:ascii="宋体" w:hAnsi="宋体" w:cs="宋体"/>
                <w:kern w:val="0"/>
                <w:sz w:val="24"/>
                <w:szCs w:val="24"/>
              </w:rPr>
              <w:t>70%</w:t>
            </w:r>
            <w:r>
              <w:rPr>
                <w:rFonts w:hint="eastAsia" w:ascii="宋体" w:hAnsi="宋体" w:cs="宋体"/>
                <w:kern w:val="0"/>
                <w:sz w:val="24"/>
                <w:szCs w:val="24"/>
              </w:rPr>
              <w:t>以上不足</w:t>
            </w:r>
            <w:r>
              <w:rPr>
                <w:rFonts w:ascii="宋体" w:hAnsi="宋体" w:cs="宋体"/>
                <w:kern w:val="0"/>
                <w:sz w:val="24"/>
                <w:szCs w:val="24"/>
              </w:rPr>
              <w:t>100%</w:t>
            </w:r>
          </w:p>
        </w:tc>
        <w:tc>
          <w:tcPr>
            <w:tcW w:w="1430" w:type="dxa"/>
            <w:vAlign w:val="center"/>
          </w:tcPr>
          <w:p>
            <w:pPr>
              <w:overflowPunct w:val="0"/>
              <w:topLinePunct/>
              <w:snapToGrid w:val="0"/>
              <w:jc w:val="center"/>
              <w:rPr>
                <w:rFonts w:ascii="宋体" w:hAnsi="宋体" w:cs="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65" w:hRule="atLeast"/>
          <w:tblHeader/>
          <w:jc w:val="center"/>
        </w:trPr>
        <w:tc>
          <w:tcPr>
            <w:tcW w:w="2098" w:type="dxa"/>
            <w:vMerge w:val="continue"/>
            <w:vAlign w:val="center"/>
          </w:tcPr>
          <w:p>
            <w:pPr>
              <w:overflowPunct w:val="0"/>
              <w:topLinePunct/>
              <w:snapToGrid w:val="0"/>
              <w:jc w:val="center"/>
              <w:rPr>
                <w:rFonts w:ascii="宋体"/>
                <w:kern w:val="0"/>
                <w:sz w:val="24"/>
                <w:szCs w:val="24"/>
              </w:rPr>
            </w:pPr>
          </w:p>
        </w:tc>
        <w:tc>
          <w:tcPr>
            <w:tcW w:w="5192" w:type="dxa"/>
            <w:vAlign w:val="center"/>
          </w:tcPr>
          <w:p>
            <w:pPr>
              <w:overflowPunct w:val="0"/>
              <w:topLinePunct/>
              <w:snapToGrid w:val="0"/>
              <w:spacing w:line="400" w:lineRule="exact"/>
              <w:rPr>
                <w:rFonts w:ascii="宋体"/>
                <w:kern w:val="0"/>
                <w:sz w:val="24"/>
                <w:szCs w:val="24"/>
              </w:rPr>
            </w:pPr>
            <w:r>
              <w:rPr>
                <w:rFonts w:hint="eastAsia" w:cs="宋体"/>
                <w:sz w:val="24"/>
                <w:szCs w:val="24"/>
              </w:rPr>
              <w:t>按照规定对所排放的水污染物或者工业废气进行监测但保存原始监测记录</w:t>
            </w:r>
            <w:r>
              <w:rPr>
                <w:rFonts w:hint="eastAsia" w:ascii="宋体" w:hAnsi="宋体" w:cs="宋体"/>
                <w:kern w:val="0"/>
                <w:sz w:val="24"/>
                <w:szCs w:val="24"/>
              </w:rPr>
              <w:t>不足</w:t>
            </w:r>
            <w:r>
              <w:rPr>
                <w:rFonts w:ascii="宋体" w:hAnsi="宋体" w:cs="宋体"/>
                <w:kern w:val="0"/>
                <w:sz w:val="24"/>
                <w:szCs w:val="24"/>
              </w:rPr>
              <w:t>70%</w:t>
            </w:r>
          </w:p>
        </w:tc>
        <w:tc>
          <w:tcPr>
            <w:tcW w:w="1430" w:type="dxa"/>
            <w:vAlign w:val="center"/>
          </w:tcPr>
          <w:p>
            <w:pPr>
              <w:overflowPunct w:val="0"/>
              <w:topLinePunct/>
              <w:snapToGrid w:val="0"/>
              <w:jc w:val="center"/>
              <w:rPr>
                <w:rFonts w:ascii="宋体"/>
                <w:kern w:val="0"/>
                <w:sz w:val="24"/>
                <w:szCs w:val="24"/>
              </w:rPr>
            </w:pPr>
            <w:r>
              <w:rPr>
                <w:rFonts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65" w:hRule="atLeast"/>
          <w:tblHeader/>
          <w:jc w:val="center"/>
        </w:trPr>
        <w:tc>
          <w:tcPr>
            <w:tcW w:w="2098" w:type="dxa"/>
            <w:vMerge w:val="continue"/>
            <w:vAlign w:val="center"/>
          </w:tcPr>
          <w:p>
            <w:pPr>
              <w:overflowPunct w:val="0"/>
              <w:topLinePunct/>
              <w:snapToGrid w:val="0"/>
              <w:jc w:val="center"/>
              <w:rPr>
                <w:rFonts w:ascii="宋体"/>
                <w:kern w:val="0"/>
                <w:sz w:val="24"/>
                <w:szCs w:val="24"/>
              </w:rPr>
            </w:pPr>
          </w:p>
        </w:tc>
        <w:tc>
          <w:tcPr>
            <w:tcW w:w="5192" w:type="dxa"/>
            <w:vAlign w:val="center"/>
          </w:tcPr>
          <w:p>
            <w:pPr>
              <w:overflowPunct w:val="0"/>
              <w:topLinePunct/>
              <w:snapToGrid w:val="0"/>
              <w:spacing w:line="400" w:lineRule="exact"/>
              <w:rPr>
                <w:rFonts w:ascii="宋体"/>
                <w:kern w:val="0"/>
                <w:sz w:val="24"/>
                <w:szCs w:val="24"/>
              </w:rPr>
            </w:pPr>
            <w:r>
              <w:rPr>
                <w:rFonts w:hint="eastAsia" w:cs="宋体"/>
                <w:sz w:val="24"/>
                <w:szCs w:val="24"/>
              </w:rPr>
              <w:t>未按照规定对所排放的水污染物或者工业废气进行监测但保存原始监测记录</w:t>
            </w:r>
          </w:p>
        </w:tc>
        <w:tc>
          <w:tcPr>
            <w:tcW w:w="1430" w:type="dxa"/>
            <w:vAlign w:val="center"/>
          </w:tcPr>
          <w:p>
            <w:pPr>
              <w:overflowPunct w:val="0"/>
              <w:topLinePunct/>
              <w:snapToGrid w:val="0"/>
              <w:jc w:val="center"/>
              <w:rPr>
                <w:rFonts w:ascii="宋体"/>
                <w:kern w:val="0"/>
                <w:sz w:val="24"/>
                <w:szCs w:val="24"/>
              </w:rPr>
            </w:pPr>
            <w:r>
              <w:rPr>
                <w:rFonts w:ascii="宋体" w:hAns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4" w:hRule="atLeast"/>
          <w:tblHeader/>
          <w:jc w:val="center"/>
        </w:trPr>
        <w:tc>
          <w:tcPr>
            <w:tcW w:w="2098" w:type="dxa"/>
            <w:vMerge w:val="continue"/>
            <w:vAlign w:val="center"/>
          </w:tcPr>
          <w:p>
            <w:pPr>
              <w:overflowPunct w:val="0"/>
              <w:topLinePunct/>
              <w:snapToGrid w:val="0"/>
              <w:jc w:val="center"/>
              <w:rPr>
                <w:rFonts w:ascii="宋体"/>
                <w:kern w:val="0"/>
                <w:sz w:val="24"/>
                <w:szCs w:val="24"/>
              </w:rPr>
            </w:pPr>
          </w:p>
        </w:tc>
        <w:tc>
          <w:tcPr>
            <w:tcW w:w="5192" w:type="dxa"/>
            <w:vAlign w:val="center"/>
          </w:tcPr>
          <w:p>
            <w:pPr>
              <w:rPr>
                <w:sz w:val="24"/>
                <w:szCs w:val="24"/>
              </w:rPr>
            </w:pPr>
            <w:r>
              <w:rPr>
                <w:rFonts w:hint="eastAsia" w:cs="宋体"/>
                <w:sz w:val="24"/>
                <w:szCs w:val="24"/>
              </w:rPr>
              <w:t>未按照规定对所排放的水污染物或者工业废气进行监测，或者未保存原始监测记录</w:t>
            </w:r>
          </w:p>
        </w:tc>
        <w:tc>
          <w:tcPr>
            <w:tcW w:w="1430" w:type="dxa"/>
            <w:vAlign w:val="center"/>
          </w:tcPr>
          <w:p>
            <w:pPr>
              <w:overflowPunct w:val="0"/>
              <w:topLinePunct/>
              <w:snapToGrid w:val="0"/>
              <w:jc w:val="center"/>
              <w:rPr>
                <w:rFonts w:ascii="宋体" w:hAnsi="宋体" w:cs="宋体"/>
                <w:kern w:val="0"/>
                <w:sz w:val="24"/>
                <w:szCs w:val="24"/>
              </w:rPr>
            </w:pPr>
            <w:r>
              <w:rPr>
                <w:rFonts w:ascii="宋体" w:hAnsi="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4" w:hRule="atLeast"/>
          <w:tblHeader/>
          <w:jc w:val="center"/>
        </w:trPr>
        <w:tc>
          <w:tcPr>
            <w:tcW w:w="2098" w:type="dxa"/>
            <w:vMerge w:val="continue"/>
            <w:vAlign w:val="center"/>
          </w:tcPr>
          <w:p>
            <w:pPr>
              <w:overflowPunct w:val="0"/>
              <w:topLinePunct/>
              <w:snapToGrid w:val="0"/>
              <w:jc w:val="center"/>
              <w:rPr>
                <w:rFonts w:ascii="宋体"/>
                <w:kern w:val="0"/>
                <w:sz w:val="24"/>
                <w:szCs w:val="24"/>
              </w:rPr>
            </w:pPr>
          </w:p>
        </w:tc>
        <w:tc>
          <w:tcPr>
            <w:tcW w:w="5192" w:type="dxa"/>
            <w:vAlign w:val="center"/>
          </w:tcPr>
          <w:p>
            <w:pPr>
              <w:rPr>
                <w:sz w:val="24"/>
                <w:szCs w:val="24"/>
              </w:rPr>
            </w:pPr>
            <w:r>
              <w:rPr>
                <w:rFonts w:hint="eastAsia" w:ascii="宋体" w:hAnsi="宋体" w:cs="宋体"/>
                <w:kern w:val="0"/>
                <w:sz w:val="24"/>
                <w:szCs w:val="24"/>
              </w:rPr>
              <w:t>未按照规定对有毒有害水污染物的排污口和周边环境或者</w:t>
            </w:r>
            <w:r>
              <w:rPr>
                <w:rFonts w:hint="eastAsia" w:cs="宋体"/>
                <w:sz w:val="24"/>
                <w:szCs w:val="24"/>
              </w:rPr>
              <w:t>有毒有害大气污染物</w:t>
            </w:r>
            <w:r>
              <w:rPr>
                <w:rFonts w:hint="eastAsia" w:ascii="宋体" w:hAnsi="宋体" w:cs="宋体"/>
                <w:kern w:val="0"/>
                <w:sz w:val="24"/>
                <w:szCs w:val="24"/>
              </w:rPr>
              <w:t>进行监测</w:t>
            </w:r>
          </w:p>
        </w:tc>
        <w:tc>
          <w:tcPr>
            <w:tcW w:w="1430" w:type="dxa"/>
            <w:vAlign w:val="center"/>
          </w:tcPr>
          <w:p>
            <w:pPr>
              <w:overflowPunct w:val="0"/>
              <w:topLinePunct/>
              <w:snapToGrid w:val="0"/>
              <w:jc w:val="center"/>
              <w:rPr>
                <w:rFonts w:ascii="宋体" w:hAnsi="宋体" w:cs="宋体"/>
                <w:kern w:val="0"/>
                <w:sz w:val="24"/>
                <w:szCs w:val="24"/>
              </w:rPr>
            </w:pPr>
            <w:r>
              <w:rPr>
                <w:rFonts w:ascii="宋体" w:hAnsi="宋体" w:cs="宋体"/>
                <w:kern w:val="0"/>
                <w:sz w:val="24"/>
                <w:szCs w:val="24"/>
              </w:rPr>
              <w:t>5</w:t>
            </w:r>
          </w:p>
        </w:tc>
      </w:tr>
    </w:tbl>
    <w:p>
      <w:pPr>
        <w:overflowPunct w:val="0"/>
        <w:topLinePunct/>
        <w:adjustRightInd w:val="0"/>
        <w:snapToGrid w:val="0"/>
        <w:spacing w:line="360" w:lineRule="exact"/>
        <w:ind w:firstLine="480" w:firstLineChars="200"/>
        <w:rPr>
          <w:rFonts w:hint="eastAsia" w:ascii="宋体" w:hAnsi="宋体" w:cs="宋体"/>
          <w:kern w:val="0"/>
          <w:sz w:val="24"/>
          <w:szCs w:val="24"/>
        </w:rPr>
      </w:pPr>
      <w:bookmarkStart w:id="11" w:name="_Hlk18327862"/>
      <w:r>
        <w:rPr>
          <w:rFonts w:hint="eastAsia" w:ascii="宋体" w:hAnsi="宋体" w:cs="宋体"/>
          <w:kern w:val="0"/>
          <w:sz w:val="24"/>
          <w:szCs w:val="24"/>
        </w:rPr>
        <w:t>注：本表适用于《中华人民共和国水污染防治法》第八十二条第一、三项，《中华人民共和国大气污染防治法》第一百条第二项以及其他同类型环境违法行为。</w:t>
      </w:r>
    </w:p>
    <w:p>
      <w:pPr>
        <w:overflowPunct w:val="0"/>
        <w:topLinePunct/>
        <w:adjustRightInd w:val="0"/>
        <w:snapToGrid w:val="0"/>
        <w:spacing w:line="360" w:lineRule="exact"/>
        <w:rPr>
          <w:rFonts w:hint="eastAsia" w:ascii="宋体" w:hAnsi="宋体" w:cs="宋体"/>
          <w:kern w:val="0"/>
          <w:sz w:val="24"/>
          <w:szCs w:val="24"/>
        </w:rPr>
      </w:pPr>
    </w:p>
    <w:bookmarkEnd w:id="11"/>
    <w:p>
      <w:pPr>
        <w:overflowPunct w:val="0"/>
        <w:topLinePunct/>
        <w:adjustRightInd w:val="0"/>
        <w:snapToGrid w:val="0"/>
        <w:spacing w:line="600" w:lineRule="exact"/>
        <w:ind w:firstLine="640" w:firstLineChars="200"/>
        <w:outlineLvl w:val="1"/>
        <w:rPr>
          <w:rFonts w:hint="eastAsia" w:ascii="楷体" w:hAnsi="楷体" w:eastAsia="楷体" w:cs="楷体"/>
          <w:sz w:val="32"/>
          <w:szCs w:val="32"/>
        </w:rPr>
      </w:pPr>
      <w:r>
        <w:rPr>
          <w:rFonts w:hint="eastAsia" w:ascii="楷体" w:hAnsi="楷体" w:eastAsia="楷体" w:cs="楷体"/>
          <w:sz w:val="32"/>
          <w:szCs w:val="32"/>
        </w:rPr>
        <w:t>（八）违反自动监测设备管理制度的行为</w:t>
      </w:r>
    </w:p>
    <w:tbl>
      <w:tblPr>
        <w:tblStyle w:val="4"/>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2098"/>
        <w:gridCol w:w="5192"/>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4" w:hRule="atLeast"/>
          <w:tblHeader/>
          <w:jc w:val="center"/>
        </w:trPr>
        <w:tc>
          <w:tcPr>
            <w:tcW w:w="2098" w:type="dxa"/>
            <w:vAlign w:val="center"/>
          </w:tcPr>
          <w:p>
            <w:pPr>
              <w:overflowPunct w:val="0"/>
              <w:topLinePunct/>
              <w:snapToGrid w:val="0"/>
              <w:jc w:val="center"/>
              <w:rPr>
                <w:rFonts w:hint="eastAsia" w:ascii="宋体" w:hAnsi="宋体" w:cs="宋体"/>
                <w:kern w:val="0"/>
                <w:sz w:val="24"/>
                <w:szCs w:val="24"/>
              </w:rPr>
            </w:pPr>
            <w:r>
              <w:rPr>
                <w:rFonts w:hint="eastAsia" w:ascii="宋体" w:hAnsi="宋体" w:cs="宋体"/>
                <w:kern w:val="0"/>
                <w:sz w:val="24"/>
                <w:szCs w:val="24"/>
              </w:rPr>
              <w:t>裁量因素</w:t>
            </w:r>
          </w:p>
        </w:tc>
        <w:tc>
          <w:tcPr>
            <w:tcW w:w="5192" w:type="dxa"/>
            <w:vAlign w:val="center"/>
          </w:tcPr>
          <w:p>
            <w:pPr>
              <w:overflowPunct w:val="0"/>
              <w:topLinePunct/>
              <w:snapToGrid w:val="0"/>
              <w:jc w:val="center"/>
              <w:rPr>
                <w:rFonts w:hint="eastAsia" w:ascii="宋体" w:hAnsi="宋体" w:cs="宋体"/>
                <w:kern w:val="0"/>
                <w:sz w:val="24"/>
                <w:szCs w:val="24"/>
              </w:rPr>
            </w:pPr>
            <w:r>
              <w:rPr>
                <w:rFonts w:hint="eastAsia" w:ascii="宋体" w:hAnsi="宋体" w:cs="宋体"/>
                <w:kern w:val="0"/>
                <w:sz w:val="24"/>
                <w:szCs w:val="24"/>
              </w:rPr>
              <w:t>裁量因子</w:t>
            </w:r>
          </w:p>
        </w:tc>
        <w:tc>
          <w:tcPr>
            <w:tcW w:w="1430" w:type="dxa"/>
            <w:vAlign w:val="center"/>
          </w:tcPr>
          <w:p>
            <w:pPr>
              <w:overflowPunct w:val="0"/>
              <w:topLinePunct/>
              <w:snapToGrid w:val="0"/>
              <w:jc w:val="center"/>
              <w:rPr>
                <w:rFonts w:hint="eastAsia" w:ascii="宋体" w:hAnsi="宋体" w:cs="宋体"/>
                <w:kern w:val="0"/>
                <w:sz w:val="24"/>
                <w:szCs w:val="24"/>
              </w:rPr>
            </w:pPr>
            <w:r>
              <w:rPr>
                <w:rFonts w:hint="eastAsia" w:ascii="宋体" w:hAnsi="宋体" w:cs="宋体"/>
                <w:kern w:val="0"/>
                <w:sz w:val="24"/>
                <w:szCs w:val="24"/>
              </w:rPr>
              <w:t>裁量等级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62" w:hRule="atLeast"/>
          <w:jc w:val="center"/>
        </w:trPr>
        <w:tc>
          <w:tcPr>
            <w:tcW w:w="2098" w:type="dxa"/>
            <w:vMerge w:val="restart"/>
            <w:vAlign w:val="center"/>
          </w:tcPr>
          <w:p>
            <w:pPr>
              <w:overflowPunct w:val="0"/>
              <w:topLinePunct/>
              <w:snapToGrid w:val="0"/>
              <w:spacing w:line="400" w:lineRule="exact"/>
              <w:jc w:val="center"/>
              <w:rPr>
                <w:rFonts w:hint="eastAsia" w:ascii="宋体" w:hAnsi="宋体" w:cs="宋体"/>
                <w:kern w:val="0"/>
                <w:sz w:val="24"/>
                <w:szCs w:val="24"/>
              </w:rPr>
            </w:pPr>
            <w:r>
              <w:rPr>
                <w:rFonts w:hint="eastAsia" w:ascii="宋体" w:hAnsi="宋体" w:cs="宋体"/>
                <w:kern w:val="0"/>
                <w:sz w:val="24"/>
                <w:szCs w:val="24"/>
              </w:rPr>
              <w:t>安装、联网、运行</w:t>
            </w:r>
          </w:p>
          <w:p>
            <w:pPr>
              <w:overflowPunct w:val="0"/>
              <w:topLinePunct/>
              <w:snapToGrid w:val="0"/>
              <w:spacing w:line="400" w:lineRule="exact"/>
              <w:jc w:val="center"/>
              <w:rPr>
                <w:rFonts w:ascii="仿宋" w:hAnsi="仿宋" w:eastAsia="仿宋"/>
                <w:kern w:val="0"/>
                <w:sz w:val="24"/>
                <w:szCs w:val="24"/>
              </w:rPr>
            </w:pPr>
            <w:r>
              <w:rPr>
                <w:rFonts w:hint="eastAsia" w:ascii="宋体" w:hAnsi="宋体" w:cs="宋体"/>
                <w:kern w:val="0"/>
                <w:sz w:val="24"/>
                <w:szCs w:val="24"/>
              </w:rPr>
              <w:t>情况</w:t>
            </w:r>
          </w:p>
        </w:tc>
        <w:tc>
          <w:tcPr>
            <w:tcW w:w="5192" w:type="dxa"/>
            <w:vAlign w:val="center"/>
          </w:tcPr>
          <w:p>
            <w:pPr>
              <w:rPr>
                <w:rFonts w:hint="eastAsia" w:ascii="宋体" w:hAnsi="宋体" w:cs="宋体"/>
                <w:kern w:val="0"/>
                <w:sz w:val="24"/>
                <w:szCs w:val="24"/>
              </w:rPr>
            </w:pPr>
            <w:r>
              <w:rPr>
                <w:rFonts w:hint="eastAsia" w:ascii="宋体" w:hAnsi="宋体" w:cs="宋体"/>
                <w:kern w:val="0"/>
                <w:sz w:val="24"/>
                <w:szCs w:val="24"/>
              </w:rPr>
              <w:t>自动监测设备运行维护不符合相关技术规范</w:t>
            </w:r>
          </w:p>
        </w:tc>
        <w:tc>
          <w:tcPr>
            <w:tcW w:w="1430" w:type="dxa"/>
            <w:vAlign w:val="center"/>
          </w:tcPr>
          <w:p>
            <w:pPr>
              <w:overflowPunct w:val="0"/>
              <w:topLinePunct/>
              <w:snapToGrid w:val="0"/>
              <w:spacing w:line="400" w:lineRule="exact"/>
              <w:jc w:val="center"/>
              <w:rPr>
                <w:rFonts w:ascii="仿宋" w:hAnsi="仿宋" w:eastAsia="仿宋"/>
                <w:kern w:val="0"/>
                <w:sz w:val="24"/>
                <w:szCs w:val="24"/>
              </w:rPr>
            </w:pPr>
            <w:r>
              <w:rPr>
                <w:rFonts w:ascii="仿宋" w:hAnsi="仿宋" w:eastAsia="仿宋"/>
                <w:kern w:val="0"/>
                <w:sz w:val="24"/>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4" w:hRule="atLeast"/>
          <w:jc w:val="center"/>
        </w:trPr>
        <w:tc>
          <w:tcPr>
            <w:tcW w:w="2098" w:type="dxa"/>
            <w:vMerge w:val="continue"/>
            <w:vAlign w:val="center"/>
          </w:tcPr>
          <w:p>
            <w:pPr>
              <w:overflowPunct w:val="0"/>
              <w:topLinePunct/>
              <w:snapToGrid w:val="0"/>
              <w:spacing w:line="400" w:lineRule="exact"/>
              <w:jc w:val="center"/>
              <w:rPr>
                <w:rFonts w:ascii="仿宋" w:hAnsi="仿宋" w:eastAsia="仿宋"/>
                <w:kern w:val="0"/>
                <w:sz w:val="24"/>
                <w:szCs w:val="24"/>
              </w:rPr>
            </w:pPr>
          </w:p>
        </w:tc>
        <w:tc>
          <w:tcPr>
            <w:tcW w:w="5192" w:type="dxa"/>
            <w:vAlign w:val="center"/>
          </w:tcPr>
          <w:p>
            <w:pPr>
              <w:rPr>
                <w:rFonts w:hint="eastAsia" w:ascii="宋体" w:hAnsi="宋体" w:cs="宋体"/>
                <w:kern w:val="0"/>
                <w:sz w:val="24"/>
                <w:szCs w:val="24"/>
              </w:rPr>
            </w:pPr>
            <w:r>
              <w:rPr>
                <w:rFonts w:hint="eastAsia" w:ascii="宋体" w:hAnsi="宋体" w:cs="宋体"/>
                <w:kern w:val="0"/>
                <w:sz w:val="24"/>
                <w:szCs w:val="24"/>
              </w:rPr>
              <w:t>发生故障，不按照规定报告又不及时检修恢复正常运行的</w:t>
            </w:r>
          </w:p>
        </w:tc>
        <w:tc>
          <w:tcPr>
            <w:tcW w:w="1430" w:type="dxa"/>
            <w:vAlign w:val="center"/>
          </w:tcPr>
          <w:p>
            <w:pPr>
              <w:overflowPunct w:val="0"/>
              <w:topLinePunct/>
              <w:snapToGrid w:val="0"/>
              <w:spacing w:line="400" w:lineRule="exact"/>
              <w:jc w:val="center"/>
              <w:rPr>
                <w:rFonts w:ascii="仿宋" w:hAnsi="仿宋" w:eastAsia="仿宋"/>
                <w:kern w:val="0"/>
                <w:sz w:val="24"/>
                <w:szCs w:val="24"/>
              </w:rPr>
            </w:pPr>
            <w:r>
              <w:rPr>
                <w:rFonts w:hint="eastAsia" w:ascii="仿宋" w:hAnsi="仿宋" w:eastAsia="仿宋"/>
                <w:kern w:val="0"/>
                <w:sz w:val="24"/>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4" w:hRule="atLeast"/>
          <w:jc w:val="center"/>
        </w:trPr>
        <w:tc>
          <w:tcPr>
            <w:tcW w:w="2098" w:type="dxa"/>
            <w:vMerge w:val="continue"/>
            <w:vAlign w:val="center"/>
          </w:tcPr>
          <w:p>
            <w:pPr>
              <w:overflowPunct w:val="0"/>
              <w:topLinePunct/>
              <w:snapToGrid w:val="0"/>
              <w:spacing w:line="400" w:lineRule="exact"/>
              <w:jc w:val="center"/>
              <w:rPr>
                <w:rFonts w:ascii="仿宋" w:hAnsi="仿宋" w:eastAsia="仿宋"/>
                <w:kern w:val="0"/>
                <w:sz w:val="24"/>
                <w:szCs w:val="24"/>
              </w:rPr>
            </w:pPr>
          </w:p>
        </w:tc>
        <w:tc>
          <w:tcPr>
            <w:tcW w:w="5192" w:type="dxa"/>
            <w:vAlign w:val="center"/>
          </w:tcPr>
          <w:p>
            <w:pPr>
              <w:rPr>
                <w:rFonts w:hint="eastAsia" w:ascii="宋体" w:hAnsi="宋体" w:cs="宋体"/>
                <w:kern w:val="0"/>
                <w:sz w:val="24"/>
                <w:szCs w:val="24"/>
              </w:rPr>
            </w:pPr>
            <w:r>
              <w:rPr>
                <w:rFonts w:hint="eastAsia" w:ascii="宋体" w:hAnsi="宋体" w:cs="宋体"/>
                <w:kern w:val="0"/>
                <w:sz w:val="24"/>
                <w:szCs w:val="24"/>
              </w:rPr>
              <w:t>已安装未联网的/未经环境保护主管部门同意，部分停运的</w:t>
            </w:r>
          </w:p>
        </w:tc>
        <w:tc>
          <w:tcPr>
            <w:tcW w:w="1430" w:type="dxa"/>
            <w:vAlign w:val="center"/>
          </w:tcPr>
          <w:p>
            <w:pPr>
              <w:overflowPunct w:val="0"/>
              <w:topLinePunct/>
              <w:snapToGrid w:val="0"/>
              <w:spacing w:line="400" w:lineRule="exact"/>
              <w:jc w:val="center"/>
              <w:rPr>
                <w:rFonts w:ascii="仿宋" w:hAnsi="仿宋" w:eastAsia="仿宋" w:cs="宋体"/>
                <w:kern w:val="0"/>
                <w:sz w:val="24"/>
                <w:szCs w:val="24"/>
              </w:rPr>
            </w:pPr>
            <w:r>
              <w:rPr>
                <w:rFonts w:ascii="仿宋" w:hAnsi="仿宋" w:eastAsia="仿宋"/>
                <w:kern w:val="0"/>
                <w:sz w:val="24"/>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4" w:hRule="atLeast"/>
          <w:jc w:val="center"/>
        </w:trPr>
        <w:tc>
          <w:tcPr>
            <w:tcW w:w="2098" w:type="dxa"/>
            <w:vMerge w:val="continue"/>
            <w:vAlign w:val="center"/>
          </w:tcPr>
          <w:p>
            <w:pPr>
              <w:overflowPunct w:val="0"/>
              <w:topLinePunct/>
              <w:snapToGrid w:val="0"/>
              <w:spacing w:line="400" w:lineRule="exact"/>
              <w:jc w:val="center"/>
              <w:rPr>
                <w:rFonts w:ascii="仿宋" w:hAnsi="仿宋" w:eastAsia="仿宋"/>
                <w:kern w:val="0"/>
                <w:sz w:val="24"/>
                <w:szCs w:val="24"/>
              </w:rPr>
            </w:pPr>
          </w:p>
        </w:tc>
        <w:tc>
          <w:tcPr>
            <w:tcW w:w="5192" w:type="dxa"/>
            <w:vAlign w:val="center"/>
          </w:tcPr>
          <w:p>
            <w:pPr>
              <w:rPr>
                <w:rFonts w:hint="eastAsia" w:ascii="宋体" w:hAnsi="宋体" w:cs="宋体"/>
                <w:kern w:val="0"/>
                <w:sz w:val="24"/>
                <w:szCs w:val="24"/>
              </w:rPr>
            </w:pPr>
            <w:r>
              <w:rPr>
                <w:rFonts w:hint="eastAsia" w:ascii="宋体" w:hAnsi="宋体" w:cs="宋体"/>
                <w:kern w:val="0"/>
                <w:sz w:val="24"/>
                <w:szCs w:val="24"/>
              </w:rPr>
              <w:t>未按照规定安装的/未经环境保护主管部门同意，全部停运的/擅自改动参数和监测数据的</w:t>
            </w:r>
          </w:p>
        </w:tc>
        <w:tc>
          <w:tcPr>
            <w:tcW w:w="1430" w:type="dxa"/>
            <w:vAlign w:val="center"/>
          </w:tcPr>
          <w:p>
            <w:pPr>
              <w:overflowPunct w:val="0"/>
              <w:topLinePunct/>
              <w:snapToGrid w:val="0"/>
              <w:spacing w:line="400" w:lineRule="exact"/>
              <w:jc w:val="center"/>
              <w:rPr>
                <w:rFonts w:ascii="仿宋" w:hAnsi="仿宋" w:eastAsia="仿宋" w:cs="宋体"/>
                <w:kern w:val="0"/>
                <w:sz w:val="24"/>
                <w:szCs w:val="24"/>
              </w:rPr>
            </w:pPr>
            <w:r>
              <w:rPr>
                <w:rFonts w:ascii="仿宋" w:hAnsi="仿宋" w:eastAsia="仿宋"/>
                <w:kern w:val="0"/>
                <w:sz w:val="24"/>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00" w:hRule="atLeast"/>
          <w:jc w:val="center"/>
        </w:trPr>
        <w:tc>
          <w:tcPr>
            <w:tcW w:w="2098" w:type="dxa"/>
            <w:vMerge w:val="restart"/>
            <w:vAlign w:val="center"/>
          </w:tcPr>
          <w:p>
            <w:pPr>
              <w:overflowPunct w:val="0"/>
              <w:topLinePunct/>
              <w:snapToGrid w:val="0"/>
              <w:spacing w:line="400" w:lineRule="exact"/>
              <w:jc w:val="center"/>
              <w:rPr>
                <w:rFonts w:ascii="仿宋" w:hAnsi="仿宋" w:eastAsia="仿宋"/>
                <w:kern w:val="0"/>
                <w:sz w:val="24"/>
                <w:szCs w:val="24"/>
              </w:rPr>
            </w:pPr>
            <w:r>
              <w:rPr>
                <w:rFonts w:hint="eastAsia" w:ascii="宋体" w:hAnsi="宋体" w:cs="宋体"/>
                <w:kern w:val="0"/>
                <w:sz w:val="24"/>
                <w:szCs w:val="24"/>
              </w:rPr>
              <w:t>自动监测数据失真情况</w:t>
            </w:r>
          </w:p>
        </w:tc>
        <w:tc>
          <w:tcPr>
            <w:tcW w:w="5192" w:type="dxa"/>
            <w:vAlign w:val="center"/>
          </w:tcPr>
          <w:p>
            <w:pPr>
              <w:rPr>
                <w:rFonts w:hint="eastAsia" w:ascii="宋体" w:hAnsi="宋体" w:cs="宋体"/>
                <w:kern w:val="0"/>
                <w:sz w:val="24"/>
                <w:szCs w:val="24"/>
              </w:rPr>
            </w:pPr>
            <w:r>
              <w:rPr>
                <w:rFonts w:hint="eastAsia" w:ascii="宋体" w:hAnsi="宋体" w:cs="宋体"/>
                <w:kern w:val="0"/>
                <w:sz w:val="24"/>
                <w:szCs w:val="24"/>
              </w:rPr>
              <w:t>比对监测不合格，不及时整改，保障自动监测数据真实有效的</w:t>
            </w:r>
          </w:p>
        </w:tc>
        <w:tc>
          <w:tcPr>
            <w:tcW w:w="1430" w:type="dxa"/>
            <w:vAlign w:val="center"/>
          </w:tcPr>
          <w:p>
            <w:pPr>
              <w:overflowPunct w:val="0"/>
              <w:topLinePunct/>
              <w:snapToGrid w:val="0"/>
              <w:spacing w:line="400" w:lineRule="exact"/>
              <w:jc w:val="center"/>
              <w:rPr>
                <w:rFonts w:ascii="仿宋" w:hAnsi="仿宋" w:eastAsia="仿宋" w:cs="宋体"/>
                <w:kern w:val="0"/>
                <w:sz w:val="24"/>
                <w:szCs w:val="24"/>
              </w:rPr>
            </w:pPr>
            <w:r>
              <w:rPr>
                <w:rFonts w:hint="eastAsia" w:ascii="仿宋" w:hAnsi="仿宋" w:eastAsia="仿宋"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78" w:hRule="atLeast"/>
          <w:jc w:val="center"/>
        </w:trPr>
        <w:tc>
          <w:tcPr>
            <w:tcW w:w="2098" w:type="dxa"/>
            <w:vMerge w:val="continue"/>
            <w:vAlign w:val="center"/>
          </w:tcPr>
          <w:p>
            <w:pPr>
              <w:overflowPunct w:val="0"/>
              <w:topLinePunct/>
              <w:snapToGrid w:val="0"/>
              <w:spacing w:line="400" w:lineRule="exact"/>
              <w:jc w:val="center"/>
              <w:rPr>
                <w:rFonts w:hint="eastAsia" w:ascii="仿宋" w:hAnsi="仿宋" w:eastAsia="仿宋" w:cs="宋体"/>
                <w:kern w:val="0"/>
                <w:sz w:val="24"/>
                <w:szCs w:val="24"/>
              </w:rPr>
            </w:pPr>
          </w:p>
        </w:tc>
        <w:tc>
          <w:tcPr>
            <w:tcW w:w="5192" w:type="dxa"/>
            <w:vAlign w:val="center"/>
          </w:tcPr>
          <w:p>
            <w:pPr>
              <w:rPr>
                <w:rFonts w:hint="eastAsia" w:ascii="宋体" w:hAnsi="宋体" w:cs="宋体"/>
                <w:kern w:val="0"/>
                <w:sz w:val="24"/>
                <w:szCs w:val="24"/>
              </w:rPr>
            </w:pPr>
            <w:r>
              <w:rPr>
                <w:rFonts w:hint="eastAsia" w:ascii="宋体" w:hAnsi="宋体" w:cs="宋体"/>
                <w:kern w:val="0"/>
                <w:sz w:val="24"/>
                <w:szCs w:val="24"/>
              </w:rPr>
              <w:t>传输的自动监测数据与现场分析仪表数据不一致，数据偏差1％以上5％以下</w:t>
            </w:r>
          </w:p>
        </w:tc>
        <w:tc>
          <w:tcPr>
            <w:tcW w:w="1430" w:type="dxa"/>
            <w:vAlign w:val="center"/>
          </w:tcPr>
          <w:p>
            <w:pPr>
              <w:overflowPunct w:val="0"/>
              <w:topLinePunct/>
              <w:snapToGrid w:val="0"/>
              <w:spacing w:line="400" w:lineRule="exact"/>
              <w:jc w:val="center"/>
              <w:rPr>
                <w:rFonts w:ascii="仿宋" w:hAnsi="仿宋" w:eastAsia="仿宋" w:cs="宋体"/>
                <w:kern w:val="0"/>
                <w:sz w:val="24"/>
                <w:szCs w:val="24"/>
              </w:rPr>
            </w:pPr>
            <w:r>
              <w:rPr>
                <w:rFonts w:ascii="仿宋" w:hAnsi="仿宋" w:eastAsia="仿宋"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76" w:hRule="atLeast"/>
          <w:jc w:val="center"/>
        </w:trPr>
        <w:tc>
          <w:tcPr>
            <w:tcW w:w="2098" w:type="dxa"/>
            <w:vMerge w:val="continue"/>
            <w:vAlign w:val="center"/>
          </w:tcPr>
          <w:p>
            <w:pPr>
              <w:overflowPunct w:val="0"/>
              <w:topLinePunct/>
              <w:snapToGrid w:val="0"/>
              <w:spacing w:line="400" w:lineRule="exact"/>
              <w:jc w:val="center"/>
              <w:rPr>
                <w:rFonts w:hint="eastAsia" w:ascii="仿宋" w:hAnsi="仿宋" w:eastAsia="仿宋" w:cs="宋体"/>
                <w:kern w:val="0"/>
                <w:sz w:val="24"/>
                <w:szCs w:val="24"/>
              </w:rPr>
            </w:pPr>
          </w:p>
        </w:tc>
        <w:tc>
          <w:tcPr>
            <w:tcW w:w="5192" w:type="dxa"/>
            <w:vAlign w:val="center"/>
          </w:tcPr>
          <w:p>
            <w:pPr>
              <w:rPr>
                <w:rFonts w:hint="eastAsia" w:ascii="宋体" w:hAnsi="宋体" w:cs="宋体"/>
                <w:kern w:val="0"/>
                <w:sz w:val="24"/>
                <w:szCs w:val="24"/>
              </w:rPr>
            </w:pPr>
            <w:r>
              <w:rPr>
                <w:rFonts w:hint="eastAsia" w:ascii="宋体" w:hAnsi="宋体" w:cs="宋体"/>
                <w:kern w:val="0"/>
                <w:sz w:val="24"/>
                <w:szCs w:val="24"/>
              </w:rPr>
              <w:t>传输的自动监测数据与现场分析仪表数据不一致，数据偏差5％以上10％以下</w:t>
            </w:r>
          </w:p>
        </w:tc>
        <w:tc>
          <w:tcPr>
            <w:tcW w:w="1430" w:type="dxa"/>
            <w:vAlign w:val="center"/>
          </w:tcPr>
          <w:p>
            <w:pPr>
              <w:overflowPunct w:val="0"/>
              <w:topLinePunct/>
              <w:snapToGrid w:val="0"/>
              <w:spacing w:line="400" w:lineRule="exact"/>
              <w:jc w:val="center"/>
              <w:rPr>
                <w:rFonts w:ascii="仿宋" w:hAnsi="仿宋" w:eastAsia="仿宋" w:cs="宋体"/>
                <w:kern w:val="0"/>
                <w:sz w:val="24"/>
                <w:szCs w:val="24"/>
              </w:rPr>
            </w:pPr>
            <w:r>
              <w:rPr>
                <w:rFonts w:ascii="仿宋" w:hAnsi="仿宋" w:eastAsia="仿宋"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76" w:hRule="atLeast"/>
          <w:jc w:val="center"/>
        </w:trPr>
        <w:tc>
          <w:tcPr>
            <w:tcW w:w="2098" w:type="dxa"/>
            <w:vMerge w:val="continue"/>
            <w:vAlign w:val="center"/>
          </w:tcPr>
          <w:p>
            <w:pPr>
              <w:overflowPunct w:val="0"/>
              <w:topLinePunct/>
              <w:snapToGrid w:val="0"/>
              <w:spacing w:line="400" w:lineRule="exact"/>
              <w:jc w:val="center"/>
              <w:rPr>
                <w:rFonts w:hint="eastAsia" w:ascii="仿宋" w:hAnsi="仿宋" w:eastAsia="仿宋" w:cs="宋体"/>
                <w:kern w:val="0"/>
                <w:sz w:val="24"/>
                <w:szCs w:val="24"/>
              </w:rPr>
            </w:pPr>
          </w:p>
        </w:tc>
        <w:tc>
          <w:tcPr>
            <w:tcW w:w="5192" w:type="dxa"/>
            <w:vAlign w:val="center"/>
          </w:tcPr>
          <w:p>
            <w:pPr>
              <w:rPr>
                <w:rFonts w:hint="eastAsia" w:ascii="宋体" w:hAnsi="宋体" w:cs="宋体"/>
                <w:kern w:val="0"/>
                <w:sz w:val="24"/>
                <w:szCs w:val="24"/>
              </w:rPr>
            </w:pPr>
            <w:r>
              <w:rPr>
                <w:rFonts w:hint="eastAsia" w:ascii="宋体" w:hAnsi="宋体" w:cs="宋体"/>
                <w:kern w:val="0"/>
                <w:sz w:val="24"/>
                <w:szCs w:val="24"/>
              </w:rPr>
              <w:t>传输的自动监测数据与现场分析仪表数据不一致，数据偏差10％以上</w:t>
            </w:r>
          </w:p>
        </w:tc>
        <w:tc>
          <w:tcPr>
            <w:tcW w:w="1430" w:type="dxa"/>
            <w:vAlign w:val="center"/>
          </w:tcPr>
          <w:p>
            <w:pPr>
              <w:overflowPunct w:val="0"/>
              <w:topLinePunct/>
              <w:snapToGrid w:val="0"/>
              <w:spacing w:line="400" w:lineRule="exact"/>
              <w:jc w:val="center"/>
              <w:rPr>
                <w:rFonts w:ascii="仿宋" w:hAnsi="仿宋" w:eastAsia="仿宋" w:cs="宋体"/>
                <w:kern w:val="0"/>
                <w:sz w:val="24"/>
                <w:szCs w:val="24"/>
              </w:rPr>
            </w:pPr>
            <w:r>
              <w:rPr>
                <w:rFonts w:ascii="仿宋" w:hAnsi="仿宋" w:eastAsia="仿宋"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35" w:hRule="atLeast"/>
          <w:jc w:val="center"/>
        </w:trPr>
        <w:tc>
          <w:tcPr>
            <w:tcW w:w="2098" w:type="dxa"/>
            <w:vMerge w:val="restart"/>
            <w:vAlign w:val="center"/>
          </w:tcPr>
          <w:p>
            <w:pPr>
              <w:overflowPunct w:val="0"/>
              <w:topLinePunct/>
              <w:snapToGrid w:val="0"/>
              <w:spacing w:line="400" w:lineRule="exact"/>
              <w:jc w:val="center"/>
              <w:rPr>
                <w:rFonts w:ascii="仿宋" w:hAnsi="仿宋" w:eastAsia="仿宋"/>
                <w:kern w:val="0"/>
                <w:sz w:val="24"/>
                <w:szCs w:val="24"/>
              </w:rPr>
            </w:pPr>
            <w:r>
              <w:rPr>
                <w:rFonts w:hint="eastAsia" w:ascii="宋体" w:hAnsi="宋体" w:cs="宋体"/>
                <w:kern w:val="0"/>
                <w:sz w:val="24"/>
                <w:szCs w:val="24"/>
              </w:rPr>
              <w:t>自动监测数据</w:t>
            </w:r>
            <w:r>
              <w:rPr>
                <w:rFonts w:hint="eastAsia" w:ascii="宋体" w:hAnsi="宋体" w:cs="宋体"/>
                <w:kern w:val="0"/>
                <w:sz w:val="24"/>
                <w:szCs w:val="24"/>
                <w:lang w:eastAsia="zh-CN"/>
              </w:rPr>
              <w:t>有效</w:t>
            </w:r>
            <w:r>
              <w:rPr>
                <w:rFonts w:hint="eastAsia" w:ascii="宋体" w:hAnsi="宋体" w:cs="宋体"/>
                <w:kern w:val="0"/>
                <w:sz w:val="24"/>
                <w:szCs w:val="24"/>
              </w:rPr>
              <w:t>传输率</w:t>
            </w:r>
          </w:p>
        </w:tc>
        <w:tc>
          <w:tcPr>
            <w:tcW w:w="5192" w:type="dxa"/>
            <w:vAlign w:val="center"/>
          </w:tcPr>
          <w:p>
            <w:pPr>
              <w:rPr>
                <w:rFonts w:hint="eastAsia" w:ascii="宋体" w:hAnsi="宋体" w:cs="宋体"/>
                <w:kern w:val="0"/>
                <w:sz w:val="24"/>
                <w:szCs w:val="24"/>
              </w:rPr>
            </w:pPr>
            <w:r>
              <w:rPr>
                <w:rFonts w:hint="eastAsia" w:ascii="宋体" w:hAnsi="宋体" w:cs="宋体"/>
                <w:kern w:val="0"/>
                <w:sz w:val="24"/>
                <w:szCs w:val="24"/>
              </w:rPr>
              <w:t>自动监测数据传输率日均值90％以上95％以下</w:t>
            </w:r>
          </w:p>
        </w:tc>
        <w:tc>
          <w:tcPr>
            <w:tcW w:w="1430" w:type="dxa"/>
            <w:vAlign w:val="center"/>
          </w:tcPr>
          <w:p>
            <w:pPr>
              <w:overflowPunct w:val="0"/>
              <w:topLinePunct/>
              <w:snapToGrid w:val="0"/>
              <w:spacing w:line="400" w:lineRule="exact"/>
              <w:jc w:val="center"/>
              <w:rPr>
                <w:rFonts w:ascii="仿宋" w:hAnsi="仿宋" w:eastAsia="仿宋" w:cs="宋体"/>
                <w:kern w:val="0"/>
                <w:sz w:val="24"/>
                <w:szCs w:val="24"/>
              </w:rPr>
            </w:pPr>
            <w:r>
              <w:rPr>
                <w:rFonts w:ascii="仿宋" w:hAnsi="仿宋" w:eastAsia="仿宋"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35" w:hRule="atLeast"/>
          <w:jc w:val="center"/>
        </w:trPr>
        <w:tc>
          <w:tcPr>
            <w:tcW w:w="2098" w:type="dxa"/>
            <w:vMerge w:val="continue"/>
            <w:vAlign w:val="center"/>
          </w:tcPr>
          <w:p>
            <w:pPr>
              <w:overflowPunct w:val="0"/>
              <w:topLinePunct/>
              <w:snapToGrid w:val="0"/>
              <w:spacing w:line="400" w:lineRule="exact"/>
              <w:jc w:val="center"/>
              <w:rPr>
                <w:rFonts w:ascii="仿宋" w:hAnsi="仿宋" w:eastAsia="仿宋"/>
                <w:kern w:val="0"/>
                <w:sz w:val="24"/>
                <w:szCs w:val="24"/>
              </w:rPr>
            </w:pPr>
          </w:p>
        </w:tc>
        <w:tc>
          <w:tcPr>
            <w:tcW w:w="5192" w:type="dxa"/>
            <w:vAlign w:val="center"/>
          </w:tcPr>
          <w:p>
            <w:pPr>
              <w:rPr>
                <w:rFonts w:hint="eastAsia" w:ascii="宋体" w:hAnsi="宋体" w:cs="宋体"/>
                <w:kern w:val="0"/>
                <w:sz w:val="24"/>
                <w:szCs w:val="24"/>
              </w:rPr>
            </w:pPr>
            <w:r>
              <w:rPr>
                <w:rFonts w:hint="eastAsia" w:ascii="宋体" w:hAnsi="宋体" w:cs="宋体"/>
                <w:kern w:val="0"/>
                <w:sz w:val="24"/>
                <w:szCs w:val="24"/>
              </w:rPr>
              <w:t>自动监测数据传输率日均值80％以上90％以下</w:t>
            </w:r>
          </w:p>
        </w:tc>
        <w:tc>
          <w:tcPr>
            <w:tcW w:w="1430" w:type="dxa"/>
            <w:vAlign w:val="center"/>
          </w:tcPr>
          <w:p>
            <w:pPr>
              <w:overflowPunct w:val="0"/>
              <w:topLinePunct/>
              <w:snapToGrid w:val="0"/>
              <w:spacing w:line="400" w:lineRule="exact"/>
              <w:jc w:val="center"/>
              <w:rPr>
                <w:rFonts w:ascii="仿宋" w:hAnsi="仿宋" w:eastAsia="仿宋" w:cs="宋体"/>
                <w:kern w:val="0"/>
                <w:sz w:val="24"/>
                <w:szCs w:val="24"/>
              </w:rPr>
            </w:pPr>
            <w:r>
              <w:rPr>
                <w:rFonts w:ascii="仿宋" w:hAnsi="仿宋" w:eastAsia="仿宋"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35" w:hRule="atLeast"/>
          <w:jc w:val="center"/>
        </w:trPr>
        <w:tc>
          <w:tcPr>
            <w:tcW w:w="2098" w:type="dxa"/>
            <w:vMerge w:val="continue"/>
            <w:vAlign w:val="center"/>
          </w:tcPr>
          <w:p>
            <w:pPr>
              <w:overflowPunct w:val="0"/>
              <w:topLinePunct/>
              <w:snapToGrid w:val="0"/>
              <w:spacing w:line="400" w:lineRule="exact"/>
              <w:jc w:val="center"/>
              <w:rPr>
                <w:rFonts w:ascii="仿宋" w:hAnsi="仿宋" w:eastAsia="仿宋"/>
                <w:kern w:val="0"/>
                <w:sz w:val="24"/>
                <w:szCs w:val="24"/>
              </w:rPr>
            </w:pPr>
          </w:p>
        </w:tc>
        <w:tc>
          <w:tcPr>
            <w:tcW w:w="5192" w:type="dxa"/>
            <w:vAlign w:val="center"/>
          </w:tcPr>
          <w:p>
            <w:pPr>
              <w:rPr>
                <w:rFonts w:hint="eastAsia" w:ascii="宋体" w:hAnsi="宋体" w:cs="宋体"/>
                <w:kern w:val="0"/>
                <w:sz w:val="24"/>
                <w:szCs w:val="24"/>
              </w:rPr>
            </w:pPr>
            <w:r>
              <w:rPr>
                <w:rFonts w:hint="eastAsia" w:ascii="宋体" w:hAnsi="宋体" w:cs="宋体"/>
                <w:kern w:val="0"/>
                <w:sz w:val="24"/>
                <w:szCs w:val="24"/>
              </w:rPr>
              <w:t>自动监测数据传输率日均值80％以下</w:t>
            </w:r>
          </w:p>
        </w:tc>
        <w:tc>
          <w:tcPr>
            <w:tcW w:w="1430" w:type="dxa"/>
            <w:vAlign w:val="center"/>
          </w:tcPr>
          <w:p>
            <w:pPr>
              <w:overflowPunct w:val="0"/>
              <w:topLinePunct/>
              <w:snapToGrid w:val="0"/>
              <w:spacing w:line="400" w:lineRule="exact"/>
              <w:jc w:val="center"/>
              <w:rPr>
                <w:rFonts w:ascii="仿宋" w:hAnsi="仿宋" w:eastAsia="仿宋" w:cs="宋体"/>
                <w:kern w:val="0"/>
                <w:sz w:val="24"/>
                <w:szCs w:val="24"/>
              </w:rPr>
            </w:pPr>
            <w:r>
              <w:rPr>
                <w:rFonts w:ascii="仿宋" w:hAnsi="仿宋" w:eastAsia="仿宋" w:cs="宋体"/>
                <w:kern w:val="0"/>
                <w:sz w:val="24"/>
                <w:szCs w:val="24"/>
              </w:rPr>
              <w:t>5</w:t>
            </w:r>
          </w:p>
        </w:tc>
      </w:tr>
    </w:tbl>
    <w:p>
      <w:pPr>
        <w:overflowPunct w:val="0"/>
        <w:topLinePunct/>
        <w:adjustRightInd w:val="0"/>
        <w:snapToGrid w:val="0"/>
        <w:spacing w:line="400" w:lineRule="exact"/>
        <w:ind w:firstLine="480" w:firstLineChars="200"/>
        <w:rPr>
          <w:rFonts w:hint="eastAsia" w:ascii="宋体" w:hAnsi="宋体" w:cs="宋体"/>
          <w:kern w:val="0"/>
          <w:sz w:val="24"/>
          <w:szCs w:val="24"/>
        </w:rPr>
      </w:pPr>
      <w:r>
        <w:rPr>
          <w:rFonts w:hint="eastAsia" w:ascii="宋体" w:hAnsi="宋体" w:cs="宋体"/>
          <w:kern w:val="0"/>
          <w:sz w:val="24"/>
          <w:szCs w:val="24"/>
        </w:rPr>
        <w:t>注：</w:t>
      </w:r>
      <w:r>
        <w:rPr>
          <w:rFonts w:hint="eastAsia" w:ascii="宋体" w:hAnsi="宋体" w:cs="宋体"/>
          <w:kern w:val="0"/>
          <w:sz w:val="24"/>
          <w:szCs w:val="24"/>
          <w:lang w:val="en-US" w:eastAsia="zh-CN"/>
        </w:rPr>
        <w:t>1．</w:t>
      </w:r>
      <w:r>
        <w:rPr>
          <w:rFonts w:hint="eastAsia" w:ascii="宋体" w:hAnsi="宋体" w:cs="宋体"/>
          <w:kern w:val="0"/>
          <w:sz w:val="24"/>
          <w:szCs w:val="24"/>
        </w:rPr>
        <w:t>本表适用于《中华人民共和国水污染防治法》第八十二条第二项、《中华人民共和国大气污染防治法》第一百条第三项以及其他同类型环境违法行为。</w:t>
      </w:r>
    </w:p>
    <w:p>
      <w:pPr>
        <w:overflowPunct w:val="0"/>
        <w:topLinePunct/>
        <w:adjustRightInd w:val="0"/>
        <w:snapToGrid w:val="0"/>
        <w:spacing w:line="400" w:lineRule="exact"/>
        <w:rPr>
          <w:rFonts w:hint="default" w:ascii="宋体" w:hAnsi="宋体" w:cs="宋体" w:eastAsiaTheme="minorEastAsia"/>
          <w:kern w:val="0"/>
          <w:sz w:val="24"/>
          <w:szCs w:val="24"/>
          <w:lang w:val="en-US" w:eastAsia="zh-CN"/>
        </w:rPr>
      </w:pPr>
      <w:r>
        <w:rPr>
          <w:rFonts w:hint="eastAsia" w:ascii="宋体" w:hAnsi="宋体" w:cs="宋体"/>
          <w:kern w:val="0"/>
          <w:sz w:val="24"/>
          <w:szCs w:val="24"/>
          <w:lang w:val="en-US" w:eastAsia="zh-CN"/>
        </w:rPr>
        <w:t>　　2．有效传输率=考核时段内小时数据和日数据实收数据个数之和/考核时段内小时数据和日数据应收数据个数之和*100%，剔除停产时段数据。</w:t>
      </w:r>
    </w:p>
    <w:p>
      <w:pPr>
        <w:overflowPunct w:val="0"/>
        <w:topLinePunct/>
        <w:adjustRightInd w:val="0"/>
        <w:snapToGrid w:val="0"/>
        <w:spacing w:line="600" w:lineRule="exact"/>
        <w:ind w:firstLine="482" w:firstLineChars="200"/>
        <w:outlineLvl w:val="1"/>
        <w:rPr>
          <w:rFonts w:ascii="宋体"/>
          <w:b/>
          <w:bCs/>
          <w:sz w:val="24"/>
          <w:szCs w:val="24"/>
        </w:rPr>
      </w:pPr>
    </w:p>
    <w:p>
      <w:pPr>
        <w:overflowPunct w:val="0"/>
        <w:topLinePunct/>
        <w:adjustRightInd w:val="0"/>
        <w:snapToGrid w:val="0"/>
        <w:spacing w:line="600" w:lineRule="exact"/>
        <w:ind w:firstLine="640" w:firstLineChars="200"/>
        <w:outlineLvl w:val="1"/>
        <w:rPr>
          <w:rFonts w:hint="eastAsia" w:ascii="楷体" w:hAnsi="楷体" w:eastAsia="楷体" w:cs="楷体"/>
          <w:sz w:val="32"/>
          <w:szCs w:val="32"/>
        </w:rPr>
      </w:pPr>
      <w:r>
        <w:rPr>
          <w:rFonts w:hint="eastAsia" w:ascii="楷体" w:hAnsi="楷体" w:eastAsia="楷体" w:cs="楷体"/>
          <w:sz w:val="32"/>
          <w:szCs w:val="32"/>
        </w:rPr>
        <w:t>（九）违反辐射安全管理制度的行为</w:t>
      </w:r>
    </w:p>
    <w:tbl>
      <w:tblPr>
        <w:tblStyle w:val="4"/>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2098"/>
        <w:gridCol w:w="5192"/>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4" w:hRule="atLeast"/>
          <w:tblHeader/>
          <w:jc w:val="center"/>
        </w:trPr>
        <w:tc>
          <w:tcPr>
            <w:tcW w:w="2098" w:type="dxa"/>
            <w:vAlign w:val="center"/>
          </w:tcPr>
          <w:p>
            <w:pPr>
              <w:overflowPunct w:val="0"/>
              <w:topLinePunct/>
              <w:snapToGrid w:val="0"/>
              <w:jc w:val="center"/>
              <w:rPr>
                <w:rFonts w:ascii="宋体"/>
                <w:kern w:val="0"/>
                <w:sz w:val="24"/>
                <w:szCs w:val="24"/>
              </w:rPr>
            </w:pPr>
            <w:r>
              <w:rPr>
                <w:rFonts w:hint="eastAsia" w:ascii="宋体" w:hAnsi="宋体" w:cs="宋体"/>
                <w:kern w:val="0"/>
                <w:sz w:val="24"/>
                <w:szCs w:val="24"/>
              </w:rPr>
              <w:t>裁量因素</w:t>
            </w:r>
          </w:p>
        </w:tc>
        <w:tc>
          <w:tcPr>
            <w:tcW w:w="5192" w:type="dxa"/>
            <w:vAlign w:val="center"/>
          </w:tcPr>
          <w:p>
            <w:pPr>
              <w:overflowPunct w:val="0"/>
              <w:topLinePunct/>
              <w:snapToGrid w:val="0"/>
              <w:jc w:val="center"/>
              <w:rPr>
                <w:rFonts w:ascii="宋体"/>
                <w:kern w:val="0"/>
                <w:sz w:val="24"/>
                <w:szCs w:val="24"/>
              </w:rPr>
            </w:pPr>
            <w:r>
              <w:rPr>
                <w:rFonts w:hint="eastAsia" w:ascii="宋体" w:hAnsi="宋体" w:cs="宋体"/>
                <w:kern w:val="0"/>
                <w:sz w:val="24"/>
                <w:szCs w:val="24"/>
              </w:rPr>
              <w:t>裁量因子</w:t>
            </w:r>
          </w:p>
        </w:tc>
        <w:tc>
          <w:tcPr>
            <w:tcW w:w="1430" w:type="dxa"/>
            <w:vAlign w:val="center"/>
          </w:tcPr>
          <w:p>
            <w:pPr>
              <w:overflowPunct w:val="0"/>
              <w:topLinePunct/>
              <w:snapToGrid w:val="0"/>
              <w:jc w:val="center"/>
              <w:rPr>
                <w:rFonts w:ascii="宋体"/>
                <w:kern w:val="0"/>
                <w:sz w:val="24"/>
                <w:szCs w:val="24"/>
              </w:rPr>
            </w:pPr>
            <w:r>
              <w:rPr>
                <w:rFonts w:hint="eastAsia" w:ascii="宋体" w:hAnsi="宋体" w:cs="宋体"/>
                <w:kern w:val="0"/>
                <w:sz w:val="24"/>
                <w:szCs w:val="24"/>
              </w:rPr>
              <w:t>裁量等级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910" w:hRule="atLeast"/>
          <w:jc w:val="center"/>
        </w:trPr>
        <w:tc>
          <w:tcPr>
            <w:tcW w:w="2098" w:type="dxa"/>
            <w:vMerge w:val="restart"/>
            <w:vAlign w:val="center"/>
          </w:tcPr>
          <w:p>
            <w:pPr>
              <w:overflowPunct w:val="0"/>
              <w:topLinePunct/>
              <w:snapToGrid w:val="0"/>
              <w:spacing w:line="400" w:lineRule="exact"/>
              <w:jc w:val="center"/>
              <w:rPr>
                <w:rFonts w:ascii="宋体"/>
                <w:kern w:val="0"/>
                <w:sz w:val="24"/>
                <w:szCs w:val="24"/>
              </w:rPr>
            </w:pPr>
            <w:r>
              <w:rPr>
                <w:rFonts w:hint="eastAsia" w:ascii="宋体" w:hAnsi="宋体" w:cs="宋体"/>
                <w:kern w:val="0"/>
                <w:sz w:val="24"/>
                <w:szCs w:val="24"/>
              </w:rPr>
              <w:t>涉及放射种类</w:t>
            </w:r>
          </w:p>
        </w:tc>
        <w:tc>
          <w:tcPr>
            <w:tcW w:w="5192" w:type="dxa"/>
            <w:vAlign w:val="center"/>
          </w:tcPr>
          <w:p>
            <w:pPr>
              <w:overflowPunct w:val="0"/>
              <w:topLinePunct/>
              <w:snapToGrid w:val="0"/>
              <w:spacing w:line="400" w:lineRule="exact"/>
              <w:rPr>
                <w:rFonts w:ascii="宋体"/>
                <w:kern w:val="0"/>
                <w:sz w:val="24"/>
                <w:szCs w:val="24"/>
              </w:rPr>
            </w:pPr>
            <w:r>
              <w:rPr>
                <w:rFonts w:hint="eastAsia" w:ascii="宋体" w:hAnsi="宋体" w:cs="宋体"/>
                <w:kern w:val="0"/>
                <w:sz w:val="24"/>
                <w:szCs w:val="24"/>
              </w:rPr>
              <w:t>Ⅳ类、Ⅴ类放射源</w:t>
            </w:r>
            <w:r>
              <w:rPr>
                <w:rFonts w:ascii="宋体" w:hAnsi="宋体" w:cs="宋体"/>
                <w:kern w:val="0"/>
                <w:sz w:val="24"/>
                <w:szCs w:val="24"/>
              </w:rPr>
              <w:t>/</w:t>
            </w:r>
            <w:r>
              <w:rPr>
                <w:rFonts w:hint="eastAsia" w:ascii="宋体" w:hAnsi="宋体" w:cs="宋体"/>
                <w:kern w:val="0"/>
                <w:sz w:val="24"/>
                <w:szCs w:val="24"/>
              </w:rPr>
              <w:t>Ⅲ类射线装置</w:t>
            </w:r>
            <w:r>
              <w:rPr>
                <w:rFonts w:ascii="宋体" w:hAnsi="宋体" w:cs="宋体"/>
                <w:kern w:val="0"/>
                <w:sz w:val="24"/>
                <w:szCs w:val="24"/>
              </w:rPr>
              <w:t>/</w:t>
            </w:r>
            <w:r>
              <w:rPr>
                <w:rFonts w:hint="eastAsia" w:ascii="宋体" w:hAnsi="宋体" w:cs="宋体"/>
                <w:kern w:val="0"/>
                <w:sz w:val="24"/>
                <w:szCs w:val="24"/>
              </w:rPr>
              <w:t>三类放射性物品</w:t>
            </w:r>
          </w:p>
        </w:tc>
        <w:tc>
          <w:tcPr>
            <w:tcW w:w="1430" w:type="dxa"/>
            <w:vAlign w:val="center"/>
          </w:tcPr>
          <w:p>
            <w:pPr>
              <w:overflowPunct w:val="0"/>
              <w:topLinePunct/>
              <w:snapToGrid w:val="0"/>
              <w:spacing w:line="400" w:lineRule="exact"/>
              <w:jc w:val="center"/>
              <w:rPr>
                <w:rFonts w:ascii="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910" w:hRule="atLeast"/>
          <w:jc w:val="center"/>
        </w:trPr>
        <w:tc>
          <w:tcPr>
            <w:tcW w:w="2098" w:type="dxa"/>
            <w:vMerge w:val="continue"/>
            <w:vAlign w:val="center"/>
          </w:tcPr>
          <w:p>
            <w:pPr>
              <w:overflowPunct w:val="0"/>
              <w:topLinePunct/>
              <w:snapToGrid w:val="0"/>
              <w:spacing w:line="400" w:lineRule="exact"/>
              <w:jc w:val="center"/>
              <w:rPr>
                <w:rFonts w:ascii="宋体"/>
                <w:kern w:val="0"/>
                <w:sz w:val="24"/>
                <w:szCs w:val="24"/>
              </w:rPr>
            </w:pPr>
          </w:p>
        </w:tc>
        <w:tc>
          <w:tcPr>
            <w:tcW w:w="5192" w:type="dxa"/>
            <w:vAlign w:val="center"/>
          </w:tcPr>
          <w:p>
            <w:pPr>
              <w:overflowPunct w:val="0"/>
              <w:topLinePunct/>
              <w:snapToGrid w:val="0"/>
              <w:spacing w:line="400" w:lineRule="exact"/>
              <w:rPr>
                <w:rFonts w:ascii="宋体"/>
                <w:kern w:val="0"/>
                <w:sz w:val="24"/>
                <w:szCs w:val="24"/>
              </w:rPr>
            </w:pPr>
            <w:r>
              <w:rPr>
                <w:rFonts w:hint="eastAsia" w:ascii="宋体" w:hAnsi="宋体" w:cs="宋体"/>
                <w:kern w:val="0"/>
                <w:sz w:val="24"/>
                <w:szCs w:val="24"/>
              </w:rPr>
              <w:t>Ⅲ类放射源</w:t>
            </w:r>
            <w:r>
              <w:rPr>
                <w:rFonts w:ascii="宋体" w:hAnsi="宋体" w:cs="宋体"/>
                <w:kern w:val="0"/>
                <w:sz w:val="24"/>
                <w:szCs w:val="24"/>
              </w:rPr>
              <w:t>/</w:t>
            </w:r>
            <w:r>
              <w:rPr>
                <w:rFonts w:hint="eastAsia" w:ascii="宋体" w:hAnsi="宋体" w:cs="宋体"/>
                <w:kern w:val="0"/>
                <w:sz w:val="24"/>
                <w:szCs w:val="24"/>
              </w:rPr>
              <w:t>Ⅱ类射线装置</w:t>
            </w:r>
            <w:r>
              <w:rPr>
                <w:rFonts w:ascii="宋体" w:hAnsi="宋体" w:cs="宋体"/>
                <w:kern w:val="0"/>
                <w:sz w:val="24"/>
                <w:szCs w:val="24"/>
              </w:rPr>
              <w:t>/</w:t>
            </w:r>
            <w:r>
              <w:rPr>
                <w:rFonts w:hint="eastAsia" w:ascii="宋体" w:hAnsi="宋体" w:cs="宋体"/>
                <w:kern w:val="0"/>
                <w:sz w:val="24"/>
                <w:szCs w:val="24"/>
              </w:rPr>
              <w:t>二类放射性物品</w:t>
            </w:r>
          </w:p>
        </w:tc>
        <w:tc>
          <w:tcPr>
            <w:tcW w:w="1430" w:type="dxa"/>
            <w:vAlign w:val="center"/>
          </w:tcPr>
          <w:p>
            <w:pPr>
              <w:overflowPunct w:val="0"/>
              <w:topLinePunct/>
              <w:snapToGrid w:val="0"/>
              <w:spacing w:line="400" w:lineRule="exact"/>
              <w:jc w:val="center"/>
              <w:rPr>
                <w:rFonts w:ascii="宋体"/>
                <w:kern w:val="0"/>
                <w:sz w:val="24"/>
                <w:szCs w:val="24"/>
              </w:rPr>
            </w:pPr>
            <w:r>
              <w:rPr>
                <w:rFonts w:ascii="宋体" w:hAns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4" w:hRule="atLeast"/>
          <w:jc w:val="center"/>
        </w:trPr>
        <w:tc>
          <w:tcPr>
            <w:tcW w:w="2098" w:type="dxa"/>
            <w:vMerge w:val="continue"/>
            <w:vAlign w:val="center"/>
          </w:tcPr>
          <w:p>
            <w:pPr>
              <w:overflowPunct w:val="0"/>
              <w:topLinePunct/>
              <w:spacing w:line="400" w:lineRule="exact"/>
              <w:jc w:val="left"/>
              <w:rPr>
                <w:rFonts w:ascii="宋体"/>
                <w:kern w:val="0"/>
                <w:sz w:val="24"/>
                <w:szCs w:val="24"/>
              </w:rPr>
            </w:pPr>
          </w:p>
        </w:tc>
        <w:tc>
          <w:tcPr>
            <w:tcW w:w="5192" w:type="dxa"/>
            <w:vAlign w:val="center"/>
          </w:tcPr>
          <w:p>
            <w:pPr>
              <w:overflowPunct w:val="0"/>
              <w:topLinePunct/>
              <w:snapToGrid w:val="0"/>
              <w:spacing w:line="400" w:lineRule="exact"/>
              <w:rPr>
                <w:rFonts w:ascii="宋体"/>
                <w:kern w:val="0"/>
                <w:sz w:val="24"/>
                <w:szCs w:val="24"/>
              </w:rPr>
            </w:pPr>
            <w:r>
              <w:rPr>
                <w:rFonts w:hint="eastAsia" w:ascii="宋体" w:hAnsi="宋体" w:cs="宋体"/>
                <w:kern w:val="0"/>
                <w:sz w:val="24"/>
                <w:szCs w:val="24"/>
              </w:rPr>
              <w:t>Ⅰ类、Ⅱ类放射源</w:t>
            </w:r>
            <w:r>
              <w:rPr>
                <w:rFonts w:ascii="宋体" w:hAnsi="宋体" w:cs="宋体"/>
                <w:kern w:val="0"/>
                <w:sz w:val="24"/>
                <w:szCs w:val="24"/>
              </w:rPr>
              <w:t>/</w:t>
            </w:r>
            <w:r>
              <w:rPr>
                <w:rFonts w:hint="eastAsia" w:ascii="宋体" w:hAnsi="宋体" w:cs="宋体"/>
                <w:kern w:val="0"/>
                <w:sz w:val="24"/>
                <w:szCs w:val="24"/>
              </w:rPr>
              <w:t>Ⅰ类射线装置</w:t>
            </w:r>
            <w:r>
              <w:rPr>
                <w:rFonts w:ascii="宋体" w:hAnsi="宋体" w:cs="宋体"/>
                <w:kern w:val="0"/>
                <w:sz w:val="24"/>
                <w:szCs w:val="24"/>
              </w:rPr>
              <w:t>/</w:t>
            </w:r>
            <w:r>
              <w:rPr>
                <w:rFonts w:hint="eastAsia" w:ascii="宋体" w:hAnsi="宋体" w:cs="宋体"/>
                <w:kern w:val="0"/>
                <w:sz w:val="24"/>
                <w:szCs w:val="24"/>
              </w:rPr>
              <w:t>一类放射性物品</w:t>
            </w:r>
          </w:p>
        </w:tc>
        <w:tc>
          <w:tcPr>
            <w:tcW w:w="1430" w:type="dxa"/>
            <w:vAlign w:val="center"/>
          </w:tcPr>
          <w:p>
            <w:pPr>
              <w:overflowPunct w:val="0"/>
              <w:topLinePunct/>
              <w:snapToGrid w:val="0"/>
              <w:spacing w:line="400" w:lineRule="exact"/>
              <w:jc w:val="center"/>
              <w:rPr>
                <w:rFonts w:ascii="宋体" w:hAnsi="宋体" w:cs="宋体"/>
                <w:kern w:val="0"/>
                <w:sz w:val="24"/>
                <w:szCs w:val="24"/>
              </w:rPr>
            </w:pPr>
            <w:r>
              <w:rPr>
                <w:rFonts w:ascii="宋体" w:hAnsi="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57" w:hRule="atLeast"/>
          <w:jc w:val="center"/>
        </w:trPr>
        <w:tc>
          <w:tcPr>
            <w:tcW w:w="2098" w:type="dxa"/>
            <w:vMerge w:val="restart"/>
            <w:vAlign w:val="center"/>
          </w:tcPr>
          <w:p>
            <w:pPr>
              <w:overflowPunct w:val="0"/>
              <w:topLinePunct/>
              <w:snapToGrid w:val="0"/>
              <w:spacing w:line="400" w:lineRule="exact"/>
              <w:jc w:val="center"/>
              <w:rPr>
                <w:rFonts w:ascii="宋体"/>
                <w:kern w:val="0"/>
                <w:sz w:val="24"/>
                <w:szCs w:val="24"/>
              </w:rPr>
            </w:pPr>
            <w:r>
              <w:rPr>
                <w:rFonts w:hint="eastAsia" w:ascii="宋体" w:hAnsi="宋体" w:cs="宋体"/>
                <w:kern w:val="0"/>
                <w:sz w:val="24"/>
                <w:szCs w:val="24"/>
              </w:rPr>
              <w:t>放射性废物类型</w:t>
            </w:r>
          </w:p>
        </w:tc>
        <w:tc>
          <w:tcPr>
            <w:tcW w:w="5192" w:type="dxa"/>
            <w:vAlign w:val="center"/>
          </w:tcPr>
          <w:p>
            <w:pPr>
              <w:overflowPunct w:val="0"/>
              <w:topLinePunct/>
              <w:snapToGrid w:val="0"/>
              <w:spacing w:line="400" w:lineRule="exact"/>
              <w:rPr>
                <w:rFonts w:ascii="宋体"/>
                <w:kern w:val="0"/>
                <w:sz w:val="24"/>
                <w:szCs w:val="24"/>
              </w:rPr>
            </w:pPr>
            <w:r>
              <w:rPr>
                <w:rFonts w:hint="eastAsia" w:ascii="宋体" w:hAnsi="宋体" w:cs="宋体"/>
                <w:kern w:val="0"/>
                <w:sz w:val="24"/>
                <w:szCs w:val="24"/>
              </w:rPr>
              <w:t>极短寿命放射性废物</w:t>
            </w:r>
          </w:p>
        </w:tc>
        <w:tc>
          <w:tcPr>
            <w:tcW w:w="1430" w:type="dxa"/>
            <w:vAlign w:val="center"/>
          </w:tcPr>
          <w:p>
            <w:pPr>
              <w:overflowPunct w:val="0"/>
              <w:topLinePunct/>
              <w:snapToGrid w:val="0"/>
              <w:spacing w:line="400" w:lineRule="exact"/>
              <w:jc w:val="center"/>
              <w:rPr>
                <w:rFonts w:ascii="宋体" w:hAnsi="宋体" w:cs="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97" w:hRule="atLeast"/>
          <w:jc w:val="center"/>
        </w:trPr>
        <w:tc>
          <w:tcPr>
            <w:tcW w:w="2098" w:type="dxa"/>
            <w:vMerge w:val="continue"/>
            <w:vAlign w:val="center"/>
          </w:tcPr>
          <w:p>
            <w:pPr>
              <w:overflowPunct w:val="0"/>
              <w:topLinePunct/>
              <w:snapToGrid w:val="0"/>
              <w:spacing w:line="400" w:lineRule="exact"/>
              <w:jc w:val="center"/>
              <w:rPr>
                <w:rFonts w:ascii="宋体"/>
                <w:kern w:val="0"/>
                <w:sz w:val="24"/>
                <w:szCs w:val="24"/>
              </w:rPr>
            </w:pPr>
          </w:p>
        </w:tc>
        <w:tc>
          <w:tcPr>
            <w:tcW w:w="5192" w:type="dxa"/>
            <w:vAlign w:val="center"/>
          </w:tcPr>
          <w:p>
            <w:pPr>
              <w:overflowPunct w:val="0"/>
              <w:topLinePunct/>
              <w:snapToGrid w:val="0"/>
              <w:spacing w:line="400" w:lineRule="exact"/>
              <w:rPr>
                <w:rFonts w:ascii="宋体"/>
                <w:kern w:val="0"/>
                <w:sz w:val="24"/>
                <w:szCs w:val="24"/>
              </w:rPr>
            </w:pPr>
            <w:r>
              <w:rPr>
                <w:rFonts w:hint="eastAsia" w:ascii="宋体" w:hAnsi="宋体" w:cs="宋体"/>
                <w:kern w:val="0"/>
                <w:sz w:val="24"/>
                <w:szCs w:val="24"/>
              </w:rPr>
              <w:t>极低水平放射性废物</w:t>
            </w:r>
          </w:p>
        </w:tc>
        <w:tc>
          <w:tcPr>
            <w:tcW w:w="1430" w:type="dxa"/>
            <w:vAlign w:val="center"/>
          </w:tcPr>
          <w:p>
            <w:pPr>
              <w:overflowPunct w:val="0"/>
              <w:topLinePunct/>
              <w:snapToGrid w:val="0"/>
              <w:spacing w:line="400" w:lineRule="exact"/>
              <w:jc w:val="center"/>
              <w:rPr>
                <w:rFonts w:ascii="宋体"/>
                <w:kern w:val="0"/>
                <w:sz w:val="24"/>
                <w:szCs w:val="24"/>
              </w:rPr>
            </w:pPr>
            <w:r>
              <w:rPr>
                <w:rFonts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8" w:hRule="atLeast"/>
          <w:jc w:val="center"/>
        </w:trPr>
        <w:tc>
          <w:tcPr>
            <w:tcW w:w="2098" w:type="dxa"/>
            <w:vMerge w:val="continue"/>
            <w:vAlign w:val="center"/>
          </w:tcPr>
          <w:p>
            <w:pPr>
              <w:overflowPunct w:val="0"/>
              <w:topLinePunct/>
              <w:spacing w:line="400" w:lineRule="exact"/>
              <w:jc w:val="center"/>
              <w:rPr>
                <w:rFonts w:ascii="宋体"/>
                <w:kern w:val="0"/>
                <w:sz w:val="24"/>
                <w:szCs w:val="24"/>
              </w:rPr>
            </w:pPr>
          </w:p>
        </w:tc>
        <w:tc>
          <w:tcPr>
            <w:tcW w:w="5192" w:type="dxa"/>
            <w:vAlign w:val="center"/>
          </w:tcPr>
          <w:p>
            <w:pPr>
              <w:overflowPunct w:val="0"/>
              <w:topLinePunct/>
              <w:snapToGrid w:val="0"/>
              <w:spacing w:line="400" w:lineRule="exact"/>
              <w:rPr>
                <w:rFonts w:ascii="宋体"/>
                <w:kern w:val="0"/>
                <w:sz w:val="24"/>
                <w:szCs w:val="24"/>
              </w:rPr>
            </w:pPr>
            <w:r>
              <w:rPr>
                <w:rFonts w:hint="eastAsia" w:ascii="宋体" w:hAnsi="宋体" w:cs="宋体"/>
                <w:kern w:val="0"/>
                <w:sz w:val="24"/>
                <w:szCs w:val="24"/>
              </w:rPr>
              <w:t>低水平放射性废物</w:t>
            </w:r>
          </w:p>
        </w:tc>
        <w:tc>
          <w:tcPr>
            <w:tcW w:w="1430" w:type="dxa"/>
            <w:vAlign w:val="center"/>
          </w:tcPr>
          <w:p>
            <w:pPr>
              <w:overflowPunct w:val="0"/>
              <w:topLinePunct/>
              <w:snapToGrid w:val="0"/>
              <w:spacing w:line="400" w:lineRule="exact"/>
              <w:jc w:val="center"/>
              <w:rPr>
                <w:rFonts w:ascii="宋体" w:hAnsi="宋体" w:cs="宋体"/>
                <w:kern w:val="0"/>
                <w:sz w:val="24"/>
                <w:szCs w:val="24"/>
              </w:rPr>
            </w:pPr>
            <w:r>
              <w:rPr>
                <w:rFonts w:ascii="宋体" w:hAns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7" w:hRule="atLeast"/>
          <w:jc w:val="center"/>
        </w:trPr>
        <w:tc>
          <w:tcPr>
            <w:tcW w:w="2098" w:type="dxa"/>
            <w:vMerge w:val="continue"/>
            <w:vAlign w:val="center"/>
          </w:tcPr>
          <w:p>
            <w:pPr>
              <w:overflowPunct w:val="0"/>
              <w:topLinePunct/>
              <w:spacing w:line="400" w:lineRule="exact"/>
              <w:jc w:val="center"/>
              <w:rPr>
                <w:rFonts w:ascii="宋体"/>
                <w:kern w:val="0"/>
                <w:sz w:val="24"/>
                <w:szCs w:val="24"/>
              </w:rPr>
            </w:pPr>
          </w:p>
        </w:tc>
        <w:tc>
          <w:tcPr>
            <w:tcW w:w="5192" w:type="dxa"/>
            <w:vAlign w:val="center"/>
          </w:tcPr>
          <w:p>
            <w:pPr>
              <w:overflowPunct w:val="0"/>
              <w:topLinePunct/>
              <w:snapToGrid w:val="0"/>
              <w:spacing w:line="400" w:lineRule="exact"/>
              <w:rPr>
                <w:rFonts w:ascii="宋体"/>
                <w:kern w:val="0"/>
                <w:sz w:val="24"/>
                <w:szCs w:val="24"/>
              </w:rPr>
            </w:pPr>
            <w:r>
              <w:rPr>
                <w:rFonts w:hint="eastAsia" w:ascii="宋体" w:hAnsi="宋体" w:cs="宋体"/>
                <w:kern w:val="0"/>
                <w:sz w:val="24"/>
                <w:szCs w:val="24"/>
              </w:rPr>
              <w:t>中水平放射性废物</w:t>
            </w:r>
          </w:p>
        </w:tc>
        <w:tc>
          <w:tcPr>
            <w:tcW w:w="1430" w:type="dxa"/>
            <w:vAlign w:val="center"/>
          </w:tcPr>
          <w:p>
            <w:pPr>
              <w:overflowPunct w:val="0"/>
              <w:topLinePunct/>
              <w:snapToGrid w:val="0"/>
              <w:spacing w:line="400" w:lineRule="exact"/>
              <w:jc w:val="center"/>
              <w:rPr>
                <w:rFonts w:ascii="宋体"/>
                <w:kern w:val="0"/>
                <w:sz w:val="24"/>
                <w:szCs w:val="24"/>
              </w:rPr>
            </w:pPr>
            <w:r>
              <w:rPr>
                <w:rFonts w:ascii="宋体" w:hAnsi="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4" w:hRule="atLeast"/>
          <w:jc w:val="center"/>
        </w:trPr>
        <w:tc>
          <w:tcPr>
            <w:tcW w:w="2098" w:type="dxa"/>
            <w:vMerge w:val="continue"/>
            <w:vAlign w:val="center"/>
          </w:tcPr>
          <w:p>
            <w:pPr>
              <w:overflowPunct w:val="0"/>
              <w:topLinePunct/>
              <w:spacing w:line="400" w:lineRule="exact"/>
              <w:jc w:val="center"/>
              <w:rPr>
                <w:rFonts w:ascii="宋体"/>
                <w:kern w:val="0"/>
                <w:sz w:val="24"/>
                <w:szCs w:val="24"/>
              </w:rPr>
            </w:pPr>
          </w:p>
        </w:tc>
        <w:tc>
          <w:tcPr>
            <w:tcW w:w="5192" w:type="dxa"/>
            <w:vAlign w:val="center"/>
          </w:tcPr>
          <w:p>
            <w:pPr>
              <w:overflowPunct w:val="0"/>
              <w:topLinePunct/>
              <w:snapToGrid w:val="0"/>
              <w:spacing w:line="400" w:lineRule="exact"/>
              <w:rPr>
                <w:rFonts w:ascii="宋体"/>
                <w:kern w:val="0"/>
                <w:sz w:val="24"/>
                <w:szCs w:val="24"/>
              </w:rPr>
            </w:pPr>
            <w:r>
              <w:rPr>
                <w:rFonts w:hint="eastAsia" w:ascii="宋体" w:hAnsi="宋体" w:cs="宋体"/>
                <w:kern w:val="0"/>
                <w:sz w:val="24"/>
                <w:szCs w:val="24"/>
              </w:rPr>
              <w:t>高水平放射性废物</w:t>
            </w:r>
          </w:p>
        </w:tc>
        <w:tc>
          <w:tcPr>
            <w:tcW w:w="1430" w:type="dxa"/>
            <w:vAlign w:val="center"/>
          </w:tcPr>
          <w:p>
            <w:pPr>
              <w:overflowPunct w:val="0"/>
              <w:topLinePunct/>
              <w:snapToGrid w:val="0"/>
              <w:spacing w:line="400" w:lineRule="exact"/>
              <w:jc w:val="center"/>
              <w:rPr>
                <w:rFonts w:ascii="宋体" w:hAnsi="宋体" w:cs="宋体"/>
                <w:kern w:val="0"/>
                <w:sz w:val="24"/>
                <w:szCs w:val="24"/>
              </w:rPr>
            </w:pPr>
            <w:r>
              <w:rPr>
                <w:rFonts w:ascii="宋体" w:hAnsi="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50" w:hRule="atLeast"/>
          <w:jc w:val="center"/>
        </w:trPr>
        <w:tc>
          <w:tcPr>
            <w:tcW w:w="2098" w:type="dxa"/>
            <w:vMerge w:val="restart"/>
            <w:vAlign w:val="center"/>
          </w:tcPr>
          <w:p>
            <w:pPr>
              <w:overflowPunct w:val="0"/>
              <w:topLinePunct/>
              <w:spacing w:line="400" w:lineRule="exact"/>
              <w:jc w:val="center"/>
              <w:rPr>
                <w:rFonts w:ascii="宋体"/>
                <w:kern w:val="0"/>
                <w:sz w:val="24"/>
                <w:szCs w:val="24"/>
              </w:rPr>
            </w:pPr>
            <w:r>
              <w:rPr>
                <w:rFonts w:hint="eastAsia" w:ascii="宋体" w:hAnsi="宋体" w:cs="宋体"/>
                <w:kern w:val="0"/>
                <w:sz w:val="24"/>
                <w:szCs w:val="24"/>
              </w:rPr>
              <w:t>非密封放射性物质工作场所分类</w:t>
            </w:r>
          </w:p>
        </w:tc>
        <w:tc>
          <w:tcPr>
            <w:tcW w:w="5192" w:type="dxa"/>
            <w:vAlign w:val="center"/>
          </w:tcPr>
          <w:p>
            <w:pPr>
              <w:overflowPunct w:val="0"/>
              <w:topLinePunct/>
              <w:snapToGrid w:val="0"/>
              <w:spacing w:line="400" w:lineRule="exact"/>
              <w:rPr>
                <w:rFonts w:ascii="宋体"/>
                <w:kern w:val="0"/>
                <w:sz w:val="24"/>
                <w:szCs w:val="24"/>
              </w:rPr>
            </w:pPr>
            <w:r>
              <w:rPr>
                <w:rFonts w:hint="eastAsia" w:ascii="宋体" w:hAnsi="宋体" w:cs="宋体"/>
                <w:kern w:val="0"/>
                <w:sz w:val="24"/>
                <w:szCs w:val="24"/>
              </w:rPr>
              <w:t>丙级工作场所</w:t>
            </w:r>
          </w:p>
        </w:tc>
        <w:tc>
          <w:tcPr>
            <w:tcW w:w="1430" w:type="dxa"/>
            <w:vAlign w:val="center"/>
          </w:tcPr>
          <w:p>
            <w:pPr>
              <w:overflowPunct w:val="0"/>
              <w:topLinePunct/>
              <w:snapToGrid w:val="0"/>
              <w:spacing w:line="400" w:lineRule="exact"/>
              <w:jc w:val="center"/>
              <w:rPr>
                <w:rFonts w:ascii="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50" w:hRule="atLeast"/>
          <w:jc w:val="center"/>
        </w:trPr>
        <w:tc>
          <w:tcPr>
            <w:tcW w:w="2098" w:type="dxa"/>
            <w:vMerge w:val="continue"/>
            <w:vAlign w:val="center"/>
          </w:tcPr>
          <w:p>
            <w:pPr>
              <w:overflowPunct w:val="0"/>
              <w:topLinePunct/>
              <w:spacing w:line="400" w:lineRule="exact"/>
              <w:jc w:val="center"/>
              <w:rPr>
                <w:rFonts w:ascii="宋体"/>
                <w:kern w:val="0"/>
                <w:sz w:val="24"/>
                <w:szCs w:val="24"/>
              </w:rPr>
            </w:pPr>
          </w:p>
        </w:tc>
        <w:tc>
          <w:tcPr>
            <w:tcW w:w="5192" w:type="dxa"/>
            <w:vAlign w:val="center"/>
          </w:tcPr>
          <w:p>
            <w:pPr>
              <w:overflowPunct w:val="0"/>
              <w:topLinePunct/>
              <w:snapToGrid w:val="0"/>
              <w:spacing w:line="400" w:lineRule="exact"/>
              <w:rPr>
                <w:rFonts w:ascii="宋体"/>
                <w:kern w:val="0"/>
                <w:sz w:val="24"/>
                <w:szCs w:val="24"/>
              </w:rPr>
            </w:pPr>
            <w:r>
              <w:rPr>
                <w:rFonts w:hint="eastAsia" w:ascii="宋体" w:hAnsi="宋体" w:cs="宋体"/>
                <w:kern w:val="0"/>
                <w:sz w:val="24"/>
                <w:szCs w:val="24"/>
              </w:rPr>
              <w:t>乙级工作场所</w:t>
            </w:r>
          </w:p>
        </w:tc>
        <w:tc>
          <w:tcPr>
            <w:tcW w:w="1430" w:type="dxa"/>
            <w:vAlign w:val="center"/>
          </w:tcPr>
          <w:p>
            <w:pPr>
              <w:overflowPunct w:val="0"/>
              <w:topLinePunct/>
              <w:snapToGrid w:val="0"/>
              <w:spacing w:line="400" w:lineRule="exact"/>
              <w:jc w:val="center"/>
              <w:rPr>
                <w:rFonts w:ascii="宋体"/>
                <w:kern w:val="0"/>
                <w:sz w:val="24"/>
                <w:szCs w:val="24"/>
              </w:rPr>
            </w:pPr>
            <w:r>
              <w:rPr>
                <w:rFonts w:ascii="宋体" w:hAns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50" w:hRule="atLeast"/>
          <w:jc w:val="center"/>
        </w:trPr>
        <w:tc>
          <w:tcPr>
            <w:tcW w:w="2098" w:type="dxa"/>
            <w:vMerge w:val="continue"/>
            <w:vAlign w:val="center"/>
          </w:tcPr>
          <w:p>
            <w:pPr>
              <w:overflowPunct w:val="0"/>
              <w:topLinePunct/>
              <w:spacing w:line="400" w:lineRule="exact"/>
              <w:jc w:val="center"/>
              <w:rPr>
                <w:rFonts w:ascii="宋体"/>
                <w:kern w:val="0"/>
                <w:sz w:val="24"/>
                <w:szCs w:val="24"/>
              </w:rPr>
            </w:pPr>
          </w:p>
        </w:tc>
        <w:tc>
          <w:tcPr>
            <w:tcW w:w="5192" w:type="dxa"/>
            <w:vAlign w:val="center"/>
          </w:tcPr>
          <w:p>
            <w:pPr>
              <w:overflowPunct w:val="0"/>
              <w:topLinePunct/>
              <w:snapToGrid w:val="0"/>
              <w:spacing w:line="400" w:lineRule="exact"/>
              <w:rPr>
                <w:rFonts w:ascii="宋体"/>
                <w:kern w:val="0"/>
                <w:sz w:val="24"/>
                <w:szCs w:val="24"/>
              </w:rPr>
            </w:pPr>
            <w:r>
              <w:rPr>
                <w:rFonts w:hint="eastAsia" w:ascii="宋体" w:hAnsi="宋体" w:cs="宋体"/>
                <w:kern w:val="0"/>
                <w:sz w:val="24"/>
                <w:szCs w:val="24"/>
              </w:rPr>
              <w:t>甲级工作场所</w:t>
            </w:r>
          </w:p>
        </w:tc>
        <w:tc>
          <w:tcPr>
            <w:tcW w:w="1430" w:type="dxa"/>
            <w:vAlign w:val="center"/>
          </w:tcPr>
          <w:p>
            <w:pPr>
              <w:overflowPunct w:val="0"/>
              <w:topLinePunct/>
              <w:snapToGrid w:val="0"/>
              <w:spacing w:line="400" w:lineRule="exact"/>
              <w:jc w:val="center"/>
              <w:rPr>
                <w:rFonts w:ascii="宋体"/>
                <w:kern w:val="0"/>
                <w:sz w:val="24"/>
                <w:szCs w:val="24"/>
              </w:rPr>
            </w:pPr>
            <w:r>
              <w:rPr>
                <w:rFonts w:ascii="宋体" w:hAnsi="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35" w:hRule="atLeast"/>
          <w:jc w:val="center"/>
        </w:trPr>
        <w:tc>
          <w:tcPr>
            <w:tcW w:w="2098" w:type="dxa"/>
            <w:vMerge w:val="restart"/>
            <w:vAlign w:val="center"/>
          </w:tcPr>
          <w:p>
            <w:pPr>
              <w:overflowPunct w:val="0"/>
              <w:topLinePunct/>
              <w:spacing w:line="400" w:lineRule="exact"/>
              <w:jc w:val="center"/>
              <w:rPr>
                <w:rFonts w:ascii="宋体"/>
                <w:kern w:val="0"/>
                <w:sz w:val="24"/>
                <w:szCs w:val="24"/>
              </w:rPr>
            </w:pPr>
            <w:r>
              <w:rPr>
                <w:rFonts w:hint="eastAsia" w:ascii="宋体" w:cs="宋体"/>
                <w:kern w:val="0"/>
                <w:sz w:val="24"/>
                <w:szCs w:val="24"/>
              </w:rPr>
              <w:t>工作场所防护情况</w:t>
            </w:r>
          </w:p>
        </w:tc>
        <w:tc>
          <w:tcPr>
            <w:tcW w:w="5192" w:type="dxa"/>
            <w:vAlign w:val="center"/>
          </w:tcPr>
          <w:p>
            <w:pPr>
              <w:overflowPunct w:val="0"/>
              <w:topLinePunct/>
              <w:snapToGrid w:val="0"/>
              <w:spacing w:line="400" w:lineRule="exact"/>
              <w:rPr>
                <w:rFonts w:ascii="宋体"/>
                <w:kern w:val="0"/>
                <w:sz w:val="24"/>
                <w:szCs w:val="24"/>
              </w:rPr>
            </w:pPr>
            <w:r>
              <w:rPr>
                <w:rFonts w:hint="eastAsia" w:ascii="宋体" w:hAnsi="宋体" w:cs="宋体"/>
                <w:kern w:val="0"/>
                <w:sz w:val="24"/>
                <w:szCs w:val="24"/>
              </w:rPr>
              <w:t>有防护措施</w:t>
            </w:r>
          </w:p>
        </w:tc>
        <w:tc>
          <w:tcPr>
            <w:tcW w:w="1430" w:type="dxa"/>
            <w:vAlign w:val="center"/>
          </w:tcPr>
          <w:p>
            <w:pPr>
              <w:overflowPunct w:val="0"/>
              <w:topLinePunct/>
              <w:snapToGrid w:val="0"/>
              <w:spacing w:line="400" w:lineRule="exact"/>
              <w:jc w:val="center"/>
              <w:rPr>
                <w:rFonts w:ascii="宋体" w:hAnsi="宋体" w:cs="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35" w:hRule="atLeast"/>
          <w:jc w:val="center"/>
        </w:trPr>
        <w:tc>
          <w:tcPr>
            <w:tcW w:w="2098" w:type="dxa"/>
            <w:vMerge w:val="continue"/>
            <w:vAlign w:val="center"/>
          </w:tcPr>
          <w:p>
            <w:pPr>
              <w:overflowPunct w:val="0"/>
              <w:topLinePunct/>
              <w:spacing w:line="400" w:lineRule="exact"/>
              <w:jc w:val="center"/>
              <w:rPr>
                <w:rFonts w:ascii="宋体"/>
                <w:kern w:val="0"/>
                <w:sz w:val="24"/>
                <w:szCs w:val="24"/>
              </w:rPr>
            </w:pPr>
          </w:p>
        </w:tc>
        <w:tc>
          <w:tcPr>
            <w:tcW w:w="5192" w:type="dxa"/>
            <w:vAlign w:val="center"/>
          </w:tcPr>
          <w:p>
            <w:pPr>
              <w:overflowPunct w:val="0"/>
              <w:topLinePunct/>
              <w:snapToGrid w:val="0"/>
              <w:spacing w:line="400" w:lineRule="exact"/>
              <w:rPr>
                <w:rFonts w:ascii="宋体"/>
                <w:kern w:val="0"/>
                <w:sz w:val="24"/>
                <w:szCs w:val="24"/>
              </w:rPr>
            </w:pPr>
            <w:r>
              <w:rPr>
                <w:rFonts w:hint="eastAsia" w:ascii="宋体" w:hAnsi="宋体" w:cs="宋体"/>
                <w:kern w:val="0"/>
                <w:sz w:val="24"/>
                <w:szCs w:val="24"/>
              </w:rPr>
              <w:t>有防护措施但不完备</w:t>
            </w:r>
          </w:p>
        </w:tc>
        <w:tc>
          <w:tcPr>
            <w:tcW w:w="1430" w:type="dxa"/>
            <w:vAlign w:val="center"/>
          </w:tcPr>
          <w:p>
            <w:pPr>
              <w:overflowPunct w:val="0"/>
              <w:topLinePunct/>
              <w:snapToGrid w:val="0"/>
              <w:spacing w:line="400" w:lineRule="exact"/>
              <w:jc w:val="center"/>
              <w:rPr>
                <w:rFonts w:ascii="宋体" w:hAnsi="宋体" w:cs="宋体"/>
                <w:kern w:val="0"/>
                <w:sz w:val="24"/>
                <w:szCs w:val="24"/>
              </w:rPr>
            </w:pPr>
            <w:r>
              <w:rPr>
                <w:rFonts w:ascii="宋体" w:hAns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35" w:hRule="atLeast"/>
          <w:jc w:val="center"/>
        </w:trPr>
        <w:tc>
          <w:tcPr>
            <w:tcW w:w="2098" w:type="dxa"/>
            <w:vMerge w:val="continue"/>
            <w:vAlign w:val="center"/>
          </w:tcPr>
          <w:p>
            <w:pPr>
              <w:overflowPunct w:val="0"/>
              <w:topLinePunct/>
              <w:spacing w:line="400" w:lineRule="exact"/>
              <w:jc w:val="center"/>
              <w:rPr>
                <w:rFonts w:ascii="宋体"/>
                <w:kern w:val="0"/>
                <w:sz w:val="24"/>
                <w:szCs w:val="24"/>
              </w:rPr>
            </w:pPr>
          </w:p>
        </w:tc>
        <w:tc>
          <w:tcPr>
            <w:tcW w:w="5192" w:type="dxa"/>
            <w:vAlign w:val="center"/>
          </w:tcPr>
          <w:p>
            <w:pPr>
              <w:overflowPunct w:val="0"/>
              <w:topLinePunct/>
              <w:snapToGrid w:val="0"/>
              <w:spacing w:line="400" w:lineRule="exact"/>
              <w:rPr>
                <w:rFonts w:ascii="宋体"/>
                <w:kern w:val="0"/>
                <w:sz w:val="24"/>
                <w:szCs w:val="24"/>
              </w:rPr>
            </w:pPr>
            <w:r>
              <w:rPr>
                <w:rFonts w:hint="eastAsia" w:ascii="宋体" w:hAnsi="宋体" w:cs="宋体"/>
                <w:kern w:val="0"/>
                <w:sz w:val="24"/>
                <w:szCs w:val="24"/>
              </w:rPr>
              <w:t>无防护措施</w:t>
            </w:r>
          </w:p>
        </w:tc>
        <w:tc>
          <w:tcPr>
            <w:tcW w:w="1430" w:type="dxa"/>
            <w:vAlign w:val="center"/>
          </w:tcPr>
          <w:p>
            <w:pPr>
              <w:overflowPunct w:val="0"/>
              <w:topLinePunct/>
              <w:snapToGrid w:val="0"/>
              <w:spacing w:line="400" w:lineRule="exact"/>
              <w:jc w:val="center"/>
              <w:rPr>
                <w:rFonts w:ascii="宋体" w:hAnsi="宋体" w:cs="宋体"/>
                <w:kern w:val="0"/>
                <w:sz w:val="24"/>
                <w:szCs w:val="24"/>
              </w:rPr>
            </w:pPr>
            <w:r>
              <w:rPr>
                <w:rFonts w:ascii="宋体" w:hAnsi="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35" w:hRule="atLeast"/>
          <w:jc w:val="center"/>
        </w:trPr>
        <w:tc>
          <w:tcPr>
            <w:tcW w:w="2098" w:type="dxa"/>
            <w:vMerge w:val="restart"/>
            <w:vAlign w:val="center"/>
          </w:tcPr>
          <w:p>
            <w:pPr>
              <w:overflowPunct w:val="0"/>
              <w:topLinePunct/>
              <w:spacing w:line="400" w:lineRule="exact"/>
              <w:jc w:val="center"/>
              <w:rPr>
                <w:rFonts w:ascii="宋体"/>
                <w:kern w:val="0"/>
                <w:sz w:val="24"/>
                <w:szCs w:val="24"/>
              </w:rPr>
            </w:pPr>
            <w:r>
              <w:rPr>
                <w:rFonts w:hint="eastAsia" w:ascii="宋体" w:cs="宋体"/>
                <w:kern w:val="0"/>
                <w:sz w:val="24"/>
                <w:szCs w:val="24"/>
              </w:rPr>
              <w:t>放射性废物数量</w:t>
            </w:r>
          </w:p>
        </w:tc>
        <w:tc>
          <w:tcPr>
            <w:tcW w:w="5192" w:type="dxa"/>
            <w:vAlign w:val="center"/>
          </w:tcPr>
          <w:p>
            <w:pPr>
              <w:overflowPunct w:val="0"/>
              <w:topLinePunct/>
              <w:snapToGrid w:val="0"/>
              <w:spacing w:line="400" w:lineRule="exact"/>
              <w:rPr>
                <w:rFonts w:ascii="宋体"/>
                <w:kern w:val="0"/>
                <w:sz w:val="24"/>
                <w:szCs w:val="24"/>
              </w:rPr>
            </w:pPr>
            <w:r>
              <w:rPr>
                <w:rFonts w:ascii="宋体" w:hAnsi="宋体" w:cs="宋体"/>
                <w:kern w:val="0"/>
                <w:sz w:val="24"/>
                <w:szCs w:val="24"/>
              </w:rPr>
              <w:t>10</w:t>
            </w:r>
            <w:r>
              <w:rPr>
                <w:rFonts w:hint="eastAsia" w:ascii="宋体" w:hAnsi="宋体" w:cs="宋体"/>
                <w:kern w:val="0"/>
                <w:sz w:val="24"/>
                <w:szCs w:val="24"/>
              </w:rPr>
              <w:t>千克以下</w:t>
            </w:r>
          </w:p>
        </w:tc>
        <w:tc>
          <w:tcPr>
            <w:tcW w:w="1430" w:type="dxa"/>
            <w:vAlign w:val="center"/>
          </w:tcPr>
          <w:p>
            <w:pPr>
              <w:overflowPunct w:val="0"/>
              <w:topLinePunct/>
              <w:snapToGrid w:val="0"/>
              <w:spacing w:line="400" w:lineRule="exact"/>
              <w:jc w:val="center"/>
              <w:rPr>
                <w:rFonts w:ascii="宋体" w:hAnsi="宋体" w:cs="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35" w:hRule="atLeast"/>
          <w:jc w:val="center"/>
        </w:trPr>
        <w:tc>
          <w:tcPr>
            <w:tcW w:w="2098" w:type="dxa"/>
            <w:vMerge w:val="continue"/>
            <w:vAlign w:val="center"/>
          </w:tcPr>
          <w:p>
            <w:pPr>
              <w:overflowPunct w:val="0"/>
              <w:topLinePunct/>
              <w:spacing w:line="400" w:lineRule="exact"/>
              <w:jc w:val="center"/>
              <w:rPr>
                <w:rFonts w:ascii="宋体"/>
                <w:kern w:val="0"/>
                <w:sz w:val="24"/>
                <w:szCs w:val="24"/>
              </w:rPr>
            </w:pPr>
          </w:p>
        </w:tc>
        <w:tc>
          <w:tcPr>
            <w:tcW w:w="5192" w:type="dxa"/>
            <w:vAlign w:val="center"/>
          </w:tcPr>
          <w:p>
            <w:pPr>
              <w:overflowPunct w:val="0"/>
              <w:topLinePunct/>
              <w:snapToGrid w:val="0"/>
              <w:spacing w:line="400" w:lineRule="exact"/>
              <w:rPr>
                <w:rFonts w:ascii="宋体"/>
                <w:kern w:val="0"/>
                <w:sz w:val="24"/>
                <w:szCs w:val="24"/>
              </w:rPr>
            </w:pPr>
            <w:r>
              <w:rPr>
                <w:rFonts w:ascii="宋体" w:hAnsi="宋体" w:cs="宋体"/>
                <w:kern w:val="0"/>
                <w:sz w:val="24"/>
                <w:szCs w:val="24"/>
              </w:rPr>
              <w:t>10</w:t>
            </w:r>
            <w:r>
              <w:rPr>
                <w:rFonts w:hint="eastAsia" w:ascii="宋体" w:hAnsi="宋体" w:cs="宋体"/>
                <w:kern w:val="0"/>
                <w:sz w:val="24"/>
                <w:szCs w:val="24"/>
              </w:rPr>
              <w:t>千克以上</w:t>
            </w:r>
            <w:r>
              <w:rPr>
                <w:rFonts w:ascii="宋体" w:hAnsi="宋体" w:cs="宋体"/>
                <w:kern w:val="0"/>
                <w:sz w:val="24"/>
                <w:szCs w:val="24"/>
              </w:rPr>
              <w:t>100</w:t>
            </w:r>
            <w:r>
              <w:rPr>
                <w:rFonts w:hint="eastAsia" w:ascii="宋体" w:hAnsi="宋体" w:cs="宋体"/>
                <w:kern w:val="0"/>
                <w:sz w:val="24"/>
                <w:szCs w:val="24"/>
              </w:rPr>
              <w:t>千克以下</w:t>
            </w:r>
          </w:p>
        </w:tc>
        <w:tc>
          <w:tcPr>
            <w:tcW w:w="1430" w:type="dxa"/>
            <w:vAlign w:val="center"/>
          </w:tcPr>
          <w:p>
            <w:pPr>
              <w:overflowPunct w:val="0"/>
              <w:topLinePunct/>
              <w:snapToGrid w:val="0"/>
              <w:spacing w:line="400" w:lineRule="exact"/>
              <w:jc w:val="center"/>
              <w:rPr>
                <w:rFonts w:ascii="宋体" w:hAnsi="宋体" w:cs="宋体"/>
                <w:kern w:val="0"/>
                <w:sz w:val="24"/>
                <w:szCs w:val="24"/>
              </w:rPr>
            </w:pPr>
            <w:r>
              <w:rPr>
                <w:rFonts w:ascii="宋体" w:hAns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35" w:hRule="atLeast"/>
          <w:jc w:val="center"/>
        </w:trPr>
        <w:tc>
          <w:tcPr>
            <w:tcW w:w="2098" w:type="dxa"/>
            <w:vMerge w:val="continue"/>
            <w:vAlign w:val="center"/>
          </w:tcPr>
          <w:p>
            <w:pPr>
              <w:overflowPunct w:val="0"/>
              <w:topLinePunct/>
              <w:spacing w:line="400" w:lineRule="exact"/>
              <w:jc w:val="center"/>
              <w:rPr>
                <w:rFonts w:ascii="宋体"/>
                <w:kern w:val="0"/>
                <w:sz w:val="24"/>
                <w:szCs w:val="24"/>
              </w:rPr>
            </w:pPr>
          </w:p>
        </w:tc>
        <w:tc>
          <w:tcPr>
            <w:tcW w:w="5192" w:type="dxa"/>
            <w:vAlign w:val="center"/>
          </w:tcPr>
          <w:p>
            <w:pPr>
              <w:overflowPunct w:val="0"/>
              <w:topLinePunct/>
              <w:snapToGrid w:val="0"/>
              <w:spacing w:line="400" w:lineRule="exact"/>
              <w:rPr>
                <w:rFonts w:ascii="宋体"/>
                <w:kern w:val="0"/>
                <w:sz w:val="24"/>
                <w:szCs w:val="24"/>
              </w:rPr>
            </w:pPr>
            <w:r>
              <w:rPr>
                <w:rFonts w:ascii="宋体" w:hAnsi="宋体" w:cs="宋体"/>
                <w:kern w:val="0"/>
                <w:sz w:val="24"/>
                <w:szCs w:val="24"/>
              </w:rPr>
              <w:t>100</w:t>
            </w:r>
            <w:r>
              <w:rPr>
                <w:rFonts w:hint="eastAsia" w:ascii="宋体" w:hAnsi="宋体" w:cs="宋体"/>
                <w:kern w:val="0"/>
                <w:sz w:val="24"/>
                <w:szCs w:val="24"/>
              </w:rPr>
              <w:t>千克以上</w:t>
            </w:r>
          </w:p>
        </w:tc>
        <w:tc>
          <w:tcPr>
            <w:tcW w:w="1430" w:type="dxa"/>
            <w:vAlign w:val="center"/>
          </w:tcPr>
          <w:p>
            <w:pPr>
              <w:overflowPunct w:val="0"/>
              <w:topLinePunct/>
              <w:snapToGrid w:val="0"/>
              <w:spacing w:line="400" w:lineRule="exact"/>
              <w:jc w:val="center"/>
              <w:rPr>
                <w:rFonts w:ascii="宋体" w:hAnsi="宋体" w:cs="宋体"/>
                <w:kern w:val="0"/>
                <w:sz w:val="24"/>
                <w:szCs w:val="24"/>
              </w:rPr>
            </w:pPr>
            <w:r>
              <w:rPr>
                <w:rFonts w:ascii="宋体" w:hAnsi="宋体" w:cs="宋体"/>
                <w:kern w:val="0"/>
                <w:sz w:val="24"/>
                <w:szCs w:val="24"/>
              </w:rPr>
              <w:t>5</w:t>
            </w:r>
          </w:p>
        </w:tc>
      </w:tr>
    </w:tbl>
    <w:p>
      <w:pPr>
        <w:overflowPunct w:val="0"/>
        <w:topLinePunct/>
        <w:adjustRightInd w:val="0"/>
        <w:snapToGrid w:val="0"/>
        <w:spacing w:line="300" w:lineRule="exact"/>
        <w:ind w:firstLine="480" w:firstLineChars="200"/>
        <w:rPr>
          <w:rFonts w:ascii="宋体"/>
          <w:kern w:val="0"/>
          <w:sz w:val="24"/>
          <w:szCs w:val="24"/>
        </w:rPr>
      </w:pPr>
      <w:r>
        <w:rPr>
          <w:rFonts w:hint="eastAsia" w:ascii="宋体" w:hAnsi="宋体" w:cs="宋体"/>
          <w:kern w:val="0"/>
          <w:sz w:val="24"/>
          <w:szCs w:val="24"/>
        </w:rPr>
        <w:t>注：本表适用于违反《中华人民共和国放射性污染防治法》、《放射性同位素与射线装置安全和防护条例》、《放射性物品运输安全管理条例》、《放射性废物安全管理条例》等有关辐射管理规定的违法行为的处罚。</w:t>
      </w:r>
    </w:p>
    <w:p>
      <w:pPr>
        <w:overflowPunct w:val="0"/>
        <w:topLinePunct/>
        <w:adjustRightInd w:val="0"/>
        <w:snapToGrid w:val="0"/>
        <w:spacing w:line="600" w:lineRule="exact"/>
        <w:ind w:firstLine="482" w:firstLineChars="200"/>
        <w:outlineLvl w:val="1"/>
        <w:rPr>
          <w:rFonts w:ascii="宋体"/>
          <w:b/>
          <w:bCs/>
          <w:sz w:val="24"/>
          <w:szCs w:val="24"/>
        </w:rPr>
      </w:pPr>
    </w:p>
    <w:p>
      <w:pPr>
        <w:overflowPunct w:val="0"/>
        <w:topLinePunct/>
        <w:adjustRightInd w:val="0"/>
        <w:snapToGrid w:val="0"/>
        <w:spacing w:line="600" w:lineRule="exact"/>
        <w:ind w:firstLine="640" w:firstLineChars="200"/>
        <w:outlineLvl w:val="1"/>
        <w:rPr>
          <w:rFonts w:hint="eastAsia" w:ascii="楷体" w:hAnsi="楷体" w:eastAsia="楷体" w:cs="楷体"/>
          <w:sz w:val="32"/>
          <w:szCs w:val="32"/>
        </w:rPr>
      </w:pPr>
      <w:r>
        <w:rPr>
          <w:rFonts w:hint="eastAsia" w:ascii="楷体" w:hAnsi="楷体" w:eastAsia="楷体" w:cs="楷体"/>
          <w:sz w:val="32"/>
          <w:szCs w:val="32"/>
        </w:rPr>
        <w:t>（十）违反固体废物管理制度的行为</w:t>
      </w:r>
    </w:p>
    <w:tbl>
      <w:tblPr>
        <w:tblStyle w:val="4"/>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2098"/>
        <w:gridCol w:w="5192"/>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4" w:hRule="atLeast"/>
          <w:jc w:val="center"/>
        </w:trPr>
        <w:tc>
          <w:tcPr>
            <w:tcW w:w="2098" w:type="dxa"/>
            <w:vAlign w:val="center"/>
          </w:tcPr>
          <w:p>
            <w:pPr>
              <w:overflowPunct w:val="0"/>
              <w:topLinePunct/>
              <w:snapToGrid w:val="0"/>
              <w:jc w:val="center"/>
              <w:rPr>
                <w:rFonts w:ascii="宋体"/>
                <w:kern w:val="0"/>
                <w:sz w:val="24"/>
                <w:szCs w:val="24"/>
              </w:rPr>
            </w:pPr>
            <w:r>
              <w:rPr>
                <w:rFonts w:hint="eastAsia" w:ascii="宋体" w:hAnsi="宋体" w:cs="宋体"/>
                <w:kern w:val="0"/>
                <w:sz w:val="24"/>
                <w:szCs w:val="24"/>
              </w:rPr>
              <w:t>裁量因素</w:t>
            </w:r>
          </w:p>
        </w:tc>
        <w:tc>
          <w:tcPr>
            <w:tcW w:w="5192" w:type="dxa"/>
            <w:vAlign w:val="center"/>
          </w:tcPr>
          <w:p>
            <w:pPr>
              <w:overflowPunct w:val="0"/>
              <w:topLinePunct/>
              <w:snapToGrid w:val="0"/>
              <w:jc w:val="center"/>
              <w:rPr>
                <w:rFonts w:ascii="宋体"/>
                <w:kern w:val="0"/>
                <w:sz w:val="24"/>
                <w:szCs w:val="24"/>
              </w:rPr>
            </w:pPr>
            <w:r>
              <w:rPr>
                <w:rFonts w:hint="eastAsia" w:ascii="宋体" w:hAnsi="宋体" w:cs="宋体"/>
                <w:kern w:val="0"/>
                <w:sz w:val="24"/>
                <w:szCs w:val="24"/>
              </w:rPr>
              <w:t>裁量因子</w:t>
            </w:r>
          </w:p>
        </w:tc>
        <w:tc>
          <w:tcPr>
            <w:tcW w:w="1430" w:type="dxa"/>
            <w:vAlign w:val="center"/>
          </w:tcPr>
          <w:p>
            <w:pPr>
              <w:overflowPunct w:val="0"/>
              <w:topLinePunct/>
              <w:snapToGrid w:val="0"/>
              <w:jc w:val="center"/>
              <w:rPr>
                <w:rFonts w:ascii="宋体"/>
                <w:kern w:val="0"/>
                <w:sz w:val="24"/>
                <w:szCs w:val="24"/>
              </w:rPr>
            </w:pPr>
            <w:r>
              <w:rPr>
                <w:rFonts w:hint="eastAsia" w:ascii="宋体" w:hAnsi="宋体" w:cs="宋体"/>
                <w:kern w:val="0"/>
                <w:sz w:val="24"/>
                <w:szCs w:val="24"/>
              </w:rPr>
              <w:t>裁量等级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4" w:hRule="atLeast"/>
          <w:jc w:val="center"/>
        </w:trPr>
        <w:tc>
          <w:tcPr>
            <w:tcW w:w="2098" w:type="dxa"/>
            <w:vMerge w:val="restart"/>
            <w:vAlign w:val="center"/>
          </w:tcPr>
          <w:p>
            <w:pPr>
              <w:overflowPunct w:val="0"/>
              <w:topLinePunct/>
              <w:snapToGrid w:val="0"/>
              <w:jc w:val="center"/>
              <w:rPr>
                <w:rFonts w:ascii="宋体"/>
                <w:kern w:val="0"/>
                <w:sz w:val="24"/>
                <w:szCs w:val="24"/>
              </w:rPr>
            </w:pPr>
            <w:r>
              <w:rPr>
                <w:rFonts w:hint="eastAsia" w:ascii="宋体" w:hAnsi="宋体" w:cs="宋体"/>
                <w:kern w:val="0"/>
                <w:sz w:val="24"/>
                <w:szCs w:val="24"/>
              </w:rPr>
              <w:t>涉及</w:t>
            </w:r>
            <w:r>
              <w:rPr>
                <w:rFonts w:hint="eastAsia" w:ascii="宋体" w:hAnsi="宋体" w:cs="宋体"/>
                <w:kern w:val="0"/>
                <w:sz w:val="24"/>
                <w:szCs w:val="24"/>
                <w:lang w:eastAsia="zh-CN"/>
              </w:rPr>
              <w:t>一般</w:t>
            </w:r>
            <w:r>
              <w:rPr>
                <w:rFonts w:hint="eastAsia" w:ascii="宋体" w:hAnsi="宋体" w:cs="宋体"/>
                <w:kern w:val="0"/>
                <w:sz w:val="24"/>
                <w:szCs w:val="24"/>
              </w:rPr>
              <w:t>固体废物数量</w:t>
            </w:r>
          </w:p>
        </w:tc>
        <w:tc>
          <w:tcPr>
            <w:tcW w:w="5192" w:type="dxa"/>
            <w:vAlign w:val="center"/>
          </w:tcPr>
          <w:p>
            <w:pPr>
              <w:overflowPunct w:val="0"/>
              <w:topLinePunct/>
              <w:snapToGrid w:val="0"/>
              <w:jc w:val="left"/>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吨以下</w:t>
            </w:r>
          </w:p>
        </w:tc>
        <w:tc>
          <w:tcPr>
            <w:tcW w:w="1430" w:type="dxa"/>
            <w:vAlign w:val="center"/>
          </w:tcPr>
          <w:p>
            <w:pPr>
              <w:overflowPunct w:val="0"/>
              <w:topLinePunct/>
              <w:snapToGrid w:val="0"/>
              <w:jc w:val="center"/>
              <w:rPr>
                <w:rFonts w:ascii="宋体" w:hAnsi="宋体" w:cs="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4" w:hRule="atLeast"/>
          <w:jc w:val="center"/>
        </w:trPr>
        <w:tc>
          <w:tcPr>
            <w:tcW w:w="2098" w:type="dxa"/>
            <w:vMerge w:val="continue"/>
            <w:vAlign w:val="center"/>
          </w:tcPr>
          <w:p>
            <w:pPr>
              <w:overflowPunct w:val="0"/>
              <w:topLinePunct/>
              <w:snapToGrid w:val="0"/>
              <w:jc w:val="center"/>
              <w:rPr>
                <w:rFonts w:ascii="宋体"/>
                <w:kern w:val="0"/>
                <w:sz w:val="24"/>
                <w:szCs w:val="24"/>
              </w:rPr>
            </w:pPr>
          </w:p>
        </w:tc>
        <w:tc>
          <w:tcPr>
            <w:tcW w:w="5192" w:type="dxa"/>
            <w:vAlign w:val="center"/>
          </w:tcPr>
          <w:p>
            <w:pPr>
              <w:overflowPunct w:val="0"/>
              <w:topLinePunct/>
              <w:snapToGrid w:val="0"/>
              <w:jc w:val="left"/>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吨以上</w:t>
            </w:r>
            <w:r>
              <w:rPr>
                <w:rFonts w:ascii="宋体" w:hAnsi="宋体" w:cs="宋体"/>
                <w:kern w:val="0"/>
                <w:sz w:val="24"/>
                <w:szCs w:val="24"/>
              </w:rPr>
              <w:t>10</w:t>
            </w:r>
            <w:r>
              <w:rPr>
                <w:rFonts w:hint="eastAsia" w:ascii="宋体" w:hAnsi="宋体" w:cs="宋体"/>
                <w:kern w:val="0"/>
                <w:sz w:val="24"/>
                <w:szCs w:val="24"/>
              </w:rPr>
              <w:t>吨以下</w:t>
            </w:r>
          </w:p>
        </w:tc>
        <w:tc>
          <w:tcPr>
            <w:tcW w:w="1430" w:type="dxa"/>
            <w:vAlign w:val="center"/>
          </w:tcPr>
          <w:p>
            <w:pPr>
              <w:overflowPunct w:val="0"/>
              <w:topLinePunct/>
              <w:snapToGrid w:val="0"/>
              <w:jc w:val="center"/>
              <w:rPr>
                <w:rFonts w:ascii="宋体" w:hAnsi="宋体" w:cs="宋体"/>
                <w:kern w:val="0"/>
                <w:sz w:val="24"/>
                <w:szCs w:val="24"/>
              </w:rPr>
            </w:pPr>
            <w:r>
              <w:rPr>
                <w:rFonts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4" w:hRule="atLeast"/>
          <w:jc w:val="center"/>
        </w:trPr>
        <w:tc>
          <w:tcPr>
            <w:tcW w:w="2098" w:type="dxa"/>
            <w:vMerge w:val="continue"/>
            <w:vAlign w:val="center"/>
          </w:tcPr>
          <w:p>
            <w:pPr>
              <w:overflowPunct w:val="0"/>
              <w:topLinePunct/>
              <w:snapToGrid w:val="0"/>
              <w:jc w:val="center"/>
              <w:rPr>
                <w:rFonts w:ascii="宋体"/>
                <w:kern w:val="0"/>
                <w:sz w:val="24"/>
                <w:szCs w:val="24"/>
              </w:rPr>
            </w:pPr>
          </w:p>
        </w:tc>
        <w:tc>
          <w:tcPr>
            <w:tcW w:w="5192" w:type="dxa"/>
            <w:vAlign w:val="center"/>
          </w:tcPr>
          <w:p>
            <w:pPr>
              <w:overflowPunct w:val="0"/>
              <w:topLinePunct/>
              <w:snapToGrid w:val="0"/>
              <w:jc w:val="left"/>
              <w:rPr>
                <w:rFonts w:ascii="宋体"/>
                <w:kern w:val="0"/>
                <w:sz w:val="24"/>
                <w:szCs w:val="24"/>
              </w:rPr>
            </w:pPr>
            <w:r>
              <w:rPr>
                <w:rFonts w:ascii="宋体" w:hAnsi="宋体" w:cs="宋体"/>
                <w:kern w:val="0"/>
                <w:sz w:val="24"/>
                <w:szCs w:val="24"/>
              </w:rPr>
              <w:t>10</w:t>
            </w:r>
            <w:r>
              <w:rPr>
                <w:rFonts w:hint="eastAsia" w:ascii="宋体" w:hAnsi="宋体" w:cs="宋体"/>
                <w:kern w:val="0"/>
                <w:sz w:val="24"/>
                <w:szCs w:val="24"/>
              </w:rPr>
              <w:t>吨以上</w:t>
            </w:r>
            <w:r>
              <w:rPr>
                <w:rFonts w:ascii="宋体" w:hAnsi="宋体" w:cs="宋体"/>
                <w:kern w:val="0"/>
                <w:sz w:val="24"/>
                <w:szCs w:val="24"/>
              </w:rPr>
              <w:t>5</w:t>
            </w:r>
            <w:r>
              <w:rPr>
                <w:rFonts w:ascii="宋体" w:cs="宋体"/>
                <w:kern w:val="0"/>
                <w:sz w:val="24"/>
                <w:szCs w:val="24"/>
              </w:rPr>
              <w:t>0</w:t>
            </w:r>
            <w:r>
              <w:rPr>
                <w:rFonts w:hint="eastAsia" w:ascii="宋体" w:hAnsi="宋体" w:cs="宋体"/>
                <w:kern w:val="0"/>
                <w:sz w:val="24"/>
                <w:szCs w:val="24"/>
              </w:rPr>
              <w:t>吨以下</w:t>
            </w:r>
          </w:p>
        </w:tc>
        <w:tc>
          <w:tcPr>
            <w:tcW w:w="1430" w:type="dxa"/>
            <w:vAlign w:val="center"/>
          </w:tcPr>
          <w:p>
            <w:pPr>
              <w:overflowPunct w:val="0"/>
              <w:topLinePunct/>
              <w:snapToGrid w:val="0"/>
              <w:jc w:val="center"/>
              <w:rPr>
                <w:rFonts w:ascii="宋体" w:hAnsi="宋体" w:cs="宋体"/>
                <w:kern w:val="0"/>
                <w:sz w:val="24"/>
                <w:szCs w:val="24"/>
              </w:rPr>
            </w:pPr>
            <w:r>
              <w:rPr>
                <w:rFonts w:ascii="宋体" w:hAns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25" w:hRule="atLeast"/>
          <w:jc w:val="center"/>
        </w:trPr>
        <w:tc>
          <w:tcPr>
            <w:tcW w:w="2098" w:type="dxa"/>
            <w:vMerge w:val="continue"/>
            <w:vAlign w:val="center"/>
          </w:tcPr>
          <w:p>
            <w:pPr>
              <w:overflowPunct w:val="0"/>
              <w:topLinePunct/>
              <w:snapToGrid w:val="0"/>
              <w:jc w:val="center"/>
              <w:rPr>
                <w:rFonts w:ascii="宋体"/>
                <w:kern w:val="0"/>
                <w:sz w:val="24"/>
                <w:szCs w:val="24"/>
              </w:rPr>
            </w:pPr>
          </w:p>
        </w:tc>
        <w:tc>
          <w:tcPr>
            <w:tcW w:w="5192" w:type="dxa"/>
            <w:vAlign w:val="center"/>
          </w:tcPr>
          <w:p>
            <w:pPr>
              <w:overflowPunct w:val="0"/>
              <w:topLinePunct/>
              <w:snapToGrid w:val="0"/>
              <w:jc w:val="left"/>
              <w:rPr>
                <w:rFonts w:ascii="宋体"/>
                <w:kern w:val="0"/>
                <w:sz w:val="24"/>
                <w:szCs w:val="24"/>
              </w:rPr>
            </w:pPr>
            <w:r>
              <w:rPr>
                <w:rFonts w:ascii="宋体" w:hAnsi="宋体" w:cs="宋体"/>
                <w:kern w:val="0"/>
                <w:sz w:val="24"/>
                <w:szCs w:val="24"/>
              </w:rPr>
              <w:t>5</w:t>
            </w:r>
            <w:r>
              <w:rPr>
                <w:rFonts w:ascii="宋体" w:cs="宋体"/>
                <w:kern w:val="0"/>
                <w:sz w:val="24"/>
                <w:szCs w:val="24"/>
              </w:rPr>
              <w:t>0</w:t>
            </w:r>
            <w:r>
              <w:rPr>
                <w:rFonts w:hint="eastAsia" w:ascii="宋体" w:hAnsi="宋体" w:cs="宋体"/>
                <w:kern w:val="0"/>
                <w:sz w:val="24"/>
                <w:szCs w:val="24"/>
              </w:rPr>
              <w:t>吨以上</w:t>
            </w:r>
            <w:r>
              <w:rPr>
                <w:rFonts w:ascii="宋体" w:hAnsi="宋体" w:cs="宋体"/>
                <w:kern w:val="0"/>
                <w:sz w:val="24"/>
                <w:szCs w:val="24"/>
              </w:rPr>
              <w:t>10</w:t>
            </w:r>
            <w:r>
              <w:rPr>
                <w:rFonts w:ascii="宋体" w:cs="宋体"/>
                <w:kern w:val="0"/>
                <w:sz w:val="24"/>
                <w:szCs w:val="24"/>
              </w:rPr>
              <w:t>0</w:t>
            </w:r>
            <w:r>
              <w:rPr>
                <w:rFonts w:hint="eastAsia" w:ascii="宋体" w:hAnsi="宋体" w:cs="宋体"/>
                <w:kern w:val="0"/>
                <w:sz w:val="24"/>
                <w:szCs w:val="24"/>
              </w:rPr>
              <w:t>吨以下</w:t>
            </w:r>
          </w:p>
        </w:tc>
        <w:tc>
          <w:tcPr>
            <w:tcW w:w="1430" w:type="dxa"/>
            <w:vAlign w:val="center"/>
          </w:tcPr>
          <w:p>
            <w:pPr>
              <w:overflowPunct w:val="0"/>
              <w:topLinePunct/>
              <w:snapToGrid w:val="0"/>
              <w:jc w:val="center"/>
              <w:rPr>
                <w:rFonts w:ascii="宋体" w:hAnsi="宋体" w:cs="宋体"/>
                <w:kern w:val="0"/>
                <w:sz w:val="24"/>
                <w:szCs w:val="24"/>
              </w:rPr>
            </w:pPr>
            <w:r>
              <w:rPr>
                <w:rFonts w:ascii="宋体" w:hAnsi="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25" w:hRule="atLeast"/>
          <w:jc w:val="center"/>
        </w:trPr>
        <w:tc>
          <w:tcPr>
            <w:tcW w:w="2098" w:type="dxa"/>
            <w:vMerge w:val="continue"/>
            <w:vAlign w:val="center"/>
          </w:tcPr>
          <w:p>
            <w:pPr>
              <w:overflowPunct w:val="0"/>
              <w:topLinePunct/>
              <w:snapToGrid w:val="0"/>
              <w:jc w:val="center"/>
              <w:rPr>
                <w:rFonts w:ascii="宋体"/>
                <w:kern w:val="0"/>
                <w:sz w:val="24"/>
                <w:szCs w:val="24"/>
              </w:rPr>
            </w:pPr>
          </w:p>
        </w:tc>
        <w:tc>
          <w:tcPr>
            <w:tcW w:w="5192" w:type="dxa"/>
            <w:vAlign w:val="center"/>
          </w:tcPr>
          <w:p>
            <w:pPr>
              <w:overflowPunct w:val="0"/>
              <w:topLinePunct/>
              <w:snapToGrid w:val="0"/>
              <w:jc w:val="left"/>
              <w:rPr>
                <w:rFonts w:ascii="宋体"/>
                <w:kern w:val="0"/>
                <w:sz w:val="24"/>
                <w:szCs w:val="24"/>
              </w:rPr>
            </w:pPr>
            <w:r>
              <w:rPr>
                <w:rFonts w:ascii="宋体" w:hAnsi="宋体" w:cs="宋体"/>
                <w:kern w:val="0"/>
                <w:sz w:val="24"/>
                <w:szCs w:val="24"/>
              </w:rPr>
              <w:t>100</w:t>
            </w:r>
            <w:r>
              <w:rPr>
                <w:rFonts w:hint="eastAsia" w:ascii="宋体" w:hAnsi="宋体" w:cs="宋体"/>
                <w:kern w:val="0"/>
                <w:sz w:val="24"/>
                <w:szCs w:val="24"/>
              </w:rPr>
              <w:t>吨以上</w:t>
            </w:r>
          </w:p>
        </w:tc>
        <w:tc>
          <w:tcPr>
            <w:tcW w:w="1430" w:type="dxa"/>
            <w:vAlign w:val="center"/>
          </w:tcPr>
          <w:p>
            <w:pPr>
              <w:overflowPunct w:val="0"/>
              <w:topLinePunct/>
              <w:snapToGrid w:val="0"/>
              <w:jc w:val="center"/>
              <w:rPr>
                <w:rFonts w:ascii="宋体"/>
                <w:kern w:val="0"/>
                <w:sz w:val="24"/>
                <w:szCs w:val="24"/>
              </w:rPr>
            </w:pPr>
            <w:r>
              <w:rPr>
                <w:rFonts w:ascii="宋体" w:hAnsi="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3" w:hRule="atLeast"/>
          <w:jc w:val="center"/>
        </w:trPr>
        <w:tc>
          <w:tcPr>
            <w:tcW w:w="2098" w:type="dxa"/>
            <w:vMerge w:val="restart"/>
            <w:shd w:val="clear" w:color="auto" w:fill="auto"/>
            <w:vAlign w:val="center"/>
          </w:tcPr>
          <w:p>
            <w:pPr>
              <w:overflowPunct w:val="0"/>
              <w:topLinePunct/>
              <w:snapToGrid w:val="0"/>
              <w:jc w:val="center"/>
              <w:rPr>
                <w:rFonts w:ascii="宋体"/>
                <w:kern w:val="0"/>
                <w:sz w:val="24"/>
                <w:szCs w:val="24"/>
              </w:rPr>
            </w:pPr>
            <w:r>
              <w:rPr>
                <w:rFonts w:hint="eastAsia" w:ascii="宋体" w:hAnsi="宋体" w:cs="宋体"/>
                <w:kern w:val="0"/>
                <w:sz w:val="24"/>
                <w:szCs w:val="24"/>
              </w:rPr>
              <w:t>涉及危险废物数量</w:t>
            </w:r>
          </w:p>
        </w:tc>
        <w:tc>
          <w:tcPr>
            <w:tcW w:w="5192" w:type="dxa"/>
            <w:shd w:val="clear" w:color="auto" w:fill="auto"/>
            <w:vAlign w:val="center"/>
          </w:tcPr>
          <w:p>
            <w:pPr>
              <w:overflowPunct w:val="0"/>
              <w:topLinePunct/>
              <w:snapToGrid w:val="0"/>
              <w:jc w:val="left"/>
              <w:rPr>
                <w:rFonts w:ascii="宋体"/>
                <w:kern w:val="0"/>
                <w:sz w:val="24"/>
                <w:szCs w:val="24"/>
              </w:rPr>
            </w:pPr>
            <w:r>
              <w:rPr>
                <w:rFonts w:hint="eastAsia" w:ascii="宋体" w:hAnsi="宋体" w:cs="宋体"/>
                <w:kern w:val="0"/>
                <w:sz w:val="24"/>
                <w:szCs w:val="24"/>
              </w:rPr>
              <w:t>0.3吨以下</w:t>
            </w:r>
          </w:p>
        </w:tc>
        <w:tc>
          <w:tcPr>
            <w:tcW w:w="1430" w:type="dxa"/>
            <w:shd w:val="clear" w:color="auto" w:fill="auto"/>
            <w:vAlign w:val="center"/>
          </w:tcPr>
          <w:p>
            <w:pPr>
              <w:overflowPunct w:val="0"/>
              <w:topLinePunct/>
              <w:snapToGrid w:val="0"/>
              <w:jc w:val="center"/>
              <w:rPr>
                <w:rFonts w:ascii="宋体" w:hAnsi="宋体" w:cs="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3" w:hRule="atLeast"/>
          <w:jc w:val="center"/>
        </w:trPr>
        <w:tc>
          <w:tcPr>
            <w:tcW w:w="2098" w:type="dxa"/>
            <w:vMerge w:val="continue"/>
            <w:shd w:val="clear" w:color="auto" w:fill="auto"/>
            <w:vAlign w:val="center"/>
          </w:tcPr>
          <w:p>
            <w:pPr>
              <w:overflowPunct w:val="0"/>
              <w:topLinePunct/>
              <w:snapToGrid w:val="0"/>
              <w:jc w:val="center"/>
              <w:rPr>
                <w:rFonts w:ascii="宋体"/>
                <w:kern w:val="0"/>
                <w:sz w:val="24"/>
                <w:szCs w:val="24"/>
              </w:rPr>
            </w:pPr>
          </w:p>
        </w:tc>
        <w:tc>
          <w:tcPr>
            <w:tcW w:w="5192" w:type="dxa"/>
            <w:shd w:val="clear" w:color="auto" w:fill="auto"/>
            <w:vAlign w:val="center"/>
          </w:tcPr>
          <w:p>
            <w:pPr>
              <w:overflowPunct w:val="0"/>
              <w:topLinePunct/>
              <w:snapToGrid w:val="0"/>
              <w:jc w:val="left"/>
              <w:rPr>
                <w:rFonts w:ascii="宋体" w:hAnsi="宋体" w:cs="宋体"/>
                <w:kern w:val="0"/>
                <w:sz w:val="24"/>
                <w:szCs w:val="24"/>
              </w:rPr>
            </w:pPr>
            <w:r>
              <w:rPr>
                <w:rFonts w:hint="eastAsia" w:ascii="宋体" w:hAnsi="宋体" w:cs="宋体"/>
                <w:kern w:val="0"/>
                <w:sz w:val="24"/>
                <w:szCs w:val="24"/>
              </w:rPr>
              <w:t>0.3吨以上0.5吨以下</w:t>
            </w:r>
          </w:p>
        </w:tc>
        <w:tc>
          <w:tcPr>
            <w:tcW w:w="1430" w:type="dxa"/>
            <w:shd w:val="clear" w:color="auto" w:fill="auto"/>
            <w:vAlign w:val="center"/>
          </w:tcPr>
          <w:p>
            <w:pPr>
              <w:overflowPunct w:val="0"/>
              <w:topLinePunct/>
              <w:snapToGrid w:val="0"/>
              <w:jc w:val="center"/>
              <w:rPr>
                <w:rFonts w:ascii="宋体" w:hAnsi="宋体" w:cs="宋体"/>
                <w:kern w:val="0"/>
                <w:sz w:val="24"/>
                <w:szCs w:val="24"/>
              </w:rPr>
            </w:pPr>
            <w:r>
              <w:rPr>
                <w:rFonts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3" w:hRule="atLeast"/>
          <w:jc w:val="center"/>
        </w:trPr>
        <w:tc>
          <w:tcPr>
            <w:tcW w:w="2098" w:type="dxa"/>
            <w:vMerge w:val="continue"/>
            <w:shd w:val="clear" w:color="auto" w:fill="auto"/>
            <w:vAlign w:val="center"/>
          </w:tcPr>
          <w:p>
            <w:pPr>
              <w:overflowPunct w:val="0"/>
              <w:topLinePunct/>
              <w:snapToGrid w:val="0"/>
              <w:jc w:val="center"/>
              <w:rPr>
                <w:rFonts w:ascii="宋体"/>
                <w:kern w:val="0"/>
                <w:sz w:val="24"/>
                <w:szCs w:val="24"/>
              </w:rPr>
            </w:pPr>
          </w:p>
        </w:tc>
        <w:tc>
          <w:tcPr>
            <w:tcW w:w="5192" w:type="dxa"/>
            <w:shd w:val="clear" w:color="auto" w:fill="auto"/>
            <w:vAlign w:val="center"/>
          </w:tcPr>
          <w:p>
            <w:pPr>
              <w:overflowPunct w:val="0"/>
              <w:topLinePunct/>
              <w:snapToGrid w:val="0"/>
              <w:jc w:val="left"/>
              <w:rPr>
                <w:rFonts w:ascii="宋体" w:hAnsi="宋体" w:cs="宋体"/>
                <w:kern w:val="0"/>
                <w:sz w:val="24"/>
                <w:szCs w:val="24"/>
              </w:rPr>
            </w:pPr>
            <w:r>
              <w:rPr>
                <w:rFonts w:hint="eastAsia" w:ascii="宋体" w:hAnsi="宋体" w:cs="宋体"/>
                <w:kern w:val="0"/>
                <w:sz w:val="24"/>
                <w:szCs w:val="24"/>
              </w:rPr>
              <w:t>0.5吨以上1吨以下</w:t>
            </w:r>
          </w:p>
        </w:tc>
        <w:tc>
          <w:tcPr>
            <w:tcW w:w="1430" w:type="dxa"/>
            <w:shd w:val="clear" w:color="auto" w:fill="auto"/>
            <w:vAlign w:val="center"/>
          </w:tcPr>
          <w:p>
            <w:pPr>
              <w:overflowPunct w:val="0"/>
              <w:topLinePunct/>
              <w:snapToGrid w:val="0"/>
              <w:jc w:val="center"/>
              <w:rPr>
                <w:rFonts w:ascii="宋体" w:hAnsi="宋体" w:cs="宋体"/>
                <w:kern w:val="0"/>
                <w:sz w:val="24"/>
                <w:szCs w:val="24"/>
              </w:rPr>
            </w:pPr>
            <w:r>
              <w:rPr>
                <w:rFonts w:ascii="宋体" w:hAns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3" w:hRule="atLeast"/>
          <w:jc w:val="center"/>
        </w:trPr>
        <w:tc>
          <w:tcPr>
            <w:tcW w:w="2098" w:type="dxa"/>
            <w:vMerge w:val="continue"/>
            <w:shd w:val="clear" w:color="auto" w:fill="auto"/>
            <w:vAlign w:val="center"/>
          </w:tcPr>
          <w:p>
            <w:pPr>
              <w:overflowPunct w:val="0"/>
              <w:topLinePunct/>
              <w:snapToGrid w:val="0"/>
              <w:jc w:val="center"/>
              <w:rPr>
                <w:rFonts w:ascii="宋体"/>
                <w:kern w:val="0"/>
                <w:sz w:val="24"/>
                <w:szCs w:val="24"/>
              </w:rPr>
            </w:pPr>
          </w:p>
        </w:tc>
        <w:tc>
          <w:tcPr>
            <w:tcW w:w="5192" w:type="dxa"/>
            <w:shd w:val="clear" w:color="auto" w:fill="auto"/>
            <w:vAlign w:val="center"/>
          </w:tcPr>
          <w:p>
            <w:pPr>
              <w:overflowPunct w:val="0"/>
              <w:topLinePunct/>
              <w:snapToGrid w:val="0"/>
              <w:jc w:val="left"/>
              <w:rPr>
                <w:rFonts w:ascii="宋体" w:hAnsi="宋体" w:cs="宋体"/>
                <w:kern w:val="0"/>
                <w:sz w:val="24"/>
                <w:szCs w:val="24"/>
              </w:rPr>
            </w:pPr>
            <w:r>
              <w:rPr>
                <w:rFonts w:hint="eastAsia" w:ascii="宋体" w:hAnsi="宋体" w:cs="宋体"/>
                <w:kern w:val="0"/>
                <w:sz w:val="24"/>
                <w:szCs w:val="24"/>
              </w:rPr>
              <w:t>1吨以上2吨以下</w:t>
            </w:r>
          </w:p>
        </w:tc>
        <w:tc>
          <w:tcPr>
            <w:tcW w:w="1430" w:type="dxa"/>
            <w:shd w:val="clear" w:color="auto" w:fill="auto"/>
            <w:vAlign w:val="center"/>
          </w:tcPr>
          <w:p>
            <w:pPr>
              <w:overflowPunct w:val="0"/>
              <w:topLinePunct/>
              <w:snapToGrid w:val="0"/>
              <w:jc w:val="center"/>
              <w:rPr>
                <w:rFonts w:ascii="宋体" w:hAnsi="宋体" w:cs="宋体"/>
                <w:kern w:val="0"/>
                <w:sz w:val="24"/>
                <w:szCs w:val="24"/>
              </w:rPr>
            </w:pPr>
            <w:r>
              <w:rPr>
                <w:rFonts w:ascii="宋体" w:hAnsi="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3" w:hRule="atLeast"/>
          <w:jc w:val="center"/>
        </w:trPr>
        <w:tc>
          <w:tcPr>
            <w:tcW w:w="2098" w:type="dxa"/>
            <w:vMerge w:val="continue"/>
            <w:shd w:val="clear" w:color="auto" w:fill="auto"/>
            <w:vAlign w:val="center"/>
          </w:tcPr>
          <w:p>
            <w:pPr>
              <w:overflowPunct w:val="0"/>
              <w:topLinePunct/>
              <w:snapToGrid w:val="0"/>
              <w:jc w:val="center"/>
              <w:rPr>
                <w:rFonts w:ascii="宋体"/>
                <w:kern w:val="0"/>
                <w:sz w:val="24"/>
                <w:szCs w:val="24"/>
              </w:rPr>
            </w:pPr>
          </w:p>
        </w:tc>
        <w:tc>
          <w:tcPr>
            <w:tcW w:w="5192" w:type="dxa"/>
            <w:shd w:val="clear" w:color="auto" w:fill="auto"/>
            <w:vAlign w:val="center"/>
          </w:tcPr>
          <w:p>
            <w:pPr>
              <w:overflowPunct w:val="0"/>
              <w:topLinePunct/>
              <w:snapToGrid w:val="0"/>
              <w:jc w:val="left"/>
              <w:rPr>
                <w:rFonts w:ascii="宋体" w:hAnsi="宋体" w:cs="宋体"/>
                <w:kern w:val="0"/>
                <w:sz w:val="24"/>
                <w:szCs w:val="24"/>
              </w:rPr>
            </w:pPr>
            <w:r>
              <w:rPr>
                <w:rFonts w:hint="eastAsia" w:ascii="宋体" w:hAnsi="宋体" w:cs="宋体"/>
                <w:kern w:val="0"/>
                <w:sz w:val="24"/>
                <w:szCs w:val="24"/>
              </w:rPr>
              <w:t>2吨以上</w:t>
            </w:r>
          </w:p>
        </w:tc>
        <w:tc>
          <w:tcPr>
            <w:tcW w:w="1430" w:type="dxa"/>
            <w:shd w:val="clear" w:color="auto" w:fill="auto"/>
            <w:vAlign w:val="center"/>
          </w:tcPr>
          <w:p>
            <w:pPr>
              <w:overflowPunct w:val="0"/>
              <w:topLinePunct/>
              <w:snapToGrid w:val="0"/>
              <w:jc w:val="center"/>
              <w:rPr>
                <w:rFonts w:ascii="宋体" w:hAnsi="宋体" w:cs="宋体"/>
                <w:kern w:val="0"/>
                <w:sz w:val="24"/>
                <w:szCs w:val="24"/>
              </w:rPr>
            </w:pPr>
            <w:r>
              <w:rPr>
                <w:rFonts w:ascii="宋体" w:hAnsi="宋体" w:cs="宋体"/>
                <w:kern w:val="0"/>
                <w:sz w:val="24"/>
                <w:szCs w:val="24"/>
              </w:rPr>
              <w:t>5</w:t>
            </w:r>
          </w:p>
        </w:tc>
      </w:tr>
    </w:tbl>
    <w:p>
      <w:pPr>
        <w:overflowPunct w:val="0"/>
        <w:topLinePunct/>
        <w:adjustRightInd w:val="0"/>
        <w:snapToGrid w:val="0"/>
        <w:spacing w:line="300" w:lineRule="exact"/>
        <w:ind w:firstLine="480" w:firstLineChars="200"/>
        <w:rPr>
          <w:rFonts w:ascii="宋体"/>
          <w:kern w:val="0"/>
          <w:sz w:val="24"/>
          <w:szCs w:val="24"/>
        </w:rPr>
      </w:pPr>
      <w:r>
        <w:rPr>
          <w:rFonts w:hint="eastAsia" w:ascii="宋体" w:hAnsi="宋体" w:cs="宋体"/>
          <w:kern w:val="0"/>
          <w:sz w:val="24"/>
          <w:szCs w:val="24"/>
        </w:rPr>
        <w:t>注：</w:t>
      </w:r>
      <w:r>
        <w:rPr>
          <w:rFonts w:ascii="宋体" w:hAnsi="宋体" w:cs="宋体"/>
          <w:kern w:val="0"/>
          <w:sz w:val="24"/>
          <w:szCs w:val="24"/>
        </w:rPr>
        <w:t>1</w:t>
      </w:r>
      <w:r>
        <w:rPr>
          <w:rFonts w:hint="eastAsia" w:ascii="宋体" w:hAnsi="宋体" w:cs="宋体"/>
          <w:kern w:val="0"/>
          <w:sz w:val="24"/>
          <w:szCs w:val="24"/>
          <w:lang w:val="en-US" w:eastAsia="zh-CN"/>
        </w:rPr>
        <w:t>．</w:t>
      </w:r>
      <w:r>
        <w:rPr>
          <w:rFonts w:hint="eastAsia" w:ascii="宋体" w:hAnsi="宋体" w:cs="宋体"/>
          <w:kern w:val="0"/>
          <w:sz w:val="24"/>
          <w:szCs w:val="24"/>
        </w:rPr>
        <w:t>本表适用于《中华人民共和国固体废物污染环境防治法》第一百零二条、第一百零四条、第一百一十条、第一百一十二条、第一百一十三条、第一百一十四条、第一百一十八条规定的环境违法行为；</w:t>
      </w:r>
    </w:p>
    <w:p>
      <w:pPr>
        <w:overflowPunct w:val="0"/>
        <w:topLinePunct/>
        <w:adjustRightInd w:val="0"/>
        <w:snapToGrid w:val="0"/>
        <w:spacing w:line="300" w:lineRule="exact"/>
        <w:ind w:firstLine="480" w:firstLineChars="200"/>
        <w:rPr>
          <w:rFonts w:hint="eastAsia" w:ascii="宋体"/>
          <w:kern w:val="0"/>
          <w:sz w:val="24"/>
          <w:szCs w:val="24"/>
        </w:rPr>
      </w:pPr>
      <w:r>
        <w:rPr>
          <w:rFonts w:ascii="宋体" w:hAnsi="宋体" w:cs="宋体"/>
          <w:kern w:val="0"/>
          <w:sz w:val="24"/>
          <w:szCs w:val="24"/>
        </w:rPr>
        <w:t>2</w:t>
      </w:r>
      <w:r>
        <w:rPr>
          <w:rFonts w:hint="eastAsia" w:ascii="宋体" w:hAnsi="宋体" w:cs="宋体"/>
          <w:kern w:val="0"/>
          <w:sz w:val="24"/>
          <w:szCs w:val="24"/>
          <w:lang w:val="en-US" w:eastAsia="zh-CN"/>
        </w:rPr>
        <w:t>．</w:t>
      </w:r>
      <w:r>
        <w:rPr>
          <w:rFonts w:hint="eastAsia" w:ascii="宋体" w:hAnsi="宋体" w:cs="宋体"/>
          <w:kern w:val="0"/>
          <w:sz w:val="24"/>
          <w:szCs w:val="24"/>
          <w:lang w:eastAsia="zh-CN"/>
        </w:rPr>
        <w:t>一般</w:t>
      </w:r>
      <w:r>
        <w:rPr>
          <w:rFonts w:hint="eastAsia" w:ascii="宋体" w:hAnsi="宋体" w:cs="宋体"/>
          <w:kern w:val="0"/>
          <w:sz w:val="24"/>
          <w:szCs w:val="24"/>
        </w:rPr>
        <w:t>固体废物、危险废物的年产生量、贮存量、利用量等，以实际涉案量计算。</w:t>
      </w:r>
      <w:bookmarkStart w:id="12" w:name="bookmark10"/>
      <w:bookmarkStart w:id="13" w:name="bookmark11"/>
      <w:bookmarkStart w:id="14" w:name="bookmark9"/>
    </w:p>
    <w:p>
      <w:pPr>
        <w:overflowPunct w:val="0"/>
        <w:topLinePunct/>
        <w:adjustRightInd w:val="0"/>
        <w:snapToGrid w:val="0"/>
        <w:spacing w:line="600" w:lineRule="exact"/>
        <w:ind w:firstLine="482" w:firstLineChars="200"/>
        <w:outlineLvl w:val="1"/>
        <w:rPr>
          <w:rFonts w:ascii="宋体"/>
          <w:b/>
          <w:bCs/>
          <w:sz w:val="24"/>
          <w:szCs w:val="24"/>
        </w:rPr>
      </w:pPr>
    </w:p>
    <w:p>
      <w:pPr>
        <w:overflowPunct w:val="0"/>
        <w:topLinePunct/>
        <w:adjustRightInd w:val="0"/>
        <w:snapToGrid w:val="0"/>
        <w:spacing w:line="600" w:lineRule="exact"/>
        <w:ind w:firstLine="640" w:firstLineChars="200"/>
        <w:outlineLvl w:val="1"/>
        <w:rPr>
          <w:rFonts w:hint="eastAsia" w:ascii="楷体" w:hAnsi="楷体" w:eastAsia="楷体" w:cs="楷体"/>
          <w:sz w:val="32"/>
          <w:szCs w:val="32"/>
        </w:rPr>
      </w:pPr>
      <w:r>
        <w:rPr>
          <w:rFonts w:hint="eastAsia" w:ascii="楷体" w:hAnsi="楷体" w:eastAsia="楷体" w:cs="楷体"/>
          <w:sz w:val="32"/>
          <w:szCs w:val="32"/>
        </w:rPr>
        <w:t>（十一）</w:t>
      </w:r>
      <w:bookmarkEnd w:id="12"/>
      <w:bookmarkEnd w:id="13"/>
      <w:bookmarkEnd w:id="14"/>
      <w:r>
        <w:rPr>
          <w:rFonts w:hint="eastAsia" w:ascii="楷体" w:hAnsi="楷体" w:eastAsia="楷体" w:cs="楷体"/>
          <w:sz w:val="32"/>
          <w:szCs w:val="32"/>
        </w:rPr>
        <w:t>伪造机动车、非道路移动机械排放检验结果或出具虚假排放检验报告的行为</w:t>
      </w:r>
    </w:p>
    <w:tbl>
      <w:tblPr>
        <w:tblStyle w:val="4"/>
        <w:tblW w:w="88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2058"/>
        <w:gridCol w:w="5344"/>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2058" w:type="dxa"/>
            <w:shd w:val="clear" w:color="auto" w:fill="FFFFFF"/>
            <w:vAlign w:val="bottom"/>
          </w:tcPr>
          <w:p>
            <w:pPr>
              <w:overflowPunct w:val="0"/>
              <w:topLinePunct/>
              <w:snapToGrid w:val="0"/>
              <w:spacing w:line="360" w:lineRule="exact"/>
              <w:jc w:val="center"/>
              <w:rPr>
                <w:rFonts w:ascii="宋体"/>
                <w:kern w:val="0"/>
                <w:sz w:val="24"/>
                <w:szCs w:val="24"/>
              </w:rPr>
            </w:pPr>
            <w:r>
              <w:rPr>
                <w:rFonts w:hint="eastAsia" w:ascii="宋体" w:hAnsi="宋体" w:cs="宋体"/>
                <w:kern w:val="0"/>
                <w:sz w:val="24"/>
                <w:szCs w:val="24"/>
              </w:rPr>
              <w:t>裁量因素</w:t>
            </w:r>
          </w:p>
        </w:tc>
        <w:tc>
          <w:tcPr>
            <w:tcW w:w="5344" w:type="dxa"/>
            <w:shd w:val="clear" w:color="auto" w:fill="FFFFFF"/>
            <w:vAlign w:val="bottom"/>
          </w:tcPr>
          <w:p>
            <w:pPr>
              <w:overflowPunct w:val="0"/>
              <w:topLinePunct/>
              <w:snapToGrid w:val="0"/>
              <w:spacing w:line="360" w:lineRule="exact"/>
              <w:jc w:val="center"/>
              <w:rPr>
                <w:rFonts w:ascii="宋体"/>
                <w:kern w:val="0"/>
                <w:sz w:val="24"/>
                <w:szCs w:val="24"/>
              </w:rPr>
            </w:pPr>
            <w:r>
              <w:rPr>
                <w:rFonts w:hint="eastAsia" w:ascii="宋体" w:hAnsi="宋体" w:cs="宋体"/>
                <w:kern w:val="0"/>
                <w:sz w:val="24"/>
                <w:szCs w:val="24"/>
              </w:rPr>
              <w:t>裁量因子</w:t>
            </w:r>
          </w:p>
        </w:tc>
        <w:tc>
          <w:tcPr>
            <w:tcW w:w="1412" w:type="dxa"/>
            <w:shd w:val="clear" w:color="auto" w:fill="FFFFFF"/>
            <w:vAlign w:val="bottom"/>
          </w:tcPr>
          <w:p>
            <w:pPr>
              <w:overflowPunct w:val="0"/>
              <w:topLinePunct/>
              <w:snapToGrid w:val="0"/>
              <w:spacing w:line="360" w:lineRule="exact"/>
              <w:ind w:left="60"/>
              <w:jc w:val="center"/>
              <w:rPr>
                <w:rFonts w:ascii="宋体"/>
                <w:kern w:val="0"/>
                <w:sz w:val="24"/>
                <w:szCs w:val="24"/>
              </w:rPr>
            </w:pPr>
            <w:r>
              <w:rPr>
                <w:rFonts w:hint="eastAsia" w:ascii="宋体" w:hAnsi="宋体" w:cs="宋体"/>
                <w:kern w:val="0"/>
                <w:sz w:val="24"/>
                <w:szCs w:val="24"/>
              </w:rPr>
              <w:t>裁量等级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2058" w:type="dxa"/>
            <w:vMerge w:val="restart"/>
            <w:shd w:val="clear" w:color="auto" w:fill="FFFFFF"/>
            <w:vAlign w:val="center"/>
          </w:tcPr>
          <w:p>
            <w:pPr>
              <w:overflowPunct w:val="0"/>
              <w:topLinePunct/>
              <w:snapToGrid w:val="0"/>
              <w:spacing w:line="360" w:lineRule="exact"/>
              <w:jc w:val="center"/>
              <w:rPr>
                <w:rFonts w:ascii="宋体"/>
                <w:kern w:val="0"/>
                <w:sz w:val="24"/>
                <w:szCs w:val="24"/>
              </w:rPr>
            </w:pPr>
            <w:r>
              <w:rPr>
                <w:rFonts w:hint="eastAsia" w:ascii="宋体" w:hAnsi="宋体" w:cs="宋体"/>
                <w:kern w:val="0"/>
                <w:sz w:val="24"/>
                <w:szCs w:val="24"/>
              </w:rPr>
              <w:t>涉及机动车、非道路移动机械的数量</w:t>
            </w:r>
          </w:p>
        </w:tc>
        <w:tc>
          <w:tcPr>
            <w:tcW w:w="5344" w:type="dxa"/>
            <w:shd w:val="clear" w:color="auto" w:fill="FFFFFF"/>
            <w:vAlign w:val="center"/>
          </w:tcPr>
          <w:p>
            <w:pPr>
              <w:overflowPunct w:val="0"/>
              <w:topLinePunct/>
              <w:snapToGrid w:val="0"/>
              <w:spacing w:line="360" w:lineRule="exact"/>
              <w:rPr>
                <w:rFonts w:ascii="宋体"/>
                <w:kern w:val="0"/>
                <w:sz w:val="24"/>
                <w:szCs w:val="24"/>
              </w:rPr>
            </w:pPr>
            <w:r>
              <w:rPr>
                <w:rFonts w:hint="eastAsia" w:ascii="宋体" w:hAnsi="宋体" w:cs="宋体"/>
                <w:kern w:val="0"/>
                <w:sz w:val="24"/>
                <w:szCs w:val="24"/>
              </w:rPr>
              <w:t>伪造检验结果或出具虚假排放检验报告</w:t>
            </w:r>
            <w:r>
              <w:rPr>
                <w:rFonts w:ascii="宋体" w:hAnsi="宋体" w:cs="宋体"/>
                <w:kern w:val="0"/>
                <w:sz w:val="24"/>
                <w:szCs w:val="24"/>
              </w:rPr>
              <w:t>3</w:t>
            </w:r>
            <w:r>
              <w:rPr>
                <w:rFonts w:hint="eastAsia" w:ascii="宋体" w:hAnsi="宋体" w:cs="宋体"/>
                <w:kern w:val="0"/>
                <w:sz w:val="24"/>
                <w:szCs w:val="24"/>
              </w:rPr>
              <w:t>辆以下</w:t>
            </w:r>
          </w:p>
        </w:tc>
        <w:tc>
          <w:tcPr>
            <w:tcW w:w="1412" w:type="dxa"/>
            <w:shd w:val="clear" w:color="auto" w:fill="FFFFFF"/>
            <w:vAlign w:val="center"/>
          </w:tcPr>
          <w:p>
            <w:pPr>
              <w:overflowPunct w:val="0"/>
              <w:topLinePunct/>
              <w:snapToGrid w:val="0"/>
              <w:spacing w:line="360" w:lineRule="exact"/>
              <w:ind w:firstLine="600"/>
              <w:jc w:val="left"/>
              <w:rPr>
                <w:rFonts w:ascii="宋体" w:hAnsi="宋体" w:cs="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2058" w:type="dxa"/>
            <w:vMerge w:val="continue"/>
            <w:shd w:val="clear" w:color="auto" w:fill="FFFFFF"/>
            <w:vAlign w:val="center"/>
          </w:tcPr>
          <w:p>
            <w:pPr>
              <w:overflowPunct w:val="0"/>
              <w:topLinePunct/>
              <w:snapToGrid w:val="0"/>
              <w:spacing w:line="360" w:lineRule="exact"/>
              <w:jc w:val="center"/>
              <w:rPr>
                <w:rFonts w:ascii="宋体"/>
                <w:kern w:val="0"/>
                <w:sz w:val="24"/>
                <w:szCs w:val="24"/>
              </w:rPr>
            </w:pPr>
          </w:p>
        </w:tc>
        <w:tc>
          <w:tcPr>
            <w:tcW w:w="5344" w:type="dxa"/>
            <w:shd w:val="clear" w:color="auto" w:fill="FFFFFF"/>
            <w:vAlign w:val="center"/>
          </w:tcPr>
          <w:p>
            <w:pPr>
              <w:overflowPunct w:val="0"/>
              <w:topLinePunct/>
              <w:snapToGrid w:val="0"/>
              <w:spacing w:line="360" w:lineRule="exact"/>
              <w:rPr>
                <w:rFonts w:ascii="宋体"/>
                <w:kern w:val="0"/>
                <w:sz w:val="24"/>
                <w:szCs w:val="24"/>
              </w:rPr>
            </w:pPr>
            <w:r>
              <w:rPr>
                <w:rFonts w:hint="eastAsia" w:ascii="宋体" w:hAnsi="宋体" w:cs="宋体"/>
                <w:kern w:val="0"/>
                <w:sz w:val="24"/>
                <w:szCs w:val="24"/>
              </w:rPr>
              <w:t>伪造检验结果或出具虚假排放检验报告</w:t>
            </w:r>
            <w:r>
              <w:rPr>
                <w:rFonts w:ascii="宋体" w:hAnsi="宋体" w:cs="宋体"/>
                <w:kern w:val="0"/>
                <w:sz w:val="24"/>
                <w:szCs w:val="24"/>
              </w:rPr>
              <w:t>3</w:t>
            </w:r>
            <w:r>
              <w:rPr>
                <w:rFonts w:hint="eastAsia" w:ascii="宋体" w:hAnsi="宋体" w:cs="宋体"/>
                <w:kern w:val="0"/>
                <w:sz w:val="24"/>
                <w:szCs w:val="24"/>
              </w:rPr>
              <w:t>辆以上</w:t>
            </w:r>
            <w:r>
              <w:rPr>
                <w:rFonts w:ascii="宋体" w:hAnsi="宋体" w:cs="宋体"/>
                <w:kern w:val="0"/>
                <w:sz w:val="24"/>
                <w:szCs w:val="24"/>
              </w:rPr>
              <w:t>5</w:t>
            </w:r>
            <w:r>
              <w:rPr>
                <w:rFonts w:hint="eastAsia" w:ascii="宋体" w:hAnsi="宋体" w:cs="宋体"/>
                <w:kern w:val="0"/>
                <w:sz w:val="24"/>
                <w:szCs w:val="24"/>
              </w:rPr>
              <w:t>辆以下</w:t>
            </w:r>
          </w:p>
        </w:tc>
        <w:tc>
          <w:tcPr>
            <w:tcW w:w="1412" w:type="dxa"/>
            <w:shd w:val="clear" w:color="auto" w:fill="FFFFFF"/>
            <w:vAlign w:val="center"/>
          </w:tcPr>
          <w:p>
            <w:pPr>
              <w:overflowPunct w:val="0"/>
              <w:topLinePunct/>
              <w:snapToGrid w:val="0"/>
              <w:spacing w:line="360" w:lineRule="exact"/>
              <w:ind w:firstLine="600"/>
              <w:jc w:val="left"/>
              <w:rPr>
                <w:rFonts w:ascii="宋体" w:hAnsi="宋体" w:cs="宋体"/>
                <w:kern w:val="0"/>
                <w:sz w:val="24"/>
                <w:szCs w:val="24"/>
              </w:rPr>
            </w:pPr>
            <w:r>
              <w:rPr>
                <w:rFonts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40" w:hRule="atLeast"/>
          <w:jc w:val="center"/>
        </w:trPr>
        <w:tc>
          <w:tcPr>
            <w:tcW w:w="2058" w:type="dxa"/>
            <w:vMerge w:val="continue"/>
            <w:shd w:val="clear" w:color="auto" w:fill="FFFFFF"/>
            <w:vAlign w:val="center"/>
          </w:tcPr>
          <w:p>
            <w:pPr>
              <w:overflowPunct w:val="0"/>
              <w:topLinePunct/>
              <w:snapToGrid w:val="0"/>
              <w:spacing w:line="360" w:lineRule="exact"/>
              <w:jc w:val="center"/>
              <w:rPr>
                <w:rFonts w:ascii="宋体"/>
                <w:kern w:val="0"/>
                <w:sz w:val="24"/>
                <w:szCs w:val="24"/>
              </w:rPr>
            </w:pPr>
          </w:p>
        </w:tc>
        <w:tc>
          <w:tcPr>
            <w:tcW w:w="5344" w:type="dxa"/>
            <w:shd w:val="clear" w:color="auto" w:fill="FFFFFF"/>
            <w:vAlign w:val="center"/>
          </w:tcPr>
          <w:p>
            <w:pPr>
              <w:overflowPunct w:val="0"/>
              <w:topLinePunct/>
              <w:snapToGrid w:val="0"/>
              <w:spacing w:line="360" w:lineRule="exact"/>
              <w:rPr>
                <w:rFonts w:ascii="宋体"/>
                <w:kern w:val="0"/>
                <w:sz w:val="24"/>
                <w:szCs w:val="24"/>
              </w:rPr>
            </w:pPr>
            <w:r>
              <w:rPr>
                <w:rFonts w:hint="eastAsia" w:ascii="宋体" w:hAnsi="宋体" w:cs="宋体"/>
                <w:kern w:val="0"/>
                <w:sz w:val="24"/>
                <w:szCs w:val="24"/>
              </w:rPr>
              <w:t>伪造检验结果或出具虚假排放检验报告</w:t>
            </w:r>
            <w:r>
              <w:rPr>
                <w:rFonts w:ascii="宋体" w:hAnsi="宋体" w:cs="宋体"/>
                <w:kern w:val="0"/>
                <w:sz w:val="24"/>
                <w:szCs w:val="24"/>
              </w:rPr>
              <w:t>5</w:t>
            </w:r>
            <w:r>
              <w:rPr>
                <w:rFonts w:hint="eastAsia" w:ascii="宋体" w:hAnsi="宋体" w:cs="宋体"/>
                <w:kern w:val="0"/>
                <w:sz w:val="24"/>
                <w:szCs w:val="24"/>
              </w:rPr>
              <w:t>辆以上</w:t>
            </w:r>
            <w:r>
              <w:rPr>
                <w:rFonts w:ascii="宋体" w:hAnsi="宋体" w:cs="宋体"/>
                <w:kern w:val="0"/>
                <w:sz w:val="24"/>
                <w:szCs w:val="24"/>
              </w:rPr>
              <w:t>10</w:t>
            </w:r>
            <w:r>
              <w:rPr>
                <w:rFonts w:hint="eastAsia" w:ascii="宋体" w:hAnsi="宋体" w:cs="宋体"/>
                <w:kern w:val="0"/>
                <w:sz w:val="24"/>
                <w:szCs w:val="24"/>
              </w:rPr>
              <w:t>辆以下</w:t>
            </w:r>
          </w:p>
        </w:tc>
        <w:tc>
          <w:tcPr>
            <w:tcW w:w="1412" w:type="dxa"/>
            <w:shd w:val="clear" w:color="auto" w:fill="FFFFFF"/>
            <w:vAlign w:val="center"/>
          </w:tcPr>
          <w:p>
            <w:pPr>
              <w:overflowPunct w:val="0"/>
              <w:topLinePunct/>
              <w:snapToGrid w:val="0"/>
              <w:spacing w:line="360" w:lineRule="exact"/>
              <w:jc w:val="center"/>
              <w:rPr>
                <w:rFonts w:ascii="宋体" w:hAnsi="宋体" w:cs="宋体"/>
                <w:kern w:val="0"/>
                <w:sz w:val="24"/>
                <w:szCs w:val="24"/>
              </w:rPr>
            </w:pPr>
            <w:r>
              <w:rPr>
                <w:rFonts w:ascii="宋体" w:hAns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40" w:hRule="atLeast"/>
          <w:jc w:val="center"/>
        </w:trPr>
        <w:tc>
          <w:tcPr>
            <w:tcW w:w="2058" w:type="dxa"/>
            <w:vMerge w:val="continue"/>
            <w:shd w:val="clear" w:color="auto" w:fill="FFFFFF"/>
            <w:vAlign w:val="center"/>
          </w:tcPr>
          <w:p>
            <w:pPr>
              <w:overflowPunct w:val="0"/>
              <w:topLinePunct/>
              <w:snapToGrid w:val="0"/>
              <w:spacing w:line="360" w:lineRule="exact"/>
              <w:jc w:val="center"/>
              <w:rPr>
                <w:rFonts w:ascii="宋体"/>
                <w:kern w:val="0"/>
                <w:sz w:val="24"/>
                <w:szCs w:val="24"/>
              </w:rPr>
            </w:pPr>
          </w:p>
        </w:tc>
        <w:tc>
          <w:tcPr>
            <w:tcW w:w="5344" w:type="dxa"/>
            <w:shd w:val="clear" w:color="auto" w:fill="FFFFFF"/>
            <w:vAlign w:val="center"/>
          </w:tcPr>
          <w:p>
            <w:pPr>
              <w:overflowPunct w:val="0"/>
              <w:topLinePunct/>
              <w:snapToGrid w:val="0"/>
              <w:spacing w:line="360" w:lineRule="exact"/>
              <w:rPr>
                <w:rFonts w:ascii="宋体"/>
                <w:kern w:val="0"/>
                <w:sz w:val="24"/>
                <w:szCs w:val="24"/>
              </w:rPr>
            </w:pPr>
            <w:r>
              <w:rPr>
                <w:rFonts w:hint="eastAsia" w:ascii="宋体" w:hAnsi="宋体" w:cs="宋体"/>
                <w:kern w:val="0"/>
                <w:sz w:val="24"/>
                <w:szCs w:val="24"/>
              </w:rPr>
              <w:t>伪造检验结果或出具虚假排放检验报告</w:t>
            </w:r>
            <w:r>
              <w:rPr>
                <w:rFonts w:ascii="宋体" w:hAnsi="宋体" w:cs="宋体"/>
                <w:kern w:val="0"/>
                <w:sz w:val="24"/>
                <w:szCs w:val="24"/>
              </w:rPr>
              <w:t>10</w:t>
            </w:r>
            <w:r>
              <w:rPr>
                <w:rFonts w:hint="eastAsia" w:ascii="宋体" w:hAnsi="宋体" w:cs="宋体"/>
                <w:kern w:val="0"/>
                <w:sz w:val="24"/>
                <w:szCs w:val="24"/>
              </w:rPr>
              <w:t>辆以上</w:t>
            </w:r>
            <w:r>
              <w:rPr>
                <w:rFonts w:ascii="宋体" w:hAnsi="宋体" w:cs="宋体"/>
                <w:kern w:val="0"/>
                <w:sz w:val="24"/>
                <w:szCs w:val="24"/>
              </w:rPr>
              <w:t>20</w:t>
            </w:r>
            <w:r>
              <w:rPr>
                <w:rFonts w:hint="eastAsia" w:ascii="宋体" w:hAnsi="宋体" w:cs="宋体"/>
                <w:kern w:val="0"/>
                <w:sz w:val="24"/>
                <w:szCs w:val="24"/>
              </w:rPr>
              <w:t>辆以下</w:t>
            </w:r>
          </w:p>
        </w:tc>
        <w:tc>
          <w:tcPr>
            <w:tcW w:w="1412" w:type="dxa"/>
            <w:shd w:val="clear" w:color="auto" w:fill="FFFFFF"/>
            <w:vAlign w:val="center"/>
          </w:tcPr>
          <w:p>
            <w:pPr>
              <w:overflowPunct w:val="0"/>
              <w:topLinePunct/>
              <w:snapToGrid w:val="0"/>
              <w:spacing w:line="360" w:lineRule="exact"/>
              <w:jc w:val="center"/>
              <w:rPr>
                <w:rFonts w:ascii="宋体"/>
                <w:kern w:val="0"/>
                <w:sz w:val="24"/>
                <w:szCs w:val="24"/>
              </w:rPr>
            </w:pPr>
            <w:r>
              <w:rPr>
                <w:rFonts w:ascii="宋体" w:hAnsi="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2058" w:type="dxa"/>
            <w:vMerge w:val="continue"/>
            <w:shd w:val="clear" w:color="auto" w:fill="FFFFFF"/>
            <w:vAlign w:val="top"/>
          </w:tcPr>
          <w:p>
            <w:pPr>
              <w:overflowPunct w:val="0"/>
              <w:topLinePunct/>
              <w:snapToGrid w:val="0"/>
              <w:spacing w:line="360" w:lineRule="exact"/>
              <w:jc w:val="center"/>
              <w:rPr>
                <w:rFonts w:ascii="宋体"/>
                <w:kern w:val="0"/>
                <w:sz w:val="24"/>
                <w:szCs w:val="24"/>
              </w:rPr>
            </w:pPr>
          </w:p>
        </w:tc>
        <w:tc>
          <w:tcPr>
            <w:tcW w:w="5344" w:type="dxa"/>
            <w:shd w:val="clear" w:color="auto" w:fill="FFFFFF"/>
            <w:vAlign w:val="center"/>
          </w:tcPr>
          <w:p>
            <w:pPr>
              <w:overflowPunct w:val="0"/>
              <w:topLinePunct/>
              <w:snapToGrid w:val="0"/>
              <w:spacing w:line="360" w:lineRule="exact"/>
              <w:rPr>
                <w:rFonts w:ascii="宋体"/>
                <w:kern w:val="0"/>
                <w:sz w:val="24"/>
                <w:szCs w:val="24"/>
              </w:rPr>
            </w:pPr>
            <w:r>
              <w:rPr>
                <w:rFonts w:hint="eastAsia" w:ascii="宋体" w:hAnsi="宋体" w:cs="宋体"/>
                <w:kern w:val="0"/>
                <w:sz w:val="24"/>
                <w:szCs w:val="24"/>
              </w:rPr>
              <w:t>伪造检验结果或出具虚假排放检验报告</w:t>
            </w:r>
            <w:r>
              <w:rPr>
                <w:rFonts w:ascii="宋体" w:hAnsi="宋体" w:cs="宋体"/>
                <w:kern w:val="0"/>
                <w:sz w:val="24"/>
                <w:szCs w:val="24"/>
              </w:rPr>
              <w:t>20</w:t>
            </w:r>
            <w:r>
              <w:rPr>
                <w:rFonts w:hint="eastAsia" w:ascii="宋体" w:hAnsi="宋体" w:cs="宋体"/>
                <w:kern w:val="0"/>
                <w:sz w:val="24"/>
                <w:szCs w:val="24"/>
              </w:rPr>
              <w:t>辆以上</w:t>
            </w:r>
          </w:p>
        </w:tc>
        <w:tc>
          <w:tcPr>
            <w:tcW w:w="1412" w:type="dxa"/>
            <w:shd w:val="clear" w:color="auto" w:fill="FFFFFF"/>
            <w:vAlign w:val="center"/>
          </w:tcPr>
          <w:p>
            <w:pPr>
              <w:overflowPunct w:val="0"/>
              <w:topLinePunct/>
              <w:snapToGrid w:val="0"/>
              <w:spacing w:line="360" w:lineRule="exact"/>
              <w:jc w:val="center"/>
              <w:rPr>
                <w:rFonts w:ascii="宋体" w:hAnsi="宋体" w:cs="宋体"/>
                <w:kern w:val="0"/>
                <w:sz w:val="24"/>
                <w:szCs w:val="24"/>
              </w:rPr>
            </w:pPr>
            <w:r>
              <w:rPr>
                <w:rFonts w:ascii="宋体" w:hAnsi="宋体" w:cs="宋体"/>
                <w:kern w:val="0"/>
                <w:sz w:val="24"/>
                <w:szCs w:val="24"/>
              </w:rPr>
              <w:t>5</w:t>
            </w:r>
          </w:p>
        </w:tc>
      </w:tr>
    </w:tbl>
    <w:p>
      <w:pPr>
        <w:overflowPunct w:val="0"/>
        <w:topLinePunct/>
        <w:spacing w:line="360" w:lineRule="exact"/>
        <w:ind w:firstLine="499"/>
        <w:rPr>
          <w:rFonts w:ascii="宋体"/>
          <w:kern w:val="0"/>
          <w:sz w:val="24"/>
          <w:szCs w:val="24"/>
        </w:rPr>
      </w:pPr>
      <w:r>
        <w:rPr>
          <w:rFonts w:hint="eastAsia" w:ascii="宋体" w:hAnsi="宋体" w:cs="宋体"/>
          <w:kern w:val="0"/>
          <w:sz w:val="24"/>
          <w:szCs w:val="24"/>
        </w:rPr>
        <w:t>注：本表适用于《中华人民共和国大气污染防治法》第一百一十二条以及其他同类型环境违法行为。</w:t>
      </w:r>
    </w:p>
    <w:p>
      <w:pPr>
        <w:overflowPunct w:val="0"/>
        <w:topLinePunct/>
        <w:spacing w:line="600" w:lineRule="exact"/>
        <w:rPr>
          <w:rFonts w:ascii="宋体"/>
          <w:kern w:val="0"/>
          <w:sz w:val="24"/>
          <w:szCs w:val="24"/>
        </w:rPr>
      </w:pPr>
    </w:p>
    <w:p>
      <w:pPr>
        <w:overflowPunct w:val="0"/>
        <w:topLinePunct/>
        <w:adjustRightInd w:val="0"/>
        <w:snapToGrid w:val="0"/>
        <w:spacing w:line="600" w:lineRule="exact"/>
        <w:ind w:firstLine="640" w:firstLineChars="200"/>
        <w:outlineLvl w:val="1"/>
        <w:rPr>
          <w:rFonts w:hint="eastAsia" w:ascii="楷体" w:hAnsi="楷体" w:eastAsia="楷体" w:cs="楷体"/>
          <w:sz w:val="32"/>
          <w:szCs w:val="32"/>
        </w:rPr>
      </w:pPr>
      <w:r>
        <w:rPr>
          <w:rFonts w:hint="eastAsia" w:ascii="楷体" w:hAnsi="楷体" w:eastAsia="楷体" w:cs="楷体"/>
          <w:sz w:val="32"/>
          <w:szCs w:val="32"/>
        </w:rPr>
        <w:t>（十二）违反海洋环境保护管理制度的行为</w:t>
      </w:r>
    </w:p>
    <w:tbl>
      <w:tblPr>
        <w:tblStyle w:val="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5400"/>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blHeader/>
          <w:jc w:val="center"/>
        </w:trPr>
        <w:tc>
          <w:tcPr>
            <w:tcW w:w="1908" w:type="dxa"/>
            <w:vAlign w:val="top"/>
          </w:tcPr>
          <w:p>
            <w:pPr>
              <w:overflowPunct w:val="0"/>
              <w:topLinePunct/>
              <w:spacing w:line="360" w:lineRule="exact"/>
              <w:ind w:firstLine="240" w:firstLineChars="100"/>
              <w:rPr>
                <w:rFonts w:ascii="宋体"/>
                <w:kern w:val="0"/>
                <w:sz w:val="24"/>
                <w:szCs w:val="24"/>
              </w:rPr>
            </w:pPr>
            <w:r>
              <w:rPr>
                <w:rFonts w:hint="eastAsia" w:ascii="宋体" w:hAnsi="宋体" w:cs="宋体"/>
                <w:kern w:val="0"/>
                <w:sz w:val="24"/>
                <w:szCs w:val="24"/>
              </w:rPr>
              <w:t>裁量因素</w:t>
            </w:r>
          </w:p>
        </w:tc>
        <w:tc>
          <w:tcPr>
            <w:tcW w:w="5400" w:type="dxa"/>
            <w:vAlign w:val="top"/>
          </w:tcPr>
          <w:p>
            <w:pPr>
              <w:overflowPunct w:val="0"/>
              <w:topLinePunct/>
              <w:spacing w:line="360" w:lineRule="exact"/>
              <w:ind w:firstLine="2040" w:firstLineChars="850"/>
              <w:rPr>
                <w:rFonts w:ascii="宋体"/>
                <w:kern w:val="0"/>
                <w:sz w:val="24"/>
                <w:szCs w:val="24"/>
              </w:rPr>
            </w:pPr>
            <w:r>
              <w:rPr>
                <w:rFonts w:hint="eastAsia" w:ascii="宋体" w:hAnsi="宋体" w:cs="宋体"/>
                <w:kern w:val="0"/>
                <w:sz w:val="24"/>
                <w:szCs w:val="24"/>
              </w:rPr>
              <w:t>裁量因子</w:t>
            </w:r>
          </w:p>
        </w:tc>
        <w:tc>
          <w:tcPr>
            <w:tcW w:w="1214" w:type="dxa"/>
            <w:vAlign w:val="top"/>
          </w:tcPr>
          <w:p>
            <w:pPr>
              <w:overflowPunct w:val="0"/>
              <w:topLinePunct/>
              <w:spacing w:line="360" w:lineRule="exact"/>
              <w:rPr>
                <w:rFonts w:ascii="宋体"/>
                <w:kern w:val="0"/>
                <w:sz w:val="24"/>
                <w:szCs w:val="24"/>
              </w:rPr>
            </w:pPr>
            <w:r>
              <w:rPr>
                <w:rFonts w:hint="eastAsia" w:ascii="宋体" w:hAnsi="宋体" w:cs="宋体"/>
                <w:kern w:val="0"/>
                <w:sz w:val="24"/>
                <w:szCs w:val="24"/>
              </w:rPr>
              <w:t>裁量等级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1908" w:type="dxa"/>
            <w:vMerge w:val="restart"/>
            <w:vAlign w:val="top"/>
          </w:tcPr>
          <w:p>
            <w:pPr>
              <w:overflowPunct w:val="0"/>
              <w:topLinePunct/>
              <w:spacing w:line="360" w:lineRule="exact"/>
              <w:ind w:firstLine="240" w:firstLineChars="100"/>
              <w:rPr>
                <w:rFonts w:ascii="宋体"/>
                <w:kern w:val="0"/>
                <w:sz w:val="24"/>
                <w:szCs w:val="24"/>
              </w:rPr>
            </w:pPr>
          </w:p>
          <w:p>
            <w:pPr>
              <w:overflowPunct w:val="0"/>
              <w:topLinePunct/>
              <w:spacing w:line="360" w:lineRule="exact"/>
              <w:jc w:val="center"/>
              <w:rPr>
                <w:rFonts w:ascii="宋体"/>
                <w:kern w:val="0"/>
                <w:sz w:val="24"/>
                <w:szCs w:val="24"/>
              </w:rPr>
            </w:pPr>
            <w:r>
              <w:rPr>
                <w:rFonts w:hint="eastAsia" w:ascii="宋体" w:hAnsi="宋体" w:cs="宋体"/>
                <w:kern w:val="0"/>
                <w:sz w:val="24"/>
                <w:szCs w:val="24"/>
              </w:rPr>
              <w:t>环评文件类型</w:t>
            </w:r>
          </w:p>
        </w:tc>
        <w:tc>
          <w:tcPr>
            <w:tcW w:w="5400" w:type="dxa"/>
            <w:vAlign w:val="top"/>
          </w:tcPr>
          <w:p>
            <w:pPr>
              <w:overflowPunct w:val="0"/>
              <w:topLinePunct/>
              <w:spacing w:line="360" w:lineRule="exact"/>
              <w:rPr>
                <w:rFonts w:ascii="宋体"/>
                <w:kern w:val="0"/>
                <w:sz w:val="24"/>
                <w:szCs w:val="24"/>
              </w:rPr>
            </w:pPr>
            <w:r>
              <w:rPr>
                <w:rFonts w:hint="eastAsia" w:ascii="宋体" w:hAnsi="宋体" w:cs="宋体"/>
                <w:kern w:val="0"/>
                <w:sz w:val="24"/>
                <w:szCs w:val="24"/>
              </w:rPr>
              <w:t>登记表</w:t>
            </w:r>
          </w:p>
        </w:tc>
        <w:tc>
          <w:tcPr>
            <w:tcW w:w="1214" w:type="dxa"/>
            <w:vAlign w:val="top"/>
          </w:tcPr>
          <w:p>
            <w:pPr>
              <w:overflowPunct w:val="0"/>
              <w:topLinePunct/>
              <w:spacing w:line="360" w:lineRule="exact"/>
              <w:jc w:val="center"/>
              <w:rPr>
                <w:rFonts w:ascii="宋体" w:hAnsi="宋体" w:cs="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908" w:type="dxa"/>
            <w:vMerge w:val="continue"/>
            <w:vAlign w:val="top"/>
          </w:tcPr>
          <w:p>
            <w:pPr>
              <w:overflowPunct w:val="0"/>
              <w:topLinePunct/>
              <w:spacing w:line="360" w:lineRule="exact"/>
              <w:ind w:firstLine="240" w:firstLineChars="100"/>
              <w:rPr>
                <w:rFonts w:ascii="宋体"/>
                <w:kern w:val="0"/>
                <w:sz w:val="24"/>
                <w:szCs w:val="24"/>
              </w:rPr>
            </w:pPr>
          </w:p>
        </w:tc>
        <w:tc>
          <w:tcPr>
            <w:tcW w:w="5400" w:type="dxa"/>
            <w:vAlign w:val="top"/>
          </w:tcPr>
          <w:p>
            <w:pPr>
              <w:overflowPunct w:val="0"/>
              <w:topLinePunct/>
              <w:spacing w:line="360" w:lineRule="exact"/>
              <w:rPr>
                <w:rFonts w:ascii="宋体"/>
                <w:kern w:val="0"/>
                <w:sz w:val="24"/>
                <w:szCs w:val="24"/>
              </w:rPr>
            </w:pPr>
            <w:r>
              <w:rPr>
                <w:rFonts w:hint="eastAsia" w:ascii="宋体" w:hAnsi="宋体" w:cs="宋体"/>
                <w:kern w:val="0"/>
                <w:sz w:val="24"/>
                <w:szCs w:val="24"/>
              </w:rPr>
              <w:t>报告表</w:t>
            </w:r>
          </w:p>
        </w:tc>
        <w:tc>
          <w:tcPr>
            <w:tcW w:w="1214" w:type="dxa"/>
            <w:vAlign w:val="top"/>
          </w:tcPr>
          <w:p>
            <w:pPr>
              <w:overflowPunct w:val="0"/>
              <w:topLinePunct/>
              <w:spacing w:line="360" w:lineRule="exact"/>
              <w:jc w:val="center"/>
              <w:rPr>
                <w:rFonts w:ascii="宋体" w:hAnsi="宋体" w:cs="宋体"/>
                <w:kern w:val="0"/>
                <w:sz w:val="24"/>
                <w:szCs w:val="24"/>
              </w:rPr>
            </w:pPr>
            <w:r>
              <w:rPr>
                <w:rFonts w:ascii="宋体" w:hAns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1908" w:type="dxa"/>
            <w:vMerge w:val="continue"/>
            <w:vAlign w:val="top"/>
          </w:tcPr>
          <w:p>
            <w:pPr>
              <w:overflowPunct w:val="0"/>
              <w:topLinePunct/>
              <w:spacing w:line="360" w:lineRule="exact"/>
              <w:ind w:firstLine="240" w:firstLineChars="100"/>
              <w:rPr>
                <w:rFonts w:ascii="宋体"/>
                <w:kern w:val="0"/>
                <w:sz w:val="24"/>
                <w:szCs w:val="24"/>
              </w:rPr>
            </w:pPr>
          </w:p>
        </w:tc>
        <w:tc>
          <w:tcPr>
            <w:tcW w:w="5400" w:type="dxa"/>
            <w:vAlign w:val="top"/>
          </w:tcPr>
          <w:p>
            <w:pPr>
              <w:overflowPunct w:val="0"/>
              <w:topLinePunct/>
              <w:spacing w:line="360" w:lineRule="exact"/>
              <w:rPr>
                <w:rFonts w:ascii="宋体"/>
                <w:kern w:val="0"/>
                <w:sz w:val="24"/>
                <w:szCs w:val="24"/>
              </w:rPr>
            </w:pPr>
            <w:r>
              <w:rPr>
                <w:rFonts w:hint="eastAsia" w:ascii="宋体" w:hAnsi="宋体" w:cs="宋体"/>
                <w:kern w:val="0"/>
                <w:sz w:val="24"/>
                <w:szCs w:val="24"/>
              </w:rPr>
              <w:t>报告书</w:t>
            </w:r>
          </w:p>
        </w:tc>
        <w:tc>
          <w:tcPr>
            <w:tcW w:w="1214" w:type="dxa"/>
            <w:vAlign w:val="top"/>
          </w:tcPr>
          <w:p>
            <w:pPr>
              <w:overflowPunct w:val="0"/>
              <w:topLinePunct/>
              <w:spacing w:line="360" w:lineRule="exact"/>
              <w:jc w:val="center"/>
              <w:rPr>
                <w:rFonts w:ascii="宋体" w:hAnsi="宋体" w:cs="宋体"/>
                <w:kern w:val="0"/>
                <w:sz w:val="24"/>
                <w:szCs w:val="24"/>
              </w:rPr>
            </w:pPr>
            <w:r>
              <w:rPr>
                <w:rFonts w:ascii="宋体" w:hAnsi="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1908" w:type="dxa"/>
            <w:vMerge w:val="restart"/>
            <w:vAlign w:val="top"/>
          </w:tcPr>
          <w:p>
            <w:pPr>
              <w:overflowPunct w:val="0"/>
              <w:topLinePunct/>
              <w:spacing w:line="360" w:lineRule="exact"/>
              <w:rPr>
                <w:rFonts w:ascii="宋体"/>
                <w:kern w:val="0"/>
                <w:sz w:val="24"/>
                <w:szCs w:val="24"/>
              </w:rPr>
            </w:pPr>
          </w:p>
          <w:p>
            <w:pPr>
              <w:overflowPunct w:val="0"/>
              <w:topLinePunct/>
              <w:spacing w:line="360" w:lineRule="exact"/>
              <w:rPr>
                <w:rFonts w:ascii="宋体"/>
                <w:kern w:val="0"/>
                <w:sz w:val="24"/>
                <w:szCs w:val="24"/>
              </w:rPr>
            </w:pPr>
          </w:p>
          <w:p>
            <w:pPr>
              <w:overflowPunct w:val="0"/>
              <w:topLinePunct/>
              <w:spacing w:line="360" w:lineRule="exact"/>
              <w:jc w:val="center"/>
              <w:rPr>
                <w:rFonts w:ascii="宋体"/>
                <w:kern w:val="0"/>
                <w:sz w:val="24"/>
                <w:szCs w:val="24"/>
              </w:rPr>
            </w:pPr>
            <w:r>
              <w:rPr>
                <w:rFonts w:hint="eastAsia" w:ascii="宋体" w:cs="宋体"/>
                <w:kern w:val="0"/>
                <w:sz w:val="24"/>
                <w:szCs w:val="24"/>
              </w:rPr>
              <w:t>海洋功能区划</w:t>
            </w:r>
          </w:p>
        </w:tc>
        <w:tc>
          <w:tcPr>
            <w:tcW w:w="5400" w:type="dxa"/>
            <w:vAlign w:val="top"/>
          </w:tcPr>
          <w:p>
            <w:pPr>
              <w:overflowPunct w:val="0"/>
              <w:topLinePunct/>
              <w:spacing w:line="360" w:lineRule="exact"/>
              <w:rPr>
                <w:rFonts w:ascii="宋体"/>
                <w:kern w:val="0"/>
                <w:sz w:val="24"/>
                <w:szCs w:val="24"/>
              </w:rPr>
            </w:pPr>
            <w:r>
              <w:rPr>
                <w:rFonts w:hint="eastAsia" w:cs="宋体"/>
                <w:sz w:val="24"/>
                <w:szCs w:val="24"/>
              </w:rPr>
              <w:t>工业与城镇用海区</w:t>
            </w:r>
          </w:p>
        </w:tc>
        <w:tc>
          <w:tcPr>
            <w:tcW w:w="1214" w:type="dxa"/>
            <w:vAlign w:val="top"/>
          </w:tcPr>
          <w:p>
            <w:pPr>
              <w:overflowPunct w:val="0"/>
              <w:topLinePunct/>
              <w:spacing w:line="360" w:lineRule="exact"/>
              <w:jc w:val="center"/>
              <w:rPr>
                <w:rFonts w:ascii="宋体"/>
                <w:kern w:val="0"/>
                <w:sz w:val="24"/>
                <w:szCs w:val="24"/>
              </w:rPr>
            </w:pPr>
            <w:r>
              <w:rPr>
                <w:rFonts w:asci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1908" w:type="dxa"/>
            <w:vMerge w:val="continue"/>
            <w:vAlign w:val="top"/>
          </w:tcPr>
          <w:p>
            <w:pPr>
              <w:overflowPunct w:val="0"/>
              <w:topLinePunct/>
              <w:spacing w:line="360" w:lineRule="exact"/>
              <w:rPr>
                <w:rFonts w:ascii="宋体"/>
                <w:kern w:val="0"/>
                <w:sz w:val="24"/>
                <w:szCs w:val="24"/>
              </w:rPr>
            </w:pPr>
          </w:p>
        </w:tc>
        <w:tc>
          <w:tcPr>
            <w:tcW w:w="5400" w:type="dxa"/>
            <w:vAlign w:val="top"/>
          </w:tcPr>
          <w:p>
            <w:pPr>
              <w:overflowPunct w:val="0"/>
              <w:topLinePunct/>
              <w:spacing w:line="360" w:lineRule="exact"/>
              <w:rPr>
                <w:rFonts w:ascii="宋体"/>
                <w:kern w:val="0"/>
                <w:sz w:val="24"/>
                <w:szCs w:val="24"/>
              </w:rPr>
            </w:pPr>
            <w:r>
              <w:rPr>
                <w:rFonts w:hint="eastAsia" w:cs="宋体"/>
                <w:sz w:val="24"/>
                <w:szCs w:val="24"/>
              </w:rPr>
              <w:t>农渔业区、港口航运区</w:t>
            </w:r>
          </w:p>
        </w:tc>
        <w:tc>
          <w:tcPr>
            <w:tcW w:w="1214" w:type="dxa"/>
            <w:vAlign w:val="top"/>
          </w:tcPr>
          <w:p>
            <w:pPr>
              <w:overflowPunct w:val="0"/>
              <w:topLinePunct/>
              <w:spacing w:line="360" w:lineRule="exact"/>
              <w:jc w:val="center"/>
              <w:rPr>
                <w:rFonts w:ascii="宋体"/>
                <w:kern w:val="0"/>
                <w:sz w:val="24"/>
                <w:szCs w:val="24"/>
              </w:rPr>
            </w:pPr>
            <w:r>
              <w:rPr>
                <w:rFonts w:asci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1908" w:type="dxa"/>
            <w:vMerge w:val="continue"/>
            <w:vAlign w:val="top"/>
          </w:tcPr>
          <w:p>
            <w:pPr>
              <w:overflowPunct w:val="0"/>
              <w:topLinePunct/>
              <w:spacing w:line="360" w:lineRule="exact"/>
              <w:rPr>
                <w:rFonts w:ascii="宋体"/>
                <w:kern w:val="0"/>
                <w:sz w:val="24"/>
                <w:szCs w:val="24"/>
              </w:rPr>
            </w:pPr>
          </w:p>
        </w:tc>
        <w:tc>
          <w:tcPr>
            <w:tcW w:w="5400" w:type="dxa"/>
            <w:vAlign w:val="top"/>
          </w:tcPr>
          <w:p>
            <w:pPr>
              <w:overflowPunct w:val="0"/>
              <w:topLinePunct/>
              <w:spacing w:line="360" w:lineRule="exact"/>
              <w:rPr>
                <w:rFonts w:ascii="宋体"/>
                <w:kern w:val="0"/>
                <w:sz w:val="24"/>
                <w:szCs w:val="24"/>
              </w:rPr>
            </w:pPr>
            <w:r>
              <w:rPr>
                <w:rFonts w:hint="eastAsia" w:cs="宋体"/>
                <w:sz w:val="24"/>
                <w:szCs w:val="24"/>
              </w:rPr>
              <w:t>旅游休闲娱乐区</w:t>
            </w:r>
          </w:p>
        </w:tc>
        <w:tc>
          <w:tcPr>
            <w:tcW w:w="1214" w:type="dxa"/>
            <w:vAlign w:val="top"/>
          </w:tcPr>
          <w:p>
            <w:pPr>
              <w:overflowPunct w:val="0"/>
              <w:topLinePunct/>
              <w:spacing w:line="360" w:lineRule="exact"/>
              <w:jc w:val="center"/>
              <w:rPr>
                <w:rFonts w:ascii="宋体"/>
                <w:kern w:val="0"/>
                <w:sz w:val="24"/>
                <w:szCs w:val="24"/>
              </w:rPr>
            </w:pPr>
            <w:r>
              <w:rPr>
                <w:rFonts w:asci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1908" w:type="dxa"/>
            <w:vMerge w:val="continue"/>
            <w:vAlign w:val="top"/>
          </w:tcPr>
          <w:p>
            <w:pPr>
              <w:overflowPunct w:val="0"/>
              <w:topLinePunct/>
              <w:spacing w:line="360" w:lineRule="exact"/>
              <w:rPr>
                <w:rFonts w:ascii="宋体"/>
                <w:kern w:val="0"/>
                <w:sz w:val="24"/>
                <w:szCs w:val="24"/>
              </w:rPr>
            </w:pPr>
          </w:p>
        </w:tc>
        <w:tc>
          <w:tcPr>
            <w:tcW w:w="5400" w:type="dxa"/>
            <w:vAlign w:val="top"/>
          </w:tcPr>
          <w:p>
            <w:pPr>
              <w:overflowPunct w:val="0"/>
              <w:topLinePunct/>
              <w:spacing w:line="360" w:lineRule="exact"/>
              <w:rPr>
                <w:rFonts w:ascii="宋体"/>
                <w:kern w:val="0"/>
                <w:sz w:val="24"/>
                <w:szCs w:val="24"/>
              </w:rPr>
            </w:pPr>
            <w:r>
              <w:rPr>
                <w:rFonts w:hint="eastAsia" w:cs="宋体"/>
                <w:sz w:val="24"/>
                <w:szCs w:val="24"/>
              </w:rPr>
              <w:t>矿产与能源区</w:t>
            </w:r>
          </w:p>
        </w:tc>
        <w:tc>
          <w:tcPr>
            <w:tcW w:w="1214" w:type="dxa"/>
            <w:vAlign w:val="top"/>
          </w:tcPr>
          <w:p>
            <w:pPr>
              <w:overflowPunct w:val="0"/>
              <w:topLinePunct/>
              <w:spacing w:line="360" w:lineRule="exact"/>
              <w:jc w:val="center"/>
              <w:rPr>
                <w:rFonts w:ascii="宋体"/>
                <w:kern w:val="0"/>
                <w:sz w:val="24"/>
                <w:szCs w:val="24"/>
              </w:rPr>
            </w:pPr>
            <w:r>
              <w:rPr>
                <w:rFonts w:ascii="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1908" w:type="dxa"/>
            <w:vMerge w:val="continue"/>
            <w:vAlign w:val="top"/>
          </w:tcPr>
          <w:p>
            <w:pPr>
              <w:overflowPunct w:val="0"/>
              <w:topLinePunct/>
              <w:spacing w:line="360" w:lineRule="exact"/>
              <w:rPr>
                <w:rFonts w:ascii="宋体"/>
                <w:kern w:val="0"/>
                <w:sz w:val="24"/>
                <w:szCs w:val="24"/>
              </w:rPr>
            </w:pPr>
          </w:p>
        </w:tc>
        <w:tc>
          <w:tcPr>
            <w:tcW w:w="5400" w:type="dxa"/>
            <w:vAlign w:val="top"/>
          </w:tcPr>
          <w:p>
            <w:pPr>
              <w:rPr>
                <w:sz w:val="24"/>
                <w:szCs w:val="24"/>
              </w:rPr>
            </w:pPr>
            <w:r>
              <w:rPr>
                <w:rFonts w:hint="eastAsia" w:cs="宋体"/>
                <w:sz w:val="24"/>
                <w:szCs w:val="24"/>
              </w:rPr>
              <w:t>海洋保护区、特殊利用区、保留区</w:t>
            </w:r>
          </w:p>
        </w:tc>
        <w:tc>
          <w:tcPr>
            <w:tcW w:w="1214" w:type="dxa"/>
            <w:vAlign w:val="top"/>
          </w:tcPr>
          <w:p>
            <w:pPr>
              <w:overflowPunct w:val="0"/>
              <w:topLinePunct/>
              <w:spacing w:line="360" w:lineRule="exact"/>
              <w:jc w:val="center"/>
              <w:rPr>
                <w:rFonts w:ascii="宋体"/>
                <w:kern w:val="0"/>
                <w:sz w:val="24"/>
                <w:szCs w:val="24"/>
              </w:rPr>
            </w:pPr>
            <w:r>
              <w:rPr>
                <w:rFonts w:ascii="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1908" w:type="dxa"/>
            <w:vMerge w:val="restart"/>
            <w:vAlign w:val="top"/>
          </w:tcPr>
          <w:p>
            <w:pPr>
              <w:overflowPunct w:val="0"/>
              <w:topLinePunct/>
              <w:spacing w:line="360" w:lineRule="exact"/>
              <w:rPr>
                <w:rFonts w:ascii="宋体"/>
                <w:kern w:val="0"/>
                <w:sz w:val="24"/>
                <w:szCs w:val="24"/>
              </w:rPr>
            </w:pPr>
          </w:p>
          <w:p>
            <w:pPr>
              <w:overflowPunct w:val="0"/>
              <w:topLinePunct/>
              <w:spacing w:line="360" w:lineRule="exact"/>
              <w:rPr>
                <w:rFonts w:ascii="宋体"/>
                <w:kern w:val="0"/>
                <w:sz w:val="24"/>
                <w:szCs w:val="24"/>
              </w:rPr>
            </w:pPr>
          </w:p>
          <w:p>
            <w:pPr>
              <w:overflowPunct w:val="0"/>
              <w:topLinePunct/>
              <w:spacing w:line="360" w:lineRule="exact"/>
              <w:jc w:val="center"/>
              <w:rPr>
                <w:rFonts w:ascii="宋体"/>
                <w:kern w:val="0"/>
                <w:sz w:val="24"/>
                <w:szCs w:val="24"/>
              </w:rPr>
            </w:pPr>
            <w:r>
              <w:rPr>
                <w:rFonts w:hint="eastAsia" w:ascii="宋体" w:cs="宋体"/>
                <w:kern w:val="0"/>
                <w:sz w:val="24"/>
                <w:szCs w:val="24"/>
              </w:rPr>
              <w:t>污染物类别</w:t>
            </w:r>
          </w:p>
        </w:tc>
        <w:tc>
          <w:tcPr>
            <w:tcW w:w="5400" w:type="dxa"/>
            <w:vAlign w:val="center"/>
          </w:tcPr>
          <w:p>
            <w:pPr>
              <w:overflowPunct w:val="0"/>
              <w:topLinePunct/>
              <w:snapToGrid w:val="0"/>
              <w:spacing w:line="360" w:lineRule="exact"/>
              <w:rPr>
                <w:rFonts w:ascii="宋体"/>
                <w:sz w:val="24"/>
                <w:szCs w:val="24"/>
              </w:rPr>
            </w:pPr>
            <w:r>
              <w:rPr>
                <w:rFonts w:hint="eastAsia" w:ascii="宋体" w:hAnsi="宋体" w:cs="宋体"/>
                <w:sz w:val="24"/>
                <w:szCs w:val="24"/>
              </w:rPr>
              <w:t>生活废水</w:t>
            </w:r>
            <w:r>
              <w:rPr>
                <w:rFonts w:ascii="宋体" w:hAnsi="宋体" w:cs="宋体"/>
                <w:sz w:val="24"/>
                <w:szCs w:val="24"/>
              </w:rPr>
              <w:t>/</w:t>
            </w:r>
            <w:r>
              <w:rPr>
                <w:rFonts w:hint="eastAsia" w:ascii="宋体" w:hAnsi="宋体" w:cs="宋体"/>
                <w:kern w:val="0"/>
                <w:sz w:val="24"/>
                <w:szCs w:val="24"/>
              </w:rPr>
              <w:t>Ⅰ类一般工业固体废物</w:t>
            </w:r>
          </w:p>
        </w:tc>
        <w:tc>
          <w:tcPr>
            <w:tcW w:w="1214" w:type="dxa"/>
            <w:vAlign w:val="center"/>
          </w:tcPr>
          <w:p>
            <w:pPr>
              <w:overflowPunct w:val="0"/>
              <w:topLinePunct/>
              <w:snapToGrid w:val="0"/>
              <w:spacing w:line="360" w:lineRule="exact"/>
              <w:jc w:val="center"/>
              <w:rPr>
                <w:rFonts w:ascii="宋体" w:hAnsi="宋体" w:cs="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1908" w:type="dxa"/>
            <w:vMerge w:val="continue"/>
            <w:vAlign w:val="top"/>
          </w:tcPr>
          <w:p>
            <w:pPr>
              <w:overflowPunct w:val="0"/>
              <w:topLinePunct/>
              <w:spacing w:line="360" w:lineRule="exact"/>
              <w:rPr>
                <w:rFonts w:ascii="宋体"/>
                <w:kern w:val="0"/>
                <w:sz w:val="24"/>
                <w:szCs w:val="24"/>
              </w:rPr>
            </w:pPr>
          </w:p>
        </w:tc>
        <w:tc>
          <w:tcPr>
            <w:tcW w:w="5400" w:type="dxa"/>
            <w:vAlign w:val="center"/>
          </w:tcPr>
          <w:p>
            <w:pPr>
              <w:overflowPunct w:val="0"/>
              <w:topLinePunct/>
              <w:snapToGrid w:val="0"/>
              <w:spacing w:line="360" w:lineRule="exact"/>
              <w:rPr>
                <w:rFonts w:ascii="宋体"/>
                <w:sz w:val="24"/>
                <w:szCs w:val="24"/>
              </w:rPr>
            </w:pPr>
            <w:r>
              <w:rPr>
                <w:rFonts w:hint="eastAsia" w:ascii="宋体" w:hAnsi="宋体" w:cs="宋体"/>
                <w:sz w:val="24"/>
                <w:szCs w:val="24"/>
              </w:rPr>
              <w:t>服务业废水</w:t>
            </w:r>
          </w:p>
        </w:tc>
        <w:tc>
          <w:tcPr>
            <w:tcW w:w="1214" w:type="dxa"/>
            <w:vAlign w:val="center"/>
          </w:tcPr>
          <w:p>
            <w:pPr>
              <w:overflowPunct w:val="0"/>
              <w:topLinePunct/>
              <w:snapToGrid w:val="0"/>
              <w:spacing w:line="360" w:lineRule="exact"/>
              <w:jc w:val="center"/>
              <w:rPr>
                <w:rFonts w:ascii="宋体"/>
                <w:kern w:val="0"/>
                <w:sz w:val="24"/>
                <w:szCs w:val="24"/>
              </w:rPr>
            </w:pPr>
            <w:r>
              <w:rPr>
                <w:rFonts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1908" w:type="dxa"/>
            <w:vMerge w:val="continue"/>
            <w:vAlign w:val="top"/>
          </w:tcPr>
          <w:p>
            <w:pPr>
              <w:overflowPunct w:val="0"/>
              <w:topLinePunct/>
              <w:spacing w:line="360" w:lineRule="exact"/>
              <w:rPr>
                <w:rFonts w:ascii="宋体"/>
                <w:kern w:val="0"/>
                <w:sz w:val="24"/>
                <w:szCs w:val="24"/>
              </w:rPr>
            </w:pPr>
          </w:p>
        </w:tc>
        <w:tc>
          <w:tcPr>
            <w:tcW w:w="5400" w:type="dxa"/>
            <w:vAlign w:val="center"/>
          </w:tcPr>
          <w:p>
            <w:pPr>
              <w:overflowPunct w:val="0"/>
              <w:topLinePunct/>
              <w:snapToGrid w:val="0"/>
              <w:spacing w:line="360" w:lineRule="exact"/>
              <w:rPr>
                <w:rFonts w:ascii="宋体"/>
                <w:sz w:val="24"/>
                <w:szCs w:val="24"/>
              </w:rPr>
            </w:pPr>
            <w:r>
              <w:rPr>
                <w:rFonts w:hint="eastAsia" w:ascii="宋体" w:hAnsi="宋体" w:cs="宋体"/>
                <w:sz w:val="24"/>
                <w:szCs w:val="24"/>
              </w:rPr>
              <w:t>一般工业废水</w:t>
            </w:r>
            <w:r>
              <w:rPr>
                <w:rFonts w:ascii="宋体" w:hAnsi="宋体" w:cs="宋体"/>
                <w:sz w:val="24"/>
                <w:szCs w:val="24"/>
              </w:rPr>
              <w:t>/</w:t>
            </w:r>
            <w:r>
              <w:rPr>
                <w:rFonts w:hint="eastAsia" w:ascii="宋体" w:hAnsi="宋体" w:cs="宋体"/>
                <w:kern w:val="0"/>
                <w:sz w:val="24"/>
                <w:szCs w:val="24"/>
              </w:rPr>
              <w:t>Ⅱ类一般工业固体废物</w:t>
            </w:r>
          </w:p>
        </w:tc>
        <w:tc>
          <w:tcPr>
            <w:tcW w:w="1214" w:type="dxa"/>
            <w:vAlign w:val="center"/>
          </w:tcPr>
          <w:p>
            <w:pPr>
              <w:overflowPunct w:val="0"/>
              <w:topLinePunct/>
              <w:snapToGrid w:val="0"/>
              <w:spacing w:line="360" w:lineRule="exact"/>
              <w:jc w:val="center"/>
              <w:rPr>
                <w:rFonts w:ascii="宋体" w:hAnsi="宋体" w:cs="宋体"/>
                <w:kern w:val="0"/>
                <w:sz w:val="24"/>
                <w:szCs w:val="24"/>
              </w:rPr>
            </w:pPr>
            <w:r>
              <w:rPr>
                <w:rFonts w:ascii="宋体" w:hAns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1908" w:type="dxa"/>
            <w:vMerge w:val="continue"/>
            <w:vAlign w:val="top"/>
          </w:tcPr>
          <w:p>
            <w:pPr>
              <w:overflowPunct w:val="0"/>
              <w:topLinePunct/>
              <w:spacing w:line="360" w:lineRule="exact"/>
              <w:rPr>
                <w:rFonts w:ascii="宋体"/>
                <w:kern w:val="0"/>
                <w:sz w:val="24"/>
                <w:szCs w:val="24"/>
              </w:rPr>
            </w:pPr>
          </w:p>
        </w:tc>
        <w:tc>
          <w:tcPr>
            <w:tcW w:w="5400" w:type="dxa"/>
            <w:vAlign w:val="center"/>
          </w:tcPr>
          <w:p>
            <w:pPr>
              <w:overflowPunct w:val="0"/>
              <w:topLinePunct/>
              <w:snapToGrid w:val="0"/>
              <w:spacing w:line="360" w:lineRule="exact"/>
              <w:rPr>
                <w:rFonts w:ascii="宋体"/>
                <w:sz w:val="24"/>
                <w:szCs w:val="24"/>
              </w:rPr>
            </w:pPr>
            <w:r>
              <w:rPr>
                <w:rFonts w:hint="eastAsia" w:ascii="宋体" w:hAnsi="宋体" w:cs="宋体"/>
                <w:kern w:val="0"/>
                <w:sz w:val="24"/>
                <w:szCs w:val="24"/>
              </w:rPr>
              <w:t>含其他有毒有害物质的废水、医疗废水</w:t>
            </w:r>
          </w:p>
        </w:tc>
        <w:tc>
          <w:tcPr>
            <w:tcW w:w="1214" w:type="dxa"/>
            <w:vAlign w:val="center"/>
          </w:tcPr>
          <w:p>
            <w:pPr>
              <w:overflowPunct w:val="0"/>
              <w:topLinePunct/>
              <w:snapToGrid w:val="0"/>
              <w:spacing w:line="360" w:lineRule="exact"/>
              <w:jc w:val="center"/>
              <w:rPr>
                <w:rFonts w:ascii="宋体" w:hAnsi="宋体" w:cs="宋体"/>
                <w:kern w:val="0"/>
                <w:sz w:val="24"/>
                <w:szCs w:val="24"/>
              </w:rPr>
            </w:pPr>
            <w:r>
              <w:rPr>
                <w:rFonts w:ascii="宋体" w:hAnsi="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1908" w:type="dxa"/>
            <w:vMerge w:val="continue"/>
            <w:vAlign w:val="top"/>
          </w:tcPr>
          <w:p>
            <w:pPr>
              <w:overflowPunct w:val="0"/>
              <w:topLinePunct/>
              <w:spacing w:line="360" w:lineRule="exact"/>
              <w:rPr>
                <w:rFonts w:ascii="宋体"/>
                <w:kern w:val="0"/>
                <w:sz w:val="24"/>
                <w:szCs w:val="24"/>
              </w:rPr>
            </w:pPr>
          </w:p>
        </w:tc>
        <w:tc>
          <w:tcPr>
            <w:tcW w:w="5400" w:type="dxa"/>
            <w:vAlign w:val="center"/>
          </w:tcPr>
          <w:p>
            <w:pPr>
              <w:overflowPunct w:val="0"/>
              <w:topLinePunct/>
              <w:snapToGrid w:val="0"/>
              <w:spacing w:line="360" w:lineRule="exact"/>
              <w:rPr>
                <w:rFonts w:ascii="宋体"/>
                <w:w w:val="90"/>
                <w:sz w:val="24"/>
                <w:szCs w:val="24"/>
              </w:rPr>
            </w:pPr>
            <w:r>
              <w:rPr>
                <w:rFonts w:hint="eastAsia" w:ascii="宋体" w:hAnsi="宋体" w:cs="宋体"/>
                <w:kern w:val="0"/>
                <w:sz w:val="24"/>
                <w:szCs w:val="24"/>
              </w:rPr>
              <w:t>含一类污染物或重金属、病原体、放射性物质的废水</w:t>
            </w:r>
            <w:r>
              <w:rPr>
                <w:rFonts w:ascii="宋体" w:hAnsi="宋体" w:cs="宋体"/>
                <w:kern w:val="0"/>
                <w:sz w:val="24"/>
                <w:szCs w:val="24"/>
              </w:rPr>
              <w:t>/</w:t>
            </w:r>
            <w:r>
              <w:rPr>
                <w:rFonts w:hint="eastAsia" w:ascii="宋体" w:hAnsi="宋体" w:cs="宋体"/>
                <w:kern w:val="0"/>
                <w:sz w:val="24"/>
                <w:szCs w:val="24"/>
              </w:rPr>
              <w:t>危险废物</w:t>
            </w:r>
          </w:p>
        </w:tc>
        <w:tc>
          <w:tcPr>
            <w:tcW w:w="1214" w:type="dxa"/>
            <w:vAlign w:val="center"/>
          </w:tcPr>
          <w:p>
            <w:pPr>
              <w:overflowPunct w:val="0"/>
              <w:topLinePunct/>
              <w:snapToGrid w:val="0"/>
              <w:spacing w:line="360" w:lineRule="exact"/>
              <w:jc w:val="center"/>
              <w:rPr>
                <w:rFonts w:ascii="宋体" w:hAnsi="宋体" w:cs="宋体"/>
                <w:kern w:val="0"/>
                <w:sz w:val="24"/>
                <w:szCs w:val="24"/>
              </w:rPr>
            </w:pPr>
            <w:r>
              <w:rPr>
                <w:rFonts w:ascii="宋体" w:hAnsi="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908" w:type="dxa"/>
            <w:vMerge w:val="restart"/>
            <w:vAlign w:val="center"/>
          </w:tcPr>
          <w:p>
            <w:pPr>
              <w:overflowPunct w:val="0"/>
              <w:topLinePunct/>
              <w:snapToGrid w:val="0"/>
              <w:spacing w:line="380" w:lineRule="exact"/>
              <w:jc w:val="center"/>
              <w:rPr>
                <w:rFonts w:ascii="宋体"/>
                <w:kern w:val="0"/>
                <w:sz w:val="24"/>
                <w:szCs w:val="24"/>
              </w:rPr>
            </w:pPr>
            <w:r>
              <w:rPr>
                <w:rFonts w:hint="eastAsia" w:ascii="宋体" w:hAnsi="宋体" w:cs="宋体"/>
                <w:kern w:val="0"/>
                <w:sz w:val="24"/>
                <w:szCs w:val="24"/>
              </w:rPr>
              <w:t>超标因子</w:t>
            </w:r>
          </w:p>
        </w:tc>
        <w:tc>
          <w:tcPr>
            <w:tcW w:w="5400" w:type="dxa"/>
            <w:vAlign w:val="center"/>
          </w:tcPr>
          <w:p>
            <w:pPr>
              <w:overflowPunct w:val="0"/>
              <w:topLinePunct/>
              <w:snapToGrid w:val="0"/>
              <w:spacing w:line="380" w:lineRule="exact"/>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个</w:t>
            </w:r>
          </w:p>
        </w:tc>
        <w:tc>
          <w:tcPr>
            <w:tcW w:w="1214" w:type="dxa"/>
            <w:vAlign w:val="center"/>
          </w:tcPr>
          <w:p>
            <w:pPr>
              <w:overflowPunct w:val="0"/>
              <w:topLinePunct/>
              <w:snapToGrid w:val="0"/>
              <w:spacing w:line="380" w:lineRule="exact"/>
              <w:jc w:val="center"/>
              <w:rPr>
                <w:rFonts w:ascii="宋体" w:hAnsi="宋体" w:cs="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908" w:type="dxa"/>
            <w:vMerge w:val="continue"/>
            <w:vAlign w:val="center"/>
          </w:tcPr>
          <w:p>
            <w:pPr>
              <w:overflowPunct w:val="0"/>
              <w:topLinePunct/>
              <w:spacing w:line="360" w:lineRule="exact"/>
              <w:rPr>
                <w:rFonts w:ascii="宋体"/>
                <w:kern w:val="0"/>
                <w:sz w:val="24"/>
                <w:szCs w:val="24"/>
              </w:rPr>
            </w:pPr>
          </w:p>
        </w:tc>
        <w:tc>
          <w:tcPr>
            <w:tcW w:w="5400" w:type="dxa"/>
            <w:vAlign w:val="center"/>
          </w:tcPr>
          <w:p>
            <w:pPr>
              <w:overflowPunct w:val="0"/>
              <w:topLinePunct/>
              <w:spacing w:line="360" w:lineRule="exact"/>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个</w:t>
            </w:r>
          </w:p>
        </w:tc>
        <w:tc>
          <w:tcPr>
            <w:tcW w:w="1214" w:type="dxa"/>
            <w:vAlign w:val="center"/>
          </w:tcPr>
          <w:p>
            <w:pPr>
              <w:overflowPunct w:val="0"/>
              <w:topLinePunct/>
              <w:spacing w:line="360" w:lineRule="exact"/>
              <w:jc w:val="center"/>
              <w:rPr>
                <w:rFonts w:ascii="宋体"/>
                <w:kern w:val="0"/>
                <w:sz w:val="24"/>
                <w:szCs w:val="24"/>
              </w:rPr>
            </w:pPr>
            <w:r>
              <w:rPr>
                <w:rFonts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908" w:type="dxa"/>
            <w:vMerge w:val="continue"/>
            <w:vAlign w:val="center"/>
          </w:tcPr>
          <w:p>
            <w:pPr>
              <w:overflowPunct w:val="0"/>
              <w:topLinePunct/>
              <w:spacing w:line="360" w:lineRule="exact"/>
              <w:rPr>
                <w:rFonts w:ascii="宋体"/>
                <w:kern w:val="0"/>
                <w:sz w:val="24"/>
                <w:szCs w:val="24"/>
              </w:rPr>
            </w:pPr>
          </w:p>
        </w:tc>
        <w:tc>
          <w:tcPr>
            <w:tcW w:w="5400" w:type="dxa"/>
            <w:vAlign w:val="center"/>
          </w:tcPr>
          <w:p>
            <w:pPr>
              <w:overflowPunct w:val="0"/>
              <w:topLinePunct/>
              <w:spacing w:line="360" w:lineRule="exact"/>
              <w:rPr>
                <w:rFonts w:ascii="宋体"/>
                <w:kern w:val="0"/>
                <w:sz w:val="24"/>
                <w:szCs w:val="24"/>
              </w:rPr>
            </w:pPr>
            <w:r>
              <w:rPr>
                <w:rFonts w:ascii="宋体" w:hAnsi="宋体" w:cs="宋体"/>
                <w:kern w:val="0"/>
                <w:sz w:val="24"/>
                <w:szCs w:val="24"/>
              </w:rPr>
              <w:t>3</w:t>
            </w:r>
            <w:r>
              <w:rPr>
                <w:rFonts w:hint="eastAsia" w:ascii="宋体" w:hAnsi="宋体" w:cs="宋体"/>
                <w:kern w:val="0"/>
                <w:sz w:val="24"/>
                <w:szCs w:val="24"/>
              </w:rPr>
              <w:t>个</w:t>
            </w:r>
          </w:p>
        </w:tc>
        <w:tc>
          <w:tcPr>
            <w:tcW w:w="1214" w:type="dxa"/>
            <w:vAlign w:val="center"/>
          </w:tcPr>
          <w:p>
            <w:pPr>
              <w:overflowPunct w:val="0"/>
              <w:topLinePunct/>
              <w:spacing w:line="360" w:lineRule="exact"/>
              <w:jc w:val="center"/>
              <w:rPr>
                <w:rFonts w:ascii="宋体"/>
                <w:kern w:val="0"/>
                <w:sz w:val="24"/>
                <w:szCs w:val="24"/>
              </w:rPr>
            </w:pPr>
            <w:r>
              <w:rPr>
                <w:rFonts w:ascii="宋体" w:hAns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908" w:type="dxa"/>
            <w:vMerge w:val="continue"/>
            <w:vAlign w:val="center"/>
          </w:tcPr>
          <w:p>
            <w:pPr>
              <w:overflowPunct w:val="0"/>
              <w:topLinePunct/>
              <w:spacing w:line="360" w:lineRule="exact"/>
              <w:rPr>
                <w:rFonts w:ascii="宋体"/>
                <w:kern w:val="0"/>
                <w:sz w:val="24"/>
                <w:szCs w:val="24"/>
              </w:rPr>
            </w:pPr>
          </w:p>
        </w:tc>
        <w:tc>
          <w:tcPr>
            <w:tcW w:w="5400" w:type="dxa"/>
            <w:vAlign w:val="center"/>
          </w:tcPr>
          <w:p>
            <w:pPr>
              <w:overflowPunct w:val="0"/>
              <w:topLinePunct/>
              <w:spacing w:line="360" w:lineRule="exact"/>
              <w:rPr>
                <w:rFonts w:ascii="宋体"/>
                <w:kern w:val="0"/>
                <w:sz w:val="24"/>
                <w:szCs w:val="24"/>
              </w:rPr>
            </w:pPr>
            <w:r>
              <w:rPr>
                <w:rFonts w:ascii="宋体" w:hAnsi="宋体" w:cs="宋体"/>
                <w:kern w:val="0"/>
                <w:sz w:val="24"/>
                <w:szCs w:val="24"/>
              </w:rPr>
              <w:t>4</w:t>
            </w:r>
            <w:r>
              <w:rPr>
                <w:rFonts w:hint="eastAsia" w:ascii="宋体" w:hAnsi="宋体" w:cs="宋体"/>
                <w:kern w:val="0"/>
                <w:sz w:val="24"/>
                <w:szCs w:val="24"/>
              </w:rPr>
              <w:t>个</w:t>
            </w:r>
          </w:p>
        </w:tc>
        <w:tc>
          <w:tcPr>
            <w:tcW w:w="1214" w:type="dxa"/>
            <w:vAlign w:val="center"/>
          </w:tcPr>
          <w:p>
            <w:pPr>
              <w:overflowPunct w:val="0"/>
              <w:topLinePunct/>
              <w:spacing w:line="360" w:lineRule="exact"/>
              <w:jc w:val="center"/>
              <w:rPr>
                <w:rFonts w:ascii="宋体"/>
                <w:kern w:val="0"/>
                <w:sz w:val="24"/>
                <w:szCs w:val="24"/>
              </w:rPr>
            </w:pPr>
            <w:r>
              <w:rPr>
                <w:rFonts w:ascii="宋体" w:hAnsi="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908" w:type="dxa"/>
            <w:vMerge w:val="continue"/>
            <w:vAlign w:val="center"/>
          </w:tcPr>
          <w:p>
            <w:pPr>
              <w:overflowPunct w:val="0"/>
              <w:topLinePunct/>
              <w:spacing w:line="360" w:lineRule="exact"/>
              <w:rPr>
                <w:rFonts w:ascii="宋体"/>
                <w:kern w:val="0"/>
                <w:sz w:val="24"/>
                <w:szCs w:val="24"/>
              </w:rPr>
            </w:pPr>
          </w:p>
        </w:tc>
        <w:tc>
          <w:tcPr>
            <w:tcW w:w="5400" w:type="dxa"/>
            <w:vAlign w:val="center"/>
          </w:tcPr>
          <w:p>
            <w:pPr>
              <w:overflowPunct w:val="0"/>
              <w:topLinePunct/>
              <w:spacing w:line="360" w:lineRule="exact"/>
              <w:rPr>
                <w:rFonts w:ascii="宋体"/>
                <w:kern w:val="0"/>
                <w:sz w:val="24"/>
                <w:szCs w:val="24"/>
              </w:rPr>
            </w:pPr>
            <w:r>
              <w:rPr>
                <w:rFonts w:ascii="宋体" w:hAnsi="宋体" w:cs="宋体"/>
                <w:kern w:val="0"/>
                <w:sz w:val="24"/>
                <w:szCs w:val="24"/>
              </w:rPr>
              <w:t>5</w:t>
            </w:r>
            <w:r>
              <w:rPr>
                <w:rFonts w:hint="eastAsia" w:ascii="宋体" w:hAnsi="宋体" w:cs="宋体"/>
                <w:kern w:val="0"/>
                <w:sz w:val="24"/>
                <w:szCs w:val="24"/>
              </w:rPr>
              <w:t>个及以上</w:t>
            </w:r>
          </w:p>
        </w:tc>
        <w:tc>
          <w:tcPr>
            <w:tcW w:w="1214" w:type="dxa"/>
            <w:vAlign w:val="center"/>
          </w:tcPr>
          <w:p>
            <w:pPr>
              <w:overflowPunct w:val="0"/>
              <w:topLinePunct/>
              <w:spacing w:line="360" w:lineRule="exact"/>
              <w:jc w:val="center"/>
              <w:rPr>
                <w:rFonts w:ascii="宋体"/>
                <w:kern w:val="0"/>
                <w:sz w:val="24"/>
                <w:szCs w:val="24"/>
              </w:rPr>
            </w:pPr>
            <w:r>
              <w:rPr>
                <w:rFonts w:ascii="宋体" w:hAnsi="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1908" w:type="dxa"/>
            <w:vMerge w:val="restart"/>
            <w:vAlign w:val="center"/>
          </w:tcPr>
          <w:p>
            <w:pPr>
              <w:overflowPunct w:val="0"/>
              <w:topLinePunct/>
              <w:snapToGrid w:val="0"/>
              <w:spacing w:line="380" w:lineRule="exact"/>
              <w:jc w:val="center"/>
              <w:rPr>
                <w:rFonts w:ascii="宋体"/>
                <w:kern w:val="0"/>
                <w:sz w:val="24"/>
                <w:szCs w:val="24"/>
              </w:rPr>
            </w:pPr>
            <w:r>
              <w:rPr>
                <w:rFonts w:hint="eastAsia" w:ascii="宋体" w:hAnsi="宋体" w:cs="宋体"/>
                <w:kern w:val="0"/>
                <w:sz w:val="24"/>
                <w:szCs w:val="24"/>
              </w:rPr>
              <w:t>超总量因子</w:t>
            </w:r>
          </w:p>
        </w:tc>
        <w:tc>
          <w:tcPr>
            <w:tcW w:w="5400" w:type="dxa"/>
            <w:vAlign w:val="center"/>
          </w:tcPr>
          <w:p>
            <w:pPr>
              <w:overflowPunct w:val="0"/>
              <w:topLinePunct/>
              <w:snapToGrid w:val="0"/>
              <w:spacing w:line="380" w:lineRule="exact"/>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个</w:t>
            </w:r>
          </w:p>
        </w:tc>
        <w:tc>
          <w:tcPr>
            <w:tcW w:w="1214" w:type="dxa"/>
            <w:vAlign w:val="center"/>
          </w:tcPr>
          <w:p>
            <w:pPr>
              <w:overflowPunct w:val="0"/>
              <w:topLinePunct/>
              <w:snapToGrid w:val="0"/>
              <w:spacing w:line="380" w:lineRule="exact"/>
              <w:jc w:val="center"/>
              <w:rPr>
                <w:rFonts w:ascii="宋体" w:hAnsi="宋体" w:cs="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1908" w:type="dxa"/>
            <w:vMerge w:val="continue"/>
            <w:vAlign w:val="center"/>
          </w:tcPr>
          <w:p>
            <w:pPr>
              <w:overflowPunct w:val="0"/>
              <w:topLinePunct/>
              <w:spacing w:line="360" w:lineRule="exact"/>
              <w:rPr>
                <w:rFonts w:ascii="宋体"/>
                <w:kern w:val="0"/>
                <w:sz w:val="24"/>
                <w:szCs w:val="24"/>
              </w:rPr>
            </w:pPr>
          </w:p>
        </w:tc>
        <w:tc>
          <w:tcPr>
            <w:tcW w:w="5400" w:type="dxa"/>
            <w:vAlign w:val="center"/>
          </w:tcPr>
          <w:p>
            <w:pPr>
              <w:overflowPunct w:val="0"/>
              <w:topLinePunct/>
              <w:spacing w:line="360" w:lineRule="exact"/>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个</w:t>
            </w:r>
          </w:p>
        </w:tc>
        <w:tc>
          <w:tcPr>
            <w:tcW w:w="1214" w:type="dxa"/>
            <w:vAlign w:val="center"/>
          </w:tcPr>
          <w:p>
            <w:pPr>
              <w:overflowPunct w:val="0"/>
              <w:topLinePunct/>
              <w:spacing w:line="360" w:lineRule="exact"/>
              <w:jc w:val="center"/>
              <w:rPr>
                <w:rFonts w:ascii="宋体"/>
                <w:kern w:val="0"/>
                <w:sz w:val="24"/>
                <w:szCs w:val="24"/>
              </w:rPr>
            </w:pPr>
            <w:r>
              <w:rPr>
                <w:rFonts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1908" w:type="dxa"/>
            <w:vMerge w:val="continue"/>
            <w:vAlign w:val="center"/>
          </w:tcPr>
          <w:p>
            <w:pPr>
              <w:overflowPunct w:val="0"/>
              <w:topLinePunct/>
              <w:spacing w:line="360" w:lineRule="exact"/>
              <w:rPr>
                <w:rFonts w:ascii="宋体"/>
                <w:kern w:val="0"/>
                <w:sz w:val="24"/>
                <w:szCs w:val="24"/>
              </w:rPr>
            </w:pPr>
          </w:p>
        </w:tc>
        <w:tc>
          <w:tcPr>
            <w:tcW w:w="5400" w:type="dxa"/>
            <w:vAlign w:val="center"/>
          </w:tcPr>
          <w:p>
            <w:pPr>
              <w:overflowPunct w:val="0"/>
              <w:topLinePunct/>
              <w:spacing w:line="360" w:lineRule="exact"/>
              <w:rPr>
                <w:rFonts w:ascii="宋体"/>
                <w:kern w:val="0"/>
                <w:sz w:val="24"/>
                <w:szCs w:val="24"/>
              </w:rPr>
            </w:pPr>
            <w:r>
              <w:rPr>
                <w:rFonts w:ascii="宋体" w:hAnsi="宋体" w:cs="宋体"/>
                <w:kern w:val="0"/>
                <w:sz w:val="24"/>
                <w:szCs w:val="24"/>
              </w:rPr>
              <w:t>3</w:t>
            </w:r>
            <w:r>
              <w:rPr>
                <w:rFonts w:hint="eastAsia" w:ascii="宋体" w:hAnsi="宋体" w:cs="宋体"/>
                <w:kern w:val="0"/>
                <w:sz w:val="24"/>
                <w:szCs w:val="24"/>
              </w:rPr>
              <w:t>个</w:t>
            </w:r>
          </w:p>
        </w:tc>
        <w:tc>
          <w:tcPr>
            <w:tcW w:w="1214" w:type="dxa"/>
            <w:vAlign w:val="center"/>
          </w:tcPr>
          <w:p>
            <w:pPr>
              <w:overflowPunct w:val="0"/>
              <w:topLinePunct/>
              <w:spacing w:line="360" w:lineRule="exact"/>
              <w:jc w:val="center"/>
              <w:rPr>
                <w:rFonts w:ascii="宋体"/>
                <w:kern w:val="0"/>
                <w:sz w:val="24"/>
                <w:szCs w:val="24"/>
              </w:rPr>
            </w:pPr>
            <w:r>
              <w:rPr>
                <w:rFonts w:ascii="宋体" w:hAns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1908" w:type="dxa"/>
            <w:vMerge w:val="continue"/>
            <w:vAlign w:val="center"/>
          </w:tcPr>
          <w:p>
            <w:pPr>
              <w:overflowPunct w:val="0"/>
              <w:topLinePunct/>
              <w:spacing w:line="360" w:lineRule="exact"/>
              <w:rPr>
                <w:rFonts w:ascii="宋体"/>
                <w:kern w:val="0"/>
                <w:sz w:val="24"/>
                <w:szCs w:val="24"/>
              </w:rPr>
            </w:pPr>
          </w:p>
        </w:tc>
        <w:tc>
          <w:tcPr>
            <w:tcW w:w="5400" w:type="dxa"/>
            <w:vAlign w:val="center"/>
          </w:tcPr>
          <w:p>
            <w:pPr>
              <w:overflowPunct w:val="0"/>
              <w:topLinePunct/>
              <w:spacing w:line="360" w:lineRule="exact"/>
              <w:rPr>
                <w:rFonts w:ascii="宋体"/>
                <w:kern w:val="0"/>
                <w:sz w:val="24"/>
                <w:szCs w:val="24"/>
              </w:rPr>
            </w:pPr>
            <w:r>
              <w:rPr>
                <w:rFonts w:ascii="宋体" w:hAnsi="宋体" w:cs="宋体"/>
                <w:kern w:val="0"/>
                <w:sz w:val="24"/>
                <w:szCs w:val="24"/>
              </w:rPr>
              <w:t>4</w:t>
            </w:r>
            <w:r>
              <w:rPr>
                <w:rFonts w:hint="eastAsia" w:ascii="宋体" w:hAnsi="宋体" w:cs="宋体"/>
                <w:kern w:val="0"/>
                <w:sz w:val="24"/>
                <w:szCs w:val="24"/>
              </w:rPr>
              <w:t>个</w:t>
            </w:r>
          </w:p>
        </w:tc>
        <w:tc>
          <w:tcPr>
            <w:tcW w:w="1214" w:type="dxa"/>
            <w:vAlign w:val="center"/>
          </w:tcPr>
          <w:p>
            <w:pPr>
              <w:overflowPunct w:val="0"/>
              <w:topLinePunct/>
              <w:spacing w:line="360" w:lineRule="exact"/>
              <w:jc w:val="center"/>
              <w:rPr>
                <w:rFonts w:ascii="宋体"/>
                <w:kern w:val="0"/>
                <w:sz w:val="24"/>
                <w:szCs w:val="24"/>
              </w:rPr>
            </w:pPr>
            <w:r>
              <w:rPr>
                <w:rFonts w:ascii="宋体" w:hAnsi="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1908" w:type="dxa"/>
            <w:vMerge w:val="continue"/>
            <w:vAlign w:val="center"/>
          </w:tcPr>
          <w:p>
            <w:pPr>
              <w:overflowPunct w:val="0"/>
              <w:topLinePunct/>
              <w:spacing w:line="360" w:lineRule="exact"/>
              <w:rPr>
                <w:rFonts w:ascii="宋体"/>
                <w:kern w:val="0"/>
                <w:sz w:val="24"/>
                <w:szCs w:val="24"/>
              </w:rPr>
            </w:pPr>
          </w:p>
        </w:tc>
        <w:tc>
          <w:tcPr>
            <w:tcW w:w="5400" w:type="dxa"/>
            <w:vAlign w:val="center"/>
          </w:tcPr>
          <w:p>
            <w:pPr>
              <w:overflowPunct w:val="0"/>
              <w:topLinePunct/>
              <w:spacing w:line="360" w:lineRule="exact"/>
              <w:rPr>
                <w:rFonts w:ascii="宋体"/>
                <w:kern w:val="0"/>
                <w:sz w:val="24"/>
                <w:szCs w:val="24"/>
              </w:rPr>
            </w:pPr>
            <w:r>
              <w:rPr>
                <w:rFonts w:ascii="宋体" w:hAnsi="宋体" w:cs="宋体"/>
                <w:kern w:val="0"/>
                <w:sz w:val="24"/>
                <w:szCs w:val="24"/>
              </w:rPr>
              <w:t>5</w:t>
            </w:r>
            <w:r>
              <w:rPr>
                <w:rFonts w:hint="eastAsia" w:ascii="宋体" w:hAnsi="宋体" w:cs="宋体"/>
                <w:kern w:val="0"/>
                <w:sz w:val="24"/>
                <w:szCs w:val="24"/>
              </w:rPr>
              <w:t>个及以上</w:t>
            </w:r>
          </w:p>
        </w:tc>
        <w:tc>
          <w:tcPr>
            <w:tcW w:w="1214" w:type="dxa"/>
            <w:vAlign w:val="center"/>
          </w:tcPr>
          <w:p>
            <w:pPr>
              <w:overflowPunct w:val="0"/>
              <w:topLinePunct/>
              <w:spacing w:line="360" w:lineRule="exact"/>
              <w:jc w:val="center"/>
              <w:rPr>
                <w:rFonts w:ascii="宋体" w:hAnsi="宋体" w:cs="宋体"/>
                <w:kern w:val="0"/>
                <w:sz w:val="24"/>
                <w:szCs w:val="24"/>
              </w:rPr>
            </w:pPr>
            <w:r>
              <w:rPr>
                <w:rFonts w:ascii="宋体" w:hAnsi="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908" w:type="dxa"/>
            <w:vMerge w:val="restart"/>
            <w:vAlign w:val="center"/>
          </w:tcPr>
          <w:p>
            <w:pPr>
              <w:overflowPunct w:val="0"/>
              <w:topLinePunct/>
              <w:snapToGrid w:val="0"/>
              <w:spacing w:line="380" w:lineRule="exact"/>
              <w:jc w:val="center"/>
              <w:rPr>
                <w:rFonts w:ascii="宋体"/>
                <w:kern w:val="0"/>
                <w:sz w:val="24"/>
                <w:szCs w:val="24"/>
              </w:rPr>
            </w:pPr>
            <w:r>
              <w:rPr>
                <w:rFonts w:hint="eastAsia" w:ascii="宋体" w:cs="宋体"/>
                <w:kern w:val="0"/>
                <w:sz w:val="24"/>
                <w:szCs w:val="24"/>
              </w:rPr>
              <w:t>排污超标状况</w:t>
            </w:r>
          </w:p>
        </w:tc>
        <w:tc>
          <w:tcPr>
            <w:tcW w:w="5400" w:type="dxa"/>
            <w:vAlign w:val="center"/>
          </w:tcPr>
          <w:p>
            <w:pPr>
              <w:overflowPunct w:val="0"/>
              <w:topLinePunct/>
              <w:snapToGrid w:val="0"/>
              <w:spacing w:line="380" w:lineRule="exact"/>
              <w:rPr>
                <w:rFonts w:ascii="宋体" w:cs="宋体"/>
                <w:kern w:val="0"/>
                <w:sz w:val="24"/>
                <w:szCs w:val="24"/>
              </w:rPr>
            </w:pPr>
            <w:r>
              <w:rPr>
                <w:rFonts w:hint="eastAsia" w:ascii="宋体" w:hAnsi="宋体" w:cs="宋体"/>
                <w:kern w:val="0"/>
                <w:sz w:val="24"/>
                <w:szCs w:val="24"/>
              </w:rPr>
              <w:t>不超标</w:t>
            </w:r>
            <w:r>
              <w:rPr>
                <w:rFonts w:ascii="宋体" w:hAnsi="宋体" w:cs="宋体"/>
                <w:kern w:val="0"/>
                <w:sz w:val="24"/>
                <w:szCs w:val="24"/>
              </w:rPr>
              <w:t>/</w:t>
            </w:r>
            <w:r>
              <w:rPr>
                <w:rFonts w:hint="eastAsia" w:ascii="宋体" w:hAnsi="宋体" w:cs="宋体"/>
                <w:kern w:val="0"/>
                <w:sz w:val="24"/>
                <w:szCs w:val="24"/>
              </w:rPr>
              <w:t>超标</w:t>
            </w:r>
            <w:r>
              <w:rPr>
                <w:rFonts w:ascii="宋体" w:hAnsi="宋体" w:cs="宋体"/>
                <w:kern w:val="0"/>
                <w:sz w:val="24"/>
                <w:szCs w:val="24"/>
              </w:rPr>
              <w:t>10%</w:t>
            </w:r>
            <w:r>
              <w:rPr>
                <w:rFonts w:hint="eastAsia" w:ascii="宋体" w:hAnsi="宋体" w:cs="宋体"/>
                <w:kern w:val="0"/>
                <w:sz w:val="24"/>
                <w:szCs w:val="24"/>
              </w:rPr>
              <w:t>以下</w:t>
            </w:r>
            <w:r>
              <w:rPr>
                <w:rFonts w:ascii="宋体" w:cs="宋体"/>
                <w:kern w:val="0"/>
                <w:sz w:val="24"/>
                <w:szCs w:val="24"/>
              </w:rPr>
              <w:t xml:space="preserve"> </w:t>
            </w:r>
          </w:p>
        </w:tc>
        <w:tc>
          <w:tcPr>
            <w:tcW w:w="1214" w:type="dxa"/>
            <w:vAlign w:val="center"/>
          </w:tcPr>
          <w:p>
            <w:pPr>
              <w:overflowPunct w:val="0"/>
              <w:topLinePunct/>
              <w:snapToGrid w:val="0"/>
              <w:spacing w:line="380" w:lineRule="exact"/>
              <w:jc w:val="center"/>
              <w:rPr>
                <w:rFonts w:ascii="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908" w:type="dxa"/>
            <w:vMerge w:val="continue"/>
            <w:vAlign w:val="center"/>
          </w:tcPr>
          <w:p>
            <w:pPr>
              <w:overflowPunct w:val="0"/>
              <w:topLinePunct/>
              <w:spacing w:line="360" w:lineRule="exact"/>
              <w:rPr>
                <w:rFonts w:ascii="宋体"/>
                <w:kern w:val="0"/>
                <w:sz w:val="24"/>
                <w:szCs w:val="24"/>
              </w:rPr>
            </w:pPr>
          </w:p>
        </w:tc>
        <w:tc>
          <w:tcPr>
            <w:tcW w:w="5400" w:type="dxa"/>
            <w:vAlign w:val="center"/>
          </w:tcPr>
          <w:p>
            <w:pPr>
              <w:overflowPunct w:val="0"/>
              <w:topLinePunct/>
              <w:spacing w:line="360" w:lineRule="exact"/>
              <w:rPr>
                <w:rFonts w:ascii="宋体"/>
                <w:kern w:val="0"/>
                <w:sz w:val="24"/>
                <w:szCs w:val="24"/>
              </w:rPr>
            </w:pPr>
            <w:r>
              <w:rPr>
                <w:rFonts w:hint="eastAsia" w:ascii="宋体" w:hAnsi="宋体" w:cs="宋体"/>
                <w:kern w:val="0"/>
                <w:sz w:val="24"/>
                <w:szCs w:val="24"/>
              </w:rPr>
              <w:t>超标</w:t>
            </w:r>
            <w:r>
              <w:rPr>
                <w:rFonts w:ascii="宋体" w:hAnsi="宋体" w:cs="宋体"/>
                <w:kern w:val="0"/>
                <w:sz w:val="24"/>
                <w:szCs w:val="24"/>
              </w:rPr>
              <w:t>10%</w:t>
            </w:r>
            <w:r>
              <w:rPr>
                <w:rFonts w:hint="eastAsia" w:ascii="宋体" w:hAnsi="宋体" w:cs="宋体"/>
                <w:kern w:val="0"/>
                <w:sz w:val="24"/>
                <w:szCs w:val="24"/>
              </w:rPr>
              <w:t>以上</w:t>
            </w:r>
            <w:r>
              <w:rPr>
                <w:rFonts w:ascii="宋体" w:hAnsi="宋体" w:cs="宋体"/>
                <w:kern w:val="0"/>
                <w:sz w:val="24"/>
                <w:szCs w:val="24"/>
              </w:rPr>
              <w:t>50%</w:t>
            </w:r>
            <w:r>
              <w:rPr>
                <w:rFonts w:hint="eastAsia" w:ascii="宋体" w:cs="宋体"/>
                <w:kern w:val="0"/>
                <w:sz w:val="24"/>
                <w:szCs w:val="24"/>
              </w:rPr>
              <w:t>以下</w:t>
            </w:r>
          </w:p>
        </w:tc>
        <w:tc>
          <w:tcPr>
            <w:tcW w:w="1214" w:type="dxa"/>
            <w:vAlign w:val="center"/>
          </w:tcPr>
          <w:p>
            <w:pPr>
              <w:overflowPunct w:val="0"/>
              <w:topLinePunct/>
              <w:spacing w:line="360" w:lineRule="exact"/>
              <w:jc w:val="center"/>
              <w:rPr>
                <w:rFonts w:ascii="宋体"/>
                <w:kern w:val="0"/>
                <w:sz w:val="24"/>
                <w:szCs w:val="24"/>
              </w:rPr>
            </w:pPr>
            <w:r>
              <w:rPr>
                <w:rFonts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908" w:type="dxa"/>
            <w:vMerge w:val="continue"/>
            <w:vAlign w:val="center"/>
          </w:tcPr>
          <w:p>
            <w:pPr>
              <w:overflowPunct w:val="0"/>
              <w:topLinePunct/>
              <w:spacing w:line="360" w:lineRule="exact"/>
              <w:rPr>
                <w:rFonts w:ascii="宋体"/>
                <w:kern w:val="0"/>
                <w:sz w:val="24"/>
                <w:szCs w:val="24"/>
              </w:rPr>
            </w:pPr>
          </w:p>
        </w:tc>
        <w:tc>
          <w:tcPr>
            <w:tcW w:w="5400" w:type="dxa"/>
            <w:vAlign w:val="center"/>
          </w:tcPr>
          <w:p>
            <w:pPr>
              <w:overflowPunct w:val="0"/>
              <w:topLinePunct/>
              <w:spacing w:line="360" w:lineRule="exact"/>
              <w:rPr>
                <w:rFonts w:ascii="宋体" w:cs="宋体"/>
                <w:kern w:val="0"/>
                <w:sz w:val="24"/>
                <w:szCs w:val="24"/>
              </w:rPr>
            </w:pPr>
            <w:r>
              <w:rPr>
                <w:rFonts w:hint="eastAsia" w:ascii="宋体" w:hAnsi="宋体" w:cs="宋体"/>
                <w:kern w:val="0"/>
                <w:sz w:val="24"/>
                <w:szCs w:val="24"/>
              </w:rPr>
              <w:t>超标</w:t>
            </w:r>
            <w:r>
              <w:rPr>
                <w:rFonts w:ascii="宋体" w:hAnsi="宋体" w:cs="宋体"/>
                <w:kern w:val="0"/>
                <w:sz w:val="24"/>
                <w:szCs w:val="24"/>
              </w:rPr>
              <w:t>50%</w:t>
            </w:r>
            <w:r>
              <w:rPr>
                <w:rFonts w:hint="eastAsia" w:ascii="宋体" w:hAnsi="宋体" w:cs="宋体"/>
                <w:kern w:val="0"/>
                <w:sz w:val="24"/>
                <w:szCs w:val="24"/>
              </w:rPr>
              <w:t>以上</w:t>
            </w:r>
            <w:r>
              <w:rPr>
                <w:rFonts w:ascii="宋体" w:hAnsi="宋体" w:cs="宋体"/>
                <w:kern w:val="0"/>
                <w:sz w:val="24"/>
                <w:szCs w:val="24"/>
              </w:rPr>
              <w:t>100%</w:t>
            </w:r>
            <w:r>
              <w:rPr>
                <w:rFonts w:hint="eastAsia" w:ascii="宋体" w:hAnsi="宋体" w:cs="宋体"/>
                <w:kern w:val="0"/>
                <w:sz w:val="24"/>
                <w:szCs w:val="24"/>
              </w:rPr>
              <w:t>以下</w:t>
            </w:r>
            <w:r>
              <w:rPr>
                <w:rFonts w:ascii="宋体" w:cs="宋体"/>
                <w:kern w:val="0"/>
                <w:sz w:val="24"/>
                <w:szCs w:val="24"/>
              </w:rPr>
              <w:t xml:space="preserve"> </w:t>
            </w:r>
          </w:p>
        </w:tc>
        <w:tc>
          <w:tcPr>
            <w:tcW w:w="1214" w:type="dxa"/>
            <w:vAlign w:val="center"/>
          </w:tcPr>
          <w:p>
            <w:pPr>
              <w:overflowPunct w:val="0"/>
              <w:topLinePunct/>
              <w:spacing w:line="360" w:lineRule="exact"/>
              <w:jc w:val="center"/>
              <w:rPr>
                <w:rFonts w:ascii="宋体"/>
                <w:kern w:val="0"/>
                <w:sz w:val="24"/>
                <w:szCs w:val="24"/>
              </w:rPr>
            </w:pPr>
            <w:r>
              <w:rPr>
                <w:rFonts w:ascii="宋体" w:hAns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908" w:type="dxa"/>
            <w:vMerge w:val="continue"/>
            <w:vAlign w:val="center"/>
          </w:tcPr>
          <w:p>
            <w:pPr>
              <w:overflowPunct w:val="0"/>
              <w:topLinePunct/>
              <w:spacing w:line="360" w:lineRule="exact"/>
              <w:rPr>
                <w:rFonts w:ascii="宋体"/>
                <w:kern w:val="0"/>
                <w:sz w:val="24"/>
                <w:szCs w:val="24"/>
              </w:rPr>
            </w:pPr>
          </w:p>
        </w:tc>
        <w:tc>
          <w:tcPr>
            <w:tcW w:w="5400" w:type="dxa"/>
            <w:vAlign w:val="center"/>
          </w:tcPr>
          <w:p>
            <w:pPr>
              <w:overflowPunct w:val="0"/>
              <w:topLinePunct/>
              <w:spacing w:line="360" w:lineRule="exact"/>
              <w:rPr>
                <w:rFonts w:ascii="宋体" w:cs="宋体"/>
                <w:kern w:val="0"/>
                <w:sz w:val="24"/>
                <w:szCs w:val="24"/>
              </w:rPr>
            </w:pPr>
            <w:r>
              <w:rPr>
                <w:rFonts w:hint="eastAsia" w:ascii="宋体" w:hAnsi="宋体" w:cs="宋体"/>
                <w:kern w:val="0"/>
                <w:sz w:val="24"/>
                <w:szCs w:val="24"/>
              </w:rPr>
              <w:t>超标</w:t>
            </w:r>
            <w:r>
              <w:rPr>
                <w:rFonts w:ascii="宋体" w:hAnsi="宋体" w:cs="宋体"/>
                <w:kern w:val="0"/>
                <w:sz w:val="24"/>
                <w:szCs w:val="24"/>
              </w:rPr>
              <w:t>100%</w:t>
            </w:r>
            <w:r>
              <w:rPr>
                <w:rFonts w:hint="eastAsia" w:ascii="宋体" w:hAnsi="宋体" w:cs="宋体"/>
                <w:kern w:val="0"/>
                <w:sz w:val="24"/>
                <w:szCs w:val="24"/>
              </w:rPr>
              <w:t>以上</w:t>
            </w:r>
            <w:r>
              <w:rPr>
                <w:rFonts w:ascii="宋体" w:hAnsi="宋体" w:cs="宋体"/>
                <w:kern w:val="0"/>
                <w:sz w:val="24"/>
                <w:szCs w:val="24"/>
              </w:rPr>
              <w:t>200%</w:t>
            </w:r>
            <w:r>
              <w:rPr>
                <w:rFonts w:hint="eastAsia" w:ascii="宋体" w:hAnsi="宋体" w:cs="宋体"/>
                <w:kern w:val="0"/>
                <w:sz w:val="24"/>
                <w:szCs w:val="24"/>
              </w:rPr>
              <w:t>以下</w:t>
            </w:r>
            <w:r>
              <w:rPr>
                <w:rFonts w:ascii="宋体" w:cs="宋体"/>
                <w:kern w:val="0"/>
                <w:sz w:val="24"/>
                <w:szCs w:val="24"/>
              </w:rPr>
              <w:t xml:space="preserve"> </w:t>
            </w:r>
          </w:p>
        </w:tc>
        <w:tc>
          <w:tcPr>
            <w:tcW w:w="1214" w:type="dxa"/>
            <w:vAlign w:val="center"/>
          </w:tcPr>
          <w:p>
            <w:pPr>
              <w:overflowPunct w:val="0"/>
              <w:topLinePunct/>
              <w:spacing w:line="360" w:lineRule="exact"/>
              <w:jc w:val="center"/>
              <w:rPr>
                <w:rFonts w:ascii="宋体"/>
                <w:kern w:val="0"/>
                <w:sz w:val="24"/>
                <w:szCs w:val="24"/>
              </w:rPr>
            </w:pPr>
            <w:r>
              <w:rPr>
                <w:rFonts w:ascii="宋体" w:hAnsi="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908" w:type="dxa"/>
            <w:vMerge w:val="continue"/>
            <w:vAlign w:val="center"/>
          </w:tcPr>
          <w:p>
            <w:pPr>
              <w:overflowPunct w:val="0"/>
              <w:topLinePunct/>
              <w:spacing w:line="360" w:lineRule="exact"/>
              <w:rPr>
                <w:rFonts w:ascii="宋体"/>
                <w:kern w:val="0"/>
                <w:sz w:val="24"/>
                <w:szCs w:val="24"/>
              </w:rPr>
            </w:pPr>
          </w:p>
        </w:tc>
        <w:tc>
          <w:tcPr>
            <w:tcW w:w="5400" w:type="dxa"/>
            <w:vAlign w:val="center"/>
          </w:tcPr>
          <w:p>
            <w:pPr>
              <w:overflowPunct w:val="0"/>
              <w:topLinePunct/>
              <w:spacing w:line="360" w:lineRule="exact"/>
              <w:rPr>
                <w:rFonts w:ascii="宋体"/>
                <w:kern w:val="0"/>
                <w:sz w:val="24"/>
                <w:szCs w:val="24"/>
              </w:rPr>
            </w:pPr>
            <w:r>
              <w:rPr>
                <w:rFonts w:hint="eastAsia" w:ascii="宋体" w:hAnsi="宋体" w:cs="宋体"/>
                <w:kern w:val="0"/>
                <w:sz w:val="24"/>
                <w:szCs w:val="24"/>
              </w:rPr>
              <w:t>超标</w:t>
            </w:r>
            <w:r>
              <w:rPr>
                <w:rFonts w:ascii="宋体" w:hAnsi="宋体" w:cs="宋体"/>
                <w:kern w:val="0"/>
                <w:sz w:val="24"/>
                <w:szCs w:val="24"/>
              </w:rPr>
              <w:t>200%</w:t>
            </w:r>
            <w:r>
              <w:rPr>
                <w:rFonts w:hint="eastAsia" w:ascii="宋体" w:hAnsi="宋体" w:cs="宋体"/>
                <w:kern w:val="0"/>
                <w:sz w:val="24"/>
                <w:szCs w:val="24"/>
              </w:rPr>
              <w:t>以上</w:t>
            </w:r>
          </w:p>
        </w:tc>
        <w:tc>
          <w:tcPr>
            <w:tcW w:w="1214" w:type="dxa"/>
            <w:vAlign w:val="center"/>
          </w:tcPr>
          <w:p>
            <w:pPr>
              <w:overflowPunct w:val="0"/>
              <w:topLinePunct/>
              <w:spacing w:line="360" w:lineRule="exact"/>
              <w:jc w:val="center"/>
              <w:rPr>
                <w:rFonts w:ascii="宋体"/>
                <w:kern w:val="0"/>
                <w:sz w:val="24"/>
                <w:szCs w:val="24"/>
              </w:rPr>
            </w:pPr>
            <w:r>
              <w:rPr>
                <w:rFonts w:ascii="宋体" w:hAnsi="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908" w:type="dxa"/>
            <w:vMerge w:val="restart"/>
            <w:vAlign w:val="center"/>
          </w:tcPr>
          <w:p>
            <w:pPr>
              <w:overflowPunct w:val="0"/>
              <w:topLinePunct/>
              <w:snapToGrid w:val="0"/>
              <w:spacing w:line="380" w:lineRule="exact"/>
              <w:jc w:val="center"/>
              <w:rPr>
                <w:rFonts w:ascii="宋体"/>
                <w:kern w:val="0"/>
                <w:sz w:val="24"/>
                <w:szCs w:val="24"/>
              </w:rPr>
            </w:pPr>
            <w:r>
              <w:rPr>
                <w:rFonts w:hint="eastAsia" w:ascii="宋体" w:cs="宋体"/>
                <w:kern w:val="0"/>
                <w:sz w:val="24"/>
                <w:szCs w:val="24"/>
              </w:rPr>
              <w:t>超总量状况</w:t>
            </w:r>
          </w:p>
        </w:tc>
        <w:tc>
          <w:tcPr>
            <w:tcW w:w="5400" w:type="dxa"/>
            <w:vAlign w:val="center"/>
          </w:tcPr>
          <w:p>
            <w:pPr>
              <w:overflowPunct w:val="0"/>
              <w:topLinePunct/>
              <w:snapToGrid w:val="0"/>
              <w:spacing w:line="380" w:lineRule="exact"/>
              <w:rPr>
                <w:rFonts w:ascii="宋体"/>
                <w:kern w:val="0"/>
                <w:sz w:val="24"/>
                <w:szCs w:val="24"/>
              </w:rPr>
            </w:pPr>
            <w:r>
              <w:rPr>
                <w:rFonts w:hint="eastAsia" w:ascii="宋体" w:hAnsi="宋体" w:cs="宋体"/>
                <w:sz w:val="24"/>
                <w:szCs w:val="24"/>
              </w:rPr>
              <w:t>日总量</w:t>
            </w:r>
            <w:r>
              <w:rPr>
                <w:rFonts w:ascii="宋体" w:hAnsi="宋体" w:cs="宋体"/>
                <w:sz w:val="24"/>
                <w:szCs w:val="24"/>
              </w:rPr>
              <w:t>10</w:t>
            </w:r>
            <w:r>
              <w:rPr>
                <w:rFonts w:hint="eastAsia" w:ascii="宋体" w:hAnsi="宋体" w:cs="宋体"/>
                <w:sz w:val="24"/>
                <w:szCs w:val="24"/>
              </w:rPr>
              <w:t>％以下</w:t>
            </w:r>
          </w:p>
        </w:tc>
        <w:tc>
          <w:tcPr>
            <w:tcW w:w="1214" w:type="dxa"/>
            <w:vAlign w:val="center"/>
          </w:tcPr>
          <w:p>
            <w:pPr>
              <w:overflowPunct w:val="0"/>
              <w:topLinePunct/>
              <w:snapToGrid w:val="0"/>
              <w:spacing w:line="380" w:lineRule="exact"/>
              <w:jc w:val="center"/>
              <w:rPr>
                <w:rFonts w:ascii="宋体" w:hAnsi="宋体" w:cs="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908" w:type="dxa"/>
            <w:vMerge w:val="continue"/>
            <w:vAlign w:val="center"/>
          </w:tcPr>
          <w:p>
            <w:pPr>
              <w:overflowPunct w:val="0"/>
              <w:topLinePunct/>
              <w:spacing w:line="360" w:lineRule="exact"/>
              <w:rPr>
                <w:rFonts w:ascii="宋体"/>
                <w:kern w:val="0"/>
                <w:sz w:val="24"/>
                <w:szCs w:val="24"/>
              </w:rPr>
            </w:pPr>
          </w:p>
        </w:tc>
        <w:tc>
          <w:tcPr>
            <w:tcW w:w="5400" w:type="dxa"/>
            <w:vAlign w:val="center"/>
          </w:tcPr>
          <w:p>
            <w:pPr>
              <w:overflowPunct w:val="0"/>
              <w:topLinePunct/>
              <w:spacing w:line="360" w:lineRule="exact"/>
              <w:rPr>
                <w:rFonts w:ascii="宋体"/>
                <w:kern w:val="0"/>
                <w:sz w:val="24"/>
                <w:szCs w:val="24"/>
              </w:rPr>
            </w:pPr>
            <w:r>
              <w:rPr>
                <w:rFonts w:hint="eastAsia" w:ascii="宋体" w:hAnsi="宋体" w:cs="宋体"/>
                <w:sz w:val="24"/>
                <w:szCs w:val="24"/>
              </w:rPr>
              <w:t>日总量</w:t>
            </w:r>
            <w:r>
              <w:rPr>
                <w:rFonts w:ascii="宋体" w:hAnsi="宋体" w:cs="宋体"/>
                <w:sz w:val="24"/>
                <w:szCs w:val="24"/>
              </w:rPr>
              <w:t>10</w:t>
            </w:r>
            <w:r>
              <w:rPr>
                <w:rFonts w:hint="eastAsia" w:ascii="宋体" w:hAnsi="宋体" w:cs="宋体"/>
                <w:sz w:val="24"/>
                <w:szCs w:val="24"/>
              </w:rPr>
              <w:t>％以上</w:t>
            </w:r>
            <w:r>
              <w:rPr>
                <w:rFonts w:ascii="宋体" w:hAnsi="宋体" w:cs="宋体"/>
                <w:sz w:val="24"/>
                <w:szCs w:val="24"/>
              </w:rPr>
              <w:t>20</w:t>
            </w:r>
            <w:r>
              <w:rPr>
                <w:rFonts w:hint="eastAsia" w:ascii="宋体" w:hAnsi="宋体" w:cs="宋体"/>
                <w:sz w:val="24"/>
                <w:szCs w:val="24"/>
              </w:rPr>
              <w:t>％以下</w:t>
            </w:r>
          </w:p>
        </w:tc>
        <w:tc>
          <w:tcPr>
            <w:tcW w:w="1214" w:type="dxa"/>
            <w:vAlign w:val="center"/>
          </w:tcPr>
          <w:p>
            <w:pPr>
              <w:overflowPunct w:val="0"/>
              <w:topLinePunct/>
              <w:spacing w:line="360" w:lineRule="exact"/>
              <w:jc w:val="center"/>
              <w:rPr>
                <w:rFonts w:ascii="宋体"/>
                <w:kern w:val="0"/>
                <w:sz w:val="24"/>
                <w:szCs w:val="24"/>
              </w:rPr>
            </w:pPr>
            <w:r>
              <w:rPr>
                <w:rFonts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908" w:type="dxa"/>
            <w:vMerge w:val="continue"/>
            <w:vAlign w:val="center"/>
          </w:tcPr>
          <w:p>
            <w:pPr>
              <w:overflowPunct w:val="0"/>
              <w:topLinePunct/>
              <w:spacing w:line="360" w:lineRule="exact"/>
              <w:rPr>
                <w:rFonts w:ascii="宋体"/>
                <w:kern w:val="0"/>
                <w:sz w:val="24"/>
                <w:szCs w:val="24"/>
              </w:rPr>
            </w:pPr>
          </w:p>
        </w:tc>
        <w:tc>
          <w:tcPr>
            <w:tcW w:w="5400" w:type="dxa"/>
            <w:vAlign w:val="center"/>
          </w:tcPr>
          <w:p>
            <w:pPr>
              <w:overflowPunct w:val="0"/>
              <w:topLinePunct/>
              <w:spacing w:line="360" w:lineRule="exact"/>
              <w:rPr>
                <w:rFonts w:ascii="宋体"/>
                <w:kern w:val="0"/>
                <w:sz w:val="24"/>
                <w:szCs w:val="24"/>
              </w:rPr>
            </w:pPr>
            <w:r>
              <w:rPr>
                <w:rFonts w:hint="eastAsia" w:ascii="宋体" w:hAnsi="宋体" w:cs="宋体"/>
                <w:sz w:val="24"/>
                <w:szCs w:val="24"/>
              </w:rPr>
              <w:t>日总量</w:t>
            </w:r>
            <w:r>
              <w:rPr>
                <w:rFonts w:ascii="宋体" w:hAnsi="宋体" w:cs="宋体"/>
                <w:sz w:val="24"/>
                <w:szCs w:val="24"/>
              </w:rPr>
              <w:t>20</w:t>
            </w:r>
            <w:r>
              <w:rPr>
                <w:rFonts w:hint="eastAsia" w:ascii="宋体" w:hAnsi="宋体" w:cs="宋体"/>
                <w:sz w:val="24"/>
                <w:szCs w:val="24"/>
              </w:rPr>
              <w:t>％以上</w:t>
            </w:r>
            <w:r>
              <w:rPr>
                <w:rFonts w:ascii="宋体" w:hAnsi="宋体" w:cs="宋体"/>
                <w:sz w:val="24"/>
                <w:szCs w:val="24"/>
              </w:rPr>
              <w:t>50</w:t>
            </w:r>
            <w:r>
              <w:rPr>
                <w:rFonts w:hint="eastAsia" w:ascii="宋体" w:hAnsi="宋体" w:cs="宋体"/>
                <w:sz w:val="24"/>
                <w:szCs w:val="24"/>
              </w:rPr>
              <w:t>％以下</w:t>
            </w:r>
          </w:p>
        </w:tc>
        <w:tc>
          <w:tcPr>
            <w:tcW w:w="1214" w:type="dxa"/>
            <w:vAlign w:val="center"/>
          </w:tcPr>
          <w:p>
            <w:pPr>
              <w:overflowPunct w:val="0"/>
              <w:topLinePunct/>
              <w:spacing w:line="360" w:lineRule="exact"/>
              <w:jc w:val="center"/>
              <w:rPr>
                <w:rFonts w:ascii="宋体"/>
                <w:kern w:val="0"/>
                <w:sz w:val="24"/>
                <w:szCs w:val="24"/>
              </w:rPr>
            </w:pPr>
            <w:r>
              <w:rPr>
                <w:rFonts w:ascii="宋体" w:hAns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908" w:type="dxa"/>
            <w:vMerge w:val="continue"/>
            <w:vAlign w:val="center"/>
          </w:tcPr>
          <w:p>
            <w:pPr>
              <w:overflowPunct w:val="0"/>
              <w:topLinePunct/>
              <w:spacing w:line="360" w:lineRule="exact"/>
              <w:rPr>
                <w:rFonts w:ascii="宋体"/>
                <w:kern w:val="0"/>
                <w:sz w:val="24"/>
                <w:szCs w:val="24"/>
              </w:rPr>
            </w:pPr>
          </w:p>
        </w:tc>
        <w:tc>
          <w:tcPr>
            <w:tcW w:w="5400" w:type="dxa"/>
            <w:vAlign w:val="center"/>
          </w:tcPr>
          <w:p>
            <w:pPr>
              <w:overflowPunct w:val="0"/>
              <w:topLinePunct/>
              <w:spacing w:line="360" w:lineRule="exact"/>
              <w:rPr>
                <w:rFonts w:ascii="宋体"/>
                <w:kern w:val="0"/>
                <w:sz w:val="24"/>
                <w:szCs w:val="24"/>
              </w:rPr>
            </w:pPr>
            <w:r>
              <w:rPr>
                <w:rFonts w:hint="eastAsia" w:ascii="宋体" w:hAnsi="宋体" w:cs="宋体"/>
                <w:sz w:val="24"/>
                <w:szCs w:val="24"/>
              </w:rPr>
              <w:t>日总量</w:t>
            </w:r>
            <w:r>
              <w:rPr>
                <w:rFonts w:ascii="宋体" w:hAnsi="宋体" w:cs="宋体"/>
                <w:sz w:val="24"/>
                <w:szCs w:val="24"/>
              </w:rPr>
              <w:t>50</w:t>
            </w:r>
            <w:r>
              <w:rPr>
                <w:rFonts w:hint="eastAsia" w:ascii="宋体" w:hAnsi="宋体" w:cs="宋体"/>
                <w:sz w:val="24"/>
                <w:szCs w:val="24"/>
              </w:rPr>
              <w:t>％以上</w:t>
            </w:r>
            <w:r>
              <w:rPr>
                <w:rFonts w:ascii="宋体" w:hAnsi="宋体" w:cs="宋体"/>
                <w:sz w:val="24"/>
                <w:szCs w:val="24"/>
              </w:rPr>
              <w:t>100</w:t>
            </w:r>
            <w:r>
              <w:rPr>
                <w:rFonts w:hint="eastAsia" w:ascii="宋体" w:hAnsi="宋体" w:cs="宋体"/>
                <w:sz w:val="24"/>
                <w:szCs w:val="24"/>
              </w:rPr>
              <w:t>％以下</w:t>
            </w:r>
          </w:p>
        </w:tc>
        <w:tc>
          <w:tcPr>
            <w:tcW w:w="1214" w:type="dxa"/>
            <w:vAlign w:val="center"/>
          </w:tcPr>
          <w:p>
            <w:pPr>
              <w:overflowPunct w:val="0"/>
              <w:topLinePunct/>
              <w:spacing w:line="360" w:lineRule="exact"/>
              <w:jc w:val="center"/>
              <w:rPr>
                <w:rFonts w:ascii="宋体"/>
                <w:kern w:val="0"/>
                <w:sz w:val="24"/>
                <w:szCs w:val="24"/>
              </w:rPr>
            </w:pPr>
            <w:r>
              <w:rPr>
                <w:rFonts w:ascii="宋体" w:hAnsi="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908" w:type="dxa"/>
            <w:vMerge w:val="continue"/>
            <w:vAlign w:val="center"/>
          </w:tcPr>
          <w:p>
            <w:pPr>
              <w:overflowPunct w:val="0"/>
              <w:topLinePunct/>
              <w:spacing w:line="360" w:lineRule="exact"/>
              <w:rPr>
                <w:rFonts w:ascii="宋体"/>
                <w:kern w:val="0"/>
                <w:sz w:val="24"/>
                <w:szCs w:val="24"/>
              </w:rPr>
            </w:pPr>
          </w:p>
        </w:tc>
        <w:tc>
          <w:tcPr>
            <w:tcW w:w="5400" w:type="dxa"/>
            <w:vAlign w:val="center"/>
          </w:tcPr>
          <w:p>
            <w:pPr>
              <w:overflowPunct w:val="0"/>
              <w:topLinePunct/>
              <w:spacing w:line="360" w:lineRule="exact"/>
              <w:rPr>
                <w:rFonts w:ascii="宋体"/>
                <w:kern w:val="0"/>
                <w:sz w:val="24"/>
                <w:szCs w:val="24"/>
              </w:rPr>
            </w:pPr>
            <w:r>
              <w:rPr>
                <w:rFonts w:hint="eastAsia" w:ascii="宋体" w:hAnsi="宋体" w:cs="宋体"/>
                <w:sz w:val="24"/>
                <w:szCs w:val="24"/>
              </w:rPr>
              <w:t>日总量</w:t>
            </w:r>
            <w:r>
              <w:rPr>
                <w:rFonts w:ascii="宋体" w:hAnsi="宋体" w:cs="宋体"/>
                <w:sz w:val="24"/>
                <w:szCs w:val="24"/>
              </w:rPr>
              <w:t>100%</w:t>
            </w:r>
            <w:r>
              <w:rPr>
                <w:rFonts w:hint="eastAsia" w:ascii="宋体" w:hAnsi="宋体" w:cs="宋体"/>
                <w:sz w:val="24"/>
                <w:szCs w:val="24"/>
              </w:rPr>
              <w:t>以上或年总量</w:t>
            </w:r>
            <w:r>
              <w:rPr>
                <w:rFonts w:ascii="宋体" w:hAnsi="宋体" w:cs="宋体"/>
                <w:sz w:val="24"/>
                <w:szCs w:val="24"/>
              </w:rPr>
              <w:t>10</w:t>
            </w:r>
            <w:r>
              <w:rPr>
                <w:rFonts w:hint="eastAsia" w:ascii="宋体" w:hAnsi="宋体" w:cs="宋体"/>
                <w:sz w:val="24"/>
                <w:szCs w:val="24"/>
              </w:rPr>
              <w:t>％以上</w:t>
            </w:r>
          </w:p>
        </w:tc>
        <w:tc>
          <w:tcPr>
            <w:tcW w:w="1214" w:type="dxa"/>
            <w:vAlign w:val="center"/>
          </w:tcPr>
          <w:p>
            <w:pPr>
              <w:overflowPunct w:val="0"/>
              <w:topLinePunct/>
              <w:spacing w:line="360" w:lineRule="exact"/>
              <w:jc w:val="center"/>
              <w:rPr>
                <w:rFonts w:ascii="宋体"/>
                <w:kern w:val="0"/>
                <w:sz w:val="24"/>
                <w:szCs w:val="24"/>
              </w:rPr>
            </w:pPr>
            <w:r>
              <w:rPr>
                <w:rFonts w:ascii="宋体" w:hAnsi="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908" w:type="dxa"/>
            <w:vMerge w:val="restart"/>
            <w:vAlign w:val="top"/>
          </w:tcPr>
          <w:p>
            <w:pPr>
              <w:overflowPunct w:val="0"/>
              <w:topLinePunct/>
              <w:spacing w:line="360" w:lineRule="exact"/>
              <w:rPr>
                <w:rFonts w:ascii="宋体"/>
                <w:kern w:val="0"/>
                <w:sz w:val="24"/>
                <w:szCs w:val="24"/>
              </w:rPr>
            </w:pPr>
          </w:p>
          <w:p>
            <w:pPr>
              <w:rPr>
                <w:rFonts w:ascii="宋体"/>
                <w:kern w:val="0"/>
                <w:sz w:val="24"/>
                <w:szCs w:val="24"/>
              </w:rPr>
            </w:pPr>
          </w:p>
          <w:p>
            <w:pPr>
              <w:rPr>
                <w:rFonts w:ascii="宋体"/>
                <w:kern w:val="0"/>
                <w:sz w:val="24"/>
                <w:szCs w:val="24"/>
              </w:rPr>
            </w:pPr>
          </w:p>
          <w:p>
            <w:pPr>
              <w:rPr>
                <w:rFonts w:ascii="宋体"/>
                <w:kern w:val="0"/>
                <w:sz w:val="24"/>
                <w:szCs w:val="24"/>
              </w:rPr>
            </w:pPr>
          </w:p>
          <w:p>
            <w:pPr>
              <w:rPr>
                <w:rFonts w:ascii="宋体"/>
                <w:kern w:val="0"/>
                <w:sz w:val="24"/>
                <w:szCs w:val="24"/>
              </w:rPr>
            </w:pPr>
          </w:p>
          <w:p>
            <w:pPr>
              <w:jc w:val="center"/>
              <w:rPr>
                <w:rFonts w:ascii="宋体"/>
                <w:kern w:val="0"/>
                <w:sz w:val="24"/>
                <w:szCs w:val="24"/>
              </w:rPr>
            </w:pPr>
            <w:r>
              <w:rPr>
                <w:rFonts w:hint="eastAsia" w:ascii="宋体" w:hAnsi="宋体" w:cs="宋体"/>
                <w:kern w:val="0"/>
                <w:sz w:val="24"/>
                <w:szCs w:val="24"/>
              </w:rPr>
              <w:t>水日排放量</w:t>
            </w:r>
          </w:p>
          <w:p>
            <w:pPr>
              <w:overflowPunct w:val="0"/>
              <w:topLinePunct/>
              <w:spacing w:line="360" w:lineRule="exact"/>
              <w:rPr>
                <w:rFonts w:ascii="宋体"/>
                <w:kern w:val="0"/>
                <w:sz w:val="24"/>
                <w:szCs w:val="24"/>
              </w:rPr>
            </w:pPr>
          </w:p>
        </w:tc>
        <w:tc>
          <w:tcPr>
            <w:tcW w:w="5400" w:type="dxa"/>
            <w:vAlign w:val="top"/>
          </w:tcPr>
          <w:p>
            <w:pPr>
              <w:rPr>
                <w:rFonts w:ascii="宋体"/>
                <w:kern w:val="0"/>
                <w:sz w:val="24"/>
                <w:szCs w:val="24"/>
              </w:rPr>
            </w:pPr>
            <w:r>
              <w:rPr>
                <w:rFonts w:hint="eastAsia" w:ascii="宋体" w:hAnsi="宋体" w:cs="宋体"/>
                <w:kern w:val="0"/>
                <w:sz w:val="24"/>
                <w:szCs w:val="24"/>
              </w:rPr>
              <w:t>不足</w:t>
            </w:r>
            <w:r>
              <w:rPr>
                <w:rFonts w:ascii="宋体" w:hAnsi="宋体" w:cs="宋体"/>
                <w:kern w:val="0"/>
                <w:sz w:val="24"/>
                <w:szCs w:val="24"/>
              </w:rPr>
              <w:t xml:space="preserve">10 </w:t>
            </w:r>
            <w:r>
              <w:rPr>
                <w:rFonts w:hint="eastAsia" w:ascii="宋体" w:hAnsi="宋体" w:cs="宋体"/>
                <w:kern w:val="0"/>
                <w:sz w:val="24"/>
                <w:szCs w:val="24"/>
              </w:rPr>
              <w:t>吨（一般排污单位）</w:t>
            </w:r>
            <w:r>
              <w:rPr>
                <w:rFonts w:ascii="宋体" w:hAnsi="宋体" w:cs="宋体"/>
                <w:kern w:val="0"/>
                <w:sz w:val="24"/>
                <w:szCs w:val="24"/>
              </w:rPr>
              <w:t>/</w:t>
            </w:r>
            <w:r>
              <w:rPr>
                <w:rFonts w:hint="eastAsia" w:ascii="宋体" w:hAnsi="宋体" w:cs="宋体"/>
                <w:kern w:val="0"/>
                <w:sz w:val="24"/>
                <w:szCs w:val="24"/>
              </w:rPr>
              <w:t>不足</w:t>
            </w:r>
            <w:r>
              <w:rPr>
                <w:rFonts w:ascii="宋体" w:hAnsi="宋体" w:cs="宋体"/>
                <w:kern w:val="0"/>
                <w:sz w:val="24"/>
                <w:szCs w:val="24"/>
              </w:rPr>
              <w:t>5</w:t>
            </w:r>
            <w:r>
              <w:rPr>
                <w:rFonts w:hint="eastAsia" w:ascii="宋体" w:hAnsi="宋体" w:cs="宋体"/>
                <w:kern w:val="0"/>
                <w:sz w:val="24"/>
                <w:szCs w:val="24"/>
              </w:rPr>
              <w:t>万吨（生活污水处理厂）</w:t>
            </w:r>
            <w:r>
              <w:rPr>
                <w:rFonts w:ascii="宋体" w:hAnsi="宋体" w:cs="宋体"/>
                <w:kern w:val="0"/>
                <w:sz w:val="24"/>
                <w:szCs w:val="24"/>
              </w:rPr>
              <w:t>/</w:t>
            </w:r>
            <w:r>
              <w:rPr>
                <w:rFonts w:hint="eastAsia" w:ascii="宋体" w:hAnsi="宋体" w:cs="宋体"/>
                <w:kern w:val="0"/>
                <w:sz w:val="24"/>
                <w:szCs w:val="24"/>
              </w:rPr>
              <w:t>不足</w:t>
            </w:r>
            <w:r>
              <w:rPr>
                <w:rFonts w:ascii="宋体" w:hAnsi="宋体" w:cs="宋体"/>
                <w:kern w:val="0"/>
                <w:sz w:val="24"/>
                <w:szCs w:val="24"/>
              </w:rPr>
              <w:t>2000</w:t>
            </w:r>
            <w:r>
              <w:rPr>
                <w:rFonts w:hint="eastAsia" w:ascii="宋体" w:hAnsi="宋体" w:cs="宋体"/>
                <w:kern w:val="0"/>
                <w:sz w:val="24"/>
                <w:szCs w:val="24"/>
              </w:rPr>
              <w:t>吨（工业污水处理厂）</w:t>
            </w:r>
          </w:p>
        </w:tc>
        <w:tc>
          <w:tcPr>
            <w:tcW w:w="1214" w:type="dxa"/>
            <w:vAlign w:val="top"/>
          </w:tcPr>
          <w:p>
            <w:pPr>
              <w:overflowPunct w:val="0"/>
              <w:topLinePunct/>
              <w:spacing w:line="360" w:lineRule="exact"/>
              <w:jc w:val="center"/>
              <w:rPr>
                <w:rFonts w:ascii="宋体"/>
                <w:kern w:val="0"/>
                <w:sz w:val="24"/>
                <w:szCs w:val="24"/>
              </w:rPr>
            </w:pPr>
            <w:r>
              <w:rPr>
                <w:rFonts w:asci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908" w:type="dxa"/>
            <w:vMerge w:val="continue"/>
            <w:vAlign w:val="top"/>
          </w:tcPr>
          <w:p>
            <w:pPr>
              <w:overflowPunct w:val="0"/>
              <w:topLinePunct/>
              <w:spacing w:line="360" w:lineRule="exact"/>
              <w:rPr>
                <w:rFonts w:ascii="宋体"/>
                <w:kern w:val="0"/>
                <w:sz w:val="24"/>
                <w:szCs w:val="24"/>
              </w:rPr>
            </w:pPr>
          </w:p>
        </w:tc>
        <w:tc>
          <w:tcPr>
            <w:tcW w:w="5400" w:type="dxa"/>
            <w:vAlign w:val="top"/>
          </w:tcPr>
          <w:p>
            <w:pPr>
              <w:rPr>
                <w:rFonts w:ascii="宋体"/>
                <w:kern w:val="0"/>
                <w:sz w:val="24"/>
                <w:szCs w:val="24"/>
              </w:rPr>
            </w:pPr>
            <w:r>
              <w:rPr>
                <w:rFonts w:ascii="宋体" w:hAnsi="宋体" w:cs="宋体"/>
                <w:kern w:val="0"/>
                <w:sz w:val="24"/>
                <w:szCs w:val="24"/>
              </w:rPr>
              <w:t xml:space="preserve">10 </w:t>
            </w:r>
            <w:r>
              <w:rPr>
                <w:rFonts w:hint="eastAsia" w:ascii="宋体" w:hAnsi="宋体" w:cs="宋体"/>
                <w:kern w:val="0"/>
                <w:sz w:val="24"/>
                <w:szCs w:val="24"/>
              </w:rPr>
              <w:t>吨以上不足</w:t>
            </w:r>
            <w:r>
              <w:rPr>
                <w:rFonts w:ascii="宋体" w:hAnsi="宋体" w:cs="宋体"/>
                <w:kern w:val="0"/>
                <w:sz w:val="24"/>
                <w:szCs w:val="24"/>
              </w:rPr>
              <w:t xml:space="preserve">100 </w:t>
            </w:r>
            <w:r>
              <w:rPr>
                <w:rFonts w:hint="eastAsia" w:ascii="宋体" w:hAnsi="宋体" w:cs="宋体"/>
                <w:kern w:val="0"/>
                <w:sz w:val="24"/>
                <w:szCs w:val="24"/>
              </w:rPr>
              <w:t>吨（一般排污单位）</w:t>
            </w:r>
            <w:r>
              <w:rPr>
                <w:rFonts w:ascii="宋体" w:hAnsi="宋体" w:cs="宋体"/>
                <w:kern w:val="0"/>
                <w:sz w:val="24"/>
                <w:szCs w:val="24"/>
              </w:rPr>
              <w:t xml:space="preserve">/5 </w:t>
            </w:r>
            <w:r>
              <w:rPr>
                <w:rFonts w:hint="eastAsia" w:ascii="宋体" w:hAnsi="宋体" w:cs="宋体"/>
                <w:kern w:val="0"/>
                <w:sz w:val="24"/>
                <w:szCs w:val="24"/>
              </w:rPr>
              <w:t>万吨以上不足</w:t>
            </w:r>
            <w:r>
              <w:rPr>
                <w:rFonts w:ascii="宋体" w:hAnsi="宋体" w:cs="宋体"/>
                <w:kern w:val="0"/>
                <w:sz w:val="24"/>
                <w:szCs w:val="24"/>
              </w:rPr>
              <w:t>10</w:t>
            </w:r>
            <w:r>
              <w:rPr>
                <w:rFonts w:hint="eastAsia" w:ascii="宋体" w:hAnsi="宋体" w:cs="宋体"/>
                <w:kern w:val="0"/>
                <w:sz w:val="24"/>
                <w:szCs w:val="24"/>
              </w:rPr>
              <w:t>万吨（生活污水处理厂）</w:t>
            </w:r>
            <w:r>
              <w:rPr>
                <w:rFonts w:ascii="宋体" w:hAnsi="宋体" w:cs="宋体"/>
                <w:kern w:val="0"/>
                <w:sz w:val="24"/>
                <w:szCs w:val="24"/>
              </w:rPr>
              <w:t xml:space="preserve">/2000 </w:t>
            </w:r>
            <w:r>
              <w:rPr>
                <w:rFonts w:hint="eastAsia" w:ascii="宋体" w:hAnsi="宋体" w:cs="宋体"/>
                <w:kern w:val="0"/>
                <w:sz w:val="24"/>
                <w:szCs w:val="24"/>
              </w:rPr>
              <w:t>吨以上不足</w:t>
            </w:r>
            <w:r>
              <w:rPr>
                <w:rFonts w:ascii="宋体" w:hAnsi="宋体" w:cs="宋体"/>
                <w:kern w:val="0"/>
                <w:sz w:val="24"/>
                <w:szCs w:val="24"/>
              </w:rPr>
              <w:t>5000</w:t>
            </w:r>
            <w:r>
              <w:rPr>
                <w:rFonts w:hint="eastAsia" w:ascii="宋体" w:hAnsi="宋体" w:cs="宋体"/>
                <w:kern w:val="0"/>
                <w:sz w:val="24"/>
                <w:szCs w:val="24"/>
              </w:rPr>
              <w:t>吨（工业污水处理厂）</w:t>
            </w:r>
          </w:p>
        </w:tc>
        <w:tc>
          <w:tcPr>
            <w:tcW w:w="1214" w:type="dxa"/>
            <w:vAlign w:val="top"/>
          </w:tcPr>
          <w:p>
            <w:pPr>
              <w:overflowPunct w:val="0"/>
              <w:topLinePunct/>
              <w:spacing w:line="360" w:lineRule="exact"/>
              <w:rPr>
                <w:rFonts w:ascii="宋体"/>
                <w:kern w:val="0"/>
                <w:sz w:val="24"/>
                <w:szCs w:val="24"/>
              </w:rPr>
            </w:pPr>
            <w:r>
              <w:rPr>
                <w:rFonts w:ascii="宋体" w:cs="宋体"/>
                <w:kern w:val="0"/>
                <w:sz w:val="24"/>
                <w:szCs w:val="24"/>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908" w:type="dxa"/>
            <w:vMerge w:val="continue"/>
            <w:vAlign w:val="top"/>
          </w:tcPr>
          <w:p>
            <w:pPr>
              <w:overflowPunct w:val="0"/>
              <w:topLinePunct/>
              <w:spacing w:line="360" w:lineRule="exact"/>
              <w:rPr>
                <w:rFonts w:ascii="宋体"/>
                <w:kern w:val="0"/>
                <w:sz w:val="24"/>
                <w:szCs w:val="24"/>
              </w:rPr>
            </w:pPr>
          </w:p>
        </w:tc>
        <w:tc>
          <w:tcPr>
            <w:tcW w:w="5400" w:type="dxa"/>
            <w:vAlign w:val="top"/>
          </w:tcPr>
          <w:p>
            <w:pPr>
              <w:rPr>
                <w:rFonts w:ascii="宋体"/>
                <w:kern w:val="0"/>
                <w:sz w:val="24"/>
                <w:szCs w:val="24"/>
              </w:rPr>
            </w:pPr>
            <w:r>
              <w:rPr>
                <w:rFonts w:ascii="宋体" w:hAnsi="宋体" w:cs="宋体"/>
                <w:kern w:val="0"/>
                <w:sz w:val="24"/>
                <w:szCs w:val="24"/>
              </w:rPr>
              <w:t xml:space="preserve">100 </w:t>
            </w:r>
            <w:r>
              <w:rPr>
                <w:rFonts w:hint="eastAsia" w:ascii="宋体" w:hAnsi="宋体" w:cs="宋体"/>
                <w:kern w:val="0"/>
                <w:sz w:val="24"/>
                <w:szCs w:val="24"/>
              </w:rPr>
              <w:t>吨以上不足</w:t>
            </w:r>
            <w:r>
              <w:rPr>
                <w:rFonts w:ascii="宋体" w:hAnsi="宋体" w:cs="宋体"/>
                <w:kern w:val="0"/>
                <w:sz w:val="24"/>
                <w:szCs w:val="24"/>
              </w:rPr>
              <w:t xml:space="preserve">500 </w:t>
            </w:r>
            <w:r>
              <w:rPr>
                <w:rFonts w:hint="eastAsia" w:ascii="宋体" w:hAnsi="宋体" w:cs="宋体"/>
                <w:kern w:val="0"/>
                <w:sz w:val="24"/>
                <w:szCs w:val="24"/>
              </w:rPr>
              <w:t>吨（一般排污单位）</w:t>
            </w:r>
            <w:r>
              <w:rPr>
                <w:rFonts w:ascii="宋体" w:hAnsi="宋体" w:cs="宋体"/>
                <w:kern w:val="0"/>
                <w:sz w:val="24"/>
                <w:szCs w:val="24"/>
              </w:rPr>
              <w:t xml:space="preserve">/10 </w:t>
            </w:r>
            <w:r>
              <w:rPr>
                <w:rFonts w:hint="eastAsia" w:ascii="宋体" w:hAnsi="宋体" w:cs="宋体"/>
                <w:kern w:val="0"/>
                <w:sz w:val="24"/>
                <w:szCs w:val="24"/>
              </w:rPr>
              <w:t>万吨以上不足</w:t>
            </w:r>
            <w:r>
              <w:rPr>
                <w:rFonts w:ascii="宋体" w:hAnsi="宋体" w:cs="宋体"/>
                <w:kern w:val="0"/>
                <w:sz w:val="24"/>
                <w:szCs w:val="24"/>
              </w:rPr>
              <w:t>20</w:t>
            </w:r>
            <w:r>
              <w:rPr>
                <w:rFonts w:hint="eastAsia" w:ascii="宋体" w:hAnsi="宋体" w:cs="宋体"/>
                <w:kern w:val="0"/>
                <w:sz w:val="24"/>
                <w:szCs w:val="24"/>
              </w:rPr>
              <w:t>万吨（生活污水处理厂）</w:t>
            </w:r>
            <w:r>
              <w:rPr>
                <w:rFonts w:ascii="宋体" w:hAnsi="宋体" w:cs="宋体"/>
                <w:kern w:val="0"/>
                <w:sz w:val="24"/>
                <w:szCs w:val="24"/>
              </w:rPr>
              <w:t xml:space="preserve">/5000 </w:t>
            </w:r>
            <w:r>
              <w:rPr>
                <w:rFonts w:hint="eastAsia" w:ascii="宋体" w:hAnsi="宋体" w:cs="宋体"/>
                <w:kern w:val="0"/>
                <w:sz w:val="24"/>
                <w:szCs w:val="24"/>
              </w:rPr>
              <w:t>吨以上不足</w:t>
            </w:r>
            <w:r>
              <w:rPr>
                <w:rFonts w:ascii="宋体" w:hAnsi="宋体" w:cs="宋体"/>
                <w:kern w:val="0"/>
                <w:sz w:val="24"/>
                <w:szCs w:val="24"/>
              </w:rPr>
              <w:t xml:space="preserve">1 </w:t>
            </w:r>
            <w:r>
              <w:rPr>
                <w:rFonts w:hint="eastAsia" w:ascii="宋体" w:hAnsi="宋体" w:cs="宋体"/>
                <w:kern w:val="0"/>
                <w:sz w:val="24"/>
                <w:szCs w:val="24"/>
              </w:rPr>
              <w:t>万吨（工业污水处理厂）</w:t>
            </w:r>
          </w:p>
        </w:tc>
        <w:tc>
          <w:tcPr>
            <w:tcW w:w="1214" w:type="dxa"/>
            <w:vAlign w:val="top"/>
          </w:tcPr>
          <w:p>
            <w:pPr>
              <w:overflowPunct w:val="0"/>
              <w:topLinePunct/>
              <w:spacing w:line="360" w:lineRule="exact"/>
              <w:rPr>
                <w:rFonts w:ascii="宋体"/>
                <w:kern w:val="0"/>
                <w:sz w:val="24"/>
                <w:szCs w:val="24"/>
              </w:rPr>
            </w:pPr>
            <w:r>
              <w:rPr>
                <w:rFonts w:ascii="宋体" w:cs="宋体"/>
                <w:kern w:val="0"/>
                <w:sz w:val="24"/>
                <w:szCs w:val="24"/>
              </w:rPr>
              <w:t xml:space="preserv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908" w:type="dxa"/>
            <w:vMerge w:val="continue"/>
            <w:vAlign w:val="top"/>
          </w:tcPr>
          <w:p>
            <w:pPr>
              <w:overflowPunct w:val="0"/>
              <w:topLinePunct/>
              <w:spacing w:line="360" w:lineRule="exact"/>
              <w:rPr>
                <w:rFonts w:ascii="宋体"/>
                <w:kern w:val="0"/>
                <w:sz w:val="24"/>
                <w:szCs w:val="24"/>
              </w:rPr>
            </w:pPr>
          </w:p>
        </w:tc>
        <w:tc>
          <w:tcPr>
            <w:tcW w:w="5400" w:type="dxa"/>
            <w:vAlign w:val="top"/>
          </w:tcPr>
          <w:p>
            <w:pPr>
              <w:rPr>
                <w:rFonts w:ascii="宋体"/>
                <w:kern w:val="0"/>
                <w:sz w:val="24"/>
                <w:szCs w:val="24"/>
              </w:rPr>
            </w:pPr>
            <w:r>
              <w:rPr>
                <w:rFonts w:ascii="宋体" w:hAnsi="宋体" w:cs="宋体"/>
                <w:kern w:val="0"/>
                <w:sz w:val="24"/>
                <w:szCs w:val="24"/>
              </w:rPr>
              <w:t xml:space="preserve">500 </w:t>
            </w:r>
            <w:r>
              <w:rPr>
                <w:rFonts w:hint="eastAsia" w:ascii="宋体" w:hAnsi="宋体" w:cs="宋体"/>
                <w:kern w:val="0"/>
                <w:sz w:val="24"/>
                <w:szCs w:val="24"/>
              </w:rPr>
              <w:t>吨以上不足</w:t>
            </w:r>
            <w:r>
              <w:rPr>
                <w:rFonts w:ascii="宋体" w:hAnsi="宋体" w:cs="宋体"/>
                <w:kern w:val="0"/>
                <w:sz w:val="24"/>
                <w:szCs w:val="24"/>
              </w:rPr>
              <w:t xml:space="preserve">1000 </w:t>
            </w:r>
            <w:r>
              <w:rPr>
                <w:rFonts w:hint="eastAsia" w:ascii="宋体" w:hAnsi="宋体" w:cs="宋体"/>
                <w:kern w:val="0"/>
                <w:sz w:val="24"/>
                <w:szCs w:val="24"/>
              </w:rPr>
              <w:t>吨（一般排污单位）</w:t>
            </w:r>
            <w:r>
              <w:rPr>
                <w:rFonts w:ascii="宋体" w:hAnsi="宋体" w:cs="宋体"/>
                <w:kern w:val="0"/>
                <w:sz w:val="24"/>
                <w:szCs w:val="24"/>
              </w:rPr>
              <w:t xml:space="preserve">/20 </w:t>
            </w:r>
            <w:r>
              <w:rPr>
                <w:rFonts w:hint="eastAsia" w:ascii="宋体" w:hAnsi="宋体" w:cs="宋体"/>
                <w:kern w:val="0"/>
                <w:sz w:val="24"/>
                <w:szCs w:val="24"/>
              </w:rPr>
              <w:t>万吨以上不足</w:t>
            </w:r>
            <w:r>
              <w:rPr>
                <w:rFonts w:ascii="宋体" w:hAnsi="宋体" w:cs="宋体"/>
                <w:kern w:val="0"/>
                <w:sz w:val="24"/>
                <w:szCs w:val="24"/>
              </w:rPr>
              <w:t xml:space="preserve">50 </w:t>
            </w:r>
            <w:r>
              <w:rPr>
                <w:rFonts w:hint="eastAsia" w:ascii="宋体" w:hAnsi="宋体" w:cs="宋体"/>
                <w:kern w:val="0"/>
                <w:sz w:val="24"/>
                <w:szCs w:val="24"/>
              </w:rPr>
              <w:t>万吨（生活污水处理厂）</w:t>
            </w:r>
            <w:r>
              <w:rPr>
                <w:rFonts w:ascii="宋体" w:hAnsi="宋体" w:cs="宋体"/>
                <w:kern w:val="0"/>
                <w:sz w:val="24"/>
                <w:szCs w:val="24"/>
              </w:rPr>
              <w:t xml:space="preserve">/1 </w:t>
            </w:r>
            <w:r>
              <w:rPr>
                <w:rFonts w:hint="eastAsia" w:ascii="宋体" w:hAnsi="宋体" w:cs="宋体"/>
                <w:kern w:val="0"/>
                <w:sz w:val="24"/>
                <w:szCs w:val="24"/>
              </w:rPr>
              <w:t>万吨以上不足</w:t>
            </w:r>
            <w:r>
              <w:rPr>
                <w:rFonts w:ascii="宋体" w:hAnsi="宋体" w:cs="宋体"/>
                <w:kern w:val="0"/>
                <w:sz w:val="24"/>
                <w:szCs w:val="24"/>
              </w:rPr>
              <w:t xml:space="preserve">5 </w:t>
            </w:r>
            <w:r>
              <w:rPr>
                <w:rFonts w:hint="eastAsia" w:ascii="宋体" w:hAnsi="宋体" w:cs="宋体"/>
                <w:kern w:val="0"/>
                <w:sz w:val="24"/>
                <w:szCs w:val="24"/>
              </w:rPr>
              <w:t>万吨（工业污水处理厂）</w:t>
            </w:r>
          </w:p>
        </w:tc>
        <w:tc>
          <w:tcPr>
            <w:tcW w:w="1214" w:type="dxa"/>
            <w:vAlign w:val="top"/>
          </w:tcPr>
          <w:p>
            <w:pPr>
              <w:overflowPunct w:val="0"/>
              <w:topLinePunct/>
              <w:spacing w:line="360" w:lineRule="exact"/>
              <w:rPr>
                <w:rFonts w:ascii="宋体"/>
                <w:kern w:val="0"/>
                <w:sz w:val="24"/>
                <w:szCs w:val="24"/>
              </w:rPr>
            </w:pPr>
            <w:r>
              <w:rPr>
                <w:rFonts w:ascii="宋体" w:cs="宋体"/>
                <w:kern w:val="0"/>
                <w:sz w:val="24"/>
                <w:szCs w:val="24"/>
              </w:rPr>
              <w:t xml:space="preserv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908" w:type="dxa"/>
            <w:vMerge w:val="continue"/>
            <w:vAlign w:val="top"/>
          </w:tcPr>
          <w:p>
            <w:pPr>
              <w:overflowPunct w:val="0"/>
              <w:topLinePunct/>
              <w:spacing w:line="360" w:lineRule="exact"/>
              <w:rPr>
                <w:rFonts w:ascii="宋体"/>
                <w:kern w:val="0"/>
                <w:sz w:val="24"/>
                <w:szCs w:val="24"/>
              </w:rPr>
            </w:pPr>
          </w:p>
        </w:tc>
        <w:tc>
          <w:tcPr>
            <w:tcW w:w="5400" w:type="dxa"/>
            <w:vAlign w:val="top"/>
          </w:tcPr>
          <w:p>
            <w:pPr>
              <w:rPr>
                <w:rFonts w:ascii="宋体"/>
                <w:kern w:val="0"/>
                <w:sz w:val="24"/>
                <w:szCs w:val="24"/>
              </w:rPr>
            </w:pPr>
            <w:r>
              <w:rPr>
                <w:rFonts w:ascii="宋体" w:hAnsi="宋体" w:cs="宋体"/>
                <w:kern w:val="0"/>
                <w:sz w:val="24"/>
                <w:szCs w:val="24"/>
              </w:rPr>
              <w:t xml:space="preserve">1000 </w:t>
            </w:r>
            <w:r>
              <w:rPr>
                <w:rFonts w:hint="eastAsia" w:ascii="宋体" w:hAnsi="宋体" w:cs="宋体"/>
                <w:kern w:val="0"/>
                <w:sz w:val="24"/>
                <w:szCs w:val="24"/>
              </w:rPr>
              <w:t>吨以上（一般排污单位）</w:t>
            </w:r>
            <w:r>
              <w:rPr>
                <w:rFonts w:ascii="宋体" w:hAnsi="宋体" w:cs="宋体"/>
                <w:kern w:val="0"/>
                <w:sz w:val="24"/>
                <w:szCs w:val="24"/>
              </w:rPr>
              <w:t xml:space="preserve">/50 </w:t>
            </w:r>
            <w:r>
              <w:rPr>
                <w:rFonts w:hint="eastAsia" w:ascii="宋体" w:hAnsi="宋体" w:cs="宋体"/>
                <w:kern w:val="0"/>
                <w:sz w:val="24"/>
                <w:szCs w:val="24"/>
              </w:rPr>
              <w:t>万吨以上（生活污水处理厂）</w:t>
            </w:r>
            <w:r>
              <w:rPr>
                <w:rFonts w:ascii="宋体" w:hAnsi="宋体" w:cs="宋体"/>
                <w:kern w:val="0"/>
                <w:sz w:val="24"/>
                <w:szCs w:val="24"/>
              </w:rPr>
              <w:t xml:space="preserve">/5 </w:t>
            </w:r>
            <w:r>
              <w:rPr>
                <w:rFonts w:hint="eastAsia" w:ascii="宋体" w:hAnsi="宋体" w:cs="宋体"/>
                <w:kern w:val="0"/>
                <w:sz w:val="24"/>
                <w:szCs w:val="24"/>
              </w:rPr>
              <w:t>万吨以上（工业污水处理厂）</w:t>
            </w:r>
          </w:p>
        </w:tc>
        <w:tc>
          <w:tcPr>
            <w:tcW w:w="1214" w:type="dxa"/>
            <w:vAlign w:val="top"/>
          </w:tcPr>
          <w:p>
            <w:pPr>
              <w:overflowPunct w:val="0"/>
              <w:topLinePunct/>
              <w:spacing w:line="360" w:lineRule="exact"/>
              <w:rPr>
                <w:rFonts w:ascii="宋体"/>
                <w:kern w:val="0"/>
                <w:sz w:val="24"/>
                <w:szCs w:val="24"/>
              </w:rPr>
            </w:pPr>
            <w:r>
              <w:rPr>
                <w:rFonts w:ascii="宋体" w:cs="宋体"/>
                <w:kern w:val="0"/>
                <w:sz w:val="24"/>
                <w:szCs w:val="24"/>
              </w:rPr>
              <w:t xml:space="preserv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908" w:type="dxa"/>
            <w:vMerge w:val="restart"/>
            <w:vAlign w:val="top"/>
          </w:tcPr>
          <w:p>
            <w:pPr>
              <w:overflowPunct w:val="0"/>
              <w:topLinePunct/>
              <w:spacing w:line="360" w:lineRule="exact"/>
              <w:rPr>
                <w:rFonts w:ascii="宋体"/>
                <w:kern w:val="0"/>
                <w:sz w:val="24"/>
                <w:szCs w:val="24"/>
              </w:rPr>
            </w:pPr>
          </w:p>
          <w:p>
            <w:pPr>
              <w:overflowPunct w:val="0"/>
              <w:topLinePunct/>
              <w:spacing w:line="360" w:lineRule="exact"/>
              <w:rPr>
                <w:rFonts w:ascii="宋体"/>
                <w:kern w:val="0"/>
                <w:sz w:val="24"/>
                <w:szCs w:val="24"/>
              </w:rPr>
            </w:pPr>
          </w:p>
          <w:p>
            <w:pPr>
              <w:overflowPunct w:val="0"/>
              <w:topLinePunct/>
              <w:spacing w:line="360" w:lineRule="exact"/>
              <w:jc w:val="center"/>
              <w:rPr>
                <w:rFonts w:ascii="宋体"/>
                <w:kern w:val="0"/>
                <w:sz w:val="24"/>
                <w:szCs w:val="24"/>
              </w:rPr>
            </w:pPr>
            <w:r>
              <w:rPr>
                <w:rFonts w:hint="eastAsia" w:ascii="宋体" w:cs="宋体"/>
                <w:kern w:val="0"/>
                <w:sz w:val="24"/>
                <w:szCs w:val="24"/>
              </w:rPr>
              <w:t>固体废物排放量</w:t>
            </w:r>
          </w:p>
        </w:tc>
        <w:tc>
          <w:tcPr>
            <w:tcW w:w="5400" w:type="dxa"/>
            <w:vAlign w:val="top"/>
          </w:tcPr>
          <w:p>
            <w:pPr>
              <w:overflowPunct w:val="0"/>
              <w:topLinePunct/>
              <w:spacing w:line="360" w:lineRule="exact"/>
              <w:rPr>
                <w:rFonts w:ascii="宋体"/>
                <w:kern w:val="0"/>
                <w:sz w:val="24"/>
                <w:szCs w:val="24"/>
              </w:rPr>
            </w:pPr>
            <w:r>
              <w:rPr>
                <w:rFonts w:ascii="宋体" w:cs="宋体"/>
                <w:kern w:val="0"/>
                <w:sz w:val="24"/>
                <w:szCs w:val="24"/>
              </w:rPr>
              <w:t>0.5</w:t>
            </w:r>
            <w:r>
              <w:rPr>
                <w:rFonts w:hint="eastAsia" w:ascii="宋体" w:cs="宋体"/>
                <w:kern w:val="0"/>
                <w:sz w:val="24"/>
                <w:szCs w:val="24"/>
              </w:rPr>
              <w:t>吨以下</w:t>
            </w:r>
          </w:p>
        </w:tc>
        <w:tc>
          <w:tcPr>
            <w:tcW w:w="1214" w:type="dxa"/>
            <w:vAlign w:val="top"/>
          </w:tcPr>
          <w:p>
            <w:pPr>
              <w:overflowPunct w:val="0"/>
              <w:topLinePunct/>
              <w:spacing w:line="360" w:lineRule="exact"/>
              <w:rPr>
                <w:rFonts w:ascii="宋体"/>
                <w:kern w:val="0"/>
                <w:sz w:val="24"/>
                <w:szCs w:val="24"/>
              </w:rPr>
            </w:pPr>
            <w:r>
              <w:rPr>
                <w:rFonts w:ascii="宋体" w:cs="宋体"/>
                <w:kern w:val="0"/>
                <w:sz w:val="24"/>
                <w:szCs w:val="24"/>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908" w:type="dxa"/>
            <w:vMerge w:val="continue"/>
            <w:vAlign w:val="top"/>
          </w:tcPr>
          <w:p>
            <w:pPr>
              <w:overflowPunct w:val="0"/>
              <w:topLinePunct/>
              <w:spacing w:line="360" w:lineRule="exact"/>
              <w:rPr>
                <w:rFonts w:ascii="宋体"/>
                <w:kern w:val="0"/>
                <w:sz w:val="24"/>
                <w:szCs w:val="24"/>
              </w:rPr>
            </w:pPr>
          </w:p>
        </w:tc>
        <w:tc>
          <w:tcPr>
            <w:tcW w:w="5400" w:type="dxa"/>
            <w:vAlign w:val="top"/>
          </w:tcPr>
          <w:p>
            <w:pPr>
              <w:overflowPunct w:val="0"/>
              <w:topLinePunct/>
              <w:spacing w:line="360" w:lineRule="exact"/>
              <w:rPr>
                <w:rFonts w:ascii="宋体"/>
                <w:kern w:val="0"/>
                <w:sz w:val="24"/>
                <w:szCs w:val="24"/>
              </w:rPr>
            </w:pPr>
            <w:r>
              <w:rPr>
                <w:rFonts w:ascii="宋体" w:cs="宋体"/>
                <w:kern w:val="0"/>
                <w:sz w:val="24"/>
                <w:szCs w:val="24"/>
              </w:rPr>
              <w:t>0.5</w:t>
            </w:r>
            <w:r>
              <w:rPr>
                <w:rFonts w:hint="eastAsia" w:ascii="宋体" w:cs="宋体"/>
                <w:kern w:val="0"/>
                <w:sz w:val="24"/>
                <w:szCs w:val="24"/>
              </w:rPr>
              <w:t>吨以上</w:t>
            </w:r>
            <w:r>
              <w:rPr>
                <w:rFonts w:ascii="宋体" w:cs="宋体"/>
                <w:kern w:val="0"/>
                <w:sz w:val="24"/>
                <w:szCs w:val="24"/>
              </w:rPr>
              <w:t>1</w:t>
            </w:r>
            <w:r>
              <w:rPr>
                <w:rFonts w:hint="eastAsia" w:ascii="宋体" w:cs="宋体"/>
                <w:kern w:val="0"/>
                <w:sz w:val="24"/>
                <w:szCs w:val="24"/>
              </w:rPr>
              <w:t>吨以下</w:t>
            </w:r>
          </w:p>
        </w:tc>
        <w:tc>
          <w:tcPr>
            <w:tcW w:w="1214" w:type="dxa"/>
            <w:vAlign w:val="top"/>
          </w:tcPr>
          <w:p>
            <w:pPr>
              <w:overflowPunct w:val="0"/>
              <w:topLinePunct/>
              <w:spacing w:line="360" w:lineRule="exact"/>
              <w:rPr>
                <w:rFonts w:ascii="宋体"/>
                <w:kern w:val="0"/>
                <w:sz w:val="24"/>
                <w:szCs w:val="24"/>
              </w:rPr>
            </w:pPr>
            <w:r>
              <w:rPr>
                <w:rFonts w:ascii="宋体" w:cs="宋体"/>
                <w:kern w:val="0"/>
                <w:sz w:val="24"/>
                <w:szCs w:val="24"/>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908" w:type="dxa"/>
            <w:vMerge w:val="continue"/>
            <w:vAlign w:val="top"/>
          </w:tcPr>
          <w:p>
            <w:pPr>
              <w:overflowPunct w:val="0"/>
              <w:topLinePunct/>
              <w:spacing w:line="360" w:lineRule="exact"/>
              <w:rPr>
                <w:rFonts w:ascii="宋体"/>
                <w:kern w:val="0"/>
                <w:sz w:val="24"/>
                <w:szCs w:val="24"/>
              </w:rPr>
            </w:pPr>
          </w:p>
        </w:tc>
        <w:tc>
          <w:tcPr>
            <w:tcW w:w="5400" w:type="dxa"/>
            <w:vAlign w:val="top"/>
          </w:tcPr>
          <w:p>
            <w:pPr>
              <w:overflowPunct w:val="0"/>
              <w:topLinePunct/>
              <w:spacing w:line="360" w:lineRule="exact"/>
              <w:rPr>
                <w:rFonts w:ascii="宋体"/>
                <w:kern w:val="0"/>
                <w:sz w:val="24"/>
                <w:szCs w:val="24"/>
              </w:rPr>
            </w:pPr>
            <w:r>
              <w:rPr>
                <w:rFonts w:ascii="宋体" w:cs="宋体"/>
                <w:kern w:val="0"/>
                <w:sz w:val="24"/>
                <w:szCs w:val="24"/>
              </w:rPr>
              <w:t>1</w:t>
            </w:r>
            <w:r>
              <w:rPr>
                <w:rFonts w:hint="eastAsia" w:ascii="宋体" w:cs="宋体"/>
                <w:kern w:val="0"/>
                <w:sz w:val="24"/>
                <w:szCs w:val="24"/>
              </w:rPr>
              <w:t>吨以上</w:t>
            </w:r>
            <w:r>
              <w:rPr>
                <w:rFonts w:ascii="宋体" w:cs="宋体"/>
                <w:kern w:val="0"/>
                <w:sz w:val="24"/>
                <w:szCs w:val="24"/>
              </w:rPr>
              <w:t>3</w:t>
            </w:r>
            <w:r>
              <w:rPr>
                <w:rFonts w:hint="eastAsia" w:ascii="宋体" w:cs="宋体"/>
                <w:kern w:val="0"/>
                <w:sz w:val="24"/>
                <w:szCs w:val="24"/>
              </w:rPr>
              <w:t>吨以下</w:t>
            </w:r>
          </w:p>
        </w:tc>
        <w:tc>
          <w:tcPr>
            <w:tcW w:w="1214" w:type="dxa"/>
            <w:vAlign w:val="top"/>
          </w:tcPr>
          <w:p>
            <w:pPr>
              <w:overflowPunct w:val="0"/>
              <w:topLinePunct/>
              <w:spacing w:line="360" w:lineRule="exact"/>
              <w:rPr>
                <w:rFonts w:ascii="宋体"/>
                <w:kern w:val="0"/>
                <w:sz w:val="24"/>
                <w:szCs w:val="24"/>
              </w:rPr>
            </w:pPr>
            <w:r>
              <w:rPr>
                <w:rFonts w:ascii="宋体" w:cs="宋体"/>
                <w:kern w:val="0"/>
                <w:sz w:val="24"/>
                <w:szCs w:val="24"/>
              </w:rPr>
              <w:t xml:space="preserv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908" w:type="dxa"/>
            <w:vMerge w:val="continue"/>
            <w:vAlign w:val="top"/>
          </w:tcPr>
          <w:p>
            <w:pPr>
              <w:overflowPunct w:val="0"/>
              <w:topLinePunct/>
              <w:spacing w:line="360" w:lineRule="exact"/>
              <w:rPr>
                <w:rFonts w:ascii="宋体"/>
                <w:kern w:val="0"/>
                <w:sz w:val="24"/>
                <w:szCs w:val="24"/>
              </w:rPr>
            </w:pPr>
          </w:p>
        </w:tc>
        <w:tc>
          <w:tcPr>
            <w:tcW w:w="5400" w:type="dxa"/>
            <w:vAlign w:val="top"/>
          </w:tcPr>
          <w:p>
            <w:pPr>
              <w:overflowPunct w:val="0"/>
              <w:topLinePunct/>
              <w:spacing w:line="360" w:lineRule="exact"/>
              <w:rPr>
                <w:rFonts w:ascii="宋体"/>
                <w:kern w:val="0"/>
                <w:sz w:val="24"/>
                <w:szCs w:val="24"/>
              </w:rPr>
            </w:pPr>
            <w:r>
              <w:rPr>
                <w:rFonts w:ascii="宋体" w:cs="宋体"/>
                <w:kern w:val="0"/>
                <w:sz w:val="24"/>
                <w:szCs w:val="24"/>
              </w:rPr>
              <w:t>3</w:t>
            </w:r>
            <w:r>
              <w:rPr>
                <w:rFonts w:hint="eastAsia" w:ascii="宋体" w:cs="宋体"/>
                <w:kern w:val="0"/>
                <w:sz w:val="24"/>
                <w:szCs w:val="24"/>
              </w:rPr>
              <w:t>吨以上</w:t>
            </w:r>
            <w:r>
              <w:rPr>
                <w:rFonts w:ascii="宋体" w:cs="宋体"/>
                <w:kern w:val="0"/>
                <w:sz w:val="24"/>
                <w:szCs w:val="24"/>
              </w:rPr>
              <w:t>5</w:t>
            </w:r>
            <w:r>
              <w:rPr>
                <w:rFonts w:hint="eastAsia" w:ascii="宋体" w:cs="宋体"/>
                <w:kern w:val="0"/>
                <w:sz w:val="24"/>
                <w:szCs w:val="24"/>
              </w:rPr>
              <w:t>吨以下</w:t>
            </w:r>
          </w:p>
        </w:tc>
        <w:tc>
          <w:tcPr>
            <w:tcW w:w="1214" w:type="dxa"/>
            <w:vAlign w:val="top"/>
          </w:tcPr>
          <w:p>
            <w:pPr>
              <w:overflowPunct w:val="0"/>
              <w:topLinePunct/>
              <w:spacing w:line="360" w:lineRule="exact"/>
              <w:rPr>
                <w:rFonts w:ascii="宋体"/>
                <w:kern w:val="0"/>
                <w:sz w:val="24"/>
                <w:szCs w:val="24"/>
              </w:rPr>
            </w:pPr>
            <w:r>
              <w:rPr>
                <w:rFonts w:ascii="宋体" w:cs="宋体"/>
                <w:kern w:val="0"/>
                <w:sz w:val="24"/>
                <w:szCs w:val="24"/>
              </w:rPr>
              <w:t xml:space="preserv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908" w:type="dxa"/>
            <w:vMerge w:val="continue"/>
            <w:vAlign w:val="top"/>
          </w:tcPr>
          <w:p>
            <w:pPr>
              <w:overflowPunct w:val="0"/>
              <w:topLinePunct/>
              <w:spacing w:line="360" w:lineRule="exact"/>
              <w:rPr>
                <w:rFonts w:ascii="宋体"/>
                <w:kern w:val="0"/>
                <w:sz w:val="24"/>
                <w:szCs w:val="24"/>
              </w:rPr>
            </w:pPr>
          </w:p>
        </w:tc>
        <w:tc>
          <w:tcPr>
            <w:tcW w:w="5400" w:type="dxa"/>
            <w:vAlign w:val="top"/>
          </w:tcPr>
          <w:p>
            <w:pPr>
              <w:overflowPunct w:val="0"/>
              <w:topLinePunct/>
              <w:spacing w:line="360" w:lineRule="exact"/>
              <w:rPr>
                <w:rFonts w:ascii="宋体"/>
                <w:kern w:val="0"/>
                <w:sz w:val="24"/>
                <w:szCs w:val="24"/>
              </w:rPr>
            </w:pPr>
            <w:r>
              <w:rPr>
                <w:rFonts w:ascii="宋体" w:cs="宋体"/>
                <w:kern w:val="0"/>
                <w:sz w:val="24"/>
                <w:szCs w:val="24"/>
              </w:rPr>
              <w:t>5</w:t>
            </w:r>
            <w:r>
              <w:rPr>
                <w:rFonts w:hint="eastAsia" w:ascii="宋体" w:cs="宋体"/>
                <w:kern w:val="0"/>
                <w:sz w:val="24"/>
                <w:szCs w:val="24"/>
              </w:rPr>
              <w:t>吨以上</w:t>
            </w:r>
          </w:p>
        </w:tc>
        <w:tc>
          <w:tcPr>
            <w:tcW w:w="1214" w:type="dxa"/>
            <w:vAlign w:val="top"/>
          </w:tcPr>
          <w:p>
            <w:pPr>
              <w:overflowPunct w:val="0"/>
              <w:topLinePunct/>
              <w:spacing w:line="360" w:lineRule="exact"/>
              <w:rPr>
                <w:rFonts w:ascii="宋体"/>
                <w:kern w:val="0"/>
                <w:sz w:val="24"/>
                <w:szCs w:val="24"/>
              </w:rPr>
            </w:pPr>
            <w:r>
              <w:rPr>
                <w:rFonts w:ascii="宋体" w:cs="宋体"/>
                <w:kern w:val="0"/>
                <w:sz w:val="24"/>
                <w:szCs w:val="24"/>
              </w:rPr>
              <w:t xml:space="preserve">    5</w:t>
            </w:r>
          </w:p>
        </w:tc>
      </w:tr>
    </w:tbl>
    <w:p>
      <w:pPr>
        <w:ind w:firstLine="480" w:firstLineChars="200"/>
        <w:rPr>
          <w:rFonts w:hint="eastAsia" w:ascii="宋体" w:hAnsi="宋体" w:cs="宋体"/>
          <w:kern w:val="0"/>
          <w:sz w:val="24"/>
          <w:szCs w:val="24"/>
        </w:rPr>
      </w:pPr>
      <w:r>
        <w:rPr>
          <w:rFonts w:hint="eastAsia" w:ascii="宋体" w:hAnsi="宋体" w:cs="宋体"/>
          <w:kern w:val="0"/>
          <w:sz w:val="24"/>
          <w:szCs w:val="24"/>
        </w:rPr>
        <w:t>注：本表适用于违反《中华人民共和国海洋环境保护法》、</w:t>
      </w:r>
      <w:r>
        <w:rPr>
          <w:rFonts w:hint="eastAsia" w:cs="宋体"/>
          <w:sz w:val="24"/>
          <w:szCs w:val="24"/>
        </w:rPr>
        <w:t>《中华人民共和国防治海岸工程建设项目污染损害海洋环境管理条例》</w:t>
      </w:r>
      <w:r>
        <w:rPr>
          <w:rFonts w:hint="eastAsia" w:ascii="宋体" w:hAnsi="宋体" w:cs="宋体"/>
          <w:kern w:val="0"/>
          <w:sz w:val="24"/>
          <w:szCs w:val="24"/>
        </w:rPr>
        <w:t>、</w:t>
      </w:r>
      <w:r>
        <w:rPr>
          <w:rFonts w:hint="eastAsia" w:cs="宋体"/>
          <w:sz w:val="24"/>
          <w:szCs w:val="24"/>
        </w:rPr>
        <w:t>《防治海洋工程建设项目污染损害海洋环境管理条例》</w:t>
      </w:r>
      <w:r>
        <w:rPr>
          <w:rFonts w:hint="eastAsia" w:ascii="宋体" w:hAnsi="宋体" w:cs="宋体"/>
          <w:kern w:val="0"/>
          <w:sz w:val="24"/>
          <w:szCs w:val="24"/>
        </w:rPr>
        <w:t>等有关海洋环境保护规定的违法行为的处罚。</w:t>
      </w:r>
    </w:p>
    <w:p>
      <w:pPr>
        <w:ind w:firstLine="480" w:firstLineChars="200"/>
        <w:rPr>
          <w:sz w:val="24"/>
          <w:szCs w:val="24"/>
        </w:rPr>
      </w:pPr>
    </w:p>
    <w:p>
      <w:pPr>
        <w:overflowPunct w:val="0"/>
        <w:topLinePunct/>
        <w:adjustRightInd w:val="0"/>
        <w:snapToGrid w:val="0"/>
        <w:spacing w:line="600" w:lineRule="exact"/>
        <w:ind w:firstLine="640" w:firstLineChars="200"/>
        <w:outlineLvl w:val="1"/>
        <w:rPr>
          <w:rFonts w:hint="eastAsia" w:ascii="楷体" w:hAnsi="楷体" w:eastAsia="楷体" w:cs="楷体"/>
          <w:sz w:val="32"/>
          <w:szCs w:val="32"/>
        </w:rPr>
      </w:pPr>
      <w:r>
        <w:rPr>
          <w:rFonts w:hint="eastAsia" w:ascii="楷体" w:hAnsi="楷体" w:eastAsia="楷体" w:cs="楷体"/>
          <w:sz w:val="32"/>
          <w:szCs w:val="32"/>
        </w:rPr>
        <w:t>（十三）违反土壤污染防治管理制度的行为</w:t>
      </w:r>
    </w:p>
    <w:tbl>
      <w:tblPr>
        <w:tblStyle w:val="4"/>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2082"/>
        <w:gridCol w:w="5304"/>
        <w:gridCol w:w="1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4" w:hRule="atLeast"/>
          <w:jc w:val="center"/>
        </w:trPr>
        <w:tc>
          <w:tcPr>
            <w:tcW w:w="2082" w:type="dxa"/>
            <w:vAlign w:val="center"/>
          </w:tcPr>
          <w:p>
            <w:pPr>
              <w:overflowPunct w:val="0"/>
              <w:topLinePunct/>
              <w:snapToGrid w:val="0"/>
              <w:jc w:val="center"/>
              <w:rPr>
                <w:rFonts w:ascii="宋体"/>
                <w:kern w:val="0"/>
                <w:sz w:val="24"/>
                <w:szCs w:val="24"/>
              </w:rPr>
            </w:pPr>
            <w:r>
              <w:rPr>
                <w:rFonts w:hint="eastAsia" w:ascii="宋体" w:hAnsi="宋体" w:cs="宋体"/>
                <w:kern w:val="0"/>
                <w:sz w:val="24"/>
                <w:szCs w:val="24"/>
              </w:rPr>
              <w:t>裁量因素</w:t>
            </w:r>
          </w:p>
        </w:tc>
        <w:tc>
          <w:tcPr>
            <w:tcW w:w="5304" w:type="dxa"/>
            <w:vAlign w:val="center"/>
          </w:tcPr>
          <w:p>
            <w:pPr>
              <w:overflowPunct w:val="0"/>
              <w:topLinePunct/>
              <w:snapToGrid w:val="0"/>
              <w:jc w:val="center"/>
              <w:rPr>
                <w:rFonts w:ascii="宋体"/>
                <w:kern w:val="0"/>
                <w:sz w:val="24"/>
                <w:szCs w:val="24"/>
              </w:rPr>
            </w:pPr>
            <w:r>
              <w:rPr>
                <w:rFonts w:hint="eastAsia" w:ascii="宋体" w:hAnsi="宋体" w:cs="宋体"/>
                <w:kern w:val="0"/>
                <w:sz w:val="24"/>
                <w:szCs w:val="24"/>
              </w:rPr>
              <w:t>裁量因子</w:t>
            </w:r>
          </w:p>
        </w:tc>
        <w:tc>
          <w:tcPr>
            <w:tcW w:w="1334" w:type="dxa"/>
            <w:vAlign w:val="center"/>
          </w:tcPr>
          <w:p>
            <w:pPr>
              <w:overflowPunct w:val="0"/>
              <w:topLinePunct/>
              <w:snapToGrid w:val="0"/>
              <w:jc w:val="center"/>
              <w:rPr>
                <w:rFonts w:ascii="宋体"/>
                <w:kern w:val="0"/>
                <w:sz w:val="24"/>
                <w:szCs w:val="24"/>
              </w:rPr>
            </w:pPr>
            <w:r>
              <w:rPr>
                <w:rFonts w:hint="eastAsia" w:ascii="宋体" w:hAnsi="宋体" w:cs="宋体"/>
                <w:kern w:val="0"/>
                <w:sz w:val="24"/>
                <w:szCs w:val="24"/>
              </w:rPr>
              <w:t>裁量等级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50" w:hRule="atLeast"/>
          <w:jc w:val="center"/>
        </w:trPr>
        <w:tc>
          <w:tcPr>
            <w:tcW w:w="2082" w:type="dxa"/>
            <w:vMerge w:val="restart"/>
            <w:vAlign w:val="center"/>
          </w:tcPr>
          <w:p>
            <w:pPr>
              <w:overflowPunct w:val="0"/>
              <w:topLinePunct/>
              <w:snapToGrid w:val="0"/>
              <w:jc w:val="center"/>
              <w:rPr>
                <w:rFonts w:ascii="宋体"/>
                <w:kern w:val="0"/>
                <w:sz w:val="24"/>
                <w:szCs w:val="24"/>
              </w:rPr>
            </w:pPr>
            <w:r>
              <w:rPr>
                <w:rFonts w:hint="eastAsia" w:ascii="宋体" w:hAnsi="宋体" w:cs="宋体"/>
                <w:kern w:val="0"/>
                <w:sz w:val="24"/>
                <w:szCs w:val="24"/>
              </w:rPr>
              <w:t>涉及土壤面积</w:t>
            </w:r>
          </w:p>
        </w:tc>
        <w:tc>
          <w:tcPr>
            <w:tcW w:w="5304" w:type="dxa"/>
            <w:vAlign w:val="center"/>
          </w:tcPr>
          <w:p>
            <w:pPr>
              <w:overflowPunct w:val="0"/>
              <w:topLinePunct/>
              <w:snapToGrid w:val="0"/>
              <w:rPr>
                <w:rFonts w:ascii="宋体"/>
                <w:kern w:val="0"/>
                <w:sz w:val="24"/>
                <w:szCs w:val="24"/>
              </w:rPr>
            </w:pPr>
            <w:r>
              <w:rPr>
                <w:rFonts w:ascii="宋体" w:hAnsi="宋体" w:cs="宋体"/>
                <w:kern w:val="0"/>
                <w:sz w:val="24"/>
                <w:szCs w:val="24"/>
              </w:rPr>
              <w:t>500</w:t>
            </w:r>
            <w:r>
              <w:rPr>
                <w:rFonts w:hint="eastAsia" w:ascii="宋体" w:hAnsi="宋体" w:cs="宋体"/>
                <w:kern w:val="0"/>
                <w:sz w:val="24"/>
                <w:szCs w:val="24"/>
              </w:rPr>
              <w:t>平方米以下</w:t>
            </w:r>
          </w:p>
        </w:tc>
        <w:tc>
          <w:tcPr>
            <w:tcW w:w="1334" w:type="dxa"/>
            <w:vAlign w:val="center"/>
          </w:tcPr>
          <w:p>
            <w:pPr>
              <w:overflowPunct w:val="0"/>
              <w:topLinePunct/>
              <w:snapToGrid w:val="0"/>
              <w:jc w:val="center"/>
              <w:rPr>
                <w:rFonts w:ascii="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58" w:hRule="atLeast"/>
          <w:jc w:val="center"/>
        </w:trPr>
        <w:tc>
          <w:tcPr>
            <w:tcW w:w="2082" w:type="dxa"/>
            <w:vMerge w:val="continue"/>
            <w:vAlign w:val="center"/>
          </w:tcPr>
          <w:p>
            <w:pPr>
              <w:overflowPunct w:val="0"/>
              <w:topLinePunct/>
              <w:snapToGrid w:val="0"/>
              <w:jc w:val="center"/>
              <w:rPr>
                <w:rFonts w:ascii="宋体"/>
                <w:kern w:val="0"/>
                <w:sz w:val="24"/>
                <w:szCs w:val="24"/>
              </w:rPr>
            </w:pPr>
          </w:p>
        </w:tc>
        <w:tc>
          <w:tcPr>
            <w:tcW w:w="5304" w:type="dxa"/>
            <w:vAlign w:val="center"/>
          </w:tcPr>
          <w:p>
            <w:pPr>
              <w:overflowPunct w:val="0"/>
              <w:topLinePunct/>
              <w:snapToGrid w:val="0"/>
              <w:rPr>
                <w:rFonts w:ascii="宋体"/>
                <w:kern w:val="0"/>
                <w:sz w:val="24"/>
                <w:szCs w:val="24"/>
              </w:rPr>
            </w:pPr>
            <w:r>
              <w:rPr>
                <w:rFonts w:ascii="宋体" w:hAnsi="宋体" w:cs="宋体"/>
                <w:kern w:val="0"/>
                <w:sz w:val="24"/>
                <w:szCs w:val="24"/>
              </w:rPr>
              <w:t>500</w:t>
            </w:r>
            <w:r>
              <w:rPr>
                <w:rFonts w:hint="eastAsia" w:ascii="宋体" w:hAnsi="宋体" w:cs="宋体"/>
                <w:kern w:val="0"/>
                <w:sz w:val="24"/>
                <w:szCs w:val="24"/>
              </w:rPr>
              <w:t>平方米以上</w:t>
            </w:r>
            <w:r>
              <w:rPr>
                <w:rFonts w:ascii="宋体" w:hAnsi="宋体" w:cs="宋体"/>
                <w:kern w:val="0"/>
                <w:sz w:val="24"/>
                <w:szCs w:val="24"/>
              </w:rPr>
              <w:t>5000</w:t>
            </w:r>
            <w:r>
              <w:rPr>
                <w:rFonts w:hint="eastAsia" w:ascii="宋体" w:hAnsi="宋体" w:cs="宋体"/>
                <w:kern w:val="0"/>
                <w:sz w:val="24"/>
                <w:szCs w:val="24"/>
              </w:rPr>
              <w:t>平方米以下</w:t>
            </w:r>
          </w:p>
        </w:tc>
        <w:tc>
          <w:tcPr>
            <w:tcW w:w="1334" w:type="dxa"/>
            <w:vAlign w:val="center"/>
          </w:tcPr>
          <w:p>
            <w:pPr>
              <w:overflowPunct w:val="0"/>
              <w:topLinePunct/>
              <w:snapToGrid w:val="0"/>
              <w:jc w:val="center"/>
              <w:rPr>
                <w:rFonts w:ascii="宋体"/>
                <w:kern w:val="0"/>
                <w:sz w:val="24"/>
                <w:szCs w:val="24"/>
              </w:rPr>
            </w:pPr>
            <w:r>
              <w:rPr>
                <w:rFonts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58" w:hRule="atLeast"/>
          <w:jc w:val="center"/>
        </w:trPr>
        <w:tc>
          <w:tcPr>
            <w:tcW w:w="2082" w:type="dxa"/>
            <w:vMerge w:val="continue"/>
            <w:vAlign w:val="center"/>
          </w:tcPr>
          <w:p>
            <w:pPr>
              <w:overflowPunct w:val="0"/>
              <w:topLinePunct/>
              <w:snapToGrid w:val="0"/>
              <w:jc w:val="center"/>
              <w:rPr>
                <w:rFonts w:ascii="宋体"/>
                <w:kern w:val="0"/>
                <w:sz w:val="24"/>
                <w:szCs w:val="24"/>
              </w:rPr>
            </w:pPr>
          </w:p>
        </w:tc>
        <w:tc>
          <w:tcPr>
            <w:tcW w:w="5304" w:type="dxa"/>
            <w:vAlign w:val="center"/>
          </w:tcPr>
          <w:p>
            <w:pPr>
              <w:overflowPunct w:val="0"/>
              <w:topLinePunct/>
              <w:snapToGrid w:val="0"/>
              <w:rPr>
                <w:rFonts w:ascii="宋体"/>
                <w:kern w:val="0"/>
                <w:sz w:val="24"/>
                <w:szCs w:val="24"/>
              </w:rPr>
            </w:pPr>
            <w:r>
              <w:rPr>
                <w:rFonts w:ascii="宋体" w:hAnsi="宋体" w:cs="宋体"/>
                <w:kern w:val="0"/>
                <w:sz w:val="24"/>
                <w:szCs w:val="24"/>
              </w:rPr>
              <w:t>5000</w:t>
            </w:r>
            <w:r>
              <w:rPr>
                <w:rFonts w:hint="eastAsia" w:ascii="宋体" w:hAnsi="宋体" w:cs="宋体"/>
                <w:kern w:val="0"/>
                <w:sz w:val="24"/>
                <w:szCs w:val="24"/>
              </w:rPr>
              <w:t>平方米以上</w:t>
            </w:r>
            <w:r>
              <w:rPr>
                <w:rFonts w:ascii="宋体" w:hAnsi="宋体" w:cs="宋体"/>
                <w:kern w:val="0"/>
                <w:sz w:val="24"/>
                <w:szCs w:val="24"/>
              </w:rPr>
              <w:t>10000</w:t>
            </w:r>
            <w:r>
              <w:rPr>
                <w:rFonts w:hint="eastAsia" w:ascii="宋体" w:hAnsi="宋体" w:cs="宋体"/>
                <w:kern w:val="0"/>
                <w:sz w:val="24"/>
                <w:szCs w:val="24"/>
              </w:rPr>
              <w:t>平方米以下</w:t>
            </w:r>
          </w:p>
        </w:tc>
        <w:tc>
          <w:tcPr>
            <w:tcW w:w="1334" w:type="dxa"/>
            <w:vAlign w:val="center"/>
          </w:tcPr>
          <w:p>
            <w:pPr>
              <w:overflowPunct w:val="0"/>
              <w:topLinePunct/>
              <w:snapToGrid w:val="0"/>
              <w:jc w:val="center"/>
              <w:rPr>
                <w:rFonts w:ascii="宋体"/>
                <w:kern w:val="0"/>
                <w:sz w:val="24"/>
                <w:szCs w:val="24"/>
              </w:rPr>
            </w:pPr>
            <w:r>
              <w:rPr>
                <w:rFonts w:ascii="宋体" w:hAns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57" w:hRule="atLeast"/>
          <w:jc w:val="center"/>
        </w:trPr>
        <w:tc>
          <w:tcPr>
            <w:tcW w:w="2082" w:type="dxa"/>
            <w:vMerge w:val="continue"/>
            <w:vAlign w:val="center"/>
          </w:tcPr>
          <w:p>
            <w:pPr>
              <w:overflowPunct w:val="0"/>
              <w:topLinePunct/>
              <w:snapToGrid w:val="0"/>
              <w:jc w:val="center"/>
              <w:rPr>
                <w:rFonts w:ascii="宋体"/>
                <w:kern w:val="0"/>
                <w:sz w:val="24"/>
                <w:szCs w:val="24"/>
              </w:rPr>
            </w:pPr>
          </w:p>
        </w:tc>
        <w:tc>
          <w:tcPr>
            <w:tcW w:w="5304" w:type="dxa"/>
            <w:vAlign w:val="center"/>
          </w:tcPr>
          <w:p>
            <w:pPr>
              <w:overflowPunct w:val="0"/>
              <w:topLinePunct/>
              <w:snapToGrid w:val="0"/>
              <w:rPr>
                <w:rFonts w:ascii="宋体"/>
                <w:kern w:val="0"/>
                <w:sz w:val="24"/>
                <w:szCs w:val="24"/>
              </w:rPr>
            </w:pPr>
            <w:r>
              <w:rPr>
                <w:rFonts w:ascii="宋体" w:hAnsi="宋体" w:cs="宋体"/>
                <w:kern w:val="0"/>
                <w:sz w:val="24"/>
                <w:szCs w:val="24"/>
              </w:rPr>
              <w:t>10000</w:t>
            </w:r>
            <w:r>
              <w:rPr>
                <w:rFonts w:hint="eastAsia" w:ascii="宋体" w:hAnsi="宋体" w:cs="宋体"/>
                <w:kern w:val="0"/>
                <w:sz w:val="24"/>
                <w:szCs w:val="24"/>
              </w:rPr>
              <w:t>平方米以上</w:t>
            </w:r>
            <w:r>
              <w:rPr>
                <w:rFonts w:ascii="宋体" w:hAnsi="宋体" w:cs="宋体"/>
                <w:kern w:val="0"/>
                <w:sz w:val="24"/>
                <w:szCs w:val="24"/>
              </w:rPr>
              <w:t>20000</w:t>
            </w:r>
            <w:r>
              <w:rPr>
                <w:rFonts w:hint="eastAsia" w:ascii="宋体" w:hAnsi="宋体" w:cs="宋体"/>
                <w:kern w:val="0"/>
                <w:sz w:val="24"/>
                <w:szCs w:val="24"/>
              </w:rPr>
              <w:t>平方米以下</w:t>
            </w:r>
          </w:p>
        </w:tc>
        <w:tc>
          <w:tcPr>
            <w:tcW w:w="1334" w:type="dxa"/>
            <w:vAlign w:val="center"/>
          </w:tcPr>
          <w:p>
            <w:pPr>
              <w:overflowPunct w:val="0"/>
              <w:topLinePunct/>
              <w:snapToGrid w:val="0"/>
              <w:jc w:val="center"/>
              <w:rPr>
                <w:rFonts w:ascii="宋体"/>
                <w:kern w:val="0"/>
                <w:sz w:val="24"/>
                <w:szCs w:val="24"/>
              </w:rPr>
            </w:pPr>
            <w:r>
              <w:rPr>
                <w:rFonts w:ascii="宋体" w:hAnsi="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50" w:hRule="atLeast"/>
          <w:jc w:val="center"/>
        </w:trPr>
        <w:tc>
          <w:tcPr>
            <w:tcW w:w="2082" w:type="dxa"/>
            <w:vMerge w:val="continue"/>
            <w:vAlign w:val="center"/>
          </w:tcPr>
          <w:p>
            <w:pPr>
              <w:overflowPunct w:val="0"/>
              <w:topLinePunct/>
              <w:snapToGrid w:val="0"/>
              <w:jc w:val="center"/>
              <w:rPr>
                <w:rFonts w:ascii="宋体"/>
                <w:kern w:val="0"/>
                <w:sz w:val="24"/>
                <w:szCs w:val="24"/>
              </w:rPr>
            </w:pPr>
          </w:p>
        </w:tc>
        <w:tc>
          <w:tcPr>
            <w:tcW w:w="5304" w:type="dxa"/>
            <w:vAlign w:val="center"/>
          </w:tcPr>
          <w:p>
            <w:pPr>
              <w:overflowPunct w:val="0"/>
              <w:topLinePunct/>
              <w:snapToGrid w:val="0"/>
              <w:rPr>
                <w:rFonts w:ascii="宋体"/>
                <w:kern w:val="0"/>
                <w:sz w:val="24"/>
                <w:szCs w:val="24"/>
              </w:rPr>
            </w:pPr>
            <w:r>
              <w:rPr>
                <w:rFonts w:ascii="宋体" w:hAnsi="宋体" w:cs="宋体"/>
                <w:kern w:val="0"/>
                <w:sz w:val="24"/>
                <w:szCs w:val="24"/>
              </w:rPr>
              <w:t>20000</w:t>
            </w:r>
            <w:r>
              <w:rPr>
                <w:rFonts w:hint="eastAsia" w:ascii="宋体" w:hAnsi="宋体" w:cs="宋体"/>
                <w:kern w:val="0"/>
                <w:sz w:val="24"/>
                <w:szCs w:val="24"/>
              </w:rPr>
              <w:t>平方米以上</w:t>
            </w:r>
          </w:p>
        </w:tc>
        <w:tc>
          <w:tcPr>
            <w:tcW w:w="1334" w:type="dxa"/>
            <w:vAlign w:val="center"/>
          </w:tcPr>
          <w:p>
            <w:pPr>
              <w:overflowPunct w:val="0"/>
              <w:topLinePunct/>
              <w:snapToGrid w:val="0"/>
              <w:jc w:val="center"/>
              <w:rPr>
                <w:rFonts w:ascii="宋体"/>
                <w:kern w:val="0"/>
                <w:sz w:val="24"/>
                <w:szCs w:val="24"/>
              </w:rPr>
            </w:pPr>
            <w:r>
              <w:rPr>
                <w:rFonts w:ascii="宋体" w:hAnsi="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50" w:hRule="atLeast"/>
          <w:jc w:val="center"/>
        </w:trPr>
        <w:tc>
          <w:tcPr>
            <w:tcW w:w="2082" w:type="dxa"/>
            <w:vMerge w:val="restart"/>
            <w:shd w:val="clear" w:color="auto" w:fill="auto"/>
            <w:vAlign w:val="center"/>
          </w:tcPr>
          <w:p>
            <w:pPr>
              <w:overflowPunct w:val="0"/>
              <w:topLinePunct/>
              <w:snapToGrid w:val="0"/>
              <w:spacing w:line="380" w:lineRule="exact"/>
              <w:ind w:firstLine="240" w:firstLineChars="100"/>
              <w:jc w:val="left"/>
              <w:rPr>
                <w:rFonts w:ascii="宋体"/>
                <w:kern w:val="0"/>
                <w:sz w:val="24"/>
                <w:szCs w:val="24"/>
              </w:rPr>
            </w:pPr>
            <w:r>
              <w:rPr>
                <w:rFonts w:hint="eastAsia" w:ascii="宋体" w:cs="宋体"/>
                <w:kern w:val="0"/>
                <w:sz w:val="24"/>
                <w:szCs w:val="24"/>
              </w:rPr>
              <w:t>排污超标状况</w:t>
            </w:r>
          </w:p>
        </w:tc>
        <w:tc>
          <w:tcPr>
            <w:tcW w:w="5304" w:type="dxa"/>
            <w:shd w:val="clear" w:color="000000" w:fill="FFFFFF"/>
            <w:vAlign w:val="center"/>
          </w:tcPr>
          <w:p>
            <w:pPr>
              <w:overflowPunct w:val="0"/>
              <w:topLinePunct/>
              <w:snapToGrid w:val="0"/>
              <w:spacing w:line="380" w:lineRule="exact"/>
              <w:rPr>
                <w:rFonts w:ascii="宋体" w:cs="宋体"/>
                <w:kern w:val="0"/>
                <w:sz w:val="24"/>
                <w:szCs w:val="24"/>
              </w:rPr>
            </w:pPr>
            <w:r>
              <w:rPr>
                <w:rFonts w:hint="eastAsia" w:ascii="宋体" w:hAnsi="宋体" w:cs="宋体"/>
                <w:kern w:val="0"/>
                <w:sz w:val="24"/>
                <w:szCs w:val="24"/>
              </w:rPr>
              <w:t>不超标</w:t>
            </w:r>
            <w:r>
              <w:rPr>
                <w:rFonts w:ascii="宋体" w:hAnsi="宋体" w:cs="宋体"/>
                <w:kern w:val="0"/>
                <w:sz w:val="24"/>
                <w:szCs w:val="24"/>
              </w:rPr>
              <w:t>/</w:t>
            </w:r>
            <w:r>
              <w:rPr>
                <w:rFonts w:hint="eastAsia" w:ascii="宋体" w:hAnsi="宋体" w:cs="宋体"/>
                <w:kern w:val="0"/>
                <w:sz w:val="24"/>
                <w:szCs w:val="24"/>
              </w:rPr>
              <w:t>超标</w:t>
            </w:r>
            <w:r>
              <w:rPr>
                <w:rFonts w:ascii="宋体" w:hAnsi="宋体" w:cs="宋体"/>
                <w:kern w:val="0"/>
                <w:sz w:val="24"/>
                <w:szCs w:val="24"/>
              </w:rPr>
              <w:t>10%</w:t>
            </w:r>
            <w:r>
              <w:rPr>
                <w:rFonts w:hint="eastAsia" w:ascii="宋体" w:hAnsi="宋体" w:cs="宋体"/>
                <w:kern w:val="0"/>
                <w:sz w:val="24"/>
                <w:szCs w:val="24"/>
              </w:rPr>
              <w:t>以下</w:t>
            </w:r>
            <w:r>
              <w:rPr>
                <w:rFonts w:ascii="宋体" w:cs="宋体"/>
                <w:kern w:val="0"/>
                <w:sz w:val="24"/>
                <w:szCs w:val="24"/>
              </w:rPr>
              <w:t xml:space="preserve"> </w:t>
            </w:r>
          </w:p>
        </w:tc>
        <w:tc>
          <w:tcPr>
            <w:tcW w:w="1334" w:type="dxa"/>
            <w:vAlign w:val="center"/>
          </w:tcPr>
          <w:p>
            <w:pPr>
              <w:overflowPunct w:val="0"/>
              <w:topLinePunct/>
              <w:snapToGrid w:val="0"/>
              <w:spacing w:line="380" w:lineRule="exact"/>
              <w:jc w:val="center"/>
              <w:rPr>
                <w:rFonts w:ascii="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50" w:hRule="atLeast"/>
          <w:jc w:val="center"/>
        </w:trPr>
        <w:tc>
          <w:tcPr>
            <w:tcW w:w="2082" w:type="dxa"/>
            <w:vMerge w:val="continue"/>
            <w:shd w:val="clear" w:color="auto" w:fill="auto"/>
            <w:vAlign w:val="center"/>
          </w:tcPr>
          <w:p>
            <w:pPr>
              <w:overflowPunct w:val="0"/>
              <w:topLinePunct/>
              <w:snapToGrid w:val="0"/>
              <w:jc w:val="center"/>
              <w:rPr>
                <w:rFonts w:ascii="宋体"/>
                <w:kern w:val="0"/>
                <w:sz w:val="24"/>
                <w:szCs w:val="24"/>
              </w:rPr>
            </w:pPr>
          </w:p>
        </w:tc>
        <w:tc>
          <w:tcPr>
            <w:tcW w:w="5304" w:type="dxa"/>
            <w:shd w:val="clear" w:color="000000" w:fill="FFFFFF"/>
            <w:vAlign w:val="center"/>
          </w:tcPr>
          <w:p>
            <w:pPr>
              <w:overflowPunct w:val="0"/>
              <w:topLinePunct/>
              <w:snapToGrid w:val="0"/>
              <w:jc w:val="left"/>
              <w:rPr>
                <w:rFonts w:ascii="宋体"/>
                <w:kern w:val="0"/>
                <w:sz w:val="24"/>
                <w:szCs w:val="24"/>
              </w:rPr>
            </w:pPr>
            <w:r>
              <w:rPr>
                <w:rFonts w:hint="eastAsia" w:ascii="宋体" w:hAnsi="宋体" w:cs="宋体"/>
                <w:kern w:val="0"/>
                <w:sz w:val="24"/>
                <w:szCs w:val="24"/>
              </w:rPr>
              <w:t>超标</w:t>
            </w:r>
            <w:r>
              <w:rPr>
                <w:rFonts w:ascii="宋体" w:hAnsi="宋体" w:cs="宋体"/>
                <w:kern w:val="0"/>
                <w:sz w:val="24"/>
                <w:szCs w:val="24"/>
              </w:rPr>
              <w:t>10%</w:t>
            </w:r>
            <w:r>
              <w:rPr>
                <w:rFonts w:hint="eastAsia" w:ascii="宋体" w:hAnsi="宋体" w:cs="宋体"/>
                <w:kern w:val="0"/>
                <w:sz w:val="24"/>
                <w:szCs w:val="24"/>
              </w:rPr>
              <w:t>以上</w:t>
            </w:r>
            <w:r>
              <w:rPr>
                <w:rFonts w:ascii="宋体" w:hAnsi="宋体" w:cs="宋体"/>
                <w:kern w:val="0"/>
                <w:sz w:val="24"/>
                <w:szCs w:val="24"/>
              </w:rPr>
              <w:t>50%</w:t>
            </w:r>
            <w:r>
              <w:rPr>
                <w:rFonts w:hint="eastAsia" w:ascii="宋体" w:cs="宋体"/>
                <w:kern w:val="0"/>
                <w:sz w:val="24"/>
                <w:szCs w:val="24"/>
              </w:rPr>
              <w:t>以下</w:t>
            </w:r>
          </w:p>
        </w:tc>
        <w:tc>
          <w:tcPr>
            <w:tcW w:w="1334" w:type="dxa"/>
            <w:vAlign w:val="center"/>
          </w:tcPr>
          <w:p>
            <w:pPr>
              <w:overflowPunct w:val="0"/>
              <w:topLinePunct/>
              <w:snapToGrid w:val="0"/>
              <w:jc w:val="center"/>
              <w:rPr>
                <w:rFonts w:ascii="宋体"/>
                <w:kern w:val="0"/>
                <w:sz w:val="24"/>
                <w:szCs w:val="24"/>
              </w:rPr>
            </w:pPr>
            <w:r>
              <w:rPr>
                <w:rFonts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50" w:hRule="atLeast"/>
          <w:jc w:val="center"/>
        </w:trPr>
        <w:tc>
          <w:tcPr>
            <w:tcW w:w="2082" w:type="dxa"/>
            <w:vMerge w:val="continue"/>
            <w:shd w:val="clear" w:color="auto" w:fill="auto"/>
            <w:vAlign w:val="center"/>
          </w:tcPr>
          <w:p>
            <w:pPr>
              <w:overflowPunct w:val="0"/>
              <w:topLinePunct/>
              <w:snapToGrid w:val="0"/>
              <w:jc w:val="center"/>
              <w:rPr>
                <w:rFonts w:ascii="宋体"/>
                <w:kern w:val="0"/>
                <w:sz w:val="24"/>
                <w:szCs w:val="24"/>
              </w:rPr>
            </w:pPr>
          </w:p>
        </w:tc>
        <w:tc>
          <w:tcPr>
            <w:tcW w:w="5304" w:type="dxa"/>
            <w:shd w:val="clear" w:color="000000" w:fill="FFFFFF"/>
            <w:vAlign w:val="center"/>
          </w:tcPr>
          <w:p>
            <w:pPr>
              <w:overflowPunct w:val="0"/>
              <w:topLinePunct/>
              <w:snapToGrid w:val="0"/>
              <w:jc w:val="left"/>
              <w:rPr>
                <w:rFonts w:ascii="宋体"/>
                <w:kern w:val="0"/>
                <w:sz w:val="24"/>
                <w:szCs w:val="24"/>
              </w:rPr>
            </w:pPr>
            <w:r>
              <w:rPr>
                <w:rFonts w:hint="eastAsia" w:ascii="宋体" w:hAnsi="宋体" w:cs="宋体"/>
                <w:kern w:val="0"/>
                <w:sz w:val="24"/>
                <w:szCs w:val="24"/>
              </w:rPr>
              <w:t>超标</w:t>
            </w:r>
            <w:r>
              <w:rPr>
                <w:rFonts w:ascii="宋体" w:hAnsi="宋体" w:cs="宋体"/>
                <w:kern w:val="0"/>
                <w:sz w:val="24"/>
                <w:szCs w:val="24"/>
              </w:rPr>
              <w:t>50%</w:t>
            </w:r>
            <w:r>
              <w:rPr>
                <w:rFonts w:hint="eastAsia" w:ascii="宋体" w:hAnsi="宋体" w:cs="宋体"/>
                <w:kern w:val="0"/>
                <w:sz w:val="24"/>
                <w:szCs w:val="24"/>
              </w:rPr>
              <w:t>以上</w:t>
            </w:r>
            <w:r>
              <w:rPr>
                <w:rFonts w:ascii="宋体" w:hAnsi="宋体" w:cs="宋体"/>
                <w:kern w:val="0"/>
                <w:sz w:val="24"/>
                <w:szCs w:val="24"/>
              </w:rPr>
              <w:t>100%</w:t>
            </w:r>
            <w:r>
              <w:rPr>
                <w:rFonts w:hint="eastAsia" w:ascii="宋体" w:hAnsi="宋体" w:cs="宋体"/>
                <w:kern w:val="0"/>
                <w:sz w:val="24"/>
                <w:szCs w:val="24"/>
              </w:rPr>
              <w:t>以下</w:t>
            </w:r>
            <w:r>
              <w:rPr>
                <w:rFonts w:ascii="宋体" w:cs="宋体"/>
                <w:kern w:val="0"/>
                <w:sz w:val="24"/>
                <w:szCs w:val="24"/>
              </w:rPr>
              <w:t xml:space="preserve"> </w:t>
            </w:r>
          </w:p>
        </w:tc>
        <w:tc>
          <w:tcPr>
            <w:tcW w:w="1334" w:type="dxa"/>
            <w:vAlign w:val="center"/>
          </w:tcPr>
          <w:p>
            <w:pPr>
              <w:overflowPunct w:val="0"/>
              <w:topLinePunct/>
              <w:snapToGrid w:val="0"/>
              <w:jc w:val="center"/>
              <w:rPr>
                <w:rFonts w:ascii="宋体"/>
                <w:kern w:val="0"/>
                <w:sz w:val="24"/>
                <w:szCs w:val="24"/>
              </w:rPr>
            </w:pPr>
            <w:r>
              <w:rPr>
                <w:rFonts w:ascii="宋体" w:hAns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4" w:hRule="atLeast"/>
          <w:jc w:val="center"/>
        </w:trPr>
        <w:tc>
          <w:tcPr>
            <w:tcW w:w="2082" w:type="dxa"/>
            <w:vMerge w:val="continue"/>
            <w:shd w:val="clear" w:color="auto" w:fill="auto"/>
            <w:vAlign w:val="center"/>
          </w:tcPr>
          <w:p>
            <w:pPr>
              <w:overflowPunct w:val="0"/>
              <w:topLinePunct/>
              <w:snapToGrid w:val="0"/>
              <w:jc w:val="left"/>
              <w:rPr>
                <w:rFonts w:ascii="宋体"/>
                <w:kern w:val="0"/>
                <w:sz w:val="24"/>
                <w:szCs w:val="24"/>
              </w:rPr>
            </w:pPr>
          </w:p>
        </w:tc>
        <w:tc>
          <w:tcPr>
            <w:tcW w:w="5304" w:type="dxa"/>
            <w:shd w:val="clear" w:color="000000" w:fill="FFFFFF"/>
            <w:vAlign w:val="center"/>
          </w:tcPr>
          <w:p>
            <w:pPr>
              <w:overflowPunct w:val="0"/>
              <w:topLinePunct/>
              <w:snapToGrid w:val="0"/>
              <w:jc w:val="left"/>
              <w:rPr>
                <w:rFonts w:ascii="宋体"/>
                <w:kern w:val="0"/>
                <w:sz w:val="24"/>
                <w:szCs w:val="24"/>
              </w:rPr>
            </w:pPr>
            <w:r>
              <w:rPr>
                <w:rFonts w:hint="eastAsia" w:ascii="宋体" w:hAnsi="宋体" w:cs="宋体"/>
                <w:kern w:val="0"/>
                <w:sz w:val="24"/>
                <w:szCs w:val="24"/>
              </w:rPr>
              <w:t>超标</w:t>
            </w:r>
            <w:r>
              <w:rPr>
                <w:rFonts w:ascii="宋体" w:hAnsi="宋体" w:cs="宋体"/>
                <w:kern w:val="0"/>
                <w:sz w:val="24"/>
                <w:szCs w:val="24"/>
              </w:rPr>
              <w:t>100%</w:t>
            </w:r>
            <w:r>
              <w:rPr>
                <w:rFonts w:hint="eastAsia" w:ascii="宋体" w:hAnsi="宋体" w:cs="宋体"/>
                <w:kern w:val="0"/>
                <w:sz w:val="24"/>
                <w:szCs w:val="24"/>
              </w:rPr>
              <w:t>以上</w:t>
            </w:r>
            <w:r>
              <w:rPr>
                <w:rFonts w:ascii="宋体" w:hAnsi="宋体" w:cs="宋体"/>
                <w:kern w:val="0"/>
                <w:sz w:val="24"/>
                <w:szCs w:val="24"/>
              </w:rPr>
              <w:t>200%</w:t>
            </w:r>
            <w:r>
              <w:rPr>
                <w:rFonts w:hint="eastAsia" w:ascii="宋体" w:hAnsi="宋体" w:cs="宋体"/>
                <w:kern w:val="0"/>
                <w:sz w:val="24"/>
                <w:szCs w:val="24"/>
              </w:rPr>
              <w:t>以下</w:t>
            </w:r>
            <w:r>
              <w:rPr>
                <w:rFonts w:ascii="宋体" w:cs="宋体"/>
                <w:kern w:val="0"/>
                <w:sz w:val="24"/>
                <w:szCs w:val="24"/>
              </w:rPr>
              <w:t xml:space="preserve"> </w:t>
            </w:r>
          </w:p>
        </w:tc>
        <w:tc>
          <w:tcPr>
            <w:tcW w:w="1334" w:type="dxa"/>
            <w:vAlign w:val="center"/>
          </w:tcPr>
          <w:p>
            <w:pPr>
              <w:overflowPunct w:val="0"/>
              <w:topLinePunct/>
              <w:snapToGrid w:val="0"/>
              <w:jc w:val="center"/>
              <w:rPr>
                <w:rFonts w:ascii="宋体"/>
                <w:kern w:val="0"/>
                <w:sz w:val="24"/>
                <w:szCs w:val="24"/>
              </w:rPr>
            </w:pPr>
            <w:r>
              <w:rPr>
                <w:rFonts w:ascii="宋体" w:hAnsi="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4" w:hRule="atLeast"/>
          <w:jc w:val="center"/>
        </w:trPr>
        <w:tc>
          <w:tcPr>
            <w:tcW w:w="2082" w:type="dxa"/>
            <w:vMerge w:val="continue"/>
            <w:shd w:val="clear" w:color="auto" w:fill="auto"/>
            <w:vAlign w:val="center"/>
          </w:tcPr>
          <w:p>
            <w:pPr>
              <w:overflowPunct w:val="0"/>
              <w:topLinePunct/>
              <w:snapToGrid w:val="0"/>
              <w:jc w:val="left"/>
              <w:rPr>
                <w:rFonts w:ascii="宋体"/>
                <w:kern w:val="0"/>
                <w:sz w:val="24"/>
                <w:szCs w:val="24"/>
              </w:rPr>
            </w:pPr>
          </w:p>
        </w:tc>
        <w:tc>
          <w:tcPr>
            <w:tcW w:w="5304" w:type="dxa"/>
            <w:shd w:val="clear" w:color="000000" w:fill="FFFFFF"/>
            <w:vAlign w:val="center"/>
          </w:tcPr>
          <w:p>
            <w:pPr>
              <w:overflowPunct w:val="0"/>
              <w:topLinePunct/>
              <w:snapToGrid w:val="0"/>
              <w:jc w:val="left"/>
              <w:rPr>
                <w:rFonts w:ascii="宋体"/>
                <w:kern w:val="0"/>
                <w:sz w:val="24"/>
                <w:szCs w:val="24"/>
              </w:rPr>
            </w:pPr>
            <w:r>
              <w:rPr>
                <w:rFonts w:hint="eastAsia" w:ascii="宋体" w:hAnsi="宋体" w:cs="宋体"/>
                <w:kern w:val="0"/>
                <w:sz w:val="24"/>
                <w:szCs w:val="24"/>
              </w:rPr>
              <w:t>超标</w:t>
            </w:r>
            <w:r>
              <w:rPr>
                <w:rFonts w:ascii="宋体" w:hAnsi="宋体" w:cs="宋体"/>
                <w:kern w:val="0"/>
                <w:sz w:val="24"/>
                <w:szCs w:val="24"/>
              </w:rPr>
              <w:t>200%</w:t>
            </w:r>
            <w:r>
              <w:rPr>
                <w:rFonts w:hint="eastAsia" w:ascii="宋体" w:hAnsi="宋体" w:cs="宋体"/>
                <w:kern w:val="0"/>
                <w:sz w:val="24"/>
                <w:szCs w:val="24"/>
              </w:rPr>
              <w:t>以上</w:t>
            </w:r>
          </w:p>
        </w:tc>
        <w:tc>
          <w:tcPr>
            <w:tcW w:w="1334" w:type="dxa"/>
            <w:vAlign w:val="center"/>
          </w:tcPr>
          <w:p>
            <w:pPr>
              <w:overflowPunct w:val="0"/>
              <w:topLinePunct/>
              <w:snapToGrid w:val="0"/>
              <w:jc w:val="center"/>
              <w:rPr>
                <w:rFonts w:ascii="宋体"/>
                <w:kern w:val="0"/>
                <w:sz w:val="24"/>
                <w:szCs w:val="24"/>
              </w:rPr>
            </w:pPr>
            <w:r>
              <w:rPr>
                <w:rFonts w:ascii="宋体" w:hAnsi="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05" w:hRule="atLeast"/>
          <w:jc w:val="center"/>
        </w:trPr>
        <w:tc>
          <w:tcPr>
            <w:tcW w:w="2082" w:type="dxa"/>
            <w:vMerge w:val="restart"/>
            <w:shd w:val="clear" w:color="auto" w:fill="auto"/>
            <w:vAlign w:val="top"/>
          </w:tcPr>
          <w:p>
            <w:pPr>
              <w:overflowPunct w:val="0"/>
              <w:topLinePunct/>
              <w:spacing w:line="360" w:lineRule="exact"/>
              <w:rPr>
                <w:rFonts w:ascii="宋体"/>
                <w:kern w:val="0"/>
                <w:sz w:val="24"/>
                <w:szCs w:val="24"/>
              </w:rPr>
            </w:pPr>
          </w:p>
          <w:p>
            <w:pPr>
              <w:overflowPunct w:val="0"/>
              <w:topLinePunct/>
              <w:spacing w:line="360" w:lineRule="exact"/>
              <w:rPr>
                <w:rFonts w:ascii="宋体"/>
                <w:kern w:val="0"/>
                <w:sz w:val="24"/>
                <w:szCs w:val="24"/>
              </w:rPr>
            </w:pPr>
          </w:p>
          <w:p>
            <w:pPr>
              <w:overflowPunct w:val="0"/>
              <w:topLinePunct/>
              <w:spacing w:line="360" w:lineRule="exact"/>
              <w:ind w:firstLine="360" w:firstLineChars="150"/>
              <w:rPr>
                <w:rFonts w:ascii="宋体"/>
                <w:kern w:val="0"/>
                <w:sz w:val="24"/>
                <w:szCs w:val="24"/>
              </w:rPr>
            </w:pPr>
            <w:r>
              <w:rPr>
                <w:rFonts w:hint="eastAsia" w:ascii="宋体" w:cs="宋体"/>
                <w:kern w:val="0"/>
                <w:sz w:val="24"/>
                <w:szCs w:val="24"/>
              </w:rPr>
              <w:t>污染物类别</w:t>
            </w:r>
          </w:p>
        </w:tc>
        <w:tc>
          <w:tcPr>
            <w:tcW w:w="5304" w:type="dxa"/>
            <w:shd w:val="clear" w:color="000000" w:fill="FFFFFF"/>
            <w:vAlign w:val="center"/>
          </w:tcPr>
          <w:p>
            <w:pPr>
              <w:overflowPunct w:val="0"/>
              <w:topLinePunct/>
              <w:snapToGrid w:val="0"/>
              <w:spacing w:line="360" w:lineRule="exact"/>
              <w:rPr>
                <w:rFonts w:ascii="宋体"/>
                <w:sz w:val="24"/>
                <w:szCs w:val="24"/>
              </w:rPr>
            </w:pPr>
            <w:r>
              <w:rPr>
                <w:rFonts w:hint="eastAsia" w:ascii="宋体" w:hAnsi="宋体" w:cs="宋体"/>
                <w:sz w:val="24"/>
                <w:szCs w:val="24"/>
              </w:rPr>
              <w:t>生活废水</w:t>
            </w:r>
            <w:r>
              <w:rPr>
                <w:rFonts w:ascii="宋体" w:hAnsi="宋体" w:cs="宋体"/>
                <w:sz w:val="24"/>
                <w:szCs w:val="24"/>
              </w:rPr>
              <w:t>/</w:t>
            </w:r>
            <w:r>
              <w:rPr>
                <w:rFonts w:hint="eastAsia" w:ascii="宋体" w:hAnsi="宋体" w:cs="宋体"/>
                <w:kern w:val="0"/>
                <w:sz w:val="24"/>
                <w:szCs w:val="24"/>
              </w:rPr>
              <w:t>Ⅰ类一般工业固体废物</w:t>
            </w:r>
          </w:p>
        </w:tc>
        <w:tc>
          <w:tcPr>
            <w:tcW w:w="1334" w:type="dxa"/>
            <w:vAlign w:val="center"/>
          </w:tcPr>
          <w:p>
            <w:pPr>
              <w:overflowPunct w:val="0"/>
              <w:topLinePunct/>
              <w:snapToGrid w:val="0"/>
              <w:spacing w:line="360" w:lineRule="exact"/>
              <w:jc w:val="center"/>
              <w:rPr>
                <w:rFonts w:ascii="宋体" w:hAnsi="宋体" w:cs="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05" w:hRule="atLeast"/>
          <w:jc w:val="center"/>
        </w:trPr>
        <w:tc>
          <w:tcPr>
            <w:tcW w:w="2082" w:type="dxa"/>
            <w:vMerge w:val="continue"/>
            <w:shd w:val="clear" w:color="auto" w:fill="auto"/>
            <w:vAlign w:val="top"/>
          </w:tcPr>
          <w:p>
            <w:pPr>
              <w:overflowPunct w:val="0"/>
              <w:topLinePunct/>
              <w:snapToGrid w:val="0"/>
              <w:ind w:firstLine="120" w:firstLineChars="50"/>
              <w:jc w:val="left"/>
              <w:rPr>
                <w:rFonts w:ascii="宋体"/>
                <w:kern w:val="0"/>
                <w:sz w:val="24"/>
                <w:szCs w:val="24"/>
              </w:rPr>
            </w:pPr>
          </w:p>
        </w:tc>
        <w:tc>
          <w:tcPr>
            <w:tcW w:w="5304" w:type="dxa"/>
            <w:shd w:val="clear" w:color="000000" w:fill="FFFFFF"/>
            <w:vAlign w:val="center"/>
          </w:tcPr>
          <w:p>
            <w:pPr>
              <w:overflowPunct w:val="0"/>
              <w:topLinePunct/>
              <w:snapToGrid w:val="0"/>
              <w:jc w:val="left"/>
              <w:rPr>
                <w:rFonts w:ascii="宋体"/>
                <w:kern w:val="0"/>
                <w:sz w:val="24"/>
                <w:szCs w:val="24"/>
              </w:rPr>
            </w:pPr>
            <w:r>
              <w:rPr>
                <w:rFonts w:hint="eastAsia" w:ascii="宋体" w:hAnsi="宋体" w:cs="宋体"/>
                <w:sz w:val="24"/>
                <w:szCs w:val="24"/>
              </w:rPr>
              <w:t>服务业废水</w:t>
            </w:r>
          </w:p>
        </w:tc>
        <w:tc>
          <w:tcPr>
            <w:tcW w:w="1334" w:type="dxa"/>
            <w:vAlign w:val="center"/>
          </w:tcPr>
          <w:p>
            <w:pPr>
              <w:overflowPunct w:val="0"/>
              <w:topLinePunct/>
              <w:snapToGrid w:val="0"/>
              <w:jc w:val="center"/>
              <w:rPr>
                <w:rFonts w:ascii="宋体"/>
                <w:kern w:val="0"/>
                <w:sz w:val="24"/>
                <w:szCs w:val="24"/>
              </w:rPr>
            </w:pPr>
            <w:r>
              <w:rPr>
                <w:rFonts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05" w:hRule="atLeast"/>
          <w:jc w:val="center"/>
        </w:trPr>
        <w:tc>
          <w:tcPr>
            <w:tcW w:w="2082" w:type="dxa"/>
            <w:vMerge w:val="continue"/>
            <w:shd w:val="clear" w:color="auto" w:fill="auto"/>
            <w:vAlign w:val="top"/>
          </w:tcPr>
          <w:p>
            <w:pPr>
              <w:overflowPunct w:val="0"/>
              <w:topLinePunct/>
              <w:snapToGrid w:val="0"/>
              <w:ind w:firstLine="120" w:firstLineChars="50"/>
              <w:jc w:val="left"/>
              <w:rPr>
                <w:rFonts w:ascii="宋体"/>
                <w:kern w:val="0"/>
                <w:sz w:val="24"/>
                <w:szCs w:val="24"/>
              </w:rPr>
            </w:pPr>
          </w:p>
        </w:tc>
        <w:tc>
          <w:tcPr>
            <w:tcW w:w="5304" w:type="dxa"/>
            <w:shd w:val="clear" w:color="000000" w:fill="FFFFFF"/>
            <w:vAlign w:val="center"/>
          </w:tcPr>
          <w:p>
            <w:pPr>
              <w:overflowPunct w:val="0"/>
              <w:topLinePunct/>
              <w:snapToGrid w:val="0"/>
              <w:jc w:val="left"/>
              <w:rPr>
                <w:rFonts w:ascii="宋体"/>
                <w:kern w:val="0"/>
                <w:sz w:val="24"/>
                <w:szCs w:val="24"/>
              </w:rPr>
            </w:pPr>
            <w:r>
              <w:rPr>
                <w:rFonts w:hint="eastAsia" w:ascii="宋体" w:hAnsi="宋体" w:cs="宋体"/>
                <w:sz w:val="24"/>
                <w:szCs w:val="24"/>
              </w:rPr>
              <w:t>一般工业废水</w:t>
            </w:r>
            <w:r>
              <w:rPr>
                <w:rFonts w:ascii="宋体" w:hAnsi="宋体" w:cs="宋体"/>
                <w:sz w:val="24"/>
                <w:szCs w:val="24"/>
              </w:rPr>
              <w:t>/</w:t>
            </w:r>
            <w:r>
              <w:rPr>
                <w:rFonts w:hint="eastAsia" w:ascii="宋体" w:hAnsi="宋体" w:cs="宋体"/>
                <w:kern w:val="0"/>
                <w:sz w:val="24"/>
                <w:szCs w:val="24"/>
              </w:rPr>
              <w:t>Ⅱ类一般工业固体废物</w:t>
            </w:r>
          </w:p>
        </w:tc>
        <w:tc>
          <w:tcPr>
            <w:tcW w:w="1334" w:type="dxa"/>
            <w:vAlign w:val="center"/>
          </w:tcPr>
          <w:p>
            <w:pPr>
              <w:overflowPunct w:val="0"/>
              <w:topLinePunct/>
              <w:snapToGrid w:val="0"/>
              <w:jc w:val="center"/>
              <w:rPr>
                <w:rFonts w:ascii="宋体"/>
                <w:kern w:val="0"/>
                <w:sz w:val="24"/>
                <w:szCs w:val="24"/>
              </w:rPr>
            </w:pPr>
            <w:r>
              <w:rPr>
                <w:rFonts w:ascii="宋体" w:hAns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50" w:hRule="atLeast"/>
          <w:jc w:val="center"/>
        </w:trPr>
        <w:tc>
          <w:tcPr>
            <w:tcW w:w="2082" w:type="dxa"/>
            <w:vMerge w:val="continue"/>
            <w:shd w:val="clear" w:color="auto" w:fill="auto"/>
            <w:vAlign w:val="top"/>
          </w:tcPr>
          <w:p>
            <w:pPr>
              <w:overflowPunct w:val="0"/>
              <w:topLinePunct/>
              <w:snapToGrid w:val="0"/>
              <w:jc w:val="left"/>
              <w:rPr>
                <w:rFonts w:ascii="宋体"/>
                <w:kern w:val="0"/>
                <w:sz w:val="24"/>
                <w:szCs w:val="24"/>
              </w:rPr>
            </w:pPr>
          </w:p>
        </w:tc>
        <w:tc>
          <w:tcPr>
            <w:tcW w:w="5304" w:type="dxa"/>
            <w:shd w:val="clear" w:color="000000" w:fill="FFFFFF"/>
            <w:vAlign w:val="center"/>
          </w:tcPr>
          <w:p>
            <w:pPr>
              <w:overflowPunct w:val="0"/>
              <w:topLinePunct/>
              <w:snapToGrid w:val="0"/>
              <w:jc w:val="left"/>
              <w:rPr>
                <w:rFonts w:ascii="宋体"/>
                <w:kern w:val="0"/>
                <w:sz w:val="24"/>
                <w:szCs w:val="24"/>
              </w:rPr>
            </w:pPr>
            <w:r>
              <w:rPr>
                <w:rFonts w:hint="eastAsia" w:ascii="宋体" w:hAnsi="宋体" w:cs="宋体"/>
                <w:kern w:val="0"/>
                <w:sz w:val="24"/>
                <w:szCs w:val="24"/>
              </w:rPr>
              <w:t>含其他有毒有害物质的废水、医疗废水</w:t>
            </w:r>
          </w:p>
        </w:tc>
        <w:tc>
          <w:tcPr>
            <w:tcW w:w="1334" w:type="dxa"/>
            <w:vAlign w:val="center"/>
          </w:tcPr>
          <w:p>
            <w:pPr>
              <w:overflowPunct w:val="0"/>
              <w:topLinePunct/>
              <w:snapToGrid w:val="0"/>
              <w:jc w:val="center"/>
              <w:rPr>
                <w:rFonts w:ascii="宋体"/>
                <w:kern w:val="0"/>
                <w:sz w:val="24"/>
                <w:szCs w:val="24"/>
              </w:rPr>
            </w:pPr>
            <w:r>
              <w:rPr>
                <w:rFonts w:ascii="宋体" w:hAnsi="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50" w:hRule="atLeast"/>
          <w:jc w:val="center"/>
        </w:trPr>
        <w:tc>
          <w:tcPr>
            <w:tcW w:w="2082" w:type="dxa"/>
            <w:vMerge w:val="continue"/>
            <w:shd w:val="clear" w:color="auto" w:fill="auto"/>
            <w:vAlign w:val="top"/>
          </w:tcPr>
          <w:p>
            <w:pPr>
              <w:overflowPunct w:val="0"/>
              <w:topLinePunct/>
              <w:snapToGrid w:val="0"/>
              <w:jc w:val="left"/>
              <w:rPr>
                <w:rFonts w:ascii="宋体"/>
                <w:kern w:val="0"/>
                <w:sz w:val="24"/>
                <w:szCs w:val="24"/>
              </w:rPr>
            </w:pPr>
          </w:p>
        </w:tc>
        <w:tc>
          <w:tcPr>
            <w:tcW w:w="5304" w:type="dxa"/>
            <w:shd w:val="clear" w:color="000000" w:fill="FFFFFF"/>
            <w:vAlign w:val="center"/>
          </w:tcPr>
          <w:p>
            <w:pPr>
              <w:overflowPunct w:val="0"/>
              <w:topLinePunct/>
              <w:snapToGrid w:val="0"/>
              <w:jc w:val="left"/>
              <w:rPr>
                <w:rFonts w:ascii="宋体"/>
                <w:kern w:val="0"/>
                <w:sz w:val="24"/>
                <w:szCs w:val="24"/>
              </w:rPr>
            </w:pPr>
            <w:r>
              <w:rPr>
                <w:rFonts w:hint="eastAsia" w:ascii="宋体" w:hAnsi="宋体" w:cs="宋体"/>
                <w:kern w:val="0"/>
                <w:sz w:val="24"/>
                <w:szCs w:val="24"/>
              </w:rPr>
              <w:t>含一类污染物或重金属、病原体、放射性物质的废水</w:t>
            </w:r>
            <w:r>
              <w:rPr>
                <w:rFonts w:ascii="宋体" w:hAnsi="宋体" w:cs="宋体"/>
                <w:kern w:val="0"/>
                <w:sz w:val="24"/>
                <w:szCs w:val="24"/>
              </w:rPr>
              <w:t>/</w:t>
            </w:r>
            <w:r>
              <w:rPr>
                <w:rFonts w:hint="eastAsia" w:ascii="宋体" w:hAnsi="宋体" w:cs="宋体"/>
                <w:kern w:val="0"/>
                <w:sz w:val="24"/>
                <w:szCs w:val="24"/>
              </w:rPr>
              <w:t>危险废物</w:t>
            </w:r>
          </w:p>
        </w:tc>
        <w:tc>
          <w:tcPr>
            <w:tcW w:w="1334" w:type="dxa"/>
            <w:vAlign w:val="center"/>
          </w:tcPr>
          <w:p>
            <w:pPr>
              <w:overflowPunct w:val="0"/>
              <w:topLinePunct/>
              <w:snapToGrid w:val="0"/>
              <w:jc w:val="center"/>
              <w:rPr>
                <w:rFonts w:ascii="宋体"/>
                <w:kern w:val="0"/>
                <w:sz w:val="24"/>
                <w:szCs w:val="24"/>
              </w:rPr>
            </w:pPr>
            <w:r>
              <w:rPr>
                <w:rFonts w:ascii="宋体" w:hAnsi="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25" w:hRule="atLeast"/>
          <w:jc w:val="center"/>
        </w:trPr>
        <w:tc>
          <w:tcPr>
            <w:tcW w:w="2082" w:type="dxa"/>
            <w:vMerge w:val="restart"/>
            <w:shd w:val="clear" w:color="auto" w:fill="auto"/>
            <w:vAlign w:val="center"/>
          </w:tcPr>
          <w:p>
            <w:pPr>
              <w:overflowPunct w:val="0"/>
              <w:topLinePunct/>
              <w:snapToGrid w:val="0"/>
              <w:ind w:firstLine="240" w:firstLineChars="100"/>
              <w:jc w:val="left"/>
              <w:rPr>
                <w:rFonts w:ascii="宋体"/>
                <w:kern w:val="0"/>
                <w:sz w:val="24"/>
                <w:szCs w:val="24"/>
              </w:rPr>
            </w:pPr>
            <w:r>
              <w:rPr>
                <w:rFonts w:hint="eastAsia" w:ascii="宋体" w:cs="宋体"/>
                <w:kern w:val="0"/>
                <w:sz w:val="24"/>
                <w:szCs w:val="24"/>
              </w:rPr>
              <w:t>土壤污染状况</w:t>
            </w:r>
          </w:p>
        </w:tc>
        <w:tc>
          <w:tcPr>
            <w:tcW w:w="5304" w:type="dxa"/>
            <w:shd w:val="clear" w:color="000000" w:fill="FFFFFF"/>
            <w:vAlign w:val="center"/>
          </w:tcPr>
          <w:p>
            <w:pPr>
              <w:overflowPunct w:val="0"/>
              <w:topLinePunct/>
              <w:snapToGrid w:val="0"/>
              <w:jc w:val="left"/>
              <w:rPr>
                <w:rFonts w:ascii="宋体"/>
                <w:kern w:val="0"/>
                <w:sz w:val="24"/>
                <w:szCs w:val="24"/>
              </w:rPr>
            </w:pPr>
            <w:r>
              <w:rPr>
                <w:rFonts w:hint="eastAsia" w:ascii="宋体" w:hAnsi="宋体" w:cs="宋体"/>
                <w:kern w:val="0"/>
                <w:sz w:val="24"/>
                <w:szCs w:val="24"/>
              </w:rPr>
              <w:t>未造成土壤污染</w:t>
            </w:r>
          </w:p>
        </w:tc>
        <w:tc>
          <w:tcPr>
            <w:tcW w:w="1334" w:type="dxa"/>
            <w:vAlign w:val="center"/>
          </w:tcPr>
          <w:p>
            <w:pPr>
              <w:overflowPunct w:val="0"/>
              <w:topLinePunct/>
              <w:snapToGrid w:val="0"/>
              <w:jc w:val="center"/>
              <w:rPr>
                <w:rFonts w:ascii="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81" w:hRule="atLeast"/>
          <w:jc w:val="center"/>
        </w:trPr>
        <w:tc>
          <w:tcPr>
            <w:tcW w:w="2082" w:type="dxa"/>
            <w:vMerge w:val="continue"/>
            <w:shd w:val="clear" w:color="auto" w:fill="auto"/>
            <w:vAlign w:val="center"/>
          </w:tcPr>
          <w:p>
            <w:pPr>
              <w:overflowPunct w:val="0"/>
              <w:topLinePunct/>
              <w:snapToGrid w:val="0"/>
              <w:jc w:val="left"/>
              <w:rPr>
                <w:rFonts w:ascii="宋体"/>
                <w:kern w:val="0"/>
                <w:sz w:val="24"/>
                <w:szCs w:val="24"/>
              </w:rPr>
            </w:pPr>
          </w:p>
        </w:tc>
        <w:tc>
          <w:tcPr>
            <w:tcW w:w="5304" w:type="dxa"/>
            <w:shd w:val="clear" w:color="000000" w:fill="FFFFFF"/>
            <w:vAlign w:val="center"/>
          </w:tcPr>
          <w:p>
            <w:pPr>
              <w:overflowPunct w:val="0"/>
              <w:topLinePunct/>
              <w:snapToGrid w:val="0"/>
              <w:jc w:val="left"/>
              <w:rPr>
                <w:rFonts w:ascii="宋体"/>
                <w:kern w:val="0"/>
                <w:sz w:val="24"/>
                <w:szCs w:val="24"/>
              </w:rPr>
            </w:pPr>
            <w:r>
              <w:rPr>
                <w:rFonts w:hint="eastAsia" w:ascii="宋体" w:hAnsi="宋体" w:cs="宋体"/>
                <w:kern w:val="0"/>
                <w:sz w:val="24"/>
                <w:szCs w:val="24"/>
              </w:rPr>
              <w:t>造成土壤污染面积</w:t>
            </w:r>
            <w:r>
              <w:rPr>
                <w:rFonts w:ascii="宋体" w:hAnsi="宋体" w:cs="宋体"/>
                <w:kern w:val="0"/>
                <w:sz w:val="24"/>
                <w:szCs w:val="24"/>
              </w:rPr>
              <w:t>500</w:t>
            </w:r>
            <w:r>
              <w:rPr>
                <w:rFonts w:hint="eastAsia" w:ascii="宋体" w:hAnsi="宋体" w:cs="宋体"/>
                <w:kern w:val="0"/>
                <w:sz w:val="24"/>
                <w:szCs w:val="24"/>
              </w:rPr>
              <w:t>平方米以下</w:t>
            </w:r>
          </w:p>
        </w:tc>
        <w:tc>
          <w:tcPr>
            <w:tcW w:w="1334" w:type="dxa"/>
            <w:vAlign w:val="center"/>
          </w:tcPr>
          <w:p>
            <w:pPr>
              <w:overflowPunct w:val="0"/>
              <w:topLinePunct/>
              <w:snapToGrid w:val="0"/>
              <w:jc w:val="center"/>
              <w:rPr>
                <w:rFonts w:ascii="宋体"/>
                <w:kern w:val="0"/>
                <w:sz w:val="24"/>
                <w:szCs w:val="24"/>
              </w:rPr>
            </w:pPr>
            <w:r>
              <w:rPr>
                <w:rFonts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8" w:hRule="atLeast"/>
          <w:jc w:val="center"/>
        </w:trPr>
        <w:tc>
          <w:tcPr>
            <w:tcW w:w="2082" w:type="dxa"/>
            <w:vMerge w:val="continue"/>
            <w:shd w:val="clear" w:color="auto" w:fill="auto"/>
            <w:vAlign w:val="center"/>
          </w:tcPr>
          <w:p>
            <w:pPr>
              <w:overflowPunct w:val="0"/>
              <w:topLinePunct/>
              <w:snapToGrid w:val="0"/>
              <w:jc w:val="left"/>
              <w:rPr>
                <w:rFonts w:ascii="宋体"/>
                <w:kern w:val="0"/>
                <w:sz w:val="24"/>
                <w:szCs w:val="24"/>
              </w:rPr>
            </w:pPr>
          </w:p>
        </w:tc>
        <w:tc>
          <w:tcPr>
            <w:tcW w:w="5304" w:type="dxa"/>
            <w:shd w:val="clear" w:color="000000" w:fill="FFFFFF"/>
            <w:vAlign w:val="center"/>
          </w:tcPr>
          <w:p>
            <w:pPr>
              <w:overflowPunct w:val="0"/>
              <w:topLinePunct/>
              <w:snapToGrid w:val="0"/>
              <w:jc w:val="left"/>
              <w:rPr>
                <w:rFonts w:ascii="宋体"/>
                <w:kern w:val="0"/>
                <w:sz w:val="24"/>
                <w:szCs w:val="24"/>
              </w:rPr>
            </w:pPr>
            <w:r>
              <w:rPr>
                <w:rFonts w:hint="eastAsia" w:ascii="宋体" w:hAnsi="宋体" w:cs="宋体"/>
                <w:kern w:val="0"/>
                <w:sz w:val="24"/>
                <w:szCs w:val="24"/>
              </w:rPr>
              <w:t>造成土壤污染面积</w:t>
            </w:r>
            <w:r>
              <w:rPr>
                <w:rFonts w:ascii="宋体" w:hAnsi="宋体" w:cs="宋体"/>
                <w:kern w:val="0"/>
                <w:sz w:val="24"/>
                <w:szCs w:val="24"/>
              </w:rPr>
              <w:t>500</w:t>
            </w:r>
            <w:r>
              <w:rPr>
                <w:rFonts w:hint="eastAsia" w:ascii="宋体" w:hAnsi="宋体" w:cs="宋体"/>
                <w:kern w:val="0"/>
                <w:sz w:val="24"/>
                <w:szCs w:val="24"/>
              </w:rPr>
              <w:t>平方米以上</w:t>
            </w:r>
            <w:r>
              <w:rPr>
                <w:rFonts w:ascii="宋体" w:hAnsi="宋体" w:cs="宋体"/>
                <w:kern w:val="0"/>
                <w:sz w:val="24"/>
                <w:szCs w:val="24"/>
              </w:rPr>
              <w:t>5000</w:t>
            </w:r>
            <w:r>
              <w:rPr>
                <w:rFonts w:hint="eastAsia" w:ascii="宋体" w:hAnsi="宋体" w:cs="宋体"/>
                <w:kern w:val="0"/>
                <w:sz w:val="24"/>
                <w:szCs w:val="24"/>
              </w:rPr>
              <w:t>平方米以下</w:t>
            </w:r>
          </w:p>
        </w:tc>
        <w:tc>
          <w:tcPr>
            <w:tcW w:w="1334" w:type="dxa"/>
            <w:vAlign w:val="center"/>
          </w:tcPr>
          <w:p>
            <w:pPr>
              <w:overflowPunct w:val="0"/>
              <w:topLinePunct/>
              <w:snapToGrid w:val="0"/>
              <w:jc w:val="center"/>
              <w:rPr>
                <w:rFonts w:ascii="宋体"/>
                <w:kern w:val="0"/>
                <w:sz w:val="24"/>
                <w:szCs w:val="24"/>
              </w:rPr>
            </w:pPr>
            <w:r>
              <w:rPr>
                <w:rFonts w:ascii="宋体" w:hAns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8" w:hRule="atLeast"/>
          <w:jc w:val="center"/>
        </w:trPr>
        <w:tc>
          <w:tcPr>
            <w:tcW w:w="2082" w:type="dxa"/>
            <w:vMerge w:val="continue"/>
            <w:shd w:val="clear" w:color="auto" w:fill="auto"/>
            <w:vAlign w:val="center"/>
          </w:tcPr>
          <w:p>
            <w:pPr>
              <w:overflowPunct w:val="0"/>
              <w:topLinePunct/>
              <w:snapToGrid w:val="0"/>
              <w:jc w:val="left"/>
              <w:rPr>
                <w:rFonts w:ascii="宋体"/>
                <w:kern w:val="0"/>
                <w:sz w:val="24"/>
                <w:szCs w:val="24"/>
              </w:rPr>
            </w:pPr>
          </w:p>
        </w:tc>
        <w:tc>
          <w:tcPr>
            <w:tcW w:w="5304" w:type="dxa"/>
            <w:shd w:val="clear" w:color="000000" w:fill="FFFFFF"/>
            <w:vAlign w:val="center"/>
          </w:tcPr>
          <w:p>
            <w:pPr>
              <w:overflowPunct w:val="0"/>
              <w:topLinePunct/>
              <w:snapToGrid w:val="0"/>
              <w:jc w:val="left"/>
              <w:rPr>
                <w:rFonts w:ascii="宋体"/>
                <w:kern w:val="0"/>
                <w:sz w:val="24"/>
                <w:szCs w:val="24"/>
              </w:rPr>
            </w:pPr>
            <w:r>
              <w:rPr>
                <w:rFonts w:hint="eastAsia" w:ascii="宋体" w:hAnsi="宋体" w:cs="宋体"/>
                <w:kern w:val="0"/>
                <w:sz w:val="24"/>
                <w:szCs w:val="24"/>
              </w:rPr>
              <w:t>造成土壤污染面积</w:t>
            </w:r>
            <w:r>
              <w:rPr>
                <w:rFonts w:ascii="宋体" w:hAnsi="宋体" w:cs="宋体"/>
                <w:kern w:val="0"/>
                <w:sz w:val="24"/>
                <w:szCs w:val="24"/>
              </w:rPr>
              <w:t>5000</w:t>
            </w:r>
            <w:r>
              <w:rPr>
                <w:rFonts w:hint="eastAsia" w:ascii="宋体" w:hAnsi="宋体" w:cs="宋体"/>
                <w:kern w:val="0"/>
                <w:sz w:val="24"/>
                <w:szCs w:val="24"/>
              </w:rPr>
              <w:t>平方米以上</w:t>
            </w:r>
            <w:r>
              <w:rPr>
                <w:rFonts w:ascii="宋体" w:hAnsi="宋体" w:cs="宋体"/>
                <w:kern w:val="0"/>
                <w:sz w:val="24"/>
                <w:szCs w:val="24"/>
              </w:rPr>
              <w:t>10000</w:t>
            </w:r>
            <w:r>
              <w:rPr>
                <w:rFonts w:hint="eastAsia" w:ascii="宋体" w:hAnsi="宋体" w:cs="宋体"/>
                <w:kern w:val="0"/>
                <w:sz w:val="24"/>
                <w:szCs w:val="24"/>
              </w:rPr>
              <w:t>平方米以下</w:t>
            </w:r>
          </w:p>
        </w:tc>
        <w:tc>
          <w:tcPr>
            <w:tcW w:w="1334" w:type="dxa"/>
            <w:vAlign w:val="center"/>
          </w:tcPr>
          <w:p>
            <w:pPr>
              <w:overflowPunct w:val="0"/>
              <w:topLinePunct/>
              <w:snapToGrid w:val="0"/>
              <w:jc w:val="center"/>
              <w:rPr>
                <w:rFonts w:ascii="宋体"/>
                <w:kern w:val="0"/>
                <w:sz w:val="24"/>
                <w:szCs w:val="24"/>
              </w:rPr>
            </w:pPr>
            <w:r>
              <w:rPr>
                <w:rFonts w:ascii="宋体" w:hAnsi="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8" w:hRule="atLeast"/>
          <w:jc w:val="center"/>
        </w:trPr>
        <w:tc>
          <w:tcPr>
            <w:tcW w:w="2082" w:type="dxa"/>
            <w:vMerge w:val="continue"/>
            <w:shd w:val="clear" w:color="auto" w:fill="auto"/>
            <w:vAlign w:val="center"/>
          </w:tcPr>
          <w:p>
            <w:pPr>
              <w:overflowPunct w:val="0"/>
              <w:topLinePunct/>
              <w:snapToGrid w:val="0"/>
              <w:jc w:val="left"/>
              <w:rPr>
                <w:rFonts w:ascii="宋体"/>
                <w:kern w:val="0"/>
                <w:sz w:val="24"/>
                <w:szCs w:val="24"/>
              </w:rPr>
            </w:pPr>
          </w:p>
        </w:tc>
        <w:tc>
          <w:tcPr>
            <w:tcW w:w="5304" w:type="dxa"/>
            <w:shd w:val="clear" w:color="000000" w:fill="FFFFFF"/>
            <w:vAlign w:val="center"/>
          </w:tcPr>
          <w:p>
            <w:pPr>
              <w:overflowPunct w:val="0"/>
              <w:topLinePunct/>
              <w:snapToGrid w:val="0"/>
              <w:jc w:val="left"/>
              <w:rPr>
                <w:rFonts w:ascii="宋体"/>
                <w:kern w:val="0"/>
                <w:sz w:val="24"/>
                <w:szCs w:val="24"/>
              </w:rPr>
            </w:pPr>
            <w:r>
              <w:rPr>
                <w:rFonts w:hint="eastAsia" w:ascii="宋体" w:hAnsi="宋体" w:cs="宋体"/>
                <w:kern w:val="0"/>
                <w:sz w:val="24"/>
                <w:szCs w:val="24"/>
              </w:rPr>
              <w:t>造成土壤污染面积</w:t>
            </w:r>
            <w:r>
              <w:rPr>
                <w:rFonts w:ascii="宋体" w:hAnsi="宋体" w:cs="宋体"/>
                <w:kern w:val="0"/>
                <w:sz w:val="24"/>
                <w:szCs w:val="24"/>
              </w:rPr>
              <w:t>10000</w:t>
            </w:r>
            <w:r>
              <w:rPr>
                <w:rFonts w:hint="eastAsia" w:ascii="宋体" w:hAnsi="宋体" w:cs="宋体"/>
                <w:kern w:val="0"/>
                <w:sz w:val="24"/>
                <w:szCs w:val="24"/>
              </w:rPr>
              <w:t>平方米以上</w:t>
            </w:r>
          </w:p>
        </w:tc>
        <w:tc>
          <w:tcPr>
            <w:tcW w:w="1334" w:type="dxa"/>
            <w:vAlign w:val="center"/>
          </w:tcPr>
          <w:p>
            <w:pPr>
              <w:overflowPunct w:val="0"/>
              <w:topLinePunct/>
              <w:snapToGrid w:val="0"/>
              <w:jc w:val="center"/>
              <w:rPr>
                <w:rFonts w:ascii="宋体"/>
                <w:kern w:val="0"/>
                <w:sz w:val="24"/>
                <w:szCs w:val="24"/>
              </w:rPr>
            </w:pPr>
            <w:r>
              <w:rPr>
                <w:rFonts w:ascii="宋体" w:hAnsi="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90" w:hRule="atLeast"/>
          <w:jc w:val="center"/>
        </w:trPr>
        <w:tc>
          <w:tcPr>
            <w:tcW w:w="2082" w:type="dxa"/>
            <w:vMerge w:val="restart"/>
            <w:shd w:val="clear" w:color="auto" w:fill="auto"/>
            <w:vAlign w:val="center"/>
          </w:tcPr>
          <w:p>
            <w:pPr>
              <w:overflowPunct w:val="0"/>
              <w:topLinePunct/>
              <w:snapToGrid w:val="0"/>
              <w:ind w:firstLine="240" w:firstLineChars="100"/>
              <w:jc w:val="left"/>
              <w:rPr>
                <w:rFonts w:ascii="宋体"/>
                <w:kern w:val="0"/>
                <w:sz w:val="24"/>
                <w:szCs w:val="24"/>
              </w:rPr>
            </w:pPr>
            <w:r>
              <w:rPr>
                <w:rFonts w:hint="eastAsia" w:ascii="宋体" w:cs="宋体"/>
                <w:kern w:val="0"/>
                <w:sz w:val="24"/>
                <w:szCs w:val="24"/>
              </w:rPr>
              <w:t>土壤所在区域</w:t>
            </w:r>
          </w:p>
        </w:tc>
        <w:tc>
          <w:tcPr>
            <w:tcW w:w="5304" w:type="dxa"/>
            <w:shd w:val="clear" w:color="000000" w:fill="FFFFFF"/>
            <w:vAlign w:val="center"/>
          </w:tcPr>
          <w:p>
            <w:pPr>
              <w:overflowPunct w:val="0"/>
              <w:topLinePunct/>
              <w:snapToGrid w:val="0"/>
              <w:jc w:val="left"/>
              <w:rPr>
                <w:rFonts w:ascii="宋体"/>
                <w:kern w:val="0"/>
                <w:sz w:val="24"/>
                <w:szCs w:val="24"/>
              </w:rPr>
            </w:pPr>
            <w:r>
              <w:rPr>
                <w:rFonts w:hint="eastAsia" w:ascii="宋体" w:hAnsi="宋体" w:cs="宋体"/>
                <w:kern w:val="0"/>
                <w:sz w:val="24"/>
                <w:szCs w:val="24"/>
              </w:rPr>
              <w:t>第二类建设用地/未利用地</w:t>
            </w:r>
          </w:p>
        </w:tc>
        <w:tc>
          <w:tcPr>
            <w:tcW w:w="1334" w:type="dxa"/>
            <w:vAlign w:val="center"/>
          </w:tcPr>
          <w:p>
            <w:pPr>
              <w:overflowPunct w:val="0"/>
              <w:topLinePunct/>
              <w:snapToGrid w:val="0"/>
              <w:jc w:val="center"/>
              <w:rPr>
                <w:rFonts w:ascii="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90" w:hRule="atLeast"/>
          <w:jc w:val="center"/>
        </w:trPr>
        <w:tc>
          <w:tcPr>
            <w:tcW w:w="2082" w:type="dxa"/>
            <w:vMerge w:val="continue"/>
            <w:shd w:val="clear" w:color="auto" w:fill="auto"/>
            <w:vAlign w:val="center"/>
          </w:tcPr>
          <w:p>
            <w:pPr>
              <w:overflowPunct w:val="0"/>
              <w:topLinePunct/>
              <w:snapToGrid w:val="0"/>
              <w:jc w:val="left"/>
              <w:rPr>
                <w:rFonts w:ascii="宋体"/>
                <w:kern w:val="0"/>
                <w:sz w:val="24"/>
                <w:szCs w:val="24"/>
              </w:rPr>
            </w:pPr>
          </w:p>
        </w:tc>
        <w:tc>
          <w:tcPr>
            <w:tcW w:w="5304" w:type="dxa"/>
            <w:shd w:val="clear" w:color="000000" w:fill="FFFFFF"/>
            <w:vAlign w:val="center"/>
          </w:tcPr>
          <w:p>
            <w:pPr>
              <w:overflowPunct w:val="0"/>
              <w:topLinePunct/>
              <w:snapToGrid w:val="0"/>
              <w:jc w:val="left"/>
              <w:rPr>
                <w:rFonts w:ascii="宋体"/>
                <w:kern w:val="0"/>
                <w:sz w:val="24"/>
                <w:szCs w:val="24"/>
              </w:rPr>
            </w:pPr>
            <w:r>
              <w:rPr>
                <w:rFonts w:hint="eastAsia" w:ascii="宋体" w:hAnsi="宋体" w:cs="宋体"/>
                <w:kern w:val="0"/>
                <w:sz w:val="24"/>
                <w:szCs w:val="24"/>
              </w:rPr>
              <w:t>第一类建设用地</w:t>
            </w:r>
          </w:p>
        </w:tc>
        <w:tc>
          <w:tcPr>
            <w:tcW w:w="1334" w:type="dxa"/>
            <w:vAlign w:val="center"/>
          </w:tcPr>
          <w:p>
            <w:pPr>
              <w:overflowPunct w:val="0"/>
              <w:topLinePunct/>
              <w:snapToGrid w:val="0"/>
              <w:jc w:val="center"/>
              <w:rPr>
                <w:rFonts w:ascii="宋体"/>
                <w:kern w:val="0"/>
                <w:sz w:val="24"/>
                <w:szCs w:val="24"/>
              </w:rPr>
            </w:pPr>
            <w:r>
              <w:rPr>
                <w:rFonts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90" w:hRule="atLeast"/>
          <w:jc w:val="center"/>
        </w:trPr>
        <w:tc>
          <w:tcPr>
            <w:tcW w:w="2082" w:type="dxa"/>
            <w:vMerge w:val="continue"/>
            <w:shd w:val="clear" w:color="auto" w:fill="auto"/>
            <w:vAlign w:val="center"/>
          </w:tcPr>
          <w:p>
            <w:pPr>
              <w:overflowPunct w:val="0"/>
              <w:topLinePunct/>
              <w:snapToGrid w:val="0"/>
              <w:jc w:val="left"/>
              <w:rPr>
                <w:rFonts w:ascii="宋体"/>
                <w:kern w:val="0"/>
                <w:sz w:val="24"/>
                <w:szCs w:val="24"/>
              </w:rPr>
            </w:pPr>
          </w:p>
        </w:tc>
        <w:tc>
          <w:tcPr>
            <w:tcW w:w="5304" w:type="dxa"/>
            <w:shd w:val="clear" w:color="000000" w:fill="FFFFFF"/>
            <w:vAlign w:val="center"/>
          </w:tcPr>
          <w:p>
            <w:pPr>
              <w:overflowPunct w:val="0"/>
              <w:topLinePunct/>
              <w:snapToGrid w:val="0"/>
              <w:jc w:val="left"/>
              <w:rPr>
                <w:rFonts w:ascii="宋体"/>
                <w:kern w:val="0"/>
                <w:sz w:val="24"/>
                <w:szCs w:val="24"/>
              </w:rPr>
            </w:pPr>
            <w:r>
              <w:rPr>
                <w:rFonts w:hint="eastAsia" w:ascii="宋体" w:hAnsi="宋体" w:cs="宋体"/>
                <w:kern w:val="0"/>
                <w:sz w:val="24"/>
                <w:szCs w:val="24"/>
              </w:rPr>
              <w:t>严格管控类农用地</w:t>
            </w:r>
          </w:p>
        </w:tc>
        <w:tc>
          <w:tcPr>
            <w:tcW w:w="1334" w:type="dxa"/>
            <w:vAlign w:val="center"/>
          </w:tcPr>
          <w:p>
            <w:pPr>
              <w:overflowPunct w:val="0"/>
              <w:topLinePunct/>
              <w:snapToGrid w:val="0"/>
              <w:jc w:val="center"/>
              <w:rPr>
                <w:rFonts w:ascii="宋体"/>
                <w:kern w:val="0"/>
                <w:sz w:val="24"/>
                <w:szCs w:val="24"/>
              </w:rPr>
            </w:pPr>
            <w:r>
              <w:rPr>
                <w:rFonts w:ascii="宋体" w:hAns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90" w:hRule="atLeast"/>
          <w:jc w:val="center"/>
        </w:trPr>
        <w:tc>
          <w:tcPr>
            <w:tcW w:w="2082" w:type="dxa"/>
            <w:vMerge w:val="continue"/>
            <w:shd w:val="clear" w:color="auto" w:fill="auto"/>
            <w:vAlign w:val="center"/>
          </w:tcPr>
          <w:p>
            <w:pPr>
              <w:overflowPunct w:val="0"/>
              <w:topLinePunct/>
              <w:snapToGrid w:val="0"/>
              <w:jc w:val="left"/>
              <w:rPr>
                <w:rFonts w:ascii="宋体"/>
                <w:kern w:val="0"/>
                <w:sz w:val="24"/>
                <w:szCs w:val="24"/>
              </w:rPr>
            </w:pPr>
          </w:p>
        </w:tc>
        <w:tc>
          <w:tcPr>
            <w:tcW w:w="5304" w:type="dxa"/>
            <w:shd w:val="clear" w:color="000000" w:fill="FFFFFF"/>
            <w:vAlign w:val="center"/>
          </w:tcPr>
          <w:p>
            <w:pPr>
              <w:overflowPunct w:val="0"/>
              <w:topLinePunct/>
              <w:snapToGrid w:val="0"/>
              <w:jc w:val="left"/>
              <w:rPr>
                <w:rFonts w:ascii="宋体"/>
                <w:kern w:val="0"/>
                <w:sz w:val="24"/>
                <w:szCs w:val="24"/>
              </w:rPr>
            </w:pPr>
            <w:r>
              <w:rPr>
                <w:rFonts w:hint="eastAsia" w:ascii="宋体" w:hAnsi="宋体" w:cs="宋体"/>
                <w:kern w:val="0"/>
                <w:sz w:val="24"/>
                <w:szCs w:val="24"/>
              </w:rPr>
              <w:t>安全利用类农用地</w:t>
            </w:r>
          </w:p>
        </w:tc>
        <w:tc>
          <w:tcPr>
            <w:tcW w:w="1334" w:type="dxa"/>
            <w:vAlign w:val="center"/>
          </w:tcPr>
          <w:p>
            <w:pPr>
              <w:overflowPunct w:val="0"/>
              <w:topLinePunct/>
              <w:snapToGrid w:val="0"/>
              <w:jc w:val="center"/>
              <w:rPr>
                <w:rFonts w:ascii="宋体"/>
                <w:kern w:val="0"/>
                <w:sz w:val="24"/>
                <w:szCs w:val="24"/>
              </w:rPr>
            </w:pPr>
            <w:r>
              <w:rPr>
                <w:rFonts w:ascii="宋体" w:hAnsi="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90" w:hRule="atLeast"/>
          <w:jc w:val="center"/>
        </w:trPr>
        <w:tc>
          <w:tcPr>
            <w:tcW w:w="2082" w:type="dxa"/>
            <w:vMerge w:val="continue"/>
            <w:shd w:val="clear" w:color="auto" w:fill="auto"/>
            <w:vAlign w:val="center"/>
          </w:tcPr>
          <w:p>
            <w:pPr>
              <w:overflowPunct w:val="0"/>
              <w:topLinePunct/>
              <w:snapToGrid w:val="0"/>
              <w:jc w:val="left"/>
              <w:rPr>
                <w:rFonts w:ascii="宋体"/>
                <w:kern w:val="0"/>
                <w:sz w:val="24"/>
                <w:szCs w:val="24"/>
              </w:rPr>
            </w:pPr>
          </w:p>
        </w:tc>
        <w:tc>
          <w:tcPr>
            <w:tcW w:w="5304" w:type="dxa"/>
            <w:shd w:val="clear" w:color="000000" w:fill="FFFFFF"/>
            <w:vAlign w:val="center"/>
          </w:tcPr>
          <w:p>
            <w:pPr>
              <w:overflowPunct w:val="0"/>
              <w:topLinePunct/>
              <w:snapToGrid w:val="0"/>
              <w:jc w:val="left"/>
              <w:rPr>
                <w:rFonts w:ascii="宋体"/>
                <w:kern w:val="0"/>
                <w:sz w:val="24"/>
                <w:szCs w:val="24"/>
              </w:rPr>
            </w:pPr>
            <w:r>
              <w:rPr>
                <w:rFonts w:hint="eastAsia" w:ascii="宋体" w:hAnsi="宋体" w:cs="宋体"/>
                <w:kern w:val="0"/>
                <w:sz w:val="24"/>
                <w:szCs w:val="24"/>
              </w:rPr>
              <w:t>优先保护类农用地</w:t>
            </w:r>
          </w:p>
        </w:tc>
        <w:tc>
          <w:tcPr>
            <w:tcW w:w="1334" w:type="dxa"/>
            <w:vAlign w:val="center"/>
          </w:tcPr>
          <w:p>
            <w:pPr>
              <w:overflowPunct w:val="0"/>
              <w:topLinePunct/>
              <w:snapToGrid w:val="0"/>
              <w:jc w:val="center"/>
              <w:rPr>
                <w:rFonts w:ascii="宋体"/>
                <w:kern w:val="0"/>
                <w:sz w:val="24"/>
                <w:szCs w:val="24"/>
              </w:rPr>
            </w:pPr>
            <w:r>
              <w:rPr>
                <w:rFonts w:ascii="宋体" w:hAnsi="宋体" w:cs="宋体"/>
                <w:kern w:val="0"/>
                <w:sz w:val="24"/>
                <w:szCs w:val="24"/>
              </w:rPr>
              <w:t>5</w:t>
            </w:r>
          </w:p>
        </w:tc>
      </w:tr>
    </w:tbl>
    <w:p>
      <w:pPr>
        <w:overflowPunct w:val="0"/>
        <w:topLinePunct/>
        <w:adjustRightInd w:val="0"/>
        <w:snapToGrid w:val="0"/>
        <w:spacing w:line="360" w:lineRule="exact"/>
        <w:ind w:firstLine="480" w:firstLineChars="200"/>
        <w:rPr>
          <w:rFonts w:hint="eastAsia" w:ascii="宋体" w:hAnsi="宋体" w:cs="宋体"/>
          <w:kern w:val="0"/>
          <w:sz w:val="24"/>
          <w:szCs w:val="24"/>
        </w:rPr>
      </w:pPr>
      <w:r>
        <w:rPr>
          <w:rFonts w:hint="eastAsia" w:ascii="宋体" w:hAnsi="宋体" w:cs="宋体"/>
          <w:kern w:val="0"/>
          <w:sz w:val="24"/>
          <w:szCs w:val="24"/>
        </w:rPr>
        <w:t>注：本表适用于违反《中华人民共和国土壤污染防治法》相关规定的环境违法行为的处罚。</w:t>
      </w:r>
    </w:p>
    <w:p>
      <w:pPr>
        <w:overflowPunct w:val="0"/>
        <w:topLinePunct/>
        <w:adjustRightInd w:val="0"/>
        <w:snapToGrid w:val="0"/>
        <w:spacing w:line="360" w:lineRule="exact"/>
        <w:ind w:firstLine="480" w:firstLineChars="200"/>
        <w:rPr>
          <w:rFonts w:hint="eastAsia" w:ascii="宋体" w:hAnsi="宋体" w:cs="宋体"/>
          <w:kern w:val="0"/>
          <w:sz w:val="24"/>
          <w:szCs w:val="24"/>
        </w:rPr>
      </w:pPr>
    </w:p>
    <w:p>
      <w:pPr>
        <w:tabs>
          <w:tab w:val="left" w:pos="897"/>
        </w:tabs>
        <w:overflowPunct w:val="0"/>
        <w:topLinePunct/>
        <w:spacing w:line="600" w:lineRule="exact"/>
        <w:ind w:firstLine="640" w:firstLineChars="200"/>
        <w:outlineLvl w:val="0"/>
        <w:rPr>
          <w:rFonts w:hint="eastAsia" w:ascii="黑体" w:hAnsi="黑体" w:eastAsia="黑体" w:cs="黑体"/>
          <w:kern w:val="0"/>
          <w:sz w:val="32"/>
          <w:szCs w:val="32"/>
          <w:lang w:val="zh-TW"/>
        </w:rPr>
      </w:pPr>
      <w:r>
        <w:rPr>
          <w:rFonts w:hint="eastAsia" w:ascii="黑体" w:hAnsi="黑体" w:eastAsia="黑体" w:cs="黑体"/>
          <w:kern w:val="0"/>
          <w:sz w:val="32"/>
          <w:szCs w:val="32"/>
          <w:lang w:val="zh-TW" w:eastAsia="zh-TW"/>
        </w:rPr>
        <w:t>二、</w:t>
      </w:r>
      <w:r>
        <w:rPr>
          <w:rFonts w:hint="eastAsia" w:ascii="黑体" w:hAnsi="黑体" w:eastAsia="黑体" w:cs="黑体"/>
          <w:kern w:val="0"/>
          <w:sz w:val="32"/>
          <w:szCs w:val="32"/>
          <w:lang w:val="zh-TW"/>
        </w:rPr>
        <w:t>违法行为</w:t>
      </w:r>
      <w:r>
        <w:rPr>
          <w:rFonts w:hint="eastAsia" w:ascii="黑体" w:hAnsi="黑体" w:eastAsia="黑体" w:cs="黑体"/>
          <w:kern w:val="0"/>
          <w:sz w:val="32"/>
          <w:szCs w:val="32"/>
          <w:lang w:val="zh-TW" w:eastAsia="zh-TW"/>
        </w:rPr>
        <w:t>共性裁量</w:t>
      </w:r>
      <w:bookmarkEnd w:id="9"/>
      <w:bookmarkEnd w:id="10"/>
      <w:bookmarkStart w:id="15" w:name="_Toc16558"/>
      <w:bookmarkStart w:id="16" w:name="_Toc3889"/>
      <w:r>
        <w:rPr>
          <w:rFonts w:hint="eastAsia" w:ascii="黑体" w:hAnsi="黑体" w:eastAsia="黑体" w:cs="黑体"/>
          <w:kern w:val="0"/>
          <w:sz w:val="32"/>
          <w:szCs w:val="32"/>
          <w:lang w:val="zh-TW"/>
        </w:rPr>
        <w:t>基准</w:t>
      </w:r>
    </w:p>
    <w:p>
      <w:pPr>
        <w:overflowPunct w:val="0"/>
        <w:topLinePunct/>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下列表格用数值表示裁量因子不同的裁量等级，1-5代表违法行为从轻微到严重的不同程度。</w:t>
      </w:r>
    </w:p>
    <w:tbl>
      <w:tblPr>
        <w:tblStyle w:val="4"/>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2405"/>
        <w:gridCol w:w="4981"/>
        <w:gridCol w:w="1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4" w:hRule="atLeast"/>
          <w:jc w:val="center"/>
        </w:trPr>
        <w:tc>
          <w:tcPr>
            <w:tcW w:w="2405" w:type="dxa"/>
            <w:vAlign w:val="center"/>
          </w:tcPr>
          <w:p>
            <w:pPr>
              <w:overflowPunct w:val="0"/>
              <w:topLinePunct/>
              <w:snapToGrid w:val="0"/>
              <w:jc w:val="center"/>
              <w:rPr>
                <w:rFonts w:ascii="宋体"/>
                <w:kern w:val="0"/>
                <w:sz w:val="24"/>
                <w:szCs w:val="24"/>
              </w:rPr>
            </w:pPr>
            <w:r>
              <w:rPr>
                <w:rFonts w:hint="eastAsia" w:ascii="宋体" w:hAnsi="宋体" w:cs="宋体"/>
                <w:kern w:val="0"/>
                <w:sz w:val="24"/>
                <w:szCs w:val="24"/>
              </w:rPr>
              <w:t>裁量因素</w:t>
            </w:r>
          </w:p>
        </w:tc>
        <w:tc>
          <w:tcPr>
            <w:tcW w:w="4981" w:type="dxa"/>
            <w:vAlign w:val="center"/>
          </w:tcPr>
          <w:p>
            <w:pPr>
              <w:overflowPunct w:val="0"/>
              <w:topLinePunct/>
              <w:snapToGrid w:val="0"/>
              <w:jc w:val="center"/>
              <w:rPr>
                <w:rFonts w:ascii="宋体"/>
                <w:kern w:val="0"/>
                <w:sz w:val="24"/>
                <w:szCs w:val="24"/>
              </w:rPr>
            </w:pPr>
            <w:r>
              <w:rPr>
                <w:rFonts w:hint="eastAsia" w:ascii="宋体" w:hAnsi="宋体" w:cs="宋体"/>
                <w:kern w:val="0"/>
                <w:sz w:val="24"/>
                <w:szCs w:val="24"/>
              </w:rPr>
              <w:t>裁量因子</w:t>
            </w:r>
          </w:p>
        </w:tc>
        <w:tc>
          <w:tcPr>
            <w:tcW w:w="1334" w:type="dxa"/>
            <w:vAlign w:val="center"/>
          </w:tcPr>
          <w:p>
            <w:pPr>
              <w:overflowPunct w:val="0"/>
              <w:topLinePunct/>
              <w:snapToGrid w:val="0"/>
              <w:jc w:val="center"/>
              <w:rPr>
                <w:rFonts w:ascii="宋体"/>
                <w:kern w:val="0"/>
                <w:sz w:val="24"/>
                <w:szCs w:val="24"/>
              </w:rPr>
            </w:pPr>
            <w:r>
              <w:rPr>
                <w:rFonts w:hint="eastAsia" w:ascii="宋体" w:hAnsi="宋体" w:cs="宋体"/>
                <w:kern w:val="0"/>
                <w:sz w:val="24"/>
                <w:szCs w:val="24"/>
              </w:rPr>
              <w:t>裁量等级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4" w:hRule="atLeast"/>
          <w:jc w:val="center"/>
        </w:trPr>
        <w:tc>
          <w:tcPr>
            <w:tcW w:w="2405" w:type="dxa"/>
            <w:vMerge w:val="restart"/>
            <w:shd w:val="clear" w:color="auto" w:fill="auto"/>
            <w:vAlign w:val="center"/>
          </w:tcPr>
          <w:p>
            <w:pPr>
              <w:overflowPunct w:val="0"/>
              <w:topLinePunct/>
              <w:snapToGrid w:val="0"/>
              <w:jc w:val="center"/>
              <w:rPr>
                <w:rFonts w:ascii="宋体"/>
                <w:kern w:val="0"/>
                <w:sz w:val="24"/>
                <w:szCs w:val="24"/>
              </w:rPr>
            </w:pPr>
            <w:r>
              <w:rPr>
                <w:rFonts w:hint="eastAsia" w:ascii="宋体" w:hAnsi="宋体" w:cs="宋体"/>
                <w:kern w:val="0"/>
                <w:sz w:val="24"/>
                <w:szCs w:val="24"/>
              </w:rPr>
              <w:t>两年内环境违法次数（不含本次）</w:t>
            </w:r>
          </w:p>
        </w:tc>
        <w:tc>
          <w:tcPr>
            <w:tcW w:w="4981" w:type="dxa"/>
            <w:shd w:val="clear" w:color="000000" w:fill="FFFFFF"/>
            <w:vAlign w:val="center"/>
          </w:tcPr>
          <w:p>
            <w:pPr>
              <w:overflowPunct w:val="0"/>
              <w:topLinePunct/>
              <w:snapToGrid w:val="0"/>
              <w:jc w:val="left"/>
              <w:rPr>
                <w:rFonts w:hint="eastAsia" w:ascii="宋体" w:eastAsiaTheme="minorEastAsia"/>
                <w:kern w:val="0"/>
                <w:sz w:val="24"/>
                <w:szCs w:val="24"/>
                <w:lang w:eastAsia="zh-CN"/>
              </w:rPr>
            </w:pPr>
            <w:r>
              <w:rPr>
                <w:rFonts w:hint="eastAsia" w:ascii="宋体" w:hAnsi="宋体" w:cs="宋体"/>
                <w:kern w:val="0"/>
                <w:sz w:val="24"/>
                <w:szCs w:val="24"/>
              </w:rPr>
              <w:t>未受过</w:t>
            </w:r>
            <w:r>
              <w:rPr>
                <w:rFonts w:hint="eastAsia" w:ascii="宋体" w:hAnsi="宋体" w:cs="宋体"/>
                <w:kern w:val="0"/>
                <w:sz w:val="24"/>
                <w:szCs w:val="24"/>
                <w:lang w:eastAsia="zh-CN"/>
              </w:rPr>
              <w:t>环境行政处罚</w:t>
            </w:r>
          </w:p>
        </w:tc>
        <w:tc>
          <w:tcPr>
            <w:tcW w:w="1334" w:type="dxa"/>
            <w:vAlign w:val="center"/>
          </w:tcPr>
          <w:p>
            <w:pPr>
              <w:overflowPunct w:val="0"/>
              <w:topLinePunct/>
              <w:snapToGrid w:val="0"/>
              <w:jc w:val="center"/>
              <w:rPr>
                <w:rFonts w:ascii="宋体" w:hAnsi="宋体" w:cs="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4" w:hRule="atLeast"/>
          <w:jc w:val="center"/>
        </w:trPr>
        <w:tc>
          <w:tcPr>
            <w:tcW w:w="2405" w:type="dxa"/>
            <w:vMerge w:val="continue"/>
            <w:shd w:val="clear" w:color="auto" w:fill="auto"/>
            <w:vAlign w:val="center"/>
          </w:tcPr>
          <w:p>
            <w:pPr>
              <w:overflowPunct w:val="0"/>
              <w:topLinePunct/>
              <w:snapToGrid w:val="0"/>
              <w:jc w:val="center"/>
              <w:rPr>
                <w:rFonts w:ascii="宋体"/>
                <w:kern w:val="0"/>
                <w:sz w:val="24"/>
                <w:szCs w:val="24"/>
              </w:rPr>
            </w:pPr>
          </w:p>
        </w:tc>
        <w:tc>
          <w:tcPr>
            <w:tcW w:w="4981" w:type="dxa"/>
            <w:shd w:val="clear" w:color="000000" w:fill="FFFFFF"/>
            <w:vAlign w:val="center"/>
          </w:tcPr>
          <w:p>
            <w:pPr>
              <w:overflowPunct w:val="0"/>
              <w:topLinePunct/>
              <w:snapToGrid w:val="0"/>
              <w:jc w:val="left"/>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次</w:t>
            </w:r>
          </w:p>
        </w:tc>
        <w:tc>
          <w:tcPr>
            <w:tcW w:w="1334" w:type="dxa"/>
            <w:vAlign w:val="center"/>
          </w:tcPr>
          <w:p>
            <w:pPr>
              <w:overflowPunct w:val="0"/>
              <w:topLinePunct/>
              <w:snapToGrid w:val="0"/>
              <w:jc w:val="center"/>
              <w:rPr>
                <w:rFonts w:ascii="宋体" w:hAnsi="宋体" w:cs="宋体"/>
                <w:kern w:val="0"/>
                <w:sz w:val="24"/>
                <w:szCs w:val="24"/>
              </w:rPr>
            </w:pPr>
            <w:r>
              <w:rPr>
                <w:rFonts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4" w:hRule="atLeast"/>
          <w:jc w:val="center"/>
        </w:trPr>
        <w:tc>
          <w:tcPr>
            <w:tcW w:w="2405" w:type="dxa"/>
            <w:vMerge w:val="continue"/>
            <w:shd w:val="clear" w:color="auto" w:fill="auto"/>
            <w:vAlign w:val="center"/>
          </w:tcPr>
          <w:p>
            <w:pPr>
              <w:overflowPunct w:val="0"/>
              <w:topLinePunct/>
              <w:snapToGrid w:val="0"/>
              <w:jc w:val="center"/>
              <w:rPr>
                <w:rFonts w:ascii="宋体"/>
                <w:kern w:val="0"/>
                <w:sz w:val="24"/>
                <w:szCs w:val="24"/>
              </w:rPr>
            </w:pPr>
          </w:p>
        </w:tc>
        <w:tc>
          <w:tcPr>
            <w:tcW w:w="4981" w:type="dxa"/>
            <w:shd w:val="clear" w:color="000000" w:fill="FFFFFF"/>
            <w:vAlign w:val="center"/>
          </w:tcPr>
          <w:p>
            <w:pPr>
              <w:overflowPunct w:val="0"/>
              <w:topLinePunct/>
              <w:snapToGrid w:val="0"/>
              <w:jc w:val="left"/>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次</w:t>
            </w:r>
          </w:p>
        </w:tc>
        <w:tc>
          <w:tcPr>
            <w:tcW w:w="1334" w:type="dxa"/>
            <w:vAlign w:val="center"/>
          </w:tcPr>
          <w:p>
            <w:pPr>
              <w:overflowPunct w:val="0"/>
              <w:topLinePunct/>
              <w:snapToGrid w:val="0"/>
              <w:jc w:val="center"/>
              <w:rPr>
                <w:rFonts w:ascii="宋体" w:hAnsi="宋体" w:cs="宋体"/>
                <w:kern w:val="0"/>
                <w:sz w:val="24"/>
                <w:szCs w:val="24"/>
              </w:rPr>
            </w:pPr>
            <w:r>
              <w:rPr>
                <w:rFonts w:ascii="宋体" w:hAns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25" w:hRule="atLeast"/>
          <w:jc w:val="center"/>
        </w:trPr>
        <w:tc>
          <w:tcPr>
            <w:tcW w:w="2405" w:type="dxa"/>
            <w:vMerge w:val="continue"/>
            <w:shd w:val="clear" w:color="auto" w:fill="auto"/>
            <w:vAlign w:val="center"/>
          </w:tcPr>
          <w:p>
            <w:pPr>
              <w:overflowPunct w:val="0"/>
              <w:topLinePunct/>
              <w:snapToGrid w:val="0"/>
              <w:jc w:val="center"/>
              <w:rPr>
                <w:rFonts w:ascii="宋体"/>
                <w:kern w:val="0"/>
                <w:sz w:val="24"/>
                <w:szCs w:val="24"/>
              </w:rPr>
            </w:pPr>
          </w:p>
        </w:tc>
        <w:tc>
          <w:tcPr>
            <w:tcW w:w="4981" w:type="dxa"/>
            <w:shd w:val="clear" w:color="000000" w:fill="FFFFFF"/>
            <w:vAlign w:val="center"/>
          </w:tcPr>
          <w:p>
            <w:pPr>
              <w:overflowPunct w:val="0"/>
              <w:topLinePunct/>
              <w:snapToGrid w:val="0"/>
              <w:jc w:val="left"/>
              <w:rPr>
                <w:rFonts w:ascii="宋体"/>
                <w:kern w:val="0"/>
                <w:sz w:val="24"/>
                <w:szCs w:val="24"/>
              </w:rPr>
            </w:pPr>
            <w:r>
              <w:rPr>
                <w:rFonts w:ascii="宋体" w:hAnsi="宋体" w:cs="宋体"/>
                <w:kern w:val="0"/>
                <w:sz w:val="24"/>
                <w:szCs w:val="24"/>
              </w:rPr>
              <w:t>3</w:t>
            </w:r>
            <w:r>
              <w:rPr>
                <w:rFonts w:hint="eastAsia" w:ascii="宋体" w:hAnsi="宋体" w:cs="宋体"/>
                <w:kern w:val="0"/>
                <w:sz w:val="24"/>
                <w:szCs w:val="24"/>
              </w:rPr>
              <w:t>次</w:t>
            </w:r>
          </w:p>
        </w:tc>
        <w:tc>
          <w:tcPr>
            <w:tcW w:w="1334" w:type="dxa"/>
            <w:vAlign w:val="center"/>
          </w:tcPr>
          <w:p>
            <w:pPr>
              <w:overflowPunct w:val="0"/>
              <w:topLinePunct/>
              <w:snapToGrid w:val="0"/>
              <w:jc w:val="center"/>
              <w:rPr>
                <w:rFonts w:ascii="宋体" w:hAnsi="宋体" w:cs="宋体"/>
                <w:kern w:val="0"/>
                <w:sz w:val="24"/>
                <w:szCs w:val="24"/>
              </w:rPr>
            </w:pPr>
            <w:r>
              <w:rPr>
                <w:rFonts w:ascii="宋体" w:hAnsi="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25" w:hRule="atLeast"/>
          <w:jc w:val="center"/>
        </w:trPr>
        <w:tc>
          <w:tcPr>
            <w:tcW w:w="2405" w:type="dxa"/>
            <w:vMerge w:val="continue"/>
            <w:shd w:val="clear" w:color="auto" w:fill="auto"/>
            <w:vAlign w:val="center"/>
          </w:tcPr>
          <w:p>
            <w:pPr>
              <w:overflowPunct w:val="0"/>
              <w:topLinePunct/>
              <w:snapToGrid w:val="0"/>
              <w:jc w:val="center"/>
              <w:rPr>
                <w:rFonts w:ascii="宋体"/>
                <w:kern w:val="0"/>
                <w:sz w:val="24"/>
                <w:szCs w:val="24"/>
              </w:rPr>
            </w:pPr>
          </w:p>
        </w:tc>
        <w:tc>
          <w:tcPr>
            <w:tcW w:w="4981" w:type="dxa"/>
            <w:shd w:val="clear" w:color="000000" w:fill="FFFFFF"/>
            <w:vAlign w:val="center"/>
          </w:tcPr>
          <w:p>
            <w:pPr>
              <w:overflowPunct w:val="0"/>
              <w:topLinePunct/>
              <w:snapToGrid w:val="0"/>
              <w:jc w:val="left"/>
              <w:rPr>
                <w:rFonts w:ascii="宋体"/>
                <w:kern w:val="0"/>
                <w:sz w:val="24"/>
                <w:szCs w:val="24"/>
              </w:rPr>
            </w:pPr>
            <w:r>
              <w:rPr>
                <w:rFonts w:ascii="宋体" w:hAnsi="宋体" w:cs="宋体"/>
                <w:kern w:val="0"/>
                <w:sz w:val="24"/>
                <w:szCs w:val="24"/>
              </w:rPr>
              <w:t>3</w:t>
            </w:r>
            <w:r>
              <w:rPr>
                <w:rFonts w:hint="eastAsia" w:ascii="宋体" w:hAnsi="宋体" w:cs="宋体"/>
                <w:kern w:val="0"/>
                <w:sz w:val="24"/>
                <w:szCs w:val="24"/>
              </w:rPr>
              <w:t>次以上</w:t>
            </w:r>
          </w:p>
        </w:tc>
        <w:tc>
          <w:tcPr>
            <w:tcW w:w="1334" w:type="dxa"/>
            <w:vAlign w:val="center"/>
          </w:tcPr>
          <w:p>
            <w:pPr>
              <w:overflowPunct w:val="0"/>
              <w:topLinePunct/>
              <w:snapToGrid w:val="0"/>
              <w:jc w:val="center"/>
              <w:rPr>
                <w:rFonts w:ascii="宋体"/>
                <w:kern w:val="0"/>
                <w:sz w:val="24"/>
                <w:szCs w:val="24"/>
              </w:rPr>
            </w:pPr>
            <w:r>
              <w:rPr>
                <w:rFonts w:ascii="宋体" w:hAnsi="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50" w:hRule="atLeast"/>
          <w:jc w:val="center"/>
        </w:trPr>
        <w:tc>
          <w:tcPr>
            <w:tcW w:w="2405" w:type="dxa"/>
            <w:vMerge w:val="restart"/>
            <w:vAlign w:val="center"/>
          </w:tcPr>
          <w:p>
            <w:pPr>
              <w:overflowPunct w:val="0"/>
              <w:topLinePunct/>
              <w:snapToGrid w:val="0"/>
              <w:jc w:val="center"/>
              <w:rPr>
                <w:rFonts w:ascii="宋体"/>
                <w:kern w:val="0"/>
                <w:sz w:val="24"/>
                <w:szCs w:val="24"/>
              </w:rPr>
            </w:pPr>
            <w:r>
              <w:rPr>
                <w:rFonts w:hint="eastAsia" w:ascii="宋体" w:cs="宋体"/>
                <w:kern w:val="0"/>
                <w:sz w:val="24"/>
                <w:szCs w:val="24"/>
              </w:rPr>
              <w:t>违法行为持续时间</w:t>
            </w:r>
          </w:p>
        </w:tc>
        <w:tc>
          <w:tcPr>
            <w:tcW w:w="4981" w:type="dxa"/>
            <w:vAlign w:val="center"/>
          </w:tcPr>
          <w:p>
            <w:pPr>
              <w:overflowPunct w:val="0"/>
              <w:topLinePunct/>
              <w:snapToGrid w:val="0"/>
              <w:rPr>
                <w:rFonts w:ascii="宋体"/>
                <w:kern w:val="0"/>
                <w:sz w:val="24"/>
                <w:szCs w:val="24"/>
              </w:rPr>
            </w:pPr>
            <w:r>
              <w:rPr>
                <w:rFonts w:ascii="宋体" w:hAnsi="宋体" w:cs="宋体"/>
                <w:kern w:val="0"/>
                <w:sz w:val="24"/>
                <w:szCs w:val="24"/>
              </w:rPr>
              <w:t>5</w:t>
            </w:r>
            <w:r>
              <w:rPr>
                <w:rFonts w:hint="eastAsia" w:ascii="宋体" w:hAnsi="宋体" w:cs="宋体"/>
                <w:kern w:val="0"/>
                <w:sz w:val="24"/>
                <w:szCs w:val="24"/>
              </w:rPr>
              <w:t>天以下</w:t>
            </w:r>
          </w:p>
        </w:tc>
        <w:tc>
          <w:tcPr>
            <w:tcW w:w="1334" w:type="dxa"/>
            <w:vAlign w:val="center"/>
          </w:tcPr>
          <w:p>
            <w:pPr>
              <w:overflowPunct w:val="0"/>
              <w:topLinePunct/>
              <w:snapToGrid w:val="0"/>
              <w:jc w:val="center"/>
              <w:rPr>
                <w:rFonts w:ascii="宋体" w:hAnsi="宋体" w:cs="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50" w:hRule="atLeast"/>
          <w:jc w:val="center"/>
        </w:trPr>
        <w:tc>
          <w:tcPr>
            <w:tcW w:w="2405" w:type="dxa"/>
            <w:vMerge w:val="continue"/>
            <w:vAlign w:val="center"/>
          </w:tcPr>
          <w:p>
            <w:pPr>
              <w:overflowPunct w:val="0"/>
              <w:topLinePunct/>
              <w:snapToGrid w:val="0"/>
              <w:jc w:val="center"/>
              <w:rPr>
                <w:rFonts w:ascii="宋体"/>
                <w:kern w:val="0"/>
                <w:sz w:val="24"/>
                <w:szCs w:val="24"/>
              </w:rPr>
            </w:pPr>
          </w:p>
        </w:tc>
        <w:tc>
          <w:tcPr>
            <w:tcW w:w="4981" w:type="dxa"/>
            <w:vAlign w:val="center"/>
          </w:tcPr>
          <w:p>
            <w:pPr>
              <w:overflowPunct w:val="0"/>
              <w:topLinePunct/>
              <w:snapToGrid w:val="0"/>
              <w:rPr>
                <w:rFonts w:ascii="宋体"/>
                <w:kern w:val="0"/>
                <w:sz w:val="24"/>
                <w:szCs w:val="24"/>
              </w:rPr>
            </w:pPr>
            <w:r>
              <w:rPr>
                <w:rFonts w:ascii="宋体" w:hAnsi="宋体" w:cs="宋体"/>
                <w:kern w:val="0"/>
                <w:sz w:val="24"/>
                <w:szCs w:val="24"/>
              </w:rPr>
              <w:t>5</w:t>
            </w:r>
            <w:r>
              <w:rPr>
                <w:rFonts w:hint="eastAsia" w:ascii="宋体" w:hAnsi="宋体" w:cs="宋体"/>
                <w:kern w:val="0"/>
                <w:sz w:val="24"/>
                <w:szCs w:val="24"/>
              </w:rPr>
              <w:t>天以上</w:t>
            </w:r>
            <w:r>
              <w:rPr>
                <w:rFonts w:ascii="宋体" w:hAnsi="宋体" w:cs="宋体"/>
                <w:kern w:val="0"/>
                <w:sz w:val="24"/>
                <w:szCs w:val="24"/>
              </w:rPr>
              <w:t>10</w:t>
            </w:r>
            <w:r>
              <w:rPr>
                <w:rFonts w:hint="eastAsia" w:ascii="宋体" w:hAnsi="宋体" w:cs="宋体"/>
                <w:kern w:val="0"/>
                <w:sz w:val="24"/>
                <w:szCs w:val="24"/>
              </w:rPr>
              <w:t>天以下</w:t>
            </w:r>
          </w:p>
        </w:tc>
        <w:tc>
          <w:tcPr>
            <w:tcW w:w="1334" w:type="dxa"/>
            <w:vAlign w:val="center"/>
          </w:tcPr>
          <w:p>
            <w:pPr>
              <w:overflowPunct w:val="0"/>
              <w:topLinePunct/>
              <w:snapToGrid w:val="0"/>
              <w:jc w:val="center"/>
              <w:rPr>
                <w:rFonts w:ascii="宋体"/>
                <w:kern w:val="0"/>
                <w:sz w:val="24"/>
                <w:szCs w:val="24"/>
              </w:rPr>
            </w:pPr>
            <w:r>
              <w:rPr>
                <w:rFonts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50" w:hRule="atLeast"/>
          <w:jc w:val="center"/>
        </w:trPr>
        <w:tc>
          <w:tcPr>
            <w:tcW w:w="2405" w:type="dxa"/>
            <w:vMerge w:val="continue"/>
            <w:vAlign w:val="center"/>
          </w:tcPr>
          <w:p>
            <w:pPr>
              <w:overflowPunct w:val="0"/>
              <w:topLinePunct/>
              <w:snapToGrid w:val="0"/>
              <w:jc w:val="center"/>
              <w:rPr>
                <w:rFonts w:ascii="宋体"/>
                <w:kern w:val="0"/>
                <w:sz w:val="24"/>
                <w:szCs w:val="24"/>
              </w:rPr>
            </w:pPr>
          </w:p>
        </w:tc>
        <w:tc>
          <w:tcPr>
            <w:tcW w:w="4981" w:type="dxa"/>
            <w:vAlign w:val="center"/>
          </w:tcPr>
          <w:p>
            <w:pPr>
              <w:overflowPunct w:val="0"/>
              <w:topLinePunct/>
              <w:snapToGrid w:val="0"/>
              <w:rPr>
                <w:rFonts w:ascii="宋体"/>
                <w:kern w:val="0"/>
                <w:sz w:val="24"/>
                <w:szCs w:val="24"/>
              </w:rPr>
            </w:pPr>
            <w:r>
              <w:rPr>
                <w:rFonts w:ascii="宋体" w:hAnsi="宋体" w:cs="宋体"/>
                <w:kern w:val="0"/>
                <w:sz w:val="24"/>
                <w:szCs w:val="24"/>
              </w:rPr>
              <w:t>10</w:t>
            </w:r>
            <w:r>
              <w:rPr>
                <w:rFonts w:hint="eastAsia" w:ascii="宋体" w:hAnsi="宋体" w:cs="宋体"/>
                <w:kern w:val="0"/>
                <w:sz w:val="24"/>
                <w:szCs w:val="24"/>
              </w:rPr>
              <w:t>天以上</w:t>
            </w:r>
            <w:r>
              <w:rPr>
                <w:rFonts w:ascii="宋体" w:hAnsi="宋体" w:cs="宋体"/>
                <w:kern w:val="0"/>
                <w:sz w:val="24"/>
                <w:szCs w:val="24"/>
              </w:rPr>
              <w:t>20</w:t>
            </w:r>
            <w:r>
              <w:rPr>
                <w:rFonts w:hint="eastAsia" w:ascii="宋体" w:hAnsi="宋体" w:cs="宋体"/>
                <w:kern w:val="0"/>
                <w:sz w:val="24"/>
                <w:szCs w:val="24"/>
              </w:rPr>
              <w:t>天以下</w:t>
            </w:r>
          </w:p>
        </w:tc>
        <w:tc>
          <w:tcPr>
            <w:tcW w:w="1334" w:type="dxa"/>
            <w:vAlign w:val="center"/>
          </w:tcPr>
          <w:p>
            <w:pPr>
              <w:overflowPunct w:val="0"/>
              <w:topLinePunct/>
              <w:snapToGrid w:val="0"/>
              <w:jc w:val="center"/>
              <w:rPr>
                <w:rFonts w:ascii="宋体"/>
                <w:kern w:val="0"/>
                <w:sz w:val="24"/>
                <w:szCs w:val="24"/>
              </w:rPr>
            </w:pPr>
            <w:r>
              <w:rPr>
                <w:rFonts w:ascii="宋体" w:hAns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4" w:hRule="atLeast"/>
          <w:jc w:val="center"/>
        </w:trPr>
        <w:tc>
          <w:tcPr>
            <w:tcW w:w="2405" w:type="dxa"/>
            <w:vMerge w:val="continue"/>
            <w:vAlign w:val="center"/>
          </w:tcPr>
          <w:p>
            <w:pPr>
              <w:overflowPunct w:val="0"/>
              <w:topLinePunct/>
              <w:snapToGrid w:val="0"/>
              <w:jc w:val="center"/>
              <w:rPr>
                <w:rFonts w:ascii="宋体"/>
                <w:kern w:val="0"/>
                <w:sz w:val="24"/>
                <w:szCs w:val="24"/>
              </w:rPr>
            </w:pPr>
          </w:p>
        </w:tc>
        <w:tc>
          <w:tcPr>
            <w:tcW w:w="4981" w:type="dxa"/>
            <w:vAlign w:val="center"/>
          </w:tcPr>
          <w:p>
            <w:pPr>
              <w:overflowPunct w:val="0"/>
              <w:topLinePunct/>
              <w:snapToGrid w:val="0"/>
              <w:rPr>
                <w:rFonts w:ascii="宋体"/>
                <w:kern w:val="0"/>
                <w:sz w:val="24"/>
                <w:szCs w:val="24"/>
              </w:rPr>
            </w:pPr>
            <w:r>
              <w:rPr>
                <w:rFonts w:ascii="宋体" w:hAnsi="宋体" w:cs="宋体"/>
                <w:kern w:val="0"/>
                <w:sz w:val="24"/>
                <w:szCs w:val="24"/>
              </w:rPr>
              <w:t>20</w:t>
            </w:r>
            <w:r>
              <w:rPr>
                <w:rFonts w:hint="eastAsia" w:ascii="宋体" w:hAnsi="宋体" w:cs="宋体"/>
                <w:kern w:val="0"/>
                <w:sz w:val="24"/>
                <w:szCs w:val="24"/>
              </w:rPr>
              <w:t>天以上</w:t>
            </w:r>
            <w:r>
              <w:rPr>
                <w:rFonts w:ascii="宋体" w:hAnsi="宋体" w:cs="宋体"/>
                <w:kern w:val="0"/>
                <w:sz w:val="24"/>
                <w:szCs w:val="24"/>
              </w:rPr>
              <w:t>30</w:t>
            </w:r>
            <w:r>
              <w:rPr>
                <w:rFonts w:hint="eastAsia" w:ascii="宋体" w:hAnsi="宋体" w:cs="宋体"/>
                <w:kern w:val="0"/>
                <w:sz w:val="24"/>
                <w:szCs w:val="24"/>
              </w:rPr>
              <w:t>天以下</w:t>
            </w:r>
          </w:p>
        </w:tc>
        <w:tc>
          <w:tcPr>
            <w:tcW w:w="1334" w:type="dxa"/>
            <w:vAlign w:val="center"/>
          </w:tcPr>
          <w:p>
            <w:pPr>
              <w:overflowPunct w:val="0"/>
              <w:topLinePunct/>
              <w:snapToGrid w:val="0"/>
              <w:jc w:val="center"/>
              <w:rPr>
                <w:rFonts w:ascii="宋体"/>
                <w:kern w:val="0"/>
                <w:sz w:val="24"/>
                <w:szCs w:val="24"/>
              </w:rPr>
            </w:pPr>
            <w:r>
              <w:rPr>
                <w:rFonts w:ascii="宋体" w:hAnsi="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4" w:hRule="atLeast"/>
          <w:jc w:val="center"/>
        </w:trPr>
        <w:tc>
          <w:tcPr>
            <w:tcW w:w="2405" w:type="dxa"/>
            <w:vMerge w:val="continue"/>
            <w:vAlign w:val="center"/>
          </w:tcPr>
          <w:p>
            <w:pPr>
              <w:overflowPunct w:val="0"/>
              <w:topLinePunct/>
              <w:snapToGrid w:val="0"/>
              <w:jc w:val="center"/>
              <w:rPr>
                <w:rFonts w:ascii="宋体"/>
                <w:kern w:val="0"/>
                <w:sz w:val="24"/>
                <w:szCs w:val="24"/>
              </w:rPr>
            </w:pPr>
          </w:p>
        </w:tc>
        <w:tc>
          <w:tcPr>
            <w:tcW w:w="4981" w:type="dxa"/>
            <w:vAlign w:val="center"/>
          </w:tcPr>
          <w:p>
            <w:pPr>
              <w:overflowPunct w:val="0"/>
              <w:topLinePunct/>
              <w:snapToGrid w:val="0"/>
              <w:rPr>
                <w:rFonts w:ascii="宋体"/>
                <w:kern w:val="0"/>
                <w:sz w:val="24"/>
                <w:szCs w:val="24"/>
              </w:rPr>
            </w:pPr>
            <w:r>
              <w:rPr>
                <w:rFonts w:ascii="宋体" w:hAnsi="宋体" w:cs="宋体"/>
                <w:kern w:val="0"/>
                <w:sz w:val="24"/>
                <w:szCs w:val="24"/>
              </w:rPr>
              <w:t>30</w:t>
            </w:r>
            <w:r>
              <w:rPr>
                <w:rFonts w:hint="eastAsia" w:ascii="宋体" w:hAnsi="宋体" w:cs="宋体"/>
                <w:kern w:val="0"/>
                <w:sz w:val="24"/>
                <w:szCs w:val="24"/>
              </w:rPr>
              <w:t>天以上</w:t>
            </w:r>
          </w:p>
        </w:tc>
        <w:tc>
          <w:tcPr>
            <w:tcW w:w="1334" w:type="dxa"/>
            <w:vAlign w:val="center"/>
          </w:tcPr>
          <w:p>
            <w:pPr>
              <w:overflowPunct w:val="0"/>
              <w:topLinePunct/>
              <w:snapToGrid w:val="0"/>
              <w:jc w:val="center"/>
              <w:rPr>
                <w:rFonts w:ascii="宋体"/>
                <w:kern w:val="0"/>
                <w:sz w:val="24"/>
                <w:szCs w:val="24"/>
              </w:rPr>
            </w:pPr>
            <w:r>
              <w:rPr>
                <w:rFonts w:ascii="宋体" w:hAnsi="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90" w:hRule="atLeast"/>
          <w:jc w:val="center"/>
        </w:trPr>
        <w:tc>
          <w:tcPr>
            <w:tcW w:w="2405" w:type="dxa"/>
            <w:vMerge w:val="restart"/>
            <w:vAlign w:val="center"/>
          </w:tcPr>
          <w:p>
            <w:pPr>
              <w:overflowPunct w:val="0"/>
              <w:topLinePunct/>
              <w:snapToGrid w:val="0"/>
              <w:jc w:val="center"/>
              <w:rPr>
                <w:rFonts w:ascii="宋体"/>
                <w:kern w:val="0"/>
                <w:sz w:val="24"/>
                <w:szCs w:val="24"/>
              </w:rPr>
            </w:pPr>
            <w:r>
              <w:rPr>
                <w:rFonts w:hint="eastAsia" w:ascii="宋体" w:cs="宋体"/>
                <w:kern w:val="0"/>
                <w:sz w:val="24"/>
                <w:szCs w:val="24"/>
              </w:rPr>
              <w:t>违法行为发生地点</w:t>
            </w:r>
          </w:p>
        </w:tc>
        <w:tc>
          <w:tcPr>
            <w:tcW w:w="4981" w:type="dxa"/>
            <w:vAlign w:val="center"/>
          </w:tcPr>
          <w:p>
            <w:pPr>
              <w:overflowPunct w:val="0"/>
              <w:topLinePunct/>
              <w:snapToGrid w:val="0"/>
              <w:rPr>
                <w:rFonts w:ascii="宋体"/>
                <w:kern w:val="0"/>
                <w:sz w:val="24"/>
                <w:szCs w:val="24"/>
              </w:rPr>
            </w:pPr>
            <w:r>
              <w:rPr>
                <w:rFonts w:hint="eastAsia" w:ascii="宋体" w:hAnsi="宋体" w:cs="宋体"/>
                <w:kern w:val="0"/>
                <w:sz w:val="24"/>
                <w:szCs w:val="24"/>
              </w:rPr>
              <w:t>符合环境功能规划</w:t>
            </w:r>
          </w:p>
        </w:tc>
        <w:tc>
          <w:tcPr>
            <w:tcW w:w="1334" w:type="dxa"/>
            <w:vAlign w:val="center"/>
          </w:tcPr>
          <w:p>
            <w:pPr>
              <w:overflowPunct w:val="0"/>
              <w:topLinePunct/>
              <w:snapToGrid w:val="0"/>
              <w:jc w:val="center"/>
              <w:rPr>
                <w:rFonts w:ascii="宋体" w:hAnsi="宋体" w:cs="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90" w:hRule="atLeast"/>
          <w:jc w:val="center"/>
        </w:trPr>
        <w:tc>
          <w:tcPr>
            <w:tcW w:w="2405" w:type="dxa"/>
            <w:vMerge w:val="continue"/>
            <w:vAlign w:val="center"/>
          </w:tcPr>
          <w:p>
            <w:pPr>
              <w:overflowPunct w:val="0"/>
              <w:topLinePunct/>
              <w:snapToGrid w:val="0"/>
              <w:jc w:val="center"/>
              <w:rPr>
                <w:rFonts w:ascii="宋体"/>
                <w:kern w:val="0"/>
                <w:sz w:val="24"/>
                <w:szCs w:val="24"/>
              </w:rPr>
            </w:pPr>
          </w:p>
        </w:tc>
        <w:tc>
          <w:tcPr>
            <w:tcW w:w="4981" w:type="dxa"/>
            <w:vAlign w:val="center"/>
          </w:tcPr>
          <w:p>
            <w:pPr>
              <w:overflowPunct w:val="0"/>
              <w:topLinePunct/>
              <w:snapToGrid w:val="0"/>
              <w:rPr>
                <w:rFonts w:ascii="宋体"/>
                <w:kern w:val="0"/>
                <w:sz w:val="24"/>
                <w:szCs w:val="24"/>
              </w:rPr>
            </w:pPr>
            <w:r>
              <w:rPr>
                <w:rFonts w:hint="eastAsia" w:ascii="宋体" w:hAnsi="宋体" w:cs="宋体"/>
                <w:kern w:val="0"/>
                <w:sz w:val="24"/>
                <w:szCs w:val="24"/>
              </w:rPr>
              <w:t>不符合环境功能规划，但不在保护区</w:t>
            </w:r>
          </w:p>
        </w:tc>
        <w:tc>
          <w:tcPr>
            <w:tcW w:w="1334" w:type="dxa"/>
            <w:vAlign w:val="center"/>
          </w:tcPr>
          <w:p>
            <w:pPr>
              <w:overflowPunct w:val="0"/>
              <w:topLinePunct/>
              <w:snapToGrid w:val="0"/>
              <w:jc w:val="center"/>
              <w:rPr>
                <w:rFonts w:ascii="宋体" w:hAnsi="宋体" w:cs="宋体"/>
                <w:kern w:val="0"/>
                <w:sz w:val="24"/>
                <w:szCs w:val="24"/>
              </w:rPr>
            </w:pPr>
            <w:r>
              <w:rPr>
                <w:rFonts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90" w:hRule="atLeast"/>
          <w:jc w:val="center"/>
        </w:trPr>
        <w:tc>
          <w:tcPr>
            <w:tcW w:w="2405" w:type="dxa"/>
            <w:vMerge w:val="continue"/>
            <w:vAlign w:val="center"/>
          </w:tcPr>
          <w:p>
            <w:pPr>
              <w:overflowPunct w:val="0"/>
              <w:topLinePunct/>
              <w:snapToGrid w:val="0"/>
              <w:jc w:val="center"/>
              <w:rPr>
                <w:rFonts w:ascii="宋体"/>
                <w:kern w:val="0"/>
                <w:sz w:val="24"/>
                <w:szCs w:val="24"/>
              </w:rPr>
            </w:pPr>
          </w:p>
        </w:tc>
        <w:tc>
          <w:tcPr>
            <w:tcW w:w="4981" w:type="dxa"/>
            <w:vAlign w:val="center"/>
          </w:tcPr>
          <w:p>
            <w:pPr>
              <w:overflowPunct w:val="0"/>
              <w:topLinePunct/>
              <w:snapToGrid w:val="0"/>
              <w:rPr>
                <w:rFonts w:ascii="宋体"/>
                <w:kern w:val="0"/>
                <w:sz w:val="24"/>
                <w:szCs w:val="24"/>
              </w:rPr>
            </w:pPr>
            <w:r>
              <w:rPr>
                <w:rFonts w:hint="eastAsia" w:ascii="宋体" w:hAnsi="宋体" w:cs="宋体"/>
                <w:kern w:val="0"/>
                <w:sz w:val="24"/>
                <w:szCs w:val="24"/>
              </w:rPr>
              <w:t>位于自然保护区实验区</w:t>
            </w:r>
            <w:r>
              <w:rPr>
                <w:rFonts w:ascii="宋体" w:hAnsi="宋体" w:cs="宋体"/>
                <w:kern w:val="0"/>
                <w:sz w:val="24"/>
                <w:szCs w:val="24"/>
              </w:rPr>
              <w:t>/</w:t>
            </w:r>
            <w:r>
              <w:rPr>
                <w:rFonts w:hint="eastAsia" w:ascii="宋体" w:hAnsi="宋体" w:cs="宋体"/>
                <w:kern w:val="0"/>
                <w:sz w:val="24"/>
                <w:szCs w:val="24"/>
              </w:rPr>
              <w:t>饮用水水源准保护区</w:t>
            </w:r>
          </w:p>
        </w:tc>
        <w:tc>
          <w:tcPr>
            <w:tcW w:w="1334" w:type="dxa"/>
            <w:vAlign w:val="center"/>
          </w:tcPr>
          <w:p>
            <w:pPr>
              <w:overflowPunct w:val="0"/>
              <w:topLinePunct/>
              <w:snapToGrid w:val="0"/>
              <w:jc w:val="center"/>
              <w:rPr>
                <w:rFonts w:ascii="宋体" w:hAnsi="宋体" w:cs="宋体"/>
                <w:kern w:val="0"/>
                <w:sz w:val="24"/>
                <w:szCs w:val="24"/>
              </w:rPr>
            </w:pPr>
            <w:r>
              <w:rPr>
                <w:rFonts w:ascii="宋体" w:hAns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90" w:hRule="atLeast"/>
          <w:jc w:val="center"/>
        </w:trPr>
        <w:tc>
          <w:tcPr>
            <w:tcW w:w="2405" w:type="dxa"/>
            <w:vMerge w:val="continue"/>
            <w:vAlign w:val="center"/>
          </w:tcPr>
          <w:p>
            <w:pPr>
              <w:overflowPunct w:val="0"/>
              <w:topLinePunct/>
              <w:snapToGrid w:val="0"/>
              <w:jc w:val="center"/>
              <w:rPr>
                <w:rFonts w:ascii="宋体"/>
                <w:kern w:val="0"/>
                <w:sz w:val="24"/>
                <w:szCs w:val="24"/>
              </w:rPr>
            </w:pPr>
          </w:p>
        </w:tc>
        <w:tc>
          <w:tcPr>
            <w:tcW w:w="4981" w:type="dxa"/>
            <w:vAlign w:val="center"/>
          </w:tcPr>
          <w:p>
            <w:pPr>
              <w:overflowPunct w:val="0"/>
              <w:topLinePunct/>
              <w:snapToGrid w:val="0"/>
              <w:rPr>
                <w:rFonts w:ascii="宋体"/>
                <w:kern w:val="0"/>
                <w:sz w:val="24"/>
                <w:szCs w:val="24"/>
              </w:rPr>
            </w:pPr>
            <w:r>
              <w:rPr>
                <w:rFonts w:hint="eastAsia" w:ascii="宋体" w:hAnsi="宋体" w:cs="宋体"/>
                <w:kern w:val="0"/>
                <w:sz w:val="24"/>
                <w:szCs w:val="24"/>
              </w:rPr>
              <w:t>位于自然保护区缓冲区</w:t>
            </w:r>
            <w:r>
              <w:rPr>
                <w:rFonts w:ascii="宋体" w:hAnsi="宋体" w:cs="宋体"/>
                <w:kern w:val="0"/>
                <w:sz w:val="24"/>
                <w:szCs w:val="24"/>
              </w:rPr>
              <w:t>/</w:t>
            </w:r>
            <w:r>
              <w:rPr>
                <w:rFonts w:hint="eastAsia" w:ascii="宋体" w:hAnsi="宋体" w:cs="宋体"/>
                <w:kern w:val="0"/>
                <w:sz w:val="24"/>
                <w:szCs w:val="24"/>
              </w:rPr>
              <w:t>饮用水水源二级保护区</w:t>
            </w:r>
          </w:p>
        </w:tc>
        <w:tc>
          <w:tcPr>
            <w:tcW w:w="1334" w:type="dxa"/>
            <w:vAlign w:val="center"/>
          </w:tcPr>
          <w:p>
            <w:pPr>
              <w:overflowPunct w:val="0"/>
              <w:topLinePunct/>
              <w:snapToGrid w:val="0"/>
              <w:jc w:val="center"/>
              <w:rPr>
                <w:rFonts w:ascii="宋体" w:hAnsi="宋体" w:cs="宋体"/>
                <w:kern w:val="0"/>
                <w:sz w:val="24"/>
                <w:szCs w:val="24"/>
              </w:rPr>
            </w:pPr>
            <w:r>
              <w:rPr>
                <w:rFonts w:ascii="宋体" w:hAnsi="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90" w:hRule="atLeast"/>
          <w:jc w:val="center"/>
        </w:trPr>
        <w:tc>
          <w:tcPr>
            <w:tcW w:w="2405" w:type="dxa"/>
            <w:vMerge w:val="continue"/>
            <w:vAlign w:val="center"/>
          </w:tcPr>
          <w:p>
            <w:pPr>
              <w:overflowPunct w:val="0"/>
              <w:topLinePunct/>
              <w:snapToGrid w:val="0"/>
              <w:jc w:val="center"/>
              <w:rPr>
                <w:rFonts w:ascii="宋体"/>
                <w:kern w:val="0"/>
                <w:sz w:val="24"/>
                <w:szCs w:val="24"/>
              </w:rPr>
            </w:pPr>
          </w:p>
        </w:tc>
        <w:tc>
          <w:tcPr>
            <w:tcW w:w="4981" w:type="dxa"/>
            <w:vAlign w:val="center"/>
          </w:tcPr>
          <w:p>
            <w:pPr>
              <w:overflowPunct w:val="0"/>
              <w:topLinePunct/>
              <w:snapToGrid w:val="0"/>
              <w:rPr>
                <w:rFonts w:ascii="宋体"/>
                <w:kern w:val="0"/>
                <w:sz w:val="24"/>
                <w:szCs w:val="24"/>
              </w:rPr>
            </w:pPr>
            <w:r>
              <w:rPr>
                <w:rFonts w:hint="eastAsia" w:ascii="宋体" w:hAnsi="宋体" w:cs="宋体"/>
                <w:kern w:val="0"/>
                <w:sz w:val="24"/>
                <w:szCs w:val="24"/>
              </w:rPr>
              <w:t>位于自然保护区核心区</w:t>
            </w:r>
            <w:r>
              <w:rPr>
                <w:rFonts w:ascii="宋体" w:hAnsi="宋体" w:cs="宋体"/>
                <w:kern w:val="0"/>
                <w:sz w:val="24"/>
                <w:szCs w:val="24"/>
              </w:rPr>
              <w:t>/</w:t>
            </w:r>
            <w:r>
              <w:rPr>
                <w:rFonts w:hint="eastAsia" w:ascii="宋体" w:hAnsi="宋体" w:cs="宋体"/>
                <w:kern w:val="0"/>
                <w:sz w:val="24"/>
                <w:szCs w:val="24"/>
              </w:rPr>
              <w:t>饮用水水源一级保护区</w:t>
            </w:r>
          </w:p>
        </w:tc>
        <w:tc>
          <w:tcPr>
            <w:tcW w:w="1334" w:type="dxa"/>
            <w:vAlign w:val="center"/>
          </w:tcPr>
          <w:p>
            <w:pPr>
              <w:overflowPunct w:val="0"/>
              <w:topLinePunct/>
              <w:snapToGrid w:val="0"/>
              <w:jc w:val="center"/>
              <w:rPr>
                <w:rFonts w:ascii="宋体" w:hAnsi="宋体" w:cs="宋体"/>
                <w:kern w:val="0"/>
                <w:sz w:val="24"/>
                <w:szCs w:val="24"/>
              </w:rPr>
            </w:pPr>
            <w:r>
              <w:rPr>
                <w:rFonts w:ascii="宋体" w:hAnsi="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10" w:hRule="atLeast"/>
          <w:jc w:val="center"/>
        </w:trPr>
        <w:tc>
          <w:tcPr>
            <w:tcW w:w="2405" w:type="dxa"/>
            <w:vMerge w:val="restart"/>
            <w:vAlign w:val="center"/>
          </w:tcPr>
          <w:p>
            <w:pPr>
              <w:overflowPunct w:val="0"/>
              <w:topLinePunct/>
              <w:snapToGrid w:val="0"/>
              <w:jc w:val="center"/>
              <w:rPr>
                <w:rFonts w:ascii="宋体"/>
                <w:kern w:val="0"/>
                <w:sz w:val="24"/>
                <w:szCs w:val="24"/>
              </w:rPr>
            </w:pPr>
            <w:r>
              <w:rPr>
                <w:rFonts w:hint="eastAsia" w:ascii="宋体" w:cs="宋体"/>
                <w:kern w:val="0"/>
                <w:sz w:val="24"/>
                <w:szCs w:val="24"/>
              </w:rPr>
              <w:t>违法所得</w:t>
            </w:r>
          </w:p>
        </w:tc>
        <w:tc>
          <w:tcPr>
            <w:tcW w:w="4981" w:type="dxa"/>
            <w:vAlign w:val="center"/>
          </w:tcPr>
          <w:p>
            <w:pPr>
              <w:overflowPunct w:val="0"/>
              <w:topLinePunct/>
              <w:snapToGrid w:val="0"/>
              <w:rPr>
                <w:rFonts w:ascii="宋体"/>
                <w:kern w:val="0"/>
                <w:sz w:val="24"/>
                <w:szCs w:val="24"/>
              </w:rPr>
            </w:pPr>
            <w:r>
              <w:rPr>
                <w:rFonts w:hint="eastAsia" w:ascii="宋体" w:hAnsi="宋体" w:cs="宋体"/>
                <w:kern w:val="0"/>
                <w:sz w:val="24"/>
                <w:szCs w:val="24"/>
              </w:rPr>
              <w:t>无违法所得</w:t>
            </w:r>
          </w:p>
        </w:tc>
        <w:tc>
          <w:tcPr>
            <w:tcW w:w="1334" w:type="dxa"/>
            <w:vAlign w:val="center"/>
          </w:tcPr>
          <w:p>
            <w:pPr>
              <w:overflowPunct w:val="0"/>
              <w:topLinePunct/>
              <w:snapToGrid w:val="0"/>
              <w:jc w:val="center"/>
              <w:rPr>
                <w:rFonts w:ascii="宋体" w:hAnsi="宋体" w:cs="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10" w:hRule="atLeast"/>
          <w:jc w:val="center"/>
        </w:trPr>
        <w:tc>
          <w:tcPr>
            <w:tcW w:w="2405" w:type="dxa"/>
            <w:vMerge w:val="continue"/>
            <w:vAlign w:val="center"/>
          </w:tcPr>
          <w:p>
            <w:pPr>
              <w:overflowPunct w:val="0"/>
              <w:topLinePunct/>
              <w:snapToGrid w:val="0"/>
              <w:jc w:val="center"/>
              <w:rPr>
                <w:rFonts w:ascii="宋体"/>
                <w:kern w:val="0"/>
                <w:sz w:val="24"/>
                <w:szCs w:val="24"/>
              </w:rPr>
            </w:pPr>
          </w:p>
        </w:tc>
        <w:tc>
          <w:tcPr>
            <w:tcW w:w="4981" w:type="dxa"/>
            <w:vAlign w:val="center"/>
          </w:tcPr>
          <w:p>
            <w:pPr>
              <w:overflowPunct w:val="0"/>
              <w:topLinePunct/>
              <w:snapToGrid w:val="0"/>
              <w:rPr>
                <w:rFonts w:ascii="宋体"/>
                <w:kern w:val="0"/>
                <w:sz w:val="24"/>
                <w:szCs w:val="24"/>
              </w:rPr>
            </w:pPr>
            <w:r>
              <w:rPr>
                <w:rFonts w:hint="eastAsia" w:ascii="宋体" w:hAnsi="宋体" w:cs="宋体"/>
                <w:kern w:val="0"/>
                <w:sz w:val="24"/>
                <w:szCs w:val="24"/>
              </w:rPr>
              <w:t>违法所得</w:t>
            </w:r>
            <w:r>
              <w:rPr>
                <w:rFonts w:ascii="宋体" w:hAnsi="宋体" w:cs="宋体"/>
                <w:kern w:val="0"/>
                <w:sz w:val="24"/>
                <w:szCs w:val="24"/>
              </w:rPr>
              <w:t>10</w:t>
            </w:r>
            <w:r>
              <w:rPr>
                <w:rFonts w:hint="eastAsia" w:ascii="宋体" w:hAnsi="宋体" w:cs="宋体"/>
                <w:kern w:val="0"/>
                <w:sz w:val="24"/>
                <w:szCs w:val="24"/>
              </w:rPr>
              <w:t>万元以下</w:t>
            </w:r>
          </w:p>
        </w:tc>
        <w:tc>
          <w:tcPr>
            <w:tcW w:w="1334" w:type="dxa"/>
            <w:vAlign w:val="center"/>
          </w:tcPr>
          <w:p>
            <w:pPr>
              <w:overflowPunct w:val="0"/>
              <w:topLinePunct/>
              <w:snapToGrid w:val="0"/>
              <w:jc w:val="center"/>
              <w:rPr>
                <w:rFonts w:ascii="宋体" w:hAnsi="宋体" w:cs="宋体"/>
                <w:kern w:val="0"/>
                <w:sz w:val="24"/>
                <w:szCs w:val="24"/>
              </w:rPr>
            </w:pPr>
            <w:r>
              <w:rPr>
                <w:rFonts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05" w:hRule="atLeast"/>
          <w:jc w:val="center"/>
        </w:trPr>
        <w:tc>
          <w:tcPr>
            <w:tcW w:w="2405" w:type="dxa"/>
            <w:vMerge w:val="continue"/>
            <w:vAlign w:val="center"/>
          </w:tcPr>
          <w:p>
            <w:pPr>
              <w:overflowPunct w:val="0"/>
              <w:topLinePunct/>
              <w:snapToGrid w:val="0"/>
              <w:jc w:val="center"/>
              <w:rPr>
                <w:rFonts w:ascii="宋体"/>
                <w:kern w:val="0"/>
                <w:sz w:val="24"/>
                <w:szCs w:val="24"/>
              </w:rPr>
            </w:pPr>
          </w:p>
        </w:tc>
        <w:tc>
          <w:tcPr>
            <w:tcW w:w="4981" w:type="dxa"/>
            <w:vAlign w:val="center"/>
          </w:tcPr>
          <w:p>
            <w:pPr>
              <w:overflowPunct w:val="0"/>
              <w:topLinePunct/>
              <w:snapToGrid w:val="0"/>
              <w:rPr>
                <w:rFonts w:ascii="宋体"/>
                <w:kern w:val="0"/>
                <w:sz w:val="24"/>
                <w:szCs w:val="24"/>
              </w:rPr>
            </w:pPr>
            <w:r>
              <w:rPr>
                <w:rFonts w:hint="eastAsia" w:ascii="宋体" w:hAnsi="宋体" w:cs="宋体"/>
                <w:kern w:val="0"/>
                <w:sz w:val="24"/>
                <w:szCs w:val="24"/>
              </w:rPr>
              <w:t>违法所得</w:t>
            </w:r>
            <w:r>
              <w:rPr>
                <w:rFonts w:ascii="宋体" w:hAnsi="宋体" w:cs="宋体"/>
                <w:kern w:val="0"/>
                <w:sz w:val="24"/>
                <w:szCs w:val="24"/>
              </w:rPr>
              <w:t>10</w:t>
            </w:r>
            <w:r>
              <w:rPr>
                <w:rFonts w:hint="eastAsia" w:ascii="宋体" w:hAnsi="宋体" w:cs="宋体"/>
                <w:kern w:val="0"/>
                <w:sz w:val="24"/>
                <w:szCs w:val="24"/>
              </w:rPr>
              <w:t>万元以上</w:t>
            </w:r>
            <w:r>
              <w:rPr>
                <w:rFonts w:ascii="宋体" w:hAnsi="宋体" w:cs="宋体"/>
                <w:kern w:val="0"/>
                <w:sz w:val="24"/>
                <w:szCs w:val="24"/>
              </w:rPr>
              <w:t>20</w:t>
            </w:r>
            <w:r>
              <w:rPr>
                <w:rFonts w:hint="eastAsia" w:ascii="宋体" w:hAnsi="宋体" w:cs="宋体"/>
                <w:kern w:val="0"/>
                <w:sz w:val="24"/>
                <w:szCs w:val="24"/>
              </w:rPr>
              <w:t>万元以下</w:t>
            </w:r>
          </w:p>
        </w:tc>
        <w:tc>
          <w:tcPr>
            <w:tcW w:w="1334" w:type="dxa"/>
            <w:vAlign w:val="center"/>
          </w:tcPr>
          <w:p>
            <w:pPr>
              <w:overflowPunct w:val="0"/>
              <w:topLinePunct/>
              <w:snapToGrid w:val="0"/>
              <w:jc w:val="center"/>
              <w:rPr>
                <w:rFonts w:ascii="宋体" w:hAnsi="宋体" w:cs="宋体"/>
                <w:kern w:val="0"/>
                <w:sz w:val="24"/>
                <w:szCs w:val="24"/>
              </w:rPr>
            </w:pPr>
            <w:r>
              <w:rPr>
                <w:rFonts w:ascii="宋体" w:hAns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05" w:hRule="atLeast"/>
          <w:jc w:val="center"/>
        </w:trPr>
        <w:tc>
          <w:tcPr>
            <w:tcW w:w="2405" w:type="dxa"/>
            <w:vMerge w:val="continue"/>
            <w:vAlign w:val="center"/>
          </w:tcPr>
          <w:p>
            <w:pPr>
              <w:overflowPunct w:val="0"/>
              <w:topLinePunct/>
              <w:snapToGrid w:val="0"/>
              <w:jc w:val="center"/>
              <w:rPr>
                <w:rFonts w:ascii="宋体"/>
                <w:kern w:val="0"/>
                <w:sz w:val="24"/>
                <w:szCs w:val="24"/>
              </w:rPr>
            </w:pPr>
          </w:p>
        </w:tc>
        <w:tc>
          <w:tcPr>
            <w:tcW w:w="4981" w:type="dxa"/>
            <w:vAlign w:val="center"/>
          </w:tcPr>
          <w:p>
            <w:pPr>
              <w:overflowPunct w:val="0"/>
              <w:topLinePunct/>
              <w:snapToGrid w:val="0"/>
              <w:rPr>
                <w:rFonts w:ascii="宋体"/>
                <w:kern w:val="0"/>
                <w:sz w:val="24"/>
                <w:szCs w:val="24"/>
              </w:rPr>
            </w:pPr>
            <w:r>
              <w:rPr>
                <w:rFonts w:hint="eastAsia" w:ascii="宋体" w:hAnsi="宋体" w:cs="宋体"/>
                <w:kern w:val="0"/>
                <w:sz w:val="24"/>
                <w:szCs w:val="24"/>
              </w:rPr>
              <w:t>违法所得</w:t>
            </w:r>
            <w:r>
              <w:rPr>
                <w:rFonts w:ascii="宋体" w:hAnsi="宋体" w:cs="宋体"/>
                <w:kern w:val="0"/>
                <w:sz w:val="24"/>
                <w:szCs w:val="24"/>
              </w:rPr>
              <w:t>20</w:t>
            </w:r>
            <w:r>
              <w:rPr>
                <w:rFonts w:hint="eastAsia" w:ascii="宋体" w:hAnsi="宋体" w:cs="宋体"/>
                <w:kern w:val="0"/>
                <w:sz w:val="24"/>
                <w:szCs w:val="24"/>
              </w:rPr>
              <w:t>万元以上</w:t>
            </w:r>
            <w:r>
              <w:rPr>
                <w:rFonts w:ascii="宋体" w:hAnsi="宋体" w:cs="宋体"/>
                <w:kern w:val="0"/>
                <w:sz w:val="24"/>
                <w:szCs w:val="24"/>
              </w:rPr>
              <w:t>50</w:t>
            </w:r>
            <w:r>
              <w:rPr>
                <w:rFonts w:hint="eastAsia" w:ascii="宋体" w:hAnsi="宋体" w:cs="宋体"/>
                <w:kern w:val="0"/>
                <w:sz w:val="24"/>
                <w:szCs w:val="24"/>
              </w:rPr>
              <w:t>万元以下</w:t>
            </w:r>
          </w:p>
        </w:tc>
        <w:tc>
          <w:tcPr>
            <w:tcW w:w="1334" w:type="dxa"/>
            <w:vAlign w:val="center"/>
          </w:tcPr>
          <w:p>
            <w:pPr>
              <w:overflowPunct w:val="0"/>
              <w:topLinePunct/>
              <w:snapToGrid w:val="0"/>
              <w:jc w:val="center"/>
              <w:rPr>
                <w:rFonts w:ascii="宋体" w:hAnsi="宋体" w:cs="宋体"/>
                <w:kern w:val="0"/>
                <w:sz w:val="24"/>
                <w:szCs w:val="24"/>
              </w:rPr>
            </w:pPr>
            <w:r>
              <w:rPr>
                <w:rFonts w:ascii="宋体" w:hAnsi="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05" w:hRule="atLeast"/>
          <w:jc w:val="center"/>
        </w:trPr>
        <w:tc>
          <w:tcPr>
            <w:tcW w:w="2405" w:type="dxa"/>
            <w:vMerge w:val="continue"/>
            <w:vAlign w:val="center"/>
          </w:tcPr>
          <w:p>
            <w:pPr>
              <w:overflowPunct w:val="0"/>
              <w:topLinePunct/>
              <w:snapToGrid w:val="0"/>
              <w:jc w:val="center"/>
              <w:rPr>
                <w:rFonts w:ascii="宋体"/>
                <w:kern w:val="0"/>
                <w:sz w:val="24"/>
                <w:szCs w:val="24"/>
              </w:rPr>
            </w:pPr>
          </w:p>
        </w:tc>
        <w:tc>
          <w:tcPr>
            <w:tcW w:w="4981" w:type="dxa"/>
            <w:vAlign w:val="center"/>
          </w:tcPr>
          <w:p>
            <w:pPr>
              <w:overflowPunct w:val="0"/>
              <w:topLinePunct/>
              <w:snapToGrid w:val="0"/>
              <w:rPr>
                <w:rFonts w:ascii="宋体"/>
                <w:kern w:val="0"/>
                <w:sz w:val="24"/>
                <w:szCs w:val="24"/>
              </w:rPr>
            </w:pPr>
            <w:r>
              <w:rPr>
                <w:rFonts w:hint="eastAsia" w:ascii="宋体" w:hAnsi="宋体" w:cs="宋体"/>
                <w:kern w:val="0"/>
                <w:sz w:val="24"/>
                <w:szCs w:val="24"/>
              </w:rPr>
              <w:t>违法所得</w:t>
            </w:r>
            <w:r>
              <w:rPr>
                <w:rFonts w:ascii="宋体" w:hAnsi="宋体" w:cs="宋体"/>
                <w:kern w:val="0"/>
                <w:sz w:val="24"/>
                <w:szCs w:val="24"/>
              </w:rPr>
              <w:t>50</w:t>
            </w:r>
            <w:r>
              <w:rPr>
                <w:rFonts w:hint="eastAsia" w:ascii="宋体" w:hAnsi="宋体" w:cs="宋体"/>
                <w:kern w:val="0"/>
                <w:sz w:val="24"/>
                <w:szCs w:val="24"/>
              </w:rPr>
              <w:t>万元以上</w:t>
            </w:r>
          </w:p>
        </w:tc>
        <w:tc>
          <w:tcPr>
            <w:tcW w:w="1334" w:type="dxa"/>
            <w:vAlign w:val="center"/>
          </w:tcPr>
          <w:p>
            <w:pPr>
              <w:overflowPunct w:val="0"/>
              <w:topLinePunct/>
              <w:snapToGrid w:val="0"/>
              <w:jc w:val="center"/>
              <w:rPr>
                <w:rFonts w:ascii="宋体" w:hAnsi="宋体" w:cs="宋体"/>
                <w:kern w:val="0"/>
                <w:sz w:val="24"/>
                <w:szCs w:val="24"/>
              </w:rPr>
            </w:pPr>
            <w:r>
              <w:rPr>
                <w:rFonts w:ascii="宋体" w:hAnsi="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3" w:hRule="atLeast"/>
          <w:jc w:val="center"/>
        </w:trPr>
        <w:tc>
          <w:tcPr>
            <w:tcW w:w="2405" w:type="dxa"/>
            <w:vMerge w:val="restart"/>
            <w:vAlign w:val="center"/>
          </w:tcPr>
          <w:p>
            <w:pPr>
              <w:overflowPunct w:val="0"/>
              <w:topLinePunct/>
              <w:snapToGrid w:val="0"/>
              <w:jc w:val="center"/>
              <w:rPr>
                <w:rFonts w:ascii="宋体"/>
                <w:kern w:val="0"/>
                <w:sz w:val="24"/>
                <w:szCs w:val="24"/>
              </w:rPr>
            </w:pPr>
            <w:r>
              <w:rPr>
                <w:rFonts w:hint="eastAsia" w:ascii="宋体" w:hAnsi="宋体" w:cs="宋体"/>
                <w:sz w:val="24"/>
                <w:szCs w:val="24"/>
              </w:rPr>
              <w:t>违法行为后果</w:t>
            </w:r>
          </w:p>
        </w:tc>
        <w:tc>
          <w:tcPr>
            <w:tcW w:w="4981" w:type="dxa"/>
            <w:vAlign w:val="center"/>
          </w:tcPr>
          <w:p>
            <w:pPr>
              <w:overflowPunct w:val="0"/>
              <w:topLinePunct/>
              <w:snapToGrid w:val="0"/>
              <w:rPr>
                <w:rFonts w:ascii="宋体"/>
                <w:kern w:val="0"/>
                <w:sz w:val="24"/>
                <w:szCs w:val="24"/>
              </w:rPr>
            </w:pPr>
            <w:r>
              <w:rPr>
                <w:rFonts w:hint="eastAsia" w:ascii="宋体" w:hAnsi="宋体" w:cs="宋体"/>
                <w:sz w:val="24"/>
                <w:szCs w:val="24"/>
              </w:rPr>
              <w:t>未造成突发环境事件</w:t>
            </w:r>
          </w:p>
        </w:tc>
        <w:tc>
          <w:tcPr>
            <w:tcW w:w="1334" w:type="dxa"/>
            <w:vAlign w:val="center"/>
          </w:tcPr>
          <w:p>
            <w:pPr>
              <w:overflowPunct w:val="0"/>
              <w:topLinePunct/>
              <w:snapToGrid w:val="0"/>
              <w:jc w:val="center"/>
              <w:rPr>
                <w:rFonts w:ascii="宋体" w:hAnsi="宋体" w:cs="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3" w:hRule="atLeast"/>
          <w:jc w:val="center"/>
        </w:trPr>
        <w:tc>
          <w:tcPr>
            <w:tcW w:w="2405" w:type="dxa"/>
            <w:vMerge w:val="continue"/>
            <w:vAlign w:val="center"/>
          </w:tcPr>
          <w:p>
            <w:pPr>
              <w:overflowPunct w:val="0"/>
              <w:topLinePunct/>
              <w:snapToGrid w:val="0"/>
              <w:jc w:val="center"/>
              <w:rPr>
                <w:rFonts w:ascii="宋体"/>
                <w:kern w:val="0"/>
                <w:sz w:val="24"/>
                <w:szCs w:val="24"/>
              </w:rPr>
            </w:pPr>
          </w:p>
        </w:tc>
        <w:tc>
          <w:tcPr>
            <w:tcW w:w="4981" w:type="dxa"/>
            <w:vAlign w:val="center"/>
          </w:tcPr>
          <w:p>
            <w:pPr>
              <w:overflowPunct w:val="0"/>
              <w:topLinePunct/>
              <w:snapToGrid w:val="0"/>
              <w:rPr>
                <w:rFonts w:ascii="宋体"/>
                <w:kern w:val="0"/>
                <w:sz w:val="24"/>
                <w:szCs w:val="24"/>
              </w:rPr>
            </w:pPr>
            <w:r>
              <w:rPr>
                <w:rFonts w:hint="eastAsia" w:ascii="宋体" w:hAnsi="宋体" w:cs="宋体"/>
                <w:sz w:val="24"/>
                <w:szCs w:val="24"/>
              </w:rPr>
              <w:t>造成一般突发环境事件</w:t>
            </w:r>
          </w:p>
        </w:tc>
        <w:tc>
          <w:tcPr>
            <w:tcW w:w="1334" w:type="dxa"/>
            <w:vAlign w:val="center"/>
          </w:tcPr>
          <w:p>
            <w:pPr>
              <w:overflowPunct w:val="0"/>
              <w:topLinePunct/>
              <w:snapToGrid w:val="0"/>
              <w:jc w:val="center"/>
              <w:rPr>
                <w:rFonts w:ascii="宋体" w:hAnsi="宋体" w:cs="宋体"/>
                <w:kern w:val="0"/>
                <w:sz w:val="24"/>
                <w:szCs w:val="24"/>
              </w:rPr>
            </w:pPr>
            <w:r>
              <w:rPr>
                <w:rFonts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3" w:hRule="atLeast"/>
          <w:jc w:val="center"/>
        </w:trPr>
        <w:tc>
          <w:tcPr>
            <w:tcW w:w="2405" w:type="dxa"/>
            <w:vMerge w:val="continue"/>
            <w:vAlign w:val="center"/>
          </w:tcPr>
          <w:p>
            <w:pPr>
              <w:overflowPunct w:val="0"/>
              <w:topLinePunct/>
              <w:snapToGrid w:val="0"/>
              <w:jc w:val="center"/>
              <w:rPr>
                <w:rFonts w:ascii="宋体"/>
                <w:kern w:val="0"/>
                <w:sz w:val="24"/>
                <w:szCs w:val="24"/>
              </w:rPr>
            </w:pPr>
          </w:p>
        </w:tc>
        <w:tc>
          <w:tcPr>
            <w:tcW w:w="4981" w:type="dxa"/>
            <w:vAlign w:val="center"/>
          </w:tcPr>
          <w:p>
            <w:pPr>
              <w:overflowPunct w:val="0"/>
              <w:topLinePunct/>
              <w:snapToGrid w:val="0"/>
              <w:rPr>
                <w:rFonts w:ascii="宋体"/>
                <w:kern w:val="0"/>
                <w:sz w:val="24"/>
                <w:szCs w:val="24"/>
              </w:rPr>
            </w:pPr>
            <w:r>
              <w:rPr>
                <w:rFonts w:hint="eastAsia" w:ascii="宋体" w:hAnsi="宋体" w:cs="宋体"/>
                <w:sz w:val="24"/>
                <w:szCs w:val="24"/>
              </w:rPr>
              <w:t>造成较大突发环境事件</w:t>
            </w:r>
          </w:p>
        </w:tc>
        <w:tc>
          <w:tcPr>
            <w:tcW w:w="1334" w:type="dxa"/>
            <w:vAlign w:val="center"/>
          </w:tcPr>
          <w:p>
            <w:pPr>
              <w:overflowPunct w:val="0"/>
              <w:topLinePunct/>
              <w:snapToGrid w:val="0"/>
              <w:jc w:val="center"/>
              <w:rPr>
                <w:rFonts w:ascii="宋体" w:hAnsi="宋体" w:cs="宋体"/>
                <w:kern w:val="0"/>
                <w:sz w:val="24"/>
                <w:szCs w:val="24"/>
              </w:rPr>
            </w:pPr>
            <w:r>
              <w:rPr>
                <w:rFonts w:ascii="宋体" w:hAns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3" w:hRule="atLeast"/>
          <w:jc w:val="center"/>
        </w:trPr>
        <w:tc>
          <w:tcPr>
            <w:tcW w:w="2405" w:type="dxa"/>
            <w:vMerge w:val="continue"/>
            <w:vAlign w:val="center"/>
          </w:tcPr>
          <w:p>
            <w:pPr>
              <w:overflowPunct w:val="0"/>
              <w:topLinePunct/>
              <w:snapToGrid w:val="0"/>
              <w:jc w:val="center"/>
              <w:rPr>
                <w:rFonts w:ascii="宋体"/>
                <w:kern w:val="0"/>
                <w:sz w:val="24"/>
                <w:szCs w:val="24"/>
              </w:rPr>
            </w:pPr>
          </w:p>
        </w:tc>
        <w:tc>
          <w:tcPr>
            <w:tcW w:w="4981" w:type="dxa"/>
            <w:vAlign w:val="center"/>
          </w:tcPr>
          <w:p>
            <w:pPr>
              <w:overflowPunct w:val="0"/>
              <w:topLinePunct/>
              <w:snapToGrid w:val="0"/>
              <w:rPr>
                <w:rFonts w:ascii="宋体"/>
                <w:kern w:val="0"/>
                <w:sz w:val="24"/>
                <w:szCs w:val="24"/>
              </w:rPr>
            </w:pPr>
            <w:r>
              <w:rPr>
                <w:rFonts w:hint="eastAsia" w:ascii="宋体" w:hAnsi="宋体" w:cs="宋体"/>
                <w:sz w:val="24"/>
                <w:szCs w:val="24"/>
              </w:rPr>
              <w:t>造成重大突发环境事件</w:t>
            </w:r>
          </w:p>
        </w:tc>
        <w:tc>
          <w:tcPr>
            <w:tcW w:w="1334" w:type="dxa"/>
            <w:vAlign w:val="center"/>
          </w:tcPr>
          <w:p>
            <w:pPr>
              <w:overflowPunct w:val="0"/>
              <w:topLinePunct/>
              <w:snapToGrid w:val="0"/>
              <w:jc w:val="center"/>
              <w:rPr>
                <w:rFonts w:ascii="宋体" w:hAnsi="宋体" w:cs="宋体"/>
                <w:kern w:val="0"/>
                <w:sz w:val="24"/>
                <w:szCs w:val="24"/>
              </w:rPr>
            </w:pPr>
            <w:r>
              <w:rPr>
                <w:rFonts w:ascii="宋体" w:hAnsi="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3" w:hRule="atLeast"/>
          <w:jc w:val="center"/>
        </w:trPr>
        <w:tc>
          <w:tcPr>
            <w:tcW w:w="2405" w:type="dxa"/>
            <w:vMerge w:val="continue"/>
            <w:vAlign w:val="center"/>
          </w:tcPr>
          <w:p>
            <w:pPr>
              <w:overflowPunct w:val="0"/>
              <w:topLinePunct/>
              <w:snapToGrid w:val="0"/>
              <w:jc w:val="center"/>
              <w:rPr>
                <w:rFonts w:ascii="宋体"/>
                <w:kern w:val="0"/>
                <w:sz w:val="24"/>
                <w:szCs w:val="24"/>
              </w:rPr>
            </w:pPr>
          </w:p>
        </w:tc>
        <w:tc>
          <w:tcPr>
            <w:tcW w:w="4981" w:type="dxa"/>
            <w:vAlign w:val="center"/>
          </w:tcPr>
          <w:p>
            <w:pPr>
              <w:overflowPunct w:val="0"/>
              <w:topLinePunct/>
              <w:snapToGrid w:val="0"/>
              <w:rPr>
                <w:rFonts w:ascii="宋体"/>
                <w:kern w:val="0"/>
                <w:sz w:val="24"/>
                <w:szCs w:val="24"/>
              </w:rPr>
            </w:pPr>
            <w:r>
              <w:rPr>
                <w:rFonts w:hint="eastAsia" w:ascii="宋体" w:hAnsi="宋体" w:cs="宋体"/>
                <w:sz w:val="24"/>
                <w:szCs w:val="24"/>
              </w:rPr>
              <w:t>造成特别重大突发环境事件</w:t>
            </w:r>
          </w:p>
        </w:tc>
        <w:tc>
          <w:tcPr>
            <w:tcW w:w="1334" w:type="dxa"/>
            <w:vAlign w:val="center"/>
          </w:tcPr>
          <w:p>
            <w:pPr>
              <w:overflowPunct w:val="0"/>
              <w:topLinePunct/>
              <w:snapToGrid w:val="0"/>
              <w:jc w:val="center"/>
              <w:rPr>
                <w:rFonts w:ascii="宋体" w:hAnsi="宋体" w:cs="宋体"/>
                <w:kern w:val="0"/>
                <w:sz w:val="24"/>
                <w:szCs w:val="24"/>
              </w:rPr>
            </w:pPr>
            <w:r>
              <w:rPr>
                <w:rFonts w:ascii="宋体" w:hAnsi="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3" w:hRule="atLeast"/>
          <w:jc w:val="center"/>
        </w:trPr>
        <w:tc>
          <w:tcPr>
            <w:tcW w:w="2405" w:type="dxa"/>
            <w:vMerge w:val="restart"/>
            <w:vAlign w:val="center"/>
          </w:tcPr>
          <w:p>
            <w:pPr>
              <w:overflowPunct w:val="0"/>
              <w:topLinePunct/>
              <w:snapToGrid w:val="0"/>
              <w:jc w:val="center"/>
              <w:rPr>
                <w:rFonts w:ascii="宋体"/>
                <w:kern w:val="0"/>
                <w:sz w:val="24"/>
                <w:szCs w:val="24"/>
              </w:rPr>
            </w:pPr>
            <w:r>
              <w:rPr>
                <w:rFonts w:hint="eastAsia" w:ascii="宋体" w:cs="宋体"/>
                <w:kern w:val="0"/>
                <w:sz w:val="24"/>
                <w:szCs w:val="24"/>
              </w:rPr>
              <w:t>区域影响</w:t>
            </w:r>
          </w:p>
        </w:tc>
        <w:tc>
          <w:tcPr>
            <w:tcW w:w="4981" w:type="dxa"/>
            <w:vAlign w:val="center"/>
          </w:tcPr>
          <w:p>
            <w:pPr>
              <w:overflowPunct w:val="0"/>
              <w:topLinePunct/>
              <w:snapToGrid w:val="0"/>
              <w:rPr>
                <w:rFonts w:ascii="宋体"/>
                <w:kern w:val="0"/>
                <w:sz w:val="24"/>
                <w:szCs w:val="24"/>
              </w:rPr>
            </w:pPr>
            <w:r>
              <w:rPr>
                <w:rFonts w:hint="eastAsia" w:ascii="宋体" w:hAnsi="宋体" w:cs="宋体"/>
                <w:kern w:val="0"/>
                <w:sz w:val="24"/>
                <w:szCs w:val="24"/>
              </w:rPr>
              <w:t>县级行政区域内</w:t>
            </w:r>
          </w:p>
        </w:tc>
        <w:tc>
          <w:tcPr>
            <w:tcW w:w="1334" w:type="dxa"/>
            <w:vAlign w:val="center"/>
          </w:tcPr>
          <w:p>
            <w:pPr>
              <w:overflowPunct w:val="0"/>
              <w:topLinePunct/>
              <w:snapToGrid w:val="0"/>
              <w:jc w:val="center"/>
              <w:rPr>
                <w:rFonts w:ascii="宋体" w:hAnsi="宋体" w:cs="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3" w:hRule="atLeast"/>
          <w:jc w:val="center"/>
        </w:trPr>
        <w:tc>
          <w:tcPr>
            <w:tcW w:w="2405" w:type="dxa"/>
            <w:vMerge w:val="continue"/>
            <w:vAlign w:val="center"/>
          </w:tcPr>
          <w:p>
            <w:pPr>
              <w:overflowPunct w:val="0"/>
              <w:topLinePunct/>
              <w:snapToGrid w:val="0"/>
              <w:jc w:val="center"/>
              <w:rPr>
                <w:rFonts w:ascii="宋体"/>
                <w:kern w:val="0"/>
                <w:sz w:val="24"/>
                <w:szCs w:val="24"/>
              </w:rPr>
            </w:pPr>
          </w:p>
        </w:tc>
        <w:tc>
          <w:tcPr>
            <w:tcW w:w="4981" w:type="dxa"/>
            <w:vAlign w:val="center"/>
          </w:tcPr>
          <w:p>
            <w:pPr>
              <w:overflowPunct w:val="0"/>
              <w:topLinePunct/>
              <w:snapToGrid w:val="0"/>
              <w:rPr>
                <w:rFonts w:ascii="宋体"/>
                <w:sz w:val="24"/>
                <w:szCs w:val="24"/>
              </w:rPr>
            </w:pPr>
            <w:r>
              <w:rPr>
                <w:rFonts w:hint="eastAsia" w:ascii="宋体" w:hAnsi="宋体" w:cs="宋体"/>
                <w:kern w:val="0"/>
                <w:sz w:val="24"/>
                <w:szCs w:val="24"/>
              </w:rPr>
              <w:t>市级行政区域内</w:t>
            </w:r>
          </w:p>
        </w:tc>
        <w:tc>
          <w:tcPr>
            <w:tcW w:w="1334" w:type="dxa"/>
            <w:vAlign w:val="center"/>
          </w:tcPr>
          <w:p>
            <w:pPr>
              <w:overflowPunct w:val="0"/>
              <w:topLinePunct/>
              <w:snapToGrid w:val="0"/>
              <w:jc w:val="center"/>
              <w:rPr>
                <w:rFonts w:ascii="宋体"/>
                <w:kern w:val="0"/>
                <w:sz w:val="24"/>
                <w:szCs w:val="24"/>
              </w:rPr>
            </w:pPr>
            <w:r>
              <w:rPr>
                <w:rFonts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3" w:hRule="atLeast"/>
          <w:jc w:val="center"/>
        </w:trPr>
        <w:tc>
          <w:tcPr>
            <w:tcW w:w="2405" w:type="dxa"/>
            <w:vMerge w:val="continue"/>
            <w:vAlign w:val="center"/>
          </w:tcPr>
          <w:p>
            <w:pPr>
              <w:overflowPunct w:val="0"/>
              <w:topLinePunct/>
              <w:snapToGrid w:val="0"/>
              <w:jc w:val="center"/>
              <w:rPr>
                <w:rFonts w:ascii="宋体"/>
                <w:kern w:val="0"/>
                <w:sz w:val="24"/>
                <w:szCs w:val="24"/>
              </w:rPr>
            </w:pPr>
          </w:p>
        </w:tc>
        <w:tc>
          <w:tcPr>
            <w:tcW w:w="4981" w:type="dxa"/>
            <w:vAlign w:val="center"/>
          </w:tcPr>
          <w:p>
            <w:pPr>
              <w:overflowPunct w:val="0"/>
              <w:topLinePunct/>
              <w:snapToGrid w:val="0"/>
              <w:rPr>
                <w:rFonts w:ascii="宋体"/>
                <w:sz w:val="24"/>
                <w:szCs w:val="24"/>
              </w:rPr>
            </w:pPr>
            <w:r>
              <w:rPr>
                <w:rFonts w:hint="eastAsia" w:ascii="宋体" w:hAnsi="宋体" w:cs="宋体"/>
                <w:kern w:val="0"/>
                <w:sz w:val="24"/>
                <w:szCs w:val="24"/>
              </w:rPr>
              <w:t>跨市级行政区域</w:t>
            </w:r>
          </w:p>
        </w:tc>
        <w:tc>
          <w:tcPr>
            <w:tcW w:w="1334" w:type="dxa"/>
            <w:vAlign w:val="center"/>
          </w:tcPr>
          <w:p>
            <w:pPr>
              <w:overflowPunct w:val="0"/>
              <w:topLinePunct/>
              <w:snapToGrid w:val="0"/>
              <w:jc w:val="center"/>
              <w:rPr>
                <w:rFonts w:ascii="宋体"/>
                <w:kern w:val="0"/>
                <w:sz w:val="24"/>
                <w:szCs w:val="24"/>
              </w:rPr>
            </w:pPr>
            <w:r>
              <w:rPr>
                <w:rFonts w:ascii="宋体" w:hAns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3" w:hRule="atLeast"/>
          <w:jc w:val="center"/>
        </w:trPr>
        <w:tc>
          <w:tcPr>
            <w:tcW w:w="2405" w:type="dxa"/>
            <w:vMerge w:val="continue"/>
            <w:vAlign w:val="center"/>
          </w:tcPr>
          <w:p>
            <w:pPr>
              <w:overflowPunct w:val="0"/>
              <w:topLinePunct/>
              <w:snapToGrid w:val="0"/>
              <w:jc w:val="center"/>
              <w:rPr>
                <w:rFonts w:ascii="宋体"/>
                <w:kern w:val="0"/>
                <w:sz w:val="24"/>
                <w:szCs w:val="24"/>
              </w:rPr>
            </w:pPr>
          </w:p>
        </w:tc>
        <w:tc>
          <w:tcPr>
            <w:tcW w:w="4981" w:type="dxa"/>
            <w:vAlign w:val="center"/>
          </w:tcPr>
          <w:p>
            <w:pPr>
              <w:overflowPunct w:val="0"/>
              <w:topLinePunct/>
              <w:snapToGrid w:val="0"/>
              <w:rPr>
                <w:rFonts w:ascii="宋体"/>
                <w:sz w:val="24"/>
                <w:szCs w:val="24"/>
              </w:rPr>
            </w:pPr>
            <w:r>
              <w:rPr>
                <w:rFonts w:hint="eastAsia" w:ascii="宋体" w:hAnsi="宋体" w:cs="宋体"/>
                <w:kern w:val="0"/>
                <w:sz w:val="24"/>
                <w:szCs w:val="24"/>
              </w:rPr>
              <w:t>跨</w:t>
            </w:r>
            <w:r>
              <w:rPr>
                <w:rFonts w:ascii="宋体" w:hAnsi="宋体" w:cs="宋体"/>
                <w:kern w:val="0"/>
                <w:sz w:val="24"/>
                <w:szCs w:val="24"/>
              </w:rPr>
              <w:t>3</w:t>
            </w:r>
            <w:r>
              <w:rPr>
                <w:rFonts w:hint="eastAsia" w:ascii="宋体" w:hAnsi="宋体" w:cs="宋体"/>
                <w:kern w:val="0"/>
                <w:sz w:val="24"/>
                <w:szCs w:val="24"/>
              </w:rPr>
              <w:t>个及以上市级行政区域</w:t>
            </w:r>
          </w:p>
        </w:tc>
        <w:tc>
          <w:tcPr>
            <w:tcW w:w="1334" w:type="dxa"/>
            <w:vAlign w:val="center"/>
          </w:tcPr>
          <w:p>
            <w:pPr>
              <w:overflowPunct w:val="0"/>
              <w:topLinePunct/>
              <w:snapToGrid w:val="0"/>
              <w:jc w:val="center"/>
              <w:rPr>
                <w:rFonts w:ascii="宋体"/>
                <w:kern w:val="0"/>
                <w:sz w:val="24"/>
                <w:szCs w:val="24"/>
              </w:rPr>
            </w:pPr>
            <w:r>
              <w:rPr>
                <w:rFonts w:ascii="宋体" w:hAnsi="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3" w:hRule="atLeast"/>
          <w:jc w:val="center"/>
        </w:trPr>
        <w:tc>
          <w:tcPr>
            <w:tcW w:w="2405" w:type="dxa"/>
            <w:vMerge w:val="continue"/>
            <w:vAlign w:val="center"/>
          </w:tcPr>
          <w:p>
            <w:pPr>
              <w:overflowPunct w:val="0"/>
              <w:topLinePunct/>
              <w:snapToGrid w:val="0"/>
              <w:jc w:val="center"/>
              <w:rPr>
                <w:rFonts w:ascii="宋体"/>
                <w:kern w:val="0"/>
                <w:sz w:val="24"/>
                <w:szCs w:val="24"/>
              </w:rPr>
            </w:pPr>
          </w:p>
        </w:tc>
        <w:tc>
          <w:tcPr>
            <w:tcW w:w="4981" w:type="dxa"/>
            <w:vAlign w:val="center"/>
          </w:tcPr>
          <w:p>
            <w:pPr>
              <w:overflowPunct w:val="0"/>
              <w:topLinePunct/>
              <w:snapToGrid w:val="0"/>
              <w:rPr>
                <w:rFonts w:ascii="宋体"/>
                <w:sz w:val="24"/>
                <w:szCs w:val="24"/>
              </w:rPr>
            </w:pPr>
            <w:r>
              <w:rPr>
                <w:rFonts w:hint="eastAsia" w:ascii="宋体" w:hAnsi="宋体" w:cs="宋体"/>
                <w:kern w:val="0"/>
                <w:sz w:val="24"/>
                <w:szCs w:val="24"/>
              </w:rPr>
              <w:t>跨省级行政区域</w:t>
            </w:r>
          </w:p>
        </w:tc>
        <w:tc>
          <w:tcPr>
            <w:tcW w:w="1334" w:type="dxa"/>
            <w:vAlign w:val="center"/>
          </w:tcPr>
          <w:p>
            <w:pPr>
              <w:overflowPunct w:val="0"/>
              <w:topLinePunct/>
              <w:snapToGrid w:val="0"/>
              <w:jc w:val="center"/>
              <w:rPr>
                <w:rFonts w:ascii="宋体"/>
                <w:kern w:val="0"/>
                <w:sz w:val="24"/>
                <w:szCs w:val="24"/>
              </w:rPr>
            </w:pPr>
            <w:r>
              <w:rPr>
                <w:rFonts w:ascii="宋体" w:hAnsi="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3" w:hRule="atLeast"/>
          <w:jc w:val="center"/>
        </w:trPr>
        <w:tc>
          <w:tcPr>
            <w:tcW w:w="2405" w:type="dxa"/>
            <w:vMerge w:val="restart"/>
            <w:vAlign w:val="center"/>
          </w:tcPr>
          <w:p>
            <w:pPr>
              <w:overflowPunct w:val="0"/>
              <w:topLinePunct/>
              <w:snapToGrid w:val="0"/>
              <w:jc w:val="center"/>
              <w:rPr>
                <w:rFonts w:ascii="宋体"/>
                <w:kern w:val="0"/>
                <w:sz w:val="24"/>
                <w:szCs w:val="24"/>
              </w:rPr>
            </w:pPr>
            <w:r>
              <w:rPr>
                <w:rFonts w:hint="eastAsia" w:ascii="宋体" w:cs="宋体"/>
                <w:kern w:val="0"/>
                <w:sz w:val="24"/>
                <w:szCs w:val="24"/>
              </w:rPr>
              <w:t>社会影响</w:t>
            </w:r>
          </w:p>
        </w:tc>
        <w:tc>
          <w:tcPr>
            <w:tcW w:w="4981" w:type="dxa"/>
            <w:vAlign w:val="center"/>
          </w:tcPr>
          <w:p>
            <w:pPr>
              <w:overflowPunct w:val="0"/>
              <w:topLinePunct/>
              <w:snapToGrid w:val="0"/>
              <w:rPr>
                <w:rFonts w:ascii="宋体"/>
                <w:sz w:val="24"/>
                <w:szCs w:val="24"/>
              </w:rPr>
            </w:pPr>
            <w:r>
              <w:rPr>
                <w:rFonts w:hint="eastAsia" w:ascii="宋体" w:hAnsi="宋体" w:cs="宋体"/>
                <w:sz w:val="24"/>
                <w:szCs w:val="24"/>
              </w:rPr>
              <w:t>无媒体曝光且无有效投诉</w:t>
            </w:r>
          </w:p>
        </w:tc>
        <w:tc>
          <w:tcPr>
            <w:tcW w:w="1334" w:type="dxa"/>
            <w:vAlign w:val="center"/>
          </w:tcPr>
          <w:p>
            <w:pPr>
              <w:overflowPunct w:val="0"/>
              <w:topLinePunct/>
              <w:snapToGrid w:val="0"/>
              <w:jc w:val="center"/>
              <w:rPr>
                <w:rFonts w:ascii="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3" w:hRule="atLeast"/>
          <w:jc w:val="center"/>
        </w:trPr>
        <w:tc>
          <w:tcPr>
            <w:tcW w:w="2405" w:type="dxa"/>
            <w:vMerge w:val="continue"/>
            <w:vAlign w:val="center"/>
          </w:tcPr>
          <w:p>
            <w:pPr>
              <w:overflowPunct w:val="0"/>
              <w:topLinePunct/>
              <w:snapToGrid w:val="0"/>
              <w:jc w:val="center"/>
              <w:rPr>
                <w:rFonts w:ascii="宋体"/>
                <w:kern w:val="0"/>
                <w:sz w:val="24"/>
                <w:szCs w:val="24"/>
              </w:rPr>
            </w:pPr>
          </w:p>
        </w:tc>
        <w:tc>
          <w:tcPr>
            <w:tcW w:w="4981" w:type="dxa"/>
            <w:vAlign w:val="center"/>
          </w:tcPr>
          <w:p>
            <w:pPr>
              <w:overflowPunct w:val="0"/>
              <w:topLinePunct/>
              <w:snapToGrid w:val="0"/>
              <w:rPr>
                <w:rFonts w:ascii="宋体"/>
                <w:sz w:val="24"/>
                <w:szCs w:val="24"/>
              </w:rPr>
            </w:pPr>
            <w:r>
              <w:rPr>
                <w:rFonts w:hint="eastAsia" w:ascii="宋体" w:hAnsi="宋体" w:cs="宋体"/>
                <w:sz w:val="24"/>
                <w:szCs w:val="24"/>
              </w:rPr>
              <w:t>县级媒体曝光</w:t>
            </w:r>
            <w:r>
              <w:rPr>
                <w:rFonts w:ascii="宋体" w:hAnsi="宋体" w:cs="宋体"/>
                <w:sz w:val="24"/>
                <w:szCs w:val="24"/>
              </w:rPr>
              <w:t>/</w:t>
            </w:r>
            <w:r>
              <w:rPr>
                <w:rFonts w:hint="eastAsia" w:ascii="宋体" w:hAnsi="宋体" w:cs="宋体"/>
                <w:sz w:val="24"/>
                <w:szCs w:val="24"/>
              </w:rPr>
              <w:t>一至两次有效投诉</w:t>
            </w:r>
          </w:p>
        </w:tc>
        <w:tc>
          <w:tcPr>
            <w:tcW w:w="1334" w:type="dxa"/>
            <w:vAlign w:val="center"/>
          </w:tcPr>
          <w:p>
            <w:pPr>
              <w:overflowPunct w:val="0"/>
              <w:topLinePunct/>
              <w:snapToGrid w:val="0"/>
              <w:jc w:val="center"/>
              <w:rPr>
                <w:rFonts w:ascii="宋体"/>
                <w:kern w:val="0"/>
                <w:sz w:val="24"/>
                <w:szCs w:val="24"/>
              </w:rPr>
            </w:pPr>
            <w:r>
              <w:rPr>
                <w:rFonts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3" w:hRule="atLeast"/>
          <w:jc w:val="center"/>
        </w:trPr>
        <w:tc>
          <w:tcPr>
            <w:tcW w:w="2405" w:type="dxa"/>
            <w:vMerge w:val="continue"/>
            <w:vAlign w:val="center"/>
          </w:tcPr>
          <w:p>
            <w:pPr>
              <w:overflowPunct w:val="0"/>
              <w:topLinePunct/>
              <w:snapToGrid w:val="0"/>
              <w:jc w:val="center"/>
              <w:rPr>
                <w:rFonts w:ascii="宋体"/>
                <w:kern w:val="0"/>
                <w:sz w:val="24"/>
                <w:szCs w:val="24"/>
              </w:rPr>
            </w:pPr>
          </w:p>
        </w:tc>
        <w:tc>
          <w:tcPr>
            <w:tcW w:w="4981" w:type="dxa"/>
            <w:vAlign w:val="center"/>
          </w:tcPr>
          <w:p>
            <w:pPr>
              <w:overflowPunct w:val="0"/>
              <w:topLinePunct/>
              <w:snapToGrid w:val="0"/>
              <w:rPr>
                <w:rFonts w:ascii="宋体"/>
                <w:sz w:val="24"/>
                <w:szCs w:val="24"/>
              </w:rPr>
            </w:pPr>
            <w:r>
              <w:rPr>
                <w:rFonts w:hint="eastAsia" w:ascii="宋体" w:hAnsi="宋体" w:cs="宋体"/>
                <w:sz w:val="24"/>
                <w:szCs w:val="24"/>
              </w:rPr>
              <w:t>市级媒体曝光</w:t>
            </w:r>
            <w:r>
              <w:rPr>
                <w:rFonts w:ascii="宋体" w:hAnsi="宋体" w:cs="宋体"/>
                <w:sz w:val="24"/>
                <w:szCs w:val="24"/>
              </w:rPr>
              <w:t>/</w:t>
            </w:r>
            <w:r>
              <w:rPr>
                <w:rFonts w:hint="eastAsia" w:ascii="宋体" w:hAnsi="宋体" w:cs="宋体"/>
                <w:sz w:val="24"/>
                <w:szCs w:val="24"/>
              </w:rPr>
              <w:t>广西互联网网站曝光</w:t>
            </w:r>
            <w:r>
              <w:rPr>
                <w:rFonts w:ascii="宋体" w:hAnsi="宋体" w:cs="宋体"/>
                <w:sz w:val="24"/>
                <w:szCs w:val="24"/>
              </w:rPr>
              <w:t>/</w:t>
            </w:r>
            <w:r>
              <w:rPr>
                <w:rFonts w:hint="eastAsia" w:ascii="宋体" w:hAnsi="宋体" w:cs="宋体"/>
                <w:sz w:val="24"/>
                <w:szCs w:val="24"/>
              </w:rPr>
              <w:t>三至四次有效投诉</w:t>
            </w:r>
          </w:p>
        </w:tc>
        <w:tc>
          <w:tcPr>
            <w:tcW w:w="1334" w:type="dxa"/>
            <w:vAlign w:val="center"/>
          </w:tcPr>
          <w:p>
            <w:pPr>
              <w:overflowPunct w:val="0"/>
              <w:topLinePunct/>
              <w:snapToGrid w:val="0"/>
              <w:jc w:val="center"/>
              <w:rPr>
                <w:rFonts w:ascii="宋体"/>
                <w:kern w:val="0"/>
                <w:sz w:val="24"/>
                <w:szCs w:val="24"/>
              </w:rPr>
            </w:pPr>
            <w:r>
              <w:rPr>
                <w:rFonts w:ascii="宋体" w:hAns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3" w:hRule="atLeast"/>
          <w:jc w:val="center"/>
        </w:trPr>
        <w:tc>
          <w:tcPr>
            <w:tcW w:w="2405" w:type="dxa"/>
            <w:vMerge w:val="continue"/>
            <w:vAlign w:val="center"/>
          </w:tcPr>
          <w:p>
            <w:pPr>
              <w:overflowPunct w:val="0"/>
              <w:topLinePunct/>
              <w:snapToGrid w:val="0"/>
              <w:jc w:val="center"/>
              <w:rPr>
                <w:rFonts w:ascii="宋体"/>
                <w:kern w:val="0"/>
                <w:sz w:val="24"/>
                <w:szCs w:val="24"/>
              </w:rPr>
            </w:pPr>
          </w:p>
        </w:tc>
        <w:tc>
          <w:tcPr>
            <w:tcW w:w="4981" w:type="dxa"/>
            <w:vAlign w:val="center"/>
          </w:tcPr>
          <w:p>
            <w:pPr>
              <w:overflowPunct w:val="0"/>
              <w:topLinePunct/>
              <w:snapToGrid w:val="0"/>
              <w:rPr>
                <w:rFonts w:ascii="宋体"/>
                <w:sz w:val="24"/>
                <w:szCs w:val="24"/>
              </w:rPr>
            </w:pPr>
            <w:r>
              <w:rPr>
                <w:rFonts w:hint="eastAsia" w:ascii="宋体" w:hAnsi="宋体" w:cs="宋体"/>
                <w:sz w:val="24"/>
                <w:szCs w:val="24"/>
              </w:rPr>
              <w:t>省级媒体曝光</w:t>
            </w:r>
            <w:r>
              <w:rPr>
                <w:rFonts w:ascii="宋体" w:hAnsi="宋体" w:cs="宋体"/>
                <w:sz w:val="24"/>
                <w:szCs w:val="24"/>
              </w:rPr>
              <w:t>/</w:t>
            </w:r>
            <w:r>
              <w:rPr>
                <w:rFonts w:hint="eastAsia" w:ascii="宋体" w:hAnsi="宋体" w:cs="宋体"/>
                <w:sz w:val="24"/>
                <w:szCs w:val="24"/>
              </w:rPr>
              <w:t>全国互联网门户网站曝光</w:t>
            </w:r>
            <w:r>
              <w:rPr>
                <w:rFonts w:ascii="宋体" w:hAnsi="宋体" w:cs="宋体"/>
                <w:sz w:val="24"/>
                <w:szCs w:val="24"/>
              </w:rPr>
              <w:t>/</w:t>
            </w:r>
            <w:r>
              <w:rPr>
                <w:rFonts w:hint="eastAsia" w:ascii="宋体" w:hAnsi="宋体" w:cs="宋体"/>
                <w:sz w:val="24"/>
                <w:szCs w:val="24"/>
              </w:rPr>
              <w:t>五次有效投诉</w:t>
            </w:r>
          </w:p>
        </w:tc>
        <w:tc>
          <w:tcPr>
            <w:tcW w:w="1334" w:type="dxa"/>
            <w:vAlign w:val="center"/>
          </w:tcPr>
          <w:p>
            <w:pPr>
              <w:overflowPunct w:val="0"/>
              <w:topLinePunct/>
              <w:snapToGrid w:val="0"/>
              <w:jc w:val="center"/>
              <w:rPr>
                <w:rFonts w:ascii="宋体"/>
                <w:kern w:val="0"/>
                <w:sz w:val="24"/>
                <w:szCs w:val="24"/>
              </w:rPr>
            </w:pPr>
            <w:r>
              <w:rPr>
                <w:rFonts w:ascii="宋体" w:hAnsi="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3" w:hRule="atLeast"/>
          <w:jc w:val="center"/>
        </w:trPr>
        <w:tc>
          <w:tcPr>
            <w:tcW w:w="2405" w:type="dxa"/>
            <w:vMerge w:val="continue"/>
            <w:vAlign w:val="center"/>
          </w:tcPr>
          <w:p>
            <w:pPr>
              <w:overflowPunct w:val="0"/>
              <w:topLinePunct/>
              <w:snapToGrid w:val="0"/>
              <w:jc w:val="center"/>
              <w:rPr>
                <w:rFonts w:ascii="宋体"/>
                <w:kern w:val="0"/>
                <w:sz w:val="24"/>
                <w:szCs w:val="24"/>
              </w:rPr>
            </w:pPr>
          </w:p>
        </w:tc>
        <w:tc>
          <w:tcPr>
            <w:tcW w:w="4981" w:type="dxa"/>
            <w:vAlign w:val="center"/>
          </w:tcPr>
          <w:p>
            <w:pPr>
              <w:overflowPunct w:val="0"/>
              <w:topLinePunct/>
              <w:snapToGrid w:val="0"/>
              <w:rPr>
                <w:rFonts w:ascii="宋体"/>
                <w:sz w:val="24"/>
                <w:szCs w:val="24"/>
              </w:rPr>
            </w:pPr>
            <w:r>
              <w:rPr>
                <w:rFonts w:hint="eastAsia" w:ascii="宋体" w:hAnsi="宋体" w:cs="宋体"/>
                <w:sz w:val="24"/>
                <w:szCs w:val="24"/>
              </w:rPr>
              <w:t>中央媒体曝光</w:t>
            </w:r>
            <w:r>
              <w:rPr>
                <w:rFonts w:ascii="宋体" w:hAnsi="宋体" w:cs="宋体"/>
                <w:sz w:val="24"/>
                <w:szCs w:val="24"/>
              </w:rPr>
              <w:t>/</w:t>
            </w:r>
            <w:r>
              <w:rPr>
                <w:rFonts w:hint="eastAsia" w:ascii="宋体" w:hAnsi="宋体" w:cs="宋体"/>
                <w:sz w:val="24"/>
                <w:szCs w:val="24"/>
              </w:rPr>
              <w:t>五次以上有效投诉或者群体事件</w:t>
            </w:r>
          </w:p>
        </w:tc>
        <w:tc>
          <w:tcPr>
            <w:tcW w:w="1334" w:type="dxa"/>
            <w:vAlign w:val="center"/>
          </w:tcPr>
          <w:p>
            <w:pPr>
              <w:overflowPunct w:val="0"/>
              <w:topLinePunct/>
              <w:snapToGrid w:val="0"/>
              <w:jc w:val="center"/>
              <w:rPr>
                <w:rFonts w:ascii="宋体"/>
                <w:kern w:val="0"/>
                <w:sz w:val="24"/>
                <w:szCs w:val="24"/>
              </w:rPr>
            </w:pPr>
            <w:r>
              <w:rPr>
                <w:rFonts w:ascii="宋体" w:hAnsi="宋体" w:cs="宋体"/>
                <w:kern w:val="0"/>
                <w:sz w:val="24"/>
                <w:szCs w:val="24"/>
              </w:rPr>
              <w:t>5</w:t>
            </w:r>
          </w:p>
        </w:tc>
      </w:tr>
      <w:bookmarkEnd w:id="0"/>
      <w:bookmarkEnd w:id="15"/>
      <w:bookmarkEnd w:id="16"/>
    </w:tbl>
    <w:p>
      <w:pPr>
        <w:overflowPunct w:val="0"/>
        <w:topLinePunct/>
        <w:spacing w:line="360" w:lineRule="exact"/>
        <w:ind w:firstLine="480" w:firstLineChars="200"/>
        <w:rPr>
          <w:rFonts w:ascii="宋体"/>
          <w:kern w:val="0"/>
          <w:sz w:val="24"/>
          <w:szCs w:val="24"/>
        </w:rPr>
      </w:pPr>
      <w:bookmarkStart w:id="17" w:name="_Toc28504"/>
      <w:bookmarkStart w:id="18" w:name="_Toc1098"/>
      <w:r>
        <w:rPr>
          <w:rFonts w:hint="eastAsia" w:ascii="宋体" w:hAnsi="宋体" w:cs="宋体"/>
          <w:kern w:val="0"/>
          <w:sz w:val="24"/>
          <w:szCs w:val="24"/>
        </w:rPr>
        <w:t>注：</w:t>
      </w:r>
      <w:r>
        <w:rPr>
          <w:rFonts w:ascii="宋体" w:hAnsi="宋体" w:cs="宋体"/>
          <w:kern w:val="0"/>
          <w:sz w:val="24"/>
          <w:szCs w:val="24"/>
        </w:rPr>
        <w:t>1</w:t>
      </w:r>
      <w:r>
        <w:rPr>
          <w:rFonts w:hint="eastAsia" w:ascii="宋体" w:hAnsi="宋体" w:cs="宋体"/>
          <w:kern w:val="0"/>
          <w:sz w:val="24"/>
          <w:szCs w:val="24"/>
          <w:lang w:val="en-US" w:eastAsia="zh-CN"/>
        </w:rPr>
        <w:t>．</w:t>
      </w:r>
      <w:r>
        <w:rPr>
          <w:rFonts w:hint="eastAsia" w:ascii="宋体" w:hAnsi="宋体" w:cs="宋体"/>
          <w:kern w:val="0"/>
          <w:sz w:val="24"/>
          <w:szCs w:val="24"/>
        </w:rPr>
        <w:t>两年内是指以本次违法行为发生之日起为起点往前追溯两年；</w:t>
      </w:r>
    </w:p>
    <w:p>
      <w:pPr>
        <w:overflowPunct w:val="0"/>
        <w:topLinePunct/>
        <w:spacing w:line="360" w:lineRule="exact"/>
        <w:ind w:firstLine="480" w:firstLineChars="200"/>
        <w:rPr>
          <w:rFonts w:ascii="宋体"/>
          <w:kern w:val="0"/>
          <w:sz w:val="24"/>
          <w:szCs w:val="24"/>
        </w:rPr>
      </w:pPr>
      <w:r>
        <w:rPr>
          <w:rFonts w:ascii="宋体" w:hAnsi="宋体" w:cs="宋体"/>
          <w:kern w:val="0"/>
          <w:sz w:val="24"/>
          <w:szCs w:val="24"/>
        </w:rPr>
        <w:t>2</w:t>
      </w:r>
      <w:r>
        <w:rPr>
          <w:rFonts w:hint="eastAsia" w:ascii="宋体" w:hAnsi="宋体" w:cs="宋体"/>
          <w:kern w:val="0"/>
          <w:sz w:val="24"/>
          <w:szCs w:val="24"/>
          <w:lang w:val="en-US" w:eastAsia="zh-CN"/>
        </w:rPr>
        <w:t>．</w:t>
      </w:r>
      <w:r>
        <w:rPr>
          <w:rFonts w:hint="eastAsia" w:ascii="宋体" w:hAnsi="宋体" w:cs="宋体"/>
          <w:kern w:val="0"/>
          <w:sz w:val="24"/>
          <w:szCs w:val="24"/>
        </w:rPr>
        <w:t>环境违法次数以下达的行政处罚决定书确定，不要求为同一类或同一种违法行为；同一行政处罚决定书含多个环境违法行为的，以行为个数计算违法次数；</w:t>
      </w:r>
    </w:p>
    <w:p>
      <w:pPr>
        <w:ind w:firstLine="480" w:firstLineChars="200"/>
        <w:rPr>
          <w:rFonts w:ascii="宋体"/>
          <w:sz w:val="24"/>
          <w:szCs w:val="24"/>
        </w:rPr>
      </w:pPr>
      <w:r>
        <w:rPr>
          <w:rFonts w:ascii="宋体" w:hAnsi="宋体" w:cs="宋体"/>
          <w:kern w:val="0"/>
          <w:sz w:val="24"/>
          <w:szCs w:val="24"/>
        </w:rPr>
        <w:t>3</w:t>
      </w:r>
      <w:r>
        <w:rPr>
          <w:rFonts w:hint="eastAsia" w:ascii="宋体" w:hAnsi="宋体" w:cs="宋体"/>
          <w:kern w:val="0"/>
          <w:sz w:val="24"/>
          <w:szCs w:val="24"/>
          <w:lang w:val="en-US" w:eastAsia="zh-CN"/>
        </w:rPr>
        <w:t>．</w:t>
      </w:r>
      <w:r>
        <w:rPr>
          <w:rFonts w:hint="eastAsia" w:ascii="宋体" w:hAnsi="宋体" w:cs="宋体"/>
          <w:sz w:val="24"/>
          <w:szCs w:val="24"/>
          <w:shd w:val="clear" w:color="auto" w:fill="FFFFFF"/>
        </w:rPr>
        <w:t>违法所得，是指实施环境违法行为所得和可得的全部违法收入；</w:t>
      </w:r>
    </w:p>
    <w:p>
      <w:pPr>
        <w:ind w:firstLine="480" w:firstLineChars="200"/>
        <w:rPr>
          <w:sz w:val="24"/>
          <w:szCs w:val="24"/>
        </w:rPr>
      </w:pPr>
      <w:r>
        <w:rPr>
          <w:rFonts w:ascii="宋体" w:hAnsi="宋体" w:cs="宋体"/>
          <w:kern w:val="0"/>
          <w:sz w:val="24"/>
          <w:szCs w:val="24"/>
        </w:rPr>
        <w:t>4</w:t>
      </w:r>
      <w:r>
        <w:rPr>
          <w:rFonts w:hint="eastAsia" w:ascii="宋体" w:hAnsi="宋体" w:cs="宋体"/>
          <w:kern w:val="0"/>
          <w:sz w:val="24"/>
          <w:szCs w:val="24"/>
          <w:lang w:val="en-US" w:eastAsia="zh-CN"/>
        </w:rPr>
        <w:t>．</w:t>
      </w:r>
      <w:r>
        <w:rPr>
          <w:rFonts w:hint="eastAsia" w:ascii="宋体" w:hAnsi="宋体" w:cs="宋体"/>
          <w:kern w:val="0"/>
          <w:sz w:val="24"/>
          <w:szCs w:val="24"/>
        </w:rPr>
        <w:t>突发环境事件的分级按</w:t>
      </w:r>
      <w:r>
        <w:rPr>
          <w:rFonts w:hint="eastAsia" w:cs="宋体"/>
          <w:sz w:val="24"/>
          <w:szCs w:val="24"/>
        </w:rPr>
        <w:t>《国家突发环境事件应急预案》的规定；</w:t>
      </w:r>
    </w:p>
    <w:p>
      <w:pPr>
        <w:ind w:firstLine="480" w:firstLineChars="200"/>
        <w:rPr>
          <w:rFonts w:ascii="宋体"/>
          <w:kern w:val="0"/>
          <w:sz w:val="24"/>
          <w:szCs w:val="24"/>
        </w:rPr>
      </w:pPr>
      <w:r>
        <w:rPr>
          <w:rFonts w:ascii="宋体" w:hAnsi="宋体" w:cs="宋体"/>
          <w:kern w:val="0"/>
          <w:sz w:val="24"/>
          <w:szCs w:val="24"/>
        </w:rPr>
        <w:t>5</w:t>
      </w:r>
      <w:r>
        <w:rPr>
          <w:rFonts w:hint="eastAsia" w:ascii="宋体" w:hAnsi="宋体" w:cs="宋体"/>
          <w:kern w:val="0"/>
          <w:sz w:val="24"/>
          <w:szCs w:val="24"/>
          <w:lang w:val="en-US" w:eastAsia="zh-CN"/>
        </w:rPr>
        <w:t>．</w:t>
      </w:r>
      <w:r>
        <w:rPr>
          <w:rFonts w:hint="eastAsia" w:ascii="宋体" w:hAnsi="宋体" w:cs="宋体"/>
          <w:kern w:val="0"/>
          <w:sz w:val="24"/>
          <w:szCs w:val="24"/>
        </w:rPr>
        <w:t>有效投诉以当地生态环境主管部门的记录确定；</w:t>
      </w:r>
    </w:p>
    <w:p>
      <w:pPr>
        <w:overflowPunct w:val="0"/>
        <w:topLinePunct/>
        <w:spacing w:line="360" w:lineRule="exact"/>
        <w:ind w:firstLine="480" w:firstLineChars="200"/>
        <w:rPr>
          <w:rFonts w:ascii="宋体"/>
          <w:kern w:val="0"/>
          <w:sz w:val="24"/>
          <w:szCs w:val="24"/>
        </w:rPr>
      </w:pPr>
      <w:r>
        <w:rPr>
          <w:rFonts w:ascii="宋体" w:cs="宋体"/>
          <w:kern w:val="0"/>
          <w:sz w:val="24"/>
          <w:szCs w:val="24"/>
        </w:rPr>
        <w:t>6</w:t>
      </w:r>
      <w:r>
        <w:rPr>
          <w:rFonts w:hint="eastAsia" w:ascii="宋体" w:hAnsi="宋体" w:cs="宋体"/>
          <w:kern w:val="0"/>
          <w:sz w:val="24"/>
          <w:szCs w:val="24"/>
          <w:lang w:val="en-US" w:eastAsia="zh-CN"/>
        </w:rPr>
        <w:t>．</w:t>
      </w:r>
      <w:r>
        <w:rPr>
          <w:rFonts w:hint="eastAsia" w:ascii="宋体" w:cs="宋体"/>
          <w:kern w:val="0"/>
          <w:sz w:val="24"/>
          <w:szCs w:val="24"/>
        </w:rPr>
        <w:t>媒体，指广播、电视、报纸、杂志等传统信息传播工具及其网络载体。</w:t>
      </w:r>
    </w:p>
    <w:p>
      <w:pPr>
        <w:overflowPunct w:val="0"/>
        <w:topLinePunct/>
        <w:adjustRightInd w:val="0"/>
        <w:snapToGrid w:val="0"/>
        <w:spacing w:line="600" w:lineRule="exact"/>
        <w:ind w:firstLine="480" w:firstLineChars="200"/>
        <w:outlineLvl w:val="0"/>
        <w:rPr>
          <w:rFonts w:ascii="宋体"/>
          <w:kern w:val="0"/>
          <w:sz w:val="24"/>
          <w:szCs w:val="24"/>
        </w:rPr>
      </w:pPr>
    </w:p>
    <w:p>
      <w:pPr>
        <w:overflowPunct w:val="0"/>
        <w:topLinePunct/>
        <w:adjustRightInd w:val="0"/>
        <w:snapToGrid w:val="0"/>
        <w:spacing w:line="600" w:lineRule="exact"/>
        <w:ind w:firstLine="640" w:firstLineChars="200"/>
        <w:outlineLvl w:val="0"/>
        <w:rPr>
          <w:rFonts w:hint="eastAsia" w:ascii="黑体" w:hAnsi="黑体" w:eastAsia="黑体" w:cs="黑体"/>
          <w:kern w:val="0"/>
          <w:sz w:val="32"/>
          <w:szCs w:val="32"/>
        </w:rPr>
      </w:pPr>
      <w:r>
        <w:rPr>
          <w:rFonts w:hint="eastAsia" w:ascii="黑体" w:hAnsi="黑体" w:eastAsia="黑体" w:cs="黑体"/>
          <w:kern w:val="0"/>
          <w:sz w:val="32"/>
          <w:szCs w:val="32"/>
        </w:rPr>
        <w:t>三、违法行为修正</w:t>
      </w:r>
      <w:bookmarkEnd w:id="17"/>
      <w:bookmarkEnd w:id="18"/>
      <w:r>
        <w:rPr>
          <w:rFonts w:hint="eastAsia" w:ascii="黑体" w:hAnsi="黑体" w:eastAsia="黑体" w:cs="黑体"/>
          <w:kern w:val="0"/>
          <w:sz w:val="32"/>
          <w:szCs w:val="32"/>
        </w:rPr>
        <w:t>裁量基准</w:t>
      </w:r>
    </w:p>
    <w:p>
      <w:pPr>
        <w:overflowPunct w:val="0"/>
        <w:topLinePunct/>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下列表格用数值表示裁量因子不同的裁量等级，-2</w:t>
      </w:r>
      <w:r>
        <w:rPr>
          <w:rFonts w:hint="eastAsia" w:ascii="楷体" w:hAnsi="楷体" w:eastAsia="楷体" w:cs="楷体"/>
          <w:sz w:val="32"/>
          <w:szCs w:val="32"/>
        </w:rPr>
        <w:t>～</w:t>
      </w:r>
      <w:r>
        <w:rPr>
          <w:rFonts w:hint="eastAsia" w:ascii="仿宋" w:hAnsi="仿宋" w:eastAsia="仿宋" w:cs="仿宋"/>
          <w:sz w:val="32"/>
          <w:szCs w:val="32"/>
        </w:rPr>
        <w:t>2代表可予减轻或者加重处罚的不同情形。</w:t>
      </w:r>
    </w:p>
    <w:tbl>
      <w:tblPr>
        <w:tblStyle w:val="4"/>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2098"/>
        <w:gridCol w:w="5190"/>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97" w:hRule="atLeast"/>
          <w:tblHeader/>
          <w:jc w:val="center"/>
        </w:trPr>
        <w:tc>
          <w:tcPr>
            <w:tcW w:w="2098" w:type="dxa"/>
            <w:vAlign w:val="center"/>
          </w:tcPr>
          <w:p>
            <w:pPr>
              <w:overflowPunct w:val="0"/>
              <w:topLinePunct/>
              <w:snapToGrid w:val="0"/>
              <w:jc w:val="center"/>
              <w:rPr>
                <w:rFonts w:ascii="宋体"/>
                <w:kern w:val="0"/>
                <w:sz w:val="24"/>
                <w:szCs w:val="24"/>
              </w:rPr>
            </w:pPr>
            <w:r>
              <w:rPr>
                <w:rFonts w:hint="eastAsia" w:ascii="宋体" w:hAnsi="宋体" w:cs="宋体"/>
                <w:kern w:val="0"/>
                <w:sz w:val="24"/>
                <w:szCs w:val="24"/>
              </w:rPr>
              <w:t>修正因素</w:t>
            </w:r>
          </w:p>
        </w:tc>
        <w:tc>
          <w:tcPr>
            <w:tcW w:w="5190" w:type="dxa"/>
            <w:vAlign w:val="center"/>
          </w:tcPr>
          <w:p>
            <w:pPr>
              <w:overflowPunct w:val="0"/>
              <w:topLinePunct/>
              <w:snapToGrid w:val="0"/>
              <w:jc w:val="center"/>
              <w:rPr>
                <w:rFonts w:ascii="宋体"/>
                <w:kern w:val="0"/>
                <w:sz w:val="24"/>
                <w:szCs w:val="24"/>
              </w:rPr>
            </w:pPr>
            <w:r>
              <w:rPr>
                <w:rFonts w:hint="eastAsia" w:ascii="宋体" w:hAnsi="宋体" w:cs="宋体"/>
                <w:kern w:val="0"/>
                <w:sz w:val="24"/>
                <w:szCs w:val="24"/>
              </w:rPr>
              <w:t>裁量因子</w:t>
            </w:r>
          </w:p>
        </w:tc>
        <w:tc>
          <w:tcPr>
            <w:tcW w:w="1432" w:type="dxa"/>
            <w:vAlign w:val="center"/>
          </w:tcPr>
          <w:p>
            <w:pPr>
              <w:overflowPunct w:val="0"/>
              <w:topLinePunct/>
              <w:snapToGrid w:val="0"/>
              <w:jc w:val="center"/>
              <w:rPr>
                <w:rFonts w:ascii="宋体"/>
                <w:kern w:val="0"/>
                <w:sz w:val="24"/>
                <w:szCs w:val="24"/>
              </w:rPr>
            </w:pPr>
            <w:r>
              <w:rPr>
                <w:rFonts w:hint="eastAsia" w:ascii="宋体" w:hAnsi="宋体" w:cs="宋体"/>
                <w:kern w:val="0"/>
                <w:sz w:val="24"/>
                <w:szCs w:val="24"/>
              </w:rPr>
              <w:t>裁量等级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58" w:hRule="atLeast"/>
          <w:jc w:val="center"/>
        </w:trPr>
        <w:tc>
          <w:tcPr>
            <w:tcW w:w="2098" w:type="dxa"/>
            <w:vMerge w:val="restart"/>
            <w:vAlign w:val="center"/>
          </w:tcPr>
          <w:p>
            <w:pPr>
              <w:overflowPunct w:val="0"/>
              <w:topLinePunct/>
              <w:snapToGrid w:val="0"/>
              <w:jc w:val="center"/>
              <w:rPr>
                <w:rFonts w:ascii="宋体"/>
                <w:kern w:val="0"/>
                <w:sz w:val="24"/>
                <w:szCs w:val="24"/>
              </w:rPr>
            </w:pPr>
            <w:r>
              <w:rPr>
                <w:rFonts w:hint="eastAsia" w:ascii="宋体" w:hAnsi="宋体" w:cs="宋体"/>
                <w:kern w:val="0"/>
                <w:sz w:val="24"/>
                <w:szCs w:val="24"/>
              </w:rPr>
              <w:t>主观过错程度</w:t>
            </w:r>
          </w:p>
        </w:tc>
        <w:tc>
          <w:tcPr>
            <w:tcW w:w="5190" w:type="dxa"/>
            <w:vAlign w:val="center"/>
          </w:tcPr>
          <w:p>
            <w:pPr>
              <w:overflowPunct w:val="0"/>
              <w:topLinePunct/>
              <w:snapToGrid w:val="0"/>
              <w:jc w:val="left"/>
              <w:rPr>
                <w:rFonts w:ascii="宋体"/>
                <w:kern w:val="0"/>
                <w:sz w:val="24"/>
                <w:szCs w:val="24"/>
              </w:rPr>
            </w:pPr>
            <w:r>
              <w:rPr>
                <w:rFonts w:hint="eastAsia" w:ascii="宋体" w:hAnsi="宋体" w:cs="宋体"/>
                <w:kern w:val="0"/>
                <w:sz w:val="24"/>
                <w:szCs w:val="24"/>
              </w:rPr>
              <w:t>受他人胁迫</w:t>
            </w:r>
          </w:p>
        </w:tc>
        <w:tc>
          <w:tcPr>
            <w:tcW w:w="1432" w:type="dxa"/>
            <w:vAlign w:val="center"/>
          </w:tcPr>
          <w:p>
            <w:pPr>
              <w:overflowPunct w:val="0"/>
              <w:topLinePunct/>
              <w:snapToGrid w:val="0"/>
              <w:jc w:val="center"/>
              <w:rPr>
                <w:rFonts w:ascii="宋体"/>
                <w:kern w:val="0"/>
                <w:sz w:val="24"/>
                <w:szCs w:val="24"/>
              </w:rPr>
            </w:pPr>
            <w:r>
              <w:rPr>
                <w:rFonts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57" w:hRule="atLeast"/>
          <w:jc w:val="center"/>
        </w:trPr>
        <w:tc>
          <w:tcPr>
            <w:tcW w:w="2098" w:type="dxa"/>
            <w:vMerge w:val="continue"/>
            <w:vAlign w:val="center"/>
          </w:tcPr>
          <w:p>
            <w:pPr>
              <w:overflowPunct w:val="0"/>
              <w:topLinePunct/>
              <w:snapToGrid w:val="0"/>
              <w:jc w:val="center"/>
              <w:rPr>
                <w:rFonts w:ascii="宋体"/>
                <w:kern w:val="0"/>
                <w:sz w:val="24"/>
                <w:szCs w:val="24"/>
              </w:rPr>
            </w:pPr>
          </w:p>
        </w:tc>
        <w:tc>
          <w:tcPr>
            <w:tcW w:w="5190" w:type="dxa"/>
            <w:vAlign w:val="center"/>
          </w:tcPr>
          <w:p>
            <w:pPr>
              <w:overflowPunct w:val="0"/>
              <w:topLinePunct/>
              <w:snapToGrid w:val="0"/>
              <w:jc w:val="left"/>
              <w:rPr>
                <w:rFonts w:ascii="宋体"/>
                <w:kern w:val="0"/>
                <w:sz w:val="24"/>
                <w:szCs w:val="24"/>
              </w:rPr>
            </w:pPr>
            <w:r>
              <w:rPr>
                <w:rFonts w:hint="eastAsia" w:ascii="宋体" w:hAnsi="宋体" w:cs="宋体"/>
                <w:kern w:val="0"/>
                <w:sz w:val="24"/>
                <w:szCs w:val="24"/>
              </w:rPr>
              <w:t>一般过失</w:t>
            </w:r>
          </w:p>
        </w:tc>
        <w:tc>
          <w:tcPr>
            <w:tcW w:w="1432" w:type="dxa"/>
            <w:vAlign w:val="center"/>
          </w:tcPr>
          <w:p>
            <w:pPr>
              <w:overflowPunct w:val="0"/>
              <w:topLinePunct/>
              <w:snapToGrid w:val="0"/>
              <w:jc w:val="center"/>
              <w:rPr>
                <w:rFonts w:ascii="宋体" w:hAnsi="宋体" w:cs="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05" w:hRule="atLeast"/>
          <w:jc w:val="center"/>
        </w:trPr>
        <w:tc>
          <w:tcPr>
            <w:tcW w:w="2098" w:type="dxa"/>
            <w:vMerge w:val="continue"/>
            <w:vAlign w:val="center"/>
          </w:tcPr>
          <w:p>
            <w:pPr>
              <w:overflowPunct w:val="0"/>
              <w:topLinePunct/>
              <w:snapToGrid w:val="0"/>
              <w:jc w:val="center"/>
              <w:rPr>
                <w:rFonts w:ascii="宋体"/>
                <w:kern w:val="0"/>
                <w:sz w:val="24"/>
                <w:szCs w:val="24"/>
              </w:rPr>
            </w:pPr>
          </w:p>
        </w:tc>
        <w:tc>
          <w:tcPr>
            <w:tcW w:w="5190" w:type="dxa"/>
            <w:vAlign w:val="center"/>
          </w:tcPr>
          <w:p>
            <w:pPr>
              <w:overflowPunct w:val="0"/>
              <w:topLinePunct/>
              <w:snapToGrid w:val="0"/>
              <w:jc w:val="left"/>
              <w:rPr>
                <w:rFonts w:ascii="宋体"/>
                <w:kern w:val="0"/>
                <w:sz w:val="24"/>
                <w:szCs w:val="24"/>
              </w:rPr>
            </w:pPr>
            <w:r>
              <w:rPr>
                <w:rFonts w:hint="eastAsia" w:ascii="宋体" w:hAnsi="宋体" w:cs="宋体"/>
                <w:kern w:val="0"/>
                <w:sz w:val="24"/>
                <w:szCs w:val="24"/>
              </w:rPr>
              <w:t>重大过失</w:t>
            </w:r>
          </w:p>
        </w:tc>
        <w:tc>
          <w:tcPr>
            <w:tcW w:w="1432" w:type="dxa"/>
            <w:vAlign w:val="center"/>
          </w:tcPr>
          <w:p>
            <w:pPr>
              <w:overflowPunct w:val="0"/>
              <w:topLinePunct/>
              <w:snapToGrid w:val="0"/>
              <w:jc w:val="center"/>
              <w:rPr>
                <w:rFonts w:ascii="宋体"/>
                <w:kern w:val="0"/>
                <w:sz w:val="24"/>
                <w:szCs w:val="24"/>
              </w:rPr>
            </w:pPr>
            <w:r>
              <w:rPr>
                <w:rFonts w:ascii="宋体" w:cs="宋体"/>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05" w:hRule="atLeast"/>
          <w:jc w:val="center"/>
        </w:trPr>
        <w:tc>
          <w:tcPr>
            <w:tcW w:w="2098" w:type="dxa"/>
            <w:vMerge w:val="continue"/>
            <w:vAlign w:val="center"/>
          </w:tcPr>
          <w:p>
            <w:pPr>
              <w:overflowPunct w:val="0"/>
              <w:topLinePunct/>
              <w:snapToGrid w:val="0"/>
              <w:jc w:val="center"/>
              <w:rPr>
                <w:rFonts w:ascii="宋体"/>
                <w:kern w:val="0"/>
                <w:sz w:val="24"/>
                <w:szCs w:val="24"/>
              </w:rPr>
            </w:pPr>
          </w:p>
        </w:tc>
        <w:tc>
          <w:tcPr>
            <w:tcW w:w="5190" w:type="dxa"/>
            <w:vAlign w:val="center"/>
          </w:tcPr>
          <w:p>
            <w:pPr>
              <w:overflowPunct w:val="0"/>
              <w:topLinePunct/>
              <w:snapToGrid w:val="0"/>
              <w:jc w:val="left"/>
              <w:rPr>
                <w:rFonts w:ascii="宋体"/>
                <w:kern w:val="0"/>
                <w:sz w:val="24"/>
                <w:szCs w:val="24"/>
              </w:rPr>
            </w:pPr>
            <w:r>
              <w:rPr>
                <w:rFonts w:hint="eastAsia" w:ascii="宋体" w:hAnsi="宋体" w:cs="宋体"/>
                <w:kern w:val="0"/>
                <w:sz w:val="24"/>
                <w:szCs w:val="24"/>
              </w:rPr>
              <w:t>非预谋故意</w:t>
            </w:r>
          </w:p>
        </w:tc>
        <w:tc>
          <w:tcPr>
            <w:tcW w:w="1432" w:type="dxa"/>
            <w:vAlign w:val="center"/>
          </w:tcPr>
          <w:p>
            <w:pPr>
              <w:overflowPunct w:val="0"/>
              <w:topLinePunct/>
              <w:snapToGrid w:val="0"/>
              <w:jc w:val="center"/>
              <w:rPr>
                <w:rFonts w:ascii="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95" w:hRule="atLeast"/>
          <w:jc w:val="center"/>
        </w:trPr>
        <w:tc>
          <w:tcPr>
            <w:tcW w:w="2098" w:type="dxa"/>
            <w:vMerge w:val="continue"/>
            <w:vAlign w:val="center"/>
          </w:tcPr>
          <w:p>
            <w:pPr>
              <w:overflowPunct w:val="0"/>
              <w:topLinePunct/>
              <w:snapToGrid w:val="0"/>
              <w:jc w:val="center"/>
              <w:rPr>
                <w:rFonts w:ascii="宋体"/>
                <w:kern w:val="0"/>
                <w:sz w:val="24"/>
                <w:szCs w:val="24"/>
              </w:rPr>
            </w:pPr>
          </w:p>
        </w:tc>
        <w:tc>
          <w:tcPr>
            <w:tcW w:w="5190" w:type="dxa"/>
            <w:vAlign w:val="center"/>
          </w:tcPr>
          <w:p>
            <w:pPr>
              <w:overflowPunct w:val="0"/>
              <w:topLinePunct/>
              <w:snapToGrid w:val="0"/>
              <w:jc w:val="left"/>
              <w:rPr>
                <w:rFonts w:ascii="宋体"/>
                <w:kern w:val="0"/>
                <w:sz w:val="24"/>
                <w:szCs w:val="24"/>
              </w:rPr>
            </w:pPr>
            <w:r>
              <w:rPr>
                <w:rFonts w:hint="eastAsia" w:ascii="宋体" w:hAnsi="宋体" w:cs="宋体"/>
                <w:kern w:val="0"/>
                <w:sz w:val="24"/>
                <w:szCs w:val="24"/>
              </w:rPr>
              <w:t>预谋故意</w:t>
            </w:r>
          </w:p>
        </w:tc>
        <w:tc>
          <w:tcPr>
            <w:tcW w:w="1432" w:type="dxa"/>
            <w:vAlign w:val="center"/>
          </w:tcPr>
          <w:p>
            <w:pPr>
              <w:overflowPunct w:val="0"/>
              <w:topLinePunct/>
              <w:snapToGrid w:val="0"/>
              <w:jc w:val="center"/>
              <w:rPr>
                <w:rFonts w:ascii="宋体"/>
                <w:kern w:val="0"/>
                <w:sz w:val="24"/>
                <w:szCs w:val="24"/>
              </w:rPr>
            </w:pPr>
            <w:r>
              <w:rPr>
                <w:rFonts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95" w:hRule="atLeast"/>
          <w:jc w:val="center"/>
        </w:trPr>
        <w:tc>
          <w:tcPr>
            <w:tcW w:w="2098" w:type="dxa"/>
            <w:vMerge w:val="restart"/>
            <w:vAlign w:val="center"/>
          </w:tcPr>
          <w:p>
            <w:pPr>
              <w:overflowPunct w:val="0"/>
              <w:topLinePunct/>
              <w:snapToGrid w:val="0"/>
              <w:jc w:val="center"/>
              <w:rPr>
                <w:rFonts w:ascii="宋体"/>
                <w:kern w:val="0"/>
                <w:sz w:val="24"/>
                <w:szCs w:val="24"/>
              </w:rPr>
            </w:pPr>
            <w:r>
              <w:rPr>
                <w:rFonts w:hint="eastAsia" w:ascii="宋体" w:hAnsi="宋体" w:cs="宋体"/>
                <w:kern w:val="0"/>
                <w:sz w:val="24"/>
                <w:szCs w:val="24"/>
              </w:rPr>
              <w:t>改正态度</w:t>
            </w:r>
          </w:p>
        </w:tc>
        <w:tc>
          <w:tcPr>
            <w:tcW w:w="5190" w:type="dxa"/>
            <w:vAlign w:val="center"/>
          </w:tcPr>
          <w:p>
            <w:pPr>
              <w:overflowPunct w:val="0"/>
              <w:topLinePunct/>
              <w:snapToGrid w:val="0"/>
              <w:rPr>
                <w:rFonts w:ascii="宋体"/>
                <w:kern w:val="0"/>
                <w:sz w:val="24"/>
                <w:szCs w:val="24"/>
              </w:rPr>
            </w:pPr>
            <w:r>
              <w:rPr>
                <w:rFonts w:hint="eastAsia" w:ascii="宋体" w:hAnsi="宋体" w:cs="宋体"/>
                <w:kern w:val="0"/>
                <w:sz w:val="24"/>
                <w:szCs w:val="24"/>
              </w:rPr>
              <w:t>立即改正</w:t>
            </w:r>
          </w:p>
        </w:tc>
        <w:tc>
          <w:tcPr>
            <w:tcW w:w="1432" w:type="dxa"/>
            <w:vAlign w:val="center"/>
          </w:tcPr>
          <w:p>
            <w:pPr>
              <w:overflowPunct w:val="0"/>
              <w:topLinePunct/>
              <w:snapToGrid w:val="0"/>
              <w:jc w:val="center"/>
              <w:rPr>
                <w:rFonts w:ascii="宋体"/>
                <w:kern w:val="0"/>
                <w:sz w:val="24"/>
                <w:szCs w:val="24"/>
              </w:rPr>
            </w:pPr>
            <w:r>
              <w:rPr>
                <w:rFonts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95" w:hRule="atLeast"/>
          <w:jc w:val="center"/>
        </w:trPr>
        <w:tc>
          <w:tcPr>
            <w:tcW w:w="2098" w:type="dxa"/>
            <w:vMerge w:val="continue"/>
            <w:vAlign w:val="center"/>
          </w:tcPr>
          <w:p>
            <w:pPr>
              <w:overflowPunct w:val="0"/>
              <w:topLinePunct/>
              <w:snapToGrid w:val="0"/>
              <w:jc w:val="center"/>
              <w:rPr>
                <w:rFonts w:ascii="宋体"/>
                <w:kern w:val="0"/>
                <w:sz w:val="24"/>
                <w:szCs w:val="24"/>
              </w:rPr>
            </w:pPr>
          </w:p>
        </w:tc>
        <w:tc>
          <w:tcPr>
            <w:tcW w:w="5190" w:type="dxa"/>
            <w:vAlign w:val="center"/>
          </w:tcPr>
          <w:p>
            <w:pPr>
              <w:overflowPunct w:val="0"/>
              <w:topLinePunct/>
              <w:snapToGrid w:val="0"/>
              <w:rPr>
                <w:rFonts w:ascii="宋体"/>
                <w:kern w:val="0"/>
                <w:sz w:val="24"/>
                <w:szCs w:val="24"/>
              </w:rPr>
            </w:pPr>
            <w:r>
              <w:rPr>
                <w:rFonts w:hint="eastAsia" w:ascii="宋体" w:hAnsi="宋体" w:cs="宋体"/>
                <w:kern w:val="0"/>
                <w:sz w:val="24"/>
                <w:szCs w:val="24"/>
              </w:rPr>
              <w:t>在规定期限内改正</w:t>
            </w:r>
          </w:p>
        </w:tc>
        <w:tc>
          <w:tcPr>
            <w:tcW w:w="1432" w:type="dxa"/>
            <w:vAlign w:val="center"/>
          </w:tcPr>
          <w:p>
            <w:pPr>
              <w:overflowPunct w:val="0"/>
              <w:topLinePunct/>
              <w:snapToGrid w:val="0"/>
              <w:jc w:val="center"/>
              <w:rPr>
                <w:rFonts w:ascii="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97" w:hRule="atLeast"/>
          <w:jc w:val="center"/>
        </w:trPr>
        <w:tc>
          <w:tcPr>
            <w:tcW w:w="2098" w:type="dxa"/>
            <w:vMerge w:val="continue"/>
            <w:vAlign w:val="center"/>
          </w:tcPr>
          <w:p>
            <w:pPr>
              <w:overflowPunct w:val="0"/>
              <w:topLinePunct/>
              <w:snapToGrid w:val="0"/>
              <w:jc w:val="center"/>
              <w:rPr>
                <w:rFonts w:ascii="宋体"/>
                <w:kern w:val="0"/>
                <w:sz w:val="24"/>
                <w:szCs w:val="24"/>
              </w:rPr>
            </w:pPr>
          </w:p>
        </w:tc>
        <w:tc>
          <w:tcPr>
            <w:tcW w:w="5190" w:type="dxa"/>
            <w:vAlign w:val="center"/>
          </w:tcPr>
          <w:p>
            <w:pPr>
              <w:overflowPunct w:val="0"/>
              <w:topLinePunct/>
              <w:snapToGrid w:val="0"/>
              <w:rPr>
                <w:rFonts w:ascii="宋体"/>
                <w:kern w:val="0"/>
                <w:sz w:val="24"/>
                <w:szCs w:val="24"/>
              </w:rPr>
            </w:pPr>
            <w:r>
              <w:rPr>
                <w:rFonts w:hint="eastAsia" w:ascii="宋体" w:hAnsi="宋体" w:cs="宋体"/>
                <w:kern w:val="0"/>
                <w:sz w:val="24"/>
                <w:szCs w:val="24"/>
              </w:rPr>
              <w:t>因客观原因未在规定期限内改正</w:t>
            </w:r>
          </w:p>
        </w:tc>
        <w:tc>
          <w:tcPr>
            <w:tcW w:w="1432" w:type="dxa"/>
            <w:vAlign w:val="center"/>
          </w:tcPr>
          <w:p>
            <w:pPr>
              <w:overflowPunct w:val="0"/>
              <w:topLinePunct/>
              <w:snapToGrid w:val="0"/>
              <w:jc w:val="center"/>
              <w:rPr>
                <w:rFonts w:ascii="宋体" w:cs="宋体"/>
                <w:kern w:val="0"/>
                <w:sz w:val="24"/>
                <w:szCs w:val="24"/>
              </w:rPr>
            </w:pPr>
            <w:r>
              <w:rPr>
                <w:rFonts w:ascii="宋体" w:cs="宋体"/>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95" w:hRule="atLeast"/>
          <w:jc w:val="center"/>
        </w:trPr>
        <w:tc>
          <w:tcPr>
            <w:tcW w:w="2098" w:type="dxa"/>
            <w:vMerge w:val="continue"/>
            <w:vAlign w:val="center"/>
          </w:tcPr>
          <w:p>
            <w:pPr>
              <w:overflowPunct w:val="0"/>
              <w:topLinePunct/>
              <w:snapToGrid w:val="0"/>
              <w:jc w:val="center"/>
              <w:rPr>
                <w:rFonts w:ascii="宋体"/>
                <w:kern w:val="0"/>
                <w:sz w:val="24"/>
                <w:szCs w:val="24"/>
              </w:rPr>
            </w:pPr>
          </w:p>
        </w:tc>
        <w:tc>
          <w:tcPr>
            <w:tcW w:w="5190" w:type="dxa"/>
            <w:vAlign w:val="center"/>
          </w:tcPr>
          <w:p>
            <w:pPr>
              <w:overflowPunct w:val="0"/>
              <w:topLinePunct/>
              <w:snapToGrid w:val="0"/>
              <w:rPr>
                <w:rFonts w:ascii="宋体"/>
                <w:kern w:val="0"/>
                <w:sz w:val="24"/>
                <w:szCs w:val="24"/>
              </w:rPr>
            </w:pPr>
            <w:r>
              <w:rPr>
                <w:rFonts w:hint="eastAsia" w:ascii="宋体" w:hAnsi="宋体" w:cs="宋体"/>
                <w:kern w:val="0"/>
                <w:sz w:val="24"/>
                <w:szCs w:val="24"/>
              </w:rPr>
              <w:t>故意拖延</w:t>
            </w:r>
          </w:p>
        </w:tc>
        <w:tc>
          <w:tcPr>
            <w:tcW w:w="1432" w:type="dxa"/>
            <w:vAlign w:val="center"/>
          </w:tcPr>
          <w:p>
            <w:pPr>
              <w:overflowPunct w:val="0"/>
              <w:topLinePunct/>
              <w:snapToGrid w:val="0"/>
              <w:jc w:val="center"/>
              <w:rPr>
                <w:rFonts w:ascii="宋体" w:hAnsi="宋体" w:cs="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95" w:hRule="atLeast"/>
          <w:jc w:val="center"/>
        </w:trPr>
        <w:tc>
          <w:tcPr>
            <w:tcW w:w="2098" w:type="dxa"/>
            <w:vMerge w:val="continue"/>
            <w:vAlign w:val="center"/>
          </w:tcPr>
          <w:p>
            <w:pPr>
              <w:overflowPunct w:val="0"/>
              <w:topLinePunct/>
              <w:snapToGrid w:val="0"/>
              <w:jc w:val="center"/>
              <w:rPr>
                <w:rFonts w:ascii="宋体"/>
                <w:kern w:val="0"/>
                <w:sz w:val="24"/>
                <w:szCs w:val="24"/>
              </w:rPr>
            </w:pPr>
          </w:p>
        </w:tc>
        <w:tc>
          <w:tcPr>
            <w:tcW w:w="5190" w:type="dxa"/>
            <w:vAlign w:val="center"/>
          </w:tcPr>
          <w:p>
            <w:pPr>
              <w:overflowPunct w:val="0"/>
              <w:topLinePunct/>
              <w:snapToGrid w:val="0"/>
              <w:rPr>
                <w:rFonts w:ascii="宋体"/>
                <w:kern w:val="0"/>
                <w:sz w:val="24"/>
                <w:szCs w:val="24"/>
              </w:rPr>
            </w:pPr>
            <w:r>
              <w:rPr>
                <w:rFonts w:hint="eastAsia" w:ascii="宋体" w:hAnsi="宋体" w:cs="宋体"/>
                <w:kern w:val="0"/>
                <w:sz w:val="24"/>
                <w:szCs w:val="24"/>
              </w:rPr>
              <w:t>拒不改正</w:t>
            </w:r>
          </w:p>
        </w:tc>
        <w:tc>
          <w:tcPr>
            <w:tcW w:w="1432" w:type="dxa"/>
            <w:vAlign w:val="center"/>
          </w:tcPr>
          <w:p>
            <w:pPr>
              <w:overflowPunct w:val="0"/>
              <w:topLinePunct/>
              <w:snapToGrid w:val="0"/>
              <w:jc w:val="center"/>
              <w:rPr>
                <w:rFonts w:ascii="宋体"/>
                <w:kern w:val="0"/>
                <w:sz w:val="24"/>
                <w:szCs w:val="24"/>
              </w:rPr>
            </w:pPr>
            <w:r>
              <w:rPr>
                <w:rFonts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8" w:hRule="atLeast"/>
          <w:jc w:val="center"/>
        </w:trPr>
        <w:tc>
          <w:tcPr>
            <w:tcW w:w="2098" w:type="dxa"/>
            <w:vMerge w:val="restart"/>
            <w:vAlign w:val="center"/>
          </w:tcPr>
          <w:p>
            <w:pPr>
              <w:overflowPunct w:val="0"/>
              <w:topLinePunct/>
              <w:snapToGrid w:val="0"/>
              <w:jc w:val="center"/>
              <w:rPr>
                <w:rFonts w:ascii="宋体"/>
                <w:kern w:val="0"/>
                <w:sz w:val="24"/>
                <w:szCs w:val="24"/>
              </w:rPr>
            </w:pPr>
            <w:r>
              <w:rPr>
                <w:rFonts w:hint="eastAsia" w:ascii="宋体" w:cs="宋体"/>
                <w:kern w:val="0"/>
                <w:sz w:val="24"/>
                <w:szCs w:val="24"/>
              </w:rPr>
              <w:t>补救措施</w:t>
            </w:r>
          </w:p>
        </w:tc>
        <w:tc>
          <w:tcPr>
            <w:tcW w:w="5190" w:type="dxa"/>
            <w:vAlign w:val="center"/>
          </w:tcPr>
          <w:p>
            <w:pPr>
              <w:overflowPunct w:val="0"/>
              <w:topLinePunct/>
              <w:snapToGrid w:val="0"/>
              <w:rPr>
                <w:rFonts w:ascii="宋体"/>
                <w:kern w:val="0"/>
                <w:sz w:val="24"/>
                <w:szCs w:val="24"/>
              </w:rPr>
            </w:pPr>
            <w:r>
              <w:rPr>
                <w:rFonts w:hint="eastAsia" w:ascii="宋体" w:hAnsi="宋体" w:cs="宋体"/>
                <w:kern w:val="0"/>
                <w:sz w:val="24"/>
                <w:szCs w:val="24"/>
              </w:rPr>
              <w:t>积极采取补救措施；恢复原状，消除环境影响</w:t>
            </w:r>
          </w:p>
        </w:tc>
        <w:tc>
          <w:tcPr>
            <w:tcW w:w="1432" w:type="dxa"/>
            <w:vAlign w:val="center"/>
          </w:tcPr>
          <w:p>
            <w:pPr>
              <w:overflowPunct w:val="0"/>
              <w:topLinePunct/>
              <w:snapToGrid w:val="0"/>
              <w:jc w:val="center"/>
              <w:rPr>
                <w:rFonts w:ascii="宋体"/>
                <w:kern w:val="0"/>
                <w:sz w:val="24"/>
                <w:szCs w:val="24"/>
              </w:rPr>
            </w:pPr>
            <w:r>
              <w:rPr>
                <w:rFonts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8" w:hRule="atLeast"/>
          <w:jc w:val="center"/>
        </w:trPr>
        <w:tc>
          <w:tcPr>
            <w:tcW w:w="2098" w:type="dxa"/>
            <w:vMerge w:val="continue"/>
            <w:vAlign w:val="center"/>
          </w:tcPr>
          <w:p>
            <w:pPr>
              <w:overflowPunct w:val="0"/>
              <w:topLinePunct/>
              <w:snapToGrid w:val="0"/>
              <w:jc w:val="center"/>
              <w:rPr>
                <w:rFonts w:ascii="宋体"/>
                <w:kern w:val="0"/>
                <w:sz w:val="24"/>
                <w:szCs w:val="24"/>
              </w:rPr>
            </w:pPr>
          </w:p>
        </w:tc>
        <w:tc>
          <w:tcPr>
            <w:tcW w:w="5190" w:type="dxa"/>
            <w:vAlign w:val="center"/>
          </w:tcPr>
          <w:p>
            <w:pPr>
              <w:overflowPunct w:val="0"/>
              <w:topLinePunct/>
              <w:snapToGrid w:val="0"/>
              <w:rPr>
                <w:rFonts w:ascii="宋体"/>
                <w:kern w:val="0"/>
                <w:sz w:val="24"/>
                <w:szCs w:val="24"/>
              </w:rPr>
            </w:pPr>
            <w:r>
              <w:rPr>
                <w:rFonts w:hint="eastAsia" w:ascii="宋体" w:hAnsi="宋体" w:cs="宋体"/>
                <w:kern w:val="0"/>
                <w:sz w:val="24"/>
                <w:szCs w:val="24"/>
              </w:rPr>
              <w:t>采取补救措施，恢复原状，环境影响部分消除</w:t>
            </w:r>
          </w:p>
        </w:tc>
        <w:tc>
          <w:tcPr>
            <w:tcW w:w="1432" w:type="dxa"/>
            <w:vAlign w:val="center"/>
          </w:tcPr>
          <w:p>
            <w:pPr>
              <w:overflowPunct w:val="0"/>
              <w:topLinePunct/>
              <w:snapToGrid w:val="0"/>
              <w:jc w:val="center"/>
              <w:rPr>
                <w:rFonts w:ascii="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8" w:hRule="atLeast"/>
          <w:jc w:val="center"/>
        </w:trPr>
        <w:tc>
          <w:tcPr>
            <w:tcW w:w="2098" w:type="dxa"/>
            <w:vMerge w:val="continue"/>
            <w:vAlign w:val="center"/>
          </w:tcPr>
          <w:p>
            <w:pPr>
              <w:overflowPunct w:val="0"/>
              <w:topLinePunct/>
              <w:snapToGrid w:val="0"/>
              <w:jc w:val="center"/>
              <w:rPr>
                <w:rFonts w:ascii="宋体"/>
                <w:kern w:val="0"/>
                <w:sz w:val="24"/>
                <w:szCs w:val="24"/>
              </w:rPr>
            </w:pPr>
          </w:p>
        </w:tc>
        <w:tc>
          <w:tcPr>
            <w:tcW w:w="5190" w:type="dxa"/>
            <w:vAlign w:val="center"/>
          </w:tcPr>
          <w:p>
            <w:pPr>
              <w:overflowPunct w:val="0"/>
              <w:topLinePunct/>
              <w:snapToGrid w:val="0"/>
              <w:rPr>
                <w:rFonts w:ascii="宋体"/>
                <w:kern w:val="0"/>
                <w:sz w:val="24"/>
                <w:szCs w:val="24"/>
              </w:rPr>
            </w:pPr>
            <w:r>
              <w:rPr>
                <w:rFonts w:hint="eastAsia" w:ascii="宋体" w:hAnsi="宋体" w:cs="宋体"/>
                <w:kern w:val="0"/>
                <w:sz w:val="24"/>
                <w:szCs w:val="24"/>
              </w:rPr>
              <w:t>采取补救措施，环境影响未消除</w:t>
            </w:r>
          </w:p>
        </w:tc>
        <w:tc>
          <w:tcPr>
            <w:tcW w:w="1432" w:type="dxa"/>
            <w:vAlign w:val="center"/>
          </w:tcPr>
          <w:p>
            <w:pPr>
              <w:overflowPunct w:val="0"/>
              <w:topLinePunct/>
              <w:snapToGrid w:val="0"/>
              <w:jc w:val="center"/>
              <w:rPr>
                <w:rFonts w:ascii="宋体"/>
                <w:kern w:val="0"/>
                <w:sz w:val="24"/>
                <w:szCs w:val="24"/>
              </w:rPr>
            </w:pPr>
            <w:r>
              <w:rPr>
                <w:rFonts w:ascii="宋体" w:cs="宋体"/>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8" w:hRule="atLeast"/>
          <w:jc w:val="center"/>
        </w:trPr>
        <w:tc>
          <w:tcPr>
            <w:tcW w:w="2098" w:type="dxa"/>
            <w:vMerge w:val="continue"/>
            <w:vAlign w:val="center"/>
          </w:tcPr>
          <w:p>
            <w:pPr>
              <w:overflowPunct w:val="0"/>
              <w:topLinePunct/>
              <w:snapToGrid w:val="0"/>
              <w:jc w:val="center"/>
              <w:rPr>
                <w:rFonts w:ascii="宋体"/>
                <w:kern w:val="0"/>
                <w:sz w:val="24"/>
                <w:szCs w:val="24"/>
              </w:rPr>
            </w:pPr>
          </w:p>
        </w:tc>
        <w:tc>
          <w:tcPr>
            <w:tcW w:w="5190" w:type="dxa"/>
            <w:vAlign w:val="center"/>
          </w:tcPr>
          <w:p>
            <w:pPr>
              <w:overflowPunct w:val="0"/>
              <w:topLinePunct/>
              <w:snapToGrid w:val="0"/>
              <w:rPr>
                <w:rFonts w:ascii="宋体"/>
                <w:kern w:val="0"/>
                <w:sz w:val="24"/>
                <w:szCs w:val="24"/>
              </w:rPr>
            </w:pPr>
            <w:r>
              <w:rPr>
                <w:rFonts w:hint="eastAsia" w:ascii="宋体" w:hAnsi="宋体" w:cs="宋体"/>
                <w:kern w:val="0"/>
                <w:sz w:val="24"/>
                <w:szCs w:val="24"/>
              </w:rPr>
              <w:t>未采取补救措施，环境影响未扩大</w:t>
            </w:r>
          </w:p>
        </w:tc>
        <w:tc>
          <w:tcPr>
            <w:tcW w:w="1432" w:type="dxa"/>
            <w:vAlign w:val="center"/>
          </w:tcPr>
          <w:p>
            <w:pPr>
              <w:overflowPunct w:val="0"/>
              <w:topLinePunct/>
              <w:snapToGrid w:val="0"/>
              <w:jc w:val="center"/>
              <w:rPr>
                <w:rFonts w:ascii="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8" w:hRule="atLeast"/>
          <w:jc w:val="center"/>
        </w:trPr>
        <w:tc>
          <w:tcPr>
            <w:tcW w:w="2098" w:type="dxa"/>
            <w:vMerge w:val="continue"/>
            <w:vAlign w:val="center"/>
          </w:tcPr>
          <w:p>
            <w:pPr>
              <w:overflowPunct w:val="0"/>
              <w:topLinePunct/>
              <w:snapToGrid w:val="0"/>
              <w:jc w:val="center"/>
              <w:rPr>
                <w:rFonts w:ascii="宋体"/>
                <w:kern w:val="0"/>
                <w:sz w:val="24"/>
                <w:szCs w:val="24"/>
              </w:rPr>
            </w:pPr>
          </w:p>
        </w:tc>
        <w:tc>
          <w:tcPr>
            <w:tcW w:w="5190" w:type="dxa"/>
            <w:vAlign w:val="center"/>
          </w:tcPr>
          <w:p>
            <w:pPr>
              <w:overflowPunct w:val="0"/>
              <w:topLinePunct/>
              <w:snapToGrid w:val="0"/>
              <w:rPr>
                <w:rFonts w:ascii="宋体"/>
                <w:kern w:val="0"/>
                <w:sz w:val="24"/>
                <w:szCs w:val="24"/>
              </w:rPr>
            </w:pPr>
            <w:r>
              <w:rPr>
                <w:rFonts w:hint="eastAsia" w:ascii="宋体" w:hAnsi="宋体" w:cs="宋体"/>
                <w:kern w:val="0"/>
                <w:sz w:val="24"/>
                <w:szCs w:val="24"/>
              </w:rPr>
              <w:t>未采取补救措施，环境影响扩大</w:t>
            </w:r>
          </w:p>
        </w:tc>
        <w:tc>
          <w:tcPr>
            <w:tcW w:w="1432" w:type="dxa"/>
            <w:vAlign w:val="center"/>
          </w:tcPr>
          <w:p>
            <w:pPr>
              <w:overflowPunct w:val="0"/>
              <w:topLinePunct/>
              <w:snapToGrid w:val="0"/>
              <w:jc w:val="center"/>
              <w:rPr>
                <w:rFonts w:ascii="宋体"/>
                <w:kern w:val="0"/>
                <w:sz w:val="24"/>
                <w:szCs w:val="24"/>
              </w:rPr>
            </w:pPr>
            <w:r>
              <w:rPr>
                <w:rFonts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58" w:hRule="atLeast"/>
          <w:jc w:val="center"/>
        </w:trPr>
        <w:tc>
          <w:tcPr>
            <w:tcW w:w="2098" w:type="dxa"/>
            <w:vMerge w:val="restart"/>
            <w:vAlign w:val="center"/>
          </w:tcPr>
          <w:p>
            <w:pPr>
              <w:overflowPunct w:val="0"/>
              <w:topLinePunct/>
              <w:snapToGrid w:val="0"/>
              <w:jc w:val="center"/>
              <w:rPr>
                <w:rFonts w:ascii="宋体"/>
                <w:kern w:val="0"/>
                <w:sz w:val="24"/>
                <w:szCs w:val="24"/>
              </w:rPr>
            </w:pPr>
            <w:r>
              <w:rPr>
                <w:rFonts w:hint="eastAsia" w:ascii="宋体" w:hAnsi="宋体" w:cs="宋体"/>
                <w:kern w:val="0"/>
                <w:sz w:val="24"/>
                <w:szCs w:val="24"/>
              </w:rPr>
              <w:t>配合调查情况</w:t>
            </w:r>
          </w:p>
        </w:tc>
        <w:tc>
          <w:tcPr>
            <w:tcW w:w="5190" w:type="dxa"/>
            <w:vAlign w:val="center"/>
          </w:tcPr>
          <w:p>
            <w:pPr>
              <w:overflowPunct w:val="0"/>
              <w:topLinePunct/>
              <w:snapToGrid w:val="0"/>
              <w:rPr>
                <w:rFonts w:ascii="宋体"/>
                <w:kern w:val="0"/>
                <w:sz w:val="24"/>
                <w:szCs w:val="24"/>
              </w:rPr>
            </w:pPr>
            <w:r>
              <w:rPr>
                <w:rFonts w:hint="eastAsia" w:ascii="宋体" w:hAnsi="宋体" w:cs="宋体"/>
                <w:kern w:val="0"/>
                <w:sz w:val="24"/>
                <w:szCs w:val="24"/>
              </w:rPr>
              <w:t>积极配合调查</w:t>
            </w:r>
          </w:p>
        </w:tc>
        <w:tc>
          <w:tcPr>
            <w:tcW w:w="1432" w:type="dxa"/>
            <w:vAlign w:val="center"/>
          </w:tcPr>
          <w:p>
            <w:pPr>
              <w:overflowPunct w:val="0"/>
              <w:topLinePunct/>
              <w:snapToGrid w:val="0"/>
              <w:jc w:val="center"/>
              <w:rPr>
                <w:rFonts w:ascii="宋体"/>
                <w:kern w:val="0"/>
                <w:sz w:val="24"/>
                <w:szCs w:val="24"/>
              </w:rPr>
            </w:pPr>
            <w:r>
              <w:rPr>
                <w:rFonts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57" w:hRule="atLeast"/>
          <w:jc w:val="center"/>
        </w:trPr>
        <w:tc>
          <w:tcPr>
            <w:tcW w:w="2098" w:type="dxa"/>
            <w:vMerge w:val="continue"/>
            <w:vAlign w:val="center"/>
          </w:tcPr>
          <w:p>
            <w:pPr>
              <w:overflowPunct w:val="0"/>
              <w:topLinePunct/>
              <w:snapToGrid w:val="0"/>
              <w:jc w:val="center"/>
              <w:rPr>
                <w:rFonts w:ascii="宋体"/>
                <w:kern w:val="0"/>
                <w:sz w:val="24"/>
                <w:szCs w:val="24"/>
              </w:rPr>
            </w:pPr>
          </w:p>
        </w:tc>
        <w:tc>
          <w:tcPr>
            <w:tcW w:w="5190" w:type="dxa"/>
            <w:vAlign w:val="center"/>
          </w:tcPr>
          <w:p>
            <w:pPr>
              <w:overflowPunct w:val="0"/>
              <w:topLinePunct/>
              <w:snapToGrid w:val="0"/>
              <w:rPr>
                <w:rFonts w:ascii="宋体"/>
                <w:kern w:val="0"/>
                <w:sz w:val="24"/>
                <w:szCs w:val="24"/>
              </w:rPr>
            </w:pPr>
            <w:r>
              <w:rPr>
                <w:rFonts w:hint="eastAsia" w:ascii="宋体" w:hAnsi="宋体" w:cs="宋体"/>
                <w:kern w:val="0"/>
                <w:sz w:val="24"/>
                <w:szCs w:val="24"/>
              </w:rPr>
              <w:t>基本配合调查</w:t>
            </w:r>
          </w:p>
        </w:tc>
        <w:tc>
          <w:tcPr>
            <w:tcW w:w="1432" w:type="dxa"/>
            <w:vAlign w:val="center"/>
          </w:tcPr>
          <w:p>
            <w:pPr>
              <w:overflowPunct w:val="0"/>
              <w:topLinePunct/>
              <w:snapToGrid w:val="0"/>
              <w:jc w:val="center"/>
              <w:rPr>
                <w:rFonts w:ascii="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30" w:hRule="atLeast"/>
          <w:jc w:val="center"/>
        </w:trPr>
        <w:tc>
          <w:tcPr>
            <w:tcW w:w="2098" w:type="dxa"/>
            <w:vMerge w:val="continue"/>
            <w:vAlign w:val="center"/>
          </w:tcPr>
          <w:p>
            <w:pPr>
              <w:overflowPunct w:val="0"/>
              <w:topLinePunct/>
              <w:snapToGrid w:val="0"/>
              <w:jc w:val="center"/>
              <w:rPr>
                <w:rFonts w:ascii="宋体"/>
                <w:kern w:val="0"/>
                <w:sz w:val="24"/>
                <w:szCs w:val="24"/>
              </w:rPr>
            </w:pPr>
          </w:p>
        </w:tc>
        <w:tc>
          <w:tcPr>
            <w:tcW w:w="5190" w:type="dxa"/>
            <w:vAlign w:val="center"/>
          </w:tcPr>
          <w:p>
            <w:pPr>
              <w:overflowPunct w:val="0"/>
              <w:topLinePunct/>
              <w:snapToGrid w:val="0"/>
              <w:rPr>
                <w:rFonts w:ascii="宋体"/>
                <w:kern w:val="0"/>
                <w:sz w:val="24"/>
                <w:szCs w:val="24"/>
              </w:rPr>
            </w:pPr>
            <w:r>
              <w:rPr>
                <w:rFonts w:hint="eastAsia" w:ascii="宋体" w:hAnsi="宋体" w:cs="宋体"/>
                <w:kern w:val="0"/>
                <w:sz w:val="24"/>
                <w:szCs w:val="24"/>
              </w:rPr>
              <w:t>消极配合调查</w:t>
            </w:r>
          </w:p>
        </w:tc>
        <w:tc>
          <w:tcPr>
            <w:tcW w:w="1432" w:type="dxa"/>
            <w:vAlign w:val="center"/>
          </w:tcPr>
          <w:p>
            <w:pPr>
              <w:overflowPunct w:val="0"/>
              <w:topLinePunct/>
              <w:snapToGrid w:val="0"/>
              <w:jc w:val="center"/>
              <w:rPr>
                <w:rFonts w:ascii="宋体"/>
                <w:kern w:val="0"/>
                <w:sz w:val="24"/>
                <w:szCs w:val="24"/>
              </w:rPr>
            </w:pPr>
            <w:r>
              <w:rPr>
                <w:rFonts w:ascii="宋体" w:cs="宋体"/>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58" w:hRule="atLeast"/>
          <w:jc w:val="center"/>
        </w:trPr>
        <w:tc>
          <w:tcPr>
            <w:tcW w:w="2098" w:type="dxa"/>
            <w:vMerge w:val="continue"/>
            <w:vAlign w:val="center"/>
          </w:tcPr>
          <w:p>
            <w:pPr>
              <w:overflowPunct w:val="0"/>
              <w:topLinePunct/>
              <w:snapToGrid w:val="0"/>
              <w:jc w:val="center"/>
              <w:rPr>
                <w:rFonts w:ascii="宋体"/>
                <w:kern w:val="0"/>
                <w:sz w:val="24"/>
                <w:szCs w:val="24"/>
              </w:rPr>
            </w:pPr>
          </w:p>
        </w:tc>
        <w:tc>
          <w:tcPr>
            <w:tcW w:w="5190" w:type="dxa"/>
            <w:vAlign w:val="center"/>
          </w:tcPr>
          <w:p>
            <w:pPr>
              <w:overflowPunct w:val="0"/>
              <w:topLinePunct/>
              <w:snapToGrid w:val="0"/>
              <w:rPr>
                <w:rFonts w:ascii="宋体"/>
                <w:kern w:val="0"/>
                <w:sz w:val="24"/>
                <w:szCs w:val="24"/>
              </w:rPr>
            </w:pPr>
            <w:r>
              <w:rPr>
                <w:rFonts w:hint="eastAsia" w:ascii="宋体" w:hAnsi="宋体" w:cs="宋体"/>
                <w:kern w:val="0"/>
                <w:sz w:val="24"/>
                <w:szCs w:val="24"/>
              </w:rPr>
              <w:t>拒不配合调查</w:t>
            </w:r>
          </w:p>
        </w:tc>
        <w:tc>
          <w:tcPr>
            <w:tcW w:w="1432" w:type="dxa"/>
            <w:vAlign w:val="center"/>
          </w:tcPr>
          <w:p>
            <w:pPr>
              <w:overflowPunct w:val="0"/>
              <w:topLinePunct/>
              <w:snapToGrid w:val="0"/>
              <w:jc w:val="center"/>
              <w:rPr>
                <w:rFonts w:ascii="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57" w:hRule="atLeast"/>
          <w:jc w:val="center"/>
        </w:trPr>
        <w:tc>
          <w:tcPr>
            <w:tcW w:w="2098" w:type="dxa"/>
            <w:vMerge w:val="continue"/>
            <w:vAlign w:val="center"/>
          </w:tcPr>
          <w:p>
            <w:pPr>
              <w:overflowPunct w:val="0"/>
              <w:topLinePunct/>
              <w:snapToGrid w:val="0"/>
              <w:jc w:val="center"/>
              <w:rPr>
                <w:rFonts w:ascii="宋体"/>
                <w:kern w:val="0"/>
                <w:sz w:val="24"/>
                <w:szCs w:val="24"/>
              </w:rPr>
            </w:pPr>
          </w:p>
        </w:tc>
        <w:tc>
          <w:tcPr>
            <w:tcW w:w="5190" w:type="dxa"/>
            <w:vAlign w:val="center"/>
          </w:tcPr>
          <w:p>
            <w:pPr>
              <w:rPr>
                <w:sz w:val="24"/>
                <w:szCs w:val="24"/>
              </w:rPr>
            </w:pPr>
            <w:r>
              <w:rPr>
                <w:rFonts w:hint="eastAsia" w:cs="宋体"/>
                <w:sz w:val="24"/>
                <w:szCs w:val="24"/>
              </w:rPr>
              <w:t>对执法人员进行威胁、辱骂、殴打、恐吓或者打击报复，</w:t>
            </w:r>
            <w:r>
              <w:rPr>
                <w:rFonts w:hint="eastAsia" w:cs="宋体"/>
                <w:kern w:val="0"/>
                <w:sz w:val="24"/>
                <w:szCs w:val="24"/>
              </w:rPr>
              <w:t>或者对举报人、证人打击报复</w:t>
            </w:r>
          </w:p>
        </w:tc>
        <w:tc>
          <w:tcPr>
            <w:tcW w:w="1432" w:type="dxa"/>
            <w:vAlign w:val="center"/>
          </w:tcPr>
          <w:p>
            <w:pPr>
              <w:overflowPunct w:val="0"/>
              <w:topLinePunct/>
              <w:snapToGrid w:val="0"/>
              <w:jc w:val="center"/>
              <w:rPr>
                <w:rFonts w:ascii="宋体"/>
                <w:kern w:val="0"/>
                <w:sz w:val="24"/>
                <w:szCs w:val="24"/>
              </w:rPr>
            </w:pPr>
            <w:r>
              <w:rPr>
                <w:rFonts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95" w:hRule="atLeast"/>
          <w:jc w:val="center"/>
        </w:trPr>
        <w:tc>
          <w:tcPr>
            <w:tcW w:w="2098" w:type="dxa"/>
            <w:vMerge w:val="restart"/>
            <w:vAlign w:val="center"/>
          </w:tcPr>
          <w:p>
            <w:pPr>
              <w:overflowPunct w:val="0"/>
              <w:topLinePunct/>
              <w:snapToGrid w:val="0"/>
              <w:jc w:val="center"/>
              <w:rPr>
                <w:rFonts w:ascii="宋体"/>
                <w:kern w:val="0"/>
                <w:sz w:val="24"/>
                <w:szCs w:val="24"/>
              </w:rPr>
            </w:pPr>
            <w:r>
              <w:rPr>
                <w:rFonts w:hint="eastAsia" w:ascii="宋体" w:hAnsi="宋体" w:cs="宋体"/>
                <w:kern w:val="0"/>
                <w:sz w:val="24"/>
                <w:szCs w:val="24"/>
              </w:rPr>
              <w:t>经济承受度</w:t>
            </w:r>
          </w:p>
          <w:p>
            <w:pPr>
              <w:overflowPunct w:val="0"/>
              <w:topLinePunct/>
              <w:snapToGrid w:val="0"/>
              <w:jc w:val="center"/>
              <w:rPr>
                <w:rFonts w:ascii="宋体"/>
                <w:kern w:val="0"/>
                <w:sz w:val="24"/>
                <w:szCs w:val="24"/>
              </w:rPr>
            </w:pPr>
            <w:r>
              <w:rPr>
                <w:rFonts w:hint="eastAsia" w:ascii="宋体" w:hAnsi="宋体" w:cs="宋体"/>
                <w:kern w:val="0"/>
                <w:sz w:val="24"/>
                <w:szCs w:val="24"/>
              </w:rPr>
              <w:t>（企业类型）</w:t>
            </w:r>
          </w:p>
        </w:tc>
        <w:tc>
          <w:tcPr>
            <w:tcW w:w="5190" w:type="dxa"/>
            <w:vAlign w:val="center"/>
          </w:tcPr>
          <w:p>
            <w:pPr>
              <w:overflowPunct w:val="0"/>
              <w:topLinePunct/>
              <w:snapToGrid w:val="0"/>
              <w:rPr>
                <w:rFonts w:ascii="宋体"/>
                <w:kern w:val="0"/>
                <w:sz w:val="24"/>
                <w:szCs w:val="24"/>
              </w:rPr>
            </w:pPr>
            <w:r>
              <w:rPr>
                <w:rFonts w:hint="eastAsia" w:ascii="宋体" w:hAnsi="宋体" w:cs="宋体"/>
                <w:kern w:val="0"/>
                <w:sz w:val="24"/>
                <w:szCs w:val="24"/>
              </w:rPr>
              <w:t>微型企事业单位/个体工商户</w:t>
            </w:r>
          </w:p>
        </w:tc>
        <w:tc>
          <w:tcPr>
            <w:tcW w:w="1432" w:type="dxa"/>
            <w:vAlign w:val="center"/>
          </w:tcPr>
          <w:p>
            <w:pPr>
              <w:overflowPunct w:val="0"/>
              <w:topLinePunct/>
              <w:snapToGrid w:val="0"/>
              <w:jc w:val="center"/>
              <w:rPr>
                <w:rFonts w:ascii="宋体" w:hAnsi="宋体" w:cs="宋体"/>
                <w:kern w:val="0"/>
                <w:sz w:val="24"/>
                <w:szCs w:val="24"/>
              </w:rPr>
            </w:pPr>
            <w:r>
              <w:rPr>
                <w:rFonts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95" w:hRule="atLeast"/>
          <w:jc w:val="center"/>
        </w:trPr>
        <w:tc>
          <w:tcPr>
            <w:tcW w:w="2098" w:type="dxa"/>
            <w:vMerge w:val="continue"/>
            <w:vAlign w:val="center"/>
          </w:tcPr>
          <w:p>
            <w:pPr>
              <w:overflowPunct w:val="0"/>
              <w:topLinePunct/>
              <w:snapToGrid w:val="0"/>
              <w:jc w:val="center"/>
              <w:rPr>
                <w:rFonts w:ascii="宋体"/>
                <w:kern w:val="0"/>
                <w:sz w:val="24"/>
                <w:szCs w:val="24"/>
              </w:rPr>
            </w:pPr>
          </w:p>
        </w:tc>
        <w:tc>
          <w:tcPr>
            <w:tcW w:w="5190" w:type="dxa"/>
            <w:vAlign w:val="center"/>
          </w:tcPr>
          <w:p>
            <w:pPr>
              <w:overflowPunct w:val="0"/>
              <w:topLinePunct/>
              <w:snapToGrid w:val="0"/>
              <w:rPr>
                <w:rFonts w:ascii="宋体"/>
                <w:kern w:val="0"/>
                <w:sz w:val="24"/>
                <w:szCs w:val="24"/>
              </w:rPr>
            </w:pPr>
            <w:r>
              <w:rPr>
                <w:rFonts w:hint="eastAsia" w:ascii="宋体" w:hAnsi="宋体" w:cs="宋体"/>
                <w:kern w:val="0"/>
                <w:sz w:val="24"/>
                <w:szCs w:val="24"/>
              </w:rPr>
              <w:t>小型企事业单位</w:t>
            </w:r>
          </w:p>
        </w:tc>
        <w:tc>
          <w:tcPr>
            <w:tcW w:w="1432" w:type="dxa"/>
            <w:vAlign w:val="center"/>
          </w:tcPr>
          <w:p>
            <w:pPr>
              <w:overflowPunct w:val="0"/>
              <w:topLinePunct/>
              <w:snapToGrid w:val="0"/>
              <w:jc w:val="center"/>
              <w:rPr>
                <w:rFonts w:ascii="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97" w:hRule="atLeast"/>
          <w:jc w:val="center"/>
        </w:trPr>
        <w:tc>
          <w:tcPr>
            <w:tcW w:w="2098" w:type="dxa"/>
            <w:vMerge w:val="continue"/>
            <w:vAlign w:val="center"/>
          </w:tcPr>
          <w:p>
            <w:pPr>
              <w:overflowPunct w:val="0"/>
              <w:topLinePunct/>
              <w:snapToGrid w:val="0"/>
              <w:jc w:val="center"/>
              <w:rPr>
                <w:rFonts w:ascii="宋体"/>
                <w:kern w:val="0"/>
                <w:sz w:val="24"/>
                <w:szCs w:val="24"/>
              </w:rPr>
            </w:pPr>
          </w:p>
        </w:tc>
        <w:tc>
          <w:tcPr>
            <w:tcW w:w="5190" w:type="dxa"/>
            <w:vAlign w:val="center"/>
          </w:tcPr>
          <w:p>
            <w:pPr>
              <w:overflowPunct w:val="0"/>
              <w:topLinePunct/>
              <w:snapToGrid w:val="0"/>
              <w:rPr>
                <w:rFonts w:ascii="宋体"/>
                <w:kern w:val="0"/>
                <w:sz w:val="24"/>
                <w:szCs w:val="24"/>
              </w:rPr>
            </w:pPr>
            <w:r>
              <w:rPr>
                <w:rFonts w:hint="eastAsia" w:ascii="宋体" w:hAnsi="宋体" w:cs="宋体"/>
                <w:kern w:val="0"/>
                <w:sz w:val="24"/>
                <w:szCs w:val="24"/>
              </w:rPr>
              <w:t>中型企事业单位</w:t>
            </w:r>
          </w:p>
        </w:tc>
        <w:tc>
          <w:tcPr>
            <w:tcW w:w="1432" w:type="dxa"/>
            <w:vAlign w:val="center"/>
          </w:tcPr>
          <w:p>
            <w:pPr>
              <w:overflowPunct w:val="0"/>
              <w:topLinePunct/>
              <w:snapToGrid w:val="0"/>
              <w:jc w:val="center"/>
              <w:rPr>
                <w:rFonts w:ascii="宋体" w:cs="宋体"/>
                <w:kern w:val="0"/>
                <w:sz w:val="24"/>
                <w:szCs w:val="24"/>
              </w:rPr>
            </w:pPr>
            <w:r>
              <w:rPr>
                <w:rFonts w:ascii="宋体" w:cs="宋体"/>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95" w:hRule="atLeast"/>
          <w:jc w:val="center"/>
        </w:trPr>
        <w:tc>
          <w:tcPr>
            <w:tcW w:w="2098" w:type="dxa"/>
            <w:vMerge w:val="continue"/>
            <w:vAlign w:val="center"/>
          </w:tcPr>
          <w:p>
            <w:pPr>
              <w:overflowPunct w:val="0"/>
              <w:topLinePunct/>
              <w:snapToGrid w:val="0"/>
              <w:jc w:val="center"/>
              <w:rPr>
                <w:rFonts w:ascii="宋体"/>
                <w:kern w:val="0"/>
                <w:sz w:val="24"/>
                <w:szCs w:val="24"/>
              </w:rPr>
            </w:pPr>
          </w:p>
        </w:tc>
        <w:tc>
          <w:tcPr>
            <w:tcW w:w="5190" w:type="dxa"/>
            <w:vAlign w:val="center"/>
          </w:tcPr>
          <w:p>
            <w:pPr>
              <w:overflowPunct w:val="0"/>
              <w:topLinePunct/>
              <w:snapToGrid w:val="0"/>
              <w:rPr>
                <w:rFonts w:ascii="宋体"/>
                <w:kern w:val="0"/>
                <w:sz w:val="24"/>
                <w:szCs w:val="24"/>
              </w:rPr>
            </w:pPr>
            <w:r>
              <w:rPr>
                <w:rFonts w:hint="eastAsia" w:ascii="宋体" w:hAnsi="宋体" w:cs="宋体"/>
                <w:kern w:val="0"/>
                <w:sz w:val="24"/>
                <w:szCs w:val="24"/>
              </w:rPr>
              <w:t>大型企事业单位</w:t>
            </w:r>
          </w:p>
        </w:tc>
        <w:tc>
          <w:tcPr>
            <w:tcW w:w="1432" w:type="dxa"/>
            <w:vAlign w:val="center"/>
          </w:tcPr>
          <w:p>
            <w:pPr>
              <w:overflowPunct w:val="0"/>
              <w:topLinePunct/>
              <w:snapToGrid w:val="0"/>
              <w:jc w:val="center"/>
              <w:rPr>
                <w:rFonts w:ascii="宋体" w:hAnsi="宋体" w:cs="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95" w:hRule="atLeast"/>
          <w:jc w:val="center"/>
        </w:trPr>
        <w:tc>
          <w:tcPr>
            <w:tcW w:w="2098" w:type="dxa"/>
            <w:vMerge w:val="continue"/>
            <w:vAlign w:val="center"/>
          </w:tcPr>
          <w:p>
            <w:pPr>
              <w:overflowPunct w:val="0"/>
              <w:topLinePunct/>
              <w:snapToGrid w:val="0"/>
              <w:jc w:val="center"/>
              <w:rPr>
                <w:rFonts w:ascii="宋体"/>
                <w:kern w:val="0"/>
                <w:sz w:val="24"/>
                <w:szCs w:val="24"/>
              </w:rPr>
            </w:pPr>
          </w:p>
        </w:tc>
        <w:tc>
          <w:tcPr>
            <w:tcW w:w="5190" w:type="dxa"/>
            <w:vAlign w:val="center"/>
          </w:tcPr>
          <w:p>
            <w:pPr>
              <w:overflowPunct w:val="0"/>
              <w:topLinePunct/>
              <w:snapToGrid w:val="0"/>
              <w:rPr>
                <w:rFonts w:ascii="宋体"/>
                <w:kern w:val="0"/>
                <w:sz w:val="24"/>
                <w:szCs w:val="24"/>
              </w:rPr>
            </w:pPr>
            <w:r>
              <w:rPr>
                <w:rFonts w:hint="eastAsia" w:ascii="宋体" w:hAnsi="宋体" w:cs="宋体"/>
                <w:kern w:val="0"/>
                <w:sz w:val="24"/>
                <w:szCs w:val="24"/>
              </w:rPr>
              <w:t>央企或上市公司</w:t>
            </w:r>
          </w:p>
        </w:tc>
        <w:tc>
          <w:tcPr>
            <w:tcW w:w="1432" w:type="dxa"/>
            <w:vAlign w:val="center"/>
          </w:tcPr>
          <w:p>
            <w:pPr>
              <w:overflowPunct w:val="0"/>
              <w:topLinePunct/>
              <w:snapToGrid w:val="0"/>
              <w:jc w:val="center"/>
              <w:rPr>
                <w:rFonts w:ascii="宋体"/>
                <w:kern w:val="0"/>
                <w:sz w:val="24"/>
                <w:szCs w:val="24"/>
              </w:rPr>
            </w:pPr>
            <w:r>
              <w:rPr>
                <w:rFonts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99" w:hRule="atLeast"/>
          <w:jc w:val="center"/>
        </w:trPr>
        <w:tc>
          <w:tcPr>
            <w:tcW w:w="2098" w:type="dxa"/>
            <w:vMerge w:val="restart"/>
            <w:vAlign w:val="center"/>
          </w:tcPr>
          <w:p>
            <w:pPr>
              <w:overflowPunct w:val="0"/>
              <w:topLinePunct/>
              <w:snapToGrid w:val="0"/>
              <w:jc w:val="center"/>
              <w:rPr>
                <w:rFonts w:ascii="宋体"/>
                <w:kern w:val="0"/>
                <w:sz w:val="24"/>
                <w:szCs w:val="24"/>
              </w:rPr>
            </w:pPr>
            <w:r>
              <w:rPr>
                <w:rFonts w:hint="eastAsia" w:ascii="宋体" w:hAnsi="宋体" w:cs="宋体"/>
                <w:kern w:val="0"/>
                <w:sz w:val="24"/>
                <w:szCs w:val="24"/>
              </w:rPr>
              <w:t>地区差异</w:t>
            </w:r>
          </w:p>
        </w:tc>
        <w:tc>
          <w:tcPr>
            <w:tcW w:w="5190" w:type="dxa"/>
            <w:vAlign w:val="center"/>
          </w:tcPr>
          <w:p>
            <w:pPr>
              <w:overflowPunct w:val="0"/>
              <w:topLinePunct/>
              <w:snapToGrid w:val="0"/>
              <w:rPr>
                <w:rFonts w:ascii="宋体"/>
                <w:kern w:val="0"/>
                <w:sz w:val="24"/>
                <w:szCs w:val="24"/>
              </w:rPr>
            </w:pPr>
            <w:r>
              <w:rPr>
                <w:rFonts w:hint="eastAsia" w:ascii="宋体" w:cs="宋体"/>
                <w:kern w:val="0"/>
                <w:sz w:val="24"/>
                <w:szCs w:val="24"/>
              </w:rPr>
              <w:t>河池市，百色市</w:t>
            </w:r>
          </w:p>
        </w:tc>
        <w:tc>
          <w:tcPr>
            <w:tcW w:w="1432" w:type="dxa"/>
            <w:vAlign w:val="center"/>
          </w:tcPr>
          <w:p>
            <w:pPr>
              <w:overflowPunct w:val="0"/>
              <w:topLinePunct/>
              <w:snapToGrid w:val="0"/>
              <w:jc w:val="center"/>
              <w:rPr>
                <w:rFonts w:ascii="宋体" w:hAnsi="宋体" w:cs="宋体"/>
                <w:kern w:val="0"/>
                <w:sz w:val="24"/>
                <w:szCs w:val="24"/>
              </w:rPr>
            </w:pPr>
            <w:r>
              <w:rPr>
                <w:rFonts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97" w:hRule="atLeast"/>
          <w:jc w:val="center"/>
        </w:trPr>
        <w:tc>
          <w:tcPr>
            <w:tcW w:w="2098" w:type="dxa"/>
            <w:vMerge w:val="continue"/>
            <w:vAlign w:val="center"/>
          </w:tcPr>
          <w:p>
            <w:pPr>
              <w:overflowPunct w:val="0"/>
              <w:topLinePunct/>
              <w:snapToGrid w:val="0"/>
              <w:jc w:val="center"/>
              <w:rPr>
                <w:rFonts w:ascii="宋体"/>
                <w:kern w:val="0"/>
                <w:sz w:val="24"/>
                <w:szCs w:val="24"/>
              </w:rPr>
            </w:pPr>
          </w:p>
        </w:tc>
        <w:tc>
          <w:tcPr>
            <w:tcW w:w="5190" w:type="dxa"/>
            <w:vAlign w:val="center"/>
          </w:tcPr>
          <w:p>
            <w:pPr>
              <w:overflowPunct w:val="0"/>
              <w:topLinePunct/>
              <w:snapToGrid w:val="0"/>
              <w:rPr>
                <w:rFonts w:ascii="宋体"/>
                <w:kern w:val="0"/>
                <w:sz w:val="24"/>
                <w:szCs w:val="24"/>
              </w:rPr>
            </w:pPr>
            <w:r>
              <w:rPr>
                <w:rFonts w:hint="eastAsia" w:ascii="宋体" w:cs="宋体"/>
                <w:kern w:val="0"/>
                <w:sz w:val="24"/>
                <w:szCs w:val="24"/>
              </w:rPr>
              <w:t>崇左市，来宾市，贺州市</w:t>
            </w:r>
          </w:p>
        </w:tc>
        <w:tc>
          <w:tcPr>
            <w:tcW w:w="1432" w:type="dxa"/>
            <w:vAlign w:val="center"/>
          </w:tcPr>
          <w:p>
            <w:pPr>
              <w:overflowPunct w:val="0"/>
              <w:topLinePunct/>
              <w:snapToGrid w:val="0"/>
              <w:jc w:val="center"/>
              <w:rPr>
                <w:rFonts w:ascii="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97" w:hRule="atLeast"/>
          <w:jc w:val="center"/>
        </w:trPr>
        <w:tc>
          <w:tcPr>
            <w:tcW w:w="2098" w:type="dxa"/>
            <w:vMerge w:val="continue"/>
            <w:vAlign w:val="center"/>
          </w:tcPr>
          <w:p>
            <w:pPr>
              <w:overflowPunct w:val="0"/>
              <w:topLinePunct/>
              <w:snapToGrid w:val="0"/>
              <w:jc w:val="center"/>
              <w:rPr>
                <w:rFonts w:ascii="宋体"/>
                <w:kern w:val="0"/>
                <w:sz w:val="24"/>
                <w:szCs w:val="24"/>
              </w:rPr>
            </w:pPr>
          </w:p>
        </w:tc>
        <w:tc>
          <w:tcPr>
            <w:tcW w:w="5190" w:type="dxa"/>
            <w:vAlign w:val="center"/>
          </w:tcPr>
          <w:p>
            <w:pPr>
              <w:overflowPunct w:val="0"/>
              <w:topLinePunct/>
              <w:snapToGrid w:val="0"/>
              <w:rPr>
                <w:rFonts w:ascii="宋体"/>
                <w:kern w:val="0"/>
                <w:sz w:val="24"/>
                <w:szCs w:val="24"/>
              </w:rPr>
            </w:pPr>
            <w:r>
              <w:rPr>
                <w:rFonts w:hint="eastAsia" w:ascii="宋体" w:cs="宋体"/>
                <w:kern w:val="0"/>
                <w:sz w:val="24"/>
                <w:szCs w:val="24"/>
              </w:rPr>
              <w:t>桂林市，梧州市</w:t>
            </w:r>
          </w:p>
        </w:tc>
        <w:tc>
          <w:tcPr>
            <w:tcW w:w="1432" w:type="dxa"/>
            <w:vAlign w:val="center"/>
          </w:tcPr>
          <w:p>
            <w:pPr>
              <w:overflowPunct w:val="0"/>
              <w:topLinePunct/>
              <w:snapToGrid w:val="0"/>
              <w:jc w:val="center"/>
              <w:rPr>
                <w:rFonts w:ascii="宋体"/>
                <w:kern w:val="0"/>
                <w:sz w:val="24"/>
                <w:szCs w:val="24"/>
              </w:rPr>
            </w:pPr>
            <w:r>
              <w:rPr>
                <w:rFonts w:ascii="宋体" w:cs="宋体"/>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97" w:hRule="atLeast"/>
          <w:jc w:val="center"/>
        </w:trPr>
        <w:tc>
          <w:tcPr>
            <w:tcW w:w="2098" w:type="dxa"/>
            <w:vMerge w:val="continue"/>
            <w:vAlign w:val="center"/>
          </w:tcPr>
          <w:p>
            <w:pPr>
              <w:overflowPunct w:val="0"/>
              <w:topLinePunct/>
              <w:snapToGrid w:val="0"/>
              <w:jc w:val="center"/>
              <w:rPr>
                <w:rFonts w:ascii="宋体"/>
                <w:kern w:val="0"/>
                <w:sz w:val="24"/>
                <w:szCs w:val="24"/>
              </w:rPr>
            </w:pPr>
          </w:p>
        </w:tc>
        <w:tc>
          <w:tcPr>
            <w:tcW w:w="5190" w:type="dxa"/>
            <w:vAlign w:val="center"/>
          </w:tcPr>
          <w:p>
            <w:pPr>
              <w:overflowPunct w:val="0"/>
              <w:topLinePunct/>
              <w:snapToGrid w:val="0"/>
              <w:rPr>
                <w:rFonts w:ascii="宋体"/>
                <w:kern w:val="0"/>
                <w:sz w:val="24"/>
                <w:szCs w:val="24"/>
              </w:rPr>
            </w:pPr>
            <w:r>
              <w:rPr>
                <w:rFonts w:hint="eastAsia" w:ascii="宋体" w:cs="宋体"/>
                <w:kern w:val="0"/>
                <w:sz w:val="24"/>
                <w:szCs w:val="24"/>
              </w:rPr>
              <w:t>北海市，钦州市，防城港市</w:t>
            </w:r>
          </w:p>
        </w:tc>
        <w:tc>
          <w:tcPr>
            <w:tcW w:w="1432" w:type="dxa"/>
            <w:vAlign w:val="center"/>
          </w:tcPr>
          <w:p>
            <w:pPr>
              <w:overflowPunct w:val="0"/>
              <w:topLinePunct/>
              <w:snapToGrid w:val="0"/>
              <w:jc w:val="center"/>
              <w:rPr>
                <w:rFonts w:ascii="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97" w:hRule="atLeast"/>
          <w:jc w:val="center"/>
        </w:trPr>
        <w:tc>
          <w:tcPr>
            <w:tcW w:w="2098" w:type="dxa"/>
            <w:vMerge w:val="continue"/>
            <w:vAlign w:val="center"/>
          </w:tcPr>
          <w:p>
            <w:pPr>
              <w:overflowPunct w:val="0"/>
              <w:topLinePunct/>
              <w:snapToGrid w:val="0"/>
              <w:jc w:val="center"/>
              <w:rPr>
                <w:rFonts w:ascii="宋体"/>
                <w:kern w:val="0"/>
                <w:sz w:val="24"/>
                <w:szCs w:val="24"/>
              </w:rPr>
            </w:pPr>
          </w:p>
        </w:tc>
        <w:tc>
          <w:tcPr>
            <w:tcW w:w="5190" w:type="dxa"/>
            <w:vAlign w:val="center"/>
          </w:tcPr>
          <w:p>
            <w:pPr>
              <w:overflowPunct w:val="0"/>
              <w:topLinePunct/>
              <w:snapToGrid w:val="0"/>
              <w:rPr>
                <w:rFonts w:ascii="宋体"/>
                <w:kern w:val="0"/>
                <w:sz w:val="24"/>
                <w:szCs w:val="24"/>
              </w:rPr>
            </w:pPr>
            <w:r>
              <w:rPr>
                <w:rFonts w:hint="eastAsia" w:ascii="宋体" w:cs="宋体"/>
                <w:kern w:val="0"/>
                <w:sz w:val="24"/>
                <w:szCs w:val="24"/>
              </w:rPr>
              <w:t>南宁市，柳州市，玉林市，贵港市</w:t>
            </w:r>
          </w:p>
        </w:tc>
        <w:tc>
          <w:tcPr>
            <w:tcW w:w="1432" w:type="dxa"/>
            <w:vAlign w:val="center"/>
          </w:tcPr>
          <w:p>
            <w:pPr>
              <w:overflowPunct w:val="0"/>
              <w:topLinePunct/>
              <w:snapToGrid w:val="0"/>
              <w:jc w:val="center"/>
              <w:rPr>
                <w:rFonts w:ascii="宋体" w:hAnsi="宋体" w:cs="宋体"/>
                <w:kern w:val="0"/>
                <w:sz w:val="24"/>
                <w:szCs w:val="24"/>
              </w:rPr>
            </w:pPr>
            <w:r>
              <w:rPr>
                <w:rFonts w:ascii="宋体" w:hAnsi="宋体" w:cs="宋体"/>
                <w:kern w:val="0"/>
                <w:sz w:val="24"/>
                <w:szCs w:val="24"/>
              </w:rPr>
              <w:t>2</w:t>
            </w:r>
          </w:p>
        </w:tc>
      </w:tr>
    </w:tbl>
    <w:p>
      <w:pPr>
        <w:ind w:firstLine="480" w:firstLineChars="200"/>
        <w:rPr>
          <w:rFonts w:hint="eastAsia" w:cs="宋体"/>
          <w:sz w:val="24"/>
          <w:szCs w:val="24"/>
        </w:rPr>
      </w:pPr>
      <w:r>
        <w:rPr>
          <w:rFonts w:hint="eastAsia" w:ascii="宋体" w:cs="宋体"/>
          <w:sz w:val="24"/>
          <w:szCs w:val="24"/>
        </w:rPr>
        <w:t>注：</w:t>
      </w:r>
      <w:r>
        <w:rPr>
          <w:rFonts w:ascii="宋体" w:cs="宋体"/>
          <w:sz w:val="24"/>
          <w:szCs w:val="24"/>
        </w:rPr>
        <w:t>1</w:t>
      </w:r>
      <w:r>
        <w:rPr>
          <w:rFonts w:hint="eastAsia" w:ascii="宋体" w:hAnsi="宋体" w:cs="宋体"/>
          <w:kern w:val="0"/>
          <w:sz w:val="24"/>
          <w:szCs w:val="24"/>
          <w:lang w:val="en-US" w:eastAsia="zh-CN"/>
        </w:rPr>
        <w:t>．</w:t>
      </w:r>
      <w:r>
        <w:rPr>
          <w:rFonts w:hint="eastAsia" w:cs="宋体"/>
          <w:sz w:val="24"/>
          <w:szCs w:val="24"/>
        </w:rPr>
        <w:t>一般过失，指法律对行为人在某种情况下应当注意和能够注意的程度有较高要求时，行为人没有遵守这种较高要求但未违背一般人应注意并能注意的一般规则的过失状态；</w:t>
      </w:r>
    </w:p>
    <w:p>
      <w:pPr>
        <w:ind w:firstLine="480" w:firstLineChars="200"/>
        <w:rPr>
          <w:rFonts w:hint="eastAsia" w:cs="宋体"/>
          <w:sz w:val="24"/>
          <w:szCs w:val="24"/>
        </w:rPr>
      </w:pPr>
      <w:r>
        <w:rPr>
          <w:rFonts w:hint="eastAsia" w:cs="宋体"/>
          <w:sz w:val="24"/>
          <w:szCs w:val="24"/>
        </w:rPr>
        <w:t>2</w:t>
      </w:r>
      <w:r>
        <w:rPr>
          <w:rFonts w:hint="eastAsia" w:ascii="宋体" w:hAnsi="宋体" w:cs="宋体"/>
          <w:kern w:val="0"/>
          <w:sz w:val="24"/>
          <w:szCs w:val="24"/>
          <w:lang w:val="en-US" w:eastAsia="zh-CN"/>
        </w:rPr>
        <w:t>．</w:t>
      </w:r>
      <w:r>
        <w:rPr>
          <w:rFonts w:hint="eastAsia" w:cs="宋体"/>
          <w:sz w:val="24"/>
          <w:szCs w:val="24"/>
        </w:rPr>
        <w:t>重大过失，指法律对行为人于某种情况下应当注意和能够注意的程度有较高要求时，行为人不但没有遵守法律对其较高的要求，甚至连一般人应注意并能注意的一般标准也未达到的过失状态；</w:t>
      </w:r>
    </w:p>
    <w:p>
      <w:pPr>
        <w:ind w:firstLine="480" w:firstLineChars="200"/>
        <w:rPr>
          <w:rFonts w:hint="eastAsia" w:cs="宋体"/>
          <w:sz w:val="24"/>
          <w:szCs w:val="24"/>
        </w:rPr>
      </w:pPr>
      <w:r>
        <w:rPr>
          <w:rFonts w:hint="eastAsia" w:cs="宋体"/>
          <w:sz w:val="24"/>
          <w:szCs w:val="24"/>
        </w:rPr>
        <w:t>3</w:t>
      </w:r>
      <w:r>
        <w:rPr>
          <w:rFonts w:hint="eastAsia" w:ascii="宋体" w:hAnsi="宋体" w:cs="宋体"/>
          <w:kern w:val="0"/>
          <w:sz w:val="24"/>
          <w:szCs w:val="24"/>
          <w:lang w:val="en-US" w:eastAsia="zh-CN"/>
        </w:rPr>
        <w:t>．</w:t>
      </w:r>
      <w:r>
        <w:rPr>
          <w:rFonts w:hint="eastAsia" w:cs="宋体"/>
          <w:sz w:val="24"/>
          <w:szCs w:val="24"/>
        </w:rPr>
        <w:t>预谋故意，指行为人在实施违法行为之前，经过深思熟虑形成的实施故意违法的一种心态，或者行为人决意违法后又经过反复策划实施违法；</w:t>
      </w:r>
    </w:p>
    <w:p>
      <w:pPr>
        <w:ind w:firstLine="480" w:firstLineChars="200"/>
        <w:rPr>
          <w:rFonts w:hint="eastAsia" w:cs="宋体"/>
          <w:sz w:val="24"/>
          <w:szCs w:val="24"/>
        </w:rPr>
      </w:pPr>
      <w:r>
        <w:rPr>
          <w:rFonts w:hint="eastAsia" w:cs="宋体"/>
          <w:sz w:val="24"/>
          <w:szCs w:val="24"/>
        </w:rPr>
        <w:t>4</w:t>
      </w:r>
      <w:r>
        <w:rPr>
          <w:rFonts w:hint="eastAsia" w:ascii="宋体" w:hAnsi="宋体" w:cs="宋体"/>
          <w:kern w:val="0"/>
          <w:sz w:val="24"/>
          <w:szCs w:val="24"/>
          <w:lang w:val="en-US" w:eastAsia="zh-CN"/>
        </w:rPr>
        <w:t>．</w:t>
      </w:r>
      <w:r>
        <w:rPr>
          <w:rFonts w:hint="eastAsia" w:cs="宋体"/>
          <w:sz w:val="24"/>
          <w:szCs w:val="24"/>
        </w:rPr>
        <w:t>“经济承受度”中的“大中小微型企业”参照国家统计局《统计上大中小微型企业划分办法（2017）》认定，如有更新，按最新版本认定。</w:t>
      </w:r>
    </w:p>
    <w:p>
      <w:pPr>
        <w:spacing w:line="360" w:lineRule="auto"/>
        <w:ind w:firstLine="480" w:firstLineChars="200"/>
        <w:rPr>
          <w:rFonts w:ascii="宋体"/>
          <w:sz w:val="24"/>
          <w:szCs w:val="24"/>
        </w:rPr>
      </w:pP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四、罚款金额的计算</w:t>
      </w:r>
    </w:p>
    <w:p>
      <w:pPr>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采用固定裁量公式计算法。</w:t>
      </w:r>
    </w:p>
    <w:p>
      <w:pPr>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（一）综合考虑违法行为情节、后果的严重程度和违法主体特点，确定各个性裁量基准、共性裁量基准、修正裁量基准中裁量因子的数值。</w:t>
      </w:r>
    </w:p>
    <w:p>
      <w:pPr>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违法行为在同一裁量因素内同时有多个裁量因子的，按裁量等级最高的取值。</w:t>
      </w:r>
    </w:p>
    <w:p>
      <w:pPr>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无法确定或者对应的个性裁量基准，裁量等级不取值；共性裁量基准和修正裁量基准中的所有裁量因子，应当确定裁量等级的数值。</w:t>
      </w:r>
    </w:p>
    <w:p>
      <w:pPr>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二）对相关项的个性裁量基准与共性裁量基准，叠加出总个性裁量基准与总共性裁量基准的数值；将总个性裁量基准与总共性裁量基准代入裁量公式，计算出行为等级的数值；通过行为等级数值，计算得出与违法行为情节、后果相匹配的处罚金额。</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kern w:val="0"/>
          <w:sz w:val="32"/>
          <w:szCs w:val="32"/>
        </w:rPr>
        <w:t>（三）根据修正裁量裁量基准数值，对处罚金额在限定范围内进行修正，得出最终处罚金额。</w:t>
      </w:r>
      <w:r>
        <w:rPr>
          <w:rFonts w:hint="eastAsia" w:ascii="仿宋" w:hAnsi="仿宋" w:eastAsia="仿宋" w:cs="仿宋"/>
          <w:sz w:val="32"/>
          <w:szCs w:val="32"/>
        </w:rPr>
        <w:t>处罚金额按“四舍五入”法取整到“元”。</w:t>
      </w:r>
    </w:p>
    <w:p>
      <w:pPr>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修正后的裁量处罚金额不得超出法定的裁量范围。</w:t>
      </w:r>
    </w:p>
    <w:p>
      <w:pPr>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（四）“排污超标状况”存在多个污染因子超标的，以超标倍数最高的污染因子进行等级裁量，“小时烟气流量”以超标当日在线小时烟气流量最高值认定，“水日排放量”以超标当日在线污水排放量认定。</w:t>
      </w:r>
    </w:p>
    <w:p>
      <w:pPr>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实际小时烟气流量和日排水量无法认定的，依次以排污许可证、环评文件、污染源普查数据及其他方式核定。</w:t>
      </w:r>
    </w:p>
    <w:p>
      <w:pPr>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（五）污染物排放总量控制指标和实际排放总量以各级负责总量核定的部门认定为准。</w:t>
      </w:r>
    </w:p>
    <w:p>
      <w:pPr>
        <w:overflowPunct w:val="0"/>
        <w:topLinePunct/>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裁量公式：X=N</w:t>
      </w:r>
      <w:r>
        <w:rPr>
          <w:rFonts w:hint="eastAsia" w:ascii="仿宋" w:hAnsi="仿宋" w:eastAsia="仿宋" w:cs="仿宋"/>
          <w:spacing w:val="-10"/>
          <w:sz w:val="32"/>
          <w:szCs w:val="32"/>
        </w:rPr>
        <w:t>＋</w:t>
      </w:r>
      <w:r>
        <w:rPr>
          <w:rFonts w:hint="eastAsia" w:ascii="仿宋" w:hAnsi="仿宋" w:eastAsia="仿宋" w:cs="仿宋"/>
          <w:sz w:val="32"/>
          <w:szCs w:val="32"/>
        </w:rPr>
        <w:t>（M-N）×[（A-1）/4]×（1+B）</w:t>
      </w:r>
    </w:p>
    <w:p>
      <w:pPr>
        <w:overflowPunct w:val="0"/>
        <w:topLinePunct/>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X：裁量处罚金额</w:t>
      </w:r>
    </w:p>
    <w:p>
      <w:pPr>
        <w:overflowPunct w:val="0"/>
        <w:topLinePunct/>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M：法定处罚上限</w:t>
      </w:r>
    </w:p>
    <w:p>
      <w:pPr>
        <w:overflowPunct w:val="0"/>
        <w:topLinePunct/>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N：法定处罚下限，无下限的取值为0</w:t>
      </w:r>
    </w:p>
    <w:p>
      <w:pPr>
        <w:overflowPunct w:val="0"/>
        <w:topLinePunct/>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A：裁量系数</w:t>
      </w:r>
    </w:p>
    <w:p>
      <w:pPr>
        <w:overflowPunct w:val="0"/>
        <w:topLinePunct/>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B：修正系数</w:t>
      </w:r>
    </w:p>
    <w:p>
      <w:pPr>
        <w:overflowPunct w:val="0"/>
        <w:topLinePunct/>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裁量系数A</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根据现场执法调查取证事实，选择违法行为对应的</w:t>
      </w:r>
      <w:r>
        <w:rPr>
          <w:rFonts w:hint="eastAsia" w:ascii="仿宋" w:hAnsi="仿宋" w:eastAsia="仿宋" w:cs="仿宋"/>
          <w:kern w:val="0"/>
          <w:sz w:val="32"/>
          <w:szCs w:val="32"/>
        </w:rPr>
        <w:t>个性裁量基准、共性裁量基准</w:t>
      </w:r>
      <w:r>
        <w:rPr>
          <w:rFonts w:hint="eastAsia" w:ascii="仿宋" w:hAnsi="仿宋" w:eastAsia="仿宋" w:cs="仿宋"/>
          <w:sz w:val="32"/>
          <w:szCs w:val="32"/>
        </w:rPr>
        <w:t>，由裁量因子对应的裁量等级数值计算裁量系数。</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①只有一个裁量因子时，A=裁量因子等级数值。</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②有两个或两个以上裁量因子时，裁量系数的计算方法为：选择一个裁量等级最高的，作为首要因子，取其对应数值进行计算；其他裁量因子取裁量等级数值的平均数进行计算。 </w:t>
      </w:r>
    </w:p>
    <w:p>
      <w:pPr>
        <w:spacing w:line="600" w:lineRule="exact"/>
        <w:ind w:firstLine="600" w:firstLineChars="200"/>
        <w:rPr>
          <w:rFonts w:hint="eastAsia" w:ascii="仿宋" w:hAnsi="仿宋" w:eastAsia="仿宋" w:cs="仿宋"/>
          <w:spacing w:val="-10"/>
          <w:sz w:val="32"/>
          <w:szCs w:val="32"/>
        </w:rPr>
      </w:pPr>
      <w:r>
        <w:rPr>
          <w:rFonts w:hint="eastAsia" w:ascii="仿宋" w:hAnsi="仿宋" w:eastAsia="仿宋" w:cs="仿宋"/>
          <w:spacing w:val="-10"/>
          <w:sz w:val="32"/>
          <w:szCs w:val="32"/>
        </w:rPr>
        <w:t>③A=50%×首要因子等级数值＋50%×其他裁量因子数值的平均数。</w:t>
      </w:r>
    </w:p>
    <w:p>
      <w:pPr>
        <w:spacing w:line="600" w:lineRule="exact"/>
        <w:ind w:firstLine="600" w:firstLineChars="200"/>
        <w:rPr>
          <w:rFonts w:hint="eastAsia" w:ascii="仿宋" w:hAnsi="仿宋" w:eastAsia="仿宋" w:cs="仿宋"/>
          <w:sz w:val="32"/>
          <w:szCs w:val="32"/>
        </w:rPr>
      </w:pPr>
      <w:r>
        <w:rPr>
          <w:rFonts w:hint="eastAsia" w:ascii="仿宋" w:hAnsi="仿宋" w:eastAsia="仿宋" w:cs="仿宋"/>
          <w:spacing w:val="-10"/>
          <w:sz w:val="32"/>
          <w:szCs w:val="32"/>
        </w:rPr>
        <w:fldChar w:fldCharType="begin"/>
      </w:r>
      <w:r>
        <w:rPr>
          <w:rFonts w:hint="eastAsia" w:ascii="仿宋" w:hAnsi="仿宋" w:eastAsia="仿宋" w:cs="仿宋"/>
          <w:spacing w:val="-10"/>
          <w:sz w:val="32"/>
          <w:szCs w:val="32"/>
        </w:rPr>
        <w:instrText xml:space="preserve"> = 4 \* GB3 \* MERGEFORMAT </w:instrText>
      </w:r>
      <w:r>
        <w:rPr>
          <w:rFonts w:hint="eastAsia" w:ascii="仿宋" w:hAnsi="仿宋" w:eastAsia="仿宋" w:cs="仿宋"/>
          <w:spacing w:val="-10"/>
          <w:sz w:val="32"/>
          <w:szCs w:val="32"/>
        </w:rPr>
        <w:fldChar w:fldCharType="separate"/>
      </w:r>
      <w:r>
        <w:rPr>
          <w:rFonts w:hint="eastAsia" w:ascii="仿宋" w:hAnsi="仿宋" w:eastAsia="仿宋" w:cs="仿宋"/>
          <w:spacing w:val="-10"/>
          <w:sz w:val="32"/>
          <w:szCs w:val="32"/>
        </w:rPr>
        <w:t>④</w:t>
      </w:r>
      <w:r>
        <w:rPr>
          <w:rFonts w:hint="eastAsia" w:ascii="仿宋" w:hAnsi="仿宋" w:eastAsia="仿宋" w:cs="仿宋"/>
          <w:spacing w:val="-10"/>
          <w:sz w:val="32"/>
          <w:szCs w:val="32"/>
        </w:rPr>
        <w:fldChar w:fldCharType="end"/>
      </w:r>
      <w:r>
        <w:rPr>
          <w:rFonts w:hint="eastAsia" w:ascii="仿宋" w:hAnsi="仿宋" w:eastAsia="仿宋" w:cs="仿宋"/>
          <w:sz w:val="32"/>
          <w:szCs w:val="32"/>
        </w:rPr>
        <w:t>无法适用个性裁量基准的违法行为，则适用共性裁量基准确定裁量因子A。</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 xml:space="preserve">修正系数B </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修正裁量基准包括：主观过错程度、改正态度、补救措施、配合调查情况、经济承受度、地区差异6项，裁量等级数值从-2到2。</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B=修正裁量因子数值之和/12×30%。</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五、裁量计算示例</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某市生态环境行政执法人员到某大型化工企业进行现场检查，现场采集污水排口外排水样监测，结果显示：化学需氧量24毫克每升，阴离子表面活性剂24.6毫克每升，分别超过《污水综合排放标准》(GB8978-1996）表4一级标准0.24倍、3.92倍。经调查，该企业污水排入周边</w:t>
      </w:r>
      <w:r>
        <w:rPr>
          <w:rFonts w:hint="eastAsia" w:ascii="仿宋" w:hAnsi="仿宋" w:eastAsia="仿宋" w:cs="仿宋"/>
          <w:kern w:val="0"/>
          <w:sz w:val="32"/>
          <w:szCs w:val="32"/>
        </w:rPr>
        <w:t>Ⅳ</w:t>
      </w:r>
      <w:r>
        <w:rPr>
          <w:rFonts w:hint="eastAsia" w:ascii="仿宋" w:hAnsi="仿宋" w:eastAsia="仿宋" w:cs="仿宋"/>
          <w:sz w:val="32"/>
          <w:szCs w:val="32"/>
        </w:rPr>
        <w:t>类水体，日排水量为150吨以上。检查人员对该企业下达责令改正违法决定书，该企业立即停止排污，排查超标原因，并对周边水体进行监测，尚未造成水体功能改变。</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该企业违反《中华人民共和国水污染防治法》第十条“排放水污染物，不得超过国家或者地方规定的水污染物排放标准和重点水污染物排放总量控制指标”的规定，依据《中华人民共和国水污染防治法》第八十三条第二项“违反本法规定，有下列行为之一的，由县级以上人民政府生态环境部门责令改正或者责令限制生产、停产整治，并处十万元以上一百万元以下的罚款；情节严重的，报经有批准权的人民政府批准，责令停业、关闭：（二）超过水污染物排放标准或者超过重点水污染物排放总量控制指标排放水污染物的”，相关违法行为涉及的裁量基准如下：</w:t>
      </w:r>
    </w:p>
    <w:p>
      <w:pPr>
        <w:spacing w:line="60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（一）个性裁量基准：</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超标因子：2个（裁量等级2)</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排放去向：</w:t>
      </w:r>
      <w:r>
        <w:rPr>
          <w:rFonts w:hint="eastAsia" w:ascii="仿宋" w:hAnsi="仿宋" w:eastAsia="仿宋" w:cs="仿宋"/>
          <w:kern w:val="0"/>
          <w:sz w:val="32"/>
          <w:szCs w:val="32"/>
        </w:rPr>
        <w:t>Ⅳ</w:t>
      </w:r>
      <w:r>
        <w:rPr>
          <w:rFonts w:hint="eastAsia" w:ascii="仿宋" w:hAnsi="仿宋" w:eastAsia="仿宋" w:cs="仿宋"/>
          <w:sz w:val="32"/>
          <w:szCs w:val="32"/>
        </w:rPr>
        <w:t>类水体（裁量等级2）</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废水类别：一般工业废水（裁量等级3)</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排污超标状况：200％以上（裁量等级5)</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日排水量：100吨以上（裁量等级3)</w:t>
      </w:r>
    </w:p>
    <w:p>
      <w:pPr>
        <w:spacing w:line="600" w:lineRule="exact"/>
        <w:ind w:firstLine="640" w:firstLineChars="200"/>
        <w:rPr>
          <w:rFonts w:hint="eastAsia" w:ascii="仿宋" w:hAnsi="仿宋" w:eastAsia="仿宋" w:cs="仿宋"/>
          <w:sz w:val="32"/>
          <w:szCs w:val="32"/>
        </w:rPr>
      </w:pPr>
      <w:r>
        <w:rPr>
          <w:rFonts w:hint="eastAsia" w:ascii="楷体" w:hAnsi="楷体" w:eastAsia="楷体" w:cs="楷体"/>
          <w:sz w:val="32"/>
          <w:szCs w:val="32"/>
        </w:rPr>
        <w:t>（二）共性裁量基准：</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两年内环境违法次数：一次（裁量等级2)</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持续时间：</w:t>
      </w:r>
      <w:r>
        <w:rPr>
          <w:rFonts w:hint="eastAsia" w:ascii="仿宋" w:hAnsi="仿宋" w:eastAsia="仿宋" w:cs="仿宋"/>
          <w:kern w:val="0"/>
          <w:sz w:val="32"/>
          <w:szCs w:val="32"/>
        </w:rPr>
        <w:t>5天以上不足10天（裁量等级2）</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发生地点：</w:t>
      </w:r>
      <w:r>
        <w:rPr>
          <w:rFonts w:hint="eastAsia" w:ascii="仿宋" w:hAnsi="仿宋" w:eastAsia="仿宋" w:cs="仿宋"/>
          <w:kern w:val="0"/>
          <w:sz w:val="32"/>
          <w:szCs w:val="32"/>
        </w:rPr>
        <w:t>符合环境功能规划（裁量等级1）</w:t>
      </w:r>
    </w:p>
    <w:p>
      <w:pPr>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sz w:val="32"/>
          <w:szCs w:val="32"/>
        </w:rPr>
        <w:t>违法所得：无违法所得</w:t>
      </w:r>
      <w:r>
        <w:rPr>
          <w:rFonts w:hint="eastAsia" w:ascii="仿宋" w:hAnsi="仿宋" w:eastAsia="仿宋" w:cs="仿宋"/>
          <w:kern w:val="0"/>
          <w:sz w:val="32"/>
          <w:szCs w:val="32"/>
        </w:rPr>
        <w:t>（裁量等级1）</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kern w:val="0"/>
          <w:sz w:val="32"/>
          <w:szCs w:val="32"/>
        </w:rPr>
        <w:t>违法行为后果：</w:t>
      </w:r>
      <w:r>
        <w:rPr>
          <w:rFonts w:hint="eastAsia" w:ascii="仿宋" w:hAnsi="仿宋" w:eastAsia="仿宋" w:cs="仿宋"/>
          <w:sz w:val="32"/>
          <w:szCs w:val="32"/>
        </w:rPr>
        <w:t>未造成突发环境事件（裁量等级1）</w:t>
      </w:r>
    </w:p>
    <w:p>
      <w:pPr>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sz w:val="32"/>
          <w:szCs w:val="32"/>
        </w:rPr>
        <w:t>区域影响：</w:t>
      </w:r>
      <w:r>
        <w:rPr>
          <w:rFonts w:hint="eastAsia" w:ascii="仿宋" w:hAnsi="仿宋" w:eastAsia="仿宋" w:cs="仿宋"/>
          <w:kern w:val="0"/>
          <w:sz w:val="32"/>
          <w:szCs w:val="32"/>
        </w:rPr>
        <w:t>县级行政区域内（裁量等级1）</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kern w:val="0"/>
          <w:sz w:val="32"/>
          <w:szCs w:val="32"/>
        </w:rPr>
        <w:t>社会影响：</w:t>
      </w:r>
      <w:r>
        <w:rPr>
          <w:rFonts w:hint="eastAsia" w:ascii="仿宋" w:hAnsi="仿宋" w:eastAsia="仿宋" w:cs="仿宋"/>
          <w:sz w:val="32"/>
          <w:szCs w:val="32"/>
        </w:rPr>
        <w:t>无媒体曝光且无有效投诉（裁量等级1）</w:t>
      </w:r>
    </w:p>
    <w:p>
      <w:pPr>
        <w:spacing w:line="600" w:lineRule="exact"/>
        <w:ind w:firstLine="640" w:firstLineChars="200"/>
        <w:rPr>
          <w:rFonts w:hint="eastAsia" w:ascii="仿宋" w:hAnsi="仿宋" w:eastAsia="仿宋" w:cs="仿宋"/>
          <w:sz w:val="32"/>
          <w:szCs w:val="32"/>
        </w:rPr>
      </w:pPr>
      <w:r>
        <w:rPr>
          <w:rFonts w:hint="eastAsia" w:ascii="楷体" w:hAnsi="楷体" w:eastAsia="楷体" w:cs="楷体"/>
          <w:sz w:val="32"/>
          <w:szCs w:val="32"/>
        </w:rPr>
        <w:t>（三）修正裁量基准</w:t>
      </w:r>
      <w:r>
        <w:rPr>
          <w:rFonts w:hint="eastAsia" w:ascii="仿宋" w:hAnsi="仿宋" w:eastAsia="仿宋" w:cs="仿宋"/>
          <w:sz w:val="32"/>
          <w:szCs w:val="32"/>
        </w:rPr>
        <w:t>：</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主观过错程度：一般过失（裁量等级-1）</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改正态度：立即改正（裁量等级-2)</w:t>
      </w:r>
    </w:p>
    <w:p>
      <w:pPr>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sz w:val="32"/>
          <w:szCs w:val="32"/>
        </w:rPr>
        <w:t>补救措施：</w:t>
      </w:r>
      <w:r>
        <w:rPr>
          <w:rFonts w:hint="eastAsia" w:ascii="仿宋" w:hAnsi="仿宋" w:eastAsia="仿宋" w:cs="仿宋"/>
          <w:kern w:val="0"/>
          <w:sz w:val="32"/>
          <w:szCs w:val="32"/>
        </w:rPr>
        <w:t>未采取补救措施，环境影响未扩大（裁量等级1）</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kern w:val="0"/>
          <w:sz w:val="32"/>
          <w:szCs w:val="32"/>
        </w:rPr>
        <w:t>配合调查情况：基本配合调查（裁量等级-1）</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经济承受度：大型企事业单位（裁量等级1)</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地区差异：所在地区的裁量等级为2</w:t>
      </w:r>
    </w:p>
    <w:p>
      <w:pPr>
        <w:spacing w:line="60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（四）罚款金额计算</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 xml:space="preserve">裁量系数A </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通过案例调查取证事实，该案违法行为有5 个个性裁量因子，7个共性裁量因子，分别对应裁量等级数值为2、2、3、5、3，2、2、1、1、1、1、1；选取其中一个裁量等级数值为5 的作为首要因子，剩下的裁量等级数值取平均数。具体计算裁量系数A 过程如下：</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计算公式：A=50%×首要因子等级数值十50%×其他裁量因子数值的平均数</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首要因子等级数值：5</w:t>
      </w:r>
    </w:p>
    <w:p>
      <w:pPr>
        <w:spacing w:line="600" w:lineRule="exact"/>
        <w:ind w:firstLine="768" w:firstLineChars="300"/>
        <w:rPr>
          <w:rFonts w:hint="eastAsia" w:ascii="仿宋" w:hAnsi="仿宋" w:eastAsia="仿宋" w:cs="仿宋"/>
          <w:sz w:val="32"/>
          <w:szCs w:val="32"/>
        </w:rPr>
      </w:pPr>
      <w:r>
        <w:rPr>
          <w:rFonts w:hint="eastAsia" w:ascii="仿宋" w:hAnsi="仿宋" w:eastAsia="仿宋" w:cs="仿宋"/>
          <w:w w:val="80"/>
          <w:sz w:val="32"/>
          <w:szCs w:val="32"/>
        </w:rPr>
        <w:t>其他裁量因子数值的平均数：1.73</w:t>
      </w:r>
      <w:r>
        <w:rPr>
          <w:rFonts w:hint="eastAsia" w:ascii="仿宋" w:hAnsi="仿宋" w:eastAsia="仿宋" w:cs="仿宋"/>
          <w:spacing w:val="-10"/>
          <w:w w:val="80"/>
          <w:sz w:val="32"/>
          <w:szCs w:val="32"/>
        </w:rPr>
        <w:t>=</w:t>
      </w:r>
      <w:r>
        <w:rPr>
          <w:rFonts w:hint="eastAsia" w:ascii="仿宋" w:hAnsi="仿宋" w:eastAsia="仿宋" w:cs="仿宋"/>
          <w:w w:val="80"/>
          <w:sz w:val="32"/>
          <w:szCs w:val="32"/>
        </w:rPr>
        <w:t>(2+2+3+3+2+2+1+1+1+1+1)/11</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A=50%×5十50%×1.73=3.365 </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修正系数B</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通过调查取证事实，该案修正裁量因子有6个，分别对应裁量等级数值为-1、-2、1、-1、1、2。具体计算修正系数B 过程如下：</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计算公式：B=修正因子数值之和/12×30%。</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修正因子数值之和：0=-1+(-2)+1+（-1）+1+2 </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B=0/12×30%=0</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罚款金额X</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罚款金额裁量公式：X=N</w:t>
      </w:r>
      <w:r>
        <w:rPr>
          <w:rFonts w:hint="eastAsia" w:ascii="仿宋" w:hAnsi="仿宋" w:eastAsia="仿宋" w:cs="仿宋"/>
          <w:spacing w:val="-10"/>
          <w:sz w:val="32"/>
          <w:szCs w:val="32"/>
        </w:rPr>
        <w:t>＋</w:t>
      </w:r>
      <w:r>
        <w:rPr>
          <w:rFonts w:hint="eastAsia" w:ascii="仿宋" w:hAnsi="仿宋" w:eastAsia="仿宋" w:cs="仿宋"/>
          <w:sz w:val="32"/>
          <w:szCs w:val="32"/>
        </w:rPr>
        <w:t>（M-N）×[（A-1）/4]×（1+B）结合案件违法所依据的法规（处十万元以上一百万元以下的罚款），计算公式各参数如下：</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M</w:t>
      </w:r>
      <w:r>
        <w:rPr>
          <w:rFonts w:hint="eastAsia" w:ascii="仿宋" w:hAnsi="仿宋" w:eastAsia="仿宋" w:cs="仿宋"/>
          <w:sz w:val="32"/>
          <w:szCs w:val="32"/>
          <w:lang w:eastAsia="zh-CN"/>
        </w:rPr>
        <w:t>：</w:t>
      </w:r>
      <w:r>
        <w:rPr>
          <w:rFonts w:hint="eastAsia" w:ascii="仿宋" w:hAnsi="仿宋" w:eastAsia="仿宋" w:cs="仿宋"/>
          <w:sz w:val="32"/>
          <w:szCs w:val="32"/>
        </w:rPr>
        <w:t>1000000</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N：100000</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A：3.365</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B：0</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X=100000</w:t>
      </w:r>
      <w:r>
        <w:rPr>
          <w:rFonts w:hint="eastAsia" w:ascii="仿宋" w:hAnsi="仿宋" w:eastAsia="仿宋" w:cs="仿宋"/>
          <w:spacing w:val="-10"/>
          <w:sz w:val="32"/>
          <w:szCs w:val="32"/>
        </w:rPr>
        <w:t>＋</w:t>
      </w:r>
      <w:r>
        <w:rPr>
          <w:rFonts w:hint="eastAsia" w:ascii="仿宋" w:hAnsi="仿宋" w:eastAsia="仿宋" w:cs="仿宋"/>
          <w:sz w:val="32"/>
          <w:szCs w:val="32"/>
        </w:rPr>
        <w:t xml:space="preserve">(1000000-100000)×(3.365-1)/4×[1+0] </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X=632125 </w:t>
      </w:r>
    </w:p>
    <w:p>
      <w:pPr>
        <w:spacing w:line="600" w:lineRule="exact"/>
        <w:ind w:firstLine="640" w:firstLineChars="200"/>
        <w:rPr>
          <w:rFonts w:hint="default" w:ascii="仿宋" w:hAnsi="仿宋" w:eastAsia="仿宋" w:cs="宋体"/>
          <w:kern w:val="0"/>
          <w:sz w:val="32"/>
          <w:szCs w:val="32"/>
          <w:lang w:val="en-US" w:eastAsia="zh-CN"/>
        </w:rPr>
      </w:pPr>
      <w:r>
        <w:rPr>
          <w:rFonts w:hint="eastAsia" w:ascii="仿宋" w:hAnsi="仿宋" w:eastAsia="仿宋" w:cs="仿宋"/>
          <w:sz w:val="32"/>
          <w:szCs w:val="32"/>
        </w:rPr>
        <w:t>罚款金额为632125元。</w:t>
      </w:r>
    </w:p>
    <w:sectPr>
      <w:footerReference r:id="rId3" w:type="default"/>
      <w:pgSz w:w="11906" w:h="16838"/>
      <w:pgMar w:top="1440" w:right="1361" w:bottom="1701" w:left="1474"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E-BZ">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仿宋" w:hAnsi="仿宋" w:eastAsia="仿宋" w:cs="仿宋"/>
        <w:sz w:val="30"/>
        <w:szCs w:val="30"/>
      </w:rPr>
    </w:pPr>
    <w:r>
      <w:rPr>
        <w:rFonts w:hint="eastAsia" w:ascii="仿宋" w:hAnsi="仿宋" w:eastAsia="仿宋" w:cs="仿宋"/>
        <w:sz w:val="30"/>
        <w:szCs w:val="3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 w:hAnsi="仿宋" w:eastAsia="仿宋" w:cs="仿宋"/>
                              <w:sz w:val="30"/>
                              <w:szCs w:val="30"/>
                              <w:lang w:eastAsia="zh-CN"/>
                            </w:rPr>
                          </w:pPr>
                          <w:r>
                            <w:rPr>
                              <w:rFonts w:hint="eastAsia" w:ascii="仿宋" w:hAnsi="仿宋" w:eastAsia="仿宋" w:cs="仿宋"/>
                              <w:sz w:val="30"/>
                              <w:szCs w:val="30"/>
                              <w:lang w:eastAsia="zh-CN"/>
                            </w:rPr>
                            <w:fldChar w:fldCharType="begin"/>
                          </w:r>
                          <w:r>
                            <w:rPr>
                              <w:rFonts w:hint="eastAsia" w:ascii="仿宋" w:hAnsi="仿宋" w:eastAsia="仿宋" w:cs="仿宋"/>
                              <w:sz w:val="30"/>
                              <w:szCs w:val="30"/>
                              <w:lang w:eastAsia="zh-CN"/>
                            </w:rPr>
                            <w:instrText xml:space="preserve"> PAGE  \* MERGEFORMAT </w:instrText>
                          </w:r>
                          <w:r>
                            <w:rPr>
                              <w:rFonts w:hint="eastAsia" w:ascii="仿宋" w:hAnsi="仿宋" w:eastAsia="仿宋" w:cs="仿宋"/>
                              <w:sz w:val="30"/>
                              <w:szCs w:val="30"/>
                              <w:lang w:eastAsia="zh-CN"/>
                            </w:rPr>
                            <w:fldChar w:fldCharType="separate"/>
                          </w:r>
                          <w:r>
                            <w:rPr>
                              <w:rFonts w:hint="eastAsia" w:ascii="仿宋" w:hAnsi="仿宋" w:eastAsia="仿宋" w:cs="仿宋"/>
                              <w:sz w:val="30"/>
                              <w:szCs w:val="30"/>
                              <w:lang w:eastAsia="zh-CN"/>
                            </w:rPr>
                            <w:t>1</w:t>
                          </w:r>
                          <w:r>
                            <w:rPr>
                              <w:rFonts w:hint="eastAsia" w:ascii="仿宋" w:hAnsi="仿宋" w:eastAsia="仿宋" w:cs="仿宋"/>
                              <w:sz w:val="30"/>
                              <w:szCs w:val="3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ascii="仿宋" w:hAnsi="仿宋" w:eastAsia="仿宋" w:cs="仿宋"/>
                        <w:sz w:val="30"/>
                        <w:szCs w:val="30"/>
                        <w:lang w:eastAsia="zh-CN"/>
                      </w:rPr>
                    </w:pPr>
                    <w:r>
                      <w:rPr>
                        <w:rFonts w:hint="eastAsia" w:ascii="仿宋" w:hAnsi="仿宋" w:eastAsia="仿宋" w:cs="仿宋"/>
                        <w:sz w:val="30"/>
                        <w:szCs w:val="30"/>
                        <w:lang w:eastAsia="zh-CN"/>
                      </w:rPr>
                      <w:fldChar w:fldCharType="begin"/>
                    </w:r>
                    <w:r>
                      <w:rPr>
                        <w:rFonts w:hint="eastAsia" w:ascii="仿宋" w:hAnsi="仿宋" w:eastAsia="仿宋" w:cs="仿宋"/>
                        <w:sz w:val="30"/>
                        <w:szCs w:val="30"/>
                        <w:lang w:eastAsia="zh-CN"/>
                      </w:rPr>
                      <w:instrText xml:space="preserve"> PAGE  \* MERGEFORMAT </w:instrText>
                    </w:r>
                    <w:r>
                      <w:rPr>
                        <w:rFonts w:hint="eastAsia" w:ascii="仿宋" w:hAnsi="仿宋" w:eastAsia="仿宋" w:cs="仿宋"/>
                        <w:sz w:val="30"/>
                        <w:szCs w:val="30"/>
                        <w:lang w:eastAsia="zh-CN"/>
                      </w:rPr>
                      <w:fldChar w:fldCharType="separate"/>
                    </w:r>
                    <w:r>
                      <w:rPr>
                        <w:rFonts w:hint="eastAsia" w:ascii="仿宋" w:hAnsi="仿宋" w:eastAsia="仿宋" w:cs="仿宋"/>
                        <w:sz w:val="30"/>
                        <w:szCs w:val="30"/>
                        <w:lang w:eastAsia="zh-CN"/>
                      </w:rPr>
                      <w:t>1</w:t>
                    </w:r>
                    <w:r>
                      <w:rPr>
                        <w:rFonts w:hint="eastAsia" w:ascii="仿宋" w:hAnsi="仿宋" w:eastAsia="仿宋" w:cs="仿宋"/>
                        <w:sz w:val="30"/>
                        <w:szCs w:val="30"/>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trackedChange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991FF7"/>
    <w:rsid w:val="010E38BB"/>
    <w:rsid w:val="020A1402"/>
    <w:rsid w:val="06681822"/>
    <w:rsid w:val="07A450F7"/>
    <w:rsid w:val="15993FAE"/>
    <w:rsid w:val="173815ED"/>
    <w:rsid w:val="18B96A9C"/>
    <w:rsid w:val="1C6521E1"/>
    <w:rsid w:val="20D763E4"/>
    <w:rsid w:val="2403384E"/>
    <w:rsid w:val="25E21656"/>
    <w:rsid w:val="26126801"/>
    <w:rsid w:val="272B3ACA"/>
    <w:rsid w:val="29DB4AFE"/>
    <w:rsid w:val="2C664F62"/>
    <w:rsid w:val="2E810B63"/>
    <w:rsid w:val="2F32533F"/>
    <w:rsid w:val="303077A5"/>
    <w:rsid w:val="35001187"/>
    <w:rsid w:val="35DB6D0F"/>
    <w:rsid w:val="38010BDD"/>
    <w:rsid w:val="3C470FBA"/>
    <w:rsid w:val="3DE70C2F"/>
    <w:rsid w:val="3FE54D37"/>
    <w:rsid w:val="44FA0DFD"/>
    <w:rsid w:val="46D5010C"/>
    <w:rsid w:val="47342CC0"/>
    <w:rsid w:val="474B14EC"/>
    <w:rsid w:val="479101A3"/>
    <w:rsid w:val="47C24E49"/>
    <w:rsid w:val="490E52BE"/>
    <w:rsid w:val="49D5069F"/>
    <w:rsid w:val="50AD2581"/>
    <w:rsid w:val="56203FC8"/>
    <w:rsid w:val="5BB056A1"/>
    <w:rsid w:val="5FD83B8F"/>
    <w:rsid w:val="636355DB"/>
    <w:rsid w:val="67EB6835"/>
    <w:rsid w:val="69BB297E"/>
    <w:rsid w:val="6E0E3D0F"/>
    <w:rsid w:val="6EA8692D"/>
    <w:rsid w:val="6ECC01E8"/>
    <w:rsid w:val="6F4F260E"/>
    <w:rsid w:val="78D26808"/>
    <w:rsid w:val="7A991FF7"/>
    <w:rsid w:val="7DA35B56"/>
    <w:rsid w:val="7E706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12936</Words>
  <Characters>13671</Characters>
  <Lines>0</Lines>
  <Paragraphs>0</Paragraphs>
  <TotalTime>13</TotalTime>
  <ScaleCrop>false</ScaleCrop>
  <LinksUpToDate>false</LinksUpToDate>
  <CharactersWithSpaces>13991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2020-08-17T01:51:00Z</dcterms:created>
  <dc:creator>lyr</dc:creator>
  <cp:lastModifiedBy>lio</cp:lastModifiedBy>
  <dcterms:modified xsi:type="dcterms:W3CDTF">2020-08-24T03:06:48Z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