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黑体" w:hAnsi="黑体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9" w:afterLines="80"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生态环境导向的开发（EOD）模式项目实施方案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9" w:afterLines="80"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编  制  大  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一、项目区域总体情况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（一）项目区域概况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包括项目区域范围、经济社会发展概况。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（二）生态环境现状与突出问题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（三）生态环境保护与产业融合发展思路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（四）项目实施目标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EOD项目生态环境效益目标，明确项目实施前后生态环境质量改善定量、定性目标。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（一）项目建设内容之间的关联性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明确生态环境治理与产业开发之间的关联关系，做到两者融合共生。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（二）项目主要建设内容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  <w:t>分别说明生态环境治理与关联产业开发等建设内容、工程措施等。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三、项目实施方式与计划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（一）项目组织实施方式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生态环境治理与关联产业须实现一体化实施，依法依规确定EOD项目实施主体的方式，引入社会资本。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（二）实施期限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明确项目建设期、运维期等。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（三）项目实施进展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明确项目立项、项目实施进度等情况。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（四）年度计划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0" w:name="_Hlk96700714"/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四、投资估算与资金筹措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（一）投资估算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包括编制依据与投资估算等。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（二）资金筹措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包括资本金筹集方式和比例、项目融资来源及渠道。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五、项目财务分析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（一）项目预期收益与支出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明确项目层面的成本、收益及其测算依据，增强项目收益、支出的科学性与合理性。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不以土地出让收益、税收、预期新增财政收入等返还补助作为项目收益。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项目建设、运维成本均包括生态环境治理与产业开发等内容。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（二）项目资金平衡方案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以EOD项目为整体开展财务测算。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项目建设和运营期间需政府资金投入的，需明确政府资金投入额度和投入方式。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除规范的PPP项目外，不涉及运营期间政府付费。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优化项目内容，力争在不依靠政府投入的情况下实现项目整体收益与成本平衡。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六、实施保障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EOD项目推进实施、长效机制建立等。</w:t>
      </w:r>
    </w:p>
    <w:p>
      <w:pPr>
        <w:autoSpaceDN w:val="0"/>
        <w:adjustRightInd w:val="0"/>
        <w:snapToGrid w:val="0"/>
        <w:jc w:val="left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jc w:val="left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jc w:val="left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2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2022-04-11T00:49:10Z</dcterms:created>
  <dc:creator>Administrator</dc:creator>
  <cp:lastModifiedBy>谢洲</cp:lastModifiedBy>
  <dcterms:modified xsi:type="dcterms:W3CDTF">2022-04-11T00:50:39Z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