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2022年度国有资产清查盘点服务采购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bookmarkEnd w:id="0"/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  <w:rPr>
          <w:rFonts w:hint="eastAsia"/>
        </w:rPr>
      </w:pPr>
    </w:p>
    <w:tbl>
      <w:tblPr>
        <w:tblStyle w:val="5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rFonts w:hint="eastAsia"/>
          <w:color w:val="auto"/>
          <w:szCs w:val="21"/>
          <w:highlight w:val="none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6064"/>
    <w:rsid w:val="5F24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2022-02-28T09:21:00Z</dcterms:created>
  <dc:creator>流年无觞</dc:creator>
  <cp:lastModifiedBy>流年无觞</cp:lastModifiedBy>
  <dcterms:modified xsi:type="dcterms:W3CDTF">2022-02-28T09:21:39Z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