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附件</w:t>
      </w:r>
      <w:r>
        <w:rPr>
          <w:rFonts w:hint="default" w:ascii="Times New Roman" w:hAnsi="Times New Roman" w:eastAsia="黑体" w:cs="Times New Roman"/>
          <w:sz w:val="32"/>
          <w:szCs w:val="32"/>
        </w:rPr>
        <w:t>5</w:t>
      </w:r>
    </w:p>
    <w:p>
      <w:pPr>
        <w:widowControl w:val="0"/>
        <w:tabs>
          <w:tab w:val="left" w:pos="0"/>
        </w:tabs>
        <w:spacing w:line="60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 xml:space="preserve">综合评分办法 </w:t>
      </w:r>
    </w:p>
    <w:p>
      <w:pPr>
        <w:keepNext w:val="0"/>
        <w:keepLines w:val="0"/>
        <w:pageBreakBefore w:val="0"/>
        <w:widowControl/>
        <w:kinsoku/>
        <w:wordWrap/>
        <w:overflowPunct/>
        <w:topLinePunct w:val="0"/>
        <w:autoSpaceDE/>
        <w:autoSpaceDN/>
        <w:bidi w:val="0"/>
        <w:adjustRightInd/>
        <w:snapToGrid/>
        <w:spacing w:before="313" w:beforeLines="100" w:line="400" w:lineRule="exact"/>
        <w:ind w:firstLine="426" w:firstLineChars="202"/>
        <w:textAlignment w:val="auto"/>
        <w:rPr>
          <w:rFonts w:hint="default" w:ascii="Times New Roman" w:hAnsi="Times New Roman" w:cs="Times New Roman"/>
          <w:b/>
          <w:szCs w:val="21"/>
        </w:rPr>
      </w:pPr>
      <w:r>
        <w:rPr>
          <w:rFonts w:hint="default" w:ascii="Times New Roman" w:hAnsi="Times New Roman" w:cs="Times New Roman"/>
          <w:b/>
          <w:szCs w:val="21"/>
        </w:rPr>
        <w:t>一、评审原则</w:t>
      </w:r>
    </w:p>
    <w:p>
      <w:pPr>
        <w:keepNext w:val="0"/>
        <w:keepLines w:val="0"/>
        <w:pageBreakBefore w:val="0"/>
        <w:widowControl/>
        <w:kinsoku/>
        <w:wordWrap/>
        <w:overflowPunct/>
        <w:topLinePunct w:val="0"/>
        <w:autoSpaceDE/>
        <w:autoSpaceDN/>
        <w:bidi w:val="0"/>
        <w:adjustRightInd/>
        <w:snapToGrid/>
        <w:spacing w:line="400" w:lineRule="exact"/>
        <w:ind w:firstLine="424" w:firstLineChars="202"/>
        <w:textAlignment w:val="auto"/>
        <w:rPr>
          <w:rFonts w:hint="default" w:ascii="Times New Roman" w:hAnsi="Times New Roman" w:cs="Times New Roman"/>
          <w:szCs w:val="21"/>
        </w:rPr>
      </w:pPr>
      <w:r>
        <w:rPr>
          <w:rFonts w:hint="default" w:ascii="Times New Roman" w:hAnsi="Times New Roman" w:cs="Times New Roman"/>
          <w:szCs w:val="21"/>
        </w:rPr>
        <w:t>(一）评审小组构成：本项目的评审小组由采购单位组建，成员包含技术、经济等方面专业人员，成员人数为三人以上（含三人）单数。其中，技术、经济等方面的专家不得少于成员总数的三分之二。</w:t>
      </w:r>
    </w:p>
    <w:p>
      <w:pPr>
        <w:keepNext w:val="0"/>
        <w:keepLines w:val="0"/>
        <w:pageBreakBefore w:val="0"/>
        <w:widowControl/>
        <w:kinsoku/>
        <w:wordWrap/>
        <w:overflowPunct/>
        <w:topLinePunct w:val="0"/>
        <w:autoSpaceDE/>
        <w:autoSpaceDN/>
        <w:bidi w:val="0"/>
        <w:adjustRightInd/>
        <w:snapToGrid/>
        <w:spacing w:line="400" w:lineRule="exact"/>
        <w:ind w:firstLine="424" w:firstLineChars="202"/>
        <w:textAlignment w:val="auto"/>
        <w:rPr>
          <w:rFonts w:hint="default" w:ascii="Times New Roman" w:hAnsi="Times New Roman" w:cs="Times New Roman"/>
          <w:szCs w:val="21"/>
        </w:rPr>
      </w:pPr>
      <w:r>
        <w:rPr>
          <w:rFonts w:hint="default" w:ascii="Times New Roman" w:hAnsi="Times New Roman" w:cs="Times New Roman"/>
          <w:szCs w:val="21"/>
        </w:rPr>
        <w:t>(二）评审依据：本评审办法和供应商提交的响应文件。</w:t>
      </w:r>
    </w:p>
    <w:p>
      <w:pPr>
        <w:keepNext w:val="0"/>
        <w:keepLines w:val="0"/>
        <w:pageBreakBefore w:val="0"/>
        <w:widowControl/>
        <w:kinsoku/>
        <w:wordWrap/>
        <w:overflowPunct/>
        <w:topLinePunct w:val="0"/>
        <w:autoSpaceDE/>
        <w:autoSpaceDN/>
        <w:bidi w:val="0"/>
        <w:adjustRightInd/>
        <w:snapToGrid/>
        <w:spacing w:line="400" w:lineRule="exact"/>
        <w:ind w:firstLine="424" w:firstLineChars="202"/>
        <w:textAlignment w:val="auto"/>
        <w:rPr>
          <w:rFonts w:hint="default" w:ascii="Times New Roman" w:hAnsi="Times New Roman" w:cs="Times New Roman"/>
          <w:szCs w:val="21"/>
        </w:rPr>
      </w:pPr>
      <w:r>
        <w:rPr>
          <w:rFonts w:hint="default" w:ascii="Times New Roman" w:hAnsi="Times New Roman" w:cs="Times New Roman"/>
          <w:szCs w:val="21"/>
        </w:rPr>
        <w:t>(三）评审方法：综合评分法。</w:t>
      </w:r>
    </w:p>
    <w:p>
      <w:pPr>
        <w:keepNext w:val="0"/>
        <w:keepLines w:val="0"/>
        <w:pageBreakBefore w:val="0"/>
        <w:widowControl/>
        <w:kinsoku/>
        <w:wordWrap/>
        <w:overflowPunct/>
        <w:topLinePunct w:val="0"/>
        <w:autoSpaceDE/>
        <w:autoSpaceDN/>
        <w:bidi w:val="0"/>
        <w:adjustRightInd/>
        <w:snapToGrid/>
        <w:spacing w:line="400" w:lineRule="exact"/>
        <w:ind w:firstLine="426" w:firstLineChars="202"/>
        <w:textAlignment w:val="auto"/>
        <w:rPr>
          <w:rFonts w:hint="default" w:ascii="Times New Roman" w:hAnsi="Times New Roman" w:cs="Times New Roman"/>
          <w:b/>
          <w:szCs w:val="21"/>
        </w:rPr>
      </w:pPr>
      <w:r>
        <w:rPr>
          <w:rFonts w:hint="default" w:ascii="Times New Roman" w:hAnsi="Times New Roman" w:cs="Times New Roman"/>
          <w:b/>
          <w:szCs w:val="21"/>
        </w:rPr>
        <w:t>二、评审方法</w:t>
      </w:r>
    </w:p>
    <w:p>
      <w:pPr>
        <w:keepNext w:val="0"/>
        <w:keepLines w:val="0"/>
        <w:pageBreakBefore w:val="0"/>
        <w:widowControl/>
        <w:kinsoku/>
        <w:wordWrap/>
        <w:overflowPunct/>
        <w:topLinePunct w:val="0"/>
        <w:autoSpaceDE/>
        <w:autoSpaceDN/>
        <w:bidi w:val="0"/>
        <w:adjustRightInd/>
        <w:snapToGrid/>
        <w:spacing w:line="400" w:lineRule="exact"/>
        <w:ind w:firstLine="424" w:firstLineChars="202"/>
        <w:textAlignment w:val="auto"/>
        <w:rPr>
          <w:rFonts w:hint="default" w:ascii="Times New Roman" w:hAnsi="Times New Roman" w:cs="Times New Roman"/>
          <w:szCs w:val="21"/>
        </w:rPr>
      </w:pPr>
      <w:r>
        <w:rPr>
          <w:rFonts w:hint="default" w:ascii="Times New Roman" w:hAnsi="Times New Roman" w:cs="Times New Roman"/>
          <w:szCs w:val="21"/>
        </w:rPr>
        <w:t>供应商提交的报价及资格材料经初核符合要求的进入详评，评审小组将按本评审办法和响应文件为评定依据，采用百分制综合评分法：</w:t>
      </w:r>
    </w:p>
    <w:p>
      <w:pPr>
        <w:keepNext w:val="0"/>
        <w:keepLines w:val="0"/>
        <w:pageBreakBefore w:val="0"/>
        <w:widowControl/>
        <w:kinsoku/>
        <w:wordWrap/>
        <w:overflowPunct/>
        <w:topLinePunct w:val="0"/>
        <w:autoSpaceDE/>
        <w:autoSpaceDN/>
        <w:bidi w:val="0"/>
        <w:adjustRightInd/>
        <w:snapToGrid/>
        <w:spacing w:line="400" w:lineRule="exact"/>
        <w:ind w:firstLine="426" w:firstLineChars="202"/>
        <w:textAlignment w:val="auto"/>
        <w:rPr>
          <w:rFonts w:hint="default" w:ascii="Times New Roman" w:hAnsi="Times New Roman" w:cs="Times New Roman"/>
          <w:b/>
          <w:szCs w:val="21"/>
        </w:rPr>
      </w:pPr>
      <w:r>
        <w:rPr>
          <w:rFonts w:hint="default" w:ascii="Times New Roman" w:hAnsi="Times New Roman" w:cs="Times New Roman"/>
          <w:b/>
          <w:szCs w:val="21"/>
        </w:rPr>
        <w:t>评分细则（按四舍五入取至百分位）：</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szCs w:val="21"/>
        </w:rPr>
      </w:pPr>
      <w:r>
        <w:rPr>
          <w:rFonts w:hint="default" w:ascii="Times New Roman" w:hAnsi="Times New Roman" w:cs="Times New Roman"/>
          <w:b/>
          <w:szCs w:val="21"/>
        </w:rPr>
        <w:t>（一）价格分…………………………………………………  （10）分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1、评审价为供应商的报价进行政策性扣除后的价格，评审价只是作为评审时使用。最终成交人的成交报价＝最终报价。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2、按照《政府采购促进中小企业发展管理办法》（财库〔2020〕46号）规定，供应商为小型和微型企业，并在其响应文件中提供《中小企业声明函》，且其所竞标产品为小型和微型企业生产的，对其竞标价格给予6%的扣除。</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5、政策性扣除计算方法。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供应商被评定为监狱企业或残疾人福利性单位或小型和微型企业且其所竞标产品为小型和微型企业产品的，该供应商的磋商报价给予6%的扣除，扣除后的价格为评审报价，即评审报价=初始报价×（1-6%）；除上述情况外，评审报价=最终报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6、以进入评审的最低的评审报价为</w:t>
      </w:r>
      <w:r>
        <w:rPr>
          <w:rFonts w:hint="default" w:ascii="Times New Roman" w:hAnsi="Times New Roman" w:cs="Times New Roman"/>
          <w:b/>
          <w:szCs w:val="21"/>
        </w:rPr>
        <w:t>（10）</w:t>
      </w:r>
      <w:r>
        <w:rPr>
          <w:rFonts w:hint="default" w:ascii="Times New Roman" w:hAnsi="Times New Roman" w:cs="Times New Roman"/>
          <w:szCs w:val="21"/>
        </w:rPr>
        <w:t>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pacing w:val="-6"/>
          <w:szCs w:val="21"/>
        </w:rPr>
        <w:t>某供应商价格分 = 供应商最低评审报价（金额）/某供应商评审报价（金额）×</w:t>
      </w:r>
      <w:r>
        <w:rPr>
          <w:rFonts w:hint="default" w:ascii="Times New Roman" w:hAnsi="Times New Roman" w:cs="Times New Roman"/>
          <w:b/>
          <w:szCs w:val="21"/>
        </w:rPr>
        <w:t>10</w:t>
      </w:r>
      <w:r>
        <w:rPr>
          <w:rFonts w:hint="default" w:ascii="Times New Roman" w:hAnsi="Times New Roman" w:cs="Times New Roman"/>
          <w:szCs w:val="21"/>
        </w:rPr>
        <w:t>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（二）技术分………………………………………………………………70分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eastAsia" w:ascii="Times New Roman" w:eastAsia="宋体" w:cs="Times New Roman"/>
          <w:bCs/>
          <w:color w:val="auto"/>
          <w:highlight w:val="none"/>
          <w:lang w:val="en-US" w:eastAsia="zh-CN"/>
        </w:rPr>
        <w:t>1、</w:t>
      </w:r>
      <w:r>
        <w:rPr>
          <w:rFonts w:hint="default" w:ascii="Times New Roman" w:hAnsi="Times New Roman" w:eastAsia="宋体" w:cs="Times New Roman"/>
          <w:bCs/>
          <w:color w:val="auto"/>
          <w:highlight w:val="none"/>
        </w:rPr>
        <w:t>检测能力与服务方案，满分</w:t>
      </w:r>
      <w:r>
        <w:rPr>
          <w:rFonts w:hint="eastAsia" w:ascii="Times New Roman" w:eastAsia="宋体" w:cs="Times New Roman"/>
          <w:bCs/>
          <w:color w:val="auto"/>
          <w:highlight w:val="none"/>
          <w:lang w:val="en-US" w:eastAsia="zh-CN"/>
        </w:rPr>
        <w:t>20</w:t>
      </w:r>
      <w:r>
        <w:rPr>
          <w:rFonts w:hint="default" w:ascii="Times New Roman" w:hAnsi="Times New Roman" w:eastAsia="宋体" w:cs="Times New Roman"/>
          <w:bCs/>
          <w:color w:val="auto"/>
          <w:highlight w:val="none"/>
        </w:rPr>
        <w:t>分 （提供有效证明资质材料复印件）</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一档：具有相关项目检定或校准资质，且具有相关项目社会公用计量标准考核证书大于10项以上，检测方案基本合理、措施基本可行。得5分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二档：具有相关项目检定或校准资质，且具有相关项目社会公用计量标准考核证书大于20项以上，检测方案合理、措施可行，能指导具体检测工作并确保安全。得10分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Cs/>
          <w:color w:val="auto"/>
          <w:highlight w:val="none"/>
        </w:rPr>
        <w:t>三档：具有相关项目检定或校准资质，具有相关项目社会公用计量标准考核证书</w:t>
      </w:r>
      <w:r>
        <w:rPr>
          <w:rFonts w:hint="default" w:ascii="Times New Roman" w:hAnsi="Times New Roman" w:cs="Times New Roman"/>
          <w:color w:val="auto"/>
          <w:highlight w:val="none"/>
        </w:rPr>
        <w:t>大于30项以上</w:t>
      </w:r>
      <w:r>
        <w:rPr>
          <w:rFonts w:hint="default" w:ascii="Times New Roman" w:hAnsi="Times New Roman" w:eastAsia="宋体" w:cs="Times New Roman"/>
          <w:bCs/>
          <w:color w:val="auto"/>
          <w:highlight w:val="none"/>
        </w:rPr>
        <w:t>，检测方案详尽周密，措施切实可行，成立检测工作领导小组，能较好指导具体检测工作并确保安全。得</w:t>
      </w:r>
      <w:r>
        <w:rPr>
          <w:rFonts w:hint="eastAsia" w:ascii="Times New Roman" w:eastAsia="宋体" w:cs="Times New Roman"/>
          <w:bCs/>
          <w:color w:val="auto"/>
          <w:highlight w:val="none"/>
          <w:lang w:val="en-US" w:eastAsia="zh-CN"/>
        </w:rPr>
        <w:t>20</w:t>
      </w:r>
      <w:r>
        <w:rPr>
          <w:rFonts w:hint="default" w:ascii="Times New Roman" w:hAnsi="Times New Roman" w:eastAsia="宋体" w:cs="Times New Roman"/>
          <w:bCs/>
          <w:color w:val="auto"/>
          <w:highlight w:val="none"/>
        </w:rPr>
        <w:t>分</w:t>
      </w:r>
      <w:r>
        <w:rPr>
          <w:rFonts w:hint="default" w:ascii="Times New Roman" w:hAnsi="Times New Roman" w:cs="Times New Roman"/>
          <w:color w:val="auto"/>
          <w:spacing w:val="-6"/>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color w:val="auto"/>
          <w:szCs w:val="21"/>
          <w:highlight w:val="none"/>
        </w:rPr>
      </w:pPr>
      <w:r>
        <w:rPr>
          <w:rFonts w:hint="eastAsia" w:ascii="Times New Roman" w:hAnsi="Times New Roman" w:cs="Times New Roman"/>
          <w:bCs/>
          <w:color w:val="auto"/>
          <w:highlight w:val="none"/>
          <w:lang w:val="en-US" w:eastAsia="zh-CN"/>
        </w:rPr>
        <w:t>2、</w:t>
      </w:r>
      <w:r>
        <w:rPr>
          <w:rFonts w:hint="default" w:ascii="Times New Roman" w:hAnsi="Times New Roman" w:cs="Times New Roman"/>
          <w:bCs/>
          <w:color w:val="auto"/>
          <w:highlight w:val="none"/>
        </w:rPr>
        <w:t>拟投入本项目人员情况</w:t>
      </w:r>
      <w:r>
        <w:rPr>
          <w:rFonts w:hint="default" w:ascii="Times New Roman" w:hAnsi="Times New Roman" w:cs="Times New Roman"/>
          <w:b/>
          <w:color w:val="auto"/>
          <w:szCs w:val="21"/>
          <w:highlight w:val="none"/>
        </w:rPr>
        <w:t>……………………</w:t>
      </w:r>
      <w:r>
        <w:rPr>
          <w:rFonts w:hint="default" w:ascii="Times New Roman" w:hAnsi="Times New Roman" w:cs="Times New Roman"/>
          <w:bCs/>
          <w:color w:val="auto"/>
          <w:highlight w:val="none"/>
        </w:rPr>
        <w:t>满分15 分  （提供有效证明材料复印件）</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 xml:space="preserve">一档：主要检测人员 1-7人（含7人），主要检测人员具有中级技术职称；无一级注册计量师人数或高级职称人员。得5分 </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二档：主要检测人员 8-12人（含12 人），具有中级技术或以上职称且获得一级、二级注册计量师以上资格证</w:t>
      </w:r>
      <w:r>
        <w:rPr>
          <w:rFonts w:hint="default" w:ascii="Times New Roman" w:hAnsi="Times New Roman" w:cs="Times New Roman"/>
          <w:color w:val="auto"/>
          <w:highlight w:val="none"/>
        </w:rPr>
        <w:t>≥5人</w:t>
      </w:r>
      <w:r>
        <w:rPr>
          <w:rFonts w:hint="default" w:ascii="Times New Roman" w:hAnsi="Times New Roman" w:eastAsia="宋体" w:cs="Times New Roman"/>
          <w:bCs/>
          <w:color w:val="auto"/>
          <w:highlight w:val="none"/>
        </w:rPr>
        <w:t>。搭配合理，均具有检测上岗证书。得10分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cs="Times New Roman"/>
          <w:color w:val="auto"/>
          <w:spacing w:val="-6"/>
          <w:highlight w:val="none"/>
        </w:rPr>
      </w:pPr>
      <w:r>
        <w:rPr>
          <w:rFonts w:hint="default" w:ascii="Times New Roman" w:hAnsi="Times New Roman" w:eastAsia="宋体" w:cs="Times New Roman"/>
          <w:bCs/>
          <w:color w:val="auto"/>
          <w:highlight w:val="none"/>
        </w:rPr>
        <w:t>三档：主要检测人员 13人以上（含 13人），具备相关项目人员资质，且一级注册计量师人数或高级职称人员≥10人，得15分。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Cs/>
          <w:color w:val="auto"/>
          <w:highlight w:val="none"/>
        </w:rPr>
      </w:pPr>
      <w:r>
        <w:rPr>
          <w:rFonts w:hint="default" w:ascii="Times New Roman" w:hAnsi="Times New Roman" w:cs="Times New Roman"/>
          <w:color w:val="auto"/>
          <w:highlight w:val="none"/>
        </w:rPr>
        <w:t xml:space="preserve"> </w:t>
      </w:r>
      <w:r>
        <w:rPr>
          <w:rFonts w:hint="eastAsia" w:ascii="Times New Roman" w:hAnsi="Times New Roman" w:cs="Times New Roman"/>
          <w:bCs/>
          <w:color w:val="auto"/>
          <w:highlight w:val="none"/>
          <w:lang w:val="en-US" w:eastAsia="zh-CN"/>
        </w:rPr>
        <w:t>3、</w:t>
      </w:r>
      <w:r>
        <w:rPr>
          <w:rFonts w:hint="default" w:ascii="Times New Roman" w:hAnsi="Times New Roman" w:cs="Times New Roman"/>
          <w:bCs/>
          <w:color w:val="auto"/>
          <w:highlight w:val="none"/>
        </w:rPr>
        <w:t>检测质量、安全措施，满分15 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一档：制定的检测质量、安全措施不得当，无质量控制重点或内容不全。得5分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二档：制定的检测质量、安全措施重点基本符合项目实际，检测质量、安全措施基本可行。得10分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三档：本项目检测质量、安全措施的工作目标任务明确，对本项目检测工作岗位职责较好实施质量监督，对检测结果质量的有效性能进行控制。得15分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eastAsia" w:ascii="Times New Roman" w:eastAsia="宋体" w:cs="Times New Roman"/>
          <w:bCs/>
          <w:color w:val="auto"/>
          <w:highlight w:val="none"/>
          <w:lang w:val="en-US" w:eastAsia="zh-CN"/>
        </w:rPr>
        <w:t>4、</w:t>
      </w:r>
      <w:r>
        <w:rPr>
          <w:rFonts w:hint="default" w:ascii="Times New Roman" w:hAnsi="Times New Roman" w:eastAsia="宋体" w:cs="Times New Roman"/>
          <w:bCs/>
          <w:color w:val="auto"/>
          <w:highlight w:val="none"/>
        </w:rPr>
        <w:t>服务承诺方案分，满分</w:t>
      </w:r>
      <w:r>
        <w:rPr>
          <w:rFonts w:hint="eastAsia" w:ascii="Times New Roman" w:eastAsia="宋体" w:cs="Times New Roman"/>
          <w:bCs/>
          <w:color w:val="auto"/>
          <w:highlight w:val="none"/>
          <w:lang w:val="en-US" w:eastAsia="zh-CN"/>
        </w:rPr>
        <w:t>20</w:t>
      </w:r>
      <w:r>
        <w:rPr>
          <w:rFonts w:hint="default" w:ascii="Times New Roman" w:hAnsi="Times New Roman" w:eastAsia="宋体" w:cs="Times New Roman"/>
          <w:bCs/>
          <w:color w:val="auto"/>
          <w:highlight w:val="none"/>
        </w:rPr>
        <w:t>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一档：提供了简单的项目组织实施方案以及系统/组织实施方案，对组织机构、工作程序和步骤、管理和协调方法、关键步骤的思路和要点等没有详细阐述，设备检定/校准完成时间承诺在15日内完成。得5分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二档：提供规范的项目组织实施方案，包括系统/组织实施方案，以及组织机构、工作程序和步骤等，方案比较完整，具备可操作性。设备检定/校准完成时间承诺在10日内完成。得10分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三档：提供的项目组织实施方案科学、合理、规范，包括系统/组织实施方案，以及组织机构、工作程序和步骤、管理和协调方法、关键步骤的思路和要点等方案完整、要点突出，具备很强的可操作性。设备检定/校准完成时间承诺在7日内完成。得</w:t>
      </w:r>
      <w:r>
        <w:rPr>
          <w:rFonts w:hint="eastAsia" w:ascii="Times New Roman" w:eastAsia="宋体" w:cs="Times New Roman"/>
          <w:bCs/>
          <w:color w:val="auto"/>
          <w:highlight w:val="none"/>
          <w:lang w:val="en-US" w:eastAsia="zh-CN"/>
        </w:rPr>
        <w:t>20</w:t>
      </w:r>
      <w:r>
        <w:rPr>
          <w:rFonts w:hint="default" w:ascii="Times New Roman" w:hAnsi="Times New Roman" w:eastAsia="宋体" w:cs="Times New Roman"/>
          <w:bCs/>
          <w:color w:val="auto"/>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color w:val="auto"/>
          <w:szCs w:val="21"/>
          <w:highlight w:val="none"/>
        </w:rPr>
      </w:pPr>
      <w:r>
        <w:rPr>
          <w:rFonts w:hint="eastAsia" w:ascii="Times New Roman" w:hAnsi="Times New Roman" w:cs="Times New Roman"/>
          <w:b/>
          <w:color w:val="auto"/>
          <w:szCs w:val="21"/>
          <w:highlight w:val="none"/>
          <w:lang w:eastAsia="zh-CN"/>
        </w:rPr>
        <w:t>（三）</w:t>
      </w:r>
      <w:r>
        <w:rPr>
          <w:rFonts w:hint="default" w:ascii="Times New Roman" w:hAnsi="Times New Roman" w:cs="Times New Roman"/>
          <w:b/>
          <w:color w:val="auto"/>
          <w:szCs w:val="21"/>
          <w:highlight w:val="none"/>
        </w:rPr>
        <w:t>商务分……………………………………………………………………20分</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eastAsia" w:ascii="Times New Roman" w:eastAsia="宋体" w:cs="Times New Roman"/>
          <w:bCs/>
          <w:color w:val="auto"/>
          <w:highlight w:val="none"/>
          <w:lang w:val="en-US" w:eastAsia="zh-CN"/>
        </w:rPr>
        <w:t>1、</w:t>
      </w:r>
      <w:r>
        <w:rPr>
          <w:rFonts w:hint="default" w:ascii="Times New Roman" w:hAnsi="Times New Roman" w:eastAsia="宋体" w:cs="Times New Roman"/>
          <w:bCs/>
          <w:color w:val="auto"/>
          <w:highlight w:val="none"/>
        </w:rPr>
        <w:t>磋商供应商获得国家级质检中心能承担本项目列入强制检定计量器具的检定的机构：6分；仅能出具校准证书的检测机构：2分，此项满分6分（提供有效证明材料复印件）。</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eastAsia" w:ascii="Times New Roman" w:eastAsia="宋体" w:cs="Times New Roman"/>
          <w:bCs/>
          <w:color w:val="auto"/>
          <w:highlight w:val="none"/>
          <w:lang w:val="en-US" w:eastAsia="zh-CN"/>
        </w:rPr>
        <w:t>2、</w:t>
      </w:r>
      <w:r>
        <w:rPr>
          <w:rFonts w:hint="default" w:ascii="Times New Roman" w:hAnsi="Times New Roman" w:eastAsia="宋体" w:cs="Times New Roman"/>
          <w:bCs/>
          <w:color w:val="auto"/>
          <w:highlight w:val="none"/>
        </w:rPr>
        <w:t>由磋商供应商起草制修订国家标准、地方标准每个得 1 分，该项最高得 5 分（提供有效证明材料复印件）。</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Times New Roman" w:eastAsia="宋体" w:cs="Times New Roman"/>
          <w:bCs/>
          <w:color w:val="auto"/>
          <w:highlight w:val="none"/>
        </w:rPr>
      </w:pPr>
      <w:r>
        <w:rPr>
          <w:rFonts w:hint="eastAsia" w:ascii="Times New Roman" w:eastAsia="宋体" w:cs="Times New Roman"/>
          <w:bCs/>
          <w:color w:val="auto"/>
          <w:highlight w:val="none"/>
          <w:lang w:val="en-US" w:eastAsia="zh-CN"/>
        </w:rPr>
        <w:t>3、</w:t>
      </w:r>
      <w:r>
        <w:rPr>
          <w:rFonts w:hint="default" w:ascii="Times New Roman" w:hAnsi="Times New Roman" w:eastAsia="宋体" w:cs="Times New Roman"/>
          <w:bCs/>
          <w:color w:val="auto"/>
          <w:highlight w:val="none"/>
        </w:rPr>
        <w:t xml:space="preserve">自 2018 年以来磋商供应商的同类项目业绩，承担过大型企事业计量业务（以年度计）：≥500台件：9分； ≥300台件：5分； ≥200台件：2分，（要求提供中标（成交）通知书或合同复印件）。以磋商响应文件提供满足要求的合同关键内容页复印件及资质和证书的复印件为准。 </w:t>
      </w:r>
    </w:p>
    <w:p>
      <w:pPr>
        <w:keepNext w:val="0"/>
        <w:keepLines w:val="0"/>
        <w:pageBreakBefore w:val="0"/>
        <w:widowControl/>
        <w:kinsoku/>
        <w:wordWrap/>
        <w:overflowPunct/>
        <w:topLinePunct w:val="0"/>
        <w:autoSpaceDE/>
        <w:autoSpaceDN/>
        <w:bidi w:val="0"/>
        <w:adjustRightInd/>
        <w:snapToGrid/>
        <w:spacing w:line="400" w:lineRule="exact"/>
        <w:ind w:firstLine="384"/>
        <w:textAlignment w:val="auto"/>
        <w:rPr>
          <w:rFonts w:hint="default" w:ascii="Times New Roman" w:hAnsi="Times New Roman" w:cs="Times New Roman"/>
          <w:b/>
          <w:bCs/>
          <w:color w:val="auto"/>
          <w:spacing w:val="-6"/>
          <w:szCs w:val="21"/>
          <w:highlight w:val="none"/>
        </w:rPr>
      </w:pPr>
      <w:r>
        <w:rPr>
          <w:rFonts w:hint="default" w:ascii="Times New Roman" w:hAnsi="Times New Roman" w:cs="Times New Roman"/>
          <w:color w:val="auto"/>
          <w:spacing w:val="-6"/>
          <w:szCs w:val="21"/>
          <w:highlight w:val="none"/>
        </w:rPr>
        <w:t>总分值=（</w:t>
      </w:r>
      <w:r>
        <w:rPr>
          <w:rFonts w:hint="default" w:ascii="Times New Roman" w:hAnsi="Times New Roman" w:cs="Times New Roman"/>
          <w:b/>
          <w:bCs/>
          <w:color w:val="auto"/>
          <w:spacing w:val="-6"/>
          <w:szCs w:val="21"/>
          <w:highlight w:val="none"/>
        </w:rPr>
        <w:t>一</w:t>
      </w:r>
      <w:r>
        <w:rPr>
          <w:rFonts w:hint="default" w:ascii="Times New Roman" w:hAnsi="Times New Roman" w:cs="Times New Roman"/>
          <w:color w:val="auto"/>
          <w:spacing w:val="-6"/>
          <w:szCs w:val="21"/>
          <w:highlight w:val="none"/>
        </w:rPr>
        <w:t>）</w:t>
      </w:r>
      <w:r>
        <w:rPr>
          <w:rFonts w:hint="default" w:ascii="Times New Roman" w:hAnsi="Times New Roman" w:cs="Times New Roman"/>
          <w:b/>
          <w:bCs/>
          <w:color w:val="auto"/>
          <w:spacing w:val="-6"/>
          <w:szCs w:val="21"/>
          <w:highlight w:val="none"/>
        </w:rPr>
        <w:t>+（二）+（三）</w:t>
      </w:r>
    </w:p>
    <w:p>
      <w:pPr>
        <w:keepNext w:val="0"/>
        <w:keepLines w:val="0"/>
        <w:pageBreakBefore w:val="0"/>
        <w:widowControl/>
        <w:kinsoku/>
        <w:wordWrap/>
        <w:overflowPunct/>
        <w:topLinePunct w:val="0"/>
        <w:autoSpaceDE/>
        <w:autoSpaceDN/>
        <w:bidi w:val="0"/>
        <w:adjustRightInd/>
        <w:snapToGrid/>
        <w:spacing w:line="400" w:lineRule="exact"/>
        <w:ind w:firstLine="384"/>
        <w:textAlignment w:val="auto"/>
        <w:rPr>
          <w:rFonts w:hint="default" w:ascii="Times New Roman" w:hAnsi="Times New Roman" w:eastAsia="宋体" w:cs="Times New Roman"/>
          <w:b/>
          <w:bCs/>
        </w:rPr>
      </w:pPr>
      <w:r>
        <w:rPr>
          <w:rFonts w:hint="default" w:ascii="Times New Roman" w:hAnsi="Times New Roman" w:cs="Times New Roman"/>
          <w:b/>
          <w:bCs/>
          <w:color w:val="C00000"/>
          <w:spacing w:val="-6"/>
          <w:sz w:val="24"/>
          <w:szCs w:val="24"/>
        </w:rPr>
        <w:t xml:space="preserve"> </w:t>
      </w:r>
      <w:r>
        <w:rPr>
          <w:rFonts w:hint="default" w:ascii="Times New Roman" w:hAnsi="Times New Roman" w:eastAsia="宋体" w:cs="Times New Roman"/>
          <w:b/>
          <w:bCs/>
        </w:rPr>
        <w:t>三、成交候选人推荐原则</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hint="default" w:ascii="Times New Roman" w:hAnsi="Times New Roman" w:cs="Times New Roman"/>
        </w:rPr>
      </w:pPr>
      <w:r>
        <w:rPr>
          <w:rFonts w:hint="default" w:ascii="Times New Roman" w:hAnsi="Times New Roman" w:eastAsia="宋体" w:cs="Times New Roman"/>
          <w:bCs/>
        </w:rPr>
        <w:t xml:space="preserve">    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bookmarkStart w:id="0" w:name="_GoBack"/>
      <w:bookmarkEnd w:id="0"/>
    </w:p>
    <w:sectPr>
      <w:footerReference r:id="rId3" w:type="default"/>
      <w:pgSz w:w="11906" w:h="16838"/>
      <w:pgMar w:top="1440" w:right="1800" w:bottom="1440" w:left="1800"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1A0F3C52" w:usb2="00000010"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32"/>
      </w:rPr>
      <w:pict>
        <v:shape id="_x0000_s1028" o:spid="_x0000_s1028"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w:r>
    <w:r>
      <w:rPr>
        <w:sz w:val="32"/>
      </w:rP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o43pAvQEAAGIDAAAOAAAAAAAAAAEAIAAAAB4BAABkcnMvZTJvRG9jLnhtbFBLBQYAAAAA&#10;BgAGAFkBAABNBQAAAAA=&#10;">
          <v:path/>
          <v:fill on="f" focussize="0,0"/>
          <v:stroke on="f" joinstyle="miter"/>
          <v:imagedata o:title=""/>
          <o:lock v:ext="edit"/>
          <v:textbox inset="0mm,0mm,0mm,0mm" style="mso-fit-shape-to-text:t;">
            <w:txbxContent>
              <w:p>
                <w:pPr>
                  <w:pStyle w:val="4"/>
                  <w:jc w:val="both"/>
                </w:pPr>
              </w:p>
            </w:txbxContent>
          </v:textbox>
        </v:shape>
      </w:pict>
    </w:r>
    <w:r>
      <w:rPr>
        <w:rFonts w:hint="eastAsia"/>
        <w:sz w:val="32"/>
      </w:rPr>
      <w:t xml:space="preserve">                                                </w:t>
    </w:r>
    <w:r>
      <w:rPr>
        <w:sz w:val="30"/>
        <w:szCs w:val="30"/>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6B94CDA"/>
    <w:rsid w:val="001332EB"/>
    <w:rsid w:val="001966C2"/>
    <w:rsid w:val="001F3C6C"/>
    <w:rsid w:val="0022581C"/>
    <w:rsid w:val="00344C1C"/>
    <w:rsid w:val="0039231A"/>
    <w:rsid w:val="003D6C9C"/>
    <w:rsid w:val="003E5594"/>
    <w:rsid w:val="004452F3"/>
    <w:rsid w:val="00445570"/>
    <w:rsid w:val="00487931"/>
    <w:rsid w:val="0062139C"/>
    <w:rsid w:val="006B1D9D"/>
    <w:rsid w:val="007B4F40"/>
    <w:rsid w:val="00885703"/>
    <w:rsid w:val="008B31AD"/>
    <w:rsid w:val="008D556C"/>
    <w:rsid w:val="00A10288"/>
    <w:rsid w:val="00B17737"/>
    <w:rsid w:val="00BD650D"/>
    <w:rsid w:val="00C725AA"/>
    <w:rsid w:val="00CD10B6"/>
    <w:rsid w:val="00D55EEC"/>
    <w:rsid w:val="00D6755D"/>
    <w:rsid w:val="00E25A65"/>
    <w:rsid w:val="00E85D1A"/>
    <w:rsid w:val="00F105D2"/>
    <w:rsid w:val="00F2383C"/>
    <w:rsid w:val="00F2580E"/>
    <w:rsid w:val="00FB7ECF"/>
    <w:rsid w:val="00FD0765"/>
    <w:rsid w:val="06B94CDA"/>
    <w:rsid w:val="0A0E489D"/>
    <w:rsid w:val="12454534"/>
    <w:rsid w:val="20C1396C"/>
    <w:rsid w:val="22402F55"/>
    <w:rsid w:val="22E875FC"/>
    <w:rsid w:val="26E01EAF"/>
    <w:rsid w:val="284662D9"/>
    <w:rsid w:val="294D7343"/>
    <w:rsid w:val="34DC3566"/>
    <w:rsid w:val="423540CA"/>
    <w:rsid w:val="43EA22CA"/>
    <w:rsid w:val="44B615DE"/>
    <w:rsid w:val="46382896"/>
    <w:rsid w:val="4C7166A0"/>
    <w:rsid w:val="56D4050E"/>
    <w:rsid w:val="58D07D8B"/>
    <w:rsid w:val="5F9B5170"/>
    <w:rsid w:val="710E73AE"/>
    <w:rsid w:val="7515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val="0"/>
    </w:pPr>
    <w:rPr>
      <w:rFonts w:ascii="Times New Roman" w:hAnsi="Times New Roman"/>
      <w:szCs w:val="24"/>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YHY"/>
    <w:basedOn w:val="1"/>
    <w:qFormat/>
    <w:uiPriority w:val="0"/>
    <w:pPr>
      <w:spacing w:beforeLines="50" w:afterLines="50" w:line="360" w:lineRule="auto"/>
      <w:ind w:firstLine="200" w:firstLineChars="200"/>
    </w:pPr>
    <w:rPr>
      <w:rFonts w:ascii="Times New Roman" w:hAnsi="Times New Roman"/>
    </w:rPr>
  </w:style>
  <w:style w:type="paragraph" w:customStyle="1" w:styleId="1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3">
    <w:name w:val="列出段落1"/>
    <w:basedOn w:val="1"/>
    <w:qFormat/>
    <w:uiPriority w:val="0"/>
    <w:pPr>
      <w:ind w:firstLine="420" w:firstLineChars="200"/>
    </w:pPr>
  </w:style>
  <w:style w:type="paragraph" w:customStyle="1" w:styleId="14">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3523</Words>
  <Characters>20085</Characters>
  <Lines>167</Lines>
  <Paragraphs>47</Paragraphs>
  <TotalTime>10</TotalTime>
  <ScaleCrop>false</ScaleCrop>
  <LinksUpToDate>false</LinksUpToDate>
  <CharactersWithSpaces>23561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2022-03-04T05:22:00Z</dcterms:created>
  <dc:creator>植雨青</dc:creator>
  <cp:lastModifiedBy>子规</cp:lastModifiedBy>
  <cp:lastPrinted>2022-03-09T07:21:00Z</cp:lastPrinted>
  <dcterms:modified xsi:type="dcterms:W3CDTF">2022-03-10T07:02:16Z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776449399_cloud</vt:lpwstr>
  </property>
</Properties>
</file>