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11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val="en-US" w:eastAsia="zh-CN"/>
        </w:rPr>
        <w:t>综合办公平台移动办公终端部署服务采购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1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综合办公平台移动办公终端部署服务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（一）提供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综合办公平台进行移动办公终端适配及部署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提供不少于24个用户的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综合办公平台进行移动办公终端适配及部署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为确保移动办公终端部署服务的效率和安全性，要求终端必须具备相应的性能和功能要求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（二）移动办公终端VPDN通道服务。提供本项目移动办公终端应用的通信资费服务，满足日常使用移动办公所需，具体服务要求如下：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提供生态环境厅移动办公系统的专用VPDN网络服务，使移动办公终端可以与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广西党政机关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综合办公平台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实现网络连接和数据交互；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.提供专网VPDN移动办公4G流量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.提供所有终端的基础通信服务；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有效期两年（自乙方按合同约定</w:t>
            </w: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</w:rPr>
              <w:t>正</w:t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常提供服务并经甲方确认之日起计算）。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pStyle w:val="2"/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4AC5A9D"/>
    <w:rsid w:val="06B94CDA"/>
    <w:rsid w:val="0A240DA6"/>
    <w:rsid w:val="13196F42"/>
    <w:rsid w:val="1EBD1FA5"/>
    <w:rsid w:val="23415137"/>
    <w:rsid w:val="23A9383E"/>
    <w:rsid w:val="272E5BB5"/>
    <w:rsid w:val="27EF13CB"/>
    <w:rsid w:val="28356C2A"/>
    <w:rsid w:val="29CD67BB"/>
    <w:rsid w:val="33B513AE"/>
    <w:rsid w:val="358169A5"/>
    <w:rsid w:val="3D8E3E8A"/>
    <w:rsid w:val="409C0F7B"/>
    <w:rsid w:val="4DA24309"/>
    <w:rsid w:val="4E4A5F55"/>
    <w:rsid w:val="503579AC"/>
    <w:rsid w:val="523855A6"/>
    <w:rsid w:val="5D6761EB"/>
    <w:rsid w:val="6691418E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link w:val="9"/>
    <w:semiHidden/>
    <w:qFormat/>
    <w:uiPriority w:val="0"/>
    <w:rPr>
      <w:rFonts w:ascii="Times New Roman" w:hAnsi="Times New Roman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YHY"/>
    <w:basedOn w:val="1"/>
    <w:link w:val="8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WPS_122257512</cp:lastModifiedBy>
  <dcterms:modified xsi:type="dcterms:W3CDTF">2022-03-25T02:09:15Z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