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采购需求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4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730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vAlign w:val="center"/>
          </w:tcPr>
          <w:p>
            <w:r>
              <w:rPr>
                <w:rFonts w:hint="eastAsia"/>
              </w:rPr>
              <w:t>水污染预警溯源仪租赁服务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07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项目概况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水污染预警溯源仪租赁服务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项目内容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供应商将其生产的台式水污染预警溯源仪</w:t>
            </w:r>
            <w:r>
              <w:rPr>
                <w:szCs w:val="21"/>
              </w:rPr>
              <w:t>租给</w:t>
            </w:r>
            <w:r>
              <w:rPr>
                <w:rFonts w:hint="eastAsia"/>
                <w:szCs w:val="21"/>
              </w:rPr>
              <w:t>采购人</w:t>
            </w:r>
            <w:r>
              <w:rPr>
                <w:szCs w:val="21"/>
              </w:rPr>
              <w:t>使用</w:t>
            </w:r>
            <w:r>
              <w:rPr>
                <w:rFonts w:hint="eastAsia"/>
                <w:szCs w:val="21"/>
              </w:rPr>
              <w:t>，仪器主要技术参数符合下列要求：</w:t>
            </w:r>
          </w:p>
          <w:p>
            <w:pPr>
              <w:pStyle w:val="2"/>
              <w:numPr>
                <w:ilvl w:val="0"/>
                <w:numId w:val="2"/>
              </w:numPr>
              <w:ind w:left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分析方法：水质指纹比对</w:t>
            </w:r>
          </w:p>
          <w:p>
            <w:pPr>
              <w:pStyle w:val="2"/>
              <w:numPr>
                <w:ilvl w:val="0"/>
                <w:numId w:val="2"/>
              </w:numPr>
              <w:ind w:left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测定范围：0-9999（水质指纹强度）</w:t>
            </w:r>
          </w:p>
          <w:p>
            <w:pPr>
              <w:pStyle w:val="2"/>
              <w:numPr>
                <w:ilvl w:val="0"/>
                <w:numId w:val="2"/>
              </w:numPr>
              <w:ind w:left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重复性：±8%</w:t>
            </w:r>
          </w:p>
          <w:p>
            <w:pPr>
              <w:pStyle w:val="2"/>
              <w:numPr>
                <w:ilvl w:val="0"/>
                <w:numId w:val="2"/>
              </w:numPr>
              <w:ind w:left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灵敏度高：信噪比大于250（P-P）</w:t>
            </w:r>
          </w:p>
          <w:p>
            <w:pPr>
              <w:pStyle w:val="2"/>
              <w:numPr>
                <w:ilvl w:val="0"/>
                <w:numId w:val="2"/>
              </w:numPr>
              <w:ind w:left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测量时间：≤半小时</w:t>
            </w:r>
          </w:p>
          <w:p>
            <w:pPr>
              <w:pStyle w:val="2"/>
              <w:numPr>
                <w:ilvl w:val="0"/>
                <w:numId w:val="2"/>
              </w:numPr>
              <w:ind w:left="0"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分辨率：2.5nm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工作要求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供应商在租赁期内提供台式溯源仪一台，行业指纹库使用权及必要的培训服务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其他要求</w:t>
            </w:r>
          </w:p>
          <w:p>
            <w:pPr>
              <w:pStyle w:val="2"/>
              <w:ind w:left="422"/>
              <w:rPr>
                <w:rFonts w:hint="eastAsia"/>
              </w:rPr>
            </w:pPr>
            <w:r>
              <w:rPr>
                <w:rFonts w:hint="eastAsia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1、报价要求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实行总承包报价，报价为采购人指定服务范围内的全部价格，至少包括：（1）服务的价格（包括人工、材料、设备等）；（2）必要的保险费用和各项税金；（3）仪器设备运达采购人指定地点的运费。（4）与本项目有关的其他一切费用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采购人不再支付成交价格以外的任何费用。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2、项目服务时间及服务地点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（1）服务期限：2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年4月至2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年6月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（2）服务地点：广西壮族自治区南宁市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3、服务交付时间及交付地点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（1）交付时间：合同签订后5个工作日内。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（2）交付地点：广西壮族自治区南宁市青秀区教育路5号</w:t>
            </w:r>
          </w:p>
          <w:p>
            <w:pPr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4、付款条件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（参考：合同签订之日起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个工作日内支付合同款的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%；。付款前成交供应商先开具增值税发票给采购人。</w:t>
            </w:r>
          </w:p>
          <w:p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5、其他要求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3115"/>
    <w:multiLevelType w:val="multilevel"/>
    <w:tmpl w:val="098A3115"/>
    <w:lvl w:ilvl="0" w:tentative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2B755797"/>
    <w:multiLevelType w:val="multilevel"/>
    <w:tmpl w:val="2B755797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16FD5"/>
    <w:rsid w:val="55C1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List Paragraph"/>
    <w:qFormat/>
    <w:uiPriority w:val="99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2022-03-30T00:58:00Z</dcterms:created>
  <dc:creator>sweet namanana</dc:creator>
  <cp:lastModifiedBy>sweet namanana</cp:lastModifiedBy>
  <dcterms:modified xsi:type="dcterms:W3CDTF">2022-03-30T00:59:12Z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