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left"/>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综合评分办法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p>
    <w:p>
      <w:pPr>
        <w:spacing w:line="300" w:lineRule="auto"/>
        <w:ind w:firstLine="424" w:firstLineChars="202"/>
        <w:rPr>
          <w:b/>
          <w:color w:val="auto"/>
          <w:szCs w:val="21"/>
          <w:highlight w:val="none"/>
        </w:rPr>
      </w:pPr>
      <w:r>
        <w:rPr>
          <w:rFonts w:hint="eastAsia"/>
          <w:b/>
          <w:color w:val="auto"/>
          <w:szCs w:val="21"/>
          <w:highlight w:val="none"/>
        </w:rPr>
        <w:t>一、</w:t>
      </w:r>
      <w:r>
        <w:rPr>
          <w:rFonts w:hint="eastAsia"/>
          <w:b/>
          <w:color w:val="auto"/>
          <w:szCs w:val="21"/>
          <w:highlight w:val="none"/>
          <w:lang w:eastAsia="zh-CN"/>
        </w:rPr>
        <w:t>评审</w:t>
      </w:r>
      <w:r>
        <w:rPr>
          <w:rFonts w:hint="eastAsia"/>
          <w:b/>
          <w:color w:val="auto"/>
          <w:szCs w:val="21"/>
          <w:highlight w:val="none"/>
        </w:rPr>
        <w:t>原则</w:t>
      </w:r>
    </w:p>
    <w:p>
      <w:pPr>
        <w:spacing w:line="300" w:lineRule="auto"/>
        <w:ind w:firstLine="424" w:firstLineChars="202"/>
        <w:rPr>
          <w:color w:val="auto"/>
          <w:szCs w:val="21"/>
          <w:highlight w:val="none"/>
        </w:rPr>
      </w:pPr>
      <w:r>
        <w:rPr>
          <w:rFonts w:hint="eastAsia"/>
          <w:color w:val="auto"/>
          <w:szCs w:val="21"/>
          <w:highlight w:val="none"/>
          <w:lang w:eastAsia="zh-CN"/>
        </w:rPr>
        <w:t>（</w:t>
      </w:r>
      <w:r>
        <w:rPr>
          <w:rFonts w:hint="eastAsia"/>
          <w:color w:val="auto"/>
          <w:szCs w:val="21"/>
          <w:highlight w:val="none"/>
        </w:rPr>
        <w:t>一）</w:t>
      </w:r>
      <w:r>
        <w:rPr>
          <w:rFonts w:hint="eastAsia"/>
          <w:color w:val="auto"/>
          <w:szCs w:val="21"/>
          <w:highlight w:val="none"/>
          <w:lang w:eastAsia="zh-CN"/>
        </w:rPr>
        <w:t>评审</w:t>
      </w:r>
      <w:r>
        <w:rPr>
          <w:rFonts w:hint="eastAsia"/>
          <w:color w:val="auto"/>
          <w:szCs w:val="21"/>
          <w:highlight w:val="none"/>
        </w:rPr>
        <w:t>小组构成：本项目的</w:t>
      </w:r>
      <w:r>
        <w:rPr>
          <w:rFonts w:hint="eastAsia"/>
          <w:color w:val="auto"/>
          <w:szCs w:val="21"/>
          <w:highlight w:val="none"/>
          <w:lang w:eastAsia="zh-CN"/>
        </w:rPr>
        <w:t>评审</w:t>
      </w:r>
      <w:r>
        <w:rPr>
          <w:rFonts w:hint="eastAsia"/>
          <w:color w:val="auto"/>
          <w:szCs w:val="21"/>
          <w:highlight w:val="none"/>
        </w:rPr>
        <w:t>小组由采购</w:t>
      </w:r>
      <w:r>
        <w:rPr>
          <w:rFonts w:hint="eastAsia"/>
          <w:color w:val="auto"/>
          <w:szCs w:val="21"/>
          <w:highlight w:val="none"/>
          <w:lang w:eastAsia="zh-CN"/>
        </w:rPr>
        <w:t>单位组建，成员包含</w:t>
      </w:r>
      <w:r>
        <w:rPr>
          <w:rFonts w:hint="eastAsia"/>
          <w:color w:val="auto"/>
          <w:szCs w:val="21"/>
          <w:highlight w:val="none"/>
        </w:rPr>
        <w:t>技术、经济等方面</w:t>
      </w:r>
      <w:r>
        <w:rPr>
          <w:rFonts w:hint="eastAsia"/>
          <w:color w:val="auto"/>
          <w:szCs w:val="21"/>
          <w:highlight w:val="none"/>
          <w:lang w:eastAsia="zh-CN"/>
        </w:rPr>
        <w:t>专业人员，</w:t>
      </w:r>
      <w:r>
        <w:rPr>
          <w:rFonts w:hint="eastAsia"/>
          <w:color w:val="auto"/>
          <w:szCs w:val="21"/>
          <w:highlight w:val="none"/>
        </w:rPr>
        <w:t>成员人数为三人以上（含三人）单数。其中，技术、经济等方面的专家不得少于成员总数的三分之二。</w:t>
      </w:r>
    </w:p>
    <w:p>
      <w:pPr>
        <w:spacing w:line="300" w:lineRule="auto"/>
        <w:ind w:firstLine="424" w:firstLineChars="202"/>
        <w:rPr>
          <w:rFonts w:hint="eastAsia" w:eastAsia="宋体"/>
          <w:color w:val="auto"/>
          <w:szCs w:val="21"/>
          <w:highlight w:val="none"/>
          <w:lang w:eastAsia="zh-CN"/>
        </w:rPr>
      </w:pPr>
      <w:r>
        <w:rPr>
          <w:rFonts w:hint="eastAsia"/>
          <w:color w:val="auto"/>
          <w:szCs w:val="21"/>
          <w:highlight w:val="none"/>
          <w:lang w:eastAsia="zh-CN"/>
        </w:rPr>
        <w:t>（</w:t>
      </w:r>
      <w:r>
        <w:rPr>
          <w:rFonts w:hint="eastAsia"/>
          <w:color w:val="auto"/>
          <w:szCs w:val="21"/>
          <w:highlight w:val="none"/>
        </w:rPr>
        <w:t>二）</w:t>
      </w:r>
      <w:r>
        <w:rPr>
          <w:rFonts w:hint="eastAsia"/>
          <w:color w:val="auto"/>
          <w:szCs w:val="21"/>
          <w:highlight w:val="none"/>
          <w:lang w:eastAsia="zh-CN"/>
        </w:rPr>
        <w:t>评审</w:t>
      </w:r>
      <w:r>
        <w:rPr>
          <w:rFonts w:hint="eastAsia"/>
          <w:color w:val="auto"/>
          <w:szCs w:val="21"/>
          <w:highlight w:val="none"/>
        </w:rPr>
        <w:t>依据：</w:t>
      </w:r>
      <w:r>
        <w:rPr>
          <w:rFonts w:hint="eastAsia"/>
          <w:color w:val="auto"/>
          <w:szCs w:val="21"/>
          <w:highlight w:val="none"/>
          <w:lang w:eastAsia="zh-CN"/>
        </w:rPr>
        <w:t>本评审办法</w:t>
      </w:r>
      <w:r>
        <w:rPr>
          <w:rFonts w:hint="eastAsia"/>
          <w:color w:val="auto"/>
          <w:szCs w:val="21"/>
          <w:highlight w:val="none"/>
        </w:rPr>
        <w:t>和</w:t>
      </w:r>
      <w:r>
        <w:rPr>
          <w:rFonts w:hint="eastAsia"/>
          <w:color w:val="auto"/>
          <w:szCs w:val="21"/>
          <w:highlight w:val="none"/>
          <w:lang w:eastAsia="zh-CN"/>
        </w:rPr>
        <w:t>供应商提交的</w:t>
      </w:r>
      <w:r>
        <w:rPr>
          <w:rFonts w:hint="eastAsia"/>
          <w:color w:val="auto"/>
          <w:szCs w:val="21"/>
          <w:highlight w:val="none"/>
        </w:rPr>
        <w:t>响应文件</w:t>
      </w:r>
      <w:r>
        <w:rPr>
          <w:rFonts w:hint="eastAsia"/>
          <w:color w:val="auto"/>
          <w:szCs w:val="21"/>
          <w:highlight w:val="none"/>
          <w:lang w:eastAsia="zh-CN"/>
        </w:rPr>
        <w:t>。</w:t>
      </w:r>
    </w:p>
    <w:p>
      <w:pPr>
        <w:spacing w:line="300" w:lineRule="auto"/>
        <w:ind w:firstLine="424" w:firstLineChars="202"/>
        <w:rPr>
          <w:color w:val="auto"/>
          <w:szCs w:val="21"/>
          <w:highlight w:val="none"/>
        </w:rPr>
      </w:pPr>
      <w:r>
        <w:rPr>
          <w:rFonts w:hint="eastAsia"/>
          <w:color w:val="auto"/>
          <w:szCs w:val="21"/>
          <w:highlight w:val="none"/>
          <w:lang w:eastAsia="zh-CN"/>
        </w:rPr>
        <w:t>（</w:t>
      </w:r>
      <w:r>
        <w:rPr>
          <w:rFonts w:hint="eastAsia"/>
          <w:color w:val="auto"/>
          <w:szCs w:val="21"/>
          <w:highlight w:val="none"/>
        </w:rPr>
        <w:t>三）评</w:t>
      </w:r>
      <w:r>
        <w:rPr>
          <w:rFonts w:hint="eastAsia"/>
          <w:color w:val="auto"/>
          <w:szCs w:val="21"/>
          <w:highlight w:val="none"/>
          <w:lang w:eastAsia="zh-CN"/>
        </w:rPr>
        <w:t>审</w:t>
      </w:r>
      <w:r>
        <w:rPr>
          <w:rFonts w:hint="eastAsia"/>
          <w:color w:val="auto"/>
          <w:szCs w:val="21"/>
          <w:highlight w:val="none"/>
        </w:rPr>
        <w:t>方法：综合评分法。</w:t>
      </w:r>
    </w:p>
    <w:p>
      <w:pPr>
        <w:spacing w:line="300" w:lineRule="auto"/>
        <w:ind w:firstLine="424" w:firstLineChars="202"/>
        <w:rPr>
          <w:b/>
          <w:color w:val="auto"/>
          <w:szCs w:val="21"/>
          <w:highlight w:val="none"/>
        </w:rPr>
      </w:pPr>
      <w:r>
        <w:rPr>
          <w:rFonts w:hint="eastAsia"/>
          <w:b/>
          <w:color w:val="auto"/>
          <w:szCs w:val="21"/>
          <w:highlight w:val="none"/>
        </w:rPr>
        <w:t>二、评</w:t>
      </w:r>
      <w:r>
        <w:rPr>
          <w:rFonts w:hint="eastAsia"/>
          <w:b/>
          <w:color w:val="auto"/>
          <w:szCs w:val="21"/>
          <w:highlight w:val="none"/>
          <w:lang w:eastAsia="zh-CN"/>
        </w:rPr>
        <w:t>审</w:t>
      </w:r>
      <w:r>
        <w:rPr>
          <w:rFonts w:hint="eastAsia"/>
          <w:b/>
          <w:color w:val="auto"/>
          <w:szCs w:val="21"/>
          <w:highlight w:val="none"/>
        </w:rPr>
        <w:t>方法</w:t>
      </w:r>
    </w:p>
    <w:p>
      <w:pPr>
        <w:spacing w:line="300" w:lineRule="auto"/>
        <w:ind w:firstLine="424" w:firstLineChars="202"/>
        <w:rPr>
          <w:color w:val="auto"/>
          <w:szCs w:val="21"/>
          <w:highlight w:val="none"/>
        </w:rPr>
      </w:pPr>
      <w:r>
        <w:rPr>
          <w:rFonts w:hint="eastAsia"/>
          <w:color w:val="auto"/>
          <w:szCs w:val="21"/>
          <w:highlight w:val="none"/>
          <w:lang w:eastAsia="zh-CN"/>
        </w:rPr>
        <w:t>供应商提交的报价及资格材料经初核符合要求的</w:t>
      </w:r>
      <w:r>
        <w:rPr>
          <w:rFonts w:hint="eastAsia"/>
          <w:color w:val="auto"/>
          <w:szCs w:val="21"/>
          <w:highlight w:val="none"/>
        </w:rPr>
        <w:t>进入详评，</w:t>
      </w:r>
      <w:r>
        <w:rPr>
          <w:rFonts w:hint="eastAsia"/>
          <w:color w:val="auto"/>
          <w:szCs w:val="21"/>
          <w:highlight w:val="none"/>
          <w:lang w:eastAsia="zh-CN"/>
        </w:rPr>
        <w:t>评审</w:t>
      </w:r>
      <w:r>
        <w:rPr>
          <w:rFonts w:hint="eastAsia"/>
          <w:color w:val="auto"/>
          <w:szCs w:val="21"/>
          <w:highlight w:val="none"/>
        </w:rPr>
        <w:t>小组将</w:t>
      </w:r>
      <w:r>
        <w:rPr>
          <w:rFonts w:hint="eastAsia"/>
          <w:color w:val="auto"/>
          <w:szCs w:val="21"/>
          <w:highlight w:val="none"/>
          <w:lang w:eastAsia="zh-CN"/>
        </w:rPr>
        <w:t>按本评审办法和</w:t>
      </w:r>
      <w:r>
        <w:rPr>
          <w:rFonts w:hint="eastAsia"/>
          <w:color w:val="auto"/>
          <w:szCs w:val="21"/>
          <w:highlight w:val="none"/>
        </w:rPr>
        <w:t>响应文件为评定依据，采用百分制综合评分法：</w:t>
      </w:r>
    </w:p>
    <w:p>
      <w:pPr>
        <w:spacing w:line="300" w:lineRule="auto"/>
        <w:ind w:firstLine="424" w:firstLineChars="202"/>
        <w:rPr>
          <w:b/>
          <w:color w:val="auto"/>
          <w:szCs w:val="21"/>
          <w:highlight w:val="none"/>
        </w:rPr>
      </w:pPr>
      <w:r>
        <w:rPr>
          <w:rFonts w:hint="eastAsia"/>
          <w:b/>
          <w:color w:val="auto"/>
          <w:szCs w:val="21"/>
          <w:highlight w:val="none"/>
        </w:rPr>
        <w:t>评分细则（按四舍五入取至百分位）：</w:t>
      </w:r>
    </w:p>
    <w:p>
      <w:pPr>
        <w:spacing w:line="300" w:lineRule="auto"/>
        <w:ind w:firstLine="420" w:firstLineChars="200"/>
        <w:rPr>
          <w:rFonts w:hint="eastAsia" w:eastAsia="宋体"/>
          <w:b/>
          <w:color w:val="auto"/>
          <w:szCs w:val="21"/>
          <w:highlight w:val="none"/>
          <w:lang w:eastAsia="zh-CN"/>
        </w:rPr>
      </w:pPr>
      <w:r>
        <w:rPr>
          <w:rFonts w:hint="eastAsia"/>
          <w:b/>
          <w:color w:val="auto"/>
          <w:szCs w:val="21"/>
          <w:highlight w:val="none"/>
        </w:rPr>
        <w:t>（一）价格分…………………………………………………</w:t>
      </w:r>
      <w:r>
        <w:rPr>
          <w:rFonts w:hint="eastAsia"/>
          <w:b/>
          <w:color w:val="auto"/>
          <w:szCs w:val="21"/>
          <w:highlight w:val="none"/>
          <w:lang w:val="en-US" w:eastAsia="zh-CN"/>
        </w:rPr>
        <w:t xml:space="preserve">  </w:t>
      </w:r>
      <w:r>
        <w:rPr>
          <w:rFonts w:hint="eastAsia"/>
          <w:b/>
          <w:color w:val="auto"/>
          <w:szCs w:val="21"/>
          <w:highlight w:val="none"/>
          <w:lang w:eastAsia="zh-CN"/>
        </w:rPr>
        <w:t>（</w:t>
      </w:r>
      <w:r>
        <w:rPr>
          <w:rFonts w:hint="eastAsia"/>
          <w:b/>
          <w:color w:val="auto"/>
          <w:szCs w:val="21"/>
          <w:highlight w:val="none"/>
          <w:lang w:val="en-US" w:eastAsia="zh-CN"/>
        </w:rPr>
        <w:t>30</w:t>
      </w:r>
      <w:r>
        <w:rPr>
          <w:rFonts w:hint="eastAsia"/>
          <w:b/>
          <w:color w:val="auto"/>
          <w:szCs w:val="21"/>
          <w:highlight w:val="none"/>
        </w:rPr>
        <w:t>分</w:t>
      </w:r>
      <w:r>
        <w:rPr>
          <w:rFonts w:hint="eastAsia"/>
          <w:b/>
          <w:color w:val="auto"/>
          <w:szCs w:val="21"/>
          <w:highlight w:val="none"/>
          <w:lang w:eastAsia="zh-CN"/>
        </w:rPr>
        <w:t>）</w:t>
      </w:r>
    </w:p>
    <w:p>
      <w:pPr>
        <w:spacing w:line="300" w:lineRule="auto"/>
        <w:ind w:firstLine="420" w:firstLineChars="200"/>
        <w:rPr>
          <w:color w:val="auto"/>
          <w:szCs w:val="21"/>
          <w:highlight w:val="none"/>
        </w:rPr>
      </w:pPr>
      <w:r>
        <w:rPr>
          <w:rFonts w:hint="eastAsia"/>
          <w:color w:val="auto"/>
          <w:szCs w:val="21"/>
          <w:highlight w:val="none"/>
        </w:rPr>
        <w:t>1、评</w:t>
      </w:r>
      <w:r>
        <w:rPr>
          <w:rFonts w:hint="eastAsia"/>
          <w:color w:val="auto"/>
          <w:szCs w:val="21"/>
          <w:highlight w:val="none"/>
          <w:lang w:eastAsia="zh-CN"/>
        </w:rPr>
        <w:t>审</w:t>
      </w:r>
      <w:r>
        <w:rPr>
          <w:rFonts w:hint="eastAsia"/>
          <w:color w:val="auto"/>
          <w:szCs w:val="21"/>
          <w:highlight w:val="none"/>
        </w:rPr>
        <w:t>价为供应商的报价进行政策性扣除后的价格，评</w:t>
      </w:r>
      <w:r>
        <w:rPr>
          <w:rFonts w:hint="eastAsia"/>
          <w:color w:val="auto"/>
          <w:szCs w:val="21"/>
          <w:highlight w:val="none"/>
          <w:lang w:eastAsia="zh-CN"/>
        </w:rPr>
        <w:t>审</w:t>
      </w:r>
      <w:r>
        <w:rPr>
          <w:rFonts w:hint="eastAsia"/>
          <w:color w:val="auto"/>
          <w:szCs w:val="21"/>
          <w:highlight w:val="none"/>
        </w:rPr>
        <w:t>价只是作为评</w:t>
      </w:r>
      <w:r>
        <w:rPr>
          <w:rFonts w:hint="eastAsia"/>
          <w:color w:val="auto"/>
          <w:szCs w:val="21"/>
          <w:highlight w:val="none"/>
          <w:lang w:eastAsia="zh-CN"/>
        </w:rPr>
        <w:t>审</w:t>
      </w:r>
      <w:r>
        <w:rPr>
          <w:rFonts w:hint="eastAsia"/>
          <w:color w:val="auto"/>
          <w:szCs w:val="21"/>
          <w:highlight w:val="none"/>
        </w:rPr>
        <w:t>时使用。最终成交人的成交报价＝最终报价。</w:t>
      </w:r>
    </w:p>
    <w:p>
      <w:pPr>
        <w:spacing w:line="300" w:lineRule="auto"/>
        <w:ind w:firstLine="420" w:firstLineChars="200"/>
        <w:rPr>
          <w:color w:val="auto"/>
          <w:szCs w:val="21"/>
          <w:highlight w:val="none"/>
        </w:rPr>
      </w:pPr>
      <w:r>
        <w:rPr>
          <w:rFonts w:hint="eastAsia"/>
          <w:color w:val="auto"/>
          <w:szCs w:val="21"/>
          <w:highlight w:val="none"/>
        </w:rPr>
        <w:t>2、按照《</w:t>
      </w:r>
      <w:r>
        <w:rPr>
          <w:rFonts w:hint="eastAsia" w:ascii="Calibri" w:hAnsi="Calibri" w:eastAsia="宋体" w:cs="Times New Roman"/>
          <w:color w:val="auto"/>
          <w:sz w:val="21"/>
          <w:szCs w:val="21"/>
          <w:highlight w:val="none"/>
        </w:rPr>
        <w:t>政府采购促进中小企业发展管理办法</w:t>
      </w:r>
      <w:r>
        <w:rPr>
          <w:rFonts w:hint="eastAsia"/>
          <w:color w:val="auto"/>
          <w:szCs w:val="21"/>
          <w:highlight w:val="none"/>
        </w:rPr>
        <w:t>》</w:t>
      </w:r>
      <w:r>
        <w:rPr>
          <w:rFonts w:hint="eastAsia"/>
          <w:color w:val="auto"/>
          <w:szCs w:val="21"/>
          <w:highlight w:val="none"/>
          <w:lang w:eastAsia="zh-CN"/>
        </w:rPr>
        <w:t>（</w:t>
      </w:r>
      <w:r>
        <w:rPr>
          <w:rFonts w:hint="eastAsia" w:ascii="Calibri" w:hAnsi="Calibri" w:eastAsia="宋体" w:cs="Times New Roman"/>
          <w:i w:val="0"/>
          <w:caps w:val="0"/>
          <w:color w:val="auto"/>
          <w:spacing w:val="0"/>
          <w:sz w:val="21"/>
          <w:szCs w:val="21"/>
          <w:highlight w:val="none"/>
          <w:shd w:val="clear" w:color="auto" w:fill="auto"/>
        </w:rPr>
        <w:t>财库〔2020〕46号</w:t>
      </w:r>
      <w:r>
        <w:rPr>
          <w:rFonts w:hint="eastAsia"/>
          <w:color w:val="auto"/>
          <w:szCs w:val="21"/>
          <w:highlight w:val="none"/>
          <w:lang w:eastAsia="zh-CN"/>
        </w:rPr>
        <w:t>）</w:t>
      </w:r>
      <w:r>
        <w:rPr>
          <w:rFonts w:hint="eastAsia"/>
          <w:color w:val="auto"/>
          <w:szCs w:val="21"/>
          <w:highlight w:val="none"/>
        </w:rPr>
        <w:t>规定，供应商为小型和微型企业，并在其响应文件中提供《中小企业声明函》，且其所竞标产品为小型和微型企业</w:t>
      </w:r>
      <w:r>
        <w:rPr>
          <w:rFonts w:hint="eastAsia"/>
          <w:color w:val="auto"/>
          <w:szCs w:val="21"/>
          <w:highlight w:val="none"/>
          <w:lang w:eastAsia="zh-CN"/>
        </w:rPr>
        <w:t>生产</w:t>
      </w:r>
      <w:r>
        <w:rPr>
          <w:rFonts w:hint="eastAsia"/>
          <w:color w:val="auto"/>
          <w:szCs w:val="21"/>
          <w:highlight w:val="none"/>
        </w:rPr>
        <w:t>的，对其竞标价格给予6%的扣除。</w:t>
      </w:r>
    </w:p>
    <w:p>
      <w:pPr>
        <w:spacing w:line="300" w:lineRule="auto"/>
        <w:ind w:firstLine="420" w:firstLineChars="200"/>
        <w:rPr>
          <w:color w:val="auto"/>
          <w:szCs w:val="21"/>
          <w:highlight w:val="none"/>
        </w:rPr>
      </w:pPr>
      <w:r>
        <w:rPr>
          <w:rFonts w:hint="eastAsia"/>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spacing w:line="300" w:lineRule="auto"/>
        <w:ind w:firstLine="420" w:firstLineChars="200"/>
        <w:rPr>
          <w:color w:val="auto"/>
          <w:szCs w:val="21"/>
          <w:highlight w:val="none"/>
        </w:rPr>
      </w:pPr>
      <w:r>
        <w:rPr>
          <w:rFonts w:hint="eastAsia"/>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00" w:lineRule="auto"/>
        <w:ind w:firstLine="420" w:firstLineChars="200"/>
        <w:rPr>
          <w:color w:val="auto"/>
          <w:szCs w:val="21"/>
          <w:highlight w:val="none"/>
        </w:rPr>
      </w:pPr>
      <w:r>
        <w:rPr>
          <w:rFonts w:hint="eastAsia"/>
          <w:color w:val="auto"/>
          <w:szCs w:val="21"/>
          <w:highlight w:val="none"/>
        </w:rPr>
        <w:t>5、政策性扣除计算方法。</w:t>
      </w:r>
    </w:p>
    <w:p>
      <w:pPr>
        <w:spacing w:line="300" w:lineRule="auto"/>
        <w:ind w:firstLine="420" w:firstLineChars="200"/>
        <w:rPr>
          <w:color w:val="auto"/>
          <w:szCs w:val="21"/>
          <w:highlight w:val="none"/>
        </w:rPr>
      </w:pPr>
      <w:r>
        <w:rPr>
          <w:rFonts w:hint="eastAsia"/>
          <w:color w:val="auto"/>
          <w:szCs w:val="21"/>
          <w:highlight w:val="none"/>
        </w:rPr>
        <w:t>供应商被评定为监狱企业或残疾人福利性单位或小型和微型企业且其所竞标产品为小型和微型企业产品的，该供应商的磋商报价给予6%的扣除，扣除后的价格为评</w:t>
      </w:r>
      <w:r>
        <w:rPr>
          <w:rFonts w:hint="eastAsia"/>
          <w:color w:val="auto"/>
          <w:szCs w:val="21"/>
          <w:highlight w:val="none"/>
          <w:lang w:eastAsia="zh-CN"/>
        </w:rPr>
        <w:t>审</w:t>
      </w:r>
      <w:r>
        <w:rPr>
          <w:rFonts w:hint="eastAsia"/>
          <w:color w:val="auto"/>
          <w:szCs w:val="21"/>
          <w:highlight w:val="none"/>
        </w:rPr>
        <w:t>报价，即评</w:t>
      </w:r>
      <w:r>
        <w:rPr>
          <w:rFonts w:hint="eastAsia"/>
          <w:color w:val="auto"/>
          <w:szCs w:val="21"/>
          <w:highlight w:val="none"/>
          <w:lang w:eastAsia="zh-CN"/>
        </w:rPr>
        <w:t>审</w:t>
      </w:r>
      <w:r>
        <w:rPr>
          <w:rFonts w:hint="eastAsia"/>
          <w:color w:val="auto"/>
          <w:szCs w:val="21"/>
          <w:highlight w:val="none"/>
        </w:rPr>
        <w:t>报价=</w:t>
      </w:r>
      <w:r>
        <w:rPr>
          <w:rFonts w:hint="eastAsia"/>
          <w:color w:val="auto"/>
          <w:szCs w:val="21"/>
          <w:highlight w:val="none"/>
          <w:lang w:eastAsia="zh-CN"/>
        </w:rPr>
        <w:t>初始</w:t>
      </w:r>
      <w:r>
        <w:rPr>
          <w:rFonts w:hint="eastAsia"/>
          <w:color w:val="auto"/>
          <w:szCs w:val="21"/>
          <w:highlight w:val="none"/>
        </w:rPr>
        <w:t>报价×（1-6%）；除上述情况外，评</w:t>
      </w:r>
      <w:r>
        <w:rPr>
          <w:rFonts w:hint="eastAsia"/>
          <w:color w:val="auto"/>
          <w:szCs w:val="21"/>
          <w:highlight w:val="none"/>
          <w:lang w:eastAsia="zh-CN"/>
        </w:rPr>
        <w:t>审</w:t>
      </w:r>
      <w:r>
        <w:rPr>
          <w:rFonts w:hint="eastAsia"/>
          <w:color w:val="auto"/>
          <w:szCs w:val="21"/>
          <w:highlight w:val="none"/>
        </w:rPr>
        <w:t>报价=最终报价。</w:t>
      </w:r>
    </w:p>
    <w:p>
      <w:pPr>
        <w:spacing w:line="300" w:lineRule="auto"/>
        <w:ind w:firstLine="420" w:firstLineChars="200"/>
        <w:rPr>
          <w:color w:val="auto"/>
          <w:szCs w:val="21"/>
          <w:highlight w:val="none"/>
        </w:rPr>
      </w:pPr>
      <w:r>
        <w:rPr>
          <w:rFonts w:hint="eastAsia"/>
          <w:color w:val="auto"/>
          <w:szCs w:val="21"/>
          <w:highlight w:val="none"/>
        </w:rPr>
        <w:t>6、以进入评</w:t>
      </w:r>
      <w:r>
        <w:rPr>
          <w:rFonts w:hint="eastAsia"/>
          <w:color w:val="auto"/>
          <w:szCs w:val="21"/>
          <w:highlight w:val="none"/>
          <w:lang w:eastAsia="zh-CN"/>
        </w:rPr>
        <w:t>审</w:t>
      </w:r>
      <w:r>
        <w:rPr>
          <w:rFonts w:hint="eastAsia"/>
          <w:color w:val="auto"/>
          <w:szCs w:val="21"/>
          <w:highlight w:val="none"/>
        </w:rPr>
        <w:t>的最低的评</w:t>
      </w:r>
      <w:r>
        <w:rPr>
          <w:rFonts w:hint="eastAsia"/>
          <w:color w:val="auto"/>
          <w:szCs w:val="21"/>
          <w:highlight w:val="none"/>
          <w:lang w:eastAsia="zh-CN"/>
        </w:rPr>
        <w:t>审</w:t>
      </w:r>
      <w:r>
        <w:rPr>
          <w:rFonts w:hint="eastAsia"/>
          <w:color w:val="auto"/>
          <w:szCs w:val="21"/>
          <w:highlight w:val="none"/>
        </w:rPr>
        <w:t>报价为</w:t>
      </w:r>
      <w:r>
        <w:rPr>
          <w:rFonts w:hint="eastAsia"/>
          <w:b/>
          <w:color w:val="auto"/>
          <w:szCs w:val="21"/>
          <w:highlight w:val="none"/>
          <w:lang w:eastAsia="zh-CN"/>
        </w:rPr>
        <w:t>（按价格总分填写）</w:t>
      </w:r>
      <w:r>
        <w:rPr>
          <w:rFonts w:hint="eastAsia"/>
          <w:color w:val="auto"/>
          <w:szCs w:val="21"/>
          <w:highlight w:val="none"/>
        </w:rPr>
        <w:t>分。</w:t>
      </w:r>
    </w:p>
    <w:p>
      <w:pPr>
        <w:spacing w:line="300" w:lineRule="auto"/>
        <w:ind w:firstLine="420" w:firstLineChars="200"/>
        <w:rPr>
          <w:color w:val="auto"/>
          <w:szCs w:val="21"/>
          <w:highlight w:val="none"/>
        </w:rPr>
      </w:pPr>
      <w:r>
        <w:rPr>
          <w:rFonts w:hint="eastAsia"/>
          <w:color w:val="auto"/>
          <w:szCs w:val="21"/>
          <w:highlight w:val="none"/>
        </w:rPr>
        <w:t>7、</w:t>
      </w:r>
      <w:r>
        <w:rPr>
          <w:rFonts w:hint="eastAsia"/>
          <w:color w:val="auto"/>
          <w:spacing w:val="-6"/>
          <w:szCs w:val="21"/>
          <w:highlight w:val="none"/>
        </w:rPr>
        <w:t>某供应商价格分 = 供应商最低评</w:t>
      </w:r>
      <w:r>
        <w:rPr>
          <w:rFonts w:hint="eastAsia"/>
          <w:color w:val="auto"/>
          <w:spacing w:val="-6"/>
          <w:szCs w:val="21"/>
          <w:highlight w:val="none"/>
          <w:lang w:eastAsia="zh-CN"/>
        </w:rPr>
        <w:t>审报</w:t>
      </w:r>
      <w:r>
        <w:rPr>
          <w:rFonts w:hint="eastAsia"/>
          <w:color w:val="auto"/>
          <w:spacing w:val="-6"/>
          <w:szCs w:val="21"/>
          <w:highlight w:val="none"/>
        </w:rPr>
        <w:t>价（金额）/某供应商评</w:t>
      </w:r>
      <w:r>
        <w:rPr>
          <w:rFonts w:hint="eastAsia"/>
          <w:color w:val="auto"/>
          <w:spacing w:val="-6"/>
          <w:szCs w:val="21"/>
          <w:highlight w:val="none"/>
          <w:lang w:eastAsia="zh-CN"/>
        </w:rPr>
        <w:t>审报</w:t>
      </w:r>
      <w:r>
        <w:rPr>
          <w:rFonts w:hint="eastAsia"/>
          <w:color w:val="auto"/>
          <w:spacing w:val="-6"/>
          <w:szCs w:val="21"/>
          <w:highlight w:val="none"/>
        </w:rPr>
        <w:t>价（金额）×</w:t>
      </w:r>
      <w:r>
        <w:rPr>
          <w:rFonts w:hint="eastAsia"/>
          <w:b/>
          <w:color w:val="auto"/>
          <w:szCs w:val="21"/>
          <w:highlight w:val="none"/>
          <w:lang w:eastAsia="zh-CN"/>
        </w:rPr>
        <w:t>（按价格总分填写）</w:t>
      </w:r>
      <w:r>
        <w:rPr>
          <w:rFonts w:hint="eastAsia"/>
          <w:color w:val="auto"/>
          <w:szCs w:val="21"/>
          <w:highlight w:val="none"/>
        </w:rPr>
        <w:t>分</w:t>
      </w:r>
    </w:p>
    <w:p>
      <w:pPr>
        <w:spacing w:line="300" w:lineRule="auto"/>
        <w:ind w:firstLine="420" w:firstLineChars="200"/>
        <w:rPr>
          <w:b/>
          <w:color w:val="auto"/>
          <w:szCs w:val="21"/>
          <w:highlight w:val="none"/>
        </w:rPr>
      </w:pPr>
      <w:r>
        <w:rPr>
          <w:rFonts w:hint="eastAsia"/>
          <w:b/>
          <w:color w:val="auto"/>
          <w:szCs w:val="21"/>
          <w:highlight w:val="none"/>
        </w:rPr>
        <w:t>（二）技术分………………………………………………………………</w:t>
      </w:r>
      <w:r>
        <w:rPr>
          <w:rFonts w:hint="eastAsia"/>
          <w:b/>
          <w:color w:val="auto"/>
          <w:szCs w:val="21"/>
          <w:highlight w:val="none"/>
          <w:lang w:val="en-US" w:eastAsia="zh-CN"/>
        </w:rPr>
        <w:t xml:space="preserve"> 40</w:t>
      </w:r>
      <w:r>
        <w:rPr>
          <w:rFonts w:hint="eastAsia"/>
          <w:b/>
          <w:color w:val="auto"/>
          <w:szCs w:val="21"/>
          <w:highlight w:val="none"/>
        </w:rPr>
        <w:t>分</w:t>
      </w:r>
    </w:p>
    <w:p>
      <w:pPr>
        <w:spacing w:line="360" w:lineRule="auto"/>
        <w:jc w:val="left"/>
        <w:rPr>
          <w:rFonts w:hint="eastAsia"/>
          <w:color w:val="auto"/>
        </w:rPr>
      </w:pPr>
      <w:r>
        <w:rPr>
          <w:rFonts w:hint="eastAsia"/>
          <w:color w:val="auto"/>
        </w:rPr>
        <w:t>根据各</w:t>
      </w:r>
      <w:r>
        <w:rPr>
          <w:rFonts w:hint="eastAsia"/>
          <w:color w:val="auto"/>
          <w:lang w:eastAsia="zh-CN"/>
        </w:rPr>
        <w:t>供应商</w:t>
      </w:r>
      <w:r>
        <w:rPr>
          <w:rFonts w:hint="eastAsia"/>
          <w:color w:val="auto"/>
        </w:rPr>
        <w:t>编写的项目</w:t>
      </w:r>
      <w:r>
        <w:rPr>
          <w:rFonts w:hint="eastAsia"/>
          <w:color w:val="auto"/>
          <w:lang w:val="en-US" w:eastAsia="zh-CN"/>
        </w:rPr>
        <w:t>技术</w:t>
      </w:r>
      <w:r>
        <w:rPr>
          <w:rFonts w:hint="eastAsia"/>
          <w:color w:val="auto"/>
        </w:rPr>
        <w:t>方案按</w:t>
      </w:r>
      <w:r>
        <w:rPr>
          <w:rFonts w:hint="eastAsia"/>
          <w:color w:val="auto"/>
          <w:lang w:val="en-US" w:eastAsia="zh-CN"/>
        </w:rPr>
        <w:t>一档、二档、三档、四档4</w:t>
      </w:r>
      <w:r>
        <w:rPr>
          <w:rFonts w:hint="eastAsia"/>
          <w:color w:val="auto"/>
        </w:rPr>
        <w:t>个档次进行打分。</w:t>
      </w:r>
    </w:p>
    <w:p>
      <w:pPr>
        <w:spacing w:line="360" w:lineRule="auto"/>
        <w:jc w:val="left"/>
        <w:rPr>
          <w:rFonts w:hint="eastAsia"/>
          <w:color w:val="auto"/>
        </w:rPr>
      </w:pPr>
      <w:r>
        <w:rPr>
          <w:rFonts w:hint="eastAsia"/>
          <w:color w:val="auto"/>
        </w:rPr>
        <w:t>（1）</w:t>
      </w:r>
      <w:r>
        <w:rPr>
          <w:rFonts w:hint="eastAsia"/>
          <w:color w:val="auto"/>
          <w:lang w:val="en-US" w:eastAsia="zh-CN"/>
        </w:rPr>
        <w:t>一档</w:t>
      </w:r>
      <w:r>
        <w:rPr>
          <w:rFonts w:hint="eastAsia"/>
          <w:color w:val="auto"/>
        </w:rPr>
        <w:t>（</w:t>
      </w:r>
      <w:r>
        <w:rPr>
          <w:rFonts w:hint="eastAsia"/>
          <w:color w:val="auto"/>
          <w:lang w:val="en-US" w:eastAsia="zh-CN"/>
        </w:rPr>
        <w:t>40</w:t>
      </w:r>
      <w:r>
        <w:rPr>
          <w:rFonts w:hint="eastAsia"/>
          <w:color w:val="auto"/>
        </w:rPr>
        <w:t>分）：检测工作方案</w:t>
      </w:r>
      <w:r>
        <w:rPr>
          <w:rFonts w:hint="eastAsia"/>
          <w:color w:val="auto"/>
          <w:lang w:val="en-US" w:eastAsia="zh-CN"/>
        </w:rPr>
        <w:t>优</w:t>
      </w:r>
      <w:r>
        <w:rPr>
          <w:rFonts w:hint="eastAsia"/>
          <w:color w:val="auto"/>
        </w:rPr>
        <w:t>，而且能充分考虑到本项目的具体情况并采取针对性措施，有良好的质量管理、质量控制方案；提出的方案合理化、优化建议针对性强，有特点，可实施性强。</w:t>
      </w:r>
    </w:p>
    <w:p>
      <w:pPr>
        <w:spacing w:line="360" w:lineRule="auto"/>
        <w:jc w:val="left"/>
        <w:rPr>
          <w:rFonts w:hint="eastAsia"/>
          <w:color w:val="auto"/>
        </w:rPr>
      </w:pPr>
      <w:r>
        <w:rPr>
          <w:rFonts w:hint="eastAsia"/>
          <w:color w:val="auto"/>
        </w:rPr>
        <w:t>（2）</w:t>
      </w:r>
      <w:r>
        <w:rPr>
          <w:rFonts w:hint="eastAsia"/>
          <w:color w:val="auto"/>
          <w:lang w:val="en-US" w:eastAsia="zh-CN"/>
        </w:rPr>
        <w:t>二档</w:t>
      </w:r>
      <w:r>
        <w:rPr>
          <w:rFonts w:hint="eastAsia"/>
          <w:color w:val="auto"/>
        </w:rPr>
        <w:t>（</w:t>
      </w:r>
      <w:r>
        <w:rPr>
          <w:rFonts w:hint="eastAsia"/>
          <w:color w:val="auto"/>
          <w:lang w:val="en-US" w:eastAsia="zh-CN"/>
        </w:rPr>
        <w:t>30</w:t>
      </w:r>
      <w:r>
        <w:rPr>
          <w:rFonts w:hint="eastAsia"/>
          <w:color w:val="auto"/>
        </w:rPr>
        <w:t>分）：工作方案</w:t>
      </w:r>
      <w:r>
        <w:rPr>
          <w:rFonts w:hint="eastAsia"/>
          <w:color w:val="auto"/>
          <w:lang w:eastAsia="zh-CN"/>
        </w:rPr>
        <w:t>良</w:t>
      </w:r>
      <w:r>
        <w:rPr>
          <w:rFonts w:hint="eastAsia"/>
          <w:color w:val="auto"/>
        </w:rPr>
        <w:t>好，能考虑到本项目的情况，有较好的质量管理、质量控制方案；提出的方案合理化、优化建议较好。</w:t>
      </w:r>
    </w:p>
    <w:p>
      <w:pPr>
        <w:spacing w:line="360" w:lineRule="auto"/>
        <w:jc w:val="left"/>
        <w:rPr>
          <w:rFonts w:hint="eastAsia"/>
          <w:color w:val="auto"/>
        </w:rPr>
      </w:pP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三档</w:t>
      </w:r>
      <w:r>
        <w:rPr>
          <w:rFonts w:hint="eastAsia"/>
          <w:color w:val="auto"/>
        </w:rPr>
        <w:t>（</w:t>
      </w:r>
      <w:r>
        <w:rPr>
          <w:rFonts w:hint="eastAsia"/>
          <w:color w:val="auto"/>
          <w:lang w:val="en-US" w:eastAsia="zh-CN"/>
        </w:rPr>
        <w:t>20</w:t>
      </w:r>
      <w:r>
        <w:rPr>
          <w:rFonts w:hint="eastAsia"/>
          <w:color w:val="auto"/>
        </w:rPr>
        <w:t>分）：工作方案</w:t>
      </w:r>
      <w:r>
        <w:rPr>
          <w:rFonts w:hint="eastAsia"/>
          <w:color w:val="auto"/>
          <w:lang w:eastAsia="zh-CN"/>
        </w:rPr>
        <w:t>一般</w:t>
      </w:r>
      <w:r>
        <w:rPr>
          <w:rFonts w:hint="eastAsia"/>
          <w:color w:val="auto"/>
        </w:rPr>
        <w:t>，能考虑到本项目的情况，质量管理、质量控制方案</w:t>
      </w:r>
      <w:r>
        <w:rPr>
          <w:rFonts w:hint="eastAsia"/>
          <w:color w:val="auto"/>
          <w:lang w:eastAsia="zh-CN"/>
        </w:rPr>
        <w:t>一般</w:t>
      </w:r>
      <w:r>
        <w:rPr>
          <w:rFonts w:hint="eastAsia"/>
          <w:color w:val="auto"/>
        </w:rPr>
        <w:t>；提出的方案合理化、优化建议</w:t>
      </w:r>
      <w:r>
        <w:rPr>
          <w:rFonts w:hint="eastAsia"/>
          <w:color w:val="auto"/>
          <w:lang w:eastAsia="zh-CN"/>
        </w:rPr>
        <w:t>一般</w:t>
      </w:r>
      <w:r>
        <w:rPr>
          <w:rFonts w:hint="eastAsia"/>
          <w:color w:val="auto"/>
        </w:rPr>
        <w:t>。</w:t>
      </w:r>
    </w:p>
    <w:p>
      <w:pPr>
        <w:spacing w:line="360" w:lineRule="auto"/>
        <w:ind w:firstLine="0" w:firstLineChars="0"/>
        <w:jc w:val="left"/>
        <w:rPr>
          <w:rFonts w:hint="eastAsia" w:ascii="Times New Roman" w:hAnsi="Times New Roman" w:eastAsia="宋体" w:cs="Times New Roman"/>
          <w:color w:val="FF0000"/>
          <w:lang w:val="en-US" w:eastAsia="zh-CN"/>
        </w:rPr>
      </w:pPr>
      <w:r>
        <w:rPr>
          <w:rFonts w:hint="eastAsia"/>
          <w:color w:val="auto"/>
        </w:rPr>
        <w:t>（</w:t>
      </w:r>
      <w:r>
        <w:rPr>
          <w:rFonts w:hint="eastAsia"/>
          <w:color w:val="auto"/>
          <w:lang w:val="en-US" w:eastAsia="zh-CN"/>
        </w:rPr>
        <w:t>4</w:t>
      </w:r>
      <w:r>
        <w:rPr>
          <w:rFonts w:hint="eastAsia"/>
          <w:color w:val="auto"/>
        </w:rPr>
        <w:t>）</w:t>
      </w:r>
      <w:r>
        <w:rPr>
          <w:rFonts w:hint="eastAsia" w:ascii="Times New Roman" w:hAnsi="Times New Roman" w:eastAsia="宋体" w:cs="Times New Roman"/>
          <w:color w:val="auto"/>
          <w:lang w:val="en-US" w:eastAsia="zh-CN"/>
        </w:rPr>
        <w:t>四档（</w:t>
      </w:r>
      <w:r>
        <w:rPr>
          <w:rFonts w:hint="eastAsia" w:ascii="Times New Roman" w:hAnsi="Times New Roman" w:cs="Times New Roman"/>
          <w:color w:val="auto"/>
          <w:lang w:val="en-US" w:eastAsia="zh-CN"/>
        </w:rPr>
        <w:t>10</w:t>
      </w:r>
      <w:r>
        <w:rPr>
          <w:rFonts w:hint="eastAsia" w:ascii="Times New Roman" w:hAnsi="Times New Roman" w:eastAsia="宋体" w:cs="Times New Roman"/>
          <w:color w:val="auto"/>
          <w:lang w:val="en-US" w:eastAsia="zh-CN"/>
        </w:rPr>
        <w:t>分）：工作方案可行；质量管理、质量控制方案一般。</w:t>
      </w:r>
    </w:p>
    <w:p>
      <w:pPr>
        <w:numPr>
          <w:ilvl w:val="0"/>
          <w:numId w:val="0"/>
        </w:numPr>
        <w:spacing w:line="300" w:lineRule="auto"/>
        <w:ind w:firstLine="420" w:firstLineChars="200"/>
        <w:rPr>
          <w:rFonts w:hint="eastAsia"/>
          <w:b/>
          <w:color w:val="auto"/>
          <w:szCs w:val="21"/>
          <w:highlight w:val="none"/>
        </w:rPr>
      </w:pPr>
      <w:r>
        <w:rPr>
          <w:rFonts w:hint="eastAsia"/>
          <w:b/>
          <w:color w:val="auto"/>
          <w:szCs w:val="21"/>
          <w:highlight w:val="none"/>
          <w:lang w:eastAsia="zh-CN"/>
        </w:rPr>
        <w:t>（三）技术支持分</w:t>
      </w:r>
      <w:r>
        <w:rPr>
          <w:rFonts w:hint="eastAsia"/>
          <w:b/>
          <w:color w:val="auto"/>
          <w:szCs w:val="21"/>
          <w:highlight w:val="none"/>
        </w:rPr>
        <w:t>………………………………………………………………</w:t>
      </w:r>
      <w:r>
        <w:rPr>
          <w:rFonts w:hint="eastAsia"/>
          <w:b/>
          <w:color w:val="auto"/>
          <w:szCs w:val="21"/>
          <w:highlight w:val="none"/>
          <w:lang w:val="en-US" w:eastAsia="zh-CN"/>
        </w:rPr>
        <w:t>20</w:t>
      </w:r>
      <w:r>
        <w:rPr>
          <w:rFonts w:hint="eastAsia"/>
          <w:b/>
          <w:color w:val="auto"/>
          <w:szCs w:val="21"/>
          <w:highlight w:val="none"/>
        </w:rPr>
        <w:t>分</w:t>
      </w:r>
    </w:p>
    <w:p>
      <w:pPr>
        <w:pStyle w:val="5"/>
        <w:spacing w:line="400" w:lineRule="exact"/>
        <w:ind w:firstLine="420" w:firstLineChars="200"/>
        <w:rPr>
          <w:rFonts w:hint="eastAsia" w:ascii="宋体" w:hAnsi="Courier New" w:eastAsia="宋体" w:cs="Times New Roman"/>
          <w:color w:val="auto"/>
          <w:highlight w:val="none"/>
          <w:lang w:val="en-US" w:eastAsia="zh-CN"/>
        </w:rPr>
      </w:pPr>
      <w:r>
        <w:rPr>
          <w:rFonts w:hint="eastAsia" w:ascii="宋体" w:hAnsi="Courier New" w:eastAsia="宋体" w:cs="Times New Roman"/>
          <w:color w:val="auto"/>
          <w:highlight w:val="none"/>
          <w:lang w:val="en-US" w:eastAsia="zh-CN"/>
        </w:rPr>
        <w:t>①拟投入的项目实施人员能够满足本项目检测和质控要求。</w:t>
      </w:r>
    </w:p>
    <w:p>
      <w:pPr>
        <w:pStyle w:val="5"/>
        <w:spacing w:line="400" w:lineRule="exact"/>
        <w:ind w:firstLine="0" w:firstLineChars="0"/>
        <w:rPr>
          <w:rFonts w:hint="eastAsia" w:hAnsi="宋体"/>
          <w:color w:val="auto"/>
          <w:highlight w:val="none"/>
        </w:rPr>
      </w:pPr>
      <w:r>
        <w:rPr>
          <w:rFonts w:hint="eastAsia" w:hAnsi="宋体"/>
          <w:color w:val="auto"/>
          <w:highlight w:val="none"/>
        </w:rPr>
        <w:t>一档（0.1～2分）：项目实施机构从事本项目重金属检测人员为5人以下的；</w:t>
      </w:r>
    </w:p>
    <w:p>
      <w:pPr>
        <w:pStyle w:val="5"/>
        <w:spacing w:line="400" w:lineRule="exact"/>
        <w:rPr>
          <w:rFonts w:hint="eastAsia" w:hAnsi="宋体"/>
          <w:color w:val="auto"/>
          <w:highlight w:val="none"/>
        </w:rPr>
      </w:pPr>
      <w:r>
        <w:rPr>
          <w:rFonts w:hint="eastAsia" w:hAnsi="宋体"/>
          <w:color w:val="auto"/>
          <w:highlight w:val="none"/>
        </w:rPr>
        <w:t>二档（2.1～</w:t>
      </w:r>
      <w:r>
        <w:rPr>
          <w:rFonts w:hint="eastAsia" w:hAnsi="宋体"/>
          <w:color w:val="auto"/>
          <w:highlight w:val="none"/>
          <w:lang w:val="en-US" w:eastAsia="zh-CN"/>
        </w:rPr>
        <w:t>3</w:t>
      </w:r>
      <w:r>
        <w:rPr>
          <w:rFonts w:hint="eastAsia" w:hAnsi="宋体"/>
          <w:color w:val="auto"/>
          <w:highlight w:val="none"/>
        </w:rPr>
        <w:t>分）：项目实施机构从事本项目重金属检测人员为5～8人的；</w:t>
      </w:r>
    </w:p>
    <w:p>
      <w:pPr>
        <w:pStyle w:val="5"/>
        <w:spacing w:line="400" w:lineRule="exact"/>
        <w:rPr>
          <w:rFonts w:hint="eastAsia" w:ascii="宋体" w:hAnsi="Courier New" w:eastAsia="宋体" w:cs="Times New Roman"/>
          <w:color w:val="auto"/>
          <w:highlight w:val="none"/>
          <w:lang w:val="en-US" w:eastAsia="zh-CN"/>
        </w:rPr>
      </w:pPr>
      <w:r>
        <w:rPr>
          <w:rFonts w:hint="eastAsia" w:hAnsi="宋体"/>
          <w:color w:val="auto"/>
          <w:highlight w:val="none"/>
        </w:rPr>
        <w:t>三档（4.1～</w:t>
      </w:r>
      <w:r>
        <w:rPr>
          <w:rFonts w:hint="eastAsia" w:hAnsi="宋体"/>
          <w:color w:val="auto"/>
          <w:highlight w:val="none"/>
          <w:lang w:val="en-US" w:eastAsia="zh-CN"/>
        </w:rPr>
        <w:t>5</w:t>
      </w:r>
      <w:r>
        <w:rPr>
          <w:rFonts w:hint="eastAsia" w:hAnsi="宋体"/>
          <w:color w:val="auto"/>
          <w:highlight w:val="none"/>
        </w:rPr>
        <w:t>分）：项目实施机构从事本项目重金属检测人员为8人以上的。</w:t>
      </w:r>
      <w:r>
        <w:rPr>
          <w:rFonts w:hint="eastAsia" w:ascii="宋体" w:hAnsi="Courier New" w:eastAsia="宋体" w:cs="Times New Roman"/>
          <w:color w:val="auto"/>
          <w:highlight w:val="none"/>
          <w:lang w:val="en-US" w:eastAsia="zh-CN"/>
        </w:rPr>
        <w:t>(须提供实施人员-览表、有效的上岗证书，如为退休返聘人员的须提供退休证明及聘用合同，否则不得分)。</w:t>
      </w:r>
    </w:p>
    <w:p>
      <w:pPr>
        <w:pStyle w:val="8"/>
        <w:spacing w:line="360" w:lineRule="auto"/>
        <w:ind w:firstLine="420" w:firstLineChars="200"/>
        <w:rPr>
          <w:rFonts w:hint="eastAsia" w:ascii="宋体" w:hAnsi="Courier New" w:eastAsia="宋体" w:cs="Times New Roman"/>
          <w:color w:val="auto"/>
          <w:highlight w:val="yellow"/>
          <w:lang w:val="en-US" w:eastAsia="zh-CN"/>
        </w:rPr>
      </w:pPr>
      <w:r>
        <w:rPr>
          <w:rFonts w:hint="eastAsia" w:ascii="宋体" w:hAnsi="Courier New" w:eastAsia="宋体" w:cs="Times New Roman"/>
          <w:color w:val="auto"/>
          <w:highlight w:val="none"/>
          <w:lang w:val="en-US" w:eastAsia="zh-CN"/>
        </w:rPr>
        <w:t>②拟投入的项目实施人员具备化学化工类、环境类、</w:t>
      </w:r>
      <w:r>
        <w:rPr>
          <w:rFonts w:hint="eastAsia" w:ascii="宋体" w:hAnsi="Courier New" w:cs="Times New Roman"/>
          <w:color w:val="auto"/>
          <w:highlight w:val="none"/>
          <w:lang w:val="en-US" w:eastAsia="zh-CN"/>
        </w:rPr>
        <w:t>土壤学类</w:t>
      </w:r>
      <w:r>
        <w:rPr>
          <w:rFonts w:hint="eastAsia" w:ascii="宋体" w:hAnsi="Courier New" w:eastAsia="宋体" w:cs="Times New Roman"/>
          <w:color w:val="auto"/>
          <w:highlight w:val="none"/>
          <w:lang w:val="en-US" w:eastAsia="zh-CN"/>
        </w:rPr>
        <w:t>以及农学类等相关专业的技术人员具备中级职称及以上的，每有1人得</w:t>
      </w:r>
      <w:r>
        <w:rPr>
          <w:rFonts w:hint="eastAsia" w:ascii="宋体" w:hAnsi="Courier New" w:cs="Times New Roman"/>
          <w:color w:val="auto"/>
          <w:highlight w:val="none"/>
          <w:lang w:val="en-US" w:eastAsia="zh-CN"/>
        </w:rPr>
        <w:t>2</w:t>
      </w:r>
      <w:r>
        <w:rPr>
          <w:rFonts w:hint="eastAsia" w:ascii="宋体" w:hAnsi="Courier New" w:eastAsia="宋体" w:cs="Times New Roman"/>
          <w:color w:val="auto"/>
          <w:highlight w:val="none"/>
          <w:lang w:val="en-US" w:eastAsia="zh-CN"/>
        </w:rPr>
        <w:t>分满分</w:t>
      </w:r>
      <w:r>
        <w:rPr>
          <w:rFonts w:hint="eastAsia" w:ascii="宋体" w:hAnsi="Courier New" w:cs="Times New Roman"/>
          <w:color w:val="auto"/>
          <w:highlight w:val="none"/>
          <w:lang w:val="en-US" w:eastAsia="zh-CN"/>
        </w:rPr>
        <w:t>10</w:t>
      </w:r>
      <w:r>
        <w:rPr>
          <w:rFonts w:hint="eastAsia" w:ascii="宋体" w:hAnsi="Courier New" w:eastAsia="宋体" w:cs="Times New Roman"/>
          <w:color w:val="auto"/>
          <w:highlight w:val="none"/>
          <w:lang w:val="en-US" w:eastAsia="zh-CN"/>
        </w:rPr>
        <w:t>分(须提供专业技术人员学位证书、有效的中级及以上职称证书以及有效的上岗证书，如为退休返聘人员的须提供退休证明及聘用合同复印件，否则不得分)。</w:t>
      </w:r>
    </w:p>
    <w:p>
      <w:pPr>
        <w:pStyle w:val="8"/>
        <w:spacing w:line="360" w:lineRule="auto"/>
        <w:ind w:firstLine="420" w:firstLineChars="200"/>
        <w:rPr>
          <w:rFonts w:hint="eastAsia" w:ascii="宋体" w:hAnsi="Courier New" w:eastAsia="宋体" w:cs="Times New Roman"/>
          <w:color w:val="auto"/>
          <w:lang w:val="en-US" w:eastAsia="zh-CN"/>
        </w:rPr>
      </w:pPr>
      <w:r>
        <w:rPr>
          <w:rFonts w:hint="eastAsia" w:ascii="宋体" w:hAnsi="Courier New" w:eastAsia="宋体" w:cs="Times New Roman"/>
          <w:color w:val="auto"/>
          <w:lang w:val="en-US" w:eastAsia="zh-CN"/>
        </w:rPr>
        <w:t>③拟投入的项目负责人具备正高职称的，得5分，拟投入的项目负责人具备相关专业副高职称的，得3分，拟投入的项目负责人具备相关专业中级职称的，得1分。此项最高5分(须</w:t>
      </w:r>
    </w:p>
    <w:p>
      <w:pPr>
        <w:numPr>
          <w:ilvl w:val="0"/>
          <w:numId w:val="0"/>
        </w:numPr>
        <w:spacing w:line="300" w:lineRule="auto"/>
        <w:ind w:firstLine="0" w:firstLineChars="0"/>
        <w:rPr>
          <w:rFonts w:hint="eastAsia"/>
          <w:b w:val="0"/>
          <w:color w:val="auto"/>
          <w:spacing w:val="-6"/>
          <w:szCs w:val="21"/>
          <w:highlight w:val="none"/>
          <w:lang w:eastAsia="zh-CN"/>
        </w:rPr>
      </w:pPr>
      <w:r>
        <w:rPr>
          <w:rFonts w:hint="eastAsia" w:ascii="宋体" w:hAnsi="Courier New" w:eastAsia="宋体" w:cs="Times New Roman"/>
          <w:color w:val="auto"/>
          <w:lang w:val="en-US" w:eastAsia="zh-CN"/>
        </w:rPr>
        <w:t>提供项目负责人学位证书、有效的职称证书以及</w:t>
      </w:r>
      <w:r>
        <w:rPr>
          <w:rFonts w:hint="eastAsia" w:ascii="宋体" w:hAnsi="Courier New" w:eastAsia="宋体" w:cs="Times New Roman"/>
          <w:color w:val="auto"/>
          <w:highlight w:val="none"/>
          <w:lang w:val="en-US" w:eastAsia="zh-CN"/>
        </w:rPr>
        <w:t>有效的上岗证书</w:t>
      </w:r>
      <w:r>
        <w:rPr>
          <w:rFonts w:hint="eastAsia" w:ascii="宋体" w:hAnsi="Courier New" w:eastAsia="宋体" w:cs="Times New Roman"/>
          <w:color w:val="auto"/>
          <w:lang w:val="en-US" w:eastAsia="zh-CN"/>
        </w:rPr>
        <w:t>，如为退休返聘人员的须提供退休证明及聘用合同复印件，否则不得分)</w:t>
      </w:r>
    </w:p>
    <w:p>
      <w:pPr>
        <w:numPr>
          <w:ilvl w:val="0"/>
          <w:numId w:val="0"/>
        </w:numPr>
        <w:spacing w:line="300" w:lineRule="auto"/>
        <w:ind w:firstLine="420" w:firstLineChars="200"/>
        <w:rPr>
          <w:rFonts w:hint="eastAsia"/>
          <w:b/>
          <w:color w:val="auto"/>
          <w:szCs w:val="21"/>
          <w:highlight w:val="none"/>
        </w:rPr>
      </w:pPr>
      <w:r>
        <w:rPr>
          <w:rFonts w:hint="eastAsia"/>
          <w:b/>
          <w:color w:val="auto"/>
          <w:szCs w:val="21"/>
          <w:highlight w:val="none"/>
          <w:lang w:val="en-US" w:eastAsia="zh-CN"/>
        </w:rPr>
        <w:t>（四）商务分</w:t>
      </w:r>
      <w:r>
        <w:rPr>
          <w:rFonts w:hint="eastAsia"/>
          <w:b/>
          <w:color w:val="auto"/>
          <w:szCs w:val="21"/>
          <w:highlight w:val="none"/>
        </w:rPr>
        <w:t>……………………………………………………………………</w:t>
      </w:r>
      <w:r>
        <w:rPr>
          <w:rFonts w:hint="eastAsia"/>
          <w:b/>
          <w:color w:val="auto"/>
          <w:szCs w:val="21"/>
          <w:highlight w:val="none"/>
          <w:lang w:val="en-US" w:eastAsia="zh-CN"/>
        </w:rPr>
        <w:t>10</w:t>
      </w:r>
      <w:r>
        <w:rPr>
          <w:rFonts w:hint="eastAsia"/>
          <w:b/>
          <w:color w:val="auto"/>
          <w:szCs w:val="21"/>
          <w:highlight w:val="none"/>
        </w:rPr>
        <w:t>分</w:t>
      </w:r>
    </w:p>
    <w:p>
      <w:pPr>
        <w:numPr>
          <w:ilvl w:val="0"/>
          <w:numId w:val="0"/>
        </w:numPr>
        <w:spacing w:line="300" w:lineRule="auto"/>
        <w:ind w:firstLine="420" w:firstLineChars="0"/>
        <w:rPr>
          <w:rFonts w:hint="eastAsia"/>
          <w:b w:val="0"/>
          <w:color w:val="auto"/>
          <w:spacing w:val="-6"/>
          <w:szCs w:val="21"/>
          <w:highlight w:val="none"/>
          <w:lang w:eastAsia="zh-CN"/>
        </w:rPr>
      </w:pPr>
      <w:r>
        <w:rPr>
          <w:rFonts w:hint="eastAsia" w:ascii="宋体" w:hAnsi="宋体" w:eastAsia="宋体" w:cs="宋体"/>
          <w:color w:val="auto"/>
          <w:szCs w:val="21"/>
          <w:highlight w:val="none"/>
          <w:lang w:val="en-US" w:eastAsia="zh-CN"/>
        </w:rPr>
        <w:t>2019年至今承接过</w:t>
      </w:r>
      <w:r>
        <w:rPr>
          <w:rFonts w:hint="eastAsia" w:ascii="宋体" w:hAnsi="宋体" w:cs="宋体"/>
          <w:color w:val="auto"/>
          <w:szCs w:val="21"/>
          <w:highlight w:val="none"/>
          <w:lang w:val="en-US" w:eastAsia="zh-CN"/>
        </w:rPr>
        <w:t>同类</w:t>
      </w:r>
      <w:r>
        <w:rPr>
          <w:rFonts w:hint="eastAsia" w:ascii="宋体" w:hAnsi="宋体" w:eastAsia="宋体" w:cs="宋体"/>
          <w:color w:val="auto"/>
          <w:szCs w:val="21"/>
          <w:highlight w:val="none"/>
          <w:lang w:val="en-US" w:eastAsia="zh-CN"/>
        </w:rPr>
        <w:t>检测项目的每个得</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分，满分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分。须附项目合同或中标（成交）通知书复印件，否则不得分</w:t>
      </w:r>
      <w:r>
        <w:rPr>
          <w:rFonts w:hint="eastAsia"/>
          <w:b w:val="0"/>
          <w:color w:val="auto"/>
          <w:spacing w:val="-6"/>
          <w:szCs w:val="21"/>
          <w:highlight w:val="none"/>
          <w:lang w:eastAsia="zh-CN"/>
        </w:rPr>
        <w:t>。</w:t>
      </w:r>
    </w:p>
    <w:p>
      <w:pPr>
        <w:numPr>
          <w:ilvl w:val="0"/>
          <w:numId w:val="0"/>
        </w:numPr>
        <w:spacing w:line="300" w:lineRule="auto"/>
        <w:ind w:firstLine="384" w:firstLineChars="0"/>
        <w:rPr>
          <w:rFonts w:hint="eastAsia"/>
          <w:b w:val="0"/>
          <w:color w:val="auto"/>
          <w:spacing w:val="-6"/>
          <w:szCs w:val="21"/>
          <w:highlight w:val="none"/>
          <w:lang w:val="en-US" w:eastAsia="zh-CN"/>
        </w:rPr>
      </w:pPr>
    </w:p>
    <w:p>
      <w:pPr>
        <w:numPr>
          <w:ilvl w:val="0"/>
          <w:numId w:val="0"/>
        </w:numPr>
        <w:spacing w:line="300" w:lineRule="auto"/>
        <w:ind w:firstLine="384" w:firstLineChars="0"/>
        <w:rPr>
          <w:rFonts w:hint="eastAsia"/>
          <w:b w:val="0"/>
          <w:color w:val="auto"/>
          <w:spacing w:val="-6"/>
          <w:szCs w:val="21"/>
          <w:highlight w:val="none"/>
          <w:lang w:val="en-US" w:eastAsia="zh-CN"/>
        </w:rPr>
      </w:pPr>
      <w:r>
        <w:rPr>
          <w:rFonts w:hint="eastAsia"/>
          <w:b/>
          <w:bCs/>
          <w:color w:val="auto"/>
          <w:spacing w:val="-6"/>
          <w:szCs w:val="21"/>
          <w:highlight w:val="none"/>
          <w:lang w:val="en-US" w:eastAsia="zh-CN"/>
        </w:rPr>
        <w:t>总分值</w:t>
      </w:r>
      <w:r>
        <w:rPr>
          <w:rFonts w:hint="eastAsia" w:ascii="宋体" w:hAnsi="宋体" w:eastAsia="宋体" w:cs="宋体"/>
          <w:b/>
          <w:bCs/>
          <w:color w:val="auto"/>
          <w:spacing w:val="-6"/>
          <w:szCs w:val="21"/>
          <w:highlight w:val="none"/>
          <w:lang w:val="en-US" w:eastAsia="zh-CN"/>
        </w:rPr>
        <w:t>=</w:t>
      </w:r>
      <w:r>
        <w:rPr>
          <w:rFonts w:hint="eastAsia"/>
          <w:b/>
          <w:bCs/>
          <w:color w:val="auto"/>
          <w:spacing w:val="-6"/>
          <w:szCs w:val="21"/>
          <w:highlight w:val="none"/>
          <w:lang w:val="en-US" w:eastAsia="zh-CN"/>
        </w:rPr>
        <w:t>（一）+（二）+（三）+（四）</w:t>
      </w:r>
    </w:p>
    <w:p>
      <w:pPr>
        <w:numPr>
          <w:ilvl w:val="0"/>
          <w:numId w:val="0"/>
        </w:numPr>
        <w:spacing w:line="300" w:lineRule="auto"/>
        <w:ind w:firstLine="420" w:firstLineChars="0"/>
        <w:rPr>
          <w:rFonts w:hint="eastAsia" w:eastAsia="宋体"/>
          <w:b w:val="0"/>
          <w:color w:val="auto"/>
          <w:spacing w:val="-6"/>
          <w:szCs w:val="21"/>
          <w:highlight w:val="none"/>
          <w:lang w:val="en-US" w:eastAsia="zh-CN"/>
        </w:rPr>
      </w:pPr>
    </w:p>
    <w:p>
      <w:pPr>
        <w:spacing w:line="300" w:lineRule="auto"/>
        <w:ind w:firstLine="424" w:firstLineChars="202"/>
        <w:rPr>
          <w:rFonts w:hint="eastAsia"/>
          <w:b/>
          <w:color w:val="auto"/>
          <w:szCs w:val="21"/>
          <w:highlight w:val="none"/>
        </w:rPr>
      </w:pPr>
    </w:p>
    <w:p>
      <w:pPr>
        <w:spacing w:line="300" w:lineRule="auto"/>
        <w:ind w:firstLine="424" w:firstLineChars="202"/>
        <w:rPr>
          <w:b/>
          <w:color w:val="auto"/>
          <w:szCs w:val="21"/>
          <w:highlight w:val="none"/>
        </w:rPr>
      </w:pPr>
      <w:r>
        <w:rPr>
          <w:rFonts w:hint="eastAsia"/>
          <w:b/>
          <w:color w:val="auto"/>
          <w:szCs w:val="21"/>
          <w:highlight w:val="none"/>
        </w:rPr>
        <w:t>三、成交候选人推荐原则</w:t>
      </w:r>
    </w:p>
    <w:p>
      <w:pPr>
        <w:pStyle w:val="14"/>
        <w:rPr>
          <w:rFonts w:hint="eastAsia" w:ascii="Calibri" w:hAnsi="Calibri" w:eastAsia="宋体"/>
          <w:color w:val="auto"/>
          <w:kern w:val="2"/>
          <w:sz w:val="21"/>
          <w:szCs w:val="21"/>
          <w:highlight w:val="none"/>
        </w:rPr>
      </w:pPr>
      <w:r>
        <w:rPr>
          <w:rFonts w:hint="eastAsia"/>
          <w:color w:val="auto"/>
          <w:szCs w:val="21"/>
          <w:highlight w:val="none"/>
          <w:lang w:val="en-US" w:eastAsia="zh-CN"/>
        </w:rPr>
        <w:t xml:space="preserve">    </w:t>
      </w:r>
      <w:r>
        <w:rPr>
          <w:rFonts w:hint="eastAsia" w:ascii="Calibri" w:hAnsi="Calibri"/>
          <w:color w:val="auto"/>
          <w:kern w:val="2"/>
          <w:sz w:val="21"/>
          <w:szCs w:val="21"/>
          <w:highlight w:val="none"/>
          <w:lang w:eastAsia="zh-CN"/>
        </w:rPr>
        <w:t>根据供应商提交的材料进行综合评分，按照得分由高到低顺序得出成交候选人名单，评审得分相同的，按照最后报价（不计算价格折扣）由低到高排序，评审得分且最后报价（不计算价格折扣）相同的，按照技术指标优劣排序。成交原则为排序顺位第一的供应商。如成交供应商因不可抗力提出不能履行合同，顺位选择第二排名的供应商，以此类推。</w:t>
      </w:r>
    </w:p>
    <w:p>
      <w:pPr>
        <w:pStyle w:val="14"/>
        <w:rPr>
          <w:rFonts w:ascii="Times New Roman" w:hAnsi="Times New Roman" w:eastAsia="仿宋"/>
          <w:sz w:val="32"/>
          <w:szCs w:val="32"/>
        </w:rPr>
      </w:pPr>
    </w:p>
    <w:p>
      <w:pPr>
        <w:pStyle w:val="14"/>
        <w:rPr>
          <w:rFonts w:ascii="Times New Roman" w:hAnsi="Times New Roman" w:eastAsia="仿宋"/>
          <w:sz w:val="32"/>
          <w:szCs w:val="32"/>
        </w:rPr>
      </w:pPr>
    </w:p>
    <w:p>
      <w:pPr>
        <w:pStyle w:val="14"/>
        <w:rPr>
          <w:rFonts w:ascii="Times New Roman" w:hAnsi="Times New Roman" w:eastAsia="仿宋"/>
          <w:sz w:val="32"/>
          <w:szCs w:val="32"/>
        </w:rPr>
      </w:pPr>
    </w:p>
    <w:p>
      <w:pPr>
        <w:pStyle w:val="15"/>
        <w:spacing w:line="600" w:lineRule="exact"/>
        <w:ind w:firstLine="640"/>
        <w:outlineLvl w:val="2"/>
        <w:rPr>
          <w:rFonts w:ascii="Times New Roman" w:hAnsi="Times New Roman" w:eastAsia="仿宋"/>
          <w:sz w:val="32"/>
          <w:szCs w:val="32"/>
        </w:rPr>
      </w:pPr>
      <w:bookmarkStart w:id="0" w:name="_Toc29504"/>
      <w:bookmarkStart w:id="1" w:name="_Toc513402267"/>
      <w:bookmarkStart w:id="2" w:name="_Toc513401900"/>
    </w:p>
    <w:bookmarkEnd w:id="0"/>
    <w:bookmarkEnd w:id="1"/>
    <w:bookmarkEnd w:id="2"/>
    <w:p>
      <w:pPr>
        <w:pStyle w:val="8"/>
      </w:pPr>
      <w:bookmarkStart w:id="3" w:name="_GoBack"/>
      <w:bookmarkEnd w:id="3"/>
    </w:p>
    <w:sectPr>
      <w:footerReference r:id="rId3" w:type="default"/>
      <w:pgSz w:w="11906" w:h="16838"/>
      <w:pgMar w:top="1361" w:right="1701" w:bottom="1474" w:left="144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2"/>
        <w:rFonts w:eastAsia="方正仿宋_GBK"/>
        <w:sz w:val="32"/>
        <w:szCs w:val="32"/>
      </w:rPr>
    </w:pPr>
    <w:r>
      <w:rPr>
        <w:rFonts w:ascii="Times New Roman" w:hAnsi="Times New Roman" w:eastAsia="方正仿宋_GBK"/>
        <w:sz w:val="30"/>
        <w:szCs w:val="30"/>
      </w:rPr>
      <w:fldChar w:fldCharType="begin"/>
    </w:r>
    <w:r>
      <w:rPr>
        <w:rStyle w:val="12"/>
        <w:rFonts w:ascii="Times New Roman" w:hAnsi="Times New Roman" w:eastAsia="方正仿宋_GBK"/>
        <w:sz w:val="30"/>
        <w:szCs w:val="30"/>
      </w:rPr>
      <w:instrText xml:space="preserve">PAGE  </w:instrText>
    </w:r>
    <w:r>
      <w:rPr>
        <w:rFonts w:ascii="Times New Roman" w:hAnsi="Times New Roman" w:eastAsia="方正仿宋_GBK"/>
        <w:sz w:val="30"/>
        <w:szCs w:val="30"/>
      </w:rPr>
      <w:fldChar w:fldCharType="separate"/>
    </w:r>
    <w:r>
      <w:rPr>
        <w:rStyle w:val="12"/>
        <w:rFonts w:ascii="Times New Roman" w:hAnsi="Times New Roman" w:eastAsia="方正仿宋_GBK"/>
        <w:sz w:val="30"/>
        <w:szCs w:val="30"/>
      </w:rPr>
      <w:t>- 9 -</w:t>
    </w:r>
    <w:r>
      <w:rPr>
        <w:rFonts w:ascii="Times New Roman" w:hAnsi="Times New Roman" w:eastAsia="方正仿宋_GBK"/>
        <w:sz w:val="30"/>
        <w:szCs w:val="30"/>
      </w:rPr>
      <w:fldChar w:fldCharType="end"/>
    </w:r>
  </w:p>
  <w:p>
    <w:pPr>
      <w:pStyle w:val="2"/>
      <w:ind w:right="360" w:firstLine="360"/>
      <w:jc w:val="center"/>
      <w:rPr>
        <w:sz w:val="32"/>
      </w:rP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C7722"/>
    <w:rsid w:val="00034902"/>
    <w:rsid w:val="00066FC1"/>
    <w:rsid w:val="00127674"/>
    <w:rsid w:val="0041427C"/>
    <w:rsid w:val="00427809"/>
    <w:rsid w:val="00475294"/>
    <w:rsid w:val="004849E4"/>
    <w:rsid w:val="005A6E4E"/>
    <w:rsid w:val="006735B5"/>
    <w:rsid w:val="007D151C"/>
    <w:rsid w:val="00880C73"/>
    <w:rsid w:val="00967AA7"/>
    <w:rsid w:val="009F280B"/>
    <w:rsid w:val="00A33438"/>
    <w:rsid w:val="00B62FCB"/>
    <w:rsid w:val="00D21F10"/>
    <w:rsid w:val="00E21257"/>
    <w:rsid w:val="00E214B0"/>
    <w:rsid w:val="00E736C3"/>
    <w:rsid w:val="00F71879"/>
    <w:rsid w:val="00FA3E01"/>
    <w:rsid w:val="00FE46DE"/>
    <w:rsid w:val="010860F8"/>
    <w:rsid w:val="02444FBE"/>
    <w:rsid w:val="025A7A87"/>
    <w:rsid w:val="08790984"/>
    <w:rsid w:val="08F85ED3"/>
    <w:rsid w:val="098C601E"/>
    <w:rsid w:val="0A2A7C39"/>
    <w:rsid w:val="0AE710F1"/>
    <w:rsid w:val="0AF518DC"/>
    <w:rsid w:val="0D785D1E"/>
    <w:rsid w:val="0E7C4853"/>
    <w:rsid w:val="0EEA56CE"/>
    <w:rsid w:val="130E5B24"/>
    <w:rsid w:val="14FB3EF3"/>
    <w:rsid w:val="180F1E8B"/>
    <w:rsid w:val="186A0843"/>
    <w:rsid w:val="1C042E63"/>
    <w:rsid w:val="1C991B81"/>
    <w:rsid w:val="1CA14075"/>
    <w:rsid w:val="1CDC7DA6"/>
    <w:rsid w:val="1DDF12D7"/>
    <w:rsid w:val="1E030AFE"/>
    <w:rsid w:val="206C7722"/>
    <w:rsid w:val="220E4DA0"/>
    <w:rsid w:val="22940D98"/>
    <w:rsid w:val="229A36C5"/>
    <w:rsid w:val="235413FE"/>
    <w:rsid w:val="23FB71E8"/>
    <w:rsid w:val="24093546"/>
    <w:rsid w:val="26E0302D"/>
    <w:rsid w:val="27B626A5"/>
    <w:rsid w:val="2AAF5439"/>
    <w:rsid w:val="305E2F0E"/>
    <w:rsid w:val="326956CD"/>
    <w:rsid w:val="32AF622C"/>
    <w:rsid w:val="342770E7"/>
    <w:rsid w:val="346B355E"/>
    <w:rsid w:val="357F7365"/>
    <w:rsid w:val="35C14664"/>
    <w:rsid w:val="38763CDD"/>
    <w:rsid w:val="387E02B1"/>
    <w:rsid w:val="394E325D"/>
    <w:rsid w:val="3C732461"/>
    <w:rsid w:val="3E3E41C1"/>
    <w:rsid w:val="3EE03728"/>
    <w:rsid w:val="40A220C9"/>
    <w:rsid w:val="41EB2D0C"/>
    <w:rsid w:val="42E00F8C"/>
    <w:rsid w:val="45A87AE6"/>
    <w:rsid w:val="46B92655"/>
    <w:rsid w:val="470C4C02"/>
    <w:rsid w:val="485A5E7B"/>
    <w:rsid w:val="488A3C17"/>
    <w:rsid w:val="4A4141A3"/>
    <w:rsid w:val="4A671BD2"/>
    <w:rsid w:val="4AF61AF1"/>
    <w:rsid w:val="4C211707"/>
    <w:rsid w:val="4C9A0E41"/>
    <w:rsid w:val="4D782FAD"/>
    <w:rsid w:val="4E681886"/>
    <w:rsid w:val="4FF2051C"/>
    <w:rsid w:val="4FFB139E"/>
    <w:rsid w:val="50123D44"/>
    <w:rsid w:val="51520EE8"/>
    <w:rsid w:val="523F41D9"/>
    <w:rsid w:val="528825AB"/>
    <w:rsid w:val="545E0531"/>
    <w:rsid w:val="547C1BFD"/>
    <w:rsid w:val="59173D73"/>
    <w:rsid w:val="62C24E06"/>
    <w:rsid w:val="642E1175"/>
    <w:rsid w:val="65604AEE"/>
    <w:rsid w:val="66655B4A"/>
    <w:rsid w:val="67831A4C"/>
    <w:rsid w:val="685C75A3"/>
    <w:rsid w:val="697810C7"/>
    <w:rsid w:val="6F2E6F29"/>
    <w:rsid w:val="6F6F1E17"/>
    <w:rsid w:val="705043AE"/>
    <w:rsid w:val="71C12D0A"/>
    <w:rsid w:val="72BD3435"/>
    <w:rsid w:val="73155B9B"/>
    <w:rsid w:val="74473C15"/>
    <w:rsid w:val="77642E52"/>
    <w:rsid w:val="79044BE5"/>
    <w:rsid w:val="791229D7"/>
    <w:rsid w:val="7AF97936"/>
    <w:rsid w:val="7B5E748B"/>
    <w:rsid w:val="7CF97028"/>
    <w:rsid w:val="7D753C76"/>
    <w:rsid w:val="7EA82863"/>
    <w:rsid w:val="7F2139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4">
    <w:name w:val="annotation text"/>
    <w:basedOn w:val="1"/>
    <w:qFormat/>
    <w:uiPriority w:val="0"/>
    <w:pPr>
      <w:jc w:val="left"/>
    </w:pPr>
  </w:style>
  <w:style w:type="paragraph" w:styleId="5">
    <w:name w:val="Plain Text"/>
    <w:basedOn w:val="1"/>
    <w:next w:val="1"/>
    <w:qFormat/>
    <w:uiPriority w:val="0"/>
    <w:rPr>
      <w:rFonts w:ascii="宋体" w:hAnsi="Courier New"/>
      <w:szCs w:val="20"/>
    </w:rPr>
  </w:style>
  <w:style w:type="paragraph" w:styleId="6">
    <w:name w:val="Balloon Text"/>
    <w:basedOn w:val="1"/>
    <w:link w:val="18"/>
    <w:qFormat/>
    <w:uiPriority w:val="0"/>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unhideWhenUsed/>
    <w:qFormat/>
    <w:uiPriority w:val="99"/>
    <w:rPr>
      <w:color w:val="0000FF"/>
      <w:u w:val="single"/>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5">
    <w:name w:val="List Paragraph"/>
    <w:basedOn w:val="1"/>
    <w:qFormat/>
    <w:uiPriority w:val="34"/>
    <w:pPr>
      <w:ind w:firstLine="420" w:firstLineChars="200"/>
    </w:pPr>
  </w:style>
  <w:style w:type="paragraph" w:customStyle="1" w:styleId="16">
    <w:name w:val="列出段落1"/>
    <w:basedOn w:val="1"/>
    <w:qFormat/>
    <w:uiPriority w:val="99"/>
    <w:pPr>
      <w:ind w:firstLine="420" w:firstLineChars="200"/>
    </w:pPr>
    <w:rPr>
      <w:rFonts w:ascii="等线" w:hAnsi="等线" w:eastAsia="等线"/>
    </w:rPr>
  </w:style>
  <w:style w:type="character" w:customStyle="1" w:styleId="17">
    <w:name w:val="页眉 Char"/>
    <w:basedOn w:val="11"/>
    <w:link w:val="7"/>
    <w:qFormat/>
    <w:uiPriority w:val="0"/>
    <w:rPr>
      <w:rFonts w:ascii="Calibri" w:hAnsi="Calibri" w:eastAsia="宋体" w:cs="Times New Roman"/>
      <w:kern w:val="2"/>
      <w:sz w:val="18"/>
      <w:szCs w:val="18"/>
    </w:rPr>
  </w:style>
  <w:style w:type="character" w:customStyle="1" w:styleId="18">
    <w:name w:val="批注框文本 Char"/>
    <w:basedOn w:val="11"/>
    <w:link w:val="6"/>
    <w:qFormat/>
    <w:uiPriority w:val="0"/>
    <w:rPr>
      <w:rFonts w:ascii="Calibri" w:hAnsi="Calibri" w:eastAsia="宋体" w:cs="Times New Roman"/>
      <w:kern w:val="2"/>
      <w:sz w:val="18"/>
      <w:szCs w:val="18"/>
    </w:rPr>
  </w:style>
  <w:style w:type="paragraph" w:customStyle="1" w:styleId="19">
    <w:name w:val="TTP Paragraph (others)"/>
    <w:basedOn w:val="1"/>
    <w:qFormat/>
    <w:uiPriority w:val="0"/>
    <w:pPr>
      <w:widowControl/>
      <w:autoSpaceDE w:val="0"/>
      <w:autoSpaceDN w:val="0"/>
      <w:ind w:firstLine="283"/>
    </w:pPr>
    <w:rPr>
      <w:rFonts w:ascii="Times New Roman" w:hAnsi="Times New Roman"/>
      <w:kern w:val="0"/>
      <w:sz w:val="24"/>
      <w:szCs w:val="24"/>
      <w:lang w:eastAsia="en-US"/>
    </w:rPr>
  </w:style>
  <w:style w:type="paragraph" w:customStyle="1" w:styleId="20">
    <w:name w:val="YHY"/>
    <w:basedOn w:val="1"/>
    <w:qFormat/>
    <w:uiPriority w:val="0"/>
    <w:pPr>
      <w:spacing w:before="156" w:beforeLines="50" w:after="156" w:afterLines="50" w:line="360" w:lineRule="auto"/>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12</Pages>
  <Words>4794</Words>
  <Characters>5069</Characters>
  <Lines>23</Lines>
  <Paragraphs>6</Paragraphs>
  <TotalTime>2</TotalTime>
  <ScaleCrop>false</ScaleCrop>
  <LinksUpToDate>false</LinksUpToDate>
  <CharactersWithSpaces>5366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2021-07-09T05:54:00Z</dcterms:created>
  <dc:creator>WPS_571020184</dc:creator>
  <cp:lastModifiedBy>牵你手直到</cp:lastModifiedBy>
  <cp:lastPrinted>2021-12-07T00:29:00Z</cp:lastPrinted>
  <dcterms:modified xsi:type="dcterms:W3CDTF">2022-05-05T08:05:34Z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852866B2F832407EBF9EC6C8A4412D94</vt:lpwstr>
  </property>
</Properties>
</file>