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945"/>
        <w:gridCol w:w="6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noWrap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615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5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广西大气污染过程应对指导服务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615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针对广西2022年度大气污染状况，开展广西大气污染应急应对技术指导服务，帮助我院完成2022年受污染城市开展大气污染源溯源、排查整治、综合施策等工作，助力2022年广西大气污染防治目标顺利完成。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</w:rPr>
              <w:t>1、报价要求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eastAsia="zh-CN"/>
              </w:rPr>
              <w:t>（填写项目报价要求，如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本项目实行总承包报价，报价为采购人指定服务范围内的全部价格，至少包括：（1）服务的价格（包括人工、材料、设备等）；（2）必要的保险费用和各项税金；（3）验收及专家评估费用等。（4）与本项目有关的其他一切费用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采购人不再支付成交价格以外的任何费用。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自签订合同之日起至2023月1月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广西南宁市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（1）交付时间：合同签订后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/>
              </w:rPr>
              <w:t>个月内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广西南宁市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</w:rPr>
              <w:t>4、付款条件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个工作日内支付合同款的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%；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2022年3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日前，成果验收后7个工作日内支付项目合同余款。付款前成交供应商先开具增值税发票给采购人。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62999"/>
    <w:rsid w:val="7DC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2022-05-07T02:41:00Z</dcterms:created>
  <dc:creator>西米被风吹走了</dc:creator>
  <cp:lastModifiedBy>西米被风吹走了</cp:lastModifiedBy>
  <dcterms:modified xsi:type="dcterms:W3CDTF">2022-05-07T02:41:38Z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