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center"/>
        <w:rPr>
          <w:rFonts w:hint="eastAsia" w:ascii="方正小标宋简体" w:hAnsi="宋体" w:eastAsia="方正小标宋简体"/>
          <w:sz w:val="32"/>
          <w:szCs w:val="32"/>
        </w:rPr>
      </w:pPr>
      <w:bookmarkStart w:id="0" w:name="_GoBack"/>
      <w:bookmarkEnd w:id="0"/>
      <w:r>
        <w:rPr>
          <w:rFonts w:hint="eastAsia" w:ascii="方正小标宋简体" w:hAnsi="宋体" w:eastAsia="方正小标宋简体"/>
          <w:sz w:val="32"/>
          <w:szCs w:val="32"/>
        </w:rPr>
        <w:t>广西壮族自治区柳州生态环境监测中心</w:t>
      </w:r>
    </w:p>
    <w:p>
      <w:pPr>
        <w:widowControl w:val="0"/>
        <w:tabs>
          <w:tab w:val="left" w:pos="0"/>
        </w:tabs>
        <w:spacing w:line="600" w:lineRule="exact"/>
        <w:jc w:val="center"/>
        <w:rPr>
          <w:rFonts w:hint="eastAsia" w:ascii="方正小标宋简体" w:hAnsi="方正小标宋_GBK" w:eastAsia="方正小标宋简体" w:cs="方正小标宋_GBK"/>
          <w:sz w:val="32"/>
          <w:szCs w:val="32"/>
        </w:rPr>
      </w:pPr>
      <w:r>
        <w:rPr>
          <w:rFonts w:hint="eastAsia" w:ascii="方正小标宋简体" w:hAnsi="宋体" w:eastAsia="方正小标宋简体"/>
          <w:sz w:val="32"/>
          <w:szCs w:val="32"/>
        </w:rPr>
        <w:t>水质应急监测车监测设备运行维护</w:t>
      </w:r>
      <w:r>
        <w:rPr>
          <w:rFonts w:hint="eastAsia" w:ascii="方正小标宋简体" w:hAnsi="方正小标宋_GBK" w:eastAsia="方正小标宋简体" w:cs="方正小标宋_GBK"/>
          <w:sz w:val="32"/>
          <w:szCs w:val="32"/>
        </w:rPr>
        <w:t>采购需求</w:t>
      </w:r>
    </w:p>
    <w:p>
      <w:pPr>
        <w:widowControl w:val="0"/>
        <w:tabs>
          <w:tab w:val="left" w:pos="0"/>
        </w:tabs>
        <w:spacing w:line="600" w:lineRule="exact"/>
        <w:jc w:val="center"/>
        <w:rPr>
          <w:rFonts w:ascii="方正小标宋_GBK" w:hAnsi="方正小标宋_GBK" w:eastAsia="方正小标宋_GBK" w:cs="方正小标宋_GBK"/>
          <w:sz w:val="32"/>
          <w:szCs w:val="32"/>
        </w:rPr>
      </w:pP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pPr>
              <w:spacing w:line="360" w:lineRule="auto"/>
              <w:jc w:val="center"/>
              <w:rPr>
                <w:szCs w:val="21"/>
              </w:rPr>
            </w:pPr>
            <w:r>
              <w:rPr>
                <w:rFonts w:hint="eastAsia"/>
                <w:b/>
                <w:szCs w:val="21"/>
              </w:rPr>
              <w:t>名称</w:t>
            </w:r>
          </w:p>
        </w:tc>
        <w:tc>
          <w:tcPr>
            <w:tcW w:w="470" w:type="dxa"/>
            <w:vAlign w:val="center"/>
          </w:tcPr>
          <w:p>
            <w:pPr>
              <w:spacing w:line="360" w:lineRule="auto"/>
              <w:jc w:val="center"/>
              <w:rPr>
                <w:szCs w:val="21"/>
              </w:rPr>
            </w:pPr>
            <w:r>
              <w:rPr>
                <w:rFonts w:hint="eastAsia"/>
                <w:b/>
                <w:szCs w:val="21"/>
              </w:rPr>
              <w:t>数量</w:t>
            </w:r>
          </w:p>
        </w:tc>
        <w:tc>
          <w:tcPr>
            <w:tcW w:w="7307" w:type="dxa"/>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vAlign w:val="center"/>
          </w:tcPr>
          <w:p>
            <w:pPr>
              <w:spacing w:line="360" w:lineRule="auto"/>
              <w:jc w:val="center"/>
              <w:rPr>
                <w:b/>
                <w:szCs w:val="21"/>
              </w:rPr>
            </w:pPr>
            <w:r>
              <w:rPr>
                <w:rFonts w:hint="eastAsia"/>
                <w:b/>
                <w:szCs w:val="21"/>
              </w:rPr>
              <w:t>水质应急监测车监测设备运行维护服务</w:t>
            </w:r>
          </w:p>
          <w:p>
            <w:pPr>
              <w:spacing w:line="360" w:lineRule="auto"/>
              <w:jc w:val="center"/>
            </w:pPr>
            <w:r>
              <w:rPr>
                <w:rFonts w:hint="eastAsia"/>
                <w:b/>
                <w:szCs w:val="21"/>
              </w:rPr>
              <w:t>采购</w:t>
            </w:r>
          </w:p>
        </w:tc>
        <w:tc>
          <w:tcPr>
            <w:tcW w:w="470" w:type="dxa"/>
            <w:vAlign w:val="center"/>
          </w:tcPr>
          <w:p>
            <w:pPr>
              <w:spacing w:line="360" w:lineRule="auto"/>
              <w:jc w:val="center"/>
            </w:pPr>
            <w:r>
              <w:rPr>
                <w:rFonts w:hint="eastAsia"/>
              </w:rPr>
              <w:t>1项</w:t>
            </w:r>
          </w:p>
        </w:tc>
        <w:tc>
          <w:tcPr>
            <w:tcW w:w="7307" w:type="dxa"/>
            <w:vAlign w:val="center"/>
          </w:tcPr>
          <w:p>
            <w:pPr>
              <w:numPr>
                <w:ilvl w:val="0"/>
                <w:numId w:val="1"/>
              </w:numPr>
              <w:ind w:firstLine="422"/>
              <w:rPr>
                <w:b/>
                <w:bCs/>
                <w:szCs w:val="21"/>
              </w:rPr>
            </w:pPr>
            <w:r>
              <w:rPr>
                <w:rFonts w:hint="eastAsia"/>
                <w:b/>
                <w:bCs/>
                <w:szCs w:val="21"/>
              </w:rPr>
              <w:t>项目概况：</w:t>
            </w:r>
          </w:p>
          <w:p>
            <w:pPr>
              <w:tabs>
                <w:tab w:val="left" w:pos="2280"/>
              </w:tabs>
              <w:spacing w:line="276" w:lineRule="auto"/>
              <w:ind w:right="45" w:firstLine="420" w:firstLineChars="200"/>
              <w:contextualSpacing/>
              <w:rPr>
                <w:rFonts w:ascii="宋体" w:hAnsi="宋体"/>
                <w:szCs w:val="21"/>
              </w:rPr>
            </w:pPr>
            <w:r>
              <w:rPr>
                <w:rFonts w:hint="eastAsia" w:ascii="宋体" w:hAnsi="宋体"/>
                <w:szCs w:val="21"/>
              </w:rPr>
              <w:t>本项目为广西壮族自治区柳州生态环境监测中心（以下简称</w:t>
            </w:r>
            <w:r>
              <w:rPr>
                <w:rFonts w:ascii="宋体" w:hAnsi="宋体"/>
                <w:szCs w:val="21"/>
              </w:rPr>
              <w:t>“</w:t>
            </w:r>
            <w:r>
              <w:rPr>
                <w:rFonts w:hint="eastAsia" w:ascii="宋体" w:hAnsi="宋体"/>
                <w:szCs w:val="21"/>
              </w:rPr>
              <w:t>柳州中心</w:t>
            </w:r>
            <w:r>
              <w:rPr>
                <w:rFonts w:ascii="宋体" w:hAnsi="宋体"/>
                <w:szCs w:val="21"/>
              </w:rPr>
              <w:t>”</w:t>
            </w:r>
            <w:r>
              <w:rPr>
                <w:rFonts w:hint="eastAsia" w:ascii="宋体" w:hAnsi="宋体"/>
                <w:szCs w:val="21"/>
              </w:rPr>
              <w:t>）水质应急监测车监测设备运行维护项目，运维期限为签订合同并完成交接后的12个月。</w:t>
            </w:r>
          </w:p>
          <w:p>
            <w:pPr>
              <w:ind w:firstLine="420" w:firstLineChars="200"/>
              <w:rPr>
                <w:szCs w:val="21"/>
              </w:rPr>
            </w:pPr>
            <w:r>
              <w:rPr>
                <w:rFonts w:hint="eastAsia" w:ascii="宋体" w:hAnsi="宋体"/>
                <w:szCs w:val="21"/>
              </w:rPr>
              <w:t>运维服务包括</w:t>
            </w:r>
            <w:r>
              <w:rPr>
                <w:rFonts w:hint="eastAsia"/>
                <w:szCs w:val="21"/>
              </w:rPr>
              <w:t>水质应急监测车系统的所有仪器设备和相关辅助设施（空调、UPS不间断电源、发电机等）的巡检、维护、维修、校准和质控，提供并定期更换全年所需的试剂和耗材。</w:t>
            </w:r>
            <w:r>
              <w:rPr>
                <w:rFonts w:hint="eastAsia" w:ascii="宋体" w:hAnsi="宋体"/>
                <w:szCs w:val="21"/>
              </w:rPr>
              <w:t>承担所有设备设施调试、校准、维护、维修和网络通信涉及的费用。</w:t>
            </w:r>
            <w:r>
              <w:rPr>
                <w:rFonts w:hint="eastAsia"/>
                <w:szCs w:val="21"/>
              </w:rPr>
              <w:t>随时保持水质应急监测车良好运行状态，</w:t>
            </w:r>
            <w:r>
              <w:rPr>
                <w:rFonts w:hint="eastAsia" w:ascii="宋体" w:hAnsi="宋体"/>
                <w:szCs w:val="21"/>
              </w:rPr>
              <w:t>协助柳州中心</w:t>
            </w:r>
            <w:r>
              <w:rPr>
                <w:rFonts w:hint="eastAsia"/>
                <w:szCs w:val="21"/>
              </w:rPr>
              <w:t>完成突发事故应急处置和演练培训相关业务工作。保持水质应急监测车内外清洁整齐，协助接待对水质应急监测车的检查、调研、参观和培训等，随时接受上级单位的考核。</w:t>
            </w:r>
          </w:p>
          <w:p>
            <w:pPr>
              <w:numPr>
                <w:ilvl w:val="0"/>
                <w:numId w:val="1"/>
              </w:numPr>
              <w:ind w:firstLine="422"/>
              <w:rPr>
                <w:b/>
                <w:bCs/>
                <w:szCs w:val="21"/>
              </w:rPr>
            </w:pPr>
            <w:r>
              <w:rPr>
                <w:rFonts w:hint="eastAsia"/>
                <w:b/>
                <w:bCs/>
                <w:szCs w:val="21"/>
              </w:rPr>
              <w:t>项目内容</w:t>
            </w:r>
          </w:p>
          <w:p>
            <w:pPr>
              <w:ind w:firstLine="420" w:firstLineChars="200"/>
              <w:rPr>
                <w:szCs w:val="21"/>
              </w:rPr>
            </w:pPr>
            <w:r>
              <w:rPr>
                <w:rFonts w:hint="eastAsia"/>
                <w:szCs w:val="21"/>
              </w:rPr>
              <w:t>水质应急监测车系统目前在用仪器包括：美国哈希HACH的常规五参数（pH、溶解氧、电导率、浊度和水温）和湖南力合的化学需氧量、氨氮、总磷（六价铬、锰）、高锰酸盐指数、重金属（锌、铅、镉、砷、汞、锑、铜）；相关辅助设施包括：</w:t>
            </w:r>
            <w:r>
              <w:rPr>
                <w:rFonts w:hint="eastAsia" w:ascii="宋体" w:hAnsi="宋体"/>
                <w:szCs w:val="21"/>
              </w:rPr>
              <w:t>数据采集与传输设备、采样系统、</w:t>
            </w:r>
            <w:r>
              <w:rPr>
                <w:rFonts w:hint="eastAsia"/>
                <w:szCs w:val="21"/>
              </w:rPr>
              <w:t>空调、UPS不间断电源、发电机等。</w:t>
            </w:r>
          </w:p>
          <w:p>
            <w:pPr>
              <w:ind w:firstLine="420" w:firstLineChars="200"/>
              <w:rPr>
                <w:szCs w:val="21"/>
              </w:rPr>
            </w:pPr>
            <w:r>
              <w:rPr>
                <w:rFonts w:hint="eastAsia"/>
                <w:szCs w:val="21"/>
              </w:rPr>
              <w:t>水质应急监测车自动监测系统运行维护包括定期开展水质应急监测车所有车载自动监测模块的例行维护、保养检修、故障检修、停机维护与数据传输日常维护管理与记录、人员培训等。对水质应急监测车自动监测系统的临时巡检和定期巡检，按运维服务具体的目标要求进行监测仪器模块、系统其它结构单元设备、车辆、附属装置等的定期维护，提供并定期更换水质应急监测车自动监测系统所需耗材、运行试剂等。临时巡检或定期巡检期间的交通工具由运维方负责。临时巡检安排在节假日、上级检查、质控考核前，以及应急事故发生期间；定期巡检需在工作日内进行，每周至少巡检1次，巡检中发现问题须及时记录、及时报告、及时解决。</w:t>
            </w:r>
          </w:p>
          <w:p>
            <w:pPr>
              <w:ind w:firstLine="420"/>
              <w:rPr>
                <w:b/>
                <w:bCs/>
                <w:szCs w:val="21"/>
              </w:rPr>
            </w:pPr>
            <w:r>
              <w:rPr>
                <w:rFonts w:hint="eastAsia"/>
                <w:b/>
                <w:bCs/>
                <w:szCs w:val="21"/>
              </w:rPr>
              <w:t>三、运维服务要求（详见运维方案）</w:t>
            </w:r>
          </w:p>
          <w:p>
            <w:pPr>
              <w:ind w:firstLine="420" w:firstLineChars="200"/>
              <w:rPr>
                <w:szCs w:val="21"/>
              </w:rPr>
            </w:pPr>
            <w:r>
              <w:rPr>
                <w:szCs w:val="21"/>
              </w:rPr>
              <w:t>1.各项指标监测数据捕获率达到90%（以小时值计）以上。</w:t>
            </w:r>
          </w:p>
          <w:p>
            <w:pPr>
              <w:ind w:firstLine="420" w:firstLineChars="200"/>
              <w:rPr>
                <w:szCs w:val="21"/>
              </w:rPr>
            </w:pPr>
            <w:r>
              <w:rPr>
                <w:szCs w:val="21"/>
              </w:rPr>
              <w:t>2.各项指标监测数据质控合格率达到75%（以</w:t>
            </w:r>
            <w:r>
              <w:rPr>
                <w:rFonts w:hint="eastAsia"/>
                <w:szCs w:val="21"/>
              </w:rPr>
              <w:t>1个季度内所有质控达标率计</w:t>
            </w:r>
            <w:r>
              <w:rPr>
                <w:szCs w:val="21"/>
              </w:rPr>
              <w:t>）以上。</w:t>
            </w:r>
          </w:p>
          <w:p>
            <w:pPr>
              <w:ind w:firstLine="420" w:firstLineChars="200"/>
              <w:rPr>
                <w:szCs w:val="21"/>
              </w:rPr>
            </w:pPr>
            <w:r>
              <w:rPr>
                <w:szCs w:val="21"/>
              </w:rPr>
              <w:t>3.运维任务完成率100%。</w:t>
            </w:r>
          </w:p>
          <w:p>
            <w:pPr>
              <w:ind w:firstLine="420" w:firstLineChars="200"/>
              <w:rPr>
                <w:szCs w:val="21"/>
              </w:rPr>
            </w:pPr>
            <w:r>
              <w:rPr>
                <w:szCs w:val="21"/>
              </w:rPr>
              <w:t>4.异常情况处理率100%。</w:t>
            </w:r>
          </w:p>
          <w:p>
            <w:pPr>
              <w:ind w:firstLine="420"/>
              <w:rPr>
                <w:b/>
                <w:bCs/>
                <w:szCs w:val="21"/>
              </w:rPr>
            </w:pPr>
            <w:r>
              <w:rPr>
                <w:rFonts w:hint="eastAsia"/>
                <w:b/>
                <w:bCs/>
                <w:szCs w:val="21"/>
              </w:rPr>
              <w:t>四、其他要求</w:t>
            </w:r>
          </w:p>
          <w:p>
            <w:pPr>
              <w:tabs>
                <w:tab w:val="left" w:pos="2280"/>
              </w:tabs>
              <w:spacing w:line="276" w:lineRule="auto"/>
              <w:ind w:right="45" w:firstLine="480"/>
              <w:contextualSpacing/>
              <w:rPr>
                <w:b/>
                <w:bCs/>
                <w:szCs w:val="21"/>
              </w:rPr>
            </w:pPr>
            <w:r>
              <w:rPr>
                <w:rFonts w:hint="eastAsia"/>
                <w:szCs w:val="21"/>
              </w:rPr>
              <w:t>柳州中心自正式运维期开始每三个月对开展一次运营维护工作考核，依据维护内容就每周、每月、每季的维护质量和相关指标相结合的方式进行评分。</w:t>
            </w:r>
            <w:r>
              <w:rPr>
                <w:rFonts w:hint="eastAsia" w:ascii="宋体" w:hAnsi="宋体"/>
                <w:szCs w:val="21"/>
              </w:rPr>
              <w:t>对达不到运维要求或违规操作的，可以扣减相应的运维费，并有权终止运维合同。</w:t>
            </w:r>
            <w:r>
              <w:rPr>
                <w:rFonts w:hint="eastAsia"/>
                <w:szCs w:val="21"/>
              </w:rPr>
              <w:t>。</w:t>
            </w:r>
          </w:p>
          <w:p>
            <w:pPr>
              <w:ind w:firstLine="42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ind w:firstLine="422" w:firstLineChars="200"/>
              <w:rPr>
                <w:b/>
                <w:szCs w:val="21"/>
              </w:rPr>
            </w:pPr>
            <w:r>
              <w:rPr>
                <w:rFonts w:hint="eastAsia"/>
                <w:b/>
                <w:szCs w:val="21"/>
              </w:rPr>
              <w:t>1、报价要求</w:t>
            </w:r>
          </w:p>
          <w:p>
            <w:pPr>
              <w:ind w:firstLine="420" w:firstLineChars="200"/>
              <w:rPr>
                <w:szCs w:val="21"/>
              </w:rPr>
            </w:pPr>
            <w:r>
              <w:rPr>
                <w:rFonts w:hint="eastAsia"/>
                <w:szCs w:val="21"/>
              </w:rPr>
              <w:t>报价为采购人指定服务范围内的全部价格，至少包括：（1）服务的价格（包括人工、材料等）；（2）必要的保险费用和各项税金；（3）与本项目有关的其他一切费用。</w:t>
            </w:r>
          </w:p>
          <w:p>
            <w:pPr>
              <w:ind w:firstLine="420" w:firstLineChars="200"/>
              <w:rPr>
                <w:szCs w:val="21"/>
              </w:rPr>
            </w:pPr>
            <w:r>
              <w:rPr>
                <w:rFonts w:hint="eastAsia"/>
                <w:szCs w:val="21"/>
              </w:rPr>
              <w:t>采购人不再支付成交价格以外的任何费用。</w:t>
            </w:r>
          </w:p>
          <w:p>
            <w:pPr>
              <w:ind w:firstLine="422" w:firstLineChars="200"/>
              <w:rPr>
                <w:b/>
                <w:szCs w:val="21"/>
              </w:rPr>
            </w:pPr>
            <w:r>
              <w:rPr>
                <w:rFonts w:hint="eastAsia"/>
                <w:b/>
                <w:szCs w:val="21"/>
              </w:rPr>
              <w:t>2、项目服务时间及服务地点</w:t>
            </w:r>
          </w:p>
          <w:p>
            <w:pPr>
              <w:ind w:firstLine="420" w:firstLineChars="200"/>
              <w:rPr>
                <w:rFonts w:ascii="宋体" w:hAnsi="宋体"/>
                <w:szCs w:val="21"/>
              </w:rPr>
            </w:pPr>
            <w:r>
              <w:rPr>
                <w:rFonts w:hint="eastAsia"/>
                <w:szCs w:val="21"/>
              </w:rPr>
              <w:t>（1）服务期限：</w:t>
            </w:r>
            <w:r>
              <w:rPr>
                <w:rFonts w:hint="eastAsia" w:ascii="宋体" w:hAnsi="宋体"/>
                <w:szCs w:val="21"/>
              </w:rPr>
              <w:t>签订合同并完成交接后的12个月。</w:t>
            </w:r>
          </w:p>
          <w:p>
            <w:pPr>
              <w:ind w:firstLine="420" w:firstLineChars="200"/>
              <w:rPr>
                <w:szCs w:val="21"/>
              </w:rPr>
            </w:pPr>
            <w:r>
              <w:rPr>
                <w:rFonts w:hint="eastAsia"/>
                <w:szCs w:val="21"/>
              </w:rPr>
              <w:t>（2）服务地点：自治区柳州生态环境监测中心</w:t>
            </w:r>
          </w:p>
          <w:p>
            <w:pPr>
              <w:ind w:firstLine="422" w:firstLineChars="200"/>
              <w:rPr>
                <w:b/>
                <w:szCs w:val="21"/>
              </w:rPr>
            </w:pPr>
            <w:r>
              <w:rPr>
                <w:rFonts w:hint="eastAsia"/>
                <w:b/>
                <w:szCs w:val="21"/>
              </w:rPr>
              <w:t>3、付款条件</w:t>
            </w:r>
          </w:p>
          <w:p>
            <w:pPr>
              <w:ind w:firstLine="420" w:firstLineChars="200"/>
              <w:rPr>
                <w:szCs w:val="21"/>
              </w:rPr>
            </w:pPr>
            <w:r>
              <w:rPr>
                <w:rFonts w:hint="eastAsia"/>
                <w:szCs w:val="21"/>
              </w:rPr>
              <w:t>运维费用分4次支付，于2022年9月20日、2022年12月20日、2023年3月20日及服务期满后考核评分合格的分别按合同总金额的25%支付。每次考核评分不合格的，按合同条款根据考核评分结果扣除相应比例金额后支付运维费用。</w:t>
            </w:r>
          </w:p>
          <w:p>
            <w:pPr>
              <w:ind w:firstLine="422" w:firstLineChars="200"/>
              <w:rPr>
                <w:b/>
                <w:bCs/>
                <w:szCs w:val="21"/>
              </w:rPr>
            </w:pPr>
            <w:r>
              <w:rPr>
                <w:rFonts w:hint="eastAsia"/>
                <w:b/>
                <w:bCs/>
                <w:szCs w:val="21"/>
              </w:rPr>
              <w:t>4、其他要求</w:t>
            </w:r>
          </w:p>
          <w:p>
            <w:pPr>
              <w:ind w:firstLine="420" w:firstLineChars="200"/>
              <w:rPr>
                <w:szCs w:val="21"/>
              </w:rPr>
            </w:pPr>
            <w:r>
              <w:rPr>
                <w:rFonts w:hint="eastAsia"/>
                <w:szCs w:val="21"/>
              </w:rPr>
              <w:t>本项目采用最低价成交法的，供应商需提供业绩证明、售后服务方案、实施方案、获得的与采购内容有关的资质、证书等材料。</w:t>
            </w:r>
          </w:p>
          <w:p>
            <w:pPr>
              <w:ind w:firstLine="420" w:firstLineChars="200"/>
              <w:rPr>
                <w:szCs w:val="21"/>
              </w:rPr>
            </w:pPr>
          </w:p>
          <w:p>
            <w:pPr>
              <w:ind w:firstLine="420" w:firstLineChars="200"/>
              <w:rPr>
                <w:szCs w:val="21"/>
              </w:rPr>
            </w:pPr>
          </w:p>
          <w:p>
            <w:pPr>
              <w:ind w:firstLine="420" w:firstLineChars="200"/>
              <w:rPr>
                <w:szCs w:val="21"/>
              </w:rPr>
            </w:pPr>
          </w:p>
        </w:tc>
      </w:tr>
    </w:tbl>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90764"/>
    <w:multiLevelType w:val="singleLevel"/>
    <w:tmpl w:val="51B907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12619"/>
    <w:rsid w:val="00042CBF"/>
    <w:rsid w:val="00293D2B"/>
    <w:rsid w:val="0033005F"/>
    <w:rsid w:val="0036345B"/>
    <w:rsid w:val="003A12E6"/>
    <w:rsid w:val="003C4888"/>
    <w:rsid w:val="005C4F9E"/>
    <w:rsid w:val="006F4DF5"/>
    <w:rsid w:val="008841E1"/>
    <w:rsid w:val="00906198"/>
    <w:rsid w:val="00AB0B62"/>
    <w:rsid w:val="00B70F1E"/>
    <w:rsid w:val="00EE7BD0"/>
    <w:rsid w:val="011E5958"/>
    <w:rsid w:val="020C017C"/>
    <w:rsid w:val="0C68018C"/>
    <w:rsid w:val="11F107E0"/>
    <w:rsid w:val="173D6A81"/>
    <w:rsid w:val="193860A4"/>
    <w:rsid w:val="1B6A478E"/>
    <w:rsid w:val="1FCE2003"/>
    <w:rsid w:val="27B63372"/>
    <w:rsid w:val="28281E27"/>
    <w:rsid w:val="2BC538F5"/>
    <w:rsid w:val="2EC46442"/>
    <w:rsid w:val="2EF951F6"/>
    <w:rsid w:val="2FBD2F2E"/>
    <w:rsid w:val="3015127A"/>
    <w:rsid w:val="366F71D0"/>
    <w:rsid w:val="36D12619"/>
    <w:rsid w:val="370871FF"/>
    <w:rsid w:val="3CA61287"/>
    <w:rsid w:val="3DD56C58"/>
    <w:rsid w:val="3F184358"/>
    <w:rsid w:val="4ABD7AFA"/>
    <w:rsid w:val="4AD74374"/>
    <w:rsid w:val="4BEF3080"/>
    <w:rsid w:val="50B82E88"/>
    <w:rsid w:val="51573DB0"/>
    <w:rsid w:val="54DE681F"/>
    <w:rsid w:val="5ECE7E87"/>
    <w:rsid w:val="60915684"/>
    <w:rsid w:val="612011C7"/>
    <w:rsid w:val="6E832A44"/>
    <w:rsid w:val="710918D9"/>
    <w:rsid w:val="744F4658"/>
    <w:rsid w:val="7AB51E06"/>
    <w:rsid w:val="7CE53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line="600" w:lineRule="exact"/>
      <w:jc w:val="left"/>
      <w:outlineLvl w:val="0"/>
    </w:pPr>
    <w:rPr>
      <w:rFonts w:eastAsia="方正仿宋_GBK" w:asciiTheme="minorHAnsi" w:hAnsiTheme="minorHAnsi"/>
      <w:kern w:val="44"/>
      <w:sz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YHY"/>
    <w:basedOn w:val="1"/>
    <w:qFormat/>
    <w:uiPriority w:val="0"/>
    <w:pPr>
      <w:spacing w:beforeLines="50" w:afterLines="50" w:line="360" w:lineRule="auto"/>
      <w:ind w:firstLine="200" w:firstLineChars="200"/>
    </w:pPr>
    <w:rPr>
      <w:rFonts w:ascii="Times New Roman" w:hAnsi="Times New Roman"/>
    </w:rPr>
  </w:style>
  <w:style w:type="paragraph" w:customStyle="1" w:styleId="10">
    <w:name w:val="xl28"/>
    <w:basedOn w:val="1"/>
    <w:qFormat/>
    <w:uiPriority w:val="0"/>
    <w:pPr>
      <w:spacing w:before="100" w:beforeAutospacing="1" w:after="100" w:afterAutospacing="1"/>
      <w:jc w:val="center"/>
      <w:textAlignment w:val="center"/>
    </w:pPr>
    <w:rPr>
      <w:rFonts w:ascii="宋体" w:hAnsi="宋体"/>
      <w:kern w:val="0"/>
      <w:sz w:val="36"/>
      <w:szCs w:val="36"/>
    </w:rPr>
  </w:style>
  <w:style w:type="table" w:customStyle="1" w:styleId="11">
    <w:name w:val="Table Normal"/>
    <w:unhideWhenUsed/>
    <w:qFormat/>
    <w:uiPriority w:val="2"/>
    <w:tblPr>
      <w:tblCellMar>
        <w:top w:w="0" w:type="dxa"/>
        <w:left w:w="0" w:type="dxa"/>
        <w:bottom w:w="0" w:type="dxa"/>
        <w:right w:w="0" w:type="dxa"/>
      </w:tblCellMar>
    </w:tblPr>
  </w:style>
  <w:style w:type="paragraph" w:customStyle="1" w:styleId="12">
    <w:name w:val="Table Paragraph"/>
    <w:basedOn w:val="1"/>
    <w:qFormat/>
    <w:uiPriority w:val="1"/>
  </w:style>
  <w:style w:type="character" w:customStyle="1" w:styleId="13">
    <w:name w:val="批注框文本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208</Words>
  <Characters>1190</Characters>
  <Lines>9</Lines>
  <Paragraphs>2</Paragraphs>
  <TotalTime>26</TotalTime>
  <ScaleCrop>false</ScaleCrop>
  <LinksUpToDate>false</LinksUpToDate>
  <CharactersWithSpaces>1396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2021-12-22T09:43:00Z</dcterms:created>
  <dc:creator>Chris_wong1422081517</dc:creator>
  <cp:lastModifiedBy>Administrator</cp:lastModifiedBy>
  <cp:lastPrinted>2021-12-30T04:19:00Z</cp:lastPrinted>
  <dcterms:modified xsi:type="dcterms:W3CDTF">2022-05-10T10:05:11Z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553CD2A353214976B8D1AE2B7426F468</vt:lpwstr>
  </property>
</Properties>
</file>