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pStyle w:val="2"/>
      </w:pPr>
    </w:p>
    <w:p>
      <w:pPr>
        <w:spacing w:line="600" w:lineRule="exact"/>
        <w:ind w:firstLine="440" w:firstLineChars="100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环境监测项目辅助性工作劳务外包服务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2"/>
      </w:pPr>
    </w:p>
    <w:tbl>
      <w:tblPr>
        <w:tblStyle w:val="7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环境监测项目辅助性工作劳务外包服务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vAlign w:val="center"/>
          </w:tcPr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（一）劳务外包形式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第三方劳动专业技术人员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我院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开展环境监测项目外业和资料收集辅助性工作。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（二）工作内容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开展环境监测项目外业和资料收集辅助性工作。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（三）人数及用工时间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用工人数为4人，用工时间为6个月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（四）人员要求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提供的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第三方劳动专业技术人员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具有大专以上学历，须为环境、化学、地质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相关专业或从事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环境、化学、地质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相关工作满2年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熟悉检验检测或环境相关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国家、行业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标准规范要求，遵守国家法律法规和我院各项规章制度，服从我院工作安排，配合按时完成工作。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（五）其他要求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需为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第三方劳动专业技术人员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缴纳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社保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，并采购人身意外保险。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提供的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第三方劳动专业技术人员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不能同时在两家检验检测机构工作。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3、供应商报价以用工时间按月进行报价，最终合计报价不超过预算价格。如我院用工时间不满6个月的，最终根据实际用工时间结算劳务外包服务费用。</w:t>
            </w:r>
          </w:p>
          <w:p>
            <w:pPr>
              <w:adjustRightInd w:val="0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月报价：人民币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</w:p>
          <w:p>
            <w:pPr>
              <w:snapToGrid w:val="0"/>
              <w:spacing w:line="6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合计报价：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</w:tcPr>
          <w:p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>
      <w:pPr>
        <w:rPr>
          <w:szCs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06497"/>
    <w:rsid w:val="0A4845AC"/>
    <w:rsid w:val="0F3856DA"/>
    <w:rsid w:val="0F5E553F"/>
    <w:rsid w:val="10A835F1"/>
    <w:rsid w:val="18F54CF5"/>
    <w:rsid w:val="22210FDA"/>
    <w:rsid w:val="2AAD37C1"/>
    <w:rsid w:val="3BA7368E"/>
    <w:rsid w:val="3C506497"/>
    <w:rsid w:val="3FC05A28"/>
    <w:rsid w:val="40615338"/>
    <w:rsid w:val="411272E7"/>
    <w:rsid w:val="4BA2190E"/>
    <w:rsid w:val="52192E1C"/>
    <w:rsid w:val="6046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2022-02-11T01:52:00Z</dcterms:created>
  <dc:creator>植雨青</dc:creator>
  <cp:lastModifiedBy>李夏</cp:lastModifiedBy>
  <dcterms:modified xsi:type="dcterms:W3CDTF">2022-05-11T07:27:16Z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