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insoku w:val="0"/>
        <w:overflowPunct w:val="0"/>
        <w:spacing w:before="0" w:line="400" w:lineRule="exact"/>
        <w:rPr>
          <w:rFonts w:hint="default" w:ascii="Times New Roman" w:hAnsi="Times New Roman" w:eastAsia="黑体"/>
          <w:color w:val="auto"/>
          <w:sz w:val="30"/>
          <w:lang w:eastAsia="zh-CN"/>
        </w:rPr>
      </w:pPr>
      <w:bookmarkStart w:id="0" w:name="_GoBack"/>
      <w:bookmarkEnd w:id="0"/>
      <w:r>
        <w:rPr>
          <w:rFonts w:hint="eastAsia" w:ascii="Times New Roman" w:hAnsi="Times New Roman" w:eastAsia="黑体"/>
          <w:color w:val="auto"/>
          <w:sz w:val="30"/>
        </w:rPr>
        <w:t>附</w:t>
      </w:r>
      <w:r>
        <w:rPr>
          <w:rFonts w:hint="eastAsia" w:ascii="Times New Roman" w:hAnsi="Times New Roman" w:eastAsia="黑体"/>
          <w:color w:val="auto"/>
          <w:sz w:val="30"/>
          <w:lang w:eastAsia="zh-CN"/>
        </w:rPr>
        <w:t>件</w:t>
      </w:r>
      <w:r>
        <w:rPr>
          <w:rFonts w:hint="default" w:ascii="Times New Roman" w:hAnsi="Times New Roman" w:eastAsia="黑体"/>
          <w:color w:val="auto"/>
          <w:sz w:val="30"/>
          <w:lang w:val="en-US" w:eastAsia="zh-CN"/>
        </w:rPr>
        <w:t>2</w:t>
      </w:r>
    </w:p>
    <w:p>
      <w:pPr>
        <w:pStyle w:val="5"/>
        <w:kinsoku w:val="0"/>
        <w:overflowPunct w:val="0"/>
        <w:spacing w:before="0" w:line="400" w:lineRule="exact"/>
        <w:ind w:left="0"/>
        <w:rPr>
          <w:rFonts w:hint="default" w:ascii="Times New Roman" w:hAnsi="Times New Roman" w:eastAsia="黑体"/>
          <w:color w:val="auto"/>
          <w:sz w:val="32"/>
        </w:rPr>
      </w:pPr>
    </w:p>
    <w:p>
      <w:pPr>
        <w:pStyle w:val="3"/>
        <w:kinsoku w:val="0"/>
        <w:overflowPunct w:val="0"/>
        <w:spacing w:before="0" w:line="400" w:lineRule="exact"/>
        <w:ind w:left="544"/>
        <w:rPr>
          <w:rFonts w:hint="default" w:ascii="Times New Roman" w:hAnsi="Times New Roman"/>
          <w:color w:val="auto"/>
          <w:w w:val="95"/>
          <w:sz w:val="21"/>
        </w:rPr>
      </w:pPr>
    </w:p>
    <w:p>
      <w:pPr>
        <w:spacing w:line="400" w:lineRule="exact"/>
        <w:ind w:firstLine="420" w:firstLineChars="200"/>
        <w:rPr>
          <w:rFonts w:hint="eastAsia" w:ascii="Times New Roman" w:hAnsi="Times New Roman" w:eastAsia="黑体"/>
          <w:color w:val="auto"/>
          <w:sz w:val="21"/>
        </w:rPr>
      </w:pPr>
    </w:p>
    <w:p>
      <w:pPr>
        <w:spacing w:line="400" w:lineRule="exact"/>
        <w:ind w:firstLine="420" w:firstLineChars="200"/>
        <w:rPr>
          <w:rFonts w:hint="default" w:ascii="Times New Roman" w:hAnsi="Times New Roman" w:eastAsia="黑体"/>
          <w:color w:val="auto"/>
          <w:sz w:val="21"/>
        </w:rPr>
      </w:pPr>
      <w:r>
        <w:rPr>
          <w:rFonts w:hint="eastAsia" w:ascii="Times New Roman" w:hAnsi="Times New Roman" w:eastAsia="黑体"/>
          <w:color w:val="auto"/>
          <w:sz w:val="21"/>
        </w:rPr>
        <w:t>一、评审原则</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br w:type="column"/>
      </w:r>
    </w:p>
    <w:p>
      <w:pPr>
        <w:spacing w:line="400" w:lineRule="exact"/>
        <w:ind w:firstLine="640" w:firstLineChars="200"/>
        <w:rPr>
          <w:rFonts w:hint="eastAsia" w:ascii="Times New Roman" w:hAnsi="Times New Roman" w:eastAsia="方正小标宋_GBK"/>
          <w:color w:val="auto"/>
          <w:sz w:val="32"/>
        </w:rPr>
      </w:pPr>
    </w:p>
    <w:p>
      <w:pPr>
        <w:spacing w:line="400" w:lineRule="exact"/>
        <w:ind w:firstLine="640" w:firstLineChars="200"/>
        <w:rPr>
          <w:rFonts w:hint="default" w:ascii="Times New Roman" w:hAnsi="Times New Roman" w:eastAsia="方正小标宋_GBK"/>
          <w:color w:val="auto"/>
          <w:sz w:val="32"/>
        </w:rPr>
      </w:pPr>
      <w:r>
        <w:rPr>
          <w:rFonts w:hint="eastAsia" w:ascii="Times New Roman" w:hAnsi="Times New Roman" w:eastAsia="方正小标宋_GBK"/>
          <w:color w:val="auto"/>
          <w:sz w:val="32"/>
        </w:rPr>
        <w:t>综合评分办法</w:t>
      </w:r>
    </w:p>
    <w:p>
      <w:pPr>
        <w:spacing w:line="400" w:lineRule="exact"/>
        <w:ind w:firstLine="420" w:firstLineChars="200"/>
        <w:rPr>
          <w:rFonts w:hint="default" w:ascii="Times New Roman" w:hAnsi="Times New Roman" w:eastAsia="宋体"/>
          <w:color w:val="auto"/>
          <w:sz w:val="21"/>
        </w:rPr>
      </w:pPr>
    </w:p>
    <w:p>
      <w:pPr>
        <w:spacing w:line="400" w:lineRule="exact"/>
        <w:ind w:firstLine="420" w:firstLineChars="200"/>
        <w:rPr>
          <w:rFonts w:hint="default" w:ascii="Times New Roman" w:hAnsi="Times New Roman" w:eastAsia="宋体"/>
          <w:color w:val="auto"/>
          <w:sz w:val="21"/>
        </w:rPr>
        <w:sectPr>
          <w:type w:val="continuous"/>
          <w:pgSz w:w="11910" w:h="16840"/>
          <w:pgMar w:top="1540" w:right="1580" w:bottom="280" w:left="1680" w:header="720" w:footer="720" w:gutter="0"/>
          <w:lnNumType w:countBy="0" w:distance="360"/>
          <w:cols w:equalWidth="0" w:num="2">
            <w:col w:w="1808" w:space="1384"/>
            <w:col w:w="5458"/>
          </w:cols>
        </w:sectPr>
      </w:pP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lang w:eastAsia="zh-CN"/>
        </w:rPr>
        <w:t>（一）</w:t>
      </w:r>
      <w:r>
        <w:rPr>
          <w:rFonts w:hint="eastAsia" w:ascii="Times New Roman" w:hAnsi="Times New Roman" w:eastAsia="宋体"/>
          <w:color w:val="auto"/>
          <w:sz w:val="21"/>
        </w:rPr>
        <w:t>评审小组构成：本项目的评审小组由采购单位组建，成员包含技术、经济等方面专业人员，成员人数为</w:t>
      </w:r>
      <w:r>
        <w:rPr>
          <w:rFonts w:hint="default" w:ascii="Times New Roman" w:hAnsi="Times New Roman" w:eastAsia="宋体"/>
          <w:color w:val="auto"/>
          <w:sz w:val="21"/>
          <w:lang w:val="en-US" w:eastAsia="zh-CN"/>
        </w:rPr>
        <w:t>3</w:t>
      </w:r>
      <w:r>
        <w:rPr>
          <w:rFonts w:hint="eastAsia" w:ascii="Times New Roman" w:hAnsi="Times New Roman" w:eastAsia="宋体"/>
          <w:color w:val="auto"/>
          <w:sz w:val="21"/>
        </w:rPr>
        <w:t>人以上（含</w:t>
      </w:r>
      <w:r>
        <w:rPr>
          <w:rFonts w:hint="default" w:ascii="Times New Roman" w:hAnsi="Times New Roman" w:eastAsia="宋体"/>
          <w:color w:val="auto"/>
          <w:sz w:val="21"/>
          <w:lang w:val="en-US" w:eastAsia="zh-CN"/>
        </w:rPr>
        <w:t>3</w:t>
      </w:r>
      <w:r>
        <w:rPr>
          <w:rFonts w:hint="eastAsia" w:ascii="Times New Roman" w:hAnsi="Times New Roman" w:eastAsia="宋体"/>
          <w:color w:val="auto"/>
          <w:sz w:val="21"/>
        </w:rPr>
        <w:t>人）单数。其中，技术、经济等方面的专家不得少于成员总数的三分之二。</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lang w:eastAsia="zh-CN"/>
        </w:rPr>
        <w:t>（二）</w:t>
      </w:r>
      <w:r>
        <w:rPr>
          <w:rFonts w:hint="eastAsia" w:ascii="Times New Roman" w:hAnsi="Times New Roman" w:eastAsia="宋体"/>
          <w:color w:val="auto"/>
          <w:sz w:val="21"/>
        </w:rPr>
        <w:t>评审依据：本评审办法和供应商提交的响应文件。</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lang w:eastAsia="zh-CN"/>
        </w:rPr>
        <w:t>（三）</w:t>
      </w:r>
      <w:r>
        <w:rPr>
          <w:rFonts w:hint="eastAsia" w:ascii="Times New Roman" w:hAnsi="Times New Roman" w:eastAsia="宋体"/>
          <w:color w:val="auto"/>
          <w:sz w:val="21"/>
        </w:rPr>
        <w:t>评审方法：综合评分法。</w:t>
      </w:r>
    </w:p>
    <w:p>
      <w:pPr>
        <w:spacing w:line="400" w:lineRule="exact"/>
        <w:ind w:firstLine="420" w:firstLineChars="200"/>
        <w:rPr>
          <w:rFonts w:hint="default" w:ascii="Times New Roman" w:hAnsi="Times New Roman" w:eastAsia="黑体"/>
          <w:color w:val="auto"/>
          <w:sz w:val="21"/>
        </w:rPr>
      </w:pPr>
      <w:r>
        <w:rPr>
          <w:rFonts w:hint="eastAsia" w:ascii="Times New Roman" w:hAnsi="Times New Roman" w:eastAsia="黑体"/>
          <w:color w:val="auto"/>
          <w:sz w:val="21"/>
        </w:rPr>
        <w:t>二、评审方法</w:t>
      </w:r>
    </w:p>
    <w:p>
      <w:pPr>
        <w:spacing w:line="400" w:lineRule="exact"/>
        <w:ind w:firstLine="420" w:firstLineChars="200"/>
        <w:rPr>
          <w:rFonts w:hint="default" w:ascii="Times New Roman" w:hAnsi="Times New Roman" w:eastAsia="宋体"/>
          <w:color w:val="auto"/>
          <w:sz w:val="21"/>
          <w:lang w:eastAsia="zh-CN"/>
        </w:rPr>
      </w:pPr>
      <w:r>
        <w:rPr>
          <w:rFonts w:hint="eastAsia" w:ascii="Times New Roman" w:hAnsi="Times New Roman" w:eastAsia="宋体"/>
          <w:color w:val="auto"/>
          <w:sz w:val="21"/>
        </w:rPr>
        <w:t>供应商提交的报价及资格材料经初核符合要求的进入详评，评审小组将按本评审办法和响应文件为评定依据，采用百分制综合评分法</w:t>
      </w:r>
      <w:r>
        <w:rPr>
          <w:rFonts w:hint="eastAsia" w:ascii="Times New Roman" w:hAnsi="Times New Roman" w:eastAsia="宋体"/>
          <w:color w:val="auto"/>
          <w:sz w:val="21"/>
          <w:lang w:eastAsia="zh-CN"/>
        </w:rPr>
        <w:t>。</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rPr>
        <w:t>评分细则（按四舍五入取至百分位）：</w:t>
      </w:r>
    </w:p>
    <w:p>
      <w:pPr>
        <w:spacing w:line="400" w:lineRule="exact"/>
        <w:ind w:firstLine="422" w:firstLineChars="200"/>
        <w:rPr>
          <w:rFonts w:hint="default" w:ascii="Times New Roman" w:hAnsi="Times New Roman" w:eastAsia="宋体"/>
          <w:b/>
          <w:color w:val="auto"/>
          <w:sz w:val="21"/>
        </w:rPr>
      </w:pPr>
      <w:r>
        <w:rPr>
          <w:rFonts w:hint="eastAsia" w:ascii="Times New Roman" w:hAnsi="Times New Roman" w:eastAsia="宋体"/>
          <w:b/>
          <w:color w:val="auto"/>
          <w:sz w:val="21"/>
        </w:rPr>
        <w:t>（一）价格分………………………………………………………</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……………………10 分</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1</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评审价为供应商的报价进行政策性扣除后的价格，评审价只是作为评审时使用。最终成交人的成交报价＝最终报价。</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2</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按照《政府采购促进中小企业发展管理办法》（财库〔2020〕46号）规定，供应商为小型和微型企业，并在其响应文件中提供《中小企业声明函》，且其所竞标产品为小型和微型企业生产的，对其竞标价格给予 6%</w:t>
      </w:r>
      <w:r>
        <w:rPr>
          <w:rFonts w:hint="default" w:ascii="Times New Roman" w:hAnsi="Times New Roman" w:eastAsia="宋体"/>
          <w:color w:val="auto"/>
          <w:sz w:val="21"/>
          <w:lang w:val="en-US" w:eastAsia="zh-CN"/>
        </w:rPr>
        <w:t xml:space="preserve"> </w:t>
      </w:r>
      <w:r>
        <w:rPr>
          <w:rFonts w:hint="eastAsia" w:ascii="Times New Roman" w:hAnsi="Times New Roman" w:eastAsia="宋体"/>
          <w:color w:val="auto"/>
          <w:sz w:val="21"/>
        </w:rPr>
        <w:t>的扣除。</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3</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按照《财政部</w:t>
      </w:r>
      <w:r>
        <w:rPr>
          <w:rFonts w:hint="default" w:ascii="Times New Roman" w:hAnsi="Times New Roman" w:eastAsia="宋体"/>
          <w:color w:val="auto"/>
          <w:sz w:val="21"/>
          <w:lang w:val="en-US" w:eastAsia="zh-CN"/>
        </w:rPr>
        <w:t xml:space="preserve"> </w:t>
      </w:r>
      <w:r>
        <w:rPr>
          <w:rFonts w:hint="eastAsia" w:ascii="Times New Roman" w:hAnsi="Times New Roman" w:eastAsia="宋体"/>
          <w:color w:val="auto"/>
          <w:sz w:val="21"/>
        </w:rPr>
        <w:t>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Times New Roman" w:hAnsi="Times New Roman" w:eastAsia="宋体"/>
          <w:color w:val="auto"/>
          <w:sz w:val="21"/>
          <w:lang w:eastAsia="zh-CN"/>
        </w:rPr>
        <w:t>（</w:t>
      </w:r>
      <w:r>
        <w:rPr>
          <w:rFonts w:hint="eastAsia" w:ascii="Times New Roman" w:hAnsi="Times New Roman" w:eastAsia="宋体"/>
          <w:color w:val="auto"/>
          <w:sz w:val="21"/>
        </w:rPr>
        <w:t>含新疆生产建设兵团</w:t>
      </w:r>
      <w:r>
        <w:rPr>
          <w:rFonts w:hint="eastAsia" w:ascii="Times New Roman" w:hAnsi="Times New Roman" w:eastAsia="宋体"/>
          <w:color w:val="auto"/>
          <w:sz w:val="21"/>
          <w:lang w:eastAsia="zh-CN"/>
        </w:rPr>
        <w:t>）</w:t>
      </w:r>
      <w:r>
        <w:rPr>
          <w:rFonts w:hint="eastAsia" w:ascii="Times New Roman" w:hAnsi="Times New Roman" w:eastAsia="宋体"/>
          <w:color w:val="auto"/>
          <w:sz w:val="21"/>
        </w:rPr>
        <w:t>出具的属于监狱企业的证明文件。</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4</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5</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政策性扣除计算方法。供应商被评定为监狱企业或残疾人福利性单位或小型和微型企业且其所竞标产品为小型和微型企业产品的，该供应商的磋商报价给予</w:t>
      </w:r>
      <w:r>
        <w:rPr>
          <w:rFonts w:hint="default" w:ascii="Times New Roman" w:hAnsi="Times New Roman" w:eastAsia="宋体"/>
          <w:color w:val="auto"/>
          <w:sz w:val="21"/>
          <w:lang w:val="en-US" w:eastAsia="zh-CN"/>
        </w:rPr>
        <w:t xml:space="preserve"> </w:t>
      </w:r>
      <w:r>
        <w:rPr>
          <w:rFonts w:hint="default" w:ascii="Times New Roman" w:hAnsi="Times New Roman" w:eastAsia="宋体"/>
          <w:color w:val="auto"/>
          <w:sz w:val="21"/>
        </w:rPr>
        <w:t>6%</w:t>
      </w:r>
      <w:r>
        <w:rPr>
          <w:rFonts w:hint="default" w:ascii="Times New Roman" w:hAnsi="Times New Roman" w:eastAsia="宋体"/>
          <w:color w:val="auto"/>
          <w:sz w:val="21"/>
          <w:lang w:val="en-US" w:eastAsia="zh-CN"/>
        </w:rPr>
        <w:t xml:space="preserve"> </w:t>
      </w:r>
      <w:r>
        <w:rPr>
          <w:rFonts w:hint="eastAsia" w:ascii="Times New Roman" w:hAnsi="Times New Roman" w:eastAsia="宋体"/>
          <w:color w:val="auto"/>
          <w:sz w:val="21"/>
        </w:rPr>
        <w:t>的扣除，扣除后的价格为评审报价，即评审报价=初始报价×（1</w:t>
      </w:r>
      <w:r>
        <w:rPr>
          <w:rFonts w:hint="eastAsia" w:ascii="宋体" w:hAnsi="宋体" w:eastAsia="宋体"/>
          <w:color w:val="auto"/>
          <w:sz w:val="21"/>
          <w:lang w:val="en-US" w:eastAsia="zh-CN"/>
        </w:rPr>
        <w:t>－</w:t>
      </w:r>
      <w:r>
        <w:rPr>
          <w:rFonts w:hint="default" w:ascii="Times New Roman" w:hAnsi="Times New Roman" w:eastAsia="宋体"/>
          <w:color w:val="auto"/>
          <w:sz w:val="21"/>
        </w:rPr>
        <w:t>6%</w:t>
      </w:r>
      <w:r>
        <w:rPr>
          <w:rFonts w:hint="eastAsia" w:ascii="Times New Roman" w:hAnsi="Times New Roman" w:eastAsia="宋体"/>
          <w:color w:val="auto"/>
          <w:sz w:val="21"/>
        </w:rPr>
        <w:t>）；除上述情况外，评审报价</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最终报价。</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6</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以进入评审的最低的评审报价为10分。</w:t>
      </w:r>
    </w:p>
    <w:p>
      <w:pPr>
        <w:spacing w:line="400" w:lineRule="exact"/>
        <w:ind w:firstLine="420" w:firstLineChars="200"/>
        <w:rPr>
          <w:rFonts w:hint="default" w:ascii="Times New Roman" w:hAnsi="Times New Roman" w:eastAsia="宋体"/>
          <w:color w:val="auto"/>
          <w:sz w:val="21"/>
        </w:rPr>
      </w:pPr>
      <w:r>
        <w:rPr>
          <w:rFonts w:hint="default" w:ascii="Times New Roman" w:hAnsi="Times New Roman" w:eastAsia="宋体"/>
          <w:color w:val="auto"/>
          <w:sz w:val="21"/>
        </w:rPr>
        <w:t>7</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某供应商价格分</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供应商最低评审报价（金额）/某供应商评审报价（金额）×10 分</w:t>
      </w:r>
    </w:p>
    <w:p>
      <w:pPr>
        <w:spacing w:line="400" w:lineRule="exact"/>
        <w:ind w:firstLine="420" w:firstLineChars="200"/>
        <w:rPr>
          <w:rFonts w:hint="default" w:ascii="Times New Roman" w:hAnsi="Times New Roman" w:eastAsia="宋体"/>
          <w:color w:val="auto"/>
          <w:sz w:val="21"/>
        </w:rPr>
        <w:sectPr>
          <w:type w:val="continuous"/>
          <w:pgSz w:w="11910" w:h="16840"/>
          <w:pgMar w:top="1540" w:right="1580" w:bottom="280" w:left="1680" w:header="720" w:footer="720" w:gutter="0"/>
          <w:lnNumType w:countBy="0" w:distance="360"/>
          <w:cols w:space="720" w:num="1"/>
        </w:sectPr>
      </w:pPr>
    </w:p>
    <w:p>
      <w:pPr>
        <w:spacing w:line="400" w:lineRule="exact"/>
        <w:ind w:firstLine="422" w:firstLineChars="200"/>
        <w:rPr>
          <w:rFonts w:hint="default" w:ascii="Times New Roman" w:hAnsi="Times New Roman" w:eastAsia="宋体"/>
          <w:b/>
          <w:color w:val="auto"/>
          <w:sz w:val="21"/>
        </w:rPr>
      </w:pPr>
      <w:r>
        <w:rPr>
          <w:rFonts w:hint="eastAsia" w:ascii="Times New Roman" w:hAnsi="Times New Roman" w:eastAsia="宋体"/>
          <w:b/>
          <w:color w:val="auto"/>
          <w:sz w:val="21"/>
        </w:rPr>
        <w:t>（二）</w:t>
      </w:r>
      <w:r>
        <w:rPr>
          <w:rFonts w:hint="eastAsia" w:ascii="Times New Roman" w:hAnsi="Times New Roman" w:eastAsia="宋体"/>
          <w:b/>
          <w:color w:val="auto"/>
          <w:sz w:val="21"/>
          <w:lang w:eastAsia="zh-CN"/>
        </w:rPr>
        <w:t>项目服务方案</w:t>
      </w:r>
      <w:r>
        <w:rPr>
          <w:rFonts w:hint="eastAsia" w:ascii="Times New Roman" w:hAnsi="Times New Roman" w:eastAsia="宋体"/>
          <w:b/>
          <w:color w:val="auto"/>
          <w:sz w:val="21"/>
        </w:rPr>
        <w:t>分…………………………………………</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default" w:ascii="Times New Roman" w:hAnsi="Times New Roman" w:eastAsia="宋体"/>
          <w:b/>
          <w:color w:val="auto"/>
          <w:sz w:val="21"/>
          <w:lang w:val="en-US" w:eastAsia="zh-CN"/>
        </w:rPr>
        <w:t>15</w:t>
      </w:r>
      <w:r>
        <w:rPr>
          <w:rFonts w:hint="eastAsia" w:ascii="Times New Roman" w:hAnsi="Times New Roman" w:eastAsia="宋体"/>
          <w:b/>
          <w:color w:val="auto"/>
          <w:sz w:val="21"/>
        </w:rPr>
        <w:t xml:space="preserve">分 </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lang w:eastAsia="zh-CN"/>
        </w:rPr>
        <w:t>根据自治区生态环境厅图书《</w:t>
      </w:r>
      <w:r>
        <w:rPr>
          <w:rFonts w:hint="eastAsia" w:ascii="Times New Roman" w:hAnsi="Times New Roman" w:eastAsia="宋体"/>
          <w:color w:val="auto"/>
          <w:sz w:val="21"/>
          <w:lang w:val="en-US" w:eastAsia="zh-CN"/>
        </w:rPr>
        <w:t>2021—2022年</w:t>
      </w:r>
      <w:r>
        <w:rPr>
          <w:rFonts w:hint="eastAsia" w:ascii="Times New Roman" w:hAnsi="Times New Roman" w:eastAsia="宋体"/>
          <w:color w:val="auto"/>
          <w:sz w:val="21"/>
          <w:lang w:eastAsia="zh-CN"/>
        </w:rPr>
        <w:t>广西生态环境与发展报告》出版的质量和时间要求，初拟出版服务</w:t>
      </w:r>
      <w:r>
        <w:rPr>
          <w:rFonts w:hint="eastAsia" w:ascii="Times New Roman" w:hAnsi="Times New Roman" w:eastAsia="宋体"/>
          <w:color w:val="auto"/>
          <w:sz w:val="21"/>
        </w:rPr>
        <w:t>方案。</w:t>
      </w:r>
    </w:p>
    <w:p>
      <w:pPr>
        <w:spacing w:line="400" w:lineRule="exact"/>
        <w:ind w:firstLine="422" w:firstLineChars="200"/>
        <w:rPr>
          <w:rFonts w:hint="default" w:ascii="Times New Roman" w:hAnsi="Times New Roman" w:eastAsia="宋体"/>
          <w:b/>
          <w:color w:val="auto"/>
          <w:sz w:val="21"/>
        </w:rPr>
      </w:pPr>
      <w:r>
        <w:rPr>
          <w:rFonts w:hint="eastAsia" w:ascii="Times New Roman" w:hAnsi="Times New Roman" w:eastAsia="宋体"/>
          <w:b/>
          <w:color w:val="auto"/>
          <w:sz w:val="21"/>
        </w:rPr>
        <w:t>（三）案例分………………………………………………………</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default" w:ascii="Times New Roman" w:hAnsi="Times New Roman" w:eastAsia="宋体"/>
          <w:b/>
          <w:color w:val="auto"/>
          <w:sz w:val="21"/>
          <w:lang w:val="en-US" w:eastAsia="zh-CN"/>
        </w:rPr>
        <w:t>45</w:t>
      </w:r>
      <w:r>
        <w:rPr>
          <w:rFonts w:hint="default" w:ascii="Times New Roman" w:hAnsi="Times New Roman" w:eastAsia="宋体"/>
          <w:b/>
          <w:color w:val="auto"/>
          <w:sz w:val="21"/>
        </w:rPr>
        <w:t xml:space="preserve"> </w:t>
      </w:r>
      <w:r>
        <w:rPr>
          <w:rFonts w:hint="eastAsia" w:ascii="Times New Roman" w:hAnsi="Times New Roman" w:eastAsia="宋体"/>
          <w:b/>
          <w:color w:val="auto"/>
          <w:sz w:val="21"/>
        </w:rPr>
        <w:t xml:space="preserve">分 </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rPr>
        <w:t>近</w:t>
      </w:r>
      <w:r>
        <w:rPr>
          <w:rFonts w:hint="default" w:ascii="Times New Roman" w:hAnsi="Times New Roman" w:eastAsia="宋体"/>
          <w:color w:val="auto"/>
          <w:sz w:val="21"/>
          <w:lang w:val="en-US" w:eastAsia="zh-CN"/>
        </w:rPr>
        <w:t>5</w:t>
      </w:r>
      <w:r>
        <w:rPr>
          <w:rFonts w:hint="eastAsia" w:ascii="Times New Roman" w:hAnsi="Times New Roman" w:eastAsia="宋体"/>
          <w:color w:val="auto"/>
          <w:sz w:val="21"/>
          <w:lang w:eastAsia="zh-CN"/>
        </w:rPr>
        <w:t>年内在广西区内</w:t>
      </w:r>
      <w:r>
        <w:rPr>
          <w:rFonts w:hint="eastAsia" w:ascii="Times New Roman" w:hAnsi="Times New Roman" w:eastAsia="宋体"/>
          <w:color w:val="auto"/>
          <w:sz w:val="21"/>
        </w:rPr>
        <w:t>合作过</w:t>
      </w:r>
      <w:r>
        <w:rPr>
          <w:rFonts w:hint="eastAsia" w:ascii="Times New Roman" w:hAnsi="Times New Roman" w:eastAsia="宋体"/>
          <w:color w:val="auto"/>
          <w:sz w:val="21"/>
          <w:lang w:eastAsia="zh-CN"/>
        </w:rPr>
        <w:t>相关专业出版服务的经历</w:t>
      </w:r>
      <w:r>
        <w:rPr>
          <w:rFonts w:hint="eastAsia" w:ascii="Times New Roman" w:hAnsi="Times New Roman" w:eastAsia="宋体"/>
          <w:color w:val="auto"/>
          <w:sz w:val="21"/>
        </w:rPr>
        <w:t>，要求提供合同复印件，每个案例</w:t>
      </w:r>
      <w:r>
        <w:rPr>
          <w:rFonts w:hint="default" w:ascii="Times New Roman" w:hAnsi="Times New Roman" w:eastAsia="宋体"/>
          <w:color w:val="auto"/>
          <w:sz w:val="21"/>
          <w:lang w:val="en-US" w:eastAsia="zh-CN"/>
        </w:rPr>
        <w:t>15</w:t>
      </w:r>
      <w:r>
        <w:rPr>
          <w:rFonts w:hint="eastAsia" w:ascii="Times New Roman" w:hAnsi="Times New Roman" w:eastAsia="宋体"/>
          <w:color w:val="auto"/>
          <w:sz w:val="21"/>
          <w:lang w:val="en-US" w:eastAsia="zh-CN"/>
        </w:rPr>
        <w:t>分</w:t>
      </w:r>
      <w:r>
        <w:rPr>
          <w:rFonts w:hint="eastAsia" w:ascii="Times New Roman" w:hAnsi="Times New Roman" w:eastAsia="宋体"/>
          <w:color w:val="auto"/>
          <w:sz w:val="21"/>
        </w:rPr>
        <w:t>，满分</w:t>
      </w:r>
      <w:r>
        <w:rPr>
          <w:rFonts w:hint="default" w:ascii="Times New Roman" w:hAnsi="Times New Roman" w:eastAsia="宋体"/>
          <w:color w:val="auto"/>
          <w:sz w:val="21"/>
          <w:lang w:val="en-US" w:eastAsia="zh-CN"/>
        </w:rPr>
        <w:t>45</w:t>
      </w:r>
      <w:r>
        <w:rPr>
          <w:rFonts w:hint="eastAsia" w:ascii="Times New Roman" w:hAnsi="Times New Roman" w:eastAsia="宋体"/>
          <w:color w:val="auto"/>
          <w:sz w:val="21"/>
        </w:rPr>
        <w:t>分。</w:t>
      </w:r>
    </w:p>
    <w:p>
      <w:pPr>
        <w:spacing w:line="400" w:lineRule="exact"/>
        <w:ind w:firstLine="422" w:firstLineChars="200"/>
        <w:rPr>
          <w:rFonts w:hint="default" w:ascii="Times New Roman" w:hAnsi="Times New Roman" w:eastAsia="宋体"/>
          <w:b/>
          <w:color w:val="auto"/>
          <w:sz w:val="21"/>
        </w:rPr>
      </w:pPr>
      <w:r>
        <w:rPr>
          <w:rFonts w:hint="eastAsia" w:ascii="Times New Roman" w:hAnsi="Times New Roman" w:eastAsia="宋体"/>
          <w:b/>
          <w:color w:val="auto"/>
          <w:sz w:val="21"/>
        </w:rPr>
        <w:t>（四）增值服务分…………………………………………………</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default" w:ascii="Times New Roman" w:hAnsi="Times New Roman" w:eastAsia="宋体"/>
          <w:b/>
          <w:color w:val="auto"/>
          <w:sz w:val="21"/>
          <w:lang w:val="en-US" w:eastAsia="zh-CN"/>
        </w:rPr>
        <w:t xml:space="preserve"> </w:t>
      </w:r>
      <w:r>
        <w:rPr>
          <w:rFonts w:hint="default" w:ascii="Times New Roman" w:hAnsi="Times New Roman" w:eastAsia="宋体"/>
          <w:b/>
          <w:color w:val="auto"/>
          <w:sz w:val="21"/>
        </w:rPr>
        <w:t xml:space="preserve"> </w:t>
      </w:r>
      <w:r>
        <w:rPr>
          <w:rFonts w:hint="default" w:ascii="Times New Roman" w:hAnsi="Times New Roman" w:eastAsia="宋体"/>
          <w:b/>
          <w:color w:val="auto"/>
          <w:sz w:val="21"/>
          <w:lang w:val="en-US" w:eastAsia="zh-CN"/>
        </w:rPr>
        <w:t>2</w:t>
      </w:r>
      <w:r>
        <w:rPr>
          <w:rFonts w:hint="default" w:ascii="Times New Roman" w:hAnsi="Times New Roman" w:eastAsia="宋体"/>
          <w:b/>
          <w:color w:val="auto"/>
          <w:sz w:val="21"/>
        </w:rPr>
        <w:t xml:space="preserve">0 </w:t>
      </w:r>
      <w:r>
        <w:rPr>
          <w:rFonts w:hint="eastAsia" w:ascii="Times New Roman" w:hAnsi="Times New Roman" w:eastAsia="宋体"/>
          <w:b/>
          <w:color w:val="auto"/>
          <w:sz w:val="21"/>
        </w:rPr>
        <w:t>分</w:t>
      </w:r>
    </w:p>
    <w:p>
      <w:pPr>
        <w:spacing w:line="400" w:lineRule="exact"/>
        <w:ind w:firstLine="420" w:firstLineChars="200"/>
        <w:rPr>
          <w:rFonts w:hint="default" w:ascii="Times New Roman" w:hAnsi="Times New Roman" w:eastAsia="宋体"/>
          <w:color w:val="auto"/>
          <w:sz w:val="21"/>
          <w:lang w:val="en-US" w:eastAsia="zh-CN"/>
        </w:rPr>
      </w:pPr>
      <w:r>
        <w:rPr>
          <w:rFonts w:hint="eastAsia" w:ascii="Times New Roman" w:hAnsi="Times New Roman" w:eastAsia="宋体"/>
          <w:color w:val="auto"/>
          <w:sz w:val="21"/>
          <w:lang w:eastAsia="zh-CN"/>
        </w:rPr>
        <w:t>提供增值服务，根据增值服务的价值打分，每项增值服务加</w:t>
      </w:r>
      <w:r>
        <w:rPr>
          <w:rFonts w:hint="default" w:ascii="Times New Roman" w:hAnsi="Times New Roman" w:eastAsia="宋体"/>
          <w:color w:val="auto"/>
          <w:sz w:val="21"/>
          <w:lang w:val="en-US" w:eastAsia="zh-CN"/>
        </w:rPr>
        <w:t>5</w:t>
      </w:r>
      <w:r>
        <w:rPr>
          <w:rFonts w:hint="eastAsia" w:ascii="Times New Roman" w:hAnsi="Times New Roman" w:eastAsia="宋体"/>
          <w:color w:val="auto"/>
          <w:sz w:val="21"/>
          <w:lang w:val="en-US" w:eastAsia="zh-CN"/>
        </w:rPr>
        <w:t>分，满分20分。</w:t>
      </w:r>
    </w:p>
    <w:p>
      <w:pPr>
        <w:spacing w:line="400" w:lineRule="exact"/>
        <w:ind w:firstLine="422" w:firstLineChars="200"/>
        <w:rPr>
          <w:rFonts w:hint="default" w:ascii="Times New Roman" w:hAnsi="Times New Roman" w:eastAsia="宋体"/>
          <w:b/>
          <w:color w:val="auto"/>
          <w:sz w:val="21"/>
        </w:rPr>
      </w:pPr>
      <w:r>
        <w:rPr>
          <w:rFonts w:hint="eastAsia" w:ascii="Times New Roman" w:hAnsi="Times New Roman" w:eastAsia="宋体"/>
          <w:b/>
          <w:color w:val="auto"/>
          <w:sz w:val="21"/>
        </w:rPr>
        <w:t>（五）售后服务分………………………………………………………………</w:t>
      </w:r>
      <w:r>
        <w:rPr>
          <w:rFonts w:hint="eastAsia" w:ascii="Times New Roman" w:hAnsi="Times New Roman" w:eastAsia="宋体"/>
          <w:b/>
          <w:color w:val="auto"/>
          <w:sz w:val="21"/>
          <w:lang w:val="en-US" w:eastAsia="zh-CN"/>
        </w:rPr>
        <w:t xml:space="preserve">        </w:t>
      </w:r>
      <w:r>
        <w:rPr>
          <w:rFonts w:hint="eastAsia" w:ascii="Times New Roman" w:hAnsi="Times New Roman" w:eastAsia="宋体"/>
          <w:b/>
          <w:color w:val="auto"/>
          <w:sz w:val="21"/>
        </w:rPr>
        <w:t>………</w:t>
      </w:r>
      <w:r>
        <w:rPr>
          <w:rFonts w:hint="default" w:ascii="Times New Roman" w:hAnsi="Times New Roman" w:eastAsia="宋体"/>
          <w:b/>
          <w:color w:val="auto"/>
          <w:sz w:val="21"/>
          <w:lang w:val="en-US" w:eastAsia="zh-CN"/>
        </w:rPr>
        <w:t>1</w:t>
      </w:r>
      <w:r>
        <w:rPr>
          <w:rFonts w:hint="default" w:ascii="Times New Roman" w:hAnsi="Times New Roman" w:eastAsia="宋体"/>
          <w:b/>
          <w:color w:val="auto"/>
          <w:sz w:val="21"/>
        </w:rPr>
        <w:t xml:space="preserve">0 </w:t>
      </w:r>
      <w:r>
        <w:rPr>
          <w:rFonts w:hint="eastAsia" w:ascii="Times New Roman" w:hAnsi="Times New Roman" w:eastAsia="宋体"/>
          <w:b/>
          <w:color w:val="auto"/>
          <w:sz w:val="21"/>
        </w:rPr>
        <w:t xml:space="preserve">分 </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rPr>
        <w:t>一档（</w:t>
      </w:r>
      <w:r>
        <w:rPr>
          <w:rFonts w:hint="default" w:ascii="Times New Roman" w:hAnsi="Times New Roman" w:eastAsia="宋体"/>
          <w:color w:val="auto"/>
          <w:sz w:val="21"/>
          <w:lang w:val="en-US" w:eastAsia="zh-CN"/>
        </w:rPr>
        <w:t>3</w:t>
      </w:r>
      <w:r>
        <w:rPr>
          <w:rFonts w:hint="eastAsia" w:ascii="Times New Roman" w:hAnsi="Times New Roman" w:eastAsia="宋体"/>
          <w:color w:val="auto"/>
          <w:sz w:val="21"/>
        </w:rPr>
        <w:t>分）：有承诺进行售后服务，无具体售后措施。</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rPr>
        <w:t>二档（</w:t>
      </w:r>
      <w:r>
        <w:rPr>
          <w:rFonts w:hint="default" w:ascii="Times New Roman" w:hAnsi="Times New Roman" w:eastAsia="宋体"/>
          <w:color w:val="auto"/>
          <w:sz w:val="21"/>
          <w:lang w:val="en-US" w:eastAsia="zh-CN"/>
        </w:rPr>
        <w:t>6</w:t>
      </w:r>
      <w:r>
        <w:rPr>
          <w:rFonts w:hint="eastAsia" w:ascii="Times New Roman" w:hAnsi="Times New Roman" w:eastAsia="宋体"/>
          <w:color w:val="auto"/>
          <w:sz w:val="21"/>
        </w:rPr>
        <w:t>分）：有承诺进行售后服务，有售后措施，但比较简单。</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rPr>
        <w:t>三档（</w:t>
      </w:r>
      <w:r>
        <w:rPr>
          <w:rFonts w:hint="default" w:ascii="Times New Roman" w:hAnsi="Times New Roman" w:eastAsia="宋体"/>
          <w:color w:val="auto"/>
          <w:sz w:val="21"/>
          <w:lang w:val="en-US" w:eastAsia="zh-CN"/>
        </w:rPr>
        <w:t>10</w:t>
      </w:r>
      <w:r>
        <w:rPr>
          <w:rFonts w:hint="eastAsia" w:ascii="Times New Roman" w:hAnsi="Times New Roman" w:eastAsia="宋体"/>
          <w:color w:val="auto"/>
          <w:sz w:val="21"/>
        </w:rPr>
        <w:t>分）：有承诺进行售后服务，售后措施完善可操作性较强。</w:t>
      </w:r>
    </w:p>
    <w:p>
      <w:pPr>
        <w:spacing w:line="400" w:lineRule="exact"/>
        <w:ind w:firstLine="420" w:firstLineChars="200"/>
        <w:rPr>
          <w:rFonts w:hint="eastAsia" w:ascii="Times New Roman" w:hAnsi="Times New Roman" w:eastAsia="宋体"/>
          <w:color w:val="auto"/>
          <w:sz w:val="21"/>
          <w:lang w:eastAsia="zh-CN"/>
        </w:rPr>
      </w:pPr>
      <w:r>
        <w:rPr>
          <w:rFonts w:hint="eastAsia" w:ascii="Times New Roman" w:hAnsi="Times New Roman" w:eastAsia="宋体"/>
          <w:color w:val="auto"/>
          <w:sz w:val="21"/>
        </w:rPr>
        <w:t>总分值=（一）+（二）+（三）+（四）+（五）。</w:t>
      </w:r>
    </w:p>
    <w:p>
      <w:pPr>
        <w:spacing w:line="400" w:lineRule="exact"/>
        <w:ind w:firstLine="420" w:firstLineChars="200"/>
        <w:rPr>
          <w:rFonts w:hint="default" w:ascii="Times New Roman" w:hAnsi="Times New Roman" w:eastAsia="黑体"/>
          <w:color w:val="auto"/>
          <w:sz w:val="21"/>
        </w:rPr>
      </w:pPr>
      <w:r>
        <w:rPr>
          <w:rFonts w:hint="eastAsia" w:ascii="Times New Roman" w:hAnsi="Times New Roman" w:eastAsia="黑体"/>
          <w:color w:val="auto"/>
          <w:sz w:val="21"/>
        </w:rPr>
        <w:t>三、成交候选人推荐原则</w:t>
      </w:r>
    </w:p>
    <w:p>
      <w:pPr>
        <w:spacing w:line="400" w:lineRule="exact"/>
        <w:ind w:firstLine="420" w:firstLineChars="200"/>
        <w:rPr>
          <w:rFonts w:hint="default" w:ascii="Times New Roman" w:hAnsi="Times New Roman" w:eastAsia="宋体"/>
          <w:color w:val="auto"/>
          <w:sz w:val="21"/>
        </w:rPr>
      </w:pPr>
      <w:r>
        <w:rPr>
          <w:rFonts w:hint="eastAsia" w:ascii="Times New Roman" w:hAnsi="Times New Roman" w:eastAsia="宋体"/>
          <w:color w:val="auto"/>
          <w:sz w:val="21"/>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w:t>
      </w:r>
      <w:r>
        <w:rPr>
          <w:rFonts w:hint="default" w:ascii="Times New Roman" w:hAnsi="Times New Roman" w:eastAsia="宋体"/>
          <w:color w:val="auto"/>
          <w:sz w:val="21"/>
          <w:lang w:val="en-US" w:eastAsia="zh-CN"/>
        </w:rPr>
        <w:t>1</w:t>
      </w:r>
      <w:r>
        <w:rPr>
          <w:rFonts w:hint="eastAsia" w:ascii="Times New Roman" w:hAnsi="Times New Roman" w:eastAsia="宋体"/>
          <w:color w:val="auto"/>
          <w:sz w:val="21"/>
        </w:rPr>
        <w:t>的供应商。如成交供应商因不可抗力提出不能履行合同，顺位选择第</w:t>
      </w:r>
      <w:r>
        <w:rPr>
          <w:rFonts w:hint="default" w:ascii="Times New Roman" w:hAnsi="Times New Roman" w:eastAsia="宋体"/>
          <w:color w:val="auto"/>
          <w:sz w:val="21"/>
          <w:lang w:val="en-US" w:eastAsia="zh-CN"/>
        </w:rPr>
        <w:t>2</w:t>
      </w:r>
      <w:r>
        <w:rPr>
          <w:rFonts w:hint="eastAsia" w:ascii="Times New Roman" w:hAnsi="Times New Roman" w:eastAsia="宋体"/>
          <w:color w:val="auto"/>
          <w:sz w:val="21"/>
        </w:rPr>
        <w:t>排名的供应商，以此类推。</w:t>
      </w:r>
    </w:p>
    <w:sectPr>
      <w:pgSz w:w="11910" w:h="16840"/>
      <w:pgMar w:top="1440" w:right="1480" w:bottom="280" w:left="16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87F05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iPriority="1" w:semiHidden="0" w:name="List Paragraph"/>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1"/>
    <w:pPr>
      <w:widowControl w:val="0"/>
      <w:autoSpaceDE w:val="0"/>
      <w:autoSpaceDN w:val="0"/>
      <w:adjustRightInd w:val="0"/>
    </w:pPr>
    <w:rPr>
      <w:rFonts w:hint="default"/>
      <w:sz w:val="24"/>
    </w:rPr>
  </w:style>
  <w:style w:type="paragraph" w:styleId="2">
    <w:name w:val="heading 1"/>
    <w:basedOn w:val="1"/>
    <w:unhideWhenUsed/>
    <w:qFormat/>
    <w:uiPriority w:val="1"/>
    <w:pPr>
      <w:ind w:left="120"/>
      <w:outlineLvl w:val="0"/>
    </w:pPr>
    <w:rPr>
      <w:rFonts w:hint="eastAsia" w:ascii="宋体" w:hAnsi="宋体" w:eastAsia="宋体"/>
      <w:sz w:val="32"/>
    </w:rPr>
  </w:style>
  <w:style w:type="paragraph" w:styleId="3">
    <w:name w:val="heading 2"/>
    <w:basedOn w:val="1"/>
    <w:unhideWhenUsed/>
    <w:qFormat/>
    <w:uiPriority w:val="1"/>
    <w:pPr>
      <w:spacing w:before="25"/>
      <w:ind w:left="540"/>
      <w:outlineLvl w:val="1"/>
    </w:pPr>
    <w:rPr>
      <w:rFonts w:hint="eastAsia" w:ascii="宋体" w:hAnsi="宋体" w:eastAsia="宋体"/>
      <w:b/>
      <w:sz w:val="21"/>
    </w:rPr>
  </w:style>
  <w:style w:type="character" w:default="1" w:styleId="7">
    <w:name w:val="Default Paragraph Font"/>
    <w:unhideWhenUsed/>
    <w:uiPriority w:val="99"/>
    <w:rPr>
      <w:rFonts w:hint="default"/>
      <w:sz w:val="24"/>
    </w:rPr>
  </w:style>
  <w:style w:type="table" w:default="1" w:styleId="6">
    <w:name w:val="Normal Table"/>
    <w:qFormat/>
    <w:uiPriority w:val="99"/>
    <w:tblPr>
      <w:tblCellMar>
        <w:top w:w="0" w:type="dxa"/>
        <w:left w:w="108" w:type="dxa"/>
        <w:bottom w:w="0" w:type="dxa"/>
        <w:right w:w="108" w:type="dxa"/>
      </w:tblCellMar>
    </w:tblPr>
  </w:style>
  <w:style w:type="paragraph" w:styleId="4">
    <w:name w:val="annotation text"/>
    <w:basedOn w:val="1"/>
    <w:unhideWhenUsed/>
    <w:qFormat/>
    <w:uiPriority w:val="99"/>
    <w:rPr>
      <w:rFonts w:hint="default"/>
      <w:sz w:val="24"/>
    </w:rPr>
  </w:style>
  <w:style w:type="paragraph" w:styleId="5">
    <w:name w:val="Body Text"/>
    <w:basedOn w:val="1"/>
    <w:unhideWhenUsed/>
    <w:qFormat/>
    <w:uiPriority w:val="1"/>
    <w:pPr>
      <w:spacing w:before="55"/>
      <w:ind w:left="120"/>
    </w:pPr>
    <w:rPr>
      <w:rFonts w:hint="eastAsia" w:ascii="宋体" w:hAnsi="宋体" w:eastAsia="宋体"/>
      <w:sz w:val="21"/>
    </w:rPr>
  </w:style>
  <w:style w:type="paragraph" w:customStyle="1" w:styleId="8">
    <w:name w:val="Table Paragraph"/>
    <w:basedOn w:val="1"/>
    <w:unhideWhenUsed/>
    <w:qFormat/>
    <w:uiPriority w:val="1"/>
    <w:rPr>
      <w:rFonts w:hint="default"/>
      <w:sz w:val="24"/>
    </w:rPr>
  </w:style>
  <w:style w:type="paragraph" w:styleId="9">
    <w:name w:val="List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2022-05-16T09:16:23Z</dcterms:created>
  <dc:creator>Administrator</dc:creator>
  <cp:lastModifiedBy>杨广莉</cp:lastModifiedBy>
  <dcterms:modified xsi:type="dcterms:W3CDTF">2022-05-16T09:16:40Z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