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afterLines="50" w:line="30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>
      <w:pPr>
        <w:widowControl w:val="0"/>
        <w:tabs>
          <w:tab w:val="left" w:pos="0"/>
        </w:tabs>
        <w:snapToGrid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广西壮族自治区柳州生态环境监测中心</w:t>
      </w:r>
    </w:p>
    <w:p>
      <w:pPr>
        <w:widowControl w:val="0"/>
        <w:tabs>
          <w:tab w:val="left" w:pos="0"/>
        </w:tabs>
        <w:snapToGrid w:val="0"/>
        <w:spacing w:afterLines="50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水质系统分析及预测趋势构建模块服务采购需求</w:t>
      </w:r>
    </w:p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>
            <w:pPr>
              <w:spacing w:line="4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>
            <w:r>
              <w:rPr>
                <w:rFonts w:ascii="Times New Roman" w:hAnsi="Times New Roman"/>
                <w:szCs w:val="21"/>
              </w:rPr>
              <w:t>水质系统分析及预测趋势构建模块服务</w:t>
            </w:r>
          </w:p>
        </w:tc>
        <w:tc>
          <w:tcPr>
            <w:tcW w:w="470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1年</w:t>
            </w:r>
          </w:p>
        </w:tc>
        <w:tc>
          <w:tcPr>
            <w:tcW w:w="7307" w:type="dxa"/>
            <w:noWrap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</w:pPr>
            <w:r>
              <w:rPr>
                <w:rFonts w:hint="eastAsia"/>
              </w:rPr>
              <w:t>项目概况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为促进水质监测数据分析工作取得突破性进展，持续推进“生态共赢”指导工作理念，保障地表水水质数据系统计算分析指数匹配国家计算模式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有效评价水质指标及预测水质变化趋势,我中心计划</w:t>
            </w:r>
            <w:r>
              <w:rPr>
                <w:rFonts w:hint="eastAsia" w:ascii="Times New Roman" w:hAnsi="Times New Roman"/>
                <w:szCs w:val="21"/>
              </w:rPr>
              <w:t>购买</w:t>
            </w:r>
            <w:r>
              <w:rPr>
                <w:rFonts w:ascii="Times New Roman" w:hAnsi="Times New Roman"/>
                <w:szCs w:val="21"/>
              </w:rPr>
              <w:t>水质系统分析及预测趋势构建模块服务，有效研判河流流域趋势</w:t>
            </w:r>
            <w:r>
              <w:rPr>
                <w:rFonts w:hint="eastAsia" w:ascii="Times New Roman" w:hAnsi="Times New Roman"/>
                <w:szCs w:val="21"/>
              </w:rPr>
              <w:t>，提升数据分析业务能力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项目内容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Times New Roman" w:hAnsi="Times New Roman"/>
                <w:szCs w:val="21"/>
              </w:rPr>
              <w:t xml:space="preserve"> 实现生态环境水质监测数据包括饮用水（河流、湖库、地下水）、地表水、水功能区及全市自动监测站数据接入展示分析，以数据报告及图表的形式直观的水质状况，数据</w:t>
            </w:r>
            <w:r>
              <w:rPr>
                <w:rFonts w:ascii="Times New Roman" w:hAnsi="Times New Roman"/>
                <w:szCs w:val="21"/>
              </w:rPr>
              <w:t>结果</w:t>
            </w:r>
            <w:r>
              <w:rPr>
                <w:rFonts w:hint="eastAsia" w:ascii="Times New Roman" w:hAnsi="Times New Roman"/>
                <w:szCs w:val="21"/>
              </w:rPr>
              <w:t>用</w:t>
            </w:r>
            <w:r>
              <w:rPr>
                <w:rFonts w:ascii="Times New Roman" w:hAnsi="Times New Roman"/>
                <w:szCs w:val="21"/>
              </w:rPr>
              <w:t>GIS进行展示</w:t>
            </w:r>
            <w:r>
              <w:rPr>
                <w:rFonts w:hint="eastAsia" w:ascii="Times New Roman" w:hAnsi="Times New Roman"/>
                <w:szCs w:val="21"/>
              </w:rPr>
              <w:t>并</w:t>
            </w:r>
            <w:r>
              <w:rPr>
                <w:rFonts w:ascii="Times New Roman" w:hAnsi="Times New Roman"/>
                <w:szCs w:val="21"/>
              </w:rPr>
              <w:t>应用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工作要求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 xml:space="preserve"> 一）水质评价，可实现按断面、河流、城市进行月度、季度、年度均值统计评价以及进行水质指数计算，同时具备可视化配置评价标准及水质目标功能。达到多维度灵活评价分析水质功能。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 xml:space="preserve">    二）地图展示，具备接入柳州矢量地图功能，实现断面、重点流域、河流、功能区清晰展示。达到水质分析一张图应用展示要求。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 xml:space="preserve">  详细功能要求如下：</w:t>
            </w:r>
          </w:p>
          <w:p>
            <w:pPr>
              <w:numPr>
                <w:ilvl w:val="0"/>
                <w:numId w:val="3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监测数据导入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1.1具备可将每个月的地表水、地下水、水功能区和农村环境中的水质等监测数据导入。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1.2导入时对数据进行有效性验证。如：点位名称、系统编码、水质类别、数据合理范围。  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1.3计算数据超标情况。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1.4数据审核入库。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1.5实现将数据导入后自动计算水质类别并将结果导出功能。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2.数据分析统计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2.1具备监测数据、平均数据、水质达标率、水质状况、水质指数、指标分担率、河流水质、水质优良比例、评价成果（水功能区）、图表分析功能、时间空间的比对、时间空间变化分布及变化趋势。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2.2统计范围覆盖饮用水（河流、湖库、地下水）、地表水（河流、湖库）、地下水（市级、县级）、水功能区（省级、国家级）。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3.报表、报告生成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3.1报表：生成各类国家、自治区要求上报的各类（水质）报表。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3.2报告：按模版生成月报、季报、年报相关统计图表及上报数据包。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eastAsia"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GIS展示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4.1接入自然资源局矢量地图底图。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4.2实现地图基础功能取点、测量、面积、半径、图层管理。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4.3按水质类别用不同的颜色标注断面水质状况在地图上。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4.4实现断面信息可按河流分类展示、断面多选展示。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数据导入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left="210" w:leftChars="100"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5.1将历年（2015年起）水质监测数据同步导入系统，实现数据统计分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析。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5.2数据范围覆盖饮用水（河流、湖库、地下水）、地表水（河流、湖库）、地下水（市级、县级）、水功能区（省级、国家级）等所有柳州市水环境质量监测数据。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6.数据安全及保密：供应商提供合法版本的软件，及时维护、升级软件，保障软件有效性；未经允许不得对外泄露数据相关信息，遵守相关法律法规要求，并签订保密协议。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7" w:hRule="atLeast"/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numPr>
                <w:ilvl w:val="0"/>
                <w:numId w:val="4"/>
              </w:numPr>
              <w:spacing w:line="340" w:lineRule="exact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项目人员要求</w:t>
            </w:r>
          </w:p>
          <w:p>
            <w:pPr>
              <w:pStyle w:val="2"/>
              <w:numPr>
                <w:ilvl w:val="0"/>
                <w:numId w:val="0"/>
              </w:numPr>
              <w:spacing w:line="340" w:lineRule="exact"/>
              <w:ind w:firstLine="420" w:firstLineChars="200"/>
              <w:rPr>
                <w:strike/>
                <w:dstrike w:val="0"/>
                <w:color w:val="FF0000"/>
              </w:rPr>
            </w:pPr>
            <w:r>
              <w:rPr>
                <w:rFonts w:hint="eastAsia"/>
                <w:szCs w:val="21"/>
              </w:rPr>
              <w:t>供应商派出人员近一年内至少6个月社保缴纳证明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spacing w:line="340" w:lineRule="exact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2、报价要求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总报价不超过5.5万元。</w:t>
            </w:r>
            <w:r>
              <w:rPr>
                <w:rFonts w:hint="eastAsia"/>
                <w:szCs w:val="21"/>
              </w:rPr>
              <w:t>报价为采购人指定服务范围内的全部价格，至少包括：（1）服务的价格（包括人工、材料、设备等）；（2）必要的保险费用和各项税金；（3）验收及专家评估费用等。（4）与本项目有关的其他一切费用。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>
            <w:pPr>
              <w:spacing w:line="340" w:lineRule="exact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3、项目服务时间及服务地点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（1）服务期限：1年（自模块构建后交付使用之日起）。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（2）服务地点：广西柳州市三中路70号</w:t>
            </w:r>
          </w:p>
          <w:p>
            <w:pPr>
              <w:spacing w:line="340" w:lineRule="exact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4、服务交付时间及交付地点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（1）交付时间：自合同签订之日30天内模块构建后交付使用。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（2）交付地点：广西柳州市三中路70号</w:t>
            </w:r>
          </w:p>
          <w:p>
            <w:pPr>
              <w:pStyle w:val="2"/>
              <w:numPr>
                <w:ilvl w:val="0"/>
                <w:numId w:val="0"/>
              </w:numPr>
              <w:spacing w:line="340" w:lineRule="exact"/>
            </w:pPr>
            <w:r>
              <w:rPr>
                <w:rFonts w:hint="eastAsia"/>
                <w:b/>
                <w:szCs w:val="21"/>
              </w:rPr>
              <w:t xml:space="preserve">    5、合同签订时间</w:t>
            </w:r>
          </w:p>
          <w:p>
            <w:pPr>
              <w:pStyle w:val="2"/>
              <w:numPr>
                <w:ilvl w:val="0"/>
                <w:numId w:val="0"/>
              </w:numPr>
              <w:spacing w:line="340" w:lineRule="exact"/>
              <w:ind w:firstLine="420" w:firstLineChars="200"/>
            </w:pPr>
            <w:r>
              <w:rPr>
                <w:rFonts w:hint="eastAsia"/>
              </w:rPr>
              <w:t>自通知成交结果发出之日起7个工作日内。</w:t>
            </w:r>
          </w:p>
          <w:p>
            <w:pPr>
              <w:spacing w:line="340" w:lineRule="exact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6、付款条件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合同签订后预付合同款30%，乙方按规定时限完成服务并经甲方确认使用模块后，向甲方提出付款申请，甲方在收到申请后，在15天内支付合同款70%。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b/>
                <w:szCs w:val="21"/>
              </w:rPr>
              <w:t xml:space="preserve">    7、保密要求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 xml:space="preserve">    要求竞标人严格执行国家有关的保密法律法规及规章制度。对采购单位提供的各种管理资料，竞标人应妥善保管，不得向第三方提供、转述该资料的任何部分，否则，造成严重后果的，追究其法律责任。</w:t>
            </w:r>
          </w:p>
          <w:p>
            <w:pPr>
              <w:spacing w:line="340" w:lineRule="exact"/>
              <w:ind w:left="315" w:leftChars="150" w:firstLine="105" w:firstLineChars="5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8、其他要求</w:t>
            </w:r>
            <w:r>
              <w:rPr>
                <w:rFonts w:hint="eastAsia"/>
                <w:b/>
                <w:bCs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本项目采用综合评分法，供应商需提供业绩证明、售后服务方案、实施方案、获得的与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采购内容有关的资质、证书等材料。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71800"/>
    <w:multiLevelType w:val="singleLevel"/>
    <w:tmpl w:val="B4A718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643C16"/>
    <w:multiLevelType w:val="singleLevel"/>
    <w:tmpl w:val="05643C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3CFE81"/>
    <w:multiLevelType w:val="singleLevel"/>
    <w:tmpl w:val="1E3CFE8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84FD847"/>
    <w:multiLevelType w:val="singleLevel"/>
    <w:tmpl w:val="284FD847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hMmQyZGQ2MWQzMTg0Y2U4Yzg4OWFjNjMyYWExYWMifQ=="/>
  </w:docVars>
  <w:rsids>
    <w:rsidRoot w:val="49451D89"/>
    <w:rsid w:val="00002773"/>
    <w:rsid w:val="001C4071"/>
    <w:rsid w:val="002D064D"/>
    <w:rsid w:val="002F2A67"/>
    <w:rsid w:val="003C0748"/>
    <w:rsid w:val="00C10694"/>
    <w:rsid w:val="00D673D7"/>
    <w:rsid w:val="00E52CBC"/>
    <w:rsid w:val="00E92720"/>
    <w:rsid w:val="04435D8A"/>
    <w:rsid w:val="07962756"/>
    <w:rsid w:val="11A26995"/>
    <w:rsid w:val="1317425D"/>
    <w:rsid w:val="26C101AA"/>
    <w:rsid w:val="2CB12D13"/>
    <w:rsid w:val="312800BB"/>
    <w:rsid w:val="46436698"/>
    <w:rsid w:val="49451D89"/>
    <w:rsid w:val="49B063F1"/>
    <w:rsid w:val="4C2B7368"/>
    <w:rsid w:val="60AD3C68"/>
    <w:rsid w:val="612A0DCB"/>
    <w:rsid w:val="61AA3AB3"/>
    <w:rsid w:val="62A166BD"/>
    <w:rsid w:val="64F43A40"/>
    <w:rsid w:val="66654482"/>
    <w:rsid w:val="6FD83947"/>
    <w:rsid w:val="71E07B54"/>
    <w:rsid w:val="729A2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271</Words>
  <Characters>1548</Characters>
  <Lines>12</Lines>
  <Paragraphs>3</Paragraphs>
  <TotalTime>8</TotalTime>
  <ScaleCrop>false</ScaleCrop>
  <LinksUpToDate>false</LinksUpToDate>
  <CharactersWithSpaces>1816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2022-04-26T00:22:00Z</dcterms:created>
  <dc:creator>Administrator</dc:creator>
  <cp:lastModifiedBy>Administrator</cp:lastModifiedBy>
  <dcterms:modified xsi:type="dcterms:W3CDTF">2022-05-19T07:15:58Z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029AC4F3CB0F4AA193688BB72773D4FE</vt:lpwstr>
  </property>
  <property fmtid="{D5CDD505-2E9C-101B-9397-08002B2CF9AE}" pid="4" name="commondata">
    <vt:lpwstr>eyJoZGlkIjoiZTJhMmQyZGQ2MWQzMTg0Y2U4Yzg4OWFjNjMyYWExYWMifQ==</vt:lpwstr>
  </property>
</Properties>
</file>