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采购需求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p>
    <w:tbl>
      <w:tblPr>
        <w:tblStyle w:val="2"/>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652"/>
        <w:gridCol w:w="7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noWrap/>
            <w:vAlign w:val="center"/>
          </w:tcPr>
          <w:p>
            <w:pPr>
              <w:spacing w:line="360" w:lineRule="auto"/>
              <w:rPr>
                <w:color w:val="auto"/>
                <w:szCs w:val="21"/>
                <w:highlight w:val="none"/>
              </w:rPr>
            </w:pPr>
            <w:r>
              <w:rPr>
                <w:rFonts w:hint="eastAsia"/>
                <w:b/>
                <w:bCs/>
                <w:color w:val="auto"/>
                <w:szCs w:val="21"/>
                <w:highlight w:val="none"/>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9" w:type="dxa"/>
            <w:noWrap/>
            <w:vAlign w:val="center"/>
          </w:tcPr>
          <w:p>
            <w:pPr>
              <w:spacing w:line="360" w:lineRule="auto"/>
              <w:jc w:val="center"/>
              <w:rPr>
                <w:color w:val="auto"/>
                <w:szCs w:val="21"/>
                <w:highlight w:val="none"/>
              </w:rPr>
            </w:pPr>
            <w:r>
              <w:rPr>
                <w:rFonts w:hint="eastAsia"/>
                <w:b/>
                <w:color w:val="auto"/>
                <w:szCs w:val="21"/>
                <w:highlight w:val="none"/>
              </w:rPr>
              <w:t>名称</w:t>
            </w:r>
          </w:p>
        </w:tc>
        <w:tc>
          <w:tcPr>
            <w:tcW w:w="652" w:type="dxa"/>
            <w:noWrap/>
            <w:vAlign w:val="center"/>
          </w:tcPr>
          <w:p>
            <w:pPr>
              <w:spacing w:line="360" w:lineRule="auto"/>
              <w:jc w:val="center"/>
              <w:rPr>
                <w:color w:val="auto"/>
                <w:szCs w:val="21"/>
                <w:highlight w:val="none"/>
              </w:rPr>
            </w:pPr>
            <w:r>
              <w:rPr>
                <w:rFonts w:hint="eastAsia"/>
                <w:b/>
                <w:color w:val="auto"/>
                <w:szCs w:val="21"/>
                <w:highlight w:val="none"/>
              </w:rPr>
              <w:t>数量</w:t>
            </w:r>
          </w:p>
        </w:tc>
        <w:tc>
          <w:tcPr>
            <w:tcW w:w="7125" w:type="dxa"/>
            <w:noWrap/>
            <w:vAlign w:val="center"/>
          </w:tcPr>
          <w:p>
            <w:pPr>
              <w:spacing w:line="360" w:lineRule="auto"/>
              <w:jc w:val="center"/>
              <w:rPr>
                <w:rFonts w:hint="eastAsia" w:eastAsia="宋体"/>
                <w:color w:val="auto"/>
                <w:szCs w:val="21"/>
                <w:highlight w:val="none"/>
                <w:lang w:eastAsia="zh-CN"/>
              </w:rPr>
            </w:pPr>
            <w:r>
              <w:rPr>
                <w:rFonts w:hint="eastAsia"/>
                <w:color w:val="auto"/>
                <w:szCs w:val="21"/>
                <w:highlight w:val="none"/>
                <w:lang w:val="en-US"/>
              </w:rPr>
              <w:t>需求</w:t>
            </w:r>
            <w:r>
              <w:rPr>
                <w:rFonts w:hint="eastAsia"/>
                <w:color w:val="auto"/>
                <w:szCs w:val="21"/>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899" w:type="dxa"/>
            <w:noWrap/>
            <w:vAlign w:val="center"/>
          </w:tcPr>
          <w:p>
            <w:pPr>
              <w:rPr>
                <w:rFonts w:hint="eastAsia" w:eastAsia="宋体"/>
                <w:color w:val="auto"/>
                <w:highlight w:val="none"/>
                <w:lang w:val="en-US" w:eastAsia="zh-CN"/>
              </w:rPr>
            </w:pPr>
            <w:r>
              <w:rPr>
                <w:rFonts w:hint="eastAsia" w:eastAsia="宋体"/>
                <w:color w:val="auto"/>
                <w:highlight w:val="none"/>
                <w:lang w:val="en-US" w:eastAsia="zh-CN"/>
              </w:rPr>
              <w:t>广西核应急响应技术中心建设项目可行性研究报告</w:t>
            </w:r>
          </w:p>
        </w:tc>
        <w:tc>
          <w:tcPr>
            <w:tcW w:w="652" w:type="dxa"/>
            <w:noWrap/>
            <w:vAlign w:val="center"/>
          </w:tcPr>
          <w:p>
            <w:pPr>
              <w:spacing w:line="360" w:lineRule="auto"/>
              <w:jc w:val="center"/>
              <w:rPr>
                <w:rFonts w:hint="default" w:eastAsia="宋体"/>
                <w:color w:val="auto"/>
                <w:highlight w:val="none"/>
                <w:lang w:val="en-US" w:eastAsia="zh-CN"/>
              </w:rPr>
            </w:pPr>
            <w:r>
              <w:rPr>
                <w:rFonts w:hint="eastAsia"/>
                <w:color w:val="auto"/>
                <w:highlight w:val="none"/>
                <w:lang w:val="en-US" w:eastAsia="zh-CN"/>
              </w:rPr>
              <w:t>1项</w:t>
            </w:r>
          </w:p>
        </w:tc>
        <w:tc>
          <w:tcPr>
            <w:tcW w:w="7125" w:type="dxa"/>
            <w:noWrap/>
            <w:vAlign w:val="center"/>
          </w:tcPr>
          <w:p>
            <w:pPr>
              <w:numPr>
                <w:ilvl w:val="0"/>
                <w:numId w:val="0"/>
              </w:numPr>
              <w:ind w:firstLine="422" w:firstLineChars="200"/>
              <w:rPr>
                <w:rFonts w:hint="eastAsia"/>
                <w:b/>
                <w:bCs/>
                <w:color w:val="auto"/>
                <w:szCs w:val="21"/>
                <w:highlight w:val="none"/>
              </w:rPr>
            </w:pPr>
            <w:r>
              <w:rPr>
                <w:rFonts w:hint="eastAsia"/>
                <w:b/>
                <w:bCs/>
                <w:color w:val="auto"/>
                <w:szCs w:val="21"/>
                <w:highlight w:val="none"/>
                <w:lang w:val="en-US" w:eastAsia="zh-CN"/>
              </w:rPr>
              <w:t>一、</w:t>
            </w:r>
            <w:r>
              <w:rPr>
                <w:rFonts w:hint="eastAsia"/>
                <w:b/>
                <w:bCs/>
                <w:color w:val="auto"/>
                <w:szCs w:val="21"/>
                <w:highlight w:val="none"/>
              </w:rPr>
              <w:t>项目概况</w:t>
            </w:r>
          </w:p>
          <w:p>
            <w:pPr>
              <w:numPr>
                <w:ilvl w:val="0"/>
                <w:numId w:val="0"/>
              </w:numPr>
              <w:ind w:firstLine="420" w:firstLineChars="200"/>
              <w:rPr>
                <w:rFonts w:hint="eastAsia"/>
                <w:b w:val="0"/>
                <w:bCs w:val="0"/>
                <w:color w:val="auto"/>
                <w:szCs w:val="21"/>
                <w:highlight w:val="none"/>
              </w:rPr>
            </w:pPr>
            <w:r>
              <w:rPr>
                <w:rFonts w:hint="eastAsia"/>
                <w:b w:val="0"/>
                <w:bCs w:val="0"/>
                <w:color w:val="auto"/>
                <w:szCs w:val="21"/>
                <w:highlight w:val="none"/>
              </w:rPr>
              <w:t>1</w:t>
            </w:r>
            <w:r>
              <w:rPr>
                <w:rFonts w:hint="eastAsia"/>
                <w:b w:val="0"/>
                <w:bCs w:val="0"/>
                <w:color w:val="auto"/>
                <w:szCs w:val="21"/>
                <w:highlight w:val="none"/>
                <w:lang w:val="en-US" w:eastAsia="zh-CN"/>
              </w:rPr>
              <w:t>.</w:t>
            </w:r>
            <w:r>
              <w:rPr>
                <w:rFonts w:hint="eastAsia"/>
                <w:b w:val="0"/>
                <w:bCs w:val="0"/>
                <w:color w:val="auto"/>
                <w:szCs w:val="21"/>
                <w:highlight w:val="none"/>
              </w:rPr>
              <w:t>项目名称</w:t>
            </w:r>
          </w:p>
          <w:p>
            <w:pPr>
              <w:numPr>
                <w:ilvl w:val="0"/>
                <w:numId w:val="0"/>
              </w:numPr>
              <w:ind w:firstLine="420" w:firstLineChars="200"/>
              <w:rPr>
                <w:rFonts w:hint="eastAsia"/>
                <w:b w:val="0"/>
                <w:bCs w:val="0"/>
                <w:color w:val="auto"/>
                <w:szCs w:val="21"/>
                <w:highlight w:val="none"/>
              </w:rPr>
            </w:pPr>
            <w:r>
              <w:rPr>
                <w:rFonts w:hint="eastAsia"/>
                <w:b w:val="0"/>
                <w:bCs w:val="0"/>
                <w:color w:val="auto"/>
                <w:szCs w:val="21"/>
                <w:highlight w:val="none"/>
              </w:rPr>
              <w:t>广西核应急响应技术中心</w:t>
            </w:r>
          </w:p>
          <w:p>
            <w:pPr>
              <w:numPr>
                <w:ilvl w:val="0"/>
                <w:numId w:val="0"/>
              </w:numPr>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2.</w:t>
            </w:r>
            <w:r>
              <w:rPr>
                <w:rFonts w:hint="eastAsia"/>
                <w:b w:val="0"/>
                <w:bCs w:val="0"/>
                <w:color w:val="auto"/>
                <w:szCs w:val="21"/>
                <w:highlight w:val="none"/>
              </w:rPr>
              <w:t>建设性质</w:t>
            </w:r>
          </w:p>
          <w:p>
            <w:pPr>
              <w:numPr>
                <w:ilvl w:val="0"/>
                <w:numId w:val="0"/>
              </w:numPr>
              <w:ind w:firstLine="420" w:firstLineChars="200"/>
              <w:rPr>
                <w:rFonts w:hint="eastAsia"/>
                <w:b w:val="0"/>
                <w:bCs w:val="0"/>
                <w:color w:val="auto"/>
                <w:szCs w:val="21"/>
                <w:highlight w:val="none"/>
              </w:rPr>
            </w:pPr>
            <w:r>
              <w:rPr>
                <w:rFonts w:hint="eastAsia"/>
                <w:b w:val="0"/>
                <w:bCs w:val="0"/>
                <w:color w:val="auto"/>
                <w:szCs w:val="21"/>
                <w:highlight w:val="none"/>
              </w:rPr>
              <w:t>新建</w:t>
            </w:r>
          </w:p>
          <w:p>
            <w:pPr>
              <w:numPr>
                <w:ilvl w:val="0"/>
                <w:numId w:val="0"/>
              </w:numPr>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3.</w:t>
            </w:r>
            <w:r>
              <w:rPr>
                <w:rFonts w:hint="eastAsia"/>
                <w:b w:val="0"/>
                <w:bCs w:val="0"/>
                <w:color w:val="auto"/>
                <w:szCs w:val="21"/>
                <w:highlight w:val="none"/>
              </w:rPr>
              <w:t>项目拟建地点</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rPr>
              <w:t>项目建设地点位于防城港市防城区文昌大道云朗工业园旁（防城港核电厂监督性监测系统前沿站院内）。</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4.</w:t>
            </w:r>
            <w:r>
              <w:rPr>
                <w:rFonts w:hint="eastAsia"/>
                <w:b w:val="0"/>
                <w:bCs w:val="0"/>
                <w:color w:val="auto"/>
                <w:szCs w:val="21"/>
                <w:highlight w:val="none"/>
              </w:rPr>
              <w:t>项目申报及管理单位</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rPr>
              <w:t>项目申报单位：广西壮族自治区辐射环境监督管理站。</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rPr>
              <w:t>广西壮族自治区辐射环境监督管理站隶属于自治区生态环境厅管理的正处级事业单位，成立于2002年。2013年增挂广西壮族自治区核与辐射事故应急技术中心牌子；根据《关于自治区环境保护厅所属事业单位分类意见的批复》（桂编〔2014〕156号），自2014年12月25日起，单位性质为公益二类事业单位。广西壮族自治区辐射环境监督管理站内设办公室、财务部、总工办、辐射安全监察科、放射源管理科、质量管理室、电离监测室、电磁监测室、辐射环境分析测试中心、核与辐射应急中心、后勤服务中心等11个部门。全站现有职工116人，专业技术人员占比80%以上，其中博士1人，硕士23人，本科68人，教授级高工1人，高级（副高）工程师22人，工程师43人，助理工程师11人；国家注册核安全工程师13人，环境影响评价工程师4人。广西壮族自治区辐射环境监督管理站主要职责：承担全区辐射环境监察监测、核与辐射安全、辐射事故应急的相关技术性工作；开展辐射监测技术科学研究的有关工作。</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rPr>
              <w:t>本项目管理单位：广西壮族自治区生态环境厅。</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rPr>
              <w:t>本项目管理单位为自治区生态环境厅。广西壮族自治区生态环境厅是自治区人民政府组成部门，为正厅级，主要职能是依照法律和法规对全区生态环境保护工作实施统一监督管理。广西壮族自治区生态环境厅的历史可追溯至上世纪七十年代。1974年成立广西环保办，为隶属于广西计委的正处级内设机构。1984年成立广西壮族自治区环境保护局，为隶属于广西城乡建设与环境保护委员会的二级局。1995年成立自治区人民政府直属机构-广西壮族自治区环境保护局。2018年成立广西壮族自治区生态环境厅。</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5.</w:t>
            </w:r>
            <w:r>
              <w:rPr>
                <w:rFonts w:hint="eastAsia"/>
                <w:b w:val="0"/>
                <w:bCs w:val="0"/>
                <w:color w:val="auto"/>
                <w:szCs w:val="21"/>
                <w:highlight w:val="none"/>
              </w:rPr>
              <w:t>项目建设规模与内容</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rPr>
              <w:t>项目建设集自治区核应急前沿指挥所、核电厂备用指挥中心、核与辐射监测自动监控中心、核事故应急和环境污染应急物资储备库、核与辐射公众科普宣传教育及生态环境保护成果展厅、核与辐射先进技术创新基地和交流论坛等6个方面的功能为一体，全面推进广西核应急体系和管理能力现代化。</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rPr>
              <w:t>项目占地约30亩，总建筑面积约12000㎡，地上10000㎡，地下2000㎡。拟建设应急指挥大厅、专家工作室、科普展厅、论坛基地、物资储备库、监控室以及配套的计算机机房，配套的显示系统、通讯系统、音响系统、数字会议系统、消防系统、供电供水系统、监控系统、安防防雷、广播系统等。投资覆盖土建、装饰工程、相关设备及室外配套水电、停车、绿化等。</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6.</w:t>
            </w:r>
            <w:r>
              <w:rPr>
                <w:rFonts w:hint="eastAsia"/>
                <w:b w:val="0"/>
                <w:bCs w:val="0"/>
                <w:color w:val="auto"/>
                <w:szCs w:val="21"/>
                <w:highlight w:val="none"/>
              </w:rPr>
              <w:t>项目进度计划</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rPr>
              <w:t>项目进度计划约4年（含项目前期工作及施工等），时间从2021年12月至2025年12月。</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7.</w:t>
            </w:r>
            <w:r>
              <w:rPr>
                <w:rFonts w:hint="eastAsia"/>
                <w:b w:val="0"/>
                <w:bCs w:val="0"/>
                <w:color w:val="auto"/>
                <w:szCs w:val="21"/>
                <w:highlight w:val="none"/>
              </w:rPr>
              <w:t>项目总投资估算及资金筹措</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textAlignment w:val="auto"/>
              <w:rPr>
                <w:rFonts w:hint="eastAsia"/>
                <w:b w:val="0"/>
                <w:bCs w:val="0"/>
                <w:color w:val="auto"/>
                <w:szCs w:val="21"/>
                <w:highlight w:val="none"/>
              </w:rPr>
            </w:pPr>
            <w:r>
              <w:rPr>
                <w:rFonts w:hint="eastAsia"/>
                <w:b w:val="0"/>
                <w:bCs w:val="0"/>
                <w:color w:val="auto"/>
                <w:szCs w:val="21"/>
                <w:highlight w:val="none"/>
              </w:rPr>
              <w:t>本项目估算总投资29660.4万元，其中工程费用为23741.3万元，工程建设其他费用为1828.0万元，预备费4091.1万元。总投资不含土地费用，项目用地为业主自有用地。</w:t>
            </w:r>
          </w:p>
          <w:p>
            <w:pPr>
              <w:numPr>
                <w:ilvl w:val="0"/>
                <w:numId w:val="1"/>
              </w:numPr>
              <w:ind w:firstLine="422"/>
              <w:rPr>
                <w:rFonts w:hint="eastAsia"/>
                <w:b/>
                <w:bCs/>
                <w:color w:val="auto"/>
                <w:szCs w:val="21"/>
                <w:highlight w:val="none"/>
                <w:lang w:eastAsia="zh-CN"/>
              </w:rPr>
            </w:pPr>
            <w:r>
              <w:rPr>
                <w:rFonts w:hint="eastAsia"/>
                <w:b/>
                <w:bCs/>
                <w:color w:val="auto"/>
                <w:szCs w:val="21"/>
                <w:highlight w:val="none"/>
                <w:lang w:eastAsia="zh-CN"/>
              </w:rPr>
              <w:t>项目内容</w:t>
            </w:r>
          </w:p>
          <w:p>
            <w:pPr>
              <w:ind w:firstLine="422"/>
              <w:rPr>
                <w:rFonts w:hint="eastAsia"/>
                <w:b/>
                <w:bCs/>
                <w:color w:val="auto"/>
                <w:szCs w:val="21"/>
                <w:highlight w:val="none"/>
                <w:lang w:eastAsia="zh-CN"/>
              </w:rPr>
            </w:pPr>
            <w:r>
              <w:rPr>
                <w:rFonts w:hint="eastAsia"/>
                <w:bCs/>
                <w:szCs w:val="21"/>
              </w:rPr>
              <w:t>根据业主单位需求完成</w:t>
            </w:r>
            <w:r>
              <w:rPr>
                <w:rFonts w:hint="eastAsia" w:eastAsia="宋体"/>
                <w:color w:val="auto"/>
                <w:highlight w:val="none"/>
                <w:lang w:val="en-US" w:eastAsia="zh-CN"/>
              </w:rPr>
              <w:t>广西核应急响应技术中心建设项目可行性研究报告</w:t>
            </w:r>
            <w:r>
              <w:rPr>
                <w:rFonts w:hint="eastAsia"/>
                <w:bCs/>
                <w:szCs w:val="21"/>
              </w:rPr>
              <w:t>编写，中标单位需结合项目概况，现行国家相关标准、行业标准、地方标准或者其他标准要求编制项目</w:t>
            </w:r>
            <w:r>
              <w:rPr>
                <w:rFonts w:hint="eastAsia"/>
                <w:bCs/>
                <w:szCs w:val="21"/>
                <w:lang w:val="en-US" w:eastAsia="zh-CN"/>
              </w:rPr>
              <w:t>可行性研究报告</w:t>
            </w:r>
            <w:r>
              <w:rPr>
                <w:rFonts w:hint="eastAsia"/>
                <w:bCs/>
                <w:szCs w:val="21"/>
              </w:rPr>
              <w:t>，</w:t>
            </w:r>
            <w:r>
              <w:rPr>
                <w:rFonts w:hint="eastAsia"/>
                <w:bCs/>
                <w:szCs w:val="21"/>
                <w:lang w:val="en-US" w:eastAsia="zh-CN"/>
              </w:rPr>
              <w:t>委托具有资质的第三方评审机构开展报告评审工作</w:t>
            </w:r>
            <w:r>
              <w:rPr>
                <w:rFonts w:hint="eastAsia"/>
                <w:bCs/>
                <w:szCs w:val="21"/>
              </w:rPr>
              <w:t>。</w:t>
            </w:r>
          </w:p>
          <w:p>
            <w:pPr>
              <w:numPr>
                <w:ilvl w:val="0"/>
                <w:numId w:val="1"/>
              </w:numPr>
              <w:ind w:left="0" w:leftChars="0" w:firstLine="422" w:firstLineChars="0"/>
              <w:rPr>
                <w:rFonts w:hint="eastAsia"/>
                <w:b/>
                <w:bCs/>
                <w:color w:val="auto"/>
                <w:szCs w:val="21"/>
                <w:highlight w:val="none"/>
                <w:lang w:eastAsia="zh-CN"/>
              </w:rPr>
            </w:pPr>
            <w:r>
              <w:rPr>
                <w:rFonts w:hint="eastAsia"/>
                <w:b/>
                <w:bCs/>
                <w:color w:val="auto"/>
                <w:szCs w:val="21"/>
                <w:highlight w:val="none"/>
                <w:lang w:eastAsia="zh-CN"/>
              </w:rPr>
              <w:t>工作要求</w:t>
            </w:r>
          </w:p>
          <w:p>
            <w:pPr>
              <w:ind w:firstLine="422"/>
              <w:rPr>
                <w:bCs/>
                <w:szCs w:val="21"/>
              </w:rPr>
            </w:pPr>
            <w:r>
              <w:rPr>
                <w:rFonts w:hint="eastAsia"/>
                <w:bCs/>
                <w:szCs w:val="21"/>
              </w:rPr>
              <w:t>编制标准：现行国家相关标准、行业标准、地方标准或者其他标准、规范。</w:t>
            </w:r>
          </w:p>
          <w:p>
            <w:pPr>
              <w:ind w:firstLine="422"/>
              <w:rPr>
                <w:rFonts w:hint="eastAsia"/>
                <w:b/>
                <w:bCs/>
                <w:color w:val="auto"/>
                <w:szCs w:val="21"/>
                <w:highlight w:val="none"/>
                <w:lang w:eastAsia="zh-CN"/>
              </w:rPr>
            </w:pPr>
            <w:r>
              <w:rPr>
                <w:rFonts w:hint="eastAsia"/>
                <w:bCs/>
                <w:szCs w:val="21"/>
              </w:rPr>
              <w:t>提交项目</w:t>
            </w:r>
            <w:r>
              <w:rPr>
                <w:rFonts w:hint="eastAsia"/>
                <w:bCs/>
                <w:szCs w:val="21"/>
                <w:lang w:val="en-US" w:eastAsia="zh-CN"/>
              </w:rPr>
              <w:t>可行性研究报告</w:t>
            </w:r>
            <w:r>
              <w:rPr>
                <w:rFonts w:hint="eastAsia"/>
                <w:bCs/>
                <w:szCs w:val="21"/>
              </w:rPr>
              <w:t>时间：自签订合同后</w:t>
            </w:r>
            <w:r>
              <w:rPr>
                <w:bCs/>
                <w:szCs w:val="21"/>
              </w:rPr>
              <w:t>30</w:t>
            </w:r>
            <w:r>
              <w:rPr>
                <w:rFonts w:hint="eastAsia"/>
                <w:bCs/>
                <w:szCs w:val="21"/>
              </w:rPr>
              <w:t>日内（日历日）。</w:t>
            </w:r>
          </w:p>
          <w:p>
            <w:pPr>
              <w:numPr>
                <w:ilvl w:val="0"/>
                <w:numId w:val="1"/>
              </w:numPr>
              <w:ind w:left="0" w:leftChars="0" w:firstLine="422" w:firstLineChars="0"/>
              <w:rPr>
                <w:rFonts w:hint="eastAsia"/>
                <w:b/>
                <w:bCs/>
                <w:color w:val="auto"/>
                <w:szCs w:val="21"/>
                <w:highlight w:val="none"/>
                <w:lang w:eastAsia="zh-CN"/>
              </w:rPr>
            </w:pPr>
            <w:r>
              <w:rPr>
                <w:rFonts w:hint="eastAsia"/>
                <w:b/>
                <w:bCs/>
                <w:color w:val="auto"/>
                <w:szCs w:val="21"/>
                <w:highlight w:val="none"/>
                <w:lang w:eastAsia="zh-CN"/>
              </w:rPr>
              <w:t>其他要求</w:t>
            </w:r>
          </w:p>
          <w:p>
            <w:pPr>
              <w:numPr>
                <w:ilvl w:val="0"/>
                <w:numId w:val="0"/>
              </w:numPr>
              <w:ind w:firstLine="420" w:firstLineChars="200"/>
              <w:rPr>
                <w:rFonts w:hint="eastAsia"/>
                <w:b/>
                <w:bCs/>
                <w:color w:val="auto"/>
                <w:szCs w:val="21"/>
                <w:highlight w:val="none"/>
                <w:lang w:eastAsia="zh-CN"/>
              </w:rPr>
            </w:pPr>
            <w:r>
              <w:rPr>
                <w:rFonts w:hint="eastAsia"/>
                <w:bCs/>
                <w:szCs w:val="21"/>
              </w:rPr>
              <w:t>项目</w:t>
            </w:r>
            <w:r>
              <w:rPr>
                <w:rFonts w:hint="eastAsia"/>
                <w:bCs/>
                <w:szCs w:val="21"/>
                <w:lang w:val="en-US" w:eastAsia="zh-CN"/>
              </w:rPr>
              <w:t>可行性研究报告</w:t>
            </w:r>
            <w:r>
              <w:rPr>
                <w:rFonts w:hint="eastAsia"/>
                <w:bCs/>
                <w:szCs w:val="21"/>
              </w:rPr>
              <w:t>获得自治区</w:t>
            </w:r>
            <w:r>
              <w:rPr>
                <w:rFonts w:hint="eastAsia"/>
                <w:bCs/>
                <w:szCs w:val="21"/>
                <w:lang w:val="en-US" w:eastAsia="zh-CN"/>
              </w:rPr>
              <w:t>发展改革</w:t>
            </w:r>
            <w:r>
              <w:rPr>
                <w:rFonts w:hint="eastAsia"/>
                <w:bCs/>
                <w:szCs w:val="21"/>
              </w:rPr>
              <w:t>委批复同意前，如自治区发改委或业主</w:t>
            </w:r>
            <w:r>
              <w:rPr>
                <w:rFonts w:hint="eastAsia"/>
                <w:bCs/>
                <w:szCs w:val="21"/>
                <w:lang w:val="en-US" w:eastAsia="zh-CN"/>
              </w:rPr>
              <w:t>单位</w:t>
            </w:r>
            <w:r>
              <w:rPr>
                <w:rFonts w:hint="eastAsia"/>
                <w:bCs/>
                <w:szCs w:val="21"/>
              </w:rPr>
              <w:t>需要对相关内容进行修改，中标单位须在</w:t>
            </w:r>
            <w:r>
              <w:rPr>
                <w:bCs/>
                <w:szCs w:val="21"/>
              </w:rPr>
              <w:t>10</w:t>
            </w:r>
            <w:r>
              <w:rPr>
                <w:rFonts w:hint="eastAsia"/>
                <w:bCs/>
                <w:szCs w:val="21"/>
              </w:rPr>
              <w:t>日（日历日）内予以修改并不额外收取任何费用。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noWrap/>
            <w:vAlign w:val="center"/>
          </w:tcPr>
          <w:p>
            <w:pPr>
              <w:spacing w:line="360" w:lineRule="auto"/>
              <w:rPr>
                <w:b/>
                <w:color w:val="auto"/>
                <w:szCs w:val="21"/>
                <w:highlight w:val="none"/>
              </w:rPr>
            </w:pPr>
            <w:r>
              <w:rPr>
                <w:rFonts w:hint="eastAsia"/>
                <w:b/>
                <w:b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noWrap/>
            <w:vAlign w:val="center"/>
          </w:tcPr>
          <w:p>
            <w:pPr>
              <w:numPr>
                <w:ilvl w:val="0"/>
                <w:numId w:val="0"/>
              </w:numPr>
              <w:ind w:firstLine="422" w:firstLineChars="200"/>
              <w:rPr>
                <w:b/>
                <w:color w:val="auto"/>
                <w:szCs w:val="21"/>
                <w:highlight w:val="none"/>
              </w:rPr>
            </w:pPr>
            <w:r>
              <w:rPr>
                <w:rFonts w:hint="eastAsia"/>
                <w:b/>
                <w:color w:val="auto"/>
                <w:szCs w:val="21"/>
                <w:highlight w:val="none"/>
              </w:rPr>
              <w:t>1、报价要求</w:t>
            </w:r>
          </w:p>
          <w:p>
            <w:pPr>
              <w:numPr>
                <w:ilvl w:val="0"/>
                <w:numId w:val="0"/>
              </w:numPr>
              <w:ind w:firstLine="420" w:firstLineChars="200"/>
              <w:rPr>
                <w:rFonts w:hint="eastAsia"/>
                <w:color w:val="auto"/>
                <w:szCs w:val="21"/>
                <w:highlight w:val="none"/>
              </w:rPr>
            </w:pPr>
            <w:r>
              <w:rPr>
                <w:rFonts w:hint="eastAsia"/>
                <w:color w:val="auto"/>
                <w:szCs w:val="21"/>
                <w:highlight w:val="none"/>
              </w:rPr>
              <w:t>本项目实行总承包报价，报价为采购人指定服务范围内的全部价格，至少包括：</w:t>
            </w:r>
          </w:p>
          <w:p>
            <w:pPr>
              <w:numPr>
                <w:ilvl w:val="0"/>
                <w:numId w:val="0"/>
              </w:numPr>
              <w:ind w:firstLine="420" w:firstLineChars="20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服务的价格（包括人工、材料、设备等）；</w:t>
            </w:r>
          </w:p>
          <w:p>
            <w:pPr>
              <w:numPr>
                <w:ilvl w:val="0"/>
                <w:numId w:val="0"/>
              </w:numPr>
              <w:ind w:leftChars="20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必要的保险费用和各项税金；</w:t>
            </w:r>
          </w:p>
          <w:p>
            <w:pPr>
              <w:numPr>
                <w:ilvl w:val="0"/>
                <w:numId w:val="0"/>
              </w:numPr>
              <w:ind w:leftChars="20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lang w:eastAsia="zh-CN"/>
              </w:rPr>
              <w:t>）</w:t>
            </w:r>
            <w:r>
              <w:rPr>
                <w:rFonts w:hint="eastAsia"/>
                <w:color w:val="auto"/>
                <w:szCs w:val="21"/>
                <w:highlight w:val="none"/>
              </w:rPr>
              <w:t>验收及专家评估费用等。</w:t>
            </w:r>
          </w:p>
          <w:p>
            <w:pPr>
              <w:numPr>
                <w:ilvl w:val="0"/>
                <w:numId w:val="0"/>
              </w:numPr>
              <w:ind w:leftChars="200"/>
              <w:rPr>
                <w:color w:val="auto"/>
                <w:szCs w:val="21"/>
                <w:highlight w:val="none"/>
              </w:rPr>
            </w:pPr>
            <w:r>
              <w:rPr>
                <w:rFonts w:hint="eastAsia"/>
                <w:color w:val="auto"/>
                <w:szCs w:val="21"/>
                <w:highlight w:val="none"/>
              </w:rPr>
              <w:t>（4）与本项目有关的其他一切费用。</w:t>
            </w:r>
          </w:p>
          <w:p>
            <w:pPr>
              <w:numPr>
                <w:ilvl w:val="0"/>
                <w:numId w:val="0"/>
              </w:numPr>
              <w:ind w:firstLine="420" w:firstLineChars="200"/>
              <w:rPr>
                <w:color w:val="auto"/>
                <w:szCs w:val="21"/>
                <w:highlight w:val="none"/>
              </w:rPr>
            </w:pPr>
            <w:r>
              <w:rPr>
                <w:rFonts w:hint="eastAsia"/>
                <w:color w:val="auto"/>
                <w:szCs w:val="21"/>
                <w:highlight w:val="none"/>
              </w:rPr>
              <w:t>采购人不再支付成交价格以外的任何费用。</w:t>
            </w:r>
          </w:p>
          <w:p>
            <w:pPr>
              <w:numPr>
                <w:ilvl w:val="0"/>
                <w:numId w:val="0"/>
              </w:numPr>
              <w:ind w:firstLine="422" w:firstLineChars="200"/>
              <w:rPr>
                <w:b/>
                <w:color w:val="auto"/>
                <w:szCs w:val="21"/>
                <w:highlight w:val="none"/>
              </w:rPr>
            </w:pPr>
            <w:r>
              <w:rPr>
                <w:rFonts w:hint="eastAsia"/>
                <w:b/>
                <w:color w:val="auto"/>
                <w:szCs w:val="21"/>
                <w:highlight w:val="none"/>
              </w:rPr>
              <w:t>2、项目服务时间</w:t>
            </w:r>
          </w:p>
          <w:p>
            <w:pPr>
              <w:ind w:firstLine="420" w:firstLineChars="200"/>
              <w:rPr>
                <w:color w:val="auto"/>
                <w:szCs w:val="21"/>
                <w:highlight w:val="none"/>
              </w:rPr>
            </w:pPr>
            <w:r>
              <w:rPr>
                <w:rFonts w:hint="eastAsia"/>
                <w:szCs w:val="21"/>
              </w:rPr>
              <w:t>自合同签订之日起至项目</w:t>
            </w:r>
            <w:r>
              <w:rPr>
                <w:rFonts w:hint="eastAsia"/>
                <w:szCs w:val="21"/>
                <w:lang w:val="en-US" w:eastAsia="zh-CN"/>
              </w:rPr>
              <w:t>可行性研究报告</w:t>
            </w:r>
            <w:r>
              <w:rPr>
                <w:rFonts w:hint="eastAsia"/>
                <w:szCs w:val="21"/>
              </w:rPr>
              <w:t>获得自治区</w:t>
            </w:r>
            <w:r>
              <w:rPr>
                <w:rFonts w:hint="eastAsia"/>
                <w:szCs w:val="21"/>
                <w:lang w:val="en-US" w:eastAsia="zh-CN"/>
              </w:rPr>
              <w:t>发展改革</w:t>
            </w:r>
            <w:r>
              <w:rPr>
                <w:rFonts w:hint="eastAsia"/>
                <w:szCs w:val="21"/>
              </w:rPr>
              <w:t>委批复同意</w:t>
            </w:r>
            <w:r>
              <w:rPr>
                <w:rFonts w:hint="eastAsia"/>
                <w:szCs w:val="21"/>
                <w:lang w:val="en-US" w:eastAsia="zh-CN"/>
              </w:rPr>
              <w:t>之日止</w:t>
            </w:r>
            <w:r>
              <w:rPr>
                <w:rFonts w:hint="eastAsia"/>
                <w:szCs w:val="21"/>
              </w:rPr>
              <w:t>。</w:t>
            </w:r>
          </w:p>
          <w:p>
            <w:pPr>
              <w:ind w:firstLine="422" w:firstLineChars="200"/>
              <w:rPr>
                <w:b/>
                <w:szCs w:val="21"/>
              </w:rPr>
            </w:pPr>
            <w:r>
              <w:rPr>
                <w:b/>
                <w:szCs w:val="21"/>
              </w:rPr>
              <w:t>3</w:t>
            </w:r>
            <w:r>
              <w:rPr>
                <w:rFonts w:hint="eastAsia"/>
                <w:b/>
                <w:szCs w:val="21"/>
              </w:rPr>
              <w:t>、交付或者实施地点</w:t>
            </w:r>
          </w:p>
          <w:p>
            <w:pPr>
              <w:ind w:firstLine="420" w:firstLineChars="200"/>
              <w:rPr>
                <w:szCs w:val="21"/>
              </w:rPr>
            </w:pPr>
            <w:r>
              <w:rPr>
                <w:rFonts w:hint="eastAsia"/>
                <w:szCs w:val="21"/>
              </w:rPr>
              <w:t>采购人指定地点。</w:t>
            </w:r>
          </w:p>
          <w:p>
            <w:pPr>
              <w:ind w:firstLine="422" w:firstLineChars="200"/>
              <w:rPr>
                <w:b/>
                <w:szCs w:val="21"/>
              </w:rPr>
            </w:pPr>
            <w:r>
              <w:rPr>
                <w:b/>
                <w:szCs w:val="21"/>
              </w:rPr>
              <w:t>4</w:t>
            </w:r>
            <w:r>
              <w:rPr>
                <w:rFonts w:hint="eastAsia"/>
                <w:b/>
                <w:szCs w:val="21"/>
              </w:rPr>
              <w:t>、合同签订时间</w:t>
            </w:r>
          </w:p>
          <w:p>
            <w:pPr>
              <w:ind w:firstLine="420" w:firstLineChars="200"/>
              <w:rPr>
                <w:szCs w:val="21"/>
              </w:rPr>
            </w:pPr>
            <w:r>
              <w:rPr>
                <w:rFonts w:hint="eastAsia"/>
                <w:szCs w:val="21"/>
              </w:rPr>
              <w:t>自</w:t>
            </w:r>
            <w:r>
              <w:rPr>
                <w:rFonts w:hint="eastAsia"/>
                <w:szCs w:val="21"/>
                <w:lang w:val="en-US" w:eastAsia="zh-CN"/>
              </w:rPr>
              <w:t>项目</w:t>
            </w:r>
            <w:r>
              <w:rPr>
                <w:rFonts w:hint="eastAsia"/>
                <w:szCs w:val="21"/>
              </w:rPr>
              <w:t>成交</w:t>
            </w:r>
            <w:r>
              <w:rPr>
                <w:rFonts w:hint="eastAsia"/>
                <w:szCs w:val="21"/>
                <w:lang w:val="en-US" w:eastAsia="zh-CN"/>
              </w:rPr>
              <w:t>公告</w:t>
            </w:r>
            <w:r>
              <w:rPr>
                <w:rFonts w:hint="eastAsia"/>
                <w:szCs w:val="21"/>
              </w:rPr>
              <w:t>发出之日起</w:t>
            </w:r>
            <w:r>
              <w:rPr>
                <w:szCs w:val="21"/>
              </w:rPr>
              <w:t>5</w:t>
            </w:r>
            <w:r>
              <w:rPr>
                <w:rFonts w:hint="eastAsia"/>
                <w:szCs w:val="21"/>
                <w:lang w:val="en-US" w:eastAsia="zh-CN"/>
              </w:rPr>
              <w:t>个工作</w:t>
            </w:r>
            <w:r>
              <w:rPr>
                <w:rFonts w:hint="eastAsia"/>
                <w:szCs w:val="21"/>
              </w:rPr>
              <w:t>日内。</w:t>
            </w:r>
          </w:p>
          <w:p>
            <w:pPr>
              <w:ind w:firstLine="422" w:firstLineChars="200"/>
              <w:rPr>
                <w:b/>
                <w:szCs w:val="21"/>
              </w:rPr>
            </w:pPr>
            <w:r>
              <w:rPr>
                <w:b/>
                <w:szCs w:val="21"/>
              </w:rPr>
              <w:t>5</w:t>
            </w:r>
            <w:r>
              <w:rPr>
                <w:rFonts w:hint="eastAsia"/>
                <w:b/>
                <w:szCs w:val="21"/>
              </w:rPr>
              <w:t>、付款条件</w:t>
            </w:r>
          </w:p>
          <w:p>
            <w:pPr>
              <w:ind w:firstLine="420" w:firstLineChars="200"/>
              <w:rPr>
                <w:szCs w:val="21"/>
              </w:rPr>
            </w:pPr>
            <w:r>
              <w:rPr>
                <w:rFonts w:hint="eastAsia"/>
                <w:szCs w:val="21"/>
                <w:lang w:val="en-US" w:eastAsia="zh-CN"/>
              </w:rPr>
              <w:t>合同签订后10个工作日内，甲方向中标单位</w:t>
            </w:r>
            <w:r>
              <w:rPr>
                <w:rFonts w:hint="eastAsia"/>
                <w:szCs w:val="21"/>
              </w:rPr>
              <w:t>支付</w:t>
            </w:r>
            <w:r>
              <w:rPr>
                <w:rFonts w:hint="eastAsia"/>
                <w:szCs w:val="21"/>
                <w:lang w:val="en-US" w:eastAsia="zh-CN"/>
              </w:rPr>
              <w:t>5</w:t>
            </w:r>
            <w:r>
              <w:rPr>
                <w:szCs w:val="21"/>
              </w:rPr>
              <w:t>0%</w:t>
            </w:r>
            <w:r>
              <w:rPr>
                <w:rFonts w:hint="eastAsia"/>
                <w:szCs w:val="21"/>
              </w:rPr>
              <w:t>合同款；</w:t>
            </w:r>
            <w:r>
              <w:rPr>
                <w:rFonts w:hint="eastAsia"/>
                <w:szCs w:val="21"/>
                <w:lang w:val="en-US" w:eastAsia="zh-CN"/>
              </w:rPr>
              <w:t>项目可行性研究报告通过评审后</w:t>
            </w:r>
            <w:r>
              <w:rPr>
                <w:rFonts w:hint="eastAsia"/>
                <w:szCs w:val="21"/>
              </w:rPr>
              <w:t>，</w:t>
            </w:r>
            <w:r>
              <w:rPr>
                <w:rFonts w:hint="eastAsia"/>
                <w:szCs w:val="21"/>
                <w:lang w:val="en-US" w:eastAsia="zh-CN"/>
              </w:rPr>
              <w:t>甲方在10个工作日内向乙方</w:t>
            </w:r>
            <w:r>
              <w:rPr>
                <w:rFonts w:hint="eastAsia"/>
                <w:szCs w:val="21"/>
              </w:rPr>
              <w:t>支付剩余</w:t>
            </w:r>
            <w:r>
              <w:rPr>
                <w:rFonts w:hint="eastAsia"/>
                <w:szCs w:val="21"/>
                <w:lang w:val="en-US" w:eastAsia="zh-CN"/>
              </w:rPr>
              <w:t>5</w:t>
            </w:r>
            <w:r>
              <w:rPr>
                <w:szCs w:val="21"/>
              </w:rPr>
              <w:t>0%</w:t>
            </w:r>
            <w:r>
              <w:rPr>
                <w:rFonts w:hint="eastAsia"/>
                <w:szCs w:val="21"/>
              </w:rPr>
              <w:t>合同款。</w:t>
            </w:r>
          </w:p>
          <w:p>
            <w:pPr>
              <w:ind w:firstLine="420" w:firstLineChars="200"/>
              <w:rPr>
                <w:szCs w:val="21"/>
              </w:rPr>
            </w:pPr>
            <w:r>
              <w:rPr>
                <w:rFonts w:hint="eastAsia"/>
                <w:szCs w:val="21"/>
              </w:rPr>
              <w:t>付款前成交供应商先开具增值税发票给采购人。</w:t>
            </w:r>
          </w:p>
          <w:p>
            <w:pPr>
              <w:ind w:firstLine="422" w:firstLineChars="200"/>
              <w:rPr>
                <w:b/>
                <w:szCs w:val="21"/>
              </w:rPr>
            </w:pPr>
            <w:r>
              <w:rPr>
                <w:b/>
                <w:szCs w:val="21"/>
              </w:rPr>
              <w:t>6</w:t>
            </w:r>
            <w:r>
              <w:rPr>
                <w:rFonts w:hint="eastAsia"/>
                <w:b/>
                <w:szCs w:val="21"/>
              </w:rPr>
              <w:t>、其他要求</w:t>
            </w:r>
          </w:p>
          <w:p>
            <w:pPr>
              <w:ind w:firstLine="420" w:firstLineChars="200"/>
              <w:rPr>
                <w:rFonts w:hint="eastAsia"/>
                <w:color w:val="auto"/>
                <w:szCs w:val="21"/>
                <w:highlight w:val="none"/>
                <w:lang w:val="en-US" w:eastAsia="zh-CN"/>
              </w:rPr>
            </w:pPr>
            <w:r>
              <w:rPr>
                <w:rFonts w:hint="eastAsia"/>
                <w:szCs w:val="21"/>
              </w:rPr>
              <w:t>投标单位需符合国家相关规定，对进入详评的，采用综合评分法。</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C022C7"/>
    <w:multiLevelType w:val="singleLevel"/>
    <w:tmpl w:val="FEC022C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14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2022-05-20T08:23:56Z</dcterms:created>
  <dc:creator>hyj</dc:creator>
  <cp:lastModifiedBy>hyj</cp:lastModifiedBy>
  <dcterms:modified xsi:type="dcterms:W3CDTF">2022-05-20T08:24:02Z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