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600" w:lineRule="exact"/>
        <w:jc w:val="left"/>
        <w:textAlignment w:val="auto"/>
        <w:rPr>
          <w:rFonts w:hint="default" w:ascii="黑体" w:hAnsi="黑体" w:eastAsia="黑体" w:cs="黑体"/>
          <w:b w:val="0"/>
          <w:bCs w:val="0"/>
          <w:color w:val="auto"/>
          <w:sz w:val="28"/>
          <w:szCs w:val="28"/>
          <w:highlight w:val="none"/>
          <w:lang w:val="en-US" w:eastAsia="zh-CN"/>
        </w:rPr>
      </w:pPr>
      <w:r>
        <w:rPr>
          <w:rFonts w:hint="eastAsia" w:ascii="黑体" w:hAnsi="黑体" w:eastAsia="黑体" w:cs="黑体"/>
          <w:b w:val="0"/>
          <w:bCs w:val="0"/>
          <w:color w:val="auto"/>
          <w:sz w:val="28"/>
          <w:szCs w:val="28"/>
          <w:highlight w:val="none"/>
          <w:lang w:val="en-US" w:eastAsia="zh-CN"/>
        </w:rPr>
        <w:t>附件2</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b w:val="0"/>
          <w:bCs w:val="0"/>
          <w:color w:val="auto"/>
          <w:sz w:val="32"/>
          <w:szCs w:val="32"/>
          <w:highlight w:val="none"/>
          <w:lang w:val="en-US" w:eastAsia="zh-CN"/>
        </w:rPr>
      </w:pPr>
      <w:r>
        <w:rPr>
          <w:rFonts w:hint="eastAsia" w:ascii="方正小标宋_GBK" w:hAnsi="方正小标宋_GBK" w:eastAsia="方正小标宋_GBK" w:cs="方正小标宋_GBK"/>
          <w:b w:val="0"/>
          <w:bCs w:val="0"/>
          <w:color w:val="auto"/>
          <w:sz w:val="32"/>
          <w:szCs w:val="32"/>
          <w:highlight w:val="none"/>
          <w:lang w:val="en-US" w:eastAsia="zh-CN"/>
        </w:rPr>
        <w:t>综合评分办法</w:t>
      </w:r>
    </w:p>
    <w:p>
      <w:pPr>
        <w:spacing w:line="300" w:lineRule="auto"/>
        <w:ind w:firstLine="426" w:firstLineChars="202"/>
        <w:rPr>
          <w:rFonts w:hint="eastAsia"/>
          <w:b/>
          <w:szCs w:val="21"/>
        </w:rPr>
      </w:pPr>
    </w:p>
    <w:p>
      <w:pPr>
        <w:spacing w:line="300" w:lineRule="auto"/>
        <w:ind w:firstLine="426" w:firstLineChars="202"/>
        <w:rPr>
          <w:rFonts w:hint="eastAsia"/>
          <w:b/>
          <w:szCs w:val="21"/>
        </w:rPr>
      </w:pPr>
    </w:p>
    <w:p>
      <w:pPr>
        <w:spacing w:line="300" w:lineRule="auto"/>
        <w:ind w:firstLine="426" w:firstLineChars="202"/>
        <w:rPr>
          <w:b/>
          <w:szCs w:val="21"/>
        </w:rPr>
      </w:pPr>
      <w:r>
        <w:rPr>
          <w:rFonts w:hint="eastAsia"/>
          <w:b/>
          <w:szCs w:val="21"/>
        </w:rPr>
        <w:t>一、评审原则</w:t>
      </w:r>
    </w:p>
    <w:p>
      <w:pPr>
        <w:spacing w:line="300" w:lineRule="auto"/>
        <w:ind w:firstLine="424" w:firstLineChars="202"/>
        <w:rPr>
          <w:szCs w:val="21"/>
        </w:rPr>
      </w:pPr>
      <w:r>
        <w:rPr>
          <w:rFonts w:hint="eastAsia"/>
          <w:szCs w:val="21"/>
        </w:rPr>
        <w:t>(一）评审小组构成：本项目的评审小组由采购单位组建，成员包含技术、经济等方面专业人员，成员人数为三人以上（含三人）单数。其中，技术、经济等方面的专家不得少于成员总数的三分之二。</w:t>
      </w:r>
    </w:p>
    <w:p>
      <w:pPr>
        <w:spacing w:line="300" w:lineRule="auto"/>
        <w:ind w:firstLine="424" w:firstLineChars="202"/>
        <w:rPr>
          <w:szCs w:val="21"/>
        </w:rPr>
      </w:pPr>
      <w:r>
        <w:rPr>
          <w:rFonts w:hint="eastAsia"/>
          <w:szCs w:val="21"/>
        </w:rPr>
        <w:t>(二）评审依据：本评审办法和供应商提交的响应文件。</w:t>
      </w:r>
    </w:p>
    <w:p>
      <w:pPr>
        <w:spacing w:line="300" w:lineRule="auto"/>
        <w:ind w:firstLine="424" w:firstLineChars="202"/>
        <w:rPr>
          <w:szCs w:val="21"/>
        </w:rPr>
      </w:pPr>
      <w:r>
        <w:rPr>
          <w:rFonts w:hint="eastAsia"/>
          <w:szCs w:val="21"/>
        </w:rPr>
        <w:t>(三）评审方法：综合评分法。</w:t>
      </w:r>
    </w:p>
    <w:p>
      <w:pPr>
        <w:spacing w:line="300" w:lineRule="auto"/>
        <w:ind w:firstLine="426" w:firstLineChars="202"/>
        <w:rPr>
          <w:b/>
          <w:szCs w:val="21"/>
        </w:rPr>
      </w:pPr>
      <w:r>
        <w:rPr>
          <w:rFonts w:hint="eastAsia"/>
          <w:b/>
          <w:szCs w:val="21"/>
        </w:rPr>
        <w:t>二、评审方法</w:t>
      </w:r>
    </w:p>
    <w:p>
      <w:pPr>
        <w:spacing w:line="300" w:lineRule="auto"/>
        <w:ind w:firstLine="424" w:firstLineChars="202"/>
        <w:rPr>
          <w:szCs w:val="21"/>
        </w:rPr>
      </w:pPr>
      <w:r>
        <w:rPr>
          <w:rFonts w:hint="eastAsia"/>
          <w:szCs w:val="21"/>
        </w:rPr>
        <w:t>供应商提交的报价及资格材料经初核符合要求的进入详评，评审小组将按本评审办法和响应文件为评定依据，采用百分制综合评分法：</w:t>
      </w:r>
    </w:p>
    <w:p>
      <w:pPr>
        <w:spacing w:line="300" w:lineRule="auto"/>
        <w:ind w:firstLine="426" w:firstLineChars="202"/>
        <w:rPr>
          <w:b/>
          <w:szCs w:val="21"/>
        </w:rPr>
      </w:pPr>
      <w:r>
        <w:rPr>
          <w:rFonts w:hint="eastAsia"/>
          <w:b/>
          <w:szCs w:val="21"/>
        </w:rPr>
        <w:t>评分细则（按四舍五入取至百分位）：</w:t>
      </w:r>
    </w:p>
    <w:p>
      <w:pPr>
        <w:spacing w:line="300" w:lineRule="auto"/>
        <w:ind w:firstLine="422" w:firstLineChars="200"/>
        <w:rPr>
          <w:b/>
          <w:szCs w:val="21"/>
        </w:rPr>
      </w:pPr>
      <w:r>
        <w:rPr>
          <w:rFonts w:hint="eastAsia"/>
          <w:b/>
          <w:szCs w:val="21"/>
        </w:rPr>
        <w:t>（一）价格分……………………………………………………………………………20分</w:t>
      </w:r>
    </w:p>
    <w:p>
      <w:pPr>
        <w:spacing w:line="300" w:lineRule="auto"/>
        <w:ind w:firstLine="420" w:firstLineChars="200"/>
        <w:rPr>
          <w:szCs w:val="21"/>
        </w:rPr>
      </w:pPr>
      <w:r>
        <w:rPr>
          <w:rFonts w:hint="eastAsia"/>
          <w:szCs w:val="21"/>
        </w:rPr>
        <w:t>1、评审价为供应商的报价进行政策性扣除后的价格，评审价只是作为评审时使用。最终成交人的成交报价＝最终报价。</w:t>
      </w:r>
    </w:p>
    <w:p>
      <w:pPr>
        <w:spacing w:line="300" w:lineRule="auto"/>
        <w:ind w:firstLine="420" w:firstLineChars="200"/>
        <w:rPr>
          <w:szCs w:val="21"/>
        </w:rPr>
      </w:pPr>
      <w:r>
        <w:rPr>
          <w:rFonts w:hint="eastAsia"/>
          <w:szCs w:val="21"/>
        </w:rPr>
        <w:t>2、按照《政府采购促进中小企业发展管理办法》（财库〔2020〕46号）规定，供应商为小型和微型企业，并在其响应文件中提供《中小企业声明函》，且其所竞标产品为小型和微型企业生产的，对其竞标价格给予6%的扣除。</w:t>
      </w:r>
    </w:p>
    <w:p>
      <w:pPr>
        <w:spacing w:line="300" w:lineRule="auto"/>
        <w:ind w:firstLine="420" w:firstLineChars="200"/>
        <w:rPr>
          <w:szCs w:val="21"/>
        </w:rPr>
      </w:pPr>
      <w:r>
        <w:rPr>
          <w:rFonts w:hint="eastAsia"/>
          <w:szCs w:val="21"/>
        </w:rPr>
        <w:t>3、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w:t>
      </w:r>
    </w:p>
    <w:p>
      <w:pPr>
        <w:spacing w:line="300" w:lineRule="auto"/>
        <w:ind w:firstLine="420" w:firstLineChars="200"/>
        <w:rPr>
          <w:szCs w:val="21"/>
        </w:rPr>
      </w:pPr>
      <w:r>
        <w:rPr>
          <w:rFonts w:hint="eastAsia"/>
          <w:szCs w:val="21"/>
        </w:rPr>
        <w:t>4、按照《关于促进残疾人就业政府采购政策的通知》（财库〔2017〕141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p>
    <w:p>
      <w:pPr>
        <w:spacing w:line="300" w:lineRule="auto"/>
        <w:ind w:firstLine="420" w:firstLineChars="200"/>
        <w:rPr>
          <w:szCs w:val="21"/>
        </w:rPr>
      </w:pPr>
      <w:r>
        <w:rPr>
          <w:rFonts w:hint="eastAsia"/>
          <w:szCs w:val="21"/>
        </w:rPr>
        <w:t>5、政策性扣除计算方法。</w:t>
      </w:r>
    </w:p>
    <w:p>
      <w:pPr>
        <w:spacing w:line="300" w:lineRule="auto"/>
        <w:ind w:firstLine="420" w:firstLineChars="200"/>
        <w:rPr>
          <w:szCs w:val="21"/>
        </w:rPr>
      </w:pPr>
      <w:r>
        <w:rPr>
          <w:rFonts w:hint="eastAsia"/>
          <w:szCs w:val="21"/>
        </w:rPr>
        <w:t>供应商被评定为监狱企业或残疾人福利性单位或小型和微型企业且其所竞标产品为小型和微型企业产品的，该供应商的磋商报价给予6%的扣除，扣除后的价格为评审报价，即评审报价=初始报价×（1-6%）；除上述情况外，评审报价=最终报价。</w:t>
      </w:r>
    </w:p>
    <w:p>
      <w:pPr>
        <w:spacing w:line="300" w:lineRule="auto"/>
        <w:ind w:firstLine="420" w:firstLineChars="200"/>
        <w:rPr>
          <w:szCs w:val="21"/>
        </w:rPr>
      </w:pPr>
      <w:r>
        <w:rPr>
          <w:rFonts w:hint="eastAsia"/>
          <w:szCs w:val="21"/>
        </w:rPr>
        <w:t>6、以进入评审的最低的评审报价为</w:t>
      </w:r>
      <w:r>
        <w:rPr>
          <w:rFonts w:hint="eastAsia"/>
          <w:b/>
          <w:szCs w:val="21"/>
        </w:rPr>
        <w:t>20</w:t>
      </w:r>
      <w:r>
        <w:rPr>
          <w:rFonts w:hint="eastAsia"/>
          <w:szCs w:val="21"/>
        </w:rPr>
        <w:t>分。</w:t>
      </w:r>
    </w:p>
    <w:p>
      <w:pPr>
        <w:spacing w:line="300" w:lineRule="auto"/>
        <w:ind w:firstLine="420" w:firstLineChars="200"/>
        <w:rPr>
          <w:szCs w:val="21"/>
        </w:rPr>
      </w:pPr>
      <w:r>
        <w:rPr>
          <w:rFonts w:hint="eastAsia"/>
          <w:szCs w:val="21"/>
        </w:rPr>
        <w:t>7、</w:t>
      </w:r>
      <w:r>
        <w:rPr>
          <w:rFonts w:hint="eastAsia"/>
          <w:spacing w:val="-6"/>
          <w:szCs w:val="21"/>
        </w:rPr>
        <w:t>某供应商价格分 = 供应商最低评审报价（金额）/某供应商评审报价（金额）×</w:t>
      </w:r>
      <w:r>
        <w:rPr>
          <w:rFonts w:hint="eastAsia"/>
          <w:b/>
          <w:szCs w:val="21"/>
        </w:rPr>
        <w:t>20</w:t>
      </w:r>
      <w:r>
        <w:rPr>
          <w:rFonts w:hint="eastAsia"/>
          <w:szCs w:val="21"/>
        </w:rPr>
        <w:t>分</w:t>
      </w:r>
    </w:p>
    <w:p>
      <w:pPr>
        <w:spacing w:line="360" w:lineRule="auto"/>
        <w:ind w:firstLine="426" w:firstLineChars="202"/>
        <w:jc w:val="left"/>
        <w:rPr>
          <w:rFonts w:ascii="宋体" w:hAnsi="宋体"/>
          <w:b/>
          <w:color w:val="auto"/>
          <w:szCs w:val="21"/>
        </w:rPr>
      </w:pPr>
      <w:r>
        <w:rPr>
          <w:rFonts w:hint="eastAsia" w:ascii="宋体" w:hAnsi="宋体"/>
          <w:b/>
          <w:color w:val="auto"/>
          <w:szCs w:val="21"/>
        </w:rPr>
        <w:t>（二）技术分……………………………………………………………………………60分</w:t>
      </w:r>
    </w:p>
    <w:p>
      <w:pPr>
        <w:pStyle w:val="5"/>
        <w:spacing w:before="15" w:line="360" w:lineRule="auto"/>
        <w:ind w:right="-15" w:firstLine="422" w:firstLineChars="200"/>
        <w:rPr>
          <w:b/>
          <w:color w:val="auto"/>
          <w:szCs w:val="21"/>
        </w:rPr>
      </w:pPr>
      <w:r>
        <w:rPr>
          <w:rFonts w:hint="eastAsia"/>
          <w:b/>
          <w:color w:val="auto"/>
          <w:szCs w:val="21"/>
          <w:lang w:val="en-US"/>
        </w:rPr>
        <w:t>1.</w:t>
      </w:r>
      <w:r>
        <w:rPr>
          <w:rFonts w:hint="eastAsia"/>
          <w:b/>
          <w:color w:val="auto"/>
          <w:szCs w:val="21"/>
        </w:rPr>
        <w:t>项目实施方案分（满分</w:t>
      </w:r>
      <w:r>
        <w:rPr>
          <w:rFonts w:hint="eastAsia"/>
          <w:b/>
          <w:color w:val="auto"/>
          <w:szCs w:val="21"/>
          <w:lang w:val="en-US"/>
        </w:rPr>
        <w:t>20</w:t>
      </w:r>
      <w:r>
        <w:rPr>
          <w:rFonts w:hint="eastAsia"/>
          <w:b/>
          <w:color w:val="auto"/>
          <w:szCs w:val="21"/>
        </w:rPr>
        <w:t>分）</w:t>
      </w:r>
    </w:p>
    <w:p>
      <w:pPr>
        <w:pStyle w:val="5"/>
        <w:spacing w:before="15" w:line="360" w:lineRule="auto"/>
        <w:ind w:left="14" w:right="-15" w:firstLine="420"/>
        <w:jc w:val="right"/>
        <w:rPr>
          <w:color w:val="auto"/>
          <w:spacing w:val="-1"/>
          <w:w w:val="95"/>
        </w:rPr>
      </w:pPr>
      <w:r>
        <w:rPr>
          <w:color w:val="auto"/>
        </w:rPr>
        <w:t>一档（</w:t>
      </w:r>
      <w:r>
        <w:rPr>
          <w:rFonts w:hint="eastAsia"/>
          <w:color w:val="auto"/>
          <w:lang w:val="en-US"/>
        </w:rPr>
        <w:t>5</w:t>
      </w:r>
      <w:r>
        <w:rPr>
          <w:color w:val="auto"/>
          <w:spacing w:val="-35"/>
        </w:rPr>
        <w:t>分</w:t>
      </w:r>
      <w:r>
        <w:rPr>
          <w:color w:val="auto"/>
        </w:rPr>
        <w:t>）：对项目的编制工作的总体设想（包含工作的思路、理念</w:t>
      </w:r>
      <w:r>
        <w:rPr>
          <w:color w:val="auto"/>
          <w:w w:val="95"/>
        </w:rPr>
        <w:t>准确性、合理性</w:t>
      </w:r>
      <w:r>
        <w:rPr>
          <w:color w:val="auto"/>
          <w:spacing w:val="-3"/>
          <w:w w:val="95"/>
        </w:rPr>
        <w:t>）</w:t>
      </w:r>
      <w:r>
        <w:rPr>
          <w:color w:val="auto"/>
          <w:spacing w:val="-1"/>
          <w:w w:val="95"/>
        </w:rPr>
        <w:t>、</w:t>
      </w:r>
    </w:p>
    <w:p>
      <w:pPr>
        <w:pStyle w:val="5"/>
        <w:spacing w:before="15" w:line="360" w:lineRule="auto"/>
        <w:ind w:right="-15"/>
        <w:rPr>
          <w:color w:val="auto"/>
          <w:spacing w:val="-1"/>
          <w:w w:val="95"/>
        </w:rPr>
      </w:pPr>
      <w:r>
        <w:rPr>
          <w:color w:val="auto"/>
          <w:spacing w:val="-1"/>
          <w:w w:val="95"/>
        </w:rPr>
        <w:t>研究大纲、总体构架、技术分析、技术建议简单，对本项目的理解认识程度分析论述浅显，采用的技术规范不符合本项目的特点；</w:t>
      </w:r>
    </w:p>
    <w:p>
      <w:pPr>
        <w:pStyle w:val="5"/>
        <w:spacing w:before="15" w:line="360" w:lineRule="auto"/>
        <w:ind w:left="14" w:right="206" w:firstLine="396" w:firstLineChars="200"/>
        <w:rPr>
          <w:color w:val="auto"/>
        </w:rPr>
      </w:pPr>
      <w:r>
        <w:rPr>
          <w:color w:val="auto"/>
          <w:spacing w:val="-6"/>
        </w:rPr>
        <w:t>二档</w:t>
      </w:r>
      <w:r>
        <w:rPr>
          <w:color w:val="auto"/>
        </w:rPr>
        <w:t>（</w:t>
      </w:r>
      <w:r>
        <w:rPr>
          <w:rFonts w:hint="eastAsia"/>
          <w:color w:val="auto"/>
          <w:lang w:val="en-US"/>
        </w:rPr>
        <w:t>10</w:t>
      </w:r>
      <w:r>
        <w:rPr>
          <w:color w:val="auto"/>
        </w:rPr>
        <w:t>分）</w:t>
      </w:r>
      <w:r>
        <w:rPr>
          <w:color w:val="auto"/>
          <w:spacing w:val="-5"/>
        </w:rPr>
        <w:t>：对项目的编制工作的总体设想</w:t>
      </w:r>
      <w:r>
        <w:rPr>
          <w:color w:val="auto"/>
        </w:rPr>
        <w:t>（</w:t>
      </w:r>
      <w:r>
        <w:rPr>
          <w:color w:val="auto"/>
          <w:spacing w:val="-2"/>
        </w:rPr>
        <w:t>包含工作的思路、理念</w:t>
      </w:r>
      <w:r>
        <w:rPr>
          <w:color w:val="auto"/>
          <w:w w:val="95"/>
        </w:rPr>
        <w:t>准确性、合理性</w:t>
      </w:r>
      <w:r>
        <w:rPr>
          <w:color w:val="auto"/>
          <w:spacing w:val="-3"/>
          <w:w w:val="95"/>
        </w:rPr>
        <w:t>）</w:t>
      </w:r>
      <w:r>
        <w:rPr>
          <w:color w:val="auto"/>
          <w:spacing w:val="-1"/>
          <w:w w:val="95"/>
        </w:rPr>
        <w:t>、研究大纲、总体构架、技术分析、技术建议一般，对本</w:t>
      </w:r>
      <w:r>
        <w:rPr>
          <w:color w:val="auto"/>
          <w:w w:val="95"/>
        </w:rPr>
        <w:t>项目的理解认识程度分析论述一般，采用的技术规范基本符合本项目的特</w:t>
      </w:r>
      <w:r>
        <w:rPr>
          <w:color w:val="auto"/>
        </w:rPr>
        <w:t>点；</w:t>
      </w:r>
    </w:p>
    <w:p>
      <w:pPr>
        <w:pStyle w:val="5"/>
        <w:spacing w:line="360" w:lineRule="auto"/>
        <w:ind w:left="14" w:right="9" w:firstLine="420"/>
        <w:rPr>
          <w:color w:val="auto"/>
        </w:rPr>
      </w:pPr>
      <w:r>
        <w:rPr>
          <w:color w:val="auto"/>
          <w:spacing w:val="-5"/>
        </w:rPr>
        <w:t>三档</w:t>
      </w:r>
      <w:r>
        <w:rPr>
          <w:color w:val="auto"/>
        </w:rPr>
        <w:t>（</w:t>
      </w:r>
      <w:r>
        <w:rPr>
          <w:rFonts w:hint="eastAsia"/>
          <w:color w:val="auto"/>
          <w:lang w:val="en-US"/>
        </w:rPr>
        <w:t>15</w:t>
      </w:r>
      <w:r>
        <w:rPr>
          <w:color w:val="auto"/>
        </w:rPr>
        <w:t>分）</w:t>
      </w:r>
      <w:r>
        <w:rPr>
          <w:color w:val="auto"/>
          <w:spacing w:val="-5"/>
        </w:rPr>
        <w:t>：对项目编制工作的总体设想</w:t>
      </w:r>
      <w:r>
        <w:rPr>
          <w:color w:val="auto"/>
        </w:rPr>
        <w:t>（</w:t>
      </w:r>
      <w:r>
        <w:rPr>
          <w:color w:val="auto"/>
          <w:spacing w:val="-2"/>
        </w:rPr>
        <w:t>包含工作的思路、理念准</w:t>
      </w:r>
      <w:r>
        <w:rPr>
          <w:color w:val="auto"/>
          <w:spacing w:val="-2"/>
          <w:w w:val="95"/>
        </w:rPr>
        <w:t>确性、合理性）</w:t>
      </w:r>
      <w:r>
        <w:rPr>
          <w:color w:val="auto"/>
          <w:spacing w:val="-3"/>
          <w:w w:val="95"/>
        </w:rPr>
        <w:t>、研究大纲、总体构架、技术分析、技术建议较好，对本项</w:t>
      </w:r>
      <w:r>
        <w:rPr>
          <w:color w:val="auto"/>
          <w:spacing w:val="-3"/>
        </w:rPr>
        <w:t>目的理解认识程度分析论述较好，采用的技术规范符合本项目的特点；</w:t>
      </w:r>
    </w:p>
    <w:p>
      <w:pPr>
        <w:pStyle w:val="5"/>
        <w:spacing w:line="360" w:lineRule="auto"/>
        <w:ind w:left="14" w:right="9" w:firstLine="420"/>
        <w:rPr>
          <w:b/>
          <w:color w:val="auto"/>
          <w:szCs w:val="21"/>
        </w:rPr>
      </w:pPr>
      <w:r>
        <w:rPr>
          <w:color w:val="auto"/>
          <w:spacing w:val="-5"/>
        </w:rPr>
        <w:t>四档</w:t>
      </w:r>
      <w:r>
        <w:rPr>
          <w:color w:val="auto"/>
        </w:rPr>
        <w:t>（</w:t>
      </w:r>
      <w:r>
        <w:rPr>
          <w:rFonts w:hint="eastAsia"/>
          <w:color w:val="auto"/>
          <w:lang w:val="en-US"/>
        </w:rPr>
        <w:t>2</w:t>
      </w:r>
      <w:r>
        <w:rPr>
          <w:rFonts w:hint="eastAsia"/>
          <w:color w:val="auto"/>
        </w:rPr>
        <w:t>0</w:t>
      </w:r>
      <w:r>
        <w:rPr>
          <w:color w:val="auto"/>
        </w:rPr>
        <w:t>分）</w:t>
      </w:r>
      <w:r>
        <w:rPr>
          <w:color w:val="auto"/>
          <w:spacing w:val="-5"/>
        </w:rPr>
        <w:t>：对项目编制工作的总体设想</w:t>
      </w:r>
      <w:r>
        <w:rPr>
          <w:color w:val="auto"/>
        </w:rPr>
        <w:t>（</w:t>
      </w:r>
      <w:r>
        <w:rPr>
          <w:color w:val="auto"/>
          <w:spacing w:val="-2"/>
        </w:rPr>
        <w:t>包含工作的思路、理念准</w:t>
      </w:r>
      <w:r>
        <w:rPr>
          <w:color w:val="auto"/>
          <w:spacing w:val="-2"/>
          <w:w w:val="95"/>
        </w:rPr>
        <w:t>确性、合理性）</w:t>
      </w:r>
      <w:r>
        <w:rPr>
          <w:color w:val="auto"/>
          <w:spacing w:val="-3"/>
          <w:w w:val="95"/>
        </w:rPr>
        <w:t>、研究大纲、总体构架、技术分析、技术建议优秀，对本项</w:t>
      </w:r>
      <w:r>
        <w:rPr>
          <w:color w:val="auto"/>
          <w:spacing w:val="-5"/>
          <w:w w:val="95"/>
        </w:rPr>
        <w:t>目的理解认识程度分析论述优秀，采用的技术规范明确、完整，十分符合本</w:t>
      </w:r>
      <w:r>
        <w:rPr>
          <w:color w:val="auto"/>
        </w:rPr>
        <w:t>项目的特点。</w:t>
      </w:r>
    </w:p>
    <w:p>
      <w:pPr>
        <w:spacing w:line="360" w:lineRule="auto"/>
        <w:ind w:firstLine="422" w:firstLineChars="200"/>
        <w:jc w:val="left"/>
        <w:rPr>
          <w:rFonts w:ascii="宋体" w:hAnsi="宋体"/>
          <w:b/>
          <w:color w:val="auto"/>
          <w:szCs w:val="21"/>
        </w:rPr>
      </w:pPr>
      <w:r>
        <w:rPr>
          <w:rFonts w:hint="eastAsia" w:ascii="宋体" w:hAnsi="宋体"/>
          <w:b/>
          <w:color w:val="auto"/>
          <w:szCs w:val="21"/>
        </w:rPr>
        <w:t>2.工作重点、难点及其解决措施分（满分20分）</w:t>
      </w:r>
    </w:p>
    <w:p>
      <w:pPr>
        <w:spacing w:line="360" w:lineRule="auto"/>
        <w:ind w:firstLine="424" w:firstLineChars="202"/>
        <w:jc w:val="left"/>
        <w:rPr>
          <w:rFonts w:ascii="宋体" w:hAnsi="宋体"/>
          <w:color w:val="auto"/>
          <w:szCs w:val="21"/>
        </w:rPr>
      </w:pPr>
      <w:r>
        <w:rPr>
          <w:rFonts w:hint="eastAsia" w:ascii="宋体" w:hAnsi="宋体"/>
          <w:color w:val="auto"/>
          <w:szCs w:val="21"/>
        </w:rPr>
        <w:t>一档</w:t>
      </w:r>
      <w:r>
        <w:rPr>
          <w:rFonts w:hint="eastAsia" w:ascii="宋体" w:hAnsi="宋体" w:cs="宋体"/>
          <w:color w:val="auto"/>
          <w:lang w:val="zh-CN" w:bidi="zh-CN"/>
        </w:rPr>
        <w:t>（10分）</w:t>
      </w:r>
      <w:r>
        <w:rPr>
          <w:rFonts w:hint="eastAsia" w:ascii="宋体" w:hAnsi="宋体"/>
          <w:color w:val="auto"/>
          <w:szCs w:val="21"/>
        </w:rPr>
        <w:t>：项目重点、难点及其解决措施不可行、模糊一般；</w:t>
      </w:r>
    </w:p>
    <w:p>
      <w:pPr>
        <w:spacing w:line="360" w:lineRule="auto"/>
        <w:ind w:firstLine="424" w:firstLineChars="202"/>
        <w:jc w:val="left"/>
        <w:rPr>
          <w:rFonts w:ascii="宋体" w:hAnsi="宋体"/>
          <w:color w:val="auto"/>
          <w:szCs w:val="21"/>
        </w:rPr>
      </w:pPr>
      <w:r>
        <w:rPr>
          <w:rFonts w:hint="eastAsia" w:ascii="宋体" w:hAnsi="宋体"/>
          <w:color w:val="auto"/>
          <w:szCs w:val="21"/>
        </w:rPr>
        <w:t>二档</w:t>
      </w:r>
      <w:r>
        <w:rPr>
          <w:rFonts w:hint="eastAsia" w:ascii="宋体" w:hAnsi="宋体" w:cs="宋体"/>
          <w:color w:val="auto"/>
          <w:lang w:val="zh-CN" w:bidi="zh-CN"/>
        </w:rPr>
        <w:t>（15分）</w:t>
      </w:r>
      <w:r>
        <w:rPr>
          <w:rFonts w:hint="eastAsia" w:ascii="宋体" w:hAnsi="宋体"/>
          <w:color w:val="auto"/>
          <w:szCs w:val="21"/>
        </w:rPr>
        <w:t>：项目重点、难点及其解决措施可行、相对准确明晰、分析较好；</w:t>
      </w:r>
    </w:p>
    <w:p>
      <w:pPr>
        <w:spacing w:line="360" w:lineRule="auto"/>
        <w:ind w:firstLine="424" w:firstLineChars="202"/>
        <w:jc w:val="left"/>
        <w:rPr>
          <w:rFonts w:ascii="宋体" w:hAnsi="宋体"/>
          <w:color w:val="auto"/>
          <w:szCs w:val="21"/>
        </w:rPr>
      </w:pPr>
      <w:r>
        <w:rPr>
          <w:rFonts w:hint="eastAsia" w:ascii="宋体" w:hAnsi="宋体"/>
          <w:color w:val="auto"/>
          <w:szCs w:val="21"/>
        </w:rPr>
        <w:t>三档</w:t>
      </w:r>
      <w:r>
        <w:rPr>
          <w:rFonts w:hint="eastAsia" w:ascii="宋体" w:hAnsi="宋体" w:cs="宋体"/>
          <w:color w:val="auto"/>
          <w:lang w:val="zh-CN" w:bidi="zh-CN"/>
        </w:rPr>
        <w:t>（20分）</w:t>
      </w:r>
      <w:r>
        <w:rPr>
          <w:rFonts w:hint="eastAsia" w:ascii="宋体" w:hAnsi="宋体"/>
          <w:color w:val="auto"/>
          <w:szCs w:val="21"/>
        </w:rPr>
        <w:t>：项目重点、难点及其解决措施可行性、措施准确透彻、分析到位、科学合理。</w:t>
      </w:r>
    </w:p>
    <w:p>
      <w:pPr>
        <w:spacing w:line="360" w:lineRule="auto"/>
        <w:ind w:firstLine="422" w:firstLineChars="200"/>
        <w:jc w:val="left"/>
        <w:rPr>
          <w:rFonts w:ascii="宋体" w:hAnsi="宋体"/>
          <w:b/>
          <w:color w:val="auto"/>
          <w:szCs w:val="21"/>
        </w:rPr>
      </w:pPr>
      <w:r>
        <w:rPr>
          <w:rFonts w:hint="eastAsia" w:ascii="宋体" w:hAnsi="宋体"/>
          <w:b/>
          <w:color w:val="auto"/>
          <w:szCs w:val="21"/>
        </w:rPr>
        <w:t>3.服务承诺方案分（满分20分）</w:t>
      </w:r>
    </w:p>
    <w:p>
      <w:pPr>
        <w:pStyle w:val="5"/>
        <w:spacing w:before="67" w:line="360" w:lineRule="auto"/>
        <w:ind w:right="48" w:firstLine="422" w:firstLineChars="200"/>
        <w:rPr>
          <w:color w:val="auto"/>
        </w:rPr>
      </w:pPr>
      <w:r>
        <w:rPr>
          <w:rFonts w:hint="eastAsia"/>
          <w:b/>
          <w:color w:val="auto"/>
          <w:szCs w:val="21"/>
          <w:lang w:val="en-US"/>
        </w:rPr>
        <w:t xml:space="preserve"> </w:t>
      </w:r>
      <w:r>
        <w:rPr>
          <w:color w:val="auto"/>
        </w:rPr>
        <w:t>一档</w:t>
      </w:r>
      <w:r>
        <w:rPr>
          <w:rFonts w:hint="eastAsia"/>
          <w:color w:val="auto"/>
        </w:rPr>
        <w:t>（10分）</w:t>
      </w:r>
      <w:r>
        <w:rPr>
          <w:color w:val="auto"/>
        </w:rPr>
        <w:t>：服务承诺内容基本符合项目的总体要求、有服务质量保证措施但各服务环节不明确，服务内容保障措施较简单；</w:t>
      </w:r>
    </w:p>
    <w:p>
      <w:pPr>
        <w:pStyle w:val="5"/>
        <w:spacing w:line="360" w:lineRule="auto"/>
        <w:ind w:left="14" w:right="48" w:firstLine="420"/>
        <w:rPr>
          <w:color w:val="auto"/>
        </w:rPr>
      </w:pPr>
      <w:r>
        <w:rPr>
          <w:color w:val="auto"/>
        </w:rPr>
        <w:t>二档（</w:t>
      </w:r>
      <w:r>
        <w:rPr>
          <w:rFonts w:hint="eastAsia"/>
          <w:color w:val="auto"/>
        </w:rPr>
        <w:t>15</w:t>
      </w:r>
      <w:r>
        <w:rPr>
          <w:color w:val="auto"/>
        </w:rPr>
        <w:t>分）：服务承诺内容符合项目的总体要求，服务质量保证措施完整，有全面周到、有基本的服务流程说明，服务内容保障措施较详细；</w:t>
      </w:r>
    </w:p>
    <w:p>
      <w:pPr>
        <w:spacing w:line="360" w:lineRule="auto"/>
        <w:ind w:firstLine="400" w:firstLineChars="200"/>
        <w:jc w:val="left"/>
        <w:rPr>
          <w:rFonts w:ascii="宋体" w:hAnsi="宋体"/>
          <w:b/>
          <w:color w:val="auto"/>
          <w:szCs w:val="21"/>
        </w:rPr>
      </w:pPr>
      <w:r>
        <w:rPr>
          <w:color w:val="auto"/>
          <w:spacing w:val="-5"/>
        </w:rPr>
        <w:t>三档</w:t>
      </w:r>
      <w:r>
        <w:rPr>
          <w:color w:val="auto"/>
        </w:rPr>
        <w:t>（</w:t>
      </w:r>
      <w:r>
        <w:rPr>
          <w:rFonts w:hint="eastAsia" w:ascii="宋体" w:hAnsi="宋体" w:cs="宋体"/>
          <w:color w:val="auto"/>
          <w:lang w:val="zh-CN" w:bidi="zh-CN"/>
        </w:rPr>
        <w:t>20分</w:t>
      </w:r>
      <w:r>
        <w:rPr>
          <w:color w:val="auto"/>
          <w:spacing w:val="-14"/>
        </w:rPr>
        <w:t>）</w:t>
      </w:r>
      <w:r>
        <w:rPr>
          <w:color w:val="auto"/>
          <w:spacing w:val="-6"/>
        </w:rPr>
        <w:t>：在满足二档的要求上，服务流程说明详细具体，能为本</w:t>
      </w:r>
      <w:r>
        <w:rPr>
          <w:color w:val="auto"/>
          <w:spacing w:val="-6"/>
          <w:w w:val="95"/>
        </w:rPr>
        <w:t xml:space="preserve">项目提出针对性的服务措施，提供后续的技术指导服务，服务质量承诺优于  </w:t>
      </w:r>
      <w:r>
        <w:rPr>
          <w:color w:val="auto"/>
          <w:spacing w:val="-6"/>
        </w:rPr>
        <w:t>服务项目的要求。</w:t>
      </w:r>
    </w:p>
    <w:p>
      <w:pPr>
        <w:spacing w:line="360" w:lineRule="auto"/>
        <w:ind w:firstLine="426" w:firstLineChars="202"/>
        <w:jc w:val="left"/>
        <w:rPr>
          <w:rFonts w:ascii="宋体" w:hAnsi="宋体"/>
          <w:b/>
          <w:szCs w:val="21"/>
        </w:rPr>
      </w:pPr>
      <w:r>
        <w:rPr>
          <w:rFonts w:hint="eastAsia" w:ascii="宋体" w:hAnsi="宋体"/>
          <w:b/>
          <w:szCs w:val="21"/>
        </w:rPr>
        <w:t>（三）项目实施人员分……………………………………………………………………5分</w:t>
      </w:r>
    </w:p>
    <w:p>
      <w:pPr>
        <w:autoSpaceDE w:val="0"/>
        <w:autoSpaceDN w:val="0"/>
        <w:adjustRightInd w:val="0"/>
        <w:spacing w:line="360" w:lineRule="auto"/>
        <w:ind w:firstLine="416" w:firstLineChars="200"/>
        <w:jc w:val="left"/>
        <w:rPr>
          <w:rFonts w:hAnsi="宋体" w:cs="宋体"/>
          <w:bCs/>
        </w:rPr>
      </w:pPr>
      <w:r>
        <w:rPr>
          <w:rFonts w:hint="eastAsia"/>
          <w:spacing w:val="-1"/>
        </w:rPr>
        <w:t xml:space="preserve"> </w:t>
      </w:r>
      <w:r>
        <w:rPr>
          <w:szCs w:val="21"/>
        </w:rPr>
        <w:t>配置</w:t>
      </w:r>
      <w:r>
        <w:rPr>
          <w:rFonts w:hint="eastAsia"/>
          <w:szCs w:val="21"/>
        </w:rPr>
        <w:t>的</w:t>
      </w:r>
      <w:r>
        <w:rPr>
          <w:rFonts w:hint="eastAsia"/>
          <w:spacing w:val="-1"/>
        </w:rPr>
        <w:t>人员3名或以上且具均备中级</w:t>
      </w:r>
      <w:r>
        <w:rPr>
          <w:rFonts w:hint="eastAsia" w:hAnsi="宋体" w:cs="宋体"/>
          <w:bCs/>
          <w:szCs w:val="21"/>
        </w:rPr>
        <w:t>职称得5分，不满足不得分。</w:t>
      </w:r>
      <w:r>
        <w:rPr>
          <w:rFonts w:hAnsi="宋体" w:cs="宋体"/>
          <w:bCs/>
        </w:rPr>
        <w:t>（此项满分</w:t>
      </w:r>
      <w:r>
        <w:rPr>
          <w:rFonts w:hint="eastAsia" w:hAnsi="宋体" w:cs="宋体"/>
          <w:bCs/>
        </w:rPr>
        <w:t>5</w:t>
      </w:r>
      <w:r>
        <w:rPr>
          <w:rFonts w:hAnsi="宋体" w:cs="宋体"/>
          <w:bCs/>
        </w:rPr>
        <w:t>分）</w:t>
      </w:r>
    </w:p>
    <w:p>
      <w:pPr>
        <w:spacing w:line="360" w:lineRule="auto"/>
        <w:ind w:firstLine="424" w:firstLineChars="202"/>
        <w:jc w:val="left"/>
        <w:rPr>
          <w:rFonts w:ascii="宋体" w:hAnsi="宋体"/>
          <w:szCs w:val="21"/>
        </w:rPr>
      </w:pPr>
      <w:r>
        <w:rPr>
          <w:rFonts w:hint="eastAsia" w:hAnsi="宋体" w:cs="宋体"/>
          <w:bCs/>
          <w:szCs w:val="21"/>
        </w:rPr>
        <w:t>（备注：提供供应商近半年任意一个月为技术人员缴纳社会保险的证明材料</w:t>
      </w:r>
      <w:r>
        <w:rPr>
          <w:rFonts w:hint="eastAsia" w:hAnsi="宋体" w:cs="宋体"/>
          <w:bCs/>
          <w:szCs w:val="21"/>
          <w:lang w:eastAsia="zh-CN"/>
        </w:rPr>
        <w:t>，</w:t>
      </w:r>
      <w:r>
        <w:rPr>
          <w:rFonts w:hint="eastAsia" w:hAnsi="宋体" w:cs="宋体"/>
          <w:bCs/>
          <w:szCs w:val="21"/>
          <w:lang w:val="en-US" w:eastAsia="zh-CN"/>
        </w:rPr>
        <w:t>技术</w:t>
      </w:r>
      <w:r>
        <w:rPr>
          <w:rFonts w:hint="eastAsia" w:hAnsi="宋体" w:cs="宋体"/>
          <w:bCs/>
          <w:szCs w:val="21"/>
        </w:rPr>
        <w:t>人员</w:t>
      </w:r>
      <w:r>
        <w:rPr>
          <w:rFonts w:hint="eastAsia" w:hAnsi="宋体" w:cs="宋体"/>
          <w:bCs/>
          <w:szCs w:val="21"/>
          <w:lang w:val="en-US" w:eastAsia="zh-CN"/>
        </w:rPr>
        <w:t>职称</w:t>
      </w:r>
      <w:r>
        <w:rPr>
          <w:rFonts w:hint="eastAsia" w:hAnsi="宋体" w:cs="宋体"/>
          <w:bCs/>
          <w:szCs w:val="21"/>
        </w:rPr>
        <w:t>证件复印件加盖投标单位公章。没有相关证明材料的不予计分。）</w:t>
      </w:r>
    </w:p>
    <w:p>
      <w:pPr>
        <w:spacing w:line="360" w:lineRule="auto"/>
        <w:ind w:firstLine="426" w:firstLineChars="202"/>
        <w:jc w:val="left"/>
        <w:rPr>
          <w:rFonts w:ascii="宋体" w:hAnsi="宋体"/>
          <w:b/>
          <w:szCs w:val="21"/>
        </w:rPr>
      </w:pPr>
      <w:r>
        <w:rPr>
          <w:rFonts w:hint="eastAsia" w:ascii="宋体" w:hAnsi="宋体"/>
          <w:b/>
          <w:szCs w:val="21"/>
        </w:rPr>
        <w:t>（四）企业实力、业绩及信分…………………………………………………………15分</w:t>
      </w:r>
    </w:p>
    <w:p>
      <w:pPr>
        <w:pStyle w:val="2"/>
        <w:spacing w:line="360" w:lineRule="auto"/>
        <w:ind w:firstLine="420" w:firstLineChars="200"/>
      </w:pPr>
      <w:r>
        <w:rPr>
          <w:rFonts w:hint="eastAsia"/>
        </w:rPr>
        <w:t>磋商人自2019年以来完成咨询同类似项目的，每个得3分，本项满分15分（以中标/成交通知书或合同复印件为准）。</w:t>
      </w:r>
    </w:p>
    <w:p>
      <w:pPr>
        <w:spacing w:line="300" w:lineRule="auto"/>
        <w:rPr>
          <w:spacing w:val="-6"/>
          <w:szCs w:val="21"/>
        </w:rPr>
      </w:pPr>
    </w:p>
    <w:p>
      <w:pPr>
        <w:numPr>
          <w:ilvl w:val="0"/>
          <w:numId w:val="0"/>
        </w:numPr>
        <w:spacing w:line="300" w:lineRule="auto"/>
        <w:ind w:firstLine="384" w:firstLineChars="0"/>
        <w:rPr>
          <w:rFonts w:hint="default"/>
          <w:b/>
          <w:bCs/>
          <w:color w:val="auto"/>
          <w:spacing w:val="-6"/>
          <w:szCs w:val="21"/>
          <w:highlight w:val="none"/>
          <w:lang w:val="en-US" w:eastAsia="zh-CN"/>
        </w:rPr>
      </w:pPr>
      <w:r>
        <w:rPr>
          <w:rFonts w:hint="eastAsia"/>
          <w:spacing w:val="-6"/>
          <w:szCs w:val="21"/>
        </w:rPr>
        <w:t>总分值=（</w:t>
      </w:r>
      <w:r>
        <w:rPr>
          <w:rFonts w:hint="eastAsia"/>
          <w:b/>
          <w:bCs/>
          <w:spacing w:val="-6"/>
          <w:szCs w:val="21"/>
        </w:rPr>
        <w:t>一</w:t>
      </w:r>
      <w:r>
        <w:rPr>
          <w:rFonts w:hint="eastAsia"/>
          <w:spacing w:val="-6"/>
          <w:szCs w:val="21"/>
        </w:rPr>
        <w:t>）</w:t>
      </w:r>
      <w:r>
        <w:rPr>
          <w:rFonts w:hint="eastAsia"/>
          <w:b/>
          <w:bCs/>
          <w:spacing w:val="-6"/>
          <w:szCs w:val="21"/>
        </w:rPr>
        <w:t>+（二）+（三）+（四）</w:t>
      </w:r>
    </w:p>
    <w:p>
      <w:pPr>
        <w:numPr>
          <w:ilvl w:val="0"/>
          <w:numId w:val="0"/>
        </w:numPr>
        <w:spacing w:line="300" w:lineRule="auto"/>
        <w:rPr>
          <w:rFonts w:hint="eastAsia" w:eastAsia="宋体"/>
          <w:b w:val="0"/>
          <w:color w:val="auto"/>
          <w:spacing w:val="-6"/>
          <w:szCs w:val="21"/>
          <w:highlight w:val="none"/>
          <w:lang w:val="en-US" w:eastAsia="zh-CN"/>
        </w:rPr>
      </w:pPr>
    </w:p>
    <w:p>
      <w:pPr>
        <w:spacing w:line="300" w:lineRule="auto"/>
        <w:ind w:firstLine="426" w:firstLineChars="202"/>
        <w:rPr>
          <w:b/>
          <w:color w:val="auto"/>
          <w:szCs w:val="21"/>
          <w:highlight w:val="none"/>
        </w:rPr>
      </w:pPr>
      <w:r>
        <w:rPr>
          <w:rFonts w:hint="eastAsia"/>
          <w:b/>
          <w:color w:val="auto"/>
          <w:szCs w:val="21"/>
          <w:highlight w:val="none"/>
        </w:rPr>
        <w:t>三、成交候选人推荐原则</w:t>
      </w:r>
    </w:p>
    <w:p>
      <w:r>
        <w:rPr>
          <w:rFonts w:hint="eastAsia"/>
          <w:color w:val="auto"/>
          <w:szCs w:val="21"/>
          <w:highlight w:val="none"/>
          <w:lang w:val="en-US" w:eastAsia="zh-CN"/>
        </w:rPr>
        <w:t xml:space="preserve">    </w:t>
      </w:r>
      <w:r>
        <w:rPr>
          <w:rFonts w:hint="eastAsia"/>
          <w:color w:val="auto"/>
          <w:szCs w:val="21"/>
          <w:highlight w:val="none"/>
          <w:lang w:eastAsia="zh-CN"/>
        </w:rPr>
        <w:t>根据供应商提交的材料进行综合评分，按照得分由高到低顺序得出成交候选人名单，评审得分相同的，按照最后报价（不计算价格折扣）由低到高排序，评审得分且最后报价（不计算价格折扣）相同的，按照技术指标优劣排序。成交原则为排序顺位第一的供应商。如成交供应商因不可抗力提出不能履行合同，顺位选择第二排名的供应商，以此类推。</w:t>
      </w:r>
    </w:p>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600" w:lineRule="exact"/>
        <w:ind w:left="4670" w:leftChars="1824" w:hanging="840" w:hangingChars="400"/>
        <w:jc w:val="left"/>
        <w:textAlignment w:val="auto"/>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08755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ascii="Calibri" w:hAnsi="Calibri" w:eastAsia="宋体" w:cs="Times New Roman"/>
      <w:kern w:val="2"/>
      <w:sz w:val="21"/>
    </w:rPr>
  </w:style>
  <w:style w:type="character" w:default="1" w:styleId="4">
    <w:name w:val="Default Paragraph Font"/>
    <w:semiHidden/>
    <w:qFormat/>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styleId="2">
    <w:name w:val="annotation text"/>
    <w:basedOn w:val="1"/>
    <w:qFormat/>
    <w:uiPriority w:val="0"/>
    <w:pPr>
      <w:jc w:val="left"/>
    </w:pPr>
  </w:style>
  <w:style w:type="paragraph" w:customStyle="1" w:styleId="5">
    <w:name w:val="Table Paragraph"/>
    <w:basedOn w:val="1"/>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Office_11.8.2.8361_F1E327BC-269C-435d-A152-05C5408002CA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2022-05-20T08:24:25Z</dcterms:created>
  <dc:creator>hyj</dc:creator>
  <cp:lastModifiedBy>hyj</cp:lastModifiedBy>
  <dcterms:modified xsi:type="dcterms:W3CDTF">2022-05-20T08:24:27Z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2052-11.8.2.8361</vt:lpwstr>
  </property>
</Properties>
</file>