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5"/>
        <w:tblW w:w="9265" w:type="dxa"/>
        <w:jc w:val="center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46"/>
        <w:gridCol w:w="7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265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2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机动车路检路查抽测委托服务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1次</w:t>
            </w:r>
          </w:p>
        </w:tc>
        <w:tc>
          <w:tcPr>
            <w:tcW w:w="7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开展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机动车路检路查，按照标准进行150辆柴油货车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尾气排放检测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，并出具检测报告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在南宁市城市道路车辆通行比较集中路段选取150辆柴油货车，按《柴油车污染物排放限值及测量方法（自由加速法及加载减速法）》（GB 3847-2018）等国家标准技术规范要求，开展尾气排放检测，同时出具检测报告。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测林格曼黑度、光吸收系数、氮氧化物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内容，检测时间及次数为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2022年6月-12月，每辆车机动车监测3次。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422" w:firstLine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工作要求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1.现场检测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专业技术人员具有大专以上学历，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熟悉机动车排放测试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相关，熟悉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机动车排放测试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相关国家、行业标准规范要求，遵守国家法律法规和我院各项规章制度，服从我院工作安排，配合按时完成工作。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测人员必须经过专业技术培训，并持证上岗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测仪器设备均经过国家计量单位通过年度检定合格后，并按照相关技术标准现场进行校准，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/>
              </w:rPr>
              <w:t>确保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数据的可靠、准备、真实性；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认真执行相关规范及有关要求，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测过程应进行照片拍摄，监测过程进行全程录制视频；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如果有个别数据存在差异或可疑，监测技术人员都要及时反映，并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/>
              </w:rPr>
              <w:t>开展数据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/>
              </w:rPr>
              <w:t>核查，以确保数据的真实性和准确性。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422" w:firstLineChars="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其他要求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需为现场检测专业技术人员缴纳社保，并采购人身意外保险。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提供现场检测专业技术人员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的</w:t>
            </w:r>
            <w:r>
              <w:rPr>
                <w:rFonts w:hint="default"/>
                <w:lang w:val="en-US" w:eastAsia="zh-CN"/>
              </w:rPr>
              <w:t>证上岗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供应商报价不超过预算价格。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  <w:jc w:val="center"/>
        </w:trPr>
        <w:tc>
          <w:tcPr>
            <w:tcW w:w="9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本项目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最终合计报价不超过预算价格，否则按无效报价文件处理。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本项目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实行总承包报价，报价为采购人指定服务范围内的全部价格，至少包括：（1）服务的价格；（2）必要的保险费用和各项税金；（3）与本项目有关的其他一切费用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2022年6月-202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年1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南宁市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（1）交付时间：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Cs w:val="21"/>
              </w:rPr>
              <w:t>月3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日前。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广西南宁市青秀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佛子岭路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16号。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个工作日内支付合同款的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%；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月25日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前，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成交人提交检测报告并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通过采购人验收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7个工作日内支付项目合同余款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20%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。成交供应商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收到款项后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10个工作日内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开具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等额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增值税发票给采购人。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23CF"/>
    <w:multiLevelType w:val="singleLevel"/>
    <w:tmpl w:val="2D0823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41E7"/>
    <w:rsid w:val="00E73030"/>
    <w:rsid w:val="0191724F"/>
    <w:rsid w:val="029C2ADA"/>
    <w:rsid w:val="030545C8"/>
    <w:rsid w:val="035F2DCA"/>
    <w:rsid w:val="0606405B"/>
    <w:rsid w:val="0711079D"/>
    <w:rsid w:val="077E3A63"/>
    <w:rsid w:val="09365212"/>
    <w:rsid w:val="0D424471"/>
    <w:rsid w:val="19860BBD"/>
    <w:rsid w:val="19BC1B99"/>
    <w:rsid w:val="1AB57569"/>
    <w:rsid w:val="1CE7177B"/>
    <w:rsid w:val="1DA259DC"/>
    <w:rsid w:val="241C2DEB"/>
    <w:rsid w:val="26241576"/>
    <w:rsid w:val="2AAA09B5"/>
    <w:rsid w:val="2B8A7ED2"/>
    <w:rsid w:val="2C755EF6"/>
    <w:rsid w:val="3AC63DD1"/>
    <w:rsid w:val="3C941552"/>
    <w:rsid w:val="4036311D"/>
    <w:rsid w:val="48AF12CF"/>
    <w:rsid w:val="4C7B4F6A"/>
    <w:rsid w:val="50CE4403"/>
    <w:rsid w:val="5491540B"/>
    <w:rsid w:val="560E41E7"/>
    <w:rsid w:val="58147F57"/>
    <w:rsid w:val="5AEC5E89"/>
    <w:rsid w:val="601F75F6"/>
    <w:rsid w:val="64382938"/>
    <w:rsid w:val="64F24718"/>
    <w:rsid w:val="68C44550"/>
    <w:rsid w:val="6BB80075"/>
    <w:rsid w:val="7164287A"/>
    <w:rsid w:val="722F393F"/>
    <w:rsid w:val="744C2BF8"/>
    <w:rsid w:val="78D10B6A"/>
    <w:rsid w:val="7AC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2022-02-16T10:06:00Z</dcterms:created>
  <dc:creator>植雨青</dc:creator>
  <cp:lastModifiedBy>苦行者</cp:lastModifiedBy>
  <dcterms:modified xsi:type="dcterms:W3CDTF">2022-05-25T02:04:44Z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