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snapToGrid w:val="0"/>
        <w:spacing w:line="600" w:lineRule="exact"/>
        <w:jc w:val="left"/>
        <w:rPr>
          <w:rFonts w:ascii="黑体" w:hAnsi="黑体" w:eastAsia="黑体" w:cs="黑体"/>
          <w:sz w:val="32"/>
          <w:szCs w:val="32"/>
        </w:rPr>
      </w:pPr>
      <w:r>
        <w:rPr>
          <w:rFonts w:hint="eastAsia" w:ascii="黑体" w:hAnsi="黑体" w:eastAsia="黑体" w:cs="黑体"/>
          <w:sz w:val="32"/>
          <w:szCs w:val="32"/>
        </w:rPr>
        <w:t>附件3</w:t>
      </w:r>
    </w:p>
    <w:p>
      <w:pPr>
        <w:tabs>
          <w:tab w:val="left" w:pos="567"/>
        </w:tabs>
        <w:snapToGrid w:val="0"/>
        <w:spacing w:line="600" w:lineRule="exact"/>
        <w:jc w:val="center"/>
        <w:rPr>
          <w:rFonts w:ascii="方正小标宋_GBK" w:hAnsi="宋体" w:eastAsia="方正小标宋_GBK" w:cs="宋体"/>
          <w:sz w:val="44"/>
          <w:szCs w:val="44"/>
        </w:rPr>
      </w:pPr>
      <w:r>
        <w:rPr>
          <w:rFonts w:hint="eastAsia" w:ascii="方正小标宋_GBK" w:hAnsi="宋体" w:eastAsia="方正小标宋_GBK" w:cs="宋体"/>
          <w:sz w:val="44"/>
          <w:szCs w:val="44"/>
        </w:rPr>
        <w:t>评分细则</w:t>
      </w:r>
    </w:p>
    <w:p>
      <w:pPr>
        <w:tabs>
          <w:tab w:val="left" w:pos="567"/>
        </w:tabs>
        <w:snapToGrid w:val="0"/>
        <w:spacing w:line="600" w:lineRule="exact"/>
        <w:rPr>
          <w:rFonts w:ascii="仿宋" w:hAnsi="仿宋" w:eastAsia="仿宋" w:cs="宋体"/>
          <w:b/>
          <w:sz w:val="32"/>
          <w:szCs w:val="32"/>
        </w:rPr>
      </w:pPr>
      <w:r>
        <w:rPr>
          <w:rFonts w:hint="eastAsia" w:ascii="仿宋" w:hAnsi="仿宋" w:eastAsia="仿宋" w:cs="宋体"/>
          <w:b/>
          <w:sz w:val="32"/>
          <w:szCs w:val="32"/>
        </w:rPr>
        <w:t>1.评审办法</w:t>
      </w:r>
    </w:p>
    <w:p>
      <w:pPr>
        <w:snapToGrid w:val="0"/>
        <w:spacing w:line="600" w:lineRule="exact"/>
        <w:rPr>
          <w:rFonts w:ascii="仿宋" w:hAnsi="仿宋" w:eastAsia="仿宋" w:cs="宋体"/>
          <w:sz w:val="32"/>
          <w:szCs w:val="32"/>
        </w:rPr>
      </w:pPr>
      <w:r>
        <w:rPr>
          <w:rFonts w:hint="eastAsia" w:ascii="仿宋" w:hAnsi="仿宋" w:eastAsia="仿宋" w:cs="宋体"/>
          <w:b/>
          <w:bCs/>
          <w:sz w:val="32"/>
          <w:szCs w:val="32"/>
        </w:rPr>
        <w:t>1</w:t>
      </w:r>
      <w:r>
        <w:rPr>
          <w:rFonts w:ascii="仿宋" w:hAnsi="仿宋" w:eastAsia="仿宋" w:cs="宋体"/>
          <w:b/>
          <w:bCs/>
          <w:sz w:val="32"/>
          <w:szCs w:val="32"/>
        </w:rPr>
        <w:t>.1初步评审办法：</w:t>
      </w:r>
    </w:p>
    <w:p>
      <w:pPr>
        <w:snapToGrid w:val="0"/>
        <w:spacing w:line="600" w:lineRule="exact"/>
        <w:rPr>
          <w:rFonts w:ascii="仿宋" w:hAnsi="仿宋" w:eastAsia="仿宋" w:cs="宋体"/>
          <w:sz w:val="32"/>
          <w:szCs w:val="32"/>
        </w:rPr>
      </w:pPr>
      <w:r>
        <w:rPr>
          <w:rFonts w:hint="eastAsia" w:ascii="仿宋" w:hAnsi="仿宋" w:eastAsia="仿宋" w:cs="宋体"/>
          <w:sz w:val="32"/>
          <w:szCs w:val="32"/>
        </w:rPr>
        <w:t>供应商须提供以下资料进行初步评审：</w:t>
      </w:r>
    </w:p>
    <w:p>
      <w:pPr>
        <w:snapToGrid w:val="0"/>
        <w:spacing w:line="600" w:lineRule="exac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1）</w:t>
      </w:r>
      <w:r>
        <w:rPr>
          <w:rFonts w:hint="eastAsia" w:ascii="仿宋" w:hAnsi="仿宋" w:eastAsia="仿宋" w:cs="宋体"/>
          <w:sz w:val="32"/>
          <w:szCs w:val="32"/>
        </w:rPr>
        <w:t>询价</w:t>
      </w:r>
      <w:r>
        <w:rPr>
          <w:rFonts w:ascii="仿宋" w:hAnsi="仿宋" w:eastAsia="仿宋" w:cs="宋体"/>
          <w:sz w:val="32"/>
          <w:szCs w:val="32"/>
        </w:rPr>
        <w:t>报价表（首次报价）原件</w:t>
      </w:r>
      <w:r>
        <w:rPr>
          <w:rFonts w:hint="eastAsia" w:ascii="仿宋" w:hAnsi="仿宋" w:eastAsia="仿宋" w:cs="宋体"/>
          <w:sz w:val="32"/>
          <w:szCs w:val="32"/>
        </w:rPr>
        <w:t>；</w:t>
      </w:r>
    </w:p>
    <w:p>
      <w:pPr>
        <w:snapToGrid w:val="0"/>
        <w:spacing w:line="600" w:lineRule="exact"/>
        <w:rPr>
          <w:rFonts w:ascii="仿宋" w:hAnsi="仿宋" w:eastAsia="仿宋" w:cs="宋体"/>
          <w:sz w:val="32"/>
          <w:szCs w:val="32"/>
        </w:rPr>
      </w:pPr>
      <w:r>
        <w:rPr>
          <w:rFonts w:hint="eastAsia" w:ascii="仿宋" w:hAnsi="仿宋" w:eastAsia="仿宋" w:cs="宋体"/>
          <w:sz w:val="32"/>
          <w:szCs w:val="32"/>
        </w:rPr>
        <w:t>（</w:t>
      </w:r>
      <w:r>
        <w:rPr>
          <w:rFonts w:hint="eastAsia" w:ascii="仿宋" w:hAnsi="仿宋" w:eastAsia="仿宋" w:cs="宋体"/>
          <w:sz w:val="32"/>
          <w:szCs w:val="32"/>
          <w:lang w:val="en-US" w:eastAsia="zh-CN"/>
        </w:rPr>
        <w:t>2</w:t>
      </w:r>
      <w:r>
        <w:rPr>
          <w:rFonts w:hint="eastAsia" w:ascii="仿宋" w:hAnsi="仿宋" w:eastAsia="仿宋" w:cs="宋体"/>
          <w:sz w:val="32"/>
          <w:szCs w:val="32"/>
        </w:rPr>
        <w:t>）营业执照复印件或事业单位法人证书复印件或民办非企业单位法人证书复印件</w:t>
      </w:r>
      <w:r>
        <w:rPr>
          <w:rFonts w:hint="eastAsia" w:ascii="仿宋" w:hAnsi="仿宋" w:eastAsia="仿宋" w:cs="仿宋"/>
          <w:sz w:val="32"/>
          <w:szCs w:val="32"/>
        </w:rPr>
        <w:t>（须盖公章）</w:t>
      </w:r>
      <w:r>
        <w:rPr>
          <w:rFonts w:hint="eastAsia" w:ascii="仿宋" w:hAnsi="仿宋" w:eastAsia="仿宋" w:cs="宋体"/>
          <w:sz w:val="32"/>
          <w:szCs w:val="32"/>
        </w:rPr>
        <w:t>；</w:t>
      </w:r>
    </w:p>
    <w:p>
      <w:pPr>
        <w:snapToGrid w:val="0"/>
        <w:spacing w:line="600" w:lineRule="exact"/>
        <w:rPr>
          <w:rFonts w:ascii="仿宋" w:hAnsi="仿宋" w:eastAsia="仿宋" w:cs="宋体"/>
          <w:sz w:val="32"/>
          <w:szCs w:val="32"/>
        </w:rPr>
      </w:pPr>
      <w:r>
        <w:rPr>
          <w:rFonts w:hint="eastAsia" w:ascii="仿宋" w:hAnsi="仿宋" w:eastAsia="仿宋" w:cs="宋体"/>
          <w:sz w:val="32"/>
          <w:szCs w:val="32"/>
        </w:rPr>
        <w:t>（</w:t>
      </w:r>
      <w:r>
        <w:rPr>
          <w:rFonts w:hint="eastAsia" w:ascii="仿宋" w:hAnsi="仿宋" w:eastAsia="仿宋" w:cs="宋体"/>
          <w:sz w:val="32"/>
          <w:szCs w:val="32"/>
          <w:lang w:val="en-US" w:eastAsia="zh-CN"/>
        </w:rPr>
        <w:t>3</w:t>
      </w:r>
      <w:r>
        <w:rPr>
          <w:rFonts w:hint="eastAsia" w:ascii="仿宋" w:hAnsi="仿宋" w:eastAsia="仿宋" w:cs="宋体"/>
          <w:sz w:val="32"/>
          <w:szCs w:val="32"/>
        </w:rPr>
        <w:t>）法定代表人和法人授权代理人的身份证复印件</w:t>
      </w:r>
      <w:r>
        <w:rPr>
          <w:rFonts w:hint="eastAsia" w:ascii="仿宋" w:hAnsi="仿宋" w:eastAsia="仿宋" w:cs="仿宋"/>
          <w:sz w:val="32"/>
          <w:szCs w:val="32"/>
        </w:rPr>
        <w:t>（须盖公章）</w:t>
      </w:r>
      <w:r>
        <w:rPr>
          <w:rFonts w:hint="eastAsia" w:ascii="仿宋" w:hAnsi="仿宋" w:eastAsia="仿宋" w:cs="宋体"/>
          <w:sz w:val="32"/>
          <w:szCs w:val="32"/>
        </w:rPr>
        <w:t>；</w:t>
      </w:r>
    </w:p>
    <w:p>
      <w:pPr>
        <w:snapToGrid w:val="0"/>
        <w:spacing w:line="600" w:lineRule="exact"/>
        <w:rPr>
          <w:rFonts w:ascii="仿宋" w:hAnsi="仿宋" w:eastAsia="仿宋" w:cs="宋体"/>
          <w:sz w:val="32"/>
          <w:szCs w:val="32"/>
        </w:rPr>
      </w:pPr>
      <w:r>
        <w:rPr>
          <w:rFonts w:hint="eastAsia" w:ascii="仿宋" w:hAnsi="仿宋" w:eastAsia="仿宋" w:cs="宋体"/>
          <w:sz w:val="32"/>
          <w:szCs w:val="32"/>
        </w:rPr>
        <w:t>（</w:t>
      </w:r>
      <w:r>
        <w:rPr>
          <w:rFonts w:hint="eastAsia" w:ascii="仿宋" w:hAnsi="仿宋" w:eastAsia="仿宋" w:cs="宋体"/>
          <w:sz w:val="32"/>
          <w:szCs w:val="32"/>
          <w:lang w:val="en-US" w:eastAsia="zh-CN"/>
        </w:rPr>
        <w:t>4</w:t>
      </w:r>
      <w:r>
        <w:rPr>
          <w:rFonts w:hint="eastAsia" w:ascii="仿宋" w:hAnsi="仿宋" w:eastAsia="仿宋" w:cs="宋体"/>
          <w:sz w:val="32"/>
          <w:szCs w:val="32"/>
        </w:rPr>
        <w:t>）新闻出版管理部门颁发的《中华人民共和国图书出版许可证》和《中华人民共和国出版物经营许可证》复印件</w:t>
      </w:r>
      <w:r>
        <w:rPr>
          <w:rFonts w:hint="eastAsia" w:ascii="仿宋" w:hAnsi="仿宋" w:eastAsia="仿宋" w:cs="仿宋"/>
          <w:sz w:val="32"/>
          <w:szCs w:val="32"/>
        </w:rPr>
        <w:t>（须盖公章）</w:t>
      </w:r>
      <w:r>
        <w:rPr>
          <w:rFonts w:hint="eastAsia" w:ascii="仿宋" w:hAnsi="仿宋" w:eastAsia="仿宋" w:cs="宋体"/>
          <w:sz w:val="32"/>
          <w:szCs w:val="32"/>
        </w:rPr>
        <w:t>；</w:t>
      </w:r>
    </w:p>
    <w:p>
      <w:pPr>
        <w:snapToGrid w:val="0"/>
        <w:spacing w:line="600" w:lineRule="exact"/>
        <w:rPr>
          <w:rFonts w:ascii="仿宋" w:hAnsi="仿宋" w:eastAsia="仿宋" w:cs="宋体"/>
          <w:b/>
          <w:bCs/>
          <w:sz w:val="32"/>
          <w:szCs w:val="32"/>
        </w:rPr>
      </w:pPr>
      <w:r>
        <w:rPr>
          <w:rFonts w:hint="eastAsia" w:ascii="仿宋" w:hAnsi="仿宋" w:eastAsia="仿宋" w:cs="宋体"/>
          <w:b/>
          <w:bCs/>
          <w:sz w:val="32"/>
          <w:szCs w:val="32"/>
        </w:rPr>
        <w:t>注意：以上资料有一项或以上不通过者，视为初步评审不合格，不得进入详细评审阶段。</w:t>
      </w:r>
      <w:bookmarkStart w:id="0" w:name="_GoBack"/>
      <w:bookmarkEnd w:id="0"/>
    </w:p>
    <w:p>
      <w:pPr>
        <w:snapToGrid w:val="0"/>
        <w:spacing w:line="600" w:lineRule="exact"/>
        <w:rPr>
          <w:rFonts w:ascii="仿宋" w:hAnsi="仿宋" w:eastAsia="仿宋" w:cs="宋体"/>
          <w:b/>
          <w:bCs/>
          <w:sz w:val="32"/>
          <w:szCs w:val="32"/>
        </w:rPr>
      </w:pPr>
      <w:r>
        <w:rPr>
          <w:rFonts w:hint="eastAsia" w:ascii="仿宋" w:hAnsi="仿宋" w:eastAsia="仿宋" w:cs="宋体"/>
          <w:b/>
          <w:bCs/>
          <w:sz w:val="32"/>
          <w:szCs w:val="32"/>
        </w:rPr>
        <w:t>1</w:t>
      </w:r>
      <w:r>
        <w:rPr>
          <w:rFonts w:ascii="仿宋" w:hAnsi="仿宋" w:eastAsia="仿宋" w:cs="宋体"/>
          <w:b/>
          <w:bCs/>
          <w:sz w:val="32"/>
          <w:szCs w:val="32"/>
        </w:rPr>
        <w:t xml:space="preserve">.2 </w:t>
      </w:r>
      <w:r>
        <w:rPr>
          <w:rFonts w:hint="eastAsia" w:ascii="仿宋" w:hAnsi="仿宋" w:eastAsia="仿宋" w:cs="宋体"/>
          <w:b/>
          <w:bCs/>
          <w:sz w:val="32"/>
          <w:szCs w:val="32"/>
        </w:rPr>
        <w:t>详细评审办法</w:t>
      </w:r>
    </w:p>
    <w:p>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总分</w:t>
      </w:r>
      <w:r>
        <w:rPr>
          <w:rFonts w:ascii="仿宋" w:hAnsi="仿宋" w:eastAsia="仿宋" w:cs="宋体"/>
          <w:sz w:val="32"/>
          <w:szCs w:val="32"/>
        </w:rPr>
        <w:t>100分</w:t>
      </w:r>
      <w:r>
        <w:rPr>
          <w:rFonts w:hint="eastAsia" w:ascii="仿宋" w:hAnsi="仿宋" w:eastAsia="仿宋" w:cs="宋体"/>
          <w:sz w:val="32"/>
          <w:szCs w:val="32"/>
        </w:rPr>
        <w:t>（按四舍五入取至小数点后两位），</w:t>
      </w:r>
      <w:r>
        <w:rPr>
          <w:rFonts w:ascii="仿宋" w:hAnsi="仿宋" w:eastAsia="仿宋" w:cs="宋体"/>
          <w:sz w:val="32"/>
          <w:szCs w:val="32"/>
        </w:rPr>
        <w:t>总分＝价格分+技术分</w:t>
      </w:r>
      <w:r>
        <w:rPr>
          <w:rFonts w:hint="eastAsia" w:ascii="仿宋" w:hAnsi="仿宋" w:eastAsia="仿宋" w:cs="宋体"/>
          <w:sz w:val="32"/>
          <w:szCs w:val="32"/>
        </w:rPr>
        <w:t>+</w:t>
      </w:r>
      <w:r>
        <w:rPr>
          <w:rFonts w:ascii="仿宋" w:hAnsi="仿宋" w:eastAsia="仿宋" w:cs="宋体"/>
          <w:sz w:val="32"/>
          <w:szCs w:val="32"/>
        </w:rPr>
        <w:t>商务分</w:t>
      </w:r>
    </w:p>
    <w:p>
      <w:pPr>
        <w:snapToGrid w:val="0"/>
        <w:spacing w:line="600" w:lineRule="exact"/>
        <w:rPr>
          <w:rFonts w:ascii="仿宋" w:hAnsi="仿宋" w:eastAsia="仿宋" w:cs="宋体"/>
          <w:sz w:val="32"/>
          <w:szCs w:val="32"/>
        </w:rPr>
      </w:pPr>
      <w:r>
        <w:rPr>
          <w:rFonts w:hint="eastAsia" w:ascii="仿宋" w:hAnsi="仿宋" w:eastAsia="仿宋" w:cs="宋体"/>
          <w:b/>
          <w:bCs/>
          <w:sz w:val="32"/>
          <w:szCs w:val="32"/>
        </w:rPr>
        <w:t>1</w:t>
      </w:r>
      <w:r>
        <w:rPr>
          <w:rFonts w:ascii="仿宋" w:hAnsi="仿宋" w:eastAsia="仿宋" w:cs="宋体"/>
          <w:b/>
          <w:bCs/>
          <w:sz w:val="32"/>
          <w:szCs w:val="32"/>
        </w:rPr>
        <w:t>.2.1价格分</w:t>
      </w:r>
      <w:r>
        <w:rPr>
          <w:rFonts w:hint="eastAsia" w:ascii="仿宋" w:hAnsi="仿宋" w:eastAsia="仿宋" w:cs="宋体"/>
          <w:b/>
          <w:bCs/>
          <w:sz w:val="32"/>
          <w:szCs w:val="32"/>
        </w:rPr>
        <w:t>30</w:t>
      </w:r>
      <w:r>
        <w:rPr>
          <w:rFonts w:ascii="仿宋" w:hAnsi="仿宋" w:eastAsia="仿宋" w:cs="宋体"/>
          <w:b/>
          <w:bCs/>
          <w:sz w:val="32"/>
          <w:szCs w:val="32"/>
        </w:rPr>
        <w:t>分</w:t>
      </w:r>
    </w:p>
    <w:p>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供应商询价后的最终报价</w:t>
      </w:r>
      <w:r>
        <w:rPr>
          <w:rFonts w:hint="eastAsia" w:ascii="仿宋" w:hAnsi="仿宋" w:eastAsia="仿宋" w:cs="宋体"/>
          <w:b/>
          <w:bCs/>
          <w:sz w:val="32"/>
          <w:szCs w:val="32"/>
          <w:u w:val="single"/>
        </w:rPr>
        <w:t>不得超过采购预算价</w:t>
      </w:r>
      <w:r>
        <w:rPr>
          <w:rFonts w:hint="eastAsia" w:ascii="仿宋" w:hAnsi="仿宋" w:eastAsia="仿宋" w:cs="宋体"/>
          <w:sz w:val="32"/>
          <w:szCs w:val="32"/>
          <w:u w:val="single"/>
        </w:rPr>
        <w:t>，</w:t>
      </w:r>
      <w:r>
        <w:rPr>
          <w:rFonts w:hint="eastAsia" w:ascii="仿宋" w:hAnsi="仿宋" w:eastAsia="仿宋" w:cs="宋体"/>
          <w:b/>
          <w:bCs/>
          <w:sz w:val="32"/>
          <w:szCs w:val="32"/>
          <w:u w:val="single"/>
        </w:rPr>
        <w:t>否则报价无效</w:t>
      </w:r>
      <w:r>
        <w:rPr>
          <w:rFonts w:hint="eastAsia" w:ascii="仿宋" w:hAnsi="仿宋" w:eastAsia="仿宋" w:cs="宋体"/>
          <w:sz w:val="32"/>
          <w:szCs w:val="32"/>
        </w:rPr>
        <w:t>，无效报价不予计分。</w:t>
      </w:r>
    </w:p>
    <w:p>
      <w:pPr>
        <w:numPr>
          <w:ilvl w:val="255"/>
          <w:numId w:val="0"/>
        </w:num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（1）评标价为满足询价文件要求且最终报价最低的供应商报价。最终成交人的成交金额＝询价后的最终报价。</w:t>
      </w:r>
    </w:p>
    <w:p>
      <w:pPr>
        <w:numPr>
          <w:ilvl w:val="255"/>
          <w:numId w:val="0"/>
        </w:numPr>
        <w:snapToGrid w:val="0"/>
        <w:spacing w:line="600" w:lineRule="exact"/>
        <w:ind w:firstLine="640" w:firstLineChars="200"/>
        <w:rPr>
          <w:rFonts w:ascii="仿宋" w:hAnsi="仿宋" w:eastAsia="仿宋"/>
          <w:sz w:val="32"/>
          <w:szCs w:val="32"/>
        </w:rPr>
      </w:pPr>
      <w:r>
        <w:rPr>
          <w:rFonts w:hint="eastAsia" w:ascii="仿宋" w:hAnsi="仿宋" w:eastAsia="仿宋" w:cs="宋体"/>
          <w:sz w:val="32"/>
          <w:szCs w:val="32"/>
        </w:rPr>
        <w:t>（2）价格评分：供应商价格分统一按照下列公式计算：</w:t>
      </w:r>
    </w:p>
    <w:p>
      <w:pPr>
        <w:pStyle w:val="3"/>
        <w:spacing w:line="360" w:lineRule="exact"/>
        <w:ind w:firstLine="404" w:firstLineChars="200"/>
        <w:rPr>
          <w:rFonts w:ascii="仿宋" w:hAnsi="仿宋" w:eastAsia="仿宋"/>
          <w:sz w:val="21"/>
          <w:szCs w:val="21"/>
        </w:rPr>
      </w:pPr>
      <w:r>
        <w:rPr>
          <w:rFonts w:ascii="仿宋" w:hAnsi="仿宋" w:eastAsia="仿宋"/>
          <w:sz w:val="21"/>
          <w:szCs w:val="21"/>
        </w:rPr>
        <w:t xml:space="preserve">               </w:t>
      </w:r>
      <w:r>
        <w:rPr>
          <w:rFonts w:hint="eastAsia" w:ascii="仿宋" w:hAnsi="仿宋" w:eastAsia="仿宋"/>
          <w:sz w:val="21"/>
          <w:szCs w:val="21"/>
        </w:rPr>
        <w:t>　　</w:t>
      </w:r>
      <w:r>
        <w:rPr>
          <w:rFonts w:ascii="仿宋" w:hAnsi="仿宋" w:eastAsia="仿宋"/>
          <w:sz w:val="21"/>
          <w:szCs w:val="21"/>
        </w:rPr>
        <w:t xml:space="preserve">                  </w:t>
      </w:r>
      <w:r>
        <w:rPr>
          <w:rFonts w:hint="eastAsia" w:ascii="仿宋" w:hAnsi="仿宋" w:eastAsia="仿宋"/>
          <w:sz w:val="21"/>
          <w:szCs w:val="21"/>
        </w:rPr>
        <w:t>评标价</w:t>
      </w:r>
    </w:p>
    <w:p>
      <w:pPr>
        <w:pStyle w:val="3"/>
        <w:spacing w:line="360" w:lineRule="exact"/>
        <w:ind w:firstLine="404" w:firstLineChars="200"/>
        <w:rPr>
          <w:rFonts w:ascii="仿宋" w:hAnsi="仿宋" w:eastAsia="仿宋"/>
          <w:sz w:val="21"/>
          <w:szCs w:val="21"/>
        </w:rPr>
      </w:pPr>
      <w:r>
        <w:rPr>
          <w:rFonts w:ascii="仿宋" w:hAnsi="仿宋" w:eastAsia="仿宋"/>
          <w:sz w:val="21"/>
          <w:szCs w:val="21"/>
        </w:rPr>
        <mc:AlternateContent>
          <mc:Choice Requires="wps">
            <w:drawing>
              <wp:anchor distT="0" distB="0" distL="114300" distR="114300" simplePos="0" relativeHeight="251659264" behindDoc="0" locked="0" layoutInCell="1" allowOverlap="1">
                <wp:simplePos x="0" y="0"/>
                <wp:positionH relativeFrom="column">
                  <wp:posOffset>2138680</wp:posOffset>
                </wp:positionH>
                <wp:positionV relativeFrom="paragraph">
                  <wp:posOffset>60960</wp:posOffset>
                </wp:positionV>
                <wp:extent cx="1214120" cy="9525"/>
                <wp:effectExtent l="0" t="0" r="24130" b="28575"/>
                <wp:wrapNone/>
                <wp:docPr id="1" name="直接连接符 1"/>
                <wp:cNvGraphicFramePr/>
                <a:graphic xmlns:a="http://schemas.openxmlformats.org/drawingml/2006/main">
                  <a:graphicData uri="http://schemas.microsoft.com/office/word/2010/wordprocessingShape">
                    <wps:wsp>
                      <wps:cNvCnPr/>
                      <wps:spPr>
                        <a:xfrm>
                          <a:off x="0" y="0"/>
                          <a:ext cx="1214120"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8.4pt;margin-top:4.8pt;height:0.75pt;width:95.6pt;z-index:251659264;mso-width-relative:page;mso-height-relative:page;" filled="f" stroked="t" coordsize="21600,21600" o:gfxdata="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aVheNYAAAAIAQAADwAAAAAAAAABACAAAAAi&#10;AAAAZHJzL2Rvd25yZXYueG1sUEsBAhQAFAAAAAgAh07iQAc7a7TTAQAAmwMAAA4AAAAAAAAAAQAg&#10;AAAAJQEAAGRycy9lMm9Eb2MueG1sUEsFBgAAAAAGAAYAWQEAAGoFAAAAAA==&#10;">
                <v:fill on="f" focussize="0,0"/>
                <v:stroke color="#000000" joinstyle="round"/>
                <v:imagedata o:title=""/>
                <o:lock v:ext="edit" aspectratio="f"/>
              </v:line>
            </w:pict>
          </mc:Fallback>
        </mc:AlternateContent>
      </w:r>
      <w:r>
        <w:rPr>
          <w:rFonts w:hint="eastAsia" w:ascii="仿宋" w:hAnsi="仿宋" w:eastAsia="仿宋"/>
          <w:sz w:val="21"/>
          <w:szCs w:val="21"/>
        </w:rPr>
        <w:t>某供应商询价最终报价得分</w:t>
      </w:r>
      <w:r>
        <w:rPr>
          <w:rFonts w:ascii="仿宋" w:hAnsi="仿宋" w:eastAsia="仿宋"/>
          <w:sz w:val="21"/>
          <w:szCs w:val="21"/>
        </w:rPr>
        <w:t xml:space="preserve">  </w:t>
      </w:r>
      <w:r>
        <w:rPr>
          <w:rFonts w:hint="eastAsia" w:ascii="仿宋" w:hAnsi="仿宋" w:eastAsia="仿宋"/>
          <w:sz w:val="21"/>
          <w:szCs w:val="21"/>
        </w:rPr>
        <w:t>＝</w:t>
      </w:r>
      <w:r>
        <w:rPr>
          <w:rFonts w:ascii="仿宋" w:hAnsi="仿宋" w:eastAsia="仿宋"/>
          <w:sz w:val="21"/>
          <w:szCs w:val="21"/>
        </w:rPr>
        <w:t xml:space="preserve">                      </w:t>
      </w:r>
      <w:r>
        <w:rPr>
          <w:rFonts w:hint="eastAsia" w:ascii="仿宋" w:hAnsi="仿宋" w:eastAsia="仿宋"/>
          <w:sz w:val="21"/>
          <w:szCs w:val="21"/>
        </w:rPr>
        <w:t>×3</w:t>
      </w:r>
      <w:r>
        <w:rPr>
          <w:rFonts w:ascii="仿宋" w:hAnsi="仿宋" w:eastAsia="仿宋"/>
          <w:sz w:val="21"/>
          <w:szCs w:val="21"/>
        </w:rPr>
        <w:t>0</w:t>
      </w:r>
      <w:r>
        <w:rPr>
          <w:rFonts w:hint="eastAsia" w:ascii="仿宋" w:hAnsi="仿宋" w:eastAsia="仿宋"/>
          <w:sz w:val="21"/>
          <w:szCs w:val="21"/>
        </w:rPr>
        <w:t>分</w:t>
      </w:r>
    </w:p>
    <w:p>
      <w:pPr>
        <w:spacing w:line="440" w:lineRule="exact"/>
        <w:ind w:firstLine="420" w:firstLineChars="200"/>
        <w:rPr>
          <w:rFonts w:ascii="仿宋" w:hAnsi="仿宋" w:eastAsia="仿宋"/>
          <w:sz w:val="24"/>
        </w:rPr>
      </w:pPr>
      <w:r>
        <w:rPr>
          <w:rFonts w:ascii="仿宋" w:hAnsi="仿宋" w:eastAsia="仿宋" w:cs="宋体"/>
          <w:szCs w:val="21"/>
        </w:rPr>
        <w:t xml:space="preserve">                   　          </w:t>
      </w:r>
      <w:r>
        <w:rPr>
          <w:rFonts w:hint="eastAsia" w:ascii="仿宋" w:hAnsi="仿宋" w:eastAsia="仿宋" w:cs="宋体"/>
          <w:szCs w:val="21"/>
        </w:rPr>
        <w:t>某供应商评标价</w:t>
      </w:r>
    </w:p>
    <w:p>
      <w:pPr>
        <w:snapToGrid w:val="0"/>
        <w:spacing w:line="600" w:lineRule="exact"/>
        <w:rPr>
          <w:rFonts w:ascii="仿宋" w:hAnsi="仿宋" w:eastAsia="仿宋" w:cs="宋体"/>
          <w:sz w:val="32"/>
          <w:szCs w:val="32"/>
        </w:rPr>
      </w:pPr>
      <w:r>
        <w:rPr>
          <w:rFonts w:hint="eastAsia" w:ascii="仿宋" w:hAnsi="仿宋" w:eastAsia="仿宋" w:cs="宋体"/>
          <w:b/>
          <w:bCs/>
          <w:sz w:val="32"/>
          <w:szCs w:val="32"/>
        </w:rPr>
        <w:t>1</w:t>
      </w:r>
      <w:r>
        <w:rPr>
          <w:rFonts w:ascii="仿宋" w:hAnsi="仿宋" w:eastAsia="仿宋" w:cs="宋体"/>
          <w:b/>
          <w:bCs/>
          <w:sz w:val="32"/>
          <w:szCs w:val="32"/>
        </w:rPr>
        <w:t>.2.2技术分50分</w:t>
      </w:r>
    </w:p>
    <w:p>
      <w:pPr>
        <w:snapToGrid w:val="0"/>
        <w:spacing w:line="600" w:lineRule="exact"/>
        <w:ind w:firstLine="640" w:firstLineChars="200"/>
        <w:rPr>
          <w:rFonts w:ascii="仿宋" w:hAnsi="仿宋" w:eastAsia="仿宋" w:cs="宋体"/>
          <w:sz w:val="32"/>
          <w:szCs w:val="32"/>
        </w:rPr>
      </w:pPr>
      <w:r>
        <w:rPr>
          <w:rFonts w:ascii="仿宋" w:hAnsi="仿宋" w:eastAsia="仿宋" w:cs="宋体"/>
          <w:sz w:val="32"/>
          <w:szCs w:val="32"/>
        </w:rPr>
        <w:t>（1）出版方案分（满分12分）</w:t>
      </w:r>
    </w:p>
    <w:p>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一般(4分):方案定位简单，方案进度和工作计划粗略，服务组织机构和人员配备一般，采用的纸张质量、印刷和版面设计、排版等质量相对一般，基本满足实施要求，成果响应深度一般。</w:t>
      </w:r>
    </w:p>
    <w:p>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良好(8分):方案定位较明确，方案进度和工作计划合理比较紧凑，服务组织机构和人员配备良好，采用的纸张质量、印刷和版面设计、排版等质量相对良好，良好满足实施要求，成果响应有深度。</w:t>
      </w:r>
    </w:p>
    <w:p>
      <w:pPr>
        <w:snapToGrid w:val="0"/>
        <w:spacing w:line="600" w:lineRule="exact"/>
        <w:ind w:firstLine="640" w:firstLineChars="200"/>
        <w:rPr>
          <w:rFonts w:ascii="仿宋" w:hAnsi="仿宋" w:eastAsia="仿宋" w:cs="宋体"/>
          <w:sz w:val="32"/>
          <w:szCs w:val="32"/>
        </w:rPr>
      </w:pPr>
      <w:r>
        <w:rPr>
          <w:rFonts w:ascii="仿宋" w:hAnsi="仿宋" w:eastAsia="仿宋" w:cs="宋体"/>
          <w:sz w:val="32"/>
          <w:szCs w:val="32"/>
        </w:rPr>
        <w:t>优秀(12分)，熟悉项目情况，方案定位明确，方案进度和工作计划合理紧凑，服务组织机构和人员配备优秀，采用的纸张质量、印刷和版面设计、排版等质量相对优秀，实施流程优秀，成果响应科学合理有深度，契合采购单位的要求。</w:t>
      </w:r>
    </w:p>
    <w:p>
      <w:pPr>
        <w:snapToGrid w:val="0"/>
        <w:spacing w:line="600" w:lineRule="exact"/>
        <w:ind w:firstLine="640" w:firstLineChars="200"/>
        <w:rPr>
          <w:rFonts w:ascii="仿宋" w:hAnsi="仿宋" w:eastAsia="仿宋" w:cs="宋体"/>
          <w:sz w:val="32"/>
          <w:szCs w:val="32"/>
        </w:rPr>
      </w:pPr>
      <w:r>
        <w:rPr>
          <w:rFonts w:ascii="仿宋" w:hAnsi="仿宋" w:eastAsia="仿宋" w:cs="宋体"/>
          <w:sz w:val="32"/>
          <w:szCs w:val="32"/>
        </w:rPr>
        <w:t>（2）配送方案分（满分9分）</w:t>
      </w:r>
    </w:p>
    <w:p>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一般(3分)：询价供应商的包装、装运、配送设备、人员、实施质量保障能力一般。</w:t>
      </w:r>
    </w:p>
    <w:p>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良好(6分)：询价供应商的包装、装运、配送设备、人员、实施质量保障能力良好。</w:t>
      </w:r>
    </w:p>
    <w:p>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优秀(9分)：询价供应商的包装、装运、配送设备、人员、实施质量保障能力优秀。</w:t>
      </w:r>
    </w:p>
    <w:p>
      <w:pPr>
        <w:snapToGrid w:val="0"/>
        <w:spacing w:line="600" w:lineRule="exact"/>
        <w:ind w:firstLine="640" w:firstLineChars="200"/>
        <w:rPr>
          <w:rFonts w:ascii="仿宋" w:hAnsi="仿宋" w:eastAsia="仿宋" w:cs="宋体"/>
          <w:sz w:val="32"/>
          <w:szCs w:val="32"/>
        </w:rPr>
      </w:pPr>
      <w:r>
        <w:rPr>
          <w:rFonts w:ascii="仿宋" w:hAnsi="仿宋" w:eastAsia="仿宋" w:cs="宋体"/>
          <w:sz w:val="32"/>
          <w:szCs w:val="32"/>
        </w:rPr>
        <w:t>（3）服务方案分（满分18分）</w:t>
      </w:r>
    </w:p>
    <w:p>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一般(6分)：根据询价供应商的服务方案，从整体服务承诺、组织实施、本地化服务、更换有质量问题印制品的时间、设计、排版时间及交付等方面，综合评定为一般。</w:t>
      </w:r>
    </w:p>
    <w:p>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良好(12分)：根据询价供应商的服务方案，从整体服务承诺、组织实施、本地化服务、更换有质量问题印制品的时间、设计、排版时间及交付等方面，综合评定为良好。</w:t>
      </w:r>
    </w:p>
    <w:p>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优秀(18分)：根据询价供应商的服务方案，从整体服务承诺、组织实施、本地化服务、更换有质量问题印制品的时间、设计、排版时间及交付等方面，综合评定为优秀。</w:t>
      </w:r>
    </w:p>
    <w:p>
      <w:pPr>
        <w:snapToGrid w:val="0"/>
        <w:spacing w:line="600" w:lineRule="exact"/>
        <w:ind w:firstLine="480" w:firstLineChars="150"/>
        <w:rPr>
          <w:rFonts w:ascii="仿宋" w:hAnsi="仿宋" w:eastAsia="仿宋" w:cs="宋体"/>
          <w:sz w:val="32"/>
          <w:szCs w:val="32"/>
        </w:rPr>
      </w:pPr>
      <w:r>
        <w:rPr>
          <w:rFonts w:ascii="仿宋" w:hAnsi="仿宋" w:eastAsia="仿宋" w:cs="宋体"/>
          <w:sz w:val="32"/>
          <w:szCs w:val="32"/>
        </w:rPr>
        <w:t>（4）投入的技术力量分（满分11分）</w:t>
      </w:r>
    </w:p>
    <w:p>
      <w:pPr>
        <w:snapToGrid w:val="0"/>
        <w:spacing w:line="600" w:lineRule="exact"/>
        <w:ind w:firstLine="640" w:firstLineChars="200"/>
        <w:rPr>
          <w:rFonts w:ascii="仿宋" w:hAnsi="仿宋" w:eastAsia="仿宋" w:cs="宋体"/>
          <w:sz w:val="32"/>
          <w:szCs w:val="32"/>
        </w:rPr>
      </w:pPr>
      <w:r>
        <w:rPr>
          <w:rFonts w:ascii="仿宋" w:hAnsi="仿宋" w:eastAsia="仿宋" w:cs="宋体"/>
          <w:sz w:val="32"/>
          <w:szCs w:val="32"/>
        </w:rPr>
        <w:t>拟投入的项目实施人员具备出版系列副高级或高级职称的每1人得2分，具有出版系列中级职称的每1人得1分，最多加11分。（项目实施人员须为供应商本单位人员，响应文件中提供项目实施人员一览表及职称证书材料，复印件加盖供应商单位公章）</w:t>
      </w:r>
      <w:r>
        <w:rPr>
          <w:rFonts w:hint="eastAsia" w:ascii="仿宋" w:hAnsi="仿宋" w:eastAsia="仿宋" w:cs="宋体"/>
          <w:sz w:val="32"/>
          <w:szCs w:val="32"/>
        </w:rPr>
        <w:t>。</w:t>
      </w:r>
    </w:p>
    <w:p>
      <w:pPr>
        <w:snapToGrid w:val="0"/>
        <w:spacing w:line="600" w:lineRule="exact"/>
        <w:rPr>
          <w:rFonts w:ascii="仿宋" w:hAnsi="仿宋" w:eastAsia="仿宋" w:cs="宋体"/>
          <w:sz w:val="32"/>
          <w:szCs w:val="32"/>
        </w:rPr>
      </w:pPr>
      <w:r>
        <w:rPr>
          <w:rFonts w:hint="eastAsia" w:ascii="仿宋" w:hAnsi="仿宋" w:eastAsia="仿宋" w:cs="宋体"/>
          <w:b/>
          <w:bCs/>
          <w:sz w:val="32"/>
          <w:szCs w:val="32"/>
        </w:rPr>
        <w:t>1</w:t>
      </w:r>
      <w:r>
        <w:rPr>
          <w:rFonts w:ascii="仿宋" w:hAnsi="仿宋" w:eastAsia="仿宋" w:cs="宋体"/>
          <w:b/>
          <w:bCs/>
          <w:sz w:val="32"/>
          <w:szCs w:val="32"/>
        </w:rPr>
        <w:t>.2.3商务分20分</w:t>
      </w:r>
    </w:p>
    <w:p>
      <w:pPr>
        <w:snapToGrid w:val="0"/>
        <w:spacing w:line="600" w:lineRule="exact"/>
        <w:ind w:firstLine="320" w:firstLineChars="100"/>
        <w:rPr>
          <w:rFonts w:ascii="仿宋" w:hAnsi="仿宋" w:eastAsia="仿宋" w:cs="宋体"/>
          <w:sz w:val="32"/>
          <w:szCs w:val="32"/>
        </w:rPr>
      </w:pPr>
      <w:r>
        <w:rPr>
          <w:rFonts w:ascii="仿宋" w:hAnsi="仿宋" w:eastAsia="仿宋" w:cs="宋体"/>
          <w:sz w:val="32"/>
          <w:szCs w:val="32"/>
        </w:rPr>
        <w:t>（1）信誉分（ 满分10分）</w:t>
      </w:r>
    </w:p>
    <w:p>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1）2015年1月1日以来供应商出版的图书选题获得国家级奖项的，每有一项得3分；省级奖项的得2分；市级奖项的得1分；本项内容最多加6分。（提供有效证明文件或获奖证书复印件并加盖供应商单位公章）</w:t>
      </w:r>
    </w:p>
    <w:p>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2）供应商策划的图书选题入选国家“十三五”规划的，每有一项得2分，本项内容最多加4分。（提供有效证明复印件并加盖供应商单位公章）</w:t>
      </w:r>
    </w:p>
    <w:p>
      <w:pPr>
        <w:snapToGrid w:val="0"/>
        <w:spacing w:line="600" w:lineRule="exact"/>
        <w:ind w:firstLine="320" w:firstLineChars="100"/>
        <w:rPr>
          <w:rFonts w:ascii="仿宋" w:hAnsi="仿宋" w:eastAsia="仿宋" w:cs="宋体"/>
          <w:sz w:val="32"/>
          <w:szCs w:val="32"/>
        </w:rPr>
      </w:pPr>
      <w:r>
        <w:rPr>
          <w:rFonts w:ascii="仿宋" w:hAnsi="仿宋" w:eastAsia="仿宋" w:cs="宋体"/>
          <w:sz w:val="32"/>
          <w:szCs w:val="32"/>
        </w:rPr>
        <w:t>（2）业绩分（ 满分10分）</w:t>
      </w:r>
    </w:p>
    <w:p>
      <w:pPr>
        <w:snapToGrid w:val="0"/>
        <w:spacing w:line="600" w:lineRule="exact"/>
        <w:ind w:firstLine="480" w:firstLineChars="150"/>
        <w:rPr>
          <w:rFonts w:ascii="仿宋" w:hAnsi="仿宋" w:eastAsia="仿宋"/>
          <w:sz w:val="32"/>
          <w:szCs w:val="32"/>
        </w:rPr>
      </w:pPr>
      <w:r>
        <w:rPr>
          <w:rFonts w:ascii="仿宋" w:hAnsi="仿宋" w:eastAsia="仿宋" w:cs="宋体"/>
          <w:sz w:val="32"/>
          <w:szCs w:val="32"/>
        </w:rPr>
        <w:t>供应商自2016年1月1日以来完成类似出版项目，每项得2分，满分10分（响应文件中提供成交通知书或合同复印件并加盖供应商单位公章）</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DC3"/>
    <w:rsid w:val="001B7FD2"/>
    <w:rsid w:val="00290D20"/>
    <w:rsid w:val="005E54EF"/>
    <w:rsid w:val="005E6DC3"/>
    <w:rsid w:val="00675AA9"/>
    <w:rsid w:val="00734F30"/>
    <w:rsid w:val="00816425"/>
    <w:rsid w:val="00B202CF"/>
    <w:rsid w:val="00B41386"/>
    <w:rsid w:val="00BD5AA2"/>
    <w:rsid w:val="00CB7398"/>
    <w:rsid w:val="00CD2C46"/>
    <w:rsid w:val="00F4091B"/>
    <w:rsid w:val="2F2D4946"/>
    <w:rsid w:val="352A4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Body Text Indent"/>
    <w:basedOn w:val="1"/>
    <w:link w:val="7"/>
    <w:qFormat/>
    <w:uiPriority w:val="0"/>
    <w:pPr>
      <w:spacing w:line="200" w:lineRule="exact"/>
      <w:ind w:firstLine="301"/>
    </w:pPr>
    <w:rPr>
      <w:rFonts w:ascii="宋体" w:hAnsi="Courier New"/>
      <w:spacing w:val="-4"/>
      <w:sz w:val="18"/>
      <w:szCs w:val="20"/>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5"/>
    <w:link w:val="3"/>
    <w:qFormat/>
    <w:uiPriority w:val="0"/>
    <w:rPr>
      <w:rFonts w:ascii="宋体" w:hAnsi="Courier New" w:eastAsia="宋体" w:cs="Times New Roman"/>
      <w:spacing w:val="-4"/>
      <w:kern w:val="0"/>
      <w:sz w:val="18"/>
      <w:szCs w:val="20"/>
    </w:rPr>
  </w:style>
  <w:style w:type="character" w:customStyle="1" w:styleId="8">
    <w:name w:val="页脚 Char"/>
    <w:basedOn w:val="5"/>
    <w:link w:val="2"/>
    <w:qFormat/>
    <w:uiPriority w:val="99"/>
    <w:rPr>
      <w:rFonts w:ascii="Times New Roman" w:hAnsi="Times New Roman" w:eastAsia="宋体" w:cs="Times New Roman"/>
      <w:kern w:val="0"/>
      <w:sz w:val="18"/>
      <w:szCs w:val="18"/>
    </w:rPr>
  </w:style>
  <w:style w:type="character" w:customStyle="1" w:styleId="9">
    <w:name w:val="页眉 Char"/>
    <w:basedOn w:val="5"/>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248</Words>
  <Characters>1420</Characters>
  <Lines>11</Lines>
  <Paragraphs>3</Paragraphs>
  <TotalTime>26</TotalTime>
  <ScaleCrop>false</ScaleCrop>
  <LinksUpToDate>false</LinksUpToDate>
  <CharactersWithSpaces>1665</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2022-05-05T07:31:00Z</dcterms:created>
  <dc:creator>lenovo</dc:creator>
  <cp:lastModifiedBy>招一鸣</cp:lastModifiedBy>
  <dcterms:modified xsi:type="dcterms:W3CDTF">2022-06-21T07:35:02Z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