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0"/>
        </w:tabs>
        <w:spacing w:line="600" w:lineRule="exact"/>
        <w:rPr>
          <w:rFonts w:ascii="宋体" w:hAnsi="宋体" w:cs="宋体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>附件2</w:t>
      </w:r>
    </w:p>
    <w:p>
      <w:pPr>
        <w:pStyle w:val="2"/>
        <w:numPr>
          <w:ilvl w:val="0"/>
          <w:numId w:val="0"/>
        </w:numPr>
        <w:ind w:left="360"/>
      </w:pPr>
    </w:p>
    <w:p>
      <w:pPr>
        <w:widowControl w:val="0"/>
        <w:tabs>
          <w:tab w:val="left" w:pos="0"/>
        </w:tabs>
        <w:spacing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广西壮族自治区柳州生态环境监测中心</w:t>
      </w:r>
    </w:p>
    <w:p>
      <w:pPr>
        <w:widowControl w:val="0"/>
        <w:tabs>
          <w:tab w:val="left" w:pos="0"/>
        </w:tabs>
        <w:spacing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2022年</w:t>
      </w:r>
      <w:r>
        <w:rPr>
          <w:rFonts w:ascii="方正小标宋_GBK" w:hAnsi="方正小标宋_GBK" w:eastAsia="方正小标宋_GBK" w:cs="方正小标宋_GBK"/>
          <w:sz w:val="44"/>
          <w:szCs w:val="44"/>
        </w:rPr>
        <w:t>公务用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车</w:t>
      </w:r>
      <w:r>
        <w:rPr>
          <w:rFonts w:ascii="方正小标宋_GBK" w:hAnsi="方正小标宋_GBK" w:eastAsia="方正小标宋_GBK" w:cs="方正小标宋_GBK"/>
          <w:sz w:val="44"/>
          <w:szCs w:val="44"/>
        </w:rPr>
        <w:t>租赁服务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评分办法</w:t>
      </w:r>
    </w:p>
    <w:p>
      <w:pPr>
        <w:spacing w:line="580" w:lineRule="exact"/>
        <w:ind w:firstLine="649" w:firstLineChars="202"/>
        <w:rPr>
          <w:rFonts w:ascii="仿宋_GB2312" w:hAnsi="Times New Roman" w:eastAsia="仿宋_GB2312"/>
          <w:b/>
          <w:sz w:val="32"/>
          <w:szCs w:val="32"/>
        </w:rPr>
      </w:pPr>
      <w:r>
        <w:rPr>
          <w:rFonts w:hint="eastAsia" w:ascii="仿宋_GB2312" w:hAnsi="Times New Roman" w:eastAsia="仿宋_GB2312"/>
          <w:b/>
          <w:sz w:val="32"/>
          <w:szCs w:val="32"/>
        </w:rPr>
        <w:t>一、</w:t>
      </w:r>
      <w:r>
        <w:rPr>
          <w:rFonts w:hint="eastAsia" w:ascii="黑体" w:hAnsi="黑体" w:eastAsia="黑体"/>
          <w:b/>
          <w:sz w:val="32"/>
          <w:szCs w:val="32"/>
        </w:rPr>
        <w:t>评审原则</w:t>
      </w:r>
    </w:p>
    <w:p>
      <w:pPr>
        <w:spacing w:line="580" w:lineRule="exact"/>
        <w:ind w:firstLine="320" w:firstLineChars="100"/>
        <w:rPr>
          <w:rFonts w:ascii="宋体" w:hAnsi="宋体"/>
          <w:bCs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>（一）</w:t>
      </w:r>
      <w:r>
        <w:rPr>
          <w:rFonts w:hint="eastAsia" w:ascii="宋体" w:hAnsi="宋体"/>
          <w:bCs/>
          <w:sz w:val="32"/>
          <w:szCs w:val="32"/>
        </w:rPr>
        <w:t>评审小组构成：本项目的评审小组由采购单位组建，成员从中心专家库中抽取，成员人数为三人以上（含三人）单数。</w:t>
      </w:r>
    </w:p>
    <w:p>
      <w:pPr>
        <w:spacing w:line="580" w:lineRule="exact"/>
        <w:ind w:firstLine="320" w:firstLineChars="100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（二）评审依据：本评审办法和供应商提交的响应文件。</w:t>
      </w:r>
    </w:p>
    <w:p>
      <w:pPr>
        <w:spacing w:line="580" w:lineRule="exact"/>
        <w:ind w:firstLine="320" w:firstLineChars="100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（三）评审方法：综合评分法。</w:t>
      </w:r>
    </w:p>
    <w:p>
      <w:pPr>
        <w:spacing w:line="580" w:lineRule="exact"/>
        <w:ind w:firstLine="649" w:firstLineChars="202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仿宋_GB2312" w:hAnsi="Times New Roman" w:eastAsia="仿宋_GB2312"/>
          <w:b/>
          <w:sz w:val="32"/>
          <w:szCs w:val="32"/>
        </w:rPr>
        <w:t>二、</w:t>
      </w:r>
      <w:r>
        <w:rPr>
          <w:rFonts w:hint="eastAsia" w:ascii="黑体" w:hAnsi="黑体" w:eastAsia="黑体"/>
          <w:b/>
          <w:sz w:val="32"/>
          <w:szCs w:val="32"/>
        </w:rPr>
        <w:t>评审方法</w:t>
      </w:r>
    </w:p>
    <w:p>
      <w:pPr>
        <w:spacing w:line="580" w:lineRule="exact"/>
        <w:ind w:firstLine="646" w:firstLineChars="202"/>
        <w:rPr>
          <w:color w:val="000000" w:themeColor="text1"/>
        </w:rPr>
      </w:pPr>
      <w:r>
        <w:rPr>
          <w:rFonts w:hint="eastAsia" w:ascii="宋体" w:hAnsi="宋体"/>
          <w:bCs/>
          <w:sz w:val="32"/>
          <w:szCs w:val="32"/>
        </w:rPr>
        <w:t>供应商提交的报价及资格材料经初核符合要求的进入详评，评审小组将按本</w:t>
      </w:r>
      <w:r>
        <w:rPr>
          <w:rFonts w:hint="eastAsia" w:ascii="宋体" w:hAnsi="宋体"/>
          <w:bCs/>
          <w:color w:val="000000" w:themeColor="text1"/>
          <w:sz w:val="32"/>
          <w:szCs w:val="32"/>
        </w:rPr>
        <w:t>评审办法和响应文件为评定依据，采用百分制综合评分法，评分细则如下表所示：</w:t>
      </w:r>
      <w:bookmarkStart w:id="0" w:name="_GoBack"/>
      <w:bookmarkEnd w:id="0"/>
    </w:p>
    <w:tbl>
      <w:tblPr>
        <w:tblStyle w:val="9"/>
        <w:tblW w:w="9135" w:type="dxa"/>
        <w:tblInd w:w="-1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035"/>
        <w:gridCol w:w="1875"/>
        <w:gridCol w:w="4695"/>
        <w:gridCol w:w="9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序号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项目</w:t>
            </w:r>
            <w:r>
              <w:rPr>
                <w:rStyle w:val="12"/>
                <w:rFonts w:hint="eastAsia"/>
              </w:rPr>
              <w:t>（满分100分）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评分细则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车型和数量（满分40分）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5座越野车、6-7座商用车</w:t>
            </w:r>
          </w:p>
        </w:tc>
        <w:tc>
          <w:tcPr>
            <w:tcW w:w="469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10辆以上得20分；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5-10辆得10分；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5辆以下得0分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11-13座中型客车、17-21座中巴车、21座以上大巴车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1辆以上得5分；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无此类车型得0分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E100/E200/五菱宏光mini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10辆以上得15分；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5-10辆得10分；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5辆以下得5分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车辆</w:t>
            </w:r>
          </w:p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年限（满分18分）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5座越野车</w:t>
            </w:r>
          </w:p>
        </w:tc>
        <w:tc>
          <w:tcPr>
            <w:tcW w:w="469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该车型数量50%（含）以上在3年以内得3分；</w:t>
            </w:r>
          </w:p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该车型数量50%（含）以上在3-6年以内得1分；不满足以上得0分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6-7座商用车</w:t>
            </w:r>
          </w:p>
        </w:tc>
        <w:tc>
          <w:tcPr>
            <w:tcW w:w="469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11-13座中型客车</w:t>
            </w:r>
          </w:p>
        </w:tc>
        <w:tc>
          <w:tcPr>
            <w:tcW w:w="469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17-21座中巴车</w:t>
            </w:r>
          </w:p>
        </w:tc>
        <w:tc>
          <w:tcPr>
            <w:tcW w:w="469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5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line="440" w:lineRule="exact"/>
              <w:ind w:firstLine="0" w:firstLineChars="0"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21座以上大巴车</w:t>
            </w:r>
          </w:p>
        </w:tc>
        <w:tc>
          <w:tcPr>
            <w:tcW w:w="469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E100/E200</w:t>
            </w:r>
          </w:p>
        </w:tc>
        <w:tc>
          <w:tcPr>
            <w:tcW w:w="469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车辆</w:t>
            </w:r>
          </w:p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险种（满分12分）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5座越野车</w:t>
            </w:r>
          </w:p>
        </w:tc>
        <w:tc>
          <w:tcPr>
            <w:tcW w:w="469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（1）每座位险10万以上保费得1分；</w:t>
            </w:r>
          </w:p>
          <w:p>
            <w:pPr>
              <w:spacing w:line="360" w:lineRule="exact"/>
              <w:jc w:val="center"/>
              <w:textAlignment w:val="center"/>
              <w:rPr>
                <w:rFonts w:hint="eastAsia"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（2）第三方责任险不低于100万得1分；</w:t>
            </w:r>
          </w:p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（3）无以上险种得0分；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6-7座商用车</w:t>
            </w:r>
          </w:p>
        </w:tc>
        <w:tc>
          <w:tcPr>
            <w:tcW w:w="469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11-13座中型客车</w:t>
            </w:r>
          </w:p>
        </w:tc>
        <w:tc>
          <w:tcPr>
            <w:tcW w:w="469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17-21座中巴车</w:t>
            </w:r>
          </w:p>
        </w:tc>
        <w:tc>
          <w:tcPr>
            <w:tcW w:w="469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line="440" w:lineRule="exact"/>
              <w:ind w:firstLine="0" w:firstLineChars="0"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21座以上大巴车</w:t>
            </w:r>
          </w:p>
        </w:tc>
        <w:tc>
          <w:tcPr>
            <w:tcW w:w="469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5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E100/E200</w:t>
            </w:r>
          </w:p>
        </w:tc>
        <w:tc>
          <w:tcPr>
            <w:tcW w:w="469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所需</w:t>
            </w:r>
          </w:p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费用（满分10分）</w:t>
            </w:r>
          </w:p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5座轿车</w:t>
            </w:r>
          </w:p>
        </w:tc>
        <w:tc>
          <w:tcPr>
            <w:tcW w:w="46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将该车型出行计费方式的费用报价分别进行排名，费用最低的排名第一、第二、第三以此类推分别得分10、8、6、4、2、0分；最后以所有车型排名分值累计总分，分值最高的排名第一、第二、第三以此类推分别得分10、8、6、4、2、0分。（参考附表）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5座越野车</w:t>
            </w:r>
          </w:p>
        </w:tc>
        <w:tc>
          <w:tcPr>
            <w:tcW w:w="4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6-7座商用车</w:t>
            </w:r>
          </w:p>
        </w:tc>
        <w:tc>
          <w:tcPr>
            <w:tcW w:w="4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11-13座中型客车</w:t>
            </w:r>
          </w:p>
        </w:tc>
        <w:tc>
          <w:tcPr>
            <w:tcW w:w="4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17-21座中巴车</w:t>
            </w:r>
          </w:p>
        </w:tc>
        <w:tc>
          <w:tcPr>
            <w:tcW w:w="4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line="440" w:lineRule="exact"/>
              <w:ind w:firstLine="0" w:firstLineChars="0"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21座以上大巴车</w:t>
            </w:r>
          </w:p>
        </w:tc>
        <w:tc>
          <w:tcPr>
            <w:tcW w:w="4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5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E100/E200</w:t>
            </w:r>
          </w:p>
        </w:tc>
        <w:tc>
          <w:tcPr>
            <w:tcW w:w="469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响应时间（满分6分）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15分钟以内得6分；</w:t>
            </w:r>
          </w:p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15-20分钟得4分；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20-30分钟得2分；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30分钟以上得0分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29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附加分（满分8分）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公司管理制度（包括司机管理）较为完善得1分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91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通过质量管理体系认证得1分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91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具备安全标准生产化企业资格认证得1分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91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维修保养情况好得1分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91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服务态度好（例如是否免费送车接车）得1分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91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车辆定损500元以下维修免责得2分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91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所有新能源车续航能力200公里以上得1分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是否可以追踪行车路线（满分2分）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Style w:val="12"/>
                <w:rFonts w:hint="eastAsia"/>
              </w:rPr>
              <w:t>具备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追踪行车路线得2分</w:t>
            </w:r>
          </w:p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不满足得0分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 xml:space="preserve">加油卡是否配备“一车一卡”（满分2分） 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加油卡配备“一车一卡”且承诺卡内余额500元以上得2分</w:t>
            </w:r>
          </w:p>
          <w:p>
            <w:pPr>
              <w:pStyle w:val="16"/>
              <w:spacing w:line="280" w:lineRule="exact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</w:rPr>
              <w:t>不满足得0分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9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ETC是否配备“一车一卡” （满分2分）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ETC配备“一车一卡”得2分</w:t>
            </w:r>
          </w:p>
          <w:p>
            <w:pPr>
              <w:spacing w:line="28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不满足得0分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合计得分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</w:tbl>
    <w:p>
      <w:pPr>
        <w:spacing w:line="580" w:lineRule="exact"/>
        <w:ind w:firstLine="649" w:firstLineChars="202"/>
        <w:rPr>
          <w:rFonts w:ascii="黑体" w:hAnsi="黑体" w:eastAsia="黑体"/>
          <w:b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b/>
          <w:color w:val="000000" w:themeColor="text1"/>
          <w:sz w:val="32"/>
          <w:szCs w:val="32"/>
        </w:rPr>
        <w:t>三、成交候选人推荐原则</w:t>
      </w:r>
    </w:p>
    <w:p>
      <w:pPr>
        <w:tabs>
          <w:tab w:val="left" w:pos="0"/>
        </w:tabs>
        <w:spacing w:line="580" w:lineRule="exact"/>
        <w:ind w:firstLine="640" w:firstLineChars="200"/>
        <w:jc w:val="left"/>
        <w:rPr>
          <w:rFonts w:ascii="宋体" w:hAnsi="宋体" w:cs="仿宋"/>
          <w:color w:val="000000" w:themeColor="text1"/>
          <w:sz w:val="32"/>
          <w:szCs w:val="32"/>
        </w:rPr>
      </w:pPr>
      <w:r>
        <w:rPr>
          <w:rFonts w:hint="eastAsia" w:ascii="宋体" w:hAnsi="宋体" w:cs="仿宋"/>
          <w:color w:val="000000" w:themeColor="text1"/>
          <w:sz w:val="32"/>
          <w:szCs w:val="32"/>
        </w:rPr>
        <w:t>根据供应商提交的材料进行综合评分，按照得分由高到低顺序得出成交候选人名单，评审得分相同的，按照5座越野车出行计费方式评分相加进行排序；如再出现评分相同的情况，则以6-7座商务车出行计费方式评分相加进行排序。成交原则为排序顺位第一的报价人，如报价人因不可抗力主动提出不能履行合同，顺位选择第二排名的报价人，以此类推。</w:t>
      </w:r>
    </w:p>
    <w:p>
      <w:pPr>
        <w:pStyle w:val="5"/>
        <w:rPr>
          <w:color w:val="000000" w:themeColor="text1"/>
          <w:sz w:val="32"/>
          <w:szCs w:val="32"/>
        </w:rPr>
      </w:pPr>
    </w:p>
    <w:p>
      <w:pPr>
        <w:pStyle w:val="5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附表：</w:t>
      </w:r>
    </w:p>
    <w:p>
      <w:pPr>
        <w:pStyle w:val="5"/>
        <w:jc w:val="center"/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pacing w:val="-6"/>
          <w:sz w:val="32"/>
          <w:szCs w:val="32"/>
        </w:rPr>
        <w:t>主要使用车型用车报价表（模板）</w:t>
      </w:r>
    </w:p>
    <w:p>
      <w:pPr>
        <w:pStyle w:val="5"/>
        <w:rPr>
          <w:color w:val="000000" w:themeColor="text1"/>
          <w:szCs w:val="21"/>
        </w:rPr>
      </w:pPr>
    </w:p>
    <w:tbl>
      <w:tblPr>
        <w:tblStyle w:val="10"/>
        <w:tblW w:w="9285" w:type="dxa"/>
        <w:tblInd w:w="-3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2000"/>
        <w:gridCol w:w="706"/>
        <w:gridCol w:w="744"/>
        <w:gridCol w:w="780"/>
        <w:gridCol w:w="1110"/>
        <w:gridCol w:w="990"/>
        <w:gridCol w:w="1020"/>
        <w:gridCol w:w="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pacing w:val="-6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pacing w:val="-6"/>
                <w:szCs w:val="21"/>
              </w:rPr>
              <w:t>类别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pacing w:val="-6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pacing w:val="-6"/>
                <w:szCs w:val="21"/>
              </w:rPr>
              <w:t>出行计费方式</w:t>
            </w:r>
          </w:p>
        </w:tc>
        <w:tc>
          <w:tcPr>
            <w:tcW w:w="70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pacing w:val="-6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5座轿车</w:t>
            </w:r>
          </w:p>
        </w:tc>
        <w:tc>
          <w:tcPr>
            <w:tcW w:w="74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pacing w:val="-6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pacing w:val="-6"/>
                <w:szCs w:val="21"/>
              </w:rPr>
              <w:t>5座越野车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pacing w:val="-6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pacing w:val="-6"/>
                <w:szCs w:val="21"/>
              </w:rPr>
              <w:t>6-7座商务车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pacing w:val="-6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pacing w:val="-6"/>
                <w:szCs w:val="21"/>
              </w:rPr>
              <w:t>11-13座中型客车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pacing w:val="-6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pacing w:val="-6"/>
                <w:szCs w:val="21"/>
              </w:rPr>
              <w:t>17-21座中巴车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pacing w:val="-6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pacing w:val="-6"/>
                <w:szCs w:val="21"/>
              </w:rPr>
              <w:t>21座以上大巴车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pacing w:val="-6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pacing w:val="-6"/>
                <w:szCs w:val="21"/>
              </w:rPr>
              <w:t>E100/E200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pacing w:val="-6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pacing w:val="-6"/>
                <w:szCs w:val="21"/>
              </w:rPr>
              <w:t>车辆租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pacing w:val="-6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pacing w:val="-6"/>
                <w:szCs w:val="21"/>
              </w:rPr>
              <w:t>赁费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pacing w:val="-6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pacing w:val="-6"/>
                <w:szCs w:val="21"/>
              </w:rPr>
              <w:t>日租半天（元/辆/半天，5小时内用车）</w:t>
            </w:r>
          </w:p>
        </w:tc>
        <w:tc>
          <w:tcPr>
            <w:tcW w:w="70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pacing w:val="-6"/>
                <w:szCs w:val="21"/>
              </w:rPr>
            </w:pPr>
          </w:p>
        </w:tc>
        <w:tc>
          <w:tcPr>
            <w:tcW w:w="74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pacing w:val="-6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pacing w:val="-6"/>
                <w:szCs w:val="21"/>
              </w:rPr>
              <w:t>　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pacing w:val="-6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pacing w:val="-6"/>
                <w:szCs w:val="21"/>
              </w:rPr>
              <w:t>　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pacing w:val="-6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pacing w:val="-6"/>
                <w:szCs w:val="21"/>
              </w:rPr>
              <w:t>　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pacing w:val="-6"/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pacing w:val="-6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25" w:type="dxa"/>
            <w:vMerge w:val="continue"/>
          </w:tcPr>
          <w:p>
            <w:pPr>
              <w:pStyle w:val="5"/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pacing w:val="-6"/>
                <w:sz w:val="21"/>
                <w:szCs w:val="21"/>
              </w:rPr>
            </w:pPr>
          </w:p>
        </w:tc>
        <w:tc>
          <w:tcPr>
            <w:tcW w:w="200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pacing w:val="-6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pacing w:val="-6"/>
                <w:szCs w:val="21"/>
              </w:rPr>
              <w:t>日租全天（元/辆/天，24小时内用车）</w:t>
            </w:r>
          </w:p>
        </w:tc>
        <w:tc>
          <w:tcPr>
            <w:tcW w:w="70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pacing w:val="-6"/>
                <w:szCs w:val="21"/>
              </w:rPr>
            </w:pPr>
          </w:p>
        </w:tc>
        <w:tc>
          <w:tcPr>
            <w:tcW w:w="74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pacing w:val="-6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pacing w:val="-6"/>
                <w:szCs w:val="21"/>
              </w:rPr>
              <w:t>　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spacing w:val="-6"/>
                <w:szCs w:val="21"/>
              </w:rPr>
            </w:pPr>
            <w:r>
              <w:rPr>
                <w:rFonts w:hint="eastAsia" w:ascii="宋体" w:hAnsi="宋体" w:cs="宋体"/>
                <w:spacing w:val="-6"/>
                <w:szCs w:val="21"/>
              </w:rPr>
              <w:t>　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spacing w:val="-6"/>
                <w:szCs w:val="21"/>
              </w:rPr>
            </w:pPr>
            <w:r>
              <w:rPr>
                <w:rFonts w:hint="eastAsia" w:ascii="宋体" w:hAnsi="宋体" w:cs="宋体"/>
                <w:spacing w:val="-6"/>
                <w:szCs w:val="21"/>
              </w:rPr>
              <w:t>　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spacing w:val="-6"/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spacing w:val="-6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restart"/>
          </w:tcPr>
          <w:p>
            <w:pPr>
              <w:pStyle w:val="5"/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pacing w:val="-6"/>
                <w:sz w:val="21"/>
                <w:szCs w:val="21"/>
              </w:rPr>
              <w:t>驾驶员</w:t>
            </w:r>
          </w:p>
          <w:p>
            <w:pPr>
              <w:pStyle w:val="5"/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pacing w:val="-6"/>
                <w:sz w:val="21"/>
                <w:szCs w:val="21"/>
              </w:rPr>
              <w:t>服务费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pacing w:val="-6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pacing w:val="-6"/>
                <w:szCs w:val="21"/>
              </w:rPr>
              <w:t>需住宿（元/人/天）</w:t>
            </w:r>
          </w:p>
        </w:tc>
        <w:tc>
          <w:tcPr>
            <w:tcW w:w="70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pacing w:val="-6"/>
                <w:szCs w:val="21"/>
              </w:rPr>
            </w:pPr>
          </w:p>
        </w:tc>
        <w:tc>
          <w:tcPr>
            <w:tcW w:w="74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pacing w:val="-6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spacing w:val="-6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spacing w:val="-6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spacing w:val="-6"/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spacing w:val="-6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</w:tcPr>
          <w:p>
            <w:pPr>
              <w:pStyle w:val="5"/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pacing w:val="-6"/>
                <w:sz w:val="21"/>
                <w:szCs w:val="21"/>
              </w:rPr>
            </w:pPr>
          </w:p>
        </w:tc>
        <w:tc>
          <w:tcPr>
            <w:tcW w:w="200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pacing w:val="-6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pacing w:val="-6"/>
                <w:szCs w:val="21"/>
              </w:rPr>
              <w:t>不需住宿（元/人/天）</w:t>
            </w:r>
          </w:p>
        </w:tc>
        <w:tc>
          <w:tcPr>
            <w:tcW w:w="70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pacing w:val="-6"/>
                <w:szCs w:val="21"/>
              </w:rPr>
            </w:pPr>
          </w:p>
        </w:tc>
        <w:tc>
          <w:tcPr>
            <w:tcW w:w="74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pacing w:val="-6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spacing w:val="-6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spacing w:val="-6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spacing w:val="-6"/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spacing w:val="-6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5" w:type="dxa"/>
            <w:gridSpan w:val="9"/>
          </w:tcPr>
          <w:p>
            <w:pPr>
              <w:widowControl/>
              <w:spacing w:line="440" w:lineRule="exact"/>
              <w:ind w:firstLine="396" w:firstLineChars="200"/>
              <w:jc w:val="left"/>
              <w:rPr>
                <w:rFonts w:ascii="宋体" w:hAnsi="宋体" w:cs="宋体"/>
                <w:spacing w:val="-6"/>
                <w:szCs w:val="21"/>
              </w:rPr>
            </w:pPr>
            <w:r>
              <w:rPr>
                <w:rFonts w:hint="eastAsia" w:ascii="宋体" w:hAnsi="宋体" w:cs="宋体"/>
                <w:spacing w:val="-6"/>
                <w:szCs w:val="21"/>
              </w:rPr>
              <w:t>备注：</w:t>
            </w:r>
          </w:p>
          <w:p>
            <w:pPr>
              <w:widowControl/>
              <w:spacing w:line="440" w:lineRule="exact"/>
              <w:ind w:firstLine="396" w:firstLineChars="200"/>
              <w:jc w:val="left"/>
              <w:rPr>
                <w:rFonts w:ascii="宋体" w:hAnsi="宋体" w:cs="宋体"/>
                <w:spacing w:val="-6"/>
                <w:szCs w:val="21"/>
              </w:rPr>
            </w:pPr>
            <w:r>
              <w:rPr>
                <w:rFonts w:hint="eastAsia" w:ascii="宋体" w:hAnsi="宋体" w:cs="宋体"/>
                <w:spacing w:val="-6"/>
                <w:szCs w:val="21"/>
              </w:rPr>
              <w:t>以上价格包含</w:t>
            </w:r>
            <w:r>
              <w:rPr>
                <w:rFonts w:hint="eastAsia" w:ascii="宋体" w:hAnsi="宋体"/>
                <w:kern w:val="0"/>
              </w:rPr>
              <w:t>车辆租赁费</w:t>
            </w:r>
            <w:r>
              <w:rPr>
                <w:rFonts w:hint="eastAsia" w:ascii="宋体" w:hAnsi="宋体"/>
                <w:color w:val="000000" w:themeColor="text1"/>
                <w:kern w:val="0"/>
              </w:rPr>
              <w:t>（包含但不限于车辆租赁费、日常保养维修费及清洁费、年审费、保险相关税金等费用）及驾驶员服务费（包含但不限于劳务费、餐</w:t>
            </w:r>
            <w:r>
              <w:rPr>
                <w:rFonts w:hint="eastAsia" w:ascii="宋体" w:hAnsi="宋体"/>
                <w:kern w:val="0"/>
              </w:rPr>
              <w:t>费、过夜住宿费等，分需住宿和不需住宿两类费用报价），燃油费、过路过桥费按实际结算。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FF0000"/>
                <w:spacing w:val="-6"/>
                <w:szCs w:val="21"/>
              </w:rPr>
              <w:t xml:space="preserve"> </w:t>
            </w:r>
          </w:p>
        </w:tc>
      </w:tr>
    </w:tbl>
    <w:p>
      <w:pPr>
        <w:tabs>
          <w:tab w:val="left" w:pos="0"/>
        </w:tabs>
        <w:spacing w:line="580" w:lineRule="exact"/>
        <w:jc w:val="left"/>
        <w:rPr>
          <w:rFonts w:ascii="宋体" w:hAnsi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′....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A5FB3F"/>
    <w:multiLevelType w:val="singleLevel"/>
    <w:tmpl w:val="94A5FB3F"/>
    <w:lvl w:ilvl="0" w:tentative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ZmYTc5MjFlY2VhOTYwYmU0ZGY3ODU1Y2ExMTI3ZTgifQ=="/>
  </w:docVars>
  <w:rsids>
    <w:rsidRoot w:val="4232087A"/>
    <w:rsid w:val="00020C17"/>
    <w:rsid w:val="00037072"/>
    <w:rsid w:val="00040135"/>
    <w:rsid w:val="00074111"/>
    <w:rsid w:val="0007450D"/>
    <w:rsid w:val="00084353"/>
    <w:rsid w:val="00116D9E"/>
    <w:rsid w:val="001A53AE"/>
    <w:rsid w:val="001B0639"/>
    <w:rsid w:val="00207027"/>
    <w:rsid w:val="002079B4"/>
    <w:rsid w:val="002304D5"/>
    <w:rsid w:val="00240727"/>
    <w:rsid w:val="002476C7"/>
    <w:rsid w:val="002621AB"/>
    <w:rsid w:val="002716F5"/>
    <w:rsid w:val="002A3BAD"/>
    <w:rsid w:val="002A60C3"/>
    <w:rsid w:val="002B76F4"/>
    <w:rsid w:val="002D3756"/>
    <w:rsid w:val="00345FD2"/>
    <w:rsid w:val="0037337D"/>
    <w:rsid w:val="0043521B"/>
    <w:rsid w:val="004362E1"/>
    <w:rsid w:val="004607EA"/>
    <w:rsid w:val="00461C59"/>
    <w:rsid w:val="004B4524"/>
    <w:rsid w:val="005254F7"/>
    <w:rsid w:val="00531794"/>
    <w:rsid w:val="00581E6C"/>
    <w:rsid w:val="005F6668"/>
    <w:rsid w:val="006112E0"/>
    <w:rsid w:val="00643E94"/>
    <w:rsid w:val="00656692"/>
    <w:rsid w:val="00681A21"/>
    <w:rsid w:val="00691F12"/>
    <w:rsid w:val="006D584D"/>
    <w:rsid w:val="006F7052"/>
    <w:rsid w:val="00716500"/>
    <w:rsid w:val="007270CA"/>
    <w:rsid w:val="00737709"/>
    <w:rsid w:val="00757FD7"/>
    <w:rsid w:val="00773E75"/>
    <w:rsid w:val="00774B2D"/>
    <w:rsid w:val="00781404"/>
    <w:rsid w:val="007D5A4A"/>
    <w:rsid w:val="007F4F3E"/>
    <w:rsid w:val="008002C7"/>
    <w:rsid w:val="00806685"/>
    <w:rsid w:val="00813988"/>
    <w:rsid w:val="008351C2"/>
    <w:rsid w:val="00841974"/>
    <w:rsid w:val="008501F4"/>
    <w:rsid w:val="008676E9"/>
    <w:rsid w:val="00873320"/>
    <w:rsid w:val="008C7225"/>
    <w:rsid w:val="009378BB"/>
    <w:rsid w:val="009407F9"/>
    <w:rsid w:val="0094254E"/>
    <w:rsid w:val="0097040B"/>
    <w:rsid w:val="009833BD"/>
    <w:rsid w:val="00991D31"/>
    <w:rsid w:val="00A02900"/>
    <w:rsid w:val="00A22EEC"/>
    <w:rsid w:val="00A348AB"/>
    <w:rsid w:val="00A34C21"/>
    <w:rsid w:val="00AB47DC"/>
    <w:rsid w:val="00B07E17"/>
    <w:rsid w:val="00B546BE"/>
    <w:rsid w:val="00B73D75"/>
    <w:rsid w:val="00B83FCC"/>
    <w:rsid w:val="00BC7DF7"/>
    <w:rsid w:val="00C3013F"/>
    <w:rsid w:val="00C34967"/>
    <w:rsid w:val="00C435E4"/>
    <w:rsid w:val="00C467CB"/>
    <w:rsid w:val="00C72923"/>
    <w:rsid w:val="00CB548E"/>
    <w:rsid w:val="00CC5841"/>
    <w:rsid w:val="00CD6F02"/>
    <w:rsid w:val="00CE1AF3"/>
    <w:rsid w:val="00CE30B4"/>
    <w:rsid w:val="00CF6EAA"/>
    <w:rsid w:val="00D25999"/>
    <w:rsid w:val="00D3328C"/>
    <w:rsid w:val="00D626BA"/>
    <w:rsid w:val="00D74BF2"/>
    <w:rsid w:val="00D836F1"/>
    <w:rsid w:val="00DE7688"/>
    <w:rsid w:val="00E11882"/>
    <w:rsid w:val="00E4630B"/>
    <w:rsid w:val="00E7133E"/>
    <w:rsid w:val="00E76D7F"/>
    <w:rsid w:val="00EC1CC7"/>
    <w:rsid w:val="00ED6C20"/>
    <w:rsid w:val="00F26AFD"/>
    <w:rsid w:val="00F840C4"/>
    <w:rsid w:val="00FC02A3"/>
    <w:rsid w:val="018F5EA5"/>
    <w:rsid w:val="01F63497"/>
    <w:rsid w:val="02B73A84"/>
    <w:rsid w:val="04525749"/>
    <w:rsid w:val="047D5350"/>
    <w:rsid w:val="04E730BA"/>
    <w:rsid w:val="05C64F7D"/>
    <w:rsid w:val="064D031E"/>
    <w:rsid w:val="07C05DAF"/>
    <w:rsid w:val="07DF5041"/>
    <w:rsid w:val="080C328C"/>
    <w:rsid w:val="08563874"/>
    <w:rsid w:val="094E4164"/>
    <w:rsid w:val="0A6A18D2"/>
    <w:rsid w:val="0A725B0A"/>
    <w:rsid w:val="0AF456DE"/>
    <w:rsid w:val="0B1A2499"/>
    <w:rsid w:val="0B9E4951"/>
    <w:rsid w:val="0BBA7B8D"/>
    <w:rsid w:val="0C594591"/>
    <w:rsid w:val="0CCA23F2"/>
    <w:rsid w:val="0DB842B2"/>
    <w:rsid w:val="0E615FCF"/>
    <w:rsid w:val="0FFA4CB5"/>
    <w:rsid w:val="10763935"/>
    <w:rsid w:val="10FC24C4"/>
    <w:rsid w:val="111B1C70"/>
    <w:rsid w:val="115434E7"/>
    <w:rsid w:val="11C74A96"/>
    <w:rsid w:val="12D90CAF"/>
    <w:rsid w:val="149D1BED"/>
    <w:rsid w:val="14EA500F"/>
    <w:rsid w:val="15510276"/>
    <w:rsid w:val="17114321"/>
    <w:rsid w:val="18E87B91"/>
    <w:rsid w:val="19C97374"/>
    <w:rsid w:val="1A5535CB"/>
    <w:rsid w:val="1AC44C94"/>
    <w:rsid w:val="1BC15A93"/>
    <w:rsid w:val="1C1B16DA"/>
    <w:rsid w:val="1C245657"/>
    <w:rsid w:val="1D960321"/>
    <w:rsid w:val="1EDB1AF2"/>
    <w:rsid w:val="1EEF5CE0"/>
    <w:rsid w:val="1FC35BE9"/>
    <w:rsid w:val="20CC17D1"/>
    <w:rsid w:val="21601BC3"/>
    <w:rsid w:val="216A6B16"/>
    <w:rsid w:val="21E45B73"/>
    <w:rsid w:val="22175E3B"/>
    <w:rsid w:val="24026BF0"/>
    <w:rsid w:val="247C6AD0"/>
    <w:rsid w:val="26EB0620"/>
    <w:rsid w:val="277A5994"/>
    <w:rsid w:val="289E594E"/>
    <w:rsid w:val="292A7D76"/>
    <w:rsid w:val="299667A8"/>
    <w:rsid w:val="29F9372C"/>
    <w:rsid w:val="2A2C2EFF"/>
    <w:rsid w:val="2B2153EC"/>
    <w:rsid w:val="2B8D0EF6"/>
    <w:rsid w:val="2C2A5925"/>
    <w:rsid w:val="2E5B33F8"/>
    <w:rsid w:val="2E6C3DCE"/>
    <w:rsid w:val="2F290A0C"/>
    <w:rsid w:val="2F9125DC"/>
    <w:rsid w:val="2F9E1945"/>
    <w:rsid w:val="2FE1334B"/>
    <w:rsid w:val="30990AC6"/>
    <w:rsid w:val="30B24833"/>
    <w:rsid w:val="315D1434"/>
    <w:rsid w:val="33051AA3"/>
    <w:rsid w:val="3329355D"/>
    <w:rsid w:val="35316F99"/>
    <w:rsid w:val="369A27C3"/>
    <w:rsid w:val="374431B9"/>
    <w:rsid w:val="3913098E"/>
    <w:rsid w:val="39224A3E"/>
    <w:rsid w:val="3A9E7E0B"/>
    <w:rsid w:val="3D4F671B"/>
    <w:rsid w:val="3DCC61DE"/>
    <w:rsid w:val="3F2E47B2"/>
    <w:rsid w:val="40F83407"/>
    <w:rsid w:val="417C4F85"/>
    <w:rsid w:val="4232087A"/>
    <w:rsid w:val="425505F8"/>
    <w:rsid w:val="42B3465F"/>
    <w:rsid w:val="44B51B35"/>
    <w:rsid w:val="44BA6ECC"/>
    <w:rsid w:val="46F57933"/>
    <w:rsid w:val="473C6E6D"/>
    <w:rsid w:val="47CA3B61"/>
    <w:rsid w:val="48A661B1"/>
    <w:rsid w:val="49DB6799"/>
    <w:rsid w:val="4ABF153F"/>
    <w:rsid w:val="4AC82364"/>
    <w:rsid w:val="4BDF16EA"/>
    <w:rsid w:val="4C155C24"/>
    <w:rsid w:val="4C6B1F1E"/>
    <w:rsid w:val="4DBB37F2"/>
    <w:rsid w:val="4E7413B2"/>
    <w:rsid w:val="4EA57AE1"/>
    <w:rsid w:val="50576DF1"/>
    <w:rsid w:val="505F7E12"/>
    <w:rsid w:val="50681E36"/>
    <w:rsid w:val="53D0577F"/>
    <w:rsid w:val="567E3235"/>
    <w:rsid w:val="5691784B"/>
    <w:rsid w:val="5898113B"/>
    <w:rsid w:val="5A507D2E"/>
    <w:rsid w:val="5AAA215F"/>
    <w:rsid w:val="5B1B5499"/>
    <w:rsid w:val="5BCD1D5B"/>
    <w:rsid w:val="5C9E1B01"/>
    <w:rsid w:val="5D5E58F0"/>
    <w:rsid w:val="5DB160E7"/>
    <w:rsid w:val="5E7B231B"/>
    <w:rsid w:val="5E965386"/>
    <w:rsid w:val="5F0C1AF3"/>
    <w:rsid w:val="5F1E02AB"/>
    <w:rsid w:val="5FDB25AF"/>
    <w:rsid w:val="61A537FE"/>
    <w:rsid w:val="61AA481D"/>
    <w:rsid w:val="61E40E6A"/>
    <w:rsid w:val="62FD60F5"/>
    <w:rsid w:val="64845BF6"/>
    <w:rsid w:val="64CF183E"/>
    <w:rsid w:val="657F4838"/>
    <w:rsid w:val="66211849"/>
    <w:rsid w:val="66BB37B3"/>
    <w:rsid w:val="67904838"/>
    <w:rsid w:val="682E035D"/>
    <w:rsid w:val="685440AB"/>
    <w:rsid w:val="68571CE2"/>
    <w:rsid w:val="6A144C92"/>
    <w:rsid w:val="6A7D234E"/>
    <w:rsid w:val="6B4D704B"/>
    <w:rsid w:val="6C571D6D"/>
    <w:rsid w:val="6D4B414B"/>
    <w:rsid w:val="6D5412C8"/>
    <w:rsid w:val="6DB42B06"/>
    <w:rsid w:val="6DBF6A25"/>
    <w:rsid w:val="6FC97DD3"/>
    <w:rsid w:val="705525F5"/>
    <w:rsid w:val="7416523B"/>
    <w:rsid w:val="75E32E4E"/>
    <w:rsid w:val="7736382B"/>
    <w:rsid w:val="78BA764A"/>
    <w:rsid w:val="78D864B9"/>
    <w:rsid w:val="790448A3"/>
    <w:rsid w:val="7A267C9F"/>
    <w:rsid w:val="7A517C09"/>
    <w:rsid w:val="7A77362C"/>
    <w:rsid w:val="7C0041FC"/>
    <w:rsid w:val="7CE6131A"/>
    <w:rsid w:val="7D1A6930"/>
    <w:rsid w:val="7D40047B"/>
    <w:rsid w:val="7DD57572"/>
    <w:rsid w:val="7F0613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"/>
    <w:basedOn w:val="1"/>
    <w:qFormat/>
    <w:uiPriority w:val="0"/>
    <w:pPr>
      <w:numPr>
        <w:ilvl w:val="0"/>
        <w:numId w:val="1"/>
      </w:numPr>
    </w:pPr>
  </w:style>
  <w:style w:type="paragraph" w:styleId="3">
    <w:name w:val="annotation text"/>
    <w:basedOn w:val="1"/>
    <w:link w:val="18"/>
    <w:qFormat/>
    <w:uiPriority w:val="0"/>
    <w:pPr>
      <w:jc w:val="left"/>
    </w:pPr>
  </w:style>
  <w:style w:type="paragraph" w:styleId="4">
    <w:name w:val="Balloon Text"/>
    <w:basedOn w:val="1"/>
    <w:link w:val="20"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rFonts w:ascii="Times New Roman" w:hAnsi="Times New Roman"/>
      <w:sz w:val="24"/>
      <w:szCs w:val="24"/>
    </w:rPr>
  </w:style>
  <w:style w:type="paragraph" w:styleId="8">
    <w:name w:val="annotation subject"/>
    <w:basedOn w:val="3"/>
    <w:next w:val="3"/>
    <w:link w:val="19"/>
    <w:qFormat/>
    <w:uiPriority w:val="0"/>
    <w:rPr>
      <w:b/>
      <w:bCs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annotation reference"/>
    <w:basedOn w:val="11"/>
    <w:uiPriority w:val="0"/>
    <w:rPr>
      <w:sz w:val="21"/>
      <w:szCs w:val="21"/>
    </w:rPr>
  </w:style>
  <w:style w:type="character" w:customStyle="1" w:styleId="13">
    <w:name w:val="页眉 Char"/>
    <w:basedOn w:val="11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页脚 Char"/>
    <w:basedOn w:val="11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5">
    <w:name w:val="正文首行缩进 21"/>
    <w:basedOn w:val="1"/>
    <w:next w:val="7"/>
    <w:qFormat/>
    <w:uiPriority w:val="99"/>
    <w:pPr>
      <w:widowControl w:val="0"/>
      <w:ind w:left="200" w:leftChars="200" w:firstLine="200" w:firstLineChars="200"/>
    </w:pPr>
    <w:rPr>
      <w:rFonts w:ascii="宋体" w:hAnsi="宋体" w:cs="宋体"/>
      <w:color w:val="000000"/>
      <w:kern w:val="0"/>
      <w:szCs w:val="24"/>
    </w:rPr>
  </w:style>
  <w:style w:type="paragraph" w:customStyle="1" w:styleId="1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新宋体′...." w:hAnsi="Calibri" w:eastAsia="新宋体′...." w:cs="新宋体′...."/>
      <w:color w:val="000000"/>
      <w:sz w:val="24"/>
      <w:szCs w:val="24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批注文字 Char"/>
    <w:basedOn w:val="11"/>
    <w:link w:val="3"/>
    <w:qFormat/>
    <w:uiPriority w:val="0"/>
    <w:rPr>
      <w:rFonts w:ascii="Calibri" w:hAnsi="Calibri"/>
      <w:kern w:val="2"/>
      <w:sz w:val="21"/>
    </w:rPr>
  </w:style>
  <w:style w:type="character" w:customStyle="1" w:styleId="19">
    <w:name w:val="批注主题 Char"/>
    <w:basedOn w:val="18"/>
    <w:link w:val="8"/>
    <w:qFormat/>
    <w:uiPriority w:val="0"/>
    <w:rPr>
      <w:rFonts w:ascii="Calibri" w:hAnsi="Calibri"/>
      <w:b/>
      <w:bCs/>
      <w:kern w:val="2"/>
      <w:sz w:val="21"/>
    </w:rPr>
  </w:style>
  <w:style w:type="character" w:customStyle="1" w:styleId="20">
    <w:name w:val="批注框文本 Char"/>
    <w:basedOn w:val="11"/>
    <w:link w:val="4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4</Pages>
  <Words>1366</Words>
  <Characters>1520</Characters>
  <Lines>12</Lines>
  <Paragraphs>3</Paragraphs>
  <TotalTime>68</TotalTime>
  <ScaleCrop>false</ScaleCrop>
  <LinksUpToDate>false</LinksUpToDate>
  <CharactersWithSpaces>1530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2022-04-28T08:35:00Z</dcterms:created>
  <dc:creator>Administrator</dc:creator>
  <cp:lastModifiedBy>小骆</cp:lastModifiedBy>
  <cp:lastPrinted>2022-05-18T08:52:00Z</cp:lastPrinted>
  <dcterms:modified xsi:type="dcterms:W3CDTF">2022-06-22T07:42:12Z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5B5CA49D866549AAB63DE7FC6074EF89</vt:lpwstr>
  </property>
</Properties>
</file>