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黑体" w:hAnsi="黑体" w:eastAsia="黑体" w:cs="黑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highlight w:val="none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highlight w:val="none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highlight w:val="none"/>
          <w:lang w:val="en-US" w:eastAsia="zh-CN"/>
        </w:rPr>
        <w:t>综合评分办法</w:t>
      </w:r>
    </w:p>
    <w:bookmarkEnd w:id="0"/>
    <w:p>
      <w:pPr>
        <w:spacing w:line="300" w:lineRule="auto"/>
        <w:ind w:firstLine="426" w:firstLineChars="202"/>
        <w:rPr>
          <w:rFonts w:hint="eastAsia"/>
          <w:b/>
          <w:szCs w:val="21"/>
        </w:rPr>
      </w:pPr>
    </w:p>
    <w:p>
      <w:pPr>
        <w:spacing w:line="300" w:lineRule="auto"/>
        <w:ind w:firstLine="426" w:firstLineChars="202"/>
        <w:rPr>
          <w:rFonts w:hint="eastAsia"/>
          <w:b/>
          <w:szCs w:val="21"/>
        </w:rPr>
      </w:pPr>
    </w:p>
    <w:p>
      <w:pPr>
        <w:spacing w:line="300" w:lineRule="auto"/>
        <w:ind w:firstLine="646" w:firstLineChars="202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一、评审原则</w:t>
      </w:r>
    </w:p>
    <w:p>
      <w:pPr>
        <w:spacing w:line="300" w:lineRule="auto"/>
        <w:ind w:firstLine="646" w:firstLineChars="202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(一）评审小组构成：本项目的评审小组由采购单位组建，成员包含技术、经济等方面专业人员，成员人数为三人以上（含三人）单数。其中，技术、经济等方面的专家不得少于成员总数的三分之二。</w:t>
      </w:r>
    </w:p>
    <w:p>
      <w:pPr>
        <w:spacing w:line="300" w:lineRule="auto"/>
        <w:ind w:firstLine="646" w:firstLineChars="202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(二）评审依据：本评审办法和供应商提交的响应文件。</w:t>
      </w:r>
    </w:p>
    <w:p>
      <w:pPr>
        <w:spacing w:line="300" w:lineRule="auto"/>
        <w:ind w:firstLine="646" w:firstLineChars="202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(三）评审方法：综合评分法。</w:t>
      </w:r>
    </w:p>
    <w:p>
      <w:pPr>
        <w:spacing w:line="300" w:lineRule="auto"/>
        <w:ind w:firstLine="646" w:firstLineChars="202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二、评审方法</w:t>
      </w:r>
    </w:p>
    <w:p>
      <w:pPr>
        <w:spacing w:line="300" w:lineRule="auto"/>
        <w:ind w:firstLine="646" w:firstLineChars="202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供应商提交的报价及资格材料经初核符合要求的进入详评，评审小组将按本评审办法和响应文件为评定依据，采用百分制综合评分法：</w:t>
      </w:r>
    </w:p>
    <w:p>
      <w:pPr>
        <w:spacing w:line="300" w:lineRule="auto"/>
        <w:ind w:firstLine="646" w:firstLineChars="202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评分细则（按四舍五入取至百分位）：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8"/>
        <w:gridCol w:w="1425"/>
        <w:gridCol w:w="985"/>
        <w:gridCol w:w="5670"/>
        <w:gridCol w:w="12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tblHeader/>
          <w:jc w:val="center"/>
        </w:trPr>
        <w:tc>
          <w:tcPr>
            <w:tcW w:w="1853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序号</w:t>
            </w:r>
          </w:p>
        </w:tc>
        <w:tc>
          <w:tcPr>
            <w:tcW w:w="985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评分因素</w:t>
            </w:r>
          </w:p>
        </w:tc>
        <w:tc>
          <w:tcPr>
            <w:tcW w:w="567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评分标准</w:t>
            </w:r>
          </w:p>
        </w:tc>
        <w:tc>
          <w:tcPr>
            <w:tcW w:w="124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最高得分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428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1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价格部分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分）</w:t>
            </w:r>
          </w:p>
        </w:tc>
        <w:tc>
          <w:tcPr>
            <w:tcW w:w="9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投标报价</w:t>
            </w:r>
          </w:p>
        </w:tc>
        <w:tc>
          <w:tcPr>
            <w:tcW w:w="5670" w:type="dxa"/>
            <w:noWrap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价格得分=（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评标基准价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/投标报价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）×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10</w:t>
            </w:r>
          </w:p>
          <w:p>
            <w:pPr>
              <w:widowControl/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评标基准价为参加报价单位最低价格</w:t>
            </w:r>
          </w:p>
        </w:tc>
        <w:tc>
          <w:tcPr>
            <w:tcW w:w="1240" w:type="dxa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428" w:type="dxa"/>
            <w:vMerge w:val="restart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425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技术部分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（55分）</w:t>
            </w:r>
          </w:p>
        </w:tc>
        <w:tc>
          <w:tcPr>
            <w:tcW w:w="985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技术服务方案</w:t>
            </w:r>
          </w:p>
        </w:tc>
        <w:tc>
          <w:tcPr>
            <w:tcW w:w="56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一档（10分）：基本理解本项目的建设背景、目标、范围，基本把握本项目的技术重点、难点，提出了基本可行的测评方案。</w:t>
            </w:r>
          </w:p>
        </w:tc>
        <w:tc>
          <w:tcPr>
            <w:tcW w:w="1240" w:type="dxa"/>
            <w:vMerge w:val="restart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  <w:jc w:val="center"/>
        </w:trPr>
        <w:tc>
          <w:tcPr>
            <w:tcW w:w="428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425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985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56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二档（15分）：较准确理解本项目的建设背景、目标、范围，能够把握本项目的技术重点、难点，提出了比较可行的测评方案，需求分析具有针对性，技术方案与需求契合度良好。</w:t>
            </w:r>
          </w:p>
        </w:tc>
        <w:tc>
          <w:tcPr>
            <w:tcW w:w="124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  <w:jc w:val="center"/>
        </w:trPr>
        <w:tc>
          <w:tcPr>
            <w:tcW w:w="428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425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985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56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三档（20分）：完全准确理解本项目的建设背景、目标、范围，准确把握本项目的技术重点、难点，提出了详细、完善、全面可行的测评方案。能详细描述投入项目测评的主要内容、提供主要测评设备的型号、测评方法，提供的技术方案最大限度满足招标文件的系统需求，需求分析具有针对性，技术方案与需求契合度高。</w:t>
            </w:r>
          </w:p>
        </w:tc>
        <w:tc>
          <w:tcPr>
            <w:tcW w:w="124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  <w:jc w:val="center"/>
        </w:trPr>
        <w:tc>
          <w:tcPr>
            <w:tcW w:w="428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425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985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组织实施方案</w:t>
            </w:r>
          </w:p>
        </w:tc>
        <w:tc>
          <w:tcPr>
            <w:tcW w:w="56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60" w:firstLineChars="200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一档（10分）：项目实施方案基本满足采购招标要求，任务分工或进度安排基本可行，保障条件一般。</w:t>
            </w:r>
          </w:p>
        </w:tc>
        <w:tc>
          <w:tcPr>
            <w:tcW w:w="124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60" w:firstLineChars="200"/>
              <w:textAlignment w:val="auto"/>
              <w:rPr>
                <w:rFonts w:hint="default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  <w:jc w:val="center"/>
        </w:trPr>
        <w:tc>
          <w:tcPr>
            <w:tcW w:w="428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425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985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56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60" w:firstLineChars="200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二档（15分）：项目实施方案完全满足采购招标要求，任务分工或进度安排可行，保障条件比较充分，提供较为完善的项目实施组织办法及保障体系、实施进度。</w:t>
            </w:r>
          </w:p>
        </w:tc>
        <w:tc>
          <w:tcPr>
            <w:tcW w:w="124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60" w:firstLineChars="200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  <w:jc w:val="center"/>
        </w:trPr>
        <w:tc>
          <w:tcPr>
            <w:tcW w:w="428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425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985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56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60" w:firstLineChars="200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三档（20分）：项目实施方案完全满足采购招标要求，提供完善的实施方法及保障措施；提供完善的项目实施组织办法及保障体系、实施进度、项目管理制度，具有较完善的管理组织、项目实施规范和管理制度，有较完善的质量管理体系和安全保障措施。项目实施方案详实，具有详细而合理项目组织机构图、项目实施分工表。</w:t>
            </w:r>
          </w:p>
        </w:tc>
        <w:tc>
          <w:tcPr>
            <w:tcW w:w="124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60" w:firstLineChars="200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428" w:type="dxa"/>
            <w:vMerge w:val="continue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425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985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售后技术服务方案</w:t>
            </w:r>
          </w:p>
        </w:tc>
        <w:tc>
          <w:tcPr>
            <w:tcW w:w="56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60" w:firstLineChars="200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一档（5分）：提供有售后服务方案，方案一般的。</w:t>
            </w:r>
          </w:p>
        </w:tc>
        <w:tc>
          <w:tcPr>
            <w:tcW w:w="1240" w:type="dxa"/>
            <w:vMerge w:val="restar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60" w:firstLineChars="200"/>
              <w:textAlignment w:val="auto"/>
              <w:rPr>
                <w:rFonts w:hint="default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428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42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98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56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60" w:firstLineChars="200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二档（10分）：提供有售后服务方案，方案包含有应急保障方案、售后服务方案，方案可行、较好的。</w:t>
            </w:r>
          </w:p>
        </w:tc>
        <w:tc>
          <w:tcPr>
            <w:tcW w:w="124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60" w:firstLineChars="200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428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42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98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56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60" w:firstLineChars="200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三档（15分）：提供有售后服务方案，方案包含有人员培训、质量管理制度、项目实施流程、应急保障方案、售后服务方案，方案可行性强，具有本地化服务机构，指定专人作为项目联系人。</w:t>
            </w:r>
          </w:p>
        </w:tc>
        <w:tc>
          <w:tcPr>
            <w:tcW w:w="124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60" w:firstLineChars="200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428" w:type="dxa"/>
            <w:vMerge w:val="restart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425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商务部分（35份）</w:t>
            </w:r>
          </w:p>
        </w:tc>
        <w:tc>
          <w:tcPr>
            <w:tcW w:w="9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信誉业绩</w:t>
            </w:r>
          </w:p>
        </w:tc>
        <w:tc>
          <w:tcPr>
            <w:tcW w:w="56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60" w:firstLineChars="200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供应商具有网络安全等级保护项目案例，每提供一个等保测评项目案例得1分，满分2分；（加盖公章）。</w:t>
            </w:r>
          </w:p>
        </w:tc>
        <w:tc>
          <w:tcPr>
            <w:tcW w:w="124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60" w:firstLineChars="200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  <w:jc w:val="center"/>
        </w:trPr>
        <w:tc>
          <w:tcPr>
            <w:tcW w:w="428" w:type="dxa"/>
            <w:vMerge w:val="continue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425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985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单位资质</w:t>
            </w:r>
          </w:p>
        </w:tc>
        <w:tc>
          <w:tcPr>
            <w:tcW w:w="56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60" w:firstLineChars="200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供应商获得省级以上（含省级）质量技术监督部门颁发的检验检测机构资质认定CMA证书，提供资质证明（复印件加盖公章），得3分。</w:t>
            </w:r>
          </w:p>
        </w:tc>
        <w:tc>
          <w:tcPr>
            <w:tcW w:w="124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60" w:firstLineChars="200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28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425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985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56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60" w:firstLineChars="200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供应商获得省级及以上（含省级）科技类奖励科学技术进步奖，二等级每项5分，三等奖每项3分，满分5分（提供证书，复印件加盖公章）。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60" w:firstLineChars="200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28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425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985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56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60" w:firstLineChars="200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供应商具备省级以上（含省级）网信主管部门“关于开展网络安全相关技术工作”的委托， 提供证明材料（复印件加盖公章），得5分。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60" w:firstLineChars="200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28" w:type="dxa"/>
            <w:vMerge w:val="continue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425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98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56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60" w:firstLineChars="200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供应商参加并获得国家级信息安全竞赛奖项，每获得一个三等奖及以上奖项得2分。满分4分。（提供证书，复印件加盖公章）</w:t>
            </w:r>
          </w:p>
        </w:tc>
        <w:tc>
          <w:tcPr>
            <w:tcW w:w="124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60" w:firstLineChars="200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28" w:type="dxa"/>
            <w:vMerge w:val="continue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42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98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56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60" w:firstLineChars="200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供应商拟投入的人员具有国家涉密信息系统安全测评资格证书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zh-CN" w:eastAsia="zh-CN"/>
              </w:rPr>
              <w:t>，每人计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2分，满分6分（提供证书，复印件加盖公章）。</w:t>
            </w:r>
          </w:p>
        </w:tc>
        <w:tc>
          <w:tcPr>
            <w:tcW w:w="124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60" w:firstLineChars="200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28" w:type="dxa"/>
            <w:vMerge w:val="continue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42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98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56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60" w:firstLineChars="200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供应商拟投入项目负责人为高级测评师并具有高级职称，且通过了CISAW专业级认证，得5分（提供证书，复印件加盖公章）。</w:t>
            </w:r>
          </w:p>
        </w:tc>
        <w:tc>
          <w:tcPr>
            <w:tcW w:w="124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60" w:firstLineChars="200"/>
              <w:textAlignment w:val="auto"/>
              <w:rPr>
                <w:rFonts w:hint="default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28" w:type="dxa"/>
            <w:vMerge w:val="continue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42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98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56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60" w:firstLineChars="200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供应商拟投入的人员具有国家信息安全认证中心的（CISAW）信息安全保障人员认证证书,每提供1人计1分，满分5分</w:t>
            </w:r>
          </w:p>
        </w:tc>
        <w:tc>
          <w:tcPr>
            <w:tcW w:w="124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60" w:firstLineChars="200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8508" w:type="dxa"/>
            <w:gridSpan w:val="4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满分：</w:t>
            </w:r>
          </w:p>
        </w:tc>
        <w:tc>
          <w:tcPr>
            <w:tcW w:w="124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100</w:t>
            </w:r>
          </w:p>
        </w:tc>
      </w:tr>
    </w:tbl>
    <w:p>
      <w:pPr>
        <w:spacing w:line="300" w:lineRule="auto"/>
        <w:ind w:firstLine="646" w:firstLineChars="202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numPr>
          <w:ilvl w:val="0"/>
          <w:numId w:val="1"/>
        </w:numPr>
        <w:spacing w:line="300" w:lineRule="auto"/>
        <w:ind w:firstLine="646" w:firstLineChars="202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成交候选人推荐原则</w:t>
      </w:r>
    </w:p>
    <w:p>
      <w:pPr>
        <w:numPr>
          <w:ilvl w:val="0"/>
          <w:numId w:val="0"/>
        </w:numPr>
        <w:spacing w:line="300" w:lineRule="auto"/>
        <w:ind w:firstLine="640" w:firstLineChars="200"/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根据供应商提交的材料进行综合评分，按照得分由高到低顺序得出成交候选人名单，评审得分相同的，按照最后报价（不计算价格折扣）由低到高排序，评审得分且最后报价（不计算价格折扣）相同的，按照技术指标优劣排序。成交原则为排序顺位第一的供应商。如成交供应商因不可抗力提出不能履行合同，顺位选择第二排名的供应商，以此类推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D206EB1"/>
    <w:multiLevelType w:val="singleLevel"/>
    <w:tmpl w:val="BD206EB1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F95C6D"/>
    <w:rsid w:val="6EF9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1"/>
    <w:basedOn w:val="3"/>
    <w:qFormat/>
    <w:uiPriority w:val="0"/>
    <w:rPr>
      <w:szCs w:val="21"/>
    </w:rPr>
  </w:style>
  <w:style w:type="paragraph" w:styleId="3">
    <w:name w:val="Normal Indent"/>
    <w:basedOn w:val="1"/>
    <w:qFormat/>
    <w:uiPriority w:val="99"/>
    <w:pPr>
      <w:ind w:firstLine="420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2022-07-18T03:35:00Z</dcterms:created>
  <dc:creator>zeroy.</dc:creator>
  <cp:lastModifiedBy>zeroy.</cp:lastModifiedBy>
  <dcterms:modified xsi:type="dcterms:W3CDTF">2022-07-18T03:35:56Z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2052-11.1.0.11372</vt:lpwstr>
  </property>
  <property fmtid="{D5CDD505-2E9C-101B-9397-08002B2CF9AE}" pid="3" name="ICV">
    <vt:lpwstr>10F425D0D8D34E89A6465F83E64803B7</vt:lpwstr>
  </property>
</Properties>
</file>