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jc w:val="left"/>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eastAsia="zh-CN"/>
        </w:rPr>
        <w:t>件</w:t>
      </w:r>
      <w:r>
        <w:rPr>
          <w:rFonts w:hint="default" w:ascii="Times New Roman" w:hAnsi="Times New Roman" w:eastAsia="黑体" w:cs="Times New Roman"/>
          <w:sz w:val="32"/>
          <w:szCs w:val="32"/>
          <w:lang w:val="en-US" w:eastAsia="zh-CN"/>
        </w:rPr>
        <w:t>1</w:t>
      </w:r>
    </w:p>
    <w:p>
      <w:pPr>
        <w:pStyle w:val="2"/>
        <w:spacing w:line="520" w:lineRule="exact"/>
        <w:jc w:val="center"/>
        <w:rPr>
          <w:rFonts w:hint="default" w:ascii="Times New Roman" w:hAnsi="Times New Roman" w:eastAsia="方正小标宋_GBK" w:cs="Times New Roman"/>
          <w:b w:val="0"/>
          <w:bCs/>
          <w:lang w:eastAsia="zh-CN"/>
        </w:rPr>
      </w:pPr>
      <w:r>
        <w:rPr>
          <w:rFonts w:hint="default" w:ascii="Times New Roman" w:hAnsi="Times New Roman" w:eastAsia="方正小标宋_GBK" w:cs="Times New Roman"/>
          <w:b w:val="0"/>
          <w:bCs/>
          <w:lang w:eastAsia="zh-CN"/>
        </w:rPr>
        <w:t>商务</w:t>
      </w:r>
      <w:r>
        <w:rPr>
          <w:rFonts w:hint="default" w:ascii="Times New Roman" w:hAnsi="Times New Roman" w:eastAsia="方正小标宋_GBK" w:cs="Times New Roman"/>
          <w:b w:val="0"/>
          <w:bCs/>
        </w:rPr>
        <w:t>技术</w:t>
      </w:r>
      <w:r>
        <w:rPr>
          <w:rFonts w:hint="default" w:ascii="Times New Roman" w:hAnsi="Times New Roman" w:eastAsia="方正小标宋_GBK" w:cs="Times New Roman"/>
          <w:b w:val="0"/>
          <w:bCs/>
          <w:lang w:eastAsia="zh-CN"/>
        </w:rPr>
        <w:t>资格要求</w:t>
      </w:r>
    </w:p>
    <w:p>
      <w:pPr>
        <w:pStyle w:val="4"/>
        <w:keepNext w:val="0"/>
        <w:keepLines w:val="0"/>
        <w:pageBreakBefore w:val="0"/>
        <w:widowControl/>
        <w:kinsoku/>
        <w:wordWrap/>
        <w:overflowPunct/>
        <w:topLinePunct w:val="0"/>
        <w:autoSpaceDE/>
        <w:autoSpaceDN/>
        <w:bidi w:val="0"/>
        <w:adjustRightInd/>
        <w:snapToGrid/>
        <w:spacing w:line="520" w:lineRule="exact"/>
        <w:ind w:left="108" w:firstLine="640" w:firstLineChars="200"/>
        <w:textAlignment w:val="auto"/>
        <w:outlineLvl w:val="9"/>
        <w:rPr>
          <w:rFonts w:hint="default" w:ascii="Times New Roman" w:hAnsi="Times New Roman" w:eastAsia="黑体" w:cs="Times New Roman"/>
          <w:spacing w:val="6"/>
          <w:w w:val="105"/>
          <w:sz w:val="32"/>
        </w:rPr>
      </w:pPr>
      <w:r>
        <w:rPr>
          <w:rStyle w:val="9"/>
          <w:rFonts w:hint="default" w:ascii="Times New Roman" w:hAnsi="Times New Roman" w:cs="Times New Roman"/>
          <w:b w:val="0"/>
          <w:sz w:val="32"/>
          <w:lang w:eastAsia="zh-CN"/>
        </w:rPr>
        <w:t>一、</w:t>
      </w:r>
      <w:r>
        <w:rPr>
          <w:rStyle w:val="9"/>
          <w:rFonts w:hint="default" w:ascii="Times New Roman" w:hAnsi="Times New Roman" w:cs="Times New Roman"/>
          <w:b w:val="0"/>
          <w:sz w:val="32"/>
        </w:rPr>
        <w:t>技术服务要求</w:t>
      </w:r>
    </w:p>
    <w:p>
      <w:pPr>
        <w:tabs>
          <w:tab w:val="left" w:pos="0"/>
        </w:tabs>
        <w:spacing w:line="520" w:lineRule="exact"/>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w:t>
      </w:r>
      <w:r>
        <w:rPr>
          <w:rFonts w:hint="default" w:ascii="Times New Roman" w:hAnsi="Times New Roman" w:eastAsia="仿宋" w:cs="Times New Roman"/>
          <w:sz w:val="32"/>
          <w:lang w:eastAsia="zh-CN"/>
        </w:rPr>
        <w:t>一</w:t>
      </w:r>
      <w:r>
        <w:rPr>
          <w:rFonts w:hint="default" w:ascii="Times New Roman" w:hAnsi="Times New Roman" w:eastAsia="仿宋" w:cs="Times New Roman"/>
          <w:sz w:val="32"/>
        </w:rPr>
        <w:t>）采样范围及数量：我单位根据实际要求对采样点位、采样对象及采样量进行适当调整，增加幅度在10%内不再另外增加中标金额。实际采样点位及路线由我单位相关项目负责人与成交供应商共同商议，若采购内容有变更双方友好协商确定。</w:t>
      </w:r>
    </w:p>
    <w:p>
      <w:pPr>
        <w:tabs>
          <w:tab w:val="left" w:pos="0"/>
        </w:tabs>
        <w:spacing w:line="520" w:lineRule="exact"/>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w:t>
      </w:r>
      <w:r>
        <w:rPr>
          <w:rFonts w:hint="default" w:ascii="Times New Roman" w:hAnsi="Times New Roman" w:eastAsia="仿宋" w:cs="Times New Roman"/>
          <w:sz w:val="32"/>
          <w:lang w:eastAsia="zh-CN"/>
        </w:rPr>
        <w:t>二</w:t>
      </w:r>
      <w:r>
        <w:rPr>
          <w:rFonts w:hint="default" w:ascii="Times New Roman" w:hAnsi="Times New Roman" w:eastAsia="仿宋" w:cs="Times New Roman"/>
          <w:sz w:val="32"/>
        </w:rPr>
        <w:t>）具体采样内容详见表1，具体采样时间由我单位根据采样计划提前7天通知。</w:t>
      </w:r>
    </w:p>
    <w:p>
      <w:pPr>
        <w:tabs>
          <w:tab w:val="left" w:pos="0"/>
        </w:tabs>
        <w:spacing w:line="520" w:lineRule="exact"/>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w:t>
      </w:r>
      <w:r>
        <w:rPr>
          <w:rFonts w:hint="default" w:ascii="Times New Roman" w:hAnsi="Times New Roman" w:eastAsia="仿宋" w:cs="Times New Roman"/>
          <w:sz w:val="32"/>
          <w:lang w:eastAsia="zh-CN"/>
        </w:rPr>
        <w:t>三</w:t>
      </w:r>
      <w:r>
        <w:rPr>
          <w:rFonts w:hint="default" w:ascii="Times New Roman" w:hAnsi="Times New Roman" w:eastAsia="仿宋" w:cs="Times New Roman"/>
          <w:sz w:val="32"/>
        </w:rPr>
        <w:t>）样品保存及送样交接：样品采集后应及时冷冻保存（如需）并根据我单位要求指定时间内送达广西区辐射站（南宁市蓉茉大道80号）或防城港前沿站（防城港市防城区华美立家东侧约200米），运输过程应避免阳光直射，冷冻冷藏保存（如需），做好缓冲防护和防撞措施。样品送至指定地点后需与我单位人员完成样品交接手续后方可离开。</w:t>
      </w:r>
    </w:p>
    <w:p>
      <w:pPr>
        <w:tabs>
          <w:tab w:val="left" w:pos="0"/>
        </w:tabs>
        <w:spacing w:line="520" w:lineRule="exact"/>
        <w:ind w:firstLine="640" w:firstLineChars="200"/>
        <w:rPr>
          <w:rFonts w:hint="eastAsia" w:ascii="Times New Roman" w:hAnsi="Times New Roman" w:eastAsia="仿宋" w:cs="Times New Roman"/>
          <w:sz w:val="32"/>
          <w:lang w:eastAsia="zh-CN"/>
        </w:rPr>
      </w:pPr>
      <w:r>
        <w:rPr>
          <w:rFonts w:hint="eastAsia" w:ascii="Times New Roman" w:hAnsi="Times New Roman" w:eastAsia="仿宋" w:cs="Times New Roman"/>
          <w:sz w:val="32"/>
          <w:lang w:eastAsia="zh-CN"/>
        </w:rPr>
        <w:t>（四）成交后签订框架合同，根据实际供应情况支付合同款。</w:t>
      </w:r>
    </w:p>
    <w:p>
      <w:pPr>
        <w:pStyle w:val="4"/>
        <w:tabs>
          <w:tab w:val="left" w:pos="785"/>
        </w:tabs>
        <w:kinsoku w:val="0"/>
        <w:overflowPunct w:val="0"/>
        <w:spacing w:before="58"/>
        <w:ind w:left="12"/>
        <w:jc w:val="center"/>
        <w:rPr>
          <w:rFonts w:hint="default" w:ascii="Times New Roman" w:hAnsi="Times New Roman" w:eastAsia="黑体" w:cs="Times New Roman"/>
          <w:w w:val="105"/>
          <w:sz w:val="32"/>
        </w:rPr>
      </w:pPr>
    </w:p>
    <w:p>
      <w:pPr>
        <w:pStyle w:val="4"/>
        <w:tabs>
          <w:tab w:val="left" w:pos="785"/>
        </w:tabs>
        <w:kinsoku w:val="0"/>
        <w:overflowPunct w:val="0"/>
        <w:spacing w:before="58"/>
        <w:ind w:left="12"/>
        <w:jc w:val="center"/>
        <w:rPr>
          <w:rFonts w:hint="default" w:ascii="Times New Roman" w:hAnsi="Times New Roman" w:eastAsia="黑体" w:cs="Times New Roman"/>
          <w:w w:val="105"/>
          <w:sz w:val="32"/>
        </w:rPr>
      </w:pPr>
    </w:p>
    <w:p>
      <w:pPr>
        <w:pStyle w:val="4"/>
        <w:tabs>
          <w:tab w:val="left" w:pos="785"/>
        </w:tabs>
        <w:kinsoku w:val="0"/>
        <w:overflowPunct w:val="0"/>
        <w:spacing w:before="58"/>
        <w:ind w:left="12"/>
        <w:jc w:val="center"/>
        <w:rPr>
          <w:rFonts w:hint="default" w:ascii="Times New Roman" w:hAnsi="Times New Roman" w:eastAsia="黑体" w:cs="Times New Roman"/>
          <w:w w:val="105"/>
          <w:sz w:val="32"/>
        </w:rPr>
      </w:pPr>
    </w:p>
    <w:p>
      <w:pPr>
        <w:pStyle w:val="4"/>
        <w:tabs>
          <w:tab w:val="left" w:pos="785"/>
        </w:tabs>
        <w:kinsoku w:val="0"/>
        <w:overflowPunct w:val="0"/>
        <w:spacing w:before="58"/>
        <w:ind w:left="12"/>
        <w:jc w:val="center"/>
        <w:rPr>
          <w:rFonts w:hint="default" w:ascii="Times New Roman" w:hAnsi="Times New Roman" w:eastAsia="黑体" w:cs="Times New Roman"/>
          <w:w w:val="105"/>
          <w:sz w:val="32"/>
        </w:rPr>
      </w:pPr>
    </w:p>
    <w:p>
      <w:pPr>
        <w:pStyle w:val="4"/>
        <w:tabs>
          <w:tab w:val="left" w:pos="785"/>
        </w:tabs>
        <w:kinsoku w:val="0"/>
        <w:overflowPunct w:val="0"/>
        <w:spacing w:before="58"/>
        <w:ind w:left="12"/>
        <w:jc w:val="center"/>
        <w:rPr>
          <w:rFonts w:hint="default" w:ascii="Times New Roman" w:hAnsi="Times New Roman" w:eastAsia="黑体" w:cs="Times New Roman"/>
          <w:w w:val="105"/>
          <w:sz w:val="32"/>
        </w:rPr>
      </w:pPr>
    </w:p>
    <w:p>
      <w:pPr>
        <w:pStyle w:val="4"/>
        <w:tabs>
          <w:tab w:val="left" w:pos="785"/>
        </w:tabs>
        <w:kinsoku w:val="0"/>
        <w:overflowPunct w:val="0"/>
        <w:spacing w:before="58"/>
        <w:ind w:left="12"/>
        <w:jc w:val="center"/>
        <w:rPr>
          <w:rFonts w:hint="default" w:ascii="Times New Roman" w:hAnsi="Times New Roman" w:eastAsia="仿宋" w:cs="Times New Roman"/>
          <w:sz w:val="28"/>
        </w:rPr>
      </w:pPr>
      <w:r>
        <w:rPr>
          <w:rFonts w:hint="default" w:ascii="Times New Roman" w:hAnsi="Times New Roman" w:eastAsia="黑体" w:cs="Times New Roman"/>
          <w:w w:val="105"/>
          <w:sz w:val="32"/>
        </w:rPr>
        <w:t>表1</w:t>
      </w:r>
      <w:r>
        <w:rPr>
          <w:rFonts w:hint="default" w:ascii="Times New Roman" w:hAnsi="Times New Roman" w:eastAsia="黑体" w:cs="Times New Roman"/>
          <w:w w:val="105"/>
          <w:sz w:val="32"/>
        </w:rPr>
        <w:tab/>
      </w:r>
      <w:r>
        <w:rPr>
          <w:rStyle w:val="9"/>
          <w:rFonts w:hint="default" w:ascii="Times New Roman" w:hAnsi="Times New Roman" w:cs="Times New Roman"/>
          <w:b w:val="0"/>
          <w:sz w:val="32"/>
        </w:rPr>
        <w:t>项目采样内容</w:t>
      </w:r>
    </w:p>
    <w:tbl>
      <w:tblPr>
        <w:tblStyle w:val="8"/>
        <w:tblW w:w="852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1"/>
        <w:gridCol w:w="1836"/>
        <w:gridCol w:w="2832"/>
        <w:gridCol w:w="1545"/>
        <w:gridCol w:w="15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11" w:type="dxa"/>
            <w:vAlign w:val="center"/>
          </w:tcPr>
          <w:p>
            <w:pPr>
              <w:spacing w:line="300" w:lineRule="exact"/>
              <w:jc w:val="center"/>
              <w:rPr>
                <w:rFonts w:hint="default" w:ascii="Times New Roman" w:hAnsi="Times New Roman" w:eastAsia="仿宋" w:cs="Times New Roman"/>
                <w:b/>
                <w:sz w:val="22"/>
              </w:rPr>
            </w:pPr>
            <w:r>
              <w:rPr>
                <w:rFonts w:hint="default" w:ascii="Times New Roman" w:hAnsi="Times New Roman" w:eastAsia="仿宋" w:cs="Times New Roman"/>
                <w:b/>
                <w:sz w:val="22"/>
              </w:rPr>
              <w:t>序号</w:t>
            </w:r>
          </w:p>
        </w:tc>
        <w:tc>
          <w:tcPr>
            <w:tcW w:w="1836" w:type="dxa"/>
            <w:vAlign w:val="center"/>
          </w:tcPr>
          <w:p>
            <w:pPr>
              <w:spacing w:line="300" w:lineRule="exact"/>
              <w:jc w:val="center"/>
              <w:rPr>
                <w:rFonts w:hint="default" w:ascii="Times New Roman" w:hAnsi="Times New Roman" w:eastAsia="仿宋" w:cs="Times New Roman"/>
                <w:b/>
                <w:sz w:val="22"/>
              </w:rPr>
            </w:pPr>
            <w:r>
              <w:rPr>
                <w:rFonts w:hint="default" w:ascii="Times New Roman" w:hAnsi="Times New Roman" w:eastAsia="仿宋" w:cs="Times New Roman"/>
                <w:b/>
                <w:sz w:val="22"/>
              </w:rPr>
              <w:t>采样对象</w:t>
            </w:r>
          </w:p>
        </w:tc>
        <w:tc>
          <w:tcPr>
            <w:tcW w:w="2832" w:type="dxa"/>
            <w:vAlign w:val="center"/>
          </w:tcPr>
          <w:p>
            <w:pPr>
              <w:spacing w:line="300" w:lineRule="exact"/>
              <w:jc w:val="center"/>
              <w:rPr>
                <w:rFonts w:hint="default" w:ascii="Times New Roman" w:hAnsi="Times New Roman" w:eastAsia="仿宋" w:cs="Times New Roman"/>
                <w:b/>
                <w:sz w:val="22"/>
              </w:rPr>
            </w:pPr>
            <w:r>
              <w:rPr>
                <w:rFonts w:hint="default" w:ascii="Times New Roman" w:hAnsi="Times New Roman" w:eastAsia="仿宋" w:cs="Times New Roman"/>
                <w:b/>
                <w:sz w:val="22"/>
              </w:rPr>
              <w:t>采样点位</w:t>
            </w:r>
          </w:p>
        </w:tc>
        <w:tc>
          <w:tcPr>
            <w:tcW w:w="1545" w:type="dxa"/>
            <w:vAlign w:val="center"/>
          </w:tcPr>
          <w:p>
            <w:pPr>
              <w:spacing w:line="300" w:lineRule="exact"/>
              <w:jc w:val="center"/>
              <w:rPr>
                <w:rFonts w:hint="default" w:ascii="Times New Roman" w:hAnsi="Times New Roman" w:eastAsia="仿宋" w:cs="Times New Roman"/>
                <w:b/>
                <w:sz w:val="22"/>
              </w:rPr>
            </w:pPr>
            <w:r>
              <w:rPr>
                <w:rFonts w:hint="default" w:ascii="Times New Roman" w:hAnsi="Times New Roman" w:eastAsia="仿宋" w:cs="Times New Roman"/>
                <w:b/>
                <w:sz w:val="22"/>
              </w:rPr>
              <w:t>采样频次</w:t>
            </w:r>
          </w:p>
        </w:tc>
        <w:tc>
          <w:tcPr>
            <w:tcW w:w="1598" w:type="dxa"/>
            <w:vAlign w:val="center"/>
          </w:tcPr>
          <w:p>
            <w:pPr>
              <w:spacing w:line="300" w:lineRule="exact"/>
              <w:jc w:val="center"/>
              <w:rPr>
                <w:rFonts w:hint="default" w:ascii="Times New Roman" w:hAnsi="Times New Roman" w:eastAsia="仿宋" w:cs="Times New Roman"/>
                <w:b/>
                <w:sz w:val="22"/>
              </w:rPr>
            </w:pPr>
            <w:r>
              <w:rPr>
                <w:rFonts w:hint="default" w:ascii="Times New Roman" w:hAnsi="Times New Roman" w:eastAsia="仿宋" w:cs="Times New Roman"/>
                <w:b/>
                <w:sz w:val="22"/>
              </w:rPr>
              <w:t>单个点位</w:t>
            </w:r>
          </w:p>
          <w:p>
            <w:pPr>
              <w:spacing w:line="300" w:lineRule="exact"/>
              <w:jc w:val="center"/>
              <w:rPr>
                <w:rFonts w:hint="default" w:ascii="Times New Roman" w:hAnsi="Times New Roman" w:eastAsia="仿宋" w:cs="Times New Roman"/>
                <w:b/>
                <w:sz w:val="22"/>
              </w:rPr>
            </w:pPr>
            <w:r>
              <w:rPr>
                <w:rFonts w:hint="default" w:ascii="Times New Roman" w:hAnsi="Times New Roman" w:eastAsia="仿宋" w:cs="Times New Roman"/>
                <w:b/>
                <w:sz w:val="22"/>
              </w:rPr>
              <w:t>单次采样量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24" w:hRule="atLeast"/>
          <w:jc w:val="center"/>
        </w:trPr>
        <w:tc>
          <w:tcPr>
            <w:tcW w:w="711" w:type="dxa"/>
            <w:vMerge w:val="restart"/>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w:t>
            </w:r>
          </w:p>
        </w:tc>
        <w:tc>
          <w:tcPr>
            <w:tcW w:w="1836" w:type="dxa"/>
            <w:vMerge w:val="restart"/>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海水</w:t>
            </w:r>
          </w:p>
        </w:tc>
        <w:tc>
          <w:tcPr>
            <w:tcW w:w="2832" w:type="dxa"/>
            <w:tcBorders>
              <w:bottom w:val="single" w:color="auto" w:sz="4" w:space="0"/>
            </w:tcBorders>
            <w:vAlign w:val="center"/>
          </w:tcPr>
          <w:p>
            <w:pPr>
              <w:spacing w:line="300" w:lineRule="exact"/>
              <w:jc w:val="left"/>
              <w:rPr>
                <w:rFonts w:hint="default" w:ascii="Times New Roman" w:hAnsi="Times New Roman" w:eastAsia="仿宋" w:cs="Times New Roman"/>
                <w:sz w:val="22"/>
              </w:rPr>
            </w:pPr>
            <w:r>
              <w:rPr>
                <w:rFonts w:hint="default" w:ascii="Times New Roman" w:hAnsi="Times New Roman" w:eastAsia="仿宋" w:cs="Times New Roman"/>
                <w:sz w:val="22"/>
              </w:rPr>
              <w:t>北海银滩、防城港市万尾金滩、钦州市犀牛角伏波庙</w:t>
            </w:r>
          </w:p>
        </w:tc>
        <w:tc>
          <w:tcPr>
            <w:tcW w:w="1545" w:type="dxa"/>
            <w:tcBorders>
              <w:bottom w:val="single" w:color="auto" w:sz="4" w:space="0"/>
            </w:tcBorders>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1~2次/年</w:t>
            </w:r>
          </w:p>
        </w:tc>
        <w:tc>
          <w:tcPr>
            <w:tcW w:w="1598" w:type="dxa"/>
            <w:vMerge w:val="restart"/>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150升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96" w:hRule="atLeast"/>
          <w:jc w:val="center"/>
        </w:trPr>
        <w:tc>
          <w:tcPr>
            <w:tcW w:w="711" w:type="dxa"/>
            <w:vMerge w:val="continue"/>
            <w:vAlign w:val="center"/>
          </w:tcPr>
          <w:p>
            <w:pPr>
              <w:spacing w:line="300" w:lineRule="exact"/>
              <w:jc w:val="center"/>
              <w:rPr>
                <w:rFonts w:hint="default" w:ascii="Times New Roman" w:hAnsi="Times New Roman" w:eastAsia="仿宋" w:cs="Times New Roman"/>
                <w:sz w:val="22"/>
              </w:rPr>
            </w:pPr>
          </w:p>
        </w:tc>
        <w:tc>
          <w:tcPr>
            <w:tcW w:w="1836" w:type="dxa"/>
            <w:vMerge w:val="continue"/>
            <w:vAlign w:val="center"/>
          </w:tcPr>
          <w:p>
            <w:pPr>
              <w:spacing w:line="300" w:lineRule="exact"/>
              <w:jc w:val="center"/>
              <w:rPr>
                <w:rFonts w:hint="default" w:ascii="Times New Roman" w:hAnsi="Times New Roman" w:eastAsia="仿宋" w:cs="Times New Roman"/>
                <w:sz w:val="22"/>
              </w:rPr>
            </w:pPr>
          </w:p>
        </w:tc>
        <w:tc>
          <w:tcPr>
            <w:tcW w:w="2832" w:type="dxa"/>
            <w:tcBorders>
              <w:top w:val="single" w:color="auto" w:sz="4" w:space="0"/>
            </w:tcBorders>
            <w:vAlign w:val="center"/>
          </w:tcPr>
          <w:p>
            <w:pPr>
              <w:wordWrap w:val="0"/>
              <w:spacing w:line="300" w:lineRule="exact"/>
              <w:jc w:val="left"/>
              <w:rPr>
                <w:rFonts w:hint="default" w:ascii="Times New Roman" w:hAnsi="Times New Roman" w:eastAsia="仿宋" w:cs="Times New Roman"/>
                <w:sz w:val="22"/>
              </w:rPr>
            </w:pPr>
            <w:r>
              <w:rPr>
                <w:rFonts w:hint="default" w:ascii="Times New Roman" w:hAnsi="Times New Roman" w:eastAsia="仿宋" w:cs="Times New Roman"/>
                <w:sz w:val="22"/>
              </w:rPr>
              <w:t>2013E04、2013E05、</w:t>
            </w:r>
          </w:p>
          <w:p>
            <w:pPr>
              <w:wordWrap w:val="0"/>
              <w:spacing w:line="300" w:lineRule="exact"/>
              <w:jc w:val="left"/>
              <w:rPr>
                <w:rFonts w:hint="default" w:ascii="Times New Roman" w:hAnsi="Times New Roman" w:eastAsia="仿宋" w:cs="Times New Roman"/>
                <w:sz w:val="22"/>
              </w:rPr>
            </w:pPr>
            <w:r>
              <w:rPr>
                <w:rFonts w:hint="default" w:ascii="Times New Roman" w:hAnsi="Times New Roman" w:eastAsia="仿宋" w:cs="Times New Roman"/>
                <w:sz w:val="22"/>
              </w:rPr>
              <w:t>2013E06、2013E07、</w:t>
            </w:r>
          </w:p>
          <w:p>
            <w:pPr>
              <w:spacing w:line="300" w:lineRule="exact"/>
              <w:jc w:val="left"/>
              <w:rPr>
                <w:rFonts w:hint="default" w:ascii="Times New Roman" w:hAnsi="Times New Roman" w:eastAsia="仿宋" w:cs="Times New Roman"/>
                <w:sz w:val="22"/>
              </w:rPr>
            </w:pPr>
            <w:r>
              <w:rPr>
                <w:rFonts w:hint="default" w:ascii="Times New Roman" w:hAnsi="Times New Roman" w:eastAsia="仿宋" w:cs="Times New Roman"/>
                <w:sz w:val="22"/>
              </w:rPr>
              <w:t>2013E08、2013E09</w:t>
            </w:r>
          </w:p>
        </w:tc>
        <w:tc>
          <w:tcPr>
            <w:tcW w:w="1545" w:type="dxa"/>
            <w:tcBorders>
              <w:top w:val="single" w:color="auto" w:sz="4" w:space="0"/>
            </w:tcBorders>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1~2次/年</w:t>
            </w:r>
          </w:p>
        </w:tc>
        <w:tc>
          <w:tcPr>
            <w:tcW w:w="1598" w:type="dxa"/>
            <w:vMerge w:val="continue"/>
            <w:vAlign w:val="center"/>
          </w:tcPr>
          <w:p>
            <w:pPr>
              <w:spacing w:line="300" w:lineRule="exact"/>
              <w:jc w:val="center"/>
              <w:rPr>
                <w:rFonts w:hint="default" w:ascii="Times New Roman" w:hAnsi="Times New Roman" w:eastAsia="仿宋" w:cs="Times New Roman"/>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11"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2</w:t>
            </w:r>
          </w:p>
        </w:tc>
        <w:tc>
          <w:tcPr>
            <w:tcW w:w="1836"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底泥</w:t>
            </w:r>
          </w:p>
        </w:tc>
        <w:tc>
          <w:tcPr>
            <w:tcW w:w="2832" w:type="dxa"/>
            <w:vAlign w:val="center"/>
          </w:tcPr>
          <w:p>
            <w:pPr>
              <w:spacing w:line="300" w:lineRule="exact"/>
              <w:jc w:val="left"/>
              <w:rPr>
                <w:rFonts w:hint="default" w:ascii="Times New Roman" w:hAnsi="Times New Roman" w:eastAsia="仿宋" w:cs="Times New Roman"/>
                <w:sz w:val="22"/>
              </w:rPr>
            </w:pPr>
            <w:r>
              <w:rPr>
                <w:rFonts w:hint="default" w:ascii="Times New Roman" w:hAnsi="Times New Roman" w:eastAsia="仿宋" w:cs="Times New Roman"/>
                <w:sz w:val="22"/>
              </w:rPr>
              <w:t>防城港核电厂排水口区域、取水口区域、厂区15km范围内、北海西场海域</w:t>
            </w:r>
          </w:p>
        </w:tc>
        <w:tc>
          <w:tcPr>
            <w:tcW w:w="1545"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1~2次/年</w:t>
            </w:r>
          </w:p>
        </w:tc>
        <w:tc>
          <w:tcPr>
            <w:tcW w:w="1598"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2~3kg</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11"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3</w:t>
            </w:r>
          </w:p>
        </w:tc>
        <w:tc>
          <w:tcPr>
            <w:tcW w:w="1836"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岸边沉积物</w:t>
            </w:r>
          </w:p>
        </w:tc>
        <w:tc>
          <w:tcPr>
            <w:tcW w:w="2832" w:type="dxa"/>
            <w:vAlign w:val="center"/>
          </w:tcPr>
          <w:p>
            <w:pPr>
              <w:spacing w:line="300" w:lineRule="exact"/>
              <w:jc w:val="left"/>
              <w:rPr>
                <w:rFonts w:hint="default" w:ascii="Times New Roman" w:hAnsi="Times New Roman" w:eastAsia="仿宋" w:cs="Times New Roman"/>
                <w:sz w:val="22"/>
              </w:rPr>
            </w:pPr>
            <w:r>
              <w:rPr>
                <w:rFonts w:hint="default" w:ascii="Times New Roman" w:hAnsi="Times New Roman" w:eastAsia="仿宋" w:cs="Times New Roman"/>
                <w:sz w:val="22"/>
              </w:rPr>
              <w:t>防城港官山辽水库、山口水库、北海西场</w:t>
            </w:r>
          </w:p>
        </w:tc>
        <w:tc>
          <w:tcPr>
            <w:tcW w:w="1545"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1~2次/年</w:t>
            </w:r>
          </w:p>
        </w:tc>
        <w:tc>
          <w:tcPr>
            <w:tcW w:w="1598"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2~3kg</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11"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4</w:t>
            </w:r>
          </w:p>
        </w:tc>
        <w:tc>
          <w:tcPr>
            <w:tcW w:w="1836"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潮间带土</w:t>
            </w:r>
          </w:p>
        </w:tc>
        <w:tc>
          <w:tcPr>
            <w:tcW w:w="2832" w:type="dxa"/>
            <w:vAlign w:val="center"/>
          </w:tcPr>
          <w:p>
            <w:pPr>
              <w:spacing w:line="300" w:lineRule="exact"/>
              <w:jc w:val="left"/>
              <w:rPr>
                <w:rFonts w:hint="default" w:ascii="Times New Roman" w:hAnsi="Times New Roman" w:eastAsia="仿宋" w:cs="Times New Roman"/>
                <w:sz w:val="22"/>
              </w:rPr>
            </w:pPr>
            <w:r>
              <w:rPr>
                <w:rFonts w:hint="default" w:ascii="Times New Roman" w:hAnsi="Times New Roman" w:eastAsia="仿宋" w:cs="Times New Roman"/>
                <w:sz w:val="22"/>
              </w:rPr>
              <w:t>防城港核电厂排水口区域、沙螺寮、红沙火山岛景区、北海西场、南宁大王滩</w:t>
            </w:r>
          </w:p>
        </w:tc>
        <w:tc>
          <w:tcPr>
            <w:tcW w:w="1545"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1~2次/年</w:t>
            </w:r>
          </w:p>
        </w:tc>
        <w:tc>
          <w:tcPr>
            <w:tcW w:w="1598"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2~3kg</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11"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5</w:t>
            </w:r>
          </w:p>
        </w:tc>
        <w:tc>
          <w:tcPr>
            <w:tcW w:w="1836" w:type="dxa"/>
            <w:vAlign w:val="center"/>
          </w:tcPr>
          <w:p>
            <w:pPr>
              <w:widowControl/>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青菜（红薯叶）</w:t>
            </w:r>
          </w:p>
        </w:tc>
        <w:tc>
          <w:tcPr>
            <w:tcW w:w="2832" w:type="dxa"/>
            <w:vAlign w:val="center"/>
          </w:tcPr>
          <w:p>
            <w:pPr>
              <w:spacing w:line="300" w:lineRule="exact"/>
              <w:jc w:val="left"/>
              <w:rPr>
                <w:rFonts w:hint="default" w:ascii="Times New Roman" w:hAnsi="Times New Roman" w:eastAsia="仿宋" w:cs="Times New Roman"/>
                <w:sz w:val="22"/>
              </w:rPr>
            </w:pPr>
            <w:r>
              <w:rPr>
                <w:rFonts w:hint="default" w:ascii="Times New Roman" w:hAnsi="Times New Roman" w:eastAsia="仿宋" w:cs="Times New Roman"/>
                <w:sz w:val="22"/>
              </w:rPr>
              <w:t>防城港白云村、沙螺竂、南宁五塘</w:t>
            </w:r>
          </w:p>
        </w:tc>
        <w:tc>
          <w:tcPr>
            <w:tcW w:w="1545"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1~2次/年</w:t>
            </w:r>
          </w:p>
        </w:tc>
        <w:tc>
          <w:tcPr>
            <w:tcW w:w="1598"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30~50kg</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11" w:type="dxa"/>
            <w:vAlign w:val="center"/>
          </w:tcPr>
          <w:p>
            <w:pPr>
              <w:widowControl/>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6</w:t>
            </w:r>
          </w:p>
        </w:tc>
        <w:tc>
          <w:tcPr>
            <w:tcW w:w="1836" w:type="dxa"/>
            <w:vAlign w:val="center"/>
          </w:tcPr>
          <w:p>
            <w:pPr>
              <w:widowControl/>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松针</w:t>
            </w:r>
          </w:p>
        </w:tc>
        <w:tc>
          <w:tcPr>
            <w:tcW w:w="2832" w:type="dxa"/>
            <w:vAlign w:val="center"/>
          </w:tcPr>
          <w:p>
            <w:pPr>
              <w:spacing w:line="300" w:lineRule="exact"/>
              <w:jc w:val="left"/>
              <w:rPr>
                <w:rFonts w:hint="default" w:ascii="Times New Roman" w:hAnsi="Times New Roman" w:eastAsia="仿宋" w:cs="Times New Roman"/>
                <w:sz w:val="22"/>
              </w:rPr>
            </w:pPr>
            <w:r>
              <w:rPr>
                <w:rFonts w:hint="default" w:ascii="Times New Roman" w:hAnsi="Times New Roman" w:eastAsia="仿宋" w:cs="Times New Roman"/>
                <w:sz w:val="22"/>
              </w:rPr>
              <w:t>防城港白云村、沙螺竂、南宁五塘</w:t>
            </w:r>
          </w:p>
        </w:tc>
        <w:tc>
          <w:tcPr>
            <w:tcW w:w="1545"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1~2次/年</w:t>
            </w:r>
          </w:p>
        </w:tc>
        <w:tc>
          <w:tcPr>
            <w:tcW w:w="1598"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30~50kg</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11" w:type="dxa"/>
            <w:vAlign w:val="center"/>
          </w:tcPr>
          <w:p>
            <w:pPr>
              <w:widowControl/>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7</w:t>
            </w:r>
          </w:p>
        </w:tc>
        <w:tc>
          <w:tcPr>
            <w:tcW w:w="1836"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红薯</w:t>
            </w:r>
          </w:p>
        </w:tc>
        <w:tc>
          <w:tcPr>
            <w:tcW w:w="2832" w:type="dxa"/>
            <w:vAlign w:val="center"/>
          </w:tcPr>
          <w:p>
            <w:pPr>
              <w:spacing w:line="300" w:lineRule="exact"/>
              <w:jc w:val="left"/>
              <w:rPr>
                <w:rFonts w:hint="default" w:ascii="Times New Roman" w:hAnsi="Times New Roman" w:eastAsia="仿宋" w:cs="Times New Roman"/>
                <w:sz w:val="22"/>
              </w:rPr>
            </w:pPr>
            <w:r>
              <w:rPr>
                <w:rFonts w:hint="default" w:ascii="Times New Roman" w:hAnsi="Times New Roman" w:eastAsia="仿宋" w:cs="Times New Roman"/>
                <w:sz w:val="22"/>
              </w:rPr>
              <w:t>防城港白云村、沙螺竂、南宁五塘</w:t>
            </w:r>
          </w:p>
        </w:tc>
        <w:tc>
          <w:tcPr>
            <w:tcW w:w="1545"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1~2次/年</w:t>
            </w:r>
          </w:p>
        </w:tc>
        <w:tc>
          <w:tcPr>
            <w:tcW w:w="1598"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30~50kg</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11"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8</w:t>
            </w:r>
          </w:p>
        </w:tc>
        <w:tc>
          <w:tcPr>
            <w:tcW w:w="1836"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红树林叶</w:t>
            </w:r>
          </w:p>
        </w:tc>
        <w:tc>
          <w:tcPr>
            <w:tcW w:w="2832" w:type="dxa"/>
            <w:vAlign w:val="center"/>
          </w:tcPr>
          <w:p>
            <w:pPr>
              <w:spacing w:line="300" w:lineRule="exact"/>
              <w:jc w:val="left"/>
              <w:rPr>
                <w:rFonts w:hint="default" w:ascii="Times New Roman" w:hAnsi="Times New Roman" w:eastAsia="仿宋" w:cs="Times New Roman"/>
                <w:sz w:val="22"/>
              </w:rPr>
            </w:pPr>
            <w:r>
              <w:rPr>
                <w:rFonts w:hint="default" w:ascii="Times New Roman" w:hAnsi="Times New Roman" w:eastAsia="仿宋" w:cs="Times New Roman"/>
                <w:sz w:val="22"/>
              </w:rPr>
              <w:t>防城港红沙、企沙、北海西场、南宁五塘</w:t>
            </w:r>
          </w:p>
        </w:tc>
        <w:tc>
          <w:tcPr>
            <w:tcW w:w="1545"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1~2次/年</w:t>
            </w:r>
          </w:p>
        </w:tc>
        <w:tc>
          <w:tcPr>
            <w:tcW w:w="1598"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30~50kg</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11"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9</w:t>
            </w:r>
          </w:p>
        </w:tc>
        <w:tc>
          <w:tcPr>
            <w:tcW w:w="1836"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牡蛎</w:t>
            </w:r>
          </w:p>
        </w:tc>
        <w:tc>
          <w:tcPr>
            <w:tcW w:w="2832" w:type="dxa"/>
            <w:vAlign w:val="center"/>
          </w:tcPr>
          <w:p>
            <w:pPr>
              <w:spacing w:line="300" w:lineRule="exact"/>
              <w:jc w:val="left"/>
              <w:rPr>
                <w:rFonts w:hint="default" w:ascii="Times New Roman" w:hAnsi="Times New Roman" w:eastAsia="仿宋" w:cs="Times New Roman"/>
                <w:sz w:val="22"/>
              </w:rPr>
            </w:pPr>
            <w:r>
              <w:rPr>
                <w:rFonts w:hint="default" w:ascii="Times New Roman" w:hAnsi="Times New Roman" w:eastAsia="仿宋" w:cs="Times New Roman"/>
                <w:sz w:val="22"/>
              </w:rPr>
              <w:t>防城港红沙、企沙、北海西场海域</w:t>
            </w:r>
          </w:p>
        </w:tc>
        <w:tc>
          <w:tcPr>
            <w:tcW w:w="1545"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1~2次/年</w:t>
            </w:r>
          </w:p>
        </w:tc>
        <w:tc>
          <w:tcPr>
            <w:tcW w:w="1598"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30~50kg</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11"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10</w:t>
            </w:r>
          </w:p>
        </w:tc>
        <w:tc>
          <w:tcPr>
            <w:tcW w:w="1836"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虾</w:t>
            </w:r>
          </w:p>
        </w:tc>
        <w:tc>
          <w:tcPr>
            <w:tcW w:w="2832" w:type="dxa"/>
            <w:vAlign w:val="center"/>
          </w:tcPr>
          <w:p>
            <w:pPr>
              <w:spacing w:line="300" w:lineRule="exact"/>
              <w:jc w:val="left"/>
              <w:rPr>
                <w:rFonts w:hint="default" w:ascii="Times New Roman" w:hAnsi="Times New Roman" w:eastAsia="仿宋" w:cs="Times New Roman"/>
                <w:sz w:val="22"/>
              </w:rPr>
            </w:pPr>
            <w:r>
              <w:rPr>
                <w:rFonts w:hint="default" w:ascii="Times New Roman" w:hAnsi="Times New Roman" w:eastAsia="仿宋" w:cs="Times New Roman"/>
                <w:sz w:val="22"/>
              </w:rPr>
              <w:t>防城港红沙、企沙、北海西场海域</w:t>
            </w:r>
          </w:p>
        </w:tc>
        <w:tc>
          <w:tcPr>
            <w:tcW w:w="1545"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1~2次/年</w:t>
            </w:r>
          </w:p>
        </w:tc>
        <w:tc>
          <w:tcPr>
            <w:tcW w:w="1598"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20~40kg</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11"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11</w:t>
            </w:r>
          </w:p>
        </w:tc>
        <w:tc>
          <w:tcPr>
            <w:tcW w:w="1836"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鲈鱼</w:t>
            </w:r>
          </w:p>
        </w:tc>
        <w:tc>
          <w:tcPr>
            <w:tcW w:w="2832" w:type="dxa"/>
            <w:vAlign w:val="center"/>
          </w:tcPr>
          <w:p>
            <w:pPr>
              <w:spacing w:line="300" w:lineRule="exact"/>
              <w:jc w:val="left"/>
              <w:rPr>
                <w:rFonts w:hint="default" w:ascii="Times New Roman" w:hAnsi="Times New Roman" w:eastAsia="仿宋" w:cs="Times New Roman"/>
                <w:sz w:val="22"/>
              </w:rPr>
            </w:pPr>
            <w:r>
              <w:rPr>
                <w:rFonts w:hint="default" w:ascii="Times New Roman" w:hAnsi="Times New Roman" w:eastAsia="仿宋" w:cs="Times New Roman"/>
                <w:sz w:val="22"/>
              </w:rPr>
              <w:t>防城港红沙、企沙、北海西场海域</w:t>
            </w:r>
          </w:p>
        </w:tc>
        <w:tc>
          <w:tcPr>
            <w:tcW w:w="1545"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1~2次/年</w:t>
            </w:r>
          </w:p>
        </w:tc>
        <w:tc>
          <w:tcPr>
            <w:tcW w:w="1598"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20~40kg</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11"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12</w:t>
            </w:r>
          </w:p>
        </w:tc>
        <w:tc>
          <w:tcPr>
            <w:tcW w:w="1836"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香蕉</w:t>
            </w:r>
          </w:p>
        </w:tc>
        <w:tc>
          <w:tcPr>
            <w:tcW w:w="2832" w:type="dxa"/>
            <w:vAlign w:val="center"/>
          </w:tcPr>
          <w:p>
            <w:pPr>
              <w:spacing w:line="300" w:lineRule="exact"/>
              <w:jc w:val="left"/>
              <w:rPr>
                <w:rFonts w:hint="default" w:ascii="Times New Roman" w:hAnsi="Times New Roman" w:eastAsia="仿宋" w:cs="Times New Roman"/>
                <w:sz w:val="22"/>
              </w:rPr>
            </w:pPr>
            <w:r>
              <w:rPr>
                <w:rFonts w:hint="default" w:ascii="Times New Roman" w:hAnsi="Times New Roman" w:eastAsia="仿宋" w:cs="Times New Roman"/>
                <w:sz w:val="22"/>
              </w:rPr>
              <w:t>防城港白云村、沙螺竂、南宁五塘</w:t>
            </w:r>
          </w:p>
        </w:tc>
        <w:tc>
          <w:tcPr>
            <w:tcW w:w="1545" w:type="dxa"/>
            <w:vAlign w:val="center"/>
          </w:tcPr>
          <w:p>
            <w:pPr>
              <w:spacing w:line="300" w:lineRule="exact"/>
              <w:jc w:val="center"/>
              <w:rPr>
                <w:rFonts w:hint="default" w:ascii="Times New Roman" w:hAnsi="Times New Roman" w:eastAsia="仿宋" w:cs="Times New Roman"/>
                <w:sz w:val="22"/>
              </w:rPr>
            </w:pPr>
          </w:p>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1~2次/年</w:t>
            </w:r>
          </w:p>
        </w:tc>
        <w:tc>
          <w:tcPr>
            <w:tcW w:w="1598"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30~50kg</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11"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13</w:t>
            </w:r>
          </w:p>
        </w:tc>
        <w:tc>
          <w:tcPr>
            <w:tcW w:w="1836"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大米</w:t>
            </w:r>
          </w:p>
        </w:tc>
        <w:tc>
          <w:tcPr>
            <w:tcW w:w="2832" w:type="dxa"/>
            <w:vAlign w:val="center"/>
          </w:tcPr>
          <w:p>
            <w:pPr>
              <w:spacing w:line="300" w:lineRule="exact"/>
              <w:jc w:val="left"/>
              <w:rPr>
                <w:rFonts w:hint="default" w:ascii="Times New Roman" w:hAnsi="Times New Roman" w:eastAsia="仿宋" w:cs="Times New Roman"/>
                <w:sz w:val="22"/>
              </w:rPr>
            </w:pPr>
            <w:r>
              <w:rPr>
                <w:rFonts w:hint="default" w:ascii="Times New Roman" w:hAnsi="Times New Roman" w:eastAsia="仿宋" w:cs="Times New Roman"/>
                <w:sz w:val="22"/>
              </w:rPr>
              <w:t>防城港白云村、沙螺竂、南宁五塘</w:t>
            </w:r>
          </w:p>
        </w:tc>
        <w:tc>
          <w:tcPr>
            <w:tcW w:w="1545"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1~2次/年</w:t>
            </w:r>
          </w:p>
        </w:tc>
        <w:tc>
          <w:tcPr>
            <w:tcW w:w="1598"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30~50kg</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11"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14</w:t>
            </w:r>
          </w:p>
        </w:tc>
        <w:tc>
          <w:tcPr>
            <w:tcW w:w="1836"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玉米</w:t>
            </w:r>
          </w:p>
        </w:tc>
        <w:tc>
          <w:tcPr>
            <w:tcW w:w="2832" w:type="dxa"/>
            <w:vAlign w:val="center"/>
          </w:tcPr>
          <w:p>
            <w:pPr>
              <w:spacing w:line="300" w:lineRule="exact"/>
              <w:jc w:val="left"/>
              <w:rPr>
                <w:rFonts w:hint="default" w:ascii="Times New Roman" w:hAnsi="Times New Roman" w:eastAsia="仿宋" w:cs="Times New Roman"/>
                <w:sz w:val="22"/>
              </w:rPr>
            </w:pPr>
            <w:r>
              <w:rPr>
                <w:rFonts w:hint="default" w:ascii="Times New Roman" w:hAnsi="Times New Roman" w:eastAsia="仿宋" w:cs="Times New Roman"/>
                <w:sz w:val="22"/>
              </w:rPr>
              <w:t>防城港白云村、沙螺竂、南宁五塘</w:t>
            </w:r>
          </w:p>
        </w:tc>
        <w:tc>
          <w:tcPr>
            <w:tcW w:w="1545"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1~2次/年</w:t>
            </w:r>
          </w:p>
        </w:tc>
        <w:tc>
          <w:tcPr>
            <w:tcW w:w="1598"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30~50kg</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11"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15</w:t>
            </w:r>
          </w:p>
        </w:tc>
        <w:tc>
          <w:tcPr>
            <w:tcW w:w="1836"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马尾藻</w:t>
            </w:r>
          </w:p>
        </w:tc>
        <w:tc>
          <w:tcPr>
            <w:tcW w:w="2832" w:type="dxa"/>
            <w:vAlign w:val="center"/>
          </w:tcPr>
          <w:p>
            <w:pPr>
              <w:spacing w:line="300" w:lineRule="exact"/>
              <w:jc w:val="left"/>
              <w:rPr>
                <w:rFonts w:hint="default" w:ascii="Times New Roman" w:hAnsi="Times New Roman" w:eastAsia="仿宋" w:cs="Times New Roman"/>
                <w:sz w:val="22"/>
              </w:rPr>
            </w:pPr>
            <w:r>
              <w:rPr>
                <w:rFonts w:hint="default" w:ascii="Times New Roman" w:hAnsi="Times New Roman" w:eastAsia="仿宋" w:cs="Times New Roman"/>
                <w:sz w:val="22"/>
              </w:rPr>
              <w:t>防城港核电厂排水口区域</w:t>
            </w:r>
          </w:p>
        </w:tc>
        <w:tc>
          <w:tcPr>
            <w:tcW w:w="1545"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1~2次/年</w:t>
            </w:r>
          </w:p>
        </w:tc>
        <w:tc>
          <w:tcPr>
            <w:tcW w:w="1598"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30~50kg</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711"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16</w:t>
            </w:r>
          </w:p>
        </w:tc>
        <w:tc>
          <w:tcPr>
            <w:tcW w:w="1836"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家禽（鸡）</w:t>
            </w:r>
          </w:p>
        </w:tc>
        <w:tc>
          <w:tcPr>
            <w:tcW w:w="2832" w:type="dxa"/>
            <w:vAlign w:val="center"/>
          </w:tcPr>
          <w:p>
            <w:pPr>
              <w:spacing w:line="300" w:lineRule="exact"/>
              <w:jc w:val="left"/>
              <w:rPr>
                <w:rFonts w:hint="default" w:ascii="Times New Roman" w:hAnsi="Times New Roman" w:eastAsia="仿宋" w:cs="Times New Roman"/>
                <w:sz w:val="22"/>
              </w:rPr>
            </w:pPr>
            <w:r>
              <w:rPr>
                <w:rFonts w:hint="default" w:ascii="Times New Roman" w:hAnsi="Times New Roman" w:eastAsia="仿宋" w:cs="Times New Roman"/>
                <w:sz w:val="22"/>
              </w:rPr>
              <w:t>防城港白云村、沙螺竂、南宁五塘</w:t>
            </w:r>
          </w:p>
        </w:tc>
        <w:tc>
          <w:tcPr>
            <w:tcW w:w="1545"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1~2次/年</w:t>
            </w:r>
          </w:p>
        </w:tc>
        <w:tc>
          <w:tcPr>
            <w:tcW w:w="1598" w:type="dxa"/>
            <w:vAlign w:val="center"/>
          </w:tcPr>
          <w:p>
            <w:pPr>
              <w:spacing w:line="300" w:lineRule="exact"/>
              <w:jc w:val="center"/>
              <w:rPr>
                <w:rFonts w:hint="default" w:ascii="Times New Roman" w:hAnsi="Times New Roman" w:eastAsia="仿宋" w:cs="Times New Roman"/>
                <w:sz w:val="22"/>
              </w:rPr>
            </w:pPr>
            <w:r>
              <w:rPr>
                <w:rFonts w:hint="default" w:ascii="Times New Roman" w:hAnsi="Times New Roman" w:eastAsia="仿宋" w:cs="Times New Roman"/>
                <w:sz w:val="22"/>
              </w:rPr>
              <w:t>30~50kg</w:t>
            </w:r>
          </w:p>
        </w:tc>
      </w:tr>
    </w:tbl>
    <w:p>
      <w:pPr>
        <w:spacing w:line="400" w:lineRule="exact"/>
        <w:ind w:firstLine="210" w:firstLineChars="100"/>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*注：开展样品采集的船舶出海数量不多于10次/年，且出海时间不多于12小时/次。</w:t>
      </w:r>
    </w:p>
    <w:p>
      <w:pPr>
        <w:keepNext/>
        <w:keepLines/>
        <w:pageBreakBefore w:val="0"/>
        <w:widowControl/>
        <w:kinsoku/>
        <w:wordWrap/>
        <w:overflowPunct/>
        <w:topLinePunct w:val="0"/>
        <w:autoSpaceDE/>
        <w:autoSpaceDN/>
        <w:bidi w:val="0"/>
        <w:adjustRightInd/>
        <w:snapToGrid/>
        <w:spacing w:line="520" w:lineRule="exact"/>
        <w:ind w:firstLine="640" w:firstLineChars="200"/>
        <w:textAlignment w:val="auto"/>
        <w:outlineLvl w:val="0"/>
        <w:rPr>
          <w:rFonts w:hint="default" w:ascii="Times New Roman" w:hAnsi="Times New Roman" w:eastAsia="黑体" w:cs="Times New Roman"/>
          <w:b/>
          <w:sz w:val="32"/>
        </w:rPr>
      </w:pPr>
      <w:r>
        <w:rPr>
          <w:rFonts w:hint="default" w:ascii="Times New Roman" w:hAnsi="Times New Roman" w:eastAsia="黑体" w:cs="Times New Roman"/>
          <w:sz w:val="32"/>
          <w:lang w:eastAsia="zh-CN"/>
        </w:rPr>
        <w:t>二</w:t>
      </w:r>
      <w:r>
        <w:rPr>
          <w:rFonts w:hint="default" w:ascii="Times New Roman" w:hAnsi="Times New Roman" w:eastAsia="黑体" w:cs="Times New Roman"/>
          <w:sz w:val="32"/>
        </w:rPr>
        <w:t>、人员配备及设备要求</w:t>
      </w:r>
    </w:p>
    <w:p>
      <w:pPr>
        <w:pageBreakBefore w:val="0"/>
        <w:tabs>
          <w:tab w:val="left" w:pos="0"/>
        </w:tabs>
        <w:wordWrap/>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w w:val="75"/>
          <w:sz w:val="32"/>
        </w:rPr>
      </w:pPr>
      <w:r>
        <w:rPr>
          <w:rFonts w:hint="default" w:ascii="Times New Roman" w:hAnsi="Times New Roman" w:eastAsia="仿宋" w:cs="Times New Roman"/>
          <w:sz w:val="32"/>
        </w:rPr>
        <w:t>成交供应商为我单位提供服务时须配备必要的船舶、车辆、协助采样的人员及其他辅助设施用品，具体要求如下：</w:t>
      </w:r>
    </w:p>
    <w:p>
      <w:pPr>
        <w:pageBreakBefore w:val="0"/>
        <w:tabs>
          <w:tab w:val="left" w:pos="0"/>
        </w:tabs>
        <w:wordWrap/>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rPr>
      </w:pPr>
      <w:r>
        <w:rPr>
          <w:rFonts w:hint="default" w:ascii="Times New Roman" w:hAnsi="Times New Roman" w:eastAsia="仿宋" w:cs="Times New Roman"/>
          <w:sz w:val="32"/>
        </w:rPr>
        <w:t>（</w:t>
      </w:r>
      <w:r>
        <w:rPr>
          <w:rFonts w:hint="default" w:ascii="Times New Roman" w:hAnsi="Times New Roman" w:eastAsia="仿宋" w:cs="Times New Roman"/>
          <w:sz w:val="32"/>
          <w:lang w:eastAsia="zh-CN"/>
        </w:rPr>
        <w:t>一</w:t>
      </w:r>
      <w:r>
        <w:rPr>
          <w:rFonts w:hint="default" w:ascii="Times New Roman" w:hAnsi="Times New Roman" w:eastAsia="仿宋" w:cs="Times New Roman"/>
          <w:sz w:val="32"/>
        </w:rPr>
        <w:t>）船舶：20吨及以上的排水量，并配备必须数量的船员。船舶必须持有相应有效船舶证书；船员持有相应有效的证书及相关部门规定的其他证书，具备海上作业经验，并已按要求购买保险。</w:t>
      </w:r>
    </w:p>
    <w:p>
      <w:pPr>
        <w:pStyle w:val="4"/>
        <w:pageBreakBefore w:val="0"/>
        <w:wordWrap/>
        <w:topLinePunct w:val="0"/>
        <w:autoSpaceDE/>
        <w:autoSpaceDN/>
        <w:bidi w:val="0"/>
        <w:adjustRightInd/>
        <w:snapToGrid/>
        <w:spacing w:line="520" w:lineRule="exact"/>
        <w:ind w:left="0" w:firstLine="640" w:firstLineChars="200"/>
        <w:textAlignment w:val="auto"/>
        <w:rPr>
          <w:rFonts w:hint="default" w:ascii="Times New Roman" w:hAnsi="Times New Roman" w:eastAsia="仿宋" w:cs="Times New Roman"/>
          <w:sz w:val="32"/>
          <w:lang w:eastAsia="zh-CN"/>
        </w:rPr>
      </w:pPr>
      <w:r>
        <w:rPr>
          <w:rFonts w:hint="default" w:ascii="Times New Roman" w:hAnsi="Times New Roman" w:eastAsia="仿宋" w:cs="Times New Roman"/>
          <w:sz w:val="32"/>
          <w:lang w:eastAsia="zh-CN"/>
        </w:rPr>
        <w:t>（二）车辆：5座及以上的面包车或小型货车，并配备必须数量司机。车辆必须已按要求年检，司机持相应有效的驾驶证，具备相关驾驶经验，并已按要求购买保险。</w:t>
      </w:r>
    </w:p>
    <w:p>
      <w:pPr>
        <w:pageBreakBefore w:val="0"/>
        <w:tabs>
          <w:tab w:val="left" w:pos="0"/>
        </w:tabs>
        <w:wordWrap/>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rPr>
      </w:pPr>
      <w:r>
        <w:rPr>
          <w:rFonts w:hint="default" w:ascii="Times New Roman" w:hAnsi="Times New Roman" w:eastAsia="仿宋" w:cs="Times New Roman"/>
          <w:sz w:val="32"/>
        </w:rPr>
        <w:t>（</w:t>
      </w:r>
      <w:r>
        <w:rPr>
          <w:rFonts w:hint="default" w:ascii="Times New Roman" w:hAnsi="Times New Roman" w:eastAsia="仿宋" w:cs="Times New Roman"/>
          <w:sz w:val="32"/>
          <w:lang w:eastAsia="zh-CN"/>
        </w:rPr>
        <w:t>三</w:t>
      </w:r>
      <w:r>
        <w:rPr>
          <w:rFonts w:hint="default" w:ascii="Times New Roman" w:hAnsi="Times New Roman" w:eastAsia="仿宋" w:cs="Times New Roman"/>
          <w:sz w:val="32"/>
        </w:rPr>
        <w:t>）协助采样人员（不含船员、司机等司乘人员）：人数不少于2人，性别：必须为男性，年龄：55周岁及以下，身体健康，</w:t>
      </w:r>
      <w:r>
        <w:rPr>
          <w:rFonts w:hint="eastAsia" w:ascii="Times New Roman" w:hAnsi="Times New Roman" w:eastAsia="仿宋" w:cs="Times New Roman"/>
          <w:sz w:val="32"/>
          <w:lang w:eastAsia="zh-CN"/>
        </w:rPr>
        <w:t>具备良好的沟通能力，服从安排，</w:t>
      </w:r>
      <w:r>
        <w:rPr>
          <w:rFonts w:hint="default" w:ascii="Times New Roman" w:hAnsi="Times New Roman" w:eastAsia="仿宋" w:cs="Times New Roman"/>
          <w:sz w:val="32"/>
        </w:rPr>
        <w:t>能搬运重量较大物品，并已按要求购买保险。</w:t>
      </w:r>
    </w:p>
    <w:p>
      <w:pPr>
        <w:pStyle w:val="4"/>
        <w:pageBreakBefore w:val="0"/>
        <w:wordWrap/>
        <w:topLinePunct w:val="0"/>
        <w:autoSpaceDE/>
        <w:autoSpaceDN/>
        <w:bidi w:val="0"/>
        <w:adjustRightInd/>
        <w:snapToGrid/>
        <w:spacing w:line="520" w:lineRule="exact"/>
        <w:ind w:left="0" w:firstLine="644" w:firstLineChars="200"/>
        <w:textAlignment w:val="auto"/>
        <w:rPr>
          <w:rFonts w:hint="default" w:ascii="Times New Roman" w:hAnsi="Times New Roman" w:eastAsia="仿宋" w:cs="Times New Roman"/>
          <w:sz w:val="32"/>
          <w:lang w:eastAsia="zh-CN"/>
        </w:rPr>
      </w:pPr>
      <w:r>
        <w:rPr>
          <w:rFonts w:hint="default" w:ascii="Times New Roman" w:hAnsi="Times New Roman" w:eastAsia="仿宋" w:cs="Times New Roman"/>
          <w:spacing w:val="1"/>
          <w:sz w:val="32"/>
          <w:lang w:eastAsia="zh-CN"/>
        </w:rPr>
        <w:t>其它辅助设施用品</w:t>
      </w:r>
      <w:r>
        <w:rPr>
          <w:rFonts w:hint="default" w:ascii="Times New Roman" w:hAnsi="Times New Roman" w:eastAsia="仿宋" w:cs="Times New Roman"/>
          <w:spacing w:val="2"/>
          <w:sz w:val="32"/>
          <w:lang w:eastAsia="zh-CN"/>
        </w:rPr>
        <w:t>：</w:t>
      </w:r>
      <w:r>
        <w:rPr>
          <w:rFonts w:hint="default" w:ascii="Times New Roman" w:hAnsi="Times New Roman" w:eastAsia="仿宋" w:cs="Times New Roman"/>
          <w:spacing w:val="3"/>
          <w:sz w:val="32"/>
          <w:lang w:eastAsia="zh-CN"/>
        </w:rPr>
        <w:t>配备足够数量的救生设备、安全帽、通信设</w:t>
      </w:r>
      <w:r>
        <w:rPr>
          <w:rFonts w:hint="default" w:ascii="Times New Roman" w:hAnsi="Times New Roman" w:eastAsia="仿宋" w:cs="Times New Roman"/>
          <w:sz w:val="32"/>
          <w:lang w:eastAsia="zh-CN"/>
        </w:rPr>
        <w:t>备、定位雷达、应急药箱、应急电源等辅助设施。</w:t>
      </w:r>
    </w:p>
    <w:p>
      <w:pPr>
        <w:pStyle w:val="4"/>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黑体" w:cs="Times New Roman"/>
          <w:sz w:val="32"/>
        </w:rPr>
      </w:pPr>
      <w:r>
        <w:rPr>
          <w:rFonts w:hint="default" w:ascii="Times New Roman" w:hAnsi="Times New Roman" w:eastAsia="黑体" w:cs="Times New Roman"/>
          <w:sz w:val="32"/>
          <w:lang w:eastAsia="zh-CN"/>
        </w:rPr>
        <w:t>三、</w:t>
      </w:r>
      <w:r>
        <w:rPr>
          <w:rFonts w:hint="default" w:ascii="Times New Roman" w:hAnsi="Times New Roman" w:eastAsia="黑体" w:cs="Times New Roman"/>
          <w:sz w:val="32"/>
        </w:rPr>
        <w:t>商务要求</w:t>
      </w:r>
    </w:p>
    <w:p>
      <w:pPr>
        <w:pStyle w:val="4"/>
        <w:keepNext w:val="0"/>
        <w:keepLines w:val="0"/>
        <w:pageBreakBefore w:val="0"/>
        <w:widowControl/>
        <w:numPr>
          <w:ilvl w:val="0"/>
          <w:numId w:val="0"/>
        </w:numPr>
        <w:kinsoku w:val="0"/>
        <w:wordWrap/>
        <w:overflowPunct w:val="0"/>
        <w:topLinePunct w:val="0"/>
        <w:autoSpaceDE/>
        <w:autoSpaceDN/>
        <w:bidi w:val="0"/>
        <w:adjustRightInd/>
        <w:snapToGrid/>
        <w:spacing w:line="520" w:lineRule="exact"/>
        <w:ind w:firstLine="600" w:firstLineChars="200"/>
        <w:textAlignment w:val="auto"/>
        <w:outlineLvl w:val="9"/>
        <w:rPr>
          <w:rFonts w:hint="default" w:ascii="Times New Roman" w:hAnsi="Times New Roman" w:eastAsia="仿宋" w:cs="Times New Roman"/>
          <w:sz w:val="32"/>
          <w:lang w:eastAsia="zh-CN"/>
        </w:rPr>
      </w:pPr>
      <w:r>
        <w:rPr>
          <w:rFonts w:hint="default" w:ascii="Times New Roman" w:hAnsi="Times New Roman" w:eastAsia="仿宋" w:cs="Times New Roman"/>
          <w:spacing w:val="-10"/>
          <w:sz w:val="32"/>
          <w:lang w:eastAsia="zh-CN"/>
        </w:rPr>
        <w:t>（一）服务期限</w:t>
      </w:r>
      <w:r>
        <w:rPr>
          <w:rFonts w:hint="default" w:ascii="Times New Roman" w:hAnsi="Times New Roman" w:eastAsia="仿宋" w:cs="Times New Roman"/>
          <w:spacing w:val="18"/>
          <w:sz w:val="32"/>
          <w:lang w:eastAsia="zh-CN"/>
        </w:rPr>
        <w:t>：</w:t>
      </w:r>
      <w:r>
        <w:rPr>
          <w:rFonts w:hint="default" w:ascii="Times New Roman" w:hAnsi="Times New Roman" w:eastAsia="仿宋" w:cs="Times New Roman"/>
          <w:spacing w:val="13"/>
          <w:sz w:val="32"/>
          <w:lang w:eastAsia="zh-CN"/>
        </w:rPr>
        <w:t>项目服务期限</w:t>
      </w:r>
      <w:r>
        <w:rPr>
          <w:rFonts w:hint="default" w:ascii="Times New Roman" w:hAnsi="Times New Roman" w:eastAsia="仿宋" w:cs="Times New Roman"/>
          <w:sz w:val="32"/>
          <w:lang w:eastAsia="zh-CN"/>
        </w:rPr>
        <w:t>2022</w:t>
      </w:r>
      <w:r>
        <w:rPr>
          <w:rFonts w:hint="default" w:ascii="Times New Roman" w:hAnsi="Times New Roman" w:eastAsia="仿宋" w:cs="Times New Roman"/>
          <w:spacing w:val="14"/>
          <w:sz w:val="32"/>
          <w:lang w:eastAsia="zh-CN"/>
        </w:rPr>
        <w:t>年</w:t>
      </w:r>
      <w:r>
        <w:rPr>
          <w:rFonts w:hint="default" w:ascii="Times New Roman" w:hAnsi="Times New Roman" w:eastAsia="仿宋" w:cs="Times New Roman"/>
          <w:sz w:val="32"/>
          <w:lang w:eastAsia="zh-CN"/>
        </w:rPr>
        <w:t>7</w:t>
      </w:r>
      <w:r>
        <w:rPr>
          <w:rFonts w:hint="default" w:ascii="Times New Roman" w:hAnsi="Times New Roman" w:eastAsia="仿宋" w:cs="Times New Roman"/>
          <w:spacing w:val="31"/>
          <w:sz w:val="32"/>
          <w:lang w:eastAsia="zh-CN"/>
        </w:rPr>
        <w:t>月</w:t>
      </w:r>
      <w:r>
        <w:rPr>
          <w:rFonts w:hint="default" w:ascii="Times New Roman" w:hAnsi="Times New Roman" w:eastAsia="仿宋" w:cs="Times New Roman"/>
          <w:sz w:val="32"/>
          <w:lang w:eastAsia="zh-CN"/>
        </w:rPr>
        <w:t>1</w:t>
      </w:r>
      <w:r>
        <w:rPr>
          <w:rFonts w:hint="default" w:ascii="Times New Roman" w:hAnsi="Times New Roman" w:eastAsia="仿宋" w:cs="Times New Roman"/>
          <w:spacing w:val="27"/>
          <w:sz w:val="32"/>
          <w:lang w:eastAsia="zh-CN"/>
        </w:rPr>
        <w:t>日至</w:t>
      </w:r>
      <w:r>
        <w:rPr>
          <w:rFonts w:hint="default" w:ascii="Times New Roman" w:hAnsi="Times New Roman" w:eastAsia="仿宋" w:cs="Times New Roman"/>
          <w:sz w:val="32"/>
          <w:lang w:eastAsia="zh-CN"/>
        </w:rPr>
        <w:t>2023</w:t>
      </w:r>
      <w:r>
        <w:rPr>
          <w:rFonts w:hint="default" w:ascii="Times New Roman" w:hAnsi="Times New Roman" w:eastAsia="仿宋" w:cs="Times New Roman"/>
          <w:spacing w:val="28"/>
          <w:sz w:val="32"/>
          <w:lang w:eastAsia="zh-CN"/>
        </w:rPr>
        <w:t>年</w:t>
      </w:r>
      <w:r>
        <w:rPr>
          <w:rFonts w:hint="default" w:ascii="Times New Roman" w:hAnsi="Times New Roman" w:eastAsia="仿宋" w:cs="Times New Roman"/>
          <w:sz w:val="32"/>
          <w:lang w:eastAsia="zh-CN"/>
        </w:rPr>
        <w:t>7</w:t>
      </w:r>
      <w:r>
        <w:rPr>
          <w:rFonts w:hint="default" w:ascii="Times New Roman" w:hAnsi="Times New Roman" w:eastAsia="仿宋" w:cs="Times New Roman"/>
          <w:spacing w:val="29"/>
          <w:sz w:val="32"/>
          <w:lang w:eastAsia="zh-CN"/>
        </w:rPr>
        <w:t>月</w:t>
      </w:r>
      <w:r>
        <w:rPr>
          <w:rFonts w:hint="default" w:ascii="Times New Roman" w:hAnsi="Times New Roman" w:eastAsia="仿宋" w:cs="Times New Roman"/>
          <w:spacing w:val="9"/>
          <w:sz w:val="32"/>
          <w:lang w:eastAsia="zh-CN"/>
        </w:rPr>
        <w:t>1</w:t>
      </w:r>
      <w:r>
        <w:rPr>
          <w:rFonts w:hint="default" w:ascii="Times New Roman" w:hAnsi="Times New Roman" w:eastAsia="仿宋" w:cs="Times New Roman"/>
          <w:sz w:val="32"/>
          <w:lang w:eastAsia="zh-CN"/>
        </w:rPr>
        <w:t>日。</w:t>
      </w:r>
    </w:p>
    <w:p>
      <w:pPr>
        <w:pStyle w:val="4"/>
        <w:keepNext w:val="0"/>
        <w:keepLines w:val="0"/>
        <w:pageBreakBefore w:val="0"/>
        <w:widowControl/>
        <w:numPr>
          <w:ilvl w:val="0"/>
          <w:numId w:val="0"/>
        </w:numPr>
        <w:kinsoku w:val="0"/>
        <w:wordWrap/>
        <w:overflowPunct w:val="0"/>
        <w:topLinePunct w:val="0"/>
        <w:autoSpaceDE/>
        <w:autoSpaceDN/>
        <w:bidi w:val="0"/>
        <w:adjustRightInd/>
        <w:snapToGrid/>
        <w:spacing w:line="520" w:lineRule="exact"/>
        <w:ind w:leftChars="0" w:firstLine="640" w:firstLineChars="200"/>
        <w:textAlignment w:val="auto"/>
        <w:outlineLvl w:val="9"/>
        <w:rPr>
          <w:rFonts w:hint="default" w:ascii="Times New Roman" w:hAnsi="Times New Roman" w:eastAsia="仿宋" w:cs="Times New Roman"/>
          <w:w w:val="105"/>
          <w:sz w:val="32"/>
          <w:lang w:eastAsia="zh-CN"/>
        </w:rPr>
      </w:pPr>
      <w:r>
        <w:rPr>
          <w:rFonts w:hint="default" w:ascii="Times New Roman" w:hAnsi="Times New Roman" w:eastAsia="仿宋" w:cs="Times New Roman"/>
          <w:sz w:val="32"/>
          <w:lang w:eastAsia="zh-CN"/>
        </w:rPr>
        <w:t>（二）付款方式及发票：银行转账支付。我单位在签订合同后20日内向成交供应商支付合同总额的40%，在完成2022年的采样任务后2022年12月31日前支付合同总额的40%，在合同服务期限结束前，根据项目进展支付剩余20%合同款。每次付款前10个工作日内，成交供应商须向我单位开具合法有效的劳务发票。</w:t>
      </w:r>
    </w:p>
    <w:p>
      <w:pPr>
        <w:pStyle w:val="4"/>
        <w:keepNext w:val="0"/>
        <w:keepLines w:val="0"/>
        <w:pageBreakBefore w:val="0"/>
        <w:widowControl w:val="0"/>
        <w:kinsoku w:val="0"/>
        <w:wordWrap/>
        <w:overflowPunct w:val="0"/>
        <w:topLinePunct w:val="0"/>
        <w:autoSpaceDE/>
        <w:autoSpaceDN/>
        <w:bidi w:val="0"/>
        <w:adjustRightInd/>
        <w:snapToGrid/>
        <w:spacing w:line="520" w:lineRule="exact"/>
        <w:ind w:left="0" w:right="0" w:firstLine="640" w:firstLineChars="200"/>
        <w:jc w:val="both"/>
        <w:textAlignment w:val="auto"/>
        <w:outlineLvl w:val="9"/>
        <w:rPr>
          <w:rFonts w:hint="default" w:ascii="Times New Roman" w:hAnsi="Times New Roman" w:eastAsia="仿宋" w:cs="Times New Roman"/>
          <w:sz w:val="32"/>
          <w:lang w:eastAsia="zh-CN"/>
        </w:rPr>
      </w:pPr>
      <w:r>
        <w:rPr>
          <w:rFonts w:hint="default" w:ascii="Times New Roman" w:hAnsi="Times New Roman" w:eastAsia="仿宋" w:cs="Times New Roman"/>
          <w:sz w:val="32"/>
          <w:lang w:eastAsia="zh-CN"/>
        </w:rPr>
        <w:t>（三）成交供应商派出的采样人员须接受我单位的监督。我单位若发现存在不符合规范要求的行为或影响采样服务质量的问题时，有权根据问题的严重程度暂停或中止采样活动。成交供应商应负责针对问题选择恰当的纠正方式及时采取纠正和预防措施，由我单位对纠正效果、纠正措施和预防措施的有效性进行跟踪验证，不合格因素消除后方可继续采样活动。</w:t>
      </w:r>
    </w:p>
    <w:p>
      <w:pPr>
        <w:keepNext w:val="0"/>
        <w:keepLines w:val="0"/>
        <w:pageBreakBefore w:val="0"/>
        <w:widowControl/>
        <w:tabs>
          <w:tab w:val="left" w:pos="0"/>
        </w:tabs>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w w:val="105"/>
          <w:sz w:val="32"/>
        </w:rPr>
      </w:pPr>
      <w:r>
        <w:rPr>
          <w:rFonts w:hint="default" w:ascii="Times New Roman" w:hAnsi="Times New Roman" w:eastAsia="仿宋" w:cs="Times New Roman"/>
          <w:sz w:val="32"/>
        </w:rPr>
        <w:t>（</w:t>
      </w:r>
      <w:r>
        <w:rPr>
          <w:rFonts w:hint="default" w:ascii="Times New Roman" w:hAnsi="Times New Roman" w:eastAsia="仿宋" w:cs="Times New Roman"/>
          <w:sz w:val="32"/>
          <w:lang w:eastAsia="zh-CN"/>
        </w:rPr>
        <w:t>四</w:t>
      </w:r>
      <w:r>
        <w:rPr>
          <w:rFonts w:hint="default" w:ascii="Times New Roman" w:hAnsi="Times New Roman" w:eastAsia="仿宋" w:cs="Times New Roman"/>
          <w:sz w:val="32"/>
        </w:rPr>
        <w:t>）安全保障措施：本采送样服务需要涉水作业，采样区域分布海域、乡野山区、点多面广、作业时间紧迫、运输路途较远，存在一定的安全风险。成交供应商需有足够的安全意识，必须制定安全工作方案和针对性应急预案，采取全方位的安全保证措施，购买相关保险，对随车、随船人员的安全负全部责任，保证采样服务工作顺利完成。</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 w:cs="Times New Roman"/>
          <w:w w:val="105"/>
          <w:sz w:val="32"/>
        </w:rPr>
      </w:pPr>
      <w:r>
        <w:rPr>
          <w:rFonts w:hint="default" w:ascii="Times New Roman" w:hAnsi="Times New Roman" w:eastAsia="仿宋" w:cs="Times New Roman"/>
          <w:sz w:val="32"/>
        </w:rPr>
        <w:t>（</w:t>
      </w:r>
      <w:r>
        <w:rPr>
          <w:rFonts w:hint="default" w:ascii="Times New Roman" w:hAnsi="Times New Roman" w:eastAsia="仿宋" w:cs="Times New Roman"/>
          <w:sz w:val="32"/>
          <w:lang w:eastAsia="zh-CN"/>
        </w:rPr>
        <w:t>五</w:t>
      </w:r>
      <w:r>
        <w:rPr>
          <w:rFonts w:hint="default" w:ascii="Times New Roman" w:hAnsi="Times New Roman" w:eastAsia="仿宋" w:cs="Times New Roman"/>
          <w:sz w:val="32"/>
        </w:rPr>
        <w:t>）成交供应商必须严格遵守国家保密法规，切实履行保密责任，任何情</w:t>
      </w:r>
      <w:r>
        <w:rPr>
          <w:rFonts w:hint="default" w:ascii="Times New Roman" w:hAnsi="Times New Roman" w:eastAsia="仿宋" w:cs="Times New Roman"/>
          <w:w w:val="105"/>
          <w:sz w:val="32"/>
        </w:rPr>
        <w:t>况下，不得向我单位以外的第三方人员或单位透露承担的采样计划、采样站点信息、数量、采样时间等。</w:t>
      </w:r>
    </w:p>
    <w:p>
      <w:pPr>
        <w:pageBreakBefore w:val="0"/>
        <w:tabs>
          <w:tab w:val="left" w:pos="0"/>
        </w:tabs>
        <w:wordWrap/>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w:t>
      </w:r>
      <w:r>
        <w:rPr>
          <w:rFonts w:hint="default" w:ascii="Times New Roman" w:hAnsi="Times New Roman" w:eastAsia="仿宋" w:cs="Times New Roman"/>
          <w:bCs/>
          <w:sz w:val="32"/>
          <w:szCs w:val="32"/>
          <w:lang w:eastAsia="zh-CN"/>
        </w:rPr>
        <w:t>六</w:t>
      </w:r>
      <w:r>
        <w:rPr>
          <w:rFonts w:hint="default" w:ascii="Times New Roman" w:hAnsi="Times New Roman" w:eastAsia="仿宋" w:cs="Times New Roman"/>
          <w:bCs/>
          <w:sz w:val="32"/>
          <w:szCs w:val="32"/>
        </w:rPr>
        <w:t>）供应商如有需要，可联系我单位，或自行或到各采样地点踏勘以充分了解项目的位置、情况、道路及任何其它足以影响磋商报价的情况，任何因忽视或误解项目情况而导致的索赔或服务期限延长申请将不获批准。</w:t>
      </w:r>
    </w:p>
    <w:p>
      <w:pPr>
        <w:rPr>
          <w:rFonts w:hint="default" w:ascii="Times New Roman" w:hAnsi="Times New Roman" w:eastAsia="仿宋" w:cs="Times New Roman"/>
          <w:w w:val="105"/>
          <w:sz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ZDhlZTZmMDc1MDA4YTNjMGI1ZDZmN2Q2ZGE4ZWQifQ=="/>
  </w:docVars>
  <w:rsids>
    <w:rsidRoot w:val="00000000"/>
    <w:rsid w:val="34721F1C"/>
    <w:rsid w:val="35687266"/>
    <w:rsid w:val="362D3BAB"/>
    <w:rsid w:val="438D131B"/>
    <w:rsid w:val="4C9F3BF8"/>
    <w:rsid w:val="4F487A58"/>
    <w:rsid w:val="562E0998"/>
    <w:rsid w:val="56EB261F"/>
    <w:rsid w:val="580B5FB7"/>
    <w:rsid w:val="5B6515D8"/>
    <w:rsid w:val="634F63E2"/>
    <w:rsid w:val="6C6358C7"/>
    <w:rsid w:val="7CA86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paragraph" w:styleId="2">
    <w:name w:val="heading 1"/>
    <w:basedOn w:val="1"/>
    <w:next w:val="1"/>
    <w:qFormat/>
    <w:uiPriority w:val="99"/>
    <w:pPr>
      <w:keepNext/>
      <w:keepLines/>
      <w:spacing w:before="340" w:beforeLines="0" w:after="330" w:afterLines="0" w:line="576" w:lineRule="auto"/>
      <w:outlineLvl w:val="0"/>
    </w:pPr>
    <w:rPr>
      <w:rFonts w:hint="eastAsia"/>
      <w:b/>
      <w:kern w:val="44"/>
      <w:sz w:val="44"/>
    </w:rPr>
  </w:style>
  <w:style w:type="paragraph" w:styleId="3">
    <w:name w:val="heading 4"/>
    <w:basedOn w:val="1"/>
    <w:next w:val="1"/>
    <w:link w:val="9"/>
    <w:unhideWhenUsed/>
    <w:qFormat/>
    <w:uiPriority w:val="99"/>
    <w:pPr>
      <w:keepNext/>
      <w:keepLines/>
      <w:spacing w:before="280" w:beforeLines="0" w:after="290" w:afterLines="0" w:line="372" w:lineRule="auto"/>
      <w:outlineLvl w:val="3"/>
    </w:pPr>
    <w:rPr>
      <w:rFonts w:hint="eastAsia" w:ascii="Arial" w:hAnsi="Arial" w:eastAsia="黑体"/>
      <w:b/>
      <w:sz w:val="28"/>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1"/>
    <w:pPr>
      <w:ind w:left="107"/>
      <w:jc w:val="left"/>
    </w:pPr>
    <w:rPr>
      <w:rFonts w:ascii="宋体" w:hAnsi="宋体"/>
      <w:kern w:val="0"/>
      <w:szCs w:val="21"/>
      <w:lang w:eastAsia="en-US"/>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4 Char"/>
    <w:link w:val="3"/>
    <w:unhideWhenUsed/>
    <w:qFormat/>
    <w:uiPriority w:val="0"/>
    <w:rPr>
      <w:rFonts w:hint="eastAsia" w:ascii="Arial" w:hAnsi="Arial" w:eastAsia="黑体"/>
      <w:b/>
      <w:sz w:val="28"/>
    </w:rPr>
  </w:style>
  <w:style w:type="paragraph" w:customStyle="1" w:styleId="10">
    <w:name w:val="Table Paragraph"/>
    <w:basedOn w:val="1"/>
    <w:qFormat/>
    <w:uiPriority w:val="1"/>
    <w:pPr>
      <w:jc w:val="left"/>
    </w:pPr>
    <w:rPr>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1862</Words>
  <Characters>2059</Characters>
  <Lines>0</Lines>
  <Paragraphs>0</Paragraphs>
  <TotalTime>46</TotalTime>
  <ScaleCrop>false</ScaleCrop>
  <LinksUpToDate>false</LinksUpToDate>
  <CharactersWithSpaces>2060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陆玲玉</dc:creator>
  <cp:lastModifiedBy>何叶</cp:lastModifiedBy>
  <dcterms:modified xsi:type="dcterms:W3CDTF">2022-07-18T03:09:58Z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36F109940FDA4D309CC0623880A76271</vt:lpwstr>
  </property>
</Properties>
</file>