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项目基本情况介绍，需求内容及要求</w:t>
      </w:r>
    </w:p>
    <w:p>
      <w:pPr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因我单位咨询业务需求，需委托开展广西梧州市蒙山县生态环境状况调查及评估技术服务，主要工作内容为配合</w:t>
      </w:r>
      <w:r>
        <w:rPr>
          <w:rFonts w:hint="eastAsia" w:ascii="仿宋" w:hAnsi="仿宋" w:eastAsia="仿宋" w:cs="仿宋"/>
          <w:sz w:val="32"/>
          <w:szCs w:val="32"/>
        </w:rPr>
        <w:t>开展生态环境现状调查、生态环境状况评估和禁止开发区矢量数据库建库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项目成果知识产权归我单位所有。</w:t>
      </w:r>
    </w:p>
    <w:p>
      <w:pPr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二、主要工作内容及要求</w:t>
      </w:r>
    </w:p>
    <w:p>
      <w:pPr>
        <w:outlineLvl w:val="1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（一）生态环境现状调查</w:t>
      </w:r>
    </w:p>
    <w:p>
      <w:pPr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基准年为2019、2020、2021年3年度，完成蒙山县经济社会环境现状数据调查，内容详见表1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keepNext/>
        <w:keepLines/>
        <w:widowControl/>
        <w:tabs>
          <w:tab w:val="left" w:pos="432"/>
        </w:tabs>
        <w:spacing w:line="0" w:lineRule="atLeast"/>
        <w:jc w:val="center"/>
        <w:rPr>
          <w:rFonts w:ascii="Times New Roman" w:hAnsi="Times New Roman" w:eastAsia="黑体" w:cs="Times New Roman"/>
          <w:bCs/>
          <w:kern w:val="44"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kern w:val="44"/>
          <w:sz w:val="24"/>
          <w:szCs w:val="24"/>
        </w:rPr>
        <w:t>表1生态环境基础现状表</w:t>
      </w:r>
    </w:p>
    <w:tbl>
      <w:tblPr>
        <w:tblStyle w:val="8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297"/>
        <w:gridCol w:w="2833"/>
        <w:gridCol w:w="1290"/>
        <w:gridCol w:w="1290"/>
        <w:gridCol w:w="12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</w:trPr>
        <w:tc>
          <w:tcPr>
            <w:tcW w:w="4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经济发展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地区生产总值（亿元）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人均地区生产总值（元）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财政收入（亿元）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固定资产投资（亿元）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社会消费品零售总额（亿元）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进出口总额（亿美元）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工业增加值（亿元）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服务业增加值比重（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常住人口城镇化率（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户籍人口城镇化率（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拥有科技创新型企业（个）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人口状况</w:t>
            </w: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常住人口（万人）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居民人均可支配收入（元）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其中：城镇居民人均可支配收入（元）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城镇新增就业人数（万人）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基本养老保险参保率（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城镇保障性住房建设和棚户区改造（套）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资源环境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万元生产总值用水量（吨）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单位生产总值能源消耗降低（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森林覆盖率（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森林蓄积量（万立方米）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全区城市空气质量达标率（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主要江河流域水质优良比例（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类水体比例（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主要污染物排放量降低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化学需氧量（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氨氮（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二氧化硫（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氮氧化物（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乡村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振兴</w:t>
            </w: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累计脱贫人口（万人）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贫困发生率（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贫困人口人均纯收入增速（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完成扶贫移民搬迁贫困人口（万人）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农村居民人均纯收入（元）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生态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产业</w:t>
            </w: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农业总产值（亿元）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自治区级以上现代特色农业示范区（个）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休闲农业、乡村旅游接待人次（万人）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旅游接待总人数（万人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outlineLvl w:val="1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</w:rPr>
        <w:t>二）生态环境状况评估</w:t>
      </w:r>
    </w:p>
    <w:p>
      <w:pPr>
        <w:outlineLvl w:val="1"/>
        <w:rPr>
          <w:rFonts w:ascii="仿宋_GB2312" w:hAnsi="Times New Roman" w:eastAsia="仿宋_GB2312" w:cs="Times New Roman"/>
          <w:sz w:val="32"/>
          <w:szCs w:val="32"/>
        </w:rPr>
      </w:pPr>
      <w:bookmarkStart w:id="0" w:name="_Toc532201839"/>
      <w:r>
        <w:rPr>
          <w:rFonts w:hint="eastAsia" w:ascii="仿宋_GB2312" w:hAnsi="Times New Roman" w:eastAsia="仿宋_GB2312" w:cs="Times New Roman"/>
          <w:sz w:val="32"/>
          <w:szCs w:val="32"/>
        </w:rPr>
        <w:t>1.数据源</w:t>
      </w:r>
      <w:bookmarkEnd w:id="0"/>
    </w:p>
    <w:p>
      <w:pPr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2015年和2020年土地覆盖分类采用LandsatTM/ETM+30m分辨率和ENVISAT ASARERS 1/2 Radar 30m分辨率遥感数据、辅助数据及相关资料（主要包括DEM、县级行政界线、道路、河网、植被类型、土地利用等数据）。</w:t>
      </w:r>
    </w:p>
    <w:p>
      <w:pPr>
        <w:outlineLvl w:val="1"/>
        <w:rPr>
          <w:rFonts w:ascii="仿宋_GB2312" w:hAnsi="Times New Roman" w:eastAsia="仿宋_GB2312" w:cs="Times New Roman"/>
          <w:sz w:val="32"/>
          <w:szCs w:val="32"/>
        </w:rPr>
      </w:pPr>
      <w:bookmarkStart w:id="1" w:name="_Toc389156710"/>
      <w:bookmarkStart w:id="2" w:name="_Toc532201840"/>
      <w:r>
        <w:rPr>
          <w:rFonts w:ascii="仿宋_GB2312" w:hAnsi="Times New Roman" w:eastAsia="仿宋_GB2312" w:cs="Times New Roman"/>
          <w:sz w:val="32"/>
          <w:szCs w:val="32"/>
        </w:rPr>
        <w:t>2.评价指标</w:t>
      </w:r>
      <w:bookmarkEnd w:id="1"/>
      <w:bookmarkEnd w:id="2"/>
    </w:p>
    <w:p>
      <w:pPr>
        <w:outlineLvl w:val="1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（1）遥感土地覆盖分类体系</w:t>
      </w:r>
    </w:p>
    <w:p>
      <w:pPr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使用蒙山县</w:t>
      </w:r>
      <w:r>
        <w:rPr>
          <w:rFonts w:ascii="仿宋" w:hAnsi="仿宋" w:eastAsia="仿宋"/>
          <w:sz w:val="32"/>
          <w:szCs w:val="32"/>
        </w:rPr>
        <w:t>2015年和2020年土地覆盖分类</w:t>
      </w:r>
      <w:r>
        <w:rPr>
          <w:rFonts w:hint="eastAsia" w:ascii="仿宋" w:hAnsi="仿宋" w:eastAsia="仿宋"/>
          <w:sz w:val="32"/>
          <w:szCs w:val="32"/>
        </w:rPr>
        <w:t>解译数据，</w:t>
      </w:r>
      <w:r>
        <w:rPr>
          <w:rFonts w:ascii="仿宋" w:hAnsi="仿宋" w:eastAsia="仿宋"/>
          <w:sz w:val="32"/>
          <w:szCs w:val="32"/>
        </w:rPr>
        <w:t>以生态系统为对象，考虑植被类型特征，</w:t>
      </w:r>
      <w:r>
        <w:rPr>
          <w:rFonts w:hint="eastAsia" w:ascii="仿宋" w:hAnsi="仿宋" w:eastAsia="仿宋"/>
          <w:sz w:val="32"/>
          <w:szCs w:val="32"/>
        </w:rPr>
        <w:t>基于</w:t>
      </w:r>
      <w:r>
        <w:rPr>
          <w:rFonts w:ascii="仿宋" w:hAnsi="仿宋" w:eastAsia="仿宋"/>
          <w:sz w:val="32"/>
          <w:szCs w:val="32"/>
        </w:rPr>
        <w:t>土地覆盖分类体系（如表2所示），</w:t>
      </w:r>
      <w:r>
        <w:rPr>
          <w:rFonts w:hint="eastAsia" w:ascii="仿宋" w:hAnsi="仿宋" w:eastAsia="仿宋"/>
          <w:sz w:val="32"/>
          <w:szCs w:val="32"/>
        </w:rPr>
        <w:t>完成蒙山县</w:t>
      </w:r>
      <w:r>
        <w:rPr>
          <w:rFonts w:ascii="仿宋" w:hAnsi="仿宋" w:eastAsia="仿宋"/>
          <w:sz w:val="32"/>
          <w:szCs w:val="32"/>
        </w:rPr>
        <w:t>生态系统类型2015-2020</w:t>
      </w:r>
      <w:r>
        <w:rPr>
          <w:rFonts w:hint="eastAsia" w:ascii="仿宋" w:hAnsi="仿宋" w:eastAsia="仿宋"/>
          <w:sz w:val="32"/>
          <w:szCs w:val="32"/>
        </w:rPr>
        <w:t>年动态变化分析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keepNext/>
        <w:keepLines/>
        <w:widowControl/>
        <w:tabs>
          <w:tab w:val="left" w:pos="432"/>
        </w:tabs>
        <w:spacing w:line="0" w:lineRule="atLeast"/>
        <w:jc w:val="center"/>
        <w:rPr>
          <w:rFonts w:ascii="Times New Roman" w:hAnsi="Times New Roman" w:eastAsia="黑体" w:cs="Times New Roman"/>
          <w:bCs/>
          <w:kern w:val="44"/>
          <w:sz w:val="24"/>
          <w:szCs w:val="24"/>
        </w:rPr>
      </w:pPr>
      <w:r>
        <w:rPr>
          <w:rFonts w:ascii="Times New Roman" w:hAnsi="Times New Roman" w:eastAsia="黑体" w:cs="Times New Roman"/>
          <w:bCs/>
          <w:kern w:val="44"/>
          <w:sz w:val="24"/>
          <w:szCs w:val="24"/>
        </w:rPr>
        <w:t>表2土地覆盖分类体系</w:t>
      </w:r>
    </w:p>
    <w:tbl>
      <w:tblPr>
        <w:tblStyle w:val="8"/>
        <w:tblW w:w="920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28"/>
        <w:gridCol w:w="644"/>
        <w:gridCol w:w="1694"/>
        <w:gridCol w:w="57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427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序号</w:t>
            </w:r>
          </w:p>
        </w:tc>
        <w:tc>
          <w:tcPr>
            <w:tcW w:w="728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I级分类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代码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II级分类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指标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restart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728" w:type="dxa"/>
            <w:vMerge w:val="restart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林地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101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常绿阔叶林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自然或半自然植被，H=3-30m，C&gt;20%,不落叶，阔叶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102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落叶阔叶林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自然或半自然植被，H=3-30m，C&gt;20%,落叶，阔叶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103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常绿针叶林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自然或半自然植被，H=3-30m，C&gt;20%,不落叶，针叶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104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落叶针叶林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自然或半自然植被，H=3-30m，C&gt;20%,落叶，针叶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105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针阔混交林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自然或半自然植被，H=3-30m，C&gt;20%, 25%&lt;F &lt;75%,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106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常绿阔叶灌木林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自然或半自然植被，H=0.3-5m，C&gt;20%,不落叶，阔叶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107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落叶阔叶灌木林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自然或半自然植被，H=0.3-5m，C&gt;20%,落叶，阔叶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108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常绿针叶灌木林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自然或半自然植被，H=0.3-5m，C&gt;20%,不落叶，针叶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109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乔木园地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人工植被，H=3-30m，C&gt;20%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110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灌木园地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人工植被，H=0.3-5m，C&gt;20%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111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乔木绿地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人工植被，人工表面周围，H=3-30m，C&gt;20%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112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灌木绿地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人工植被，人工表面周围，H=0.3-5m，C&gt;20%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restart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728" w:type="dxa"/>
            <w:vMerge w:val="restart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草地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21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草甸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自然或半自然植被，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K&gt;1.5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，土壤水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饱和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，H=0.03-3m，C&gt;20%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22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草原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自然或半自然植被，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 xml:space="preserve"> K=0.9-1.5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，H=0.03-3m，C&gt;20%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23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草丛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自然或半自然植被，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K&gt;1.5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，H=0.03-3m，C&gt;20%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24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草本绿地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人工植被，人工表面周围，H=0.03-3m，C&gt;20%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restart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  <w:tc>
          <w:tcPr>
            <w:tcW w:w="728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湿地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31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森林沼泽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自然或半自然植被，T&gt;2或湿土，H=3-30m，C&gt;20%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32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灌丛沼泽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自然或半自然植被，T&gt;2或湿土，H=0.3-5m，C&gt;20%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33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草本沼泽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自然或半自然植被，T&gt;2或湿土，H=0.03-3m，C&gt;20%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34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湖泊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自然水面，静止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35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水库/坑塘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人工水面，静止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河流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自然水面，流动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37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运河/水渠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人工水面，流动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restart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</w:t>
            </w:r>
          </w:p>
        </w:tc>
        <w:tc>
          <w:tcPr>
            <w:tcW w:w="728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耕地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41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水田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人工植被，土地扰动，水生作物，收割过程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42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旱地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人工植被，土地扰动，旱生作物，收割过程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restart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5</w:t>
            </w:r>
          </w:p>
        </w:tc>
        <w:tc>
          <w:tcPr>
            <w:tcW w:w="728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人工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表面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51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居住地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人工硬表面，居住建筑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52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ind w:right="-2" w:rightChars="-1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工业用地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人工硬表面，生产建筑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53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交通用地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人工硬表面，线状特征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54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采矿场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人工挖掘表面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restart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6</w:t>
            </w:r>
          </w:p>
        </w:tc>
        <w:tc>
          <w:tcPr>
            <w:tcW w:w="728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其它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61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稀疏林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自然或半自然植被，H=3-30m，C=4-20%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62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稀疏灌木林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自然或半自然植被，H=0.3-5m，C=4-20%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63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稀疏草地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自然或半自然植被，H=0.03-3m，C=4-20%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64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苔藓/地衣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自然，微生物覆盖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65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裸岩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自然，坚硬表面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66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裸土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自然，松散表面，壤质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67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沙漠/沙地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自然，松散表面，沙质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68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盐碱地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自然，松散表面，高盐分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69</w:t>
            </w:r>
          </w:p>
        </w:tc>
        <w:tc>
          <w:tcPr>
            <w:tcW w:w="1694" w:type="dxa"/>
            <w:shd w:val="clear" w:color="auto" w:fill="FFFFFF"/>
            <w:vAlign w:val="center"/>
          </w:tcPr>
          <w:p>
            <w:pPr>
              <w:widowControl/>
              <w:spacing w:line="0" w:lineRule="atLeast"/>
              <w:ind w:right="-107" w:rightChars="-51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冰川/永久积雪</w:t>
            </w:r>
          </w:p>
        </w:tc>
        <w:tc>
          <w:tcPr>
            <w:tcW w:w="570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自然，水的固态</w:t>
            </w:r>
          </w:p>
        </w:tc>
      </w:tr>
    </w:tbl>
    <w:p>
      <w:pPr>
        <w:spacing w:line="0" w:lineRule="atLeast"/>
        <w:ind w:right="-899" w:rightChars="-428"/>
        <w:jc w:val="left"/>
        <w:rPr>
          <w:rFonts w:ascii="Times New Roman" w:hAnsi="Times New Roman" w:eastAsia="黑体" w:cs="Times New Roman"/>
          <w:szCs w:val="24"/>
        </w:rPr>
      </w:pPr>
      <w:r>
        <w:rPr>
          <w:rFonts w:ascii="Times New Roman" w:hAnsi="Times New Roman" w:eastAsia="黑体" w:cs="Times New Roman"/>
          <w:sz w:val="18"/>
          <w:szCs w:val="18"/>
        </w:rPr>
        <w:t>注：C：覆盖度\郁闭度（%）；F：针阔比率（%）；H：植被高度（米）； T：水一年覆盖时间（月）；</w:t>
      </w:r>
      <w:r>
        <w:rPr>
          <w:rFonts w:ascii="Times New Roman" w:hAnsi="Times New Roman" w:eastAsia="黑体" w:cs="Times New Roman"/>
          <w:kern w:val="0"/>
          <w:sz w:val="20"/>
          <w:szCs w:val="20"/>
        </w:rPr>
        <w:t>K：</w:t>
      </w:r>
      <w:r>
        <w:rPr>
          <w:rFonts w:ascii="Times New Roman" w:hAnsi="Times New Roman" w:eastAsia="黑体" w:cs="Times New Roman"/>
          <w:sz w:val="18"/>
          <w:szCs w:val="18"/>
        </w:rPr>
        <w:t>湿润指数</w:t>
      </w:r>
      <w:r>
        <w:rPr>
          <w:rFonts w:ascii="Times New Roman" w:hAnsi="Times New Roman" w:eastAsia="黑体" w:cs="Times New Roman"/>
          <w:szCs w:val="24"/>
        </w:rPr>
        <w:t>。</w:t>
      </w:r>
    </w:p>
    <w:p>
      <w:pPr>
        <w:outlineLvl w:val="1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（2）生态系统构成及格局评价指标</w:t>
      </w:r>
    </w:p>
    <w:p>
      <w:pPr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评价</w:t>
      </w:r>
      <w:r>
        <w:rPr>
          <w:rFonts w:hint="eastAsia" w:ascii="仿宋" w:hAnsi="仿宋" w:eastAsia="仿宋"/>
          <w:sz w:val="32"/>
          <w:szCs w:val="32"/>
        </w:rPr>
        <w:t>蒙山县2015、2020两个年度</w:t>
      </w:r>
      <w:r>
        <w:rPr>
          <w:rFonts w:ascii="仿宋" w:hAnsi="仿宋" w:eastAsia="仿宋"/>
          <w:sz w:val="32"/>
          <w:szCs w:val="32"/>
        </w:rPr>
        <w:t>生态系统类型、分布、比例与空间格局，分析各类型生态系统相互转化特征，生态系统格局评价指标体系如表3所示。</w:t>
      </w:r>
    </w:p>
    <w:p>
      <w:pPr>
        <w:keepNext/>
        <w:keepLines/>
        <w:widowControl/>
        <w:tabs>
          <w:tab w:val="left" w:pos="432"/>
        </w:tabs>
        <w:spacing w:line="0" w:lineRule="atLeast"/>
        <w:jc w:val="center"/>
        <w:rPr>
          <w:rFonts w:ascii="Times New Roman" w:hAnsi="Times New Roman" w:eastAsia="黑体" w:cs="Times New Roman"/>
          <w:bCs/>
          <w:kern w:val="44"/>
          <w:sz w:val="24"/>
          <w:szCs w:val="24"/>
        </w:rPr>
      </w:pPr>
    </w:p>
    <w:p>
      <w:pPr>
        <w:keepNext/>
        <w:keepLines/>
        <w:widowControl/>
        <w:tabs>
          <w:tab w:val="left" w:pos="432"/>
        </w:tabs>
        <w:spacing w:line="0" w:lineRule="atLeast"/>
        <w:jc w:val="center"/>
        <w:rPr>
          <w:rFonts w:ascii="Times New Roman" w:hAnsi="Times New Roman" w:eastAsia="黑体" w:cs="Times New Roman"/>
          <w:bCs/>
          <w:kern w:val="44"/>
          <w:sz w:val="24"/>
          <w:szCs w:val="24"/>
        </w:rPr>
      </w:pPr>
      <w:r>
        <w:rPr>
          <w:rFonts w:ascii="Times New Roman" w:hAnsi="Times New Roman" w:eastAsia="黑体" w:cs="Times New Roman"/>
          <w:bCs/>
          <w:kern w:val="44"/>
          <w:sz w:val="24"/>
          <w:szCs w:val="24"/>
        </w:rPr>
        <w:t>表3生态系统格局及变化评价指标</w:t>
      </w:r>
    </w:p>
    <w:tbl>
      <w:tblPr>
        <w:tblStyle w:val="8"/>
        <w:tblW w:w="8522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4"/>
        <w:gridCol w:w="525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264" w:type="dxa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评价内容</w:t>
            </w:r>
          </w:p>
        </w:tc>
        <w:tc>
          <w:tcPr>
            <w:tcW w:w="525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评价指标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64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生态系统构成</w:t>
            </w:r>
          </w:p>
        </w:tc>
        <w:tc>
          <w:tcPr>
            <w:tcW w:w="5258" w:type="dxa"/>
            <w:shd w:val="clear" w:color="auto" w:fill="auto"/>
            <w:vAlign w:val="center"/>
          </w:tcPr>
          <w:p>
            <w:pPr>
              <w:widowControl/>
              <w:tabs>
                <w:tab w:val="left" w:pos="269"/>
              </w:tabs>
              <w:snapToGrid w:val="0"/>
              <w:spacing w:line="0" w:lineRule="atLeas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生态系统面积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64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58" w:type="dxa"/>
            <w:shd w:val="clear" w:color="auto" w:fill="auto"/>
            <w:vAlign w:val="center"/>
          </w:tcPr>
          <w:p>
            <w:pPr>
              <w:widowControl/>
              <w:tabs>
                <w:tab w:val="left" w:pos="269"/>
              </w:tabs>
              <w:snapToGrid w:val="0"/>
              <w:spacing w:line="0" w:lineRule="atLeas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生态系统构成比例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64" w:type="dxa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生态系统构成变化</w:t>
            </w:r>
          </w:p>
        </w:tc>
        <w:tc>
          <w:tcPr>
            <w:tcW w:w="5258" w:type="dxa"/>
            <w:shd w:val="clear" w:color="auto" w:fill="auto"/>
            <w:vAlign w:val="center"/>
          </w:tcPr>
          <w:p>
            <w:pPr>
              <w:tabs>
                <w:tab w:val="left" w:pos="269"/>
              </w:tabs>
              <w:snapToGrid w:val="0"/>
              <w:spacing w:line="0" w:lineRule="atLeas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类型面积变化率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64" w:type="dxa"/>
            <w:vMerge w:val="restart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生态系统景观格局特征及其变化</w:t>
            </w:r>
          </w:p>
        </w:tc>
        <w:tc>
          <w:tcPr>
            <w:tcW w:w="5258" w:type="dxa"/>
            <w:shd w:val="clear" w:color="auto" w:fill="auto"/>
            <w:vAlign w:val="center"/>
          </w:tcPr>
          <w:p>
            <w:pPr>
              <w:widowControl/>
              <w:tabs>
                <w:tab w:val="left" w:pos="269"/>
              </w:tabs>
              <w:snapToGrid w:val="0"/>
              <w:spacing w:line="0" w:lineRule="atLeas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斑块数（NP）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64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58" w:type="dxa"/>
            <w:shd w:val="clear" w:color="auto" w:fill="auto"/>
            <w:vAlign w:val="center"/>
          </w:tcPr>
          <w:p>
            <w:pPr>
              <w:widowControl/>
              <w:tabs>
                <w:tab w:val="left" w:pos="269"/>
              </w:tabs>
              <w:snapToGrid w:val="0"/>
              <w:spacing w:line="0" w:lineRule="atLeas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平均斑块面积（MPS）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64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5258" w:type="dxa"/>
            <w:shd w:val="clear" w:color="auto" w:fill="auto"/>
            <w:vAlign w:val="center"/>
          </w:tcPr>
          <w:p>
            <w:pPr>
              <w:tabs>
                <w:tab w:val="left" w:pos="269"/>
              </w:tabs>
              <w:snapToGrid w:val="0"/>
              <w:spacing w:line="0" w:lineRule="atLeas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类斑块平均面积（MPST）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64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5258" w:type="dxa"/>
            <w:shd w:val="clear" w:color="auto" w:fill="auto"/>
            <w:vAlign w:val="center"/>
          </w:tcPr>
          <w:p>
            <w:pPr>
              <w:tabs>
                <w:tab w:val="left" w:pos="269"/>
              </w:tabs>
              <w:snapToGrid w:val="0"/>
              <w:spacing w:line="0" w:lineRule="atLeas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边界密度(m/hm</w:t>
            </w:r>
            <w:r>
              <w:rPr>
                <w:rFonts w:cs="Times New Roman" w:asciiTheme="minorEastAsia" w:hAnsiTheme="minorEastAsia"/>
                <w:kern w:val="0"/>
                <w:szCs w:val="21"/>
                <w:vertAlign w:val="superscript"/>
              </w:rPr>
              <w:t>2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)（ED）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64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5258" w:type="dxa"/>
            <w:shd w:val="clear" w:color="auto" w:fill="auto"/>
            <w:vAlign w:val="center"/>
          </w:tcPr>
          <w:p>
            <w:pPr>
              <w:widowControl/>
              <w:tabs>
                <w:tab w:val="left" w:pos="317"/>
              </w:tabs>
              <w:snapToGrid w:val="0"/>
              <w:spacing w:line="0" w:lineRule="atLeas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聚集度指数(%)（CONT）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64" w:type="dxa"/>
            <w:vMerge w:val="restart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生态系统结构变化各类型</w:t>
            </w:r>
            <w:r>
              <w:rPr>
                <w:rFonts w:cs="Times New Roman" w:asciiTheme="minorEastAsia" w:hAnsiTheme="minorEastAsia"/>
                <w:szCs w:val="21"/>
              </w:rPr>
              <w:t>之间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相互转换特征</w:t>
            </w:r>
          </w:p>
        </w:tc>
        <w:tc>
          <w:tcPr>
            <w:tcW w:w="5258" w:type="dxa"/>
            <w:shd w:val="clear" w:color="auto" w:fill="auto"/>
            <w:vAlign w:val="center"/>
          </w:tcPr>
          <w:p>
            <w:pPr>
              <w:widowControl/>
              <w:tabs>
                <w:tab w:val="left" w:pos="317"/>
              </w:tabs>
              <w:snapToGrid w:val="0"/>
              <w:spacing w:line="0" w:lineRule="atLeas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生态系统类型变化方向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64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5258" w:type="dxa"/>
            <w:shd w:val="clear" w:color="auto" w:fill="auto"/>
            <w:vAlign w:val="center"/>
          </w:tcPr>
          <w:p>
            <w:pPr>
              <w:widowControl/>
              <w:tabs>
                <w:tab w:val="left" w:pos="317"/>
              </w:tabs>
              <w:snapToGrid w:val="0"/>
              <w:spacing w:line="0" w:lineRule="atLeas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综合生态系统动态度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64" w:type="dxa"/>
            <w:vMerge w:val="continue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525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类型相互转化强度</w:t>
            </w:r>
          </w:p>
        </w:tc>
      </w:tr>
    </w:tbl>
    <w:p>
      <w:pPr>
        <w:outlineLvl w:val="1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3、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矢量数据库建库</w:t>
      </w:r>
    </w:p>
    <w:p>
      <w:pPr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基于1：25万比例尺地形图，建立蒙山县禁止开发区和生态保护红线勘界定标试点矢量数据库，数据格式为.s</w:t>
      </w:r>
      <w:r>
        <w:rPr>
          <w:rFonts w:ascii="仿宋" w:hAnsi="仿宋" w:eastAsia="仿宋"/>
          <w:sz w:val="32"/>
          <w:szCs w:val="32"/>
        </w:rPr>
        <w:t>hp。</w:t>
      </w:r>
      <w:r>
        <w:rPr>
          <w:rFonts w:hint="eastAsia" w:ascii="仿宋" w:hAnsi="仿宋" w:eastAsia="仿宋"/>
          <w:sz w:val="32"/>
          <w:szCs w:val="32"/>
        </w:rPr>
        <w:t>坐标为国家大地2000坐标。</w:t>
      </w:r>
    </w:p>
    <w:p>
      <w:pPr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禁止开发区包括：</w:t>
      </w:r>
    </w:p>
    <w:p>
      <w:pPr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（1）有关法律法规规章确定的禁止开发区域：</w:t>
      </w: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ascii="仿宋" w:hAnsi="仿宋" w:eastAsia="仿宋"/>
          <w:sz w:val="32"/>
          <w:szCs w:val="32"/>
        </w:rPr>
        <w:t>国家公园；</w:t>
      </w:r>
      <w:r>
        <w:rPr>
          <w:rFonts w:hint="eastAsia" w:ascii="仿宋" w:hAnsi="仿宋" w:eastAsia="仿宋"/>
          <w:sz w:val="32"/>
          <w:szCs w:val="32"/>
        </w:rPr>
        <w:t>②</w:t>
      </w:r>
      <w:r>
        <w:rPr>
          <w:rFonts w:ascii="仿宋" w:hAnsi="仿宋" w:eastAsia="仿宋"/>
          <w:sz w:val="32"/>
          <w:szCs w:val="32"/>
        </w:rPr>
        <w:t>自然保护区；</w:t>
      </w:r>
      <w:r>
        <w:rPr>
          <w:rFonts w:hint="eastAsia" w:ascii="仿宋" w:hAnsi="仿宋" w:eastAsia="仿宋"/>
          <w:sz w:val="32"/>
          <w:szCs w:val="32"/>
        </w:rPr>
        <w:t>③</w:t>
      </w:r>
      <w:r>
        <w:rPr>
          <w:rFonts w:ascii="仿宋" w:hAnsi="仿宋" w:eastAsia="仿宋"/>
          <w:sz w:val="32"/>
          <w:szCs w:val="32"/>
        </w:rPr>
        <w:t>森林公园的生态保育区和核心景观区；</w:t>
      </w:r>
      <w:r>
        <w:rPr>
          <w:rFonts w:hint="eastAsia" w:ascii="仿宋" w:hAnsi="仿宋" w:eastAsia="仿宋"/>
          <w:sz w:val="32"/>
          <w:szCs w:val="32"/>
        </w:rPr>
        <w:t>④</w:t>
      </w:r>
      <w:r>
        <w:rPr>
          <w:rFonts w:ascii="仿宋" w:hAnsi="仿宋" w:eastAsia="仿宋"/>
          <w:sz w:val="32"/>
          <w:szCs w:val="32"/>
        </w:rPr>
        <w:t>风景名胜区（除人文景观类外）核心景区；</w:t>
      </w: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ascii="仿宋" w:hAnsi="仿宋" w:eastAsia="仿宋"/>
          <w:sz w:val="32"/>
          <w:szCs w:val="32"/>
        </w:rPr>
        <w:t>地质公园的地质遗迹保护区；</w:t>
      </w: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ascii="仿宋" w:hAnsi="仿宋" w:eastAsia="仿宋"/>
          <w:sz w:val="32"/>
          <w:szCs w:val="32"/>
        </w:rPr>
        <w:t>世界自然遗产的核心区和缓冲区；</w:t>
      </w:r>
      <w:r>
        <w:rPr>
          <w:rFonts w:hint="eastAsia" w:ascii="仿宋" w:hAnsi="仿宋" w:eastAsia="仿宋"/>
          <w:sz w:val="32"/>
          <w:szCs w:val="32"/>
        </w:rPr>
        <w:t>⑦</w:t>
      </w:r>
      <w:r>
        <w:rPr>
          <w:rFonts w:ascii="仿宋" w:hAnsi="仿宋" w:eastAsia="仿宋"/>
          <w:sz w:val="32"/>
          <w:szCs w:val="32"/>
        </w:rPr>
        <w:t>河湖、湿地公园的湿地保育区和恢复重建区；</w:t>
      </w:r>
      <w:r>
        <w:rPr>
          <w:rFonts w:hint="eastAsia" w:ascii="仿宋" w:hAnsi="仿宋" w:eastAsia="仿宋"/>
          <w:sz w:val="32"/>
          <w:szCs w:val="32"/>
        </w:rPr>
        <w:t>⑧</w:t>
      </w:r>
      <w:r>
        <w:rPr>
          <w:rFonts w:ascii="仿宋" w:hAnsi="仿宋" w:eastAsia="仿宋"/>
          <w:sz w:val="32"/>
          <w:szCs w:val="32"/>
        </w:rPr>
        <w:t>县级及以上集中式饮用水水源一级保护区；</w:t>
      </w:r>
      <w:r>
        <w:rPr>
          <w:rFonts w:hint="eastAsia" w:ascii="仿宋" w:hAnsi="仿宋" w:eastAsia="仿宋"/>
          <w:sz w:val="32"/>
          <w:szCs w:val="32"/>
        </w:rPr>
        <w:t>⑨</w:t>
      </w:r>
      <w:r>
        <w:rPr>
          <w:rFonts w:ascii="仿宋" w:hAnsi="仿宋" w:eastAsia="仿宋"/>
          <w:sz w:val="32"/>
          <w:szCs w:val="32"/>
        </w:rPr>
        <w:t>水产种质资源保护区的核心区；</w:t>
      </w:r>
      <w:r>
        <w:rPr>
          <w:rFonts w:hint="eastAsia" w:ascii="仿宋" w:hAnsi="仿宋" w:eastAsia="仿宋"/>
          <w:sz w:val="32"/>
          <w:szCs w:val="32"/>
        </w:rPr>
        <w:t>⑩</w:t>
      </w:r>
      <w:r>
        <w:rPr>
          <w:rFonts w:ascii="仿宋" w:hAnsi="仿宋" w:eastAsia="仿宋"/>
          <w:sz w:val="32"/>
          <w:szCs w:val="32"/>
        </w:rPr>
        <w:t>其他类型禁止开发区的核心保护区域。</w:t>
      </w:r>
    </w:p>
    <w:p>
      <w:pPr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（2）其他各类保护区域：</w:t>
      </w: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ascii="仿宋" w:hAnsi="仿宋" w:eastAsia="仿宋"/>
          <w:sz w:val="32"/>
          <w:szCs w:val="32"/>
        </w:rPr>
        <w:t>极小种群物种分布的栖息地；</w:t>
      </w:r>
      <w:r>
        <w:rPr>
          <w:rFonts w:hint="eastAsia" w:ascii="仿宋" w:hAnsi="仿宋" w:eastAsia="仿宋"/>
          <w:sz w:val="32"/>
          <w:szCs w:val="32"/>
        </w:rPr>
        <w:t>②</w:t>
      </w:r>
      <w:r>
        <w:rPr>
          <w:rFonts w:ascii="仿宋" w:hAnsi="仿宋" w:eastAsia="仿宋"/>
          <w:sz w:val="32"/>
          <w:szCs w:val="32"/>
        </w:rPr>
        <w:t>一级国家级公益林；</w:t>
      </w:r>
      <w:r>
        <w:rPr>
          <w:rFonts w:hint="eastAsia" w:ascii="仿宋" w:hAnsi="仿宋" w:eastAsia="仿宋"/>
          <w:sz w:val="32"/>
          <w:szCs w:val="32"/>
        </w:rPr>
        <w:t>③</w:t>
      </w:r>
      <w:r>
        <w:rPr>
          <w:rFonts w:ascii="仿宋" w:hAnsi="仿宋" w:eastAsia="仿宋"/>
          <w:sz w:val="32"/>
          <w:szCs w:val="32"/>
        </w:rPr>
        <w:t>重要河湖、湿地（含滨海湿地）；</w:t>
      </w:r>
      <w:r>
        <w:rPr>
          <w:rFonts w:hint="eastAsia" w:ascii="仿宋" w:hAnsi="仿宋" w:eastAsia="仿宋"/>
          <w:sz w:val="32"/>
          <w:szCs w:val="32"/>
        </w:rPr>
        <w:t>④</w:t>
      </w:r>
      <w:r>
        <w:rPr>
          <w:rFonts w:ascii="仿宋" w:hAnsi="仿宋" w:eastAsia="仿宋"/>
          <w:sz w:val="32"/>
          <w:szCs w:val="32"/>
        </w:rPr>
        <w:t>国家级水土流失重点预防区；</w:t>
      </w: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ascii="仿宋" w:hAnsi="仿宋" w:eastAsia="仿宋"/>
          <w:sz w:val="32"/>
          <w:szCs w:val="32"/>
        </w:rPr>
        <w:t>野生植物集中分布地；</w:t>
      </w: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ascii="仿宋" w:hAnsi="仿宋" w:eastAsia="仿宋"/>
          <w:sz w:val="32"/>
          <w:szCs w:val="32"/>
        </w:rPr>
        <w:t>自然岸线；</w:t>
      </w:r>
      <w:r>
        <w:rPr>
          <w:rFonts w:hint="eastAsia" w:ascii="仿宋" w:hAnsi="仿宋" w:eastAsia="仿宋"/>
          <w:sz w:val="32"/>
          <w:szCs w:val="32"/>
        </w:rPr>
        <w:t>⑦</w:t>
      </w:r>
      <w:r>
        <w:rPr>
          <w:rFonts w:ascii="仿宋" w:hAnsi="仿宋" w:eastAsia="仿宋"/>
          <w:sz w:val="32"/>
          <w:szCs w:val="32"/>
        </w:rPr>
        <w:t>可能造成生境破碎化，影响生态廊道的连通性、自然生态整体性和系统性的重要区域。</w:t>
      </w:r>
    </w:p>
    <w:p>
      <w:pPr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（3）</w:t>
      </w:r>
      <w:r>
        <w:rPr>
          <w:rFonts w:hint="eastAsia" w:ascii="仿宋" w:hAnsi="仿宋" w:eastAsia="仿宋"/>
          <w:sz w:val="32"/>
          <w:szCs w:val="32"/>
        </w:rPr>
        <w:t>蒙山县生态保护红线勘界定标试点矢量数据集（包括勘界定标280个界桩矢量数据（经纬度、编号）；51个标志牌矢量数据（经纬度、编号、属性表（生态功能区概述，管控要求））。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三、服务地点</w:t>
      </w:r>
    </w:p>
    <w:p>
      <w:pPr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梧州市蒙山县。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四、服务时间</w:t>
      </w:r>
    </w:p>
    <w:p>
      <w:pPr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2022年7-10月。具体任务节点见表4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360" w:lineRule="auto"/>
        <w:jc w:val="center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44"/>
          <w:sz w:val="24"/>
          <w:szCs w:val="24"/>
        </w:rPr>
        <w:t xml:space="preserve">表4  </w:t>
      </w:r>
      <w:r>
        <w:rPr>
          <w:rFonts w:hint="eastAsia" w:ascii="Times New Roman" w:hAnsi="Times New Roman" w:eastAsia="黑体" w:cs="Times New Roman"/>
          <w:bCs/>
          <w:kern w:val="44"/>
          <w:sz w:val="24"/>
          <w:szCs w:val="24"/>
        </w:rPr>
        <w:t>工作计划与工作内容</w:t>
      </w:r>
    </w:p>
    <w:tbl>
      <w:tblPr>
        <w:tblStyle w:val="8"/>
        <w:tblW w:w="8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402"/>
        <w:gridCol w:w="4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工作时限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utlineLvl w:val="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2022年8月31日前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outlineLvl w:val="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生态环境现状调查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utlineLvl w:val="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2022年9月30日前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outlineLvl w:val="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生态环境状况评估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utlineLvl w:val="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2022年8月31日前</w:t>
            </w:r>
          </w:p>
        </w:tc>
        <w:tc>
          <w:tcPr>
            <w:tcW w:w="4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outlineLvl w:val="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矢量数据库建库</w:t>
            </w:r>
          </w:p>
        </w:tc>
      </w:tr>
    </w:tbl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五、付款方式</w:t>
      </w:r>
    </w:p>
    <w:p>
      <w:pPr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银行转账支付。合同签订后支付20%的合同款；数据表、技术报告验收通过后支付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0%的合同款；矢量数据库验收通过后支付40%的合同款。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16"/>
    <w:rsid w:val="000811AA"/>
    <w:rsid w:val="00084007"/>
    <w:rsid w:val="000D1197"/>
    <w:rsid w:val="00113149"/>
    <w:rsid w:val="00171478"/>
    <w:rsid w:val="00174D0C"/>
    <w:rsid w:val="0017724B"/>
    <w:rsid w:val="00202A17"/>
    <w:rsid w:val="002536D1"/>
    <w:rsid w:val="002E020C"/>
    <w:rsid w:val="002F031F"/>
    <w:rsid w:val="00311BE5"/>
    <w:rsid w:val="00313936"/>
    <w:rsid w:val="0032105E"/>
    <w:rsid w:val="00361F79"/>
    <w:rsid w:val="003D64E0"/>
    <w:rsid w:val="003E225B"/>
    <w:rsid w:val="004246EA"/>
    <w:rsid w:val="00475F0F"/>
    <w:rsid w:val="004D1D5A"/>
    <w:rsid w:val="00551DC2"/>
    <w:rsid w:val="005A2BCC"/>
    <w:rsid w:val="005B0DC1"/>
    <w:rsid w:val="005B6716"/>
    <w:rsid w:val="005E4962"/>
    <w:rsid w:val="00602E80"/>
    <w:rsid w:val="00646B60"/>
    <w:rsid w:val="006A5C97"/>
    <w:rsid w:val="006B7BA5"/>
    <w:rsid w:val="006D4326"/>
    <w:rsid w:val="006E0EE5"/>
    <w:rsid w:val="007D40D7"/>
    <w:rsid w:val="00821083"/>
    <w:rsid w:val="008B0FDB"/>
    <w:rsid w:val="009422FB"/>
    <w:rsid w:val="009F74FB"/>
    <w:rsid w:val="00A37328"/>
    <w:rsid w:val="00AB2A2E"/>
    <w:rsid w:val="00AC5E05"/>
    <w:rsid w:val="00B04102"/>
    <w:rsid w:val="00B060C8"/>
    <w:rsid w:val="00B87EB0"/>
    <w:rsid w:val="00BB7B55"/>
    <w:rsid w:val="00C02A25"/>
    <w:rsid w:val="00C517D1"/>
    <w:rsid w:val="00CB2D66"/>
    <w:rsid w:val="00CB7801"/>
    <w:rsid w:val="00CD5FBC"/>
    <w:rsid w:val="00D9151A"/>
    <w:rsid w:val="00E21565"/>
    <w:rsid w:val="00E30D84"/>
    <w:rsid w:val="00E34E1F"/>
    <w:rsid w:val="00E71CEF"/>
    <w:rsid w:val="00E80936"/>
    <w:rsid w:val="00F43B4F"/>
    <w:rsid w:val="00F8541B"/>
    <w:rsid w:val="00FA23FF"/>
    <w:rsid w:val="077E21D1"/>
    <w:rsid w:val="1C0E3E09"/>
    <w:rsid w:val="1E540347"/>
    <w:rsid w:val="248748E1"/>
    <w:rsid w:val="28B925CF"/>
    <w:rsid w:val="2E3E62AF"/>
    <w:rsid w:val="32C1092B"/>
    <w:rsid w:val="347D295D"/>
    <w:rsid w:val="38C75651"/>
    <w:rsid w:val="3F2C0F6D"/>
    <w:rsid w:val="488B04D4"/>
    <w:rsid w:val="79CD33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830" w:firstLineChars="352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3">
    <w:name w:val="Plain Text"/>
    <w:basedOn w:val="1"/>
    <w:next w:val="4"/>
    <w:link w:val="12"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正文文本缩进 Char"/>
    <w:link w:val="2"/>
    <w:qFormat/>
    <w:uiPriority w:val="0"/>
    <w:rPr>
      <w:rFonts w:ascii="仿宋_GB2312" w:eastAsia="仿宋_GB2312"/>
      <w:sz w:val="32"/>
    </w:rPr>
  </w:style>
  <w:style w:type="character" w:customStyle="1" w:styleId="12">
    <w:name w:val="纯文本 Char1"/>
    <w:link w:val="3"/>
    <w:qFormat/>
    <w:uiPriority w:val="0"/>
    <w:rPr>
      <w:rFonts w:ascii="宋体" w:hAnsi="Courier New" w:cs="Courier New"/>
      <w:szCs w:val="21"/>
    </w:rPr>
  </w:style>
  <w:style w:type="character" w:customStyle="1" w:styleId="13">
    <w:name w:val="纯文本 Char"/>
    <w:basedOn w:val="7"/>
    <w:semiHidden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4">
    <w:name w:val="正文文本缩进 Char1"/>
    <w:basedOn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日期 Char"/>
    <w:basedOn w:val="7"/>
    <w:link w:val="4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15ECE-28A3-4F25-B9EA-3AFEE11B7C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880</Words>
  <Characters>5018</Characters>
  <Lines>41</Lines>
  <Paragraphs>11</Paragraphs>
  <TotalTime>8</TotalTime>
  <ScaleCrop>false</ScaleCrop>
  <LinksUpToDate>false</LinksUpToDate>
  <CharactersWithSpaces>5887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2022-07-28T03:15:00Z</dcterms:created>
  <dc:creator>毛位新</dc:creator>
  <cp:lastModifiedBy>李柄男</cp:lastModifiedBy>
  <dcterms:modified xsi:type="dcterms:W3CDTF">2022-08-01T08:34:06Z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