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r>
        <w:rPr>
          <w:rFonts w:hint="eastAsia" w:ascii="方正小标宋_GBK" w:hAnsi="方正小标宋_GBK" w:eastAsia="方正小标宋_GBK" w:cs="方正小标宋_GBK"/>
          <w:color w:val="auto"/>
          <w:sz w:val="32"/>
          <w:szCs w:val="32"/>
          <w:highlight w:val="none"/>
          <w:lang w:val="en-US" w:eastAsia="zh-CN"/>
        </w:rPr>
        <w:t>钦州市酸雨自动在线监测系统运维服务采购需求</w:t>
      </w:r>
    </w:p>
    <w:tbl>
      <w:tblPr>
        <w:tblStyle w:val="3"/>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483"/>
        <w:gridCol w:w="7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color w:val="auto"/>
                <w:szCs w:val="21"/>
                <w:highlight w:val="none"/>
              </w:rPr>
            </w:pPr>
            <w:r>
              <w:rPr>
                <w:rFonts w:hint="eastAsia"/>
                <w:b/>
                <w:bCs/>
                <w:color w:val="auto"/>
                <w:szCs w:val="21"/>
                <w:highlight w:val="none"/>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ign w:val="center"/>
          </w:tcPr>
          <w:p>
            <w:pPr>
              <w:spacing w:line="360" w:lineRule="auto"/>
              <w:jc w:val="center"/>
              <w:rPr>
                <w:color w:val="auto"/>
                <w:szCs w:val="21"/>
                <w:highlight w:val="none"/>
              </w:rPr>
            </w:pPr>
            <w:r>
              <w:rPr>
                <w:rFonts w:hint="eastAsia"/>
                <w:b/>
                <w:color w:val="auto"/>
                <w:szCs w:val="21"/>
                <w:highlight w:val="none"/>
              </w:rPr>
              <w:t>名称</w:t>
            </w:r>
          </w:p>
        </w:tc>
        <w:tc>
          <w:tcPr>
            <w:tcW w:w="483" w:type="dxa"/>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auto"/>
                <w:szCs w:val="21"/>
                <w:highlight w:val="none"/>
              </w:rPr>
            </w:pPr>
            <w:r>
              <w:rPr>
                <w:rFonts w:hint="eastAsia"/>
                <w:b/>
                <w:color w:val="auto"/>
                <w:szCs w:val="21"/>
                <w:highlight w:val="none"/>
              </w:rPr>
              <w:t>数量</w:t>
            </w:r>
          </w:p>
        </w:tc>
        <w:tc>
          <w:tcPr>
            <w:tcW w:w="7428" w:type="dxa"/>
            <w:noWrap/>
            <w:vAlign w:val="center"/>
          </w:tcPr>
          <w:p>
            <w:pPr>
              <w:spacing w:line="360" w:lineRule="auto"/>
              <w:jc w:val="center"/>
              <w:rPr>
                <w:rFonts w:hint="eastAsia" w:eastAsia="宋体"/>
                <w:color w:val="auto"/>
                <w:szCs w:val="21"/>
                <w:highlight w:val="none"/>
                <w:lang w:eastAsia="zh-CN"/>
              </w:rPr>
            </w:pPr>
            <w:r>
              <w:rPr>
                <w:rFonts w:hint="eastAsia"/>
                <w:color w:val="auto"/>
                <w:szCs w:val="21"/>
                <w:highlight w:val="none"/>
                <w:lang w:val="en-US"/>
              </w:rPr>
              <w:t>需求</w:t>
            </w:r>
            <w:r>
              <w:rPr>
                <w:rFonts w:hint="eastAsia"/>
                <w:color w:val="auto"/>
                <w:szCs w:val="21"/>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65" w:type="dxa"/>
            <w:noWrap/>
            <w:vAlign w:val="center"/>
          </w:tcPr>
          <w:p>
            <w:pPr>
              <w:rPr>
                <w:rFonts w:hint="eastAsia" w:eastAsia="宋体"/>
                <w:color w:val="auto"/>
                <w:highlight w:val="none"/>
                <w:lang w:val="en-US" w:eastAsia="zh-CN"/>
              </w:rPr>
            </w:pPr>
            <w:r>
              <w:rPr>
                <w:rFonts w:hint="eastAsia" w:ascii="宋体" w:hAnsi="宋体" w:eastAsia="宋体" w:cs="宋体"/>
                <w:color w:val="auto"/>
                <w:szCs w:val="21"/>
                <w:highlight w:val="none"/>
                <w:lang w:val="en-US" w:eastAsia="zh-CN"/>
              </w:rPr>
              <w:t>钦州市酸雨自动在线监测系统运维服务</w:t>
            </w:r>
          </w:p>
        </w:tc>
        <w:tc>
          <w:tcPr>
            <w:tcW w:w="483" w:type="dxa"/>
            <w:noWrap/>
            <w:vAlign w:val="center"/>
          </w:tcPr>
          <w:p>
            <w:pPr>
              <w:spacing w:line="360" w:lineRule="auto"/>
              <w:jc w:val="center"/>
              <w:rPr>
                <w:rFonts w:hint="eastAsia" w:eastAsia="宋体"/>
                <w:color w:val="auto"/>
                <w:highlight w:val="none"/>
                <w:lang w:val="en-US" w:eastAsia="zh-CN"/>
              </w:rPr>
            </w:pPr>
            <w:r>
              <w:rPr>
                <w:rFonts w:hint="eastAsia"/>
                <w:color w:val="auto"/>
                <w:highlight w:val="none"/>
                <w:lang w:val="en-US" w:eastAsia="zh-CN"/>
              </w:rPr>
              <w:t>1</w:t>
            </w:r>
          </w:p>
        </w:tc>
        <w:tc>
          <w:tcPr>
            <w:tcW w:w="7428" w:type="dxa"/>
            <w:noWrap/>
            <w:vAlign w:val="center"/>
          </w:tcPr>
          <w:p>
            <w:pPr>
              <w:ind w:firstLine="422" w:firstLineChars="200"/>
              <w:rPr>
                <w:rFonts w:hint="eastAsia"/>
                <w:b/>
                <w:bCs/>
                <w:color w:val="auto"/>
                <w:szCs w:val="21"/>
                <w:highlight w:val="none"/>
              </w:rPr>
            </w:pPr>
            <w:r>
              <w:rPr>
                <w:rFonts w:hint="eastAsia"/>
                <w:b/>
                <w:bCs/>
                <w:color w:val="auto"/>
                <w:szCs w:val="21"/>
                <w:highlight w:val="none"/>
              </w:rPr>
              <w:t>一、项目概况</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b/>
                <w:bCs/>
                <w:color w:val="auto"/>
                <w:szCs w:val="21"/>
                <w:highlight w:val="none"/>
              </w:rPr>
            </w:pPr>
            <w:r>
              <w:rPr>
                <w:rFonts w:hint="eastAsia"/>
                <w:color w:val="auto"/>
                <w:szCs w:val="21"/>
                <w:highlight w:val="none"/>
                <w:lang w:val="en-US"/>
              </w:rPr>
              <w:t>我中心负责</w:t>
            </w:r>
            <w:r>
              <w:rPr>
                <w:rFonts w:hint="eastAsia"/>
                <w:color w:val="auto"/>
                <w:szCs w:val="21"/>
                <w:highlight w:val="none"/>
                <w:lang w:val="en-US" w:eastAsia="zh-CN"/>
              </w:rPr>
              <w:t>的</w:t>
            </w:r>
            <w:r>
              <w:rPr>
                <w:rFonts w:hint="eastAsia"/>
                <w:color w:val="auto"/>
                <w:szCs w:val="21"/>
                <w:highlight w:val="none"/>
                <w:lang w:val="en-US"/>
              </w:rPr>
              <w:t>2个区控酸雨自动监测点和1个国控酸雨自动监测点的管理,拟委托社会化运维机构对这两个站点运维。</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22" w:firstLineChars="200"/>
              <w:textAlignment w:val="auto"/>
              <w:rPr>
                <w:rFonts w:hint="eastAsia"/>
                <w:b/>
                <w:bCs/>
                <w:color w:val="auto"/>
                <w:szCs w:val="21"/>
                <w:highlight w:val="none"/>
                <w:lang w:eastAsia="zh-CN"/>
              </w:rPr>
            </w:pPr>
            <w:r>
              <w:rPr>
                <w:rFonts w:hint="eastAsia"/>
                <w:b/>
                <w:bCs/>
                <w:color w:val="auto"/>
                <w:szCs w:val="21"/>
                <w:highlight w:val="none"/>
                <w:lang w:eastAsia="zh-CN"/>
              </w:rPr>
              <w:t>二、项目内容</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color w:val="auto"/>
                <w:szCs w:val="21"/>
                <w:highlight w:val="none"/>
                <w:lang w:val="en-US" w:eastAsia="zh-CN"/>
              </w:rPr>
            </w:pPr>
            <w:r>
              <w:rPr>
                <w:rFonts w:hint="eastAsia"/>
                <w:color w:val="auto"/>
                <w:szCs w:val="21"/>
                <w:highlight w:val="none"/>
                <w:lang w:val="en-US"/>
              </w:rPr>
              <w:t>对2个区控酸雨自动监测点和1个国控酸雨自动监测点监测仪器、辅助设备及系统开展一年的运行维护；同时负责对管理期间发生的试剂耗材、配件更换、水、电、通讯、仪器设备维修、采样送样等</w:t>
            </w:r>
            <w:r>
              <w:rPr>
                <w:rFonts w:hint="eastAsia"/>
                <w:color w:val="auto"/>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default" w:eastAsia="宋体" w:cs="Times New Roman"/>
                <w:color w:val="auto"/>
                <w:szCs w:val="21"/>
                <w:highlight w:val="none"/>
                <w:lang w:val="en-US" w:eastAsia="zh-CN"/>
              </w:rPr>
            </w:pPr>
            <w:r>
              <w:rPr>
                <w:rFonts w:hint="eastAsia" w:eastAsia="宋体" w:cs="Times New Roman"/>
                <w:color w:val="auto"/>
                <w:szCs w:val="21"/>
                <w:highlight w:val="none"/>
                <w:lang w:val="en-US" w:eastAsia="zh-CN"/>
              </w:rPr>
              <w:t>（一）</w:t>
            </w:r>
            <w:r>
              <w:rPr>
                <w:rFonts w:hint="eastAsia" w:eastAsia="宋体" w:cs="Times New Roman"/>
                <w:color w:val="auto"/>
                <w:szCs w:val="21"/>
                <w:highlight w:val="none"/>
                <w:lang w:val="en-US"/>
              </w:rPr>
              <w:t>服务时间</w:t>
            </w:r>
            <w:r>
              <w:rPr>
                <w:rFonts w:hint="eastAsia" w:eastAsia="宋体" w:cs="Times New Roman"/>
                <w:color w:val="auto"/>
                <w:szCs w:val="21"/>
                <w:highlight w:val="none"/>
                <w:lang w:val="en-US" w:eastAsia="zh-CN"/>
              </w:rPr>
              <w:t>和地点</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color w:val="auto"/>
                <w:szCs w:val="21"/>
                <w:highlight w:val="none"/>
                <w:lang w:val="en-US"/>
              </w:rPr>
            </w:pPr>
            <w:r>
              <w:rPr>
                <w:rFonts w:hint="eastAsia" w:eastAsia="宋体" w:cs="Times New Roman"/>
                <w:color w:val="auto"/>
                <w:szCs w:val="21"/>
                <w:highlight w:val="none"/>
                <w:lang w:val="en-US" w:eastAsia="zh-CN"/>
              </w:rPr>
              <w:t>1.</w:t>
            </w:r>
            <w:r>
              <w:rPr>
                <w:rFonts w:hint="eastAsia" w:eastAsia="宋体" w:cs="Times New Roman"/>
                <w:color w:val="auto"/>
                <w:szCs w:val="21"/>
                <w:highlight w:val="none"/>
                <w:lang w:val="en-US"/>
              </w:rPr>
              <w:t>服务期限：2023年3月31日至2024年3月3</w:t>
            </w:r>
            <w:r>
              <w:rPr>
                <w:rFonts w:hint="eastAsia" w:eastAsia="宋体" w:cs="Times New Roman"/>
                <w:color w:val="auto"/>
                <w:szCs w:val="21"/>
                <w:highlight w:val="none"/>
                <w:lang w:val="en-US" w:eastAsia="zh-CN"/>
              </w:rPr>
              <w:t>0</w:t>
            </w:r>
            <w:r>
              <w:rPr>
                <w:rFonts w:hint="eastAsia" w:eastAsia="宋体" w:cs="Times New Roman"/>
                <w:color w:val="auto"/>
                <w:szCs w:val="21"/>
                <w:highlight w:val="none"/>
                <w:lang w:val="en-US"/>
              </w:rPr>
              <w:t>日</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color w:val="auto"/>
                <w:szCs w:val="21"/>
                <w:highlight w:val="none"/>
                <w:lang w:val="en-US"/>
              </w:rPr>
            </w:pPr>
            <w:r>
              <w:rPr>
                <w:rFonts w:hint="eastAsia" w:eastAsia="宋体" w:cs="Times New Roman"/>
                <w:color w:val="auto"/>
                <w:szCs w:val="21"/>
                <w:highlight w:val="none"/>
                <w:lang w:val="en-US" w:eastAsia="zh-CN"/>
              </w:rPr>
              <w:t>2.</w:t>
            </w:r>
            <w:r>
              <w:rPr>
                <w:rFonts w:hint="eastAsia" w:eastAsia="宋体" w:cs="Times New Roman"/>
                <w:color w:val="auto"/>
                <w:szCs w:val="21"/>
                <w:highlight w:val="none"/>
                <w:lang w:val="en-US"/>
              </w:rPr>
              <w:t>服务地点：</w:t>
            </w:r>
            <w:r>
              <w:rPr>
                <w:rFonts w:hint="eastAsia" w:eastAsia="宋体" w:cs="Times New Roman"/>
                <w:color w:val="auto"/>
                <w:szCs w:val="21"/>
                <w:highlight w:val="none"/>
                <w:lang w:val="en-US" w:eastAsia="zh-CN"/>
              </w:rPr>
              <w:t>钦州</w:t>
            </w:r>
            <w:r>
              <w:rPr>
                <w:rFonts w:hint="eastAsia" w:eastAsia="宋体" w:cs="Times New Roman"/>
                <w:color w:val="auto"/>
                <w:szCs w:val="21"/>
                <w:highlight w:val="none"/>
                <w:lang w:val="en-US"/>
              </w:rPr>
              <w:t>市范围内</w:t>
            </w:r>
          </w:p>
          <w:p>
            <w:pPr>
              <w:keepNext w:val="0"/>
              <w:keepLines w:val="0"/>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hint="eastAsia" w:eastAsia="宋体" w:cs="Times New Roman"/>
                <w:color w:val="auto"/>
                <w:szCs w:val="21"/>
                <w:highlight w:val="none"/>
                <w:lang w:val="en-US"/>
              </w:rPr>
            </w:pPr>
            <w:r>
              <w:rPr>
                <w:rFonts w:hint="eastAsia" w:eastAsia="宋体" w:cs="Times New Roman"/>
                <w:color w:val="auto"/>
                <w:szCs w:val="21"/>
                <w:highlight w:val="none"/>
                <w:lang w:val="en-US" w:eastAsia="zh-CN"/>
              </w:rPr>
              <w:t>（二）</w:t>
            </w:r>
            <w:r>
              <w:rPr>
                <w:rFonts w:hint="eastAsia" w:eastAsia="宋体" w:cs="Times New Roman"/>
                <w:color w:val="auto"/>
                <w:szCs w:val="21"/>
                <w:highlight w:val="none"/>
                <w:lang w:val="en-US"/>
              </w:rPr>
              <w:t>设备概况</w:t>
            </w:r>
          </w:p>
          <w:tbl>
            <w:tblPr>
              <w:tblStyle w:val="3"/>
              <w:tblpPr w:leftFromText="180" w:rightFromText="180" w:vertAnchor="text" w:horzAnchor="page" w:tblpX="137" w:tblpY="269"/>
              <w:tblOverlap w:val="never"/>
              <w:tblW w:w="68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1106"/>
              <w:gridCol w:w="1530"/>
              <w:gridCol w:w="3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rPr>
                  </w:pPr>
                  <w:r>
                    <w:rPr>
                      <w:rFonts w:hint="eastAsia" w:eastAsia="宋体" w:cs="Times New Roman"/>
                      <w:color w:val="auto"/>
                      <w:szCs w:val="21"/>
                      <w:highlight w:val="none"/>
                      <w:lang w:val="en-US" w:eastAsia="zh-CN"/>
                    </w:rPr>
                    <w:t>点位名称</w:t>
                  </w:r>
                </w:p>
              </w:tc>
              <w:tc>
                <w:tcPr>
                  <w:tcW w:w="11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设备品牌</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设备型号</w:t>
                  </w:r>
                </w:p>
              </w:tc>
              <w:tc>
                <w:tcPr>
                  <w:tcW w:w="3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点位详细地址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市环保站</w:t>
                  </w:r>
                </w:p>
              </w:tc>
              <w:tc>
                <w:tcPr>
                  <w:tcW w:w="11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浙江恒达</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ZJV—VⅢ Pro</w:t>
                  </w:r>
                </w:p>
              </w:tc>
              <w:tc>
                <w:tcPr>
                  <w:tcW w:w="3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钦州市向阳街14号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eastAsia="宋体" w:cs="Times New Roman"/>
                      <w:color w:val="auto"/>
                      <w:szCs w:val="21"/>
                      <w:highlight w:val="none"/>
                      <w:lang w:val="en-US" w:eastAsia="zh-CN"/>
                    </w:rPr>
                  </w:pPr>
                  <w:r>
                    <w:rPr>
                      <w:rFonts w:hint="eastAsia" w:eastAsia="宋体" w:cs="Times New Roman"/>
                      <w:color w:val="auto"/>
                      <w:szCs w:val="21"/>
                      <w:highlight w:val="none"/>
                      <w:lang w:val="en-US" w:eastAsia="zh-CN"/>
                    </w:rPr>
                    <w:t>沙埠小学</w:t>
                  </w:r>
                </w:p>
              </w:tc>
              <w:tc>
                <w:tcPr>
                  <w:tcW w:w="11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浙江恒达</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ZJV—VⅢ Pro</w:t>
                  </w:r>
                </w:p>
              </w:tc>
              <w:tc>
                <w:tcPr>
                  <w:tcW w:w="3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钦州市钦廉街150号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eastAsia="宋体" w:cs="Times New Roman"/>
                      <w:color w:val="auto"/>
                      <w:szCs w:val="21"/>
                      <w:highlight w:val="none"/>
                      <w:lang w:val="en-US" w:eastAsia="zh-CN"/>
                    </w:rPr>
                  </w:pPr>
                  <w:r>
                    <w:rPr>
                      <w:rFonts w:hint="eastAsia" w:eastAsia="宋体" w:cs="Times New Roman"/>
                      <w:color w:val="auto"/>
                      <w:szCs w:val="21"/>
                      <w:highlight w:val="none"/>
                      <w:lang w:val="en-US" w:eastAsia="zh-CN"/>
                    </w:rPr>
                    <w:t>屯首小学</w:t>
                  </w:r>
                </w:p>
              </w:tc>
              <w:tc>
                <w:tcPr>
                  <w:tcW w:w="11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瑞士DIGITEL</w:t>
                  </w:r>
                </w:p>
              </w:tc>
              <w:tc>
                <w:tcPr>
                  <w:tcW w:w="15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RAM-12MON</w:t>
                  </w:r>
                </w:p>
              </w:tc>
              <w:tc>
                <w:tcPr>
                  <w:tcW w:w="3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hint="eastAsia" w:eastAsia="宋体" w:cs="Times New Roman"/>
                      <w:color w:val="auto"/>
                      <w:szCs w:val="21"/>
                      <w:highlight w:val="none"/>
                      <w:lang w:val="en-US" w:eastAsia="zh-CN"/>
                    </w:rPr>
                  </w:pPr>
                  <w:r>
                    <w:rPr>
                      <w:rFonts w:hint="eastAsia" w:eastAsia="宋体" w:cs="Times New Roman"/>
                      <w:color w:val="auto"/>
                      <w:szCs w:val="21"/>
                      <w:highlight w:val="none"/>
                      <w:lang w:val="en-US" w:eastAsia="zh-CN"/>
                    </w:rPr>
                    <w:t>钦州市钦北区大寺镇屯首村屯首小学</w:t>
                  </w:r>
                </w:p>
              </w:tc>
            </w:tr>
          </w:tbl>
          <w:p>
            <w:pPr>
              <w:numPr>
                <w:ilvl w:val="0"/>
                <w:numId w:val="0"/>
              </w:numPr>
              <w:rPr>
                <w:rFonts w:hint="eastAsia"/>
                <w:b/>
                <w:bCs/>
                <w:color w:val="auto"/>
                <w:szCs w:val="21"/>
                <w:highlight w:val="none"/>
                <w:lang w:eastAsia="zh-CN"/>
              </w:rPr>
            </w:pPr>
          </w:p>
          <w:p>
            <w:pPr>
              <w:numPr>
                <w:ilvl w:val="0"/>
                <w:numId w:val="0"/>
              </w:numPr>
              <w:ind w:firstLine="422" w:firstLineChars="200"/>
              <w:rPr>
                <w:rFonts w:hint="eastAsia"/>
                <w:b/>
                <w:bCs/>
                <w:color w:val="auto"/>
                <w:szCs w:val="21"/>
                <w:highlight w:val="none"/>
                <w:lang w:eastAsia="zh-CN"/>
              </w:rPr>
            </w:pPr>
            <w:r>
              <w:rPr>
                <w:rFonts w:hint="eastAsia"/>
                <w:b/>
                <w:bCs/>
                <w:color w:val="auto"/>
                <w:szCs w:val="21"/>
                <w:highlight w:val="none"/>
                <w:lang w:eastAsia="zh-CN"/>
              </w:rPr>
              <w:t>三、工作要求</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中标单位必须按照我中心提出的技术要求和质量控制及相关规范、标准要求，全面负责钦州市酸雨自动监测站运行维护服务工作。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当我中心依据国家有关规定和技术要求出台新的运维要求时，以新要求为准。</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（一）中标单位运行维护期间必须遵守国家的有关法律、法规及其它规定，依照有关规范和技术要求，使酸雨自动监测站的运行结果达到我中心的考核指标要求。</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二）运行维护期间，运行维护人员的相关费用、仪器设备耗材、仪器设备维修，仪器设备的年检保养，供电和网络通讯发生的费用等均由中标单位支付（因自然灾害、偷窃等不可抗力因素导致的系统及设备丢失或故障除外）；</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（三）中标单位须接受我中心以及我中心上级主管部门对运维质量的监督检查；</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（四）运行维护期间，如遇我中心更换或新增仪器，中标单位须配合做好新仪器的安装、调试和运维等工作，以及数据无缝对接到我中心指定的管理平台；</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五）运行维护期间，酸雨自动在线监测系统的全部资产（设备、软件、配套设施等，以及各类监测数据信息及相关文档资料等）均属于我中心所有。未经我中心同意，中标单位不得以任何方式对各类财产进行出售、抵押或转移；</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（六）中标单位对监测数据负有保密的责任，不得以任何方式和渠道向外界提供或用于商业用途；</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（七）运维单位须承诺使用原厂生产的备品备件和耗材（若无原厂生产的，经我中心同意，则应使用经有资质的第三方机构检定合格的），严禁使用未经有资质的第三方机构检定合格或劣质备品备件和耗材。</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（八）承诺按照我中心要求开展酸雨自动在线监测系统运维交接工作。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九）人员要求：1.运维人员能独立运维空气自动站。2.中标单位应保证项目团体中各项目主管，有3年以上自动站运维经验，且项目主管一年内专职投入本项目；项目团队中骨干人员具备中专及以上学历，且工作满1年；运维人员（含骨干人员）数量与站点数量比值高于1/2；项目团队中至少派一名骨干人员常驻钦州市，主要职责有：每个工作日对监测数据和设备运行状况进行远程监视，对监测数据进行审核与反馈，对站点运行情况进行诊断和运行管理，钦州市降水样品送样人员根据运维工作的实际需要，对现场运维人员可进行直接调度，并记录上报我中心，参与本项目年度运维报告验收工作，参与我中心组织的质控监督检查、对本项目合同实施相关文件进行跟踪管理，完成与履行本项目有关的其它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（十）运维目标</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eastAsia="宋体" w:cs="Times New Roman"/>
                <w:b w:val="0"/>
                <w:bCs w:val="0"/>
                <w:color w:val="auto"/>
                <w:szCs w:val="21"/>
                <w:highlight w:val="none"/>
                <w:lang w:eastAsia="zh-CN"/>
              </w:rPr>
            </w:pPr>
            <w:r>
              <w:rPr>
                <w:rFonts w:hint="eastAsia" w:eastAsia="宋体" w:cs="Times New Roman"/>
                <w:b w:val="0"/>
                <w:bCs w:val="0"/>
                <w:color w:val="auto"/>
                <w:szCs w:val="21"/>
                <w:highlight w:val="none"/>
                <w:lang w:val="en-US" w:eastAsia="zh-CN"/>
              </w:rPr>
              <w:t>1.</w:t>
            </w:r>
            <w:r>
              <w:rPr>
                <w:rFonts w:hint="eastAsia" w:eastAsia="宋体" w:cs="Times New Roman"/>
                <w:b w:val="0"/>
                <w:bCs w:val="0"/>
                <w:color w:val="auto"/>
                <w:szCs w:val="21"/>
                <w:highlight w:val="none"/>
                <w:lang w:eastAsia="zh-CN"/>
              </w:rPr>
              <w:t>酸雨自动监测设备正常运转率达到85%以上；</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eastAsia="宋体" w:cs="Times New Roman"/>
                <w:b w:val="0"/>
                <w:bCs w:val="0"/>
                <w:color w:val="auto"/>
                <w:szCs w:val="21"/>
                <w:highlight w:val="none"/>
                <w:lang w:eastAsia="zh-CN"/>
              </w:rPr>
            </w:pPr>
            <w:r>
              <w:rPr>
                <w:rFonts w:hint="eastAsia" w:eastAsia="宋体" w:cs="Times New Roman"/>
                <w:b w:val="0"/>
                <w:bCs w:val="0"/>
                <w:color w:val="auto"/>
                <w:szCs w:val="21"/>
                <w:highlight w:val="none"/>
                <w:lang w:val="en-US" w:eastAsia="zh-CN"/>
              </w:rPr>
              <w:t>2.</w:t>
            </w:r>
            <w:r>
              <w:rPr>
                <w:rFonts w:hint="eastAsia" w:eastAsia="宋体" w:cs="Times New Roman"/>
                <w:b w:val="0"/>
                <w:bCs w:val="0"/>
                <w:color w:val="auto"/>
                <w:szCs w:val="21"/>
                <w:highlight w:val="none"/>
                <w:lang w:eastAsia="zh-CN"/>
              </w:rPr>
              <w:t>酸雨自动监测设备数据捕获率达到85%以上；</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eastAsia="宋体" w:cs="Times New Roman"/>
                <w:b w:val="0"/>
                <w:bCs w:val="0"/>
                <w:color w:val="auto"/>
                <w:szCs w:val="21"/>
                <w:highlight w:val="none"/>
                <w:lang w:eastAsia="zh-CN"/>
              </w:rPr>
            </w:pPr>
            <w:r>
              <w:rPr>
                <w:rFonts w:hint="eastAsia" w:eastAsia="宋体" w:cs="Times New Roman"/>
                <w:b w:val="0"/>
                <w:bCs w:val="0"/>
                <w:color w:val="auto"/>
                <w:szCs w:val="21"/>
                <w:highlight w:val="none"/>
                <w:lang w:val="en-US" w:eastAsia="zh-CN"/>
              </w:rPr>
              <w:t>3.</w:t>
            </w:r>
            <w:r>
              <w:rPr>
                <w:rFonts w:hint="eastAsia" w:eastAsia="宋体" w:cs="Times New Roman"/>
                <w:b w:val="0"/>
                <w:bCs w:val="0"/>
                <w:color w:val="auto"/>
                <w:szCs w:val="21"/>
                <w:highlight w:val="none"/>
                <w:lang w:eastAsia="zh-CN"/>
              </w:rPr>
              <w:t>酸雨自动监测设备每季度质控合格率达到90%以上；</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eastAsia="宋体" w:cs="Times New Roman"/>
                <w:b w:val="0"/>
                <w:bCs w:val="0"/>
                <w:color w:val="auto"/>
                <w:szCs w:val="21"/>
                <w:highlight w:val="none"/>
                <w:lang w:eastAsia="zh-CN"/>
              </w:rPr>
            </w:pPr>
            <w:r>
              <w:rPr>
                <w:rFonts w:hint="eastAsia" w:eastAsia="宋体" w:cs="Times New Roman"/>
                <w:b w:val="0"/>
                <w:bCs w:val="0"/>
                <w:color w:val="auto"/>
                <w:szCs w:val="21"/>
                <w:highlight w:val="none"/>
                <w:lang w:val="en-US" w:eastAsia="zh-CN"/>
              </w:rPr>
              <w:t>4.</w:t>
            </w:r>
            <w:r>
              <w:rPr>
                <w:rFonts w:hint="eastAsia" w:eastAsia="宋体" w:cs="Times New Roman"/>
                <w:b w:val="0"/>
                <w:bCs w:val="0"/>
                <w:color w:val="auto"/>
                <w:szCs w:val="21"/>
                <w:highlight w:val="none"/>
                <w:lang w:eastAsia="zh-CN"/>
              </w:rPr>
              <w:t>系统异常情况处理率达到100%。</w:t>
            </w:r>
          </w:p>
          <w:p>
            <w:pPr>
              <w:numPr>
                <w:ilvl w:val="0"/>
                <w:numId w:val="0"/>
              </w:numPr>
              <w:ind w:firstLine="422" w:firstLineChars="200"/>
              <w:rPr>
                <w:rFonts w:hint="eastAsia" w:eastAsia="宋体" w:cs="Times New Roman"/>
                <w:b/>
                <w:bCs/>
                <w:color w:val="auto"/>
                <w:szCs w:val="21"/>
                <w:highlight w:val="none"/>
                <w:lang w:eastAsia="zh-CN"/>
              </w:rPr>
            </w:pPr>
            <w:r>
              <w:rPr>
                <w:rFonts w:hint="eastAsia" w:eastAsia="宋体" w:cs="Times New Roman"/>
                <w:b/>
                <w:bCs/>
                <w:color w:val="auto"/>
                <w:szCs w:val="21"/>
                <w:highlight w:val="none"/>
                <w:lang w:eastAsia="zh-CN"/>
              </w:rPr>
              <w:t>四、运维内容</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根据《自治区生态环境监测中心印发&lt;广西壮族自治区大气降水自动监测技术方案&gt;的通知》(桂环测气字〔2020〕66号)要求，开展运维工作。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1.每日工作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（1）按照 HJ/T165-2004《酸沉降监测技术规范》要求清洗采样瓶，晾干备用；准备冷藏箱、样品标签（标签内容按照钦州监测中心的要求填写）。</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按规范收集大气降水样品，填写采样/送样交接记录表；查看仪器状态，确定pH值、电导率、降雨量是否需要实验室分析，并在表格勾选分析项目；观察周围环境，是否存在变化和明显污染源；将采集的样品、采样仪器现场拍照，照片需有经纬度及采样时间的水印。</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（3）放置洗涤干净的仪器收集瓶，恢复原始瓶数量。</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（4）仪器自动换瓶后，无论是否收集到样品，都需要清洗采样瓶。</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（5）关闭仪器箱门，并上锁。</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2.每半个月工作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（1）放置洗涤干净的仪器收集瓶，恢复原始瓶数量。</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（2）至少每两周进行一次在线设备pH和EC校准。先进行单点质控，如数据超出理论值允许的范围（pH±0.1，EC±2%F.S），则进行仪器校准，并做已知浓度值的标准样品单点测量，如在范围则校准合格。</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（3）如钦州监测中心未参与校准工作，则将校准原始记录表格及校准现场照片发钦州监测中心备案。</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3.每个月工作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（1）每个月至少采集一次样品运输空白。做法：取两个样品瓶装入去离子水，与降水样品进行同步处理（放入冰箱或加固定剂、同步运输等），并在交接记录表中记录采集信息。</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（2）每个月按照钦州监测中心的计划至少开展1场降雨现场比对工作，比对项目包括pH值、电导率，对于比对结果不符合要求，需到现场再次比对或核实。</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4.每个季度工作</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（1）每季度至少清洗一次仪器的集雨桶和雨量桶。</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（2）清洗干净后采集一个全程序空白样品。做法：实验室的去离子水从集雨器进入样品瓶，然后从采样到样品过滤等操作的全程序空白试验。</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（3）填写样品交接记录，注明质控措施内容。</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5.定期更换酸雨自动监测设备所需耗材。</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6.定期更换酸雨自动监测设备所需备品备件。</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7.定期检修、保养酸雨自动监测设备，及时对三台降雨自动监测仪进行维护保养。包括及时更换清洁用水、电解液等，感雨器的擦拭保养，测试灵敏度，校准雨量计；pH电极和电导率电极应做到一年更换一次电极;根据现场维护情况，因仪器电极问题，校准不合格或标准样品测定不合格应更换新电极，以确保仪器校准合格以及标准样品测定合格。</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8.及时排除酸雨自动监测设备的故障，三台降雨自动监测仪出现故障时应及时维修，更换耗材配件；网络连接出现断网或故障要及时维修、报修，确保仪器数据正常上传到“广西壮族自治区酸雨监测质量控制系统”。</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9.配合钦州监测中心进行酸雨自动监测设备质量保证和质量质控工作；随时接受钦州监测中心的工作考核及质量考核。</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10.认真、及时做好维护记录，每季度第一个月15日前将上季度所有记录以书面形式报钦州监测中心，书面报告作为运行维护考核依据之一，具体包括：</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（1）酸雨自动监测设备现场维护记录。</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（2）酸雨自动监测设备故障及排除情况登记表、仪器维修后性能审核记录。</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（3）酸雨自动监测设备每月运行情况。</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（4）酸雨自动监测设备备品备件使用管理登记表。</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（5）酸雨自动监测设备更换耗材记录表</w:t>
            </w:r>
          </w:p>
          <w:p>
            <w:pPr>
              <w:numPr>
                <w:ilvl w:val="0"/>
                <w:numId w:val="0"/>
              </w:numPr>
              <w:ind w:firstLine="422" w:firstLineChars="200"/>
              <w:rPr>
                <w:rFonts w:hint="eastAsia" w:eastAsia="宋体" w:cs="Times New Roman"/>
                <w:b/>
                <w:bCs/>
                <w:color w:val="auto"/>
                <w:szCs w:val="21"/>
                <w:highlight w:val="none"/>
                <w:lang w:eastAsia="zh-CN"/>
              </w:rPr>
            </w:pPr>
            <w:r>
              <w:rPr>
                <w:rFonts w:hint="eastAsia" w:eastAsia="宋体" w:cs="Times New Roman"/>
                <w:b/>
                <w:bCs/>
                <w:color w:val="auto"/>
                <w:szCs w:val="21"/>
                <w:highlight w:val="none"/>
                <w:lang w:eastAsia="zh-CN"/>
              </w:rPr>
              <w:t>五、样品采集、质控要求</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1.逢雨必采；上午9:00至次日上午9:00的降雨视为一个样品，须在次日15 时前送到实验室。</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2.样品与采样送样记录同时交接，记录由送样人员留底。</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采样人员需给接样人员出示手机拍摄的证明照片，证明样品采集的位置，样品的性状。照片水印信息包括：点位经纬度、点位所在地名称、时间信息。照片内容包括：样品量、样品与仪器的合影、仪器与其周边环境。</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4.因不可抗拒原因造成的样品采集延迟，该次样品仍需送样，并在送样记录单备注延迟原因。</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5.平台有降雨量，不管多少必须到现场。样品不足50ml 时，需核实在线数据是否有 pH 值、电导率、降雨量数据，如数据有效，当次可不送样，仍需拍照给钦州监测中心备查。</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6.因停电造成仪器无法采集样品，若该点位有备用手工采样器采集的样品，该样品是否由第三方采集送样，由钦州监测中心确定，第三方公司需备注样品性状为“手工采样样品”。</w:t>
            </w:r>
          </w:p>
          <w:p>
            <w:pPr>
              <w:numPr>
                <w:ilvl w:val="0"/>
                <w:numId w:val="0"/>
              </w:numPr>
              <w:ind w:firstLine="422" w:firstLineChars="200"/>
              <w:rPr>
                <w:rFonts w:hint="eastAsia" w:eastAsia="宋体" w:cs="Times New Roman"/>
                <w:b/>
                <w:bCs/>
                <w:color w:val="auto"/>
                <w:szCs w:val="21"/>
                <w:highlight w:val="none"/>
                <w:lang w:eastAsia="zh-CN"/>
              </w:rPr>
            </w:pPr>
            <w:r>
              <w:rPr>
                <w:rFonts w:hint="eastAsia" w:eastAsia="宋体" w:cs="Times New Roman"/>
                <w:b/>
                <w:bCs/>
                <w:color w:val="auto"/>
                <w:szCs w:val="21"/>
                <w:highlight w:val="none"/>
                <w:lang w:eastAsia="zh-CN"/>
              </w:rPr>
              <w:t>六、相关配件耗材技术参数要求</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pH值测量范围 0～14（0～50℃）自动温度补偿；测量分辨率 0.01pH；测量准确度±0.1pH</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电导率（EC)值测量范围0.1～500μS/cm；测量分辨率 0.01μS/cm；测量准确度≤±2%F.S</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特别说明：该设备由于长期适用于户外，对pH电极、EC电极要求较高，且电极与主机连接在一起，用于数据传输。要求采购厂家专用电极。</w:t>
            </w:r>
          </w:p>
          <w:p>
            <w:pPr>
              <w:numPr>
                <w:ilvl w:val="0"/>
                <w:numId w:val="0"/>
              </w:numPr>
              <w:ind w:firstLine="422" w:firstLineChars="200"/>
              <w:rPr>
                <w:rFonts w:hint="eastAsia" w:eastAsia="宋体" w:cs="Times New Roman"/>
                <w:b/>
                <w:bCs/>
                <w:color w:val="auto"/>
                <w:szCs w:val="21"/>
                <w:highlight w:val="none"/>
                <w:lang w:eastAsia="zh-CN"/>
              </w:rPr>
            </w:pPr>
            <w:r>
              <w:rPr>
                <w:rFonts w:hint="eastAsia" w:eastAsia="宋体" w:cs="Times New Roman"/>
                <w:b/>
                <w:bCs/>
                <w:color w:val="auto"/>
                <w:szCs w:val="21"/>
                <w:highlight w:val="none"/>
                <w:lang w:eastAsia="zh-CN"/>
              </w:rPr>
              <w:t>七、系统故障维修</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1.点位仪器、设备出现故障，必须获得故障通知后2小时内赶赴现场对事故进行处理并恢复正常运行。</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2.系统重大、系统性故障无法修复，确需对系统或构成系统的核心仪器、设备进行整体更换才能恢复系统正常运行时，中标单位须及时报告，提出解决方案并形成书面材料呈报钦州监测中心。</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3.维修、更换主要部件后，须进行准确度检查确认正常后才能恢复报数使用。</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val="en-US" w:eastAsia="zh-CN"/>
              </w:rPr>
              <w:t>4</w:t>
            </w:r>
            <w:r>
              <w:rPr>
                <w:rFonts w:hint="eastAsia"/>
                <w:b w:val="0"/>
                <w:bCs w:val="0"/>
                <w:color w:val="auto"/>
                <w:szCs w:val="21"/>
                <w:highlight w:val="none"/>
                <w:lang w:eastAsia="zh-CN"/>
              </w:rPr>
              <w:t>.仪器、设备故障维修按照最有利于系统正常运行原则，中标商负责仪器维修；对造成故障的零配件、部件需要更换的，由钦州监测中心确认。</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val="en-US" w:eastAsia="zh-CN"/>
              </w:rPr>
              <w:t>5</w:t>
            </w:r>
            <w:r>
              <w:rPr>
                <w:rFonts w:hint="eastAsia"/>
                <w:b w:val="0"/>
                <w:bCs w:val="0"/>
                <w:color w:val="auto"/>
                <w:szCs w:val="21"/>
                <w:highlight w:val="none"/>
                <w:lang w:eastAsia="zh-CN"/>
              </w:rPr>
              <w:t>.如故障严重中标商无法维修的，应在出现故障五日内书面报告并协助返厂维修。</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val="en-US" w:eastAsia="zh-CN"/>
              </w:rPr>
              <w:t>6</w:t>
            </w:r>
            <w:r>
              <w:rPr>
                <w:rFonts w:hint="eastAsia"/>
                <w:b w:val="0"/>
                <w:bCs w:val="0"/>
                <w:color w:val="auto"/>
                <w:szCs w:val="21"/>
                <w:highlight w:val="none"/>
                <w:lang w:eastAsia="zh-CN"/>
              </w:rPr>
              <w:t>.中标方负责提供故障需更换的零配件。</w:t>
            </w:r>
          </w:p>
          <w:p>
            <w:pPr>
              <w:numPr>
                <w:ilvl w:val="0"/>
                <w:numId w:val="0"/>
              </w:numPr>
              <w:ind w:firstLine="422" w:firstLineChars="200"/>
              <w:rPr>
                <w:rFonts w:hint="eastAsia" w:eastAsia="宋体" w:cs="Times New Roman"/>
                <w:b/>
                <w:bCs/>
                <w:color w:val="auto"/>
                <w:szCs w:val="21"/>
                <w:highlight w:val="none"/>
                <w:lang w:eastAsia="zh-CN"/>
              </w:rPr>
            </w:pPr>
            <w:r>
              <w:rPr>
                <w:rFonts w:hint="eastAsia" w:eastAsia="宋体" w:cs="Times New Roman"/>
                <w:b/>
                <w:bCs/>
                <w:color w:val="auto"/>
                <w:szCs w:val="21"/>
                <w:highlight w:val="none"/>
                <w:lang w:eastAsia="zh-CN"/>
              </w:rPr>
              <w:t>八、培训</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1.根据业主需要提供现场培训。</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2.免费安排外部培训1次，2-3人。</w:t>
            </w:r>
          </w:p>
          <w:p>
            <w:pPr>
              <w:numPr>
                <w:ilvl w:val="0"/>
                <w:numId w:val="0"/>
              </w:numPr>
              <w:ind w:firstLine="422" w:firstLineChars="200"/>
              <w:rPr>
                <w:rFonts w:hint="eastAsia" w:eastAsia="宋体" w:cs="Times New Roman"/>
                <w:b/>
                <w:bCs/>
                <w:color w:val="auto"/>
                <w:szCs w:val="21"/>
                <w:highlight w:val="none"/>
                <w:lang w:eastAsia="zh-CN"/>
              </w:rPr>
            </w:pPr>
            <w:r>
              <w:rPr>
                <w:rFonts w:hint="eastAsia" w:eastAsia="宋体" w:cs="Times New Roman"/>
                <w:b/>
                <w:bCs/>
                <w:color w:val="auto"/>
                <w:szCs w:val="21"/>
                <w:highlight w:val="none"/>
                <w:lang w:eastAsia="zh-CN"/>
              </w:rPr>
              <w:t>九、运行考核</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中标方自正式运维期开始第一季度（2023年4月至6月）对成交供应商开展维护工作考核，依据维护内容就每周、每月、每季的维护质量和相关指标相结合的方式进行评分，并填写《广西壮族自治区</w:t>
            </w:r>
            <w:r>
              <w:rPr>
                <w:rFonts w:hint="eastAsia"/>
                <w:b w:val="0"/>
                <w:bCs w:val="0"/>
                <w:color w:val="auto"/>
                <w:szCs w:val="21"/>
                <w:highlight w:val="none"/>
                <w:lang w:val="en-US" w:eastAsia="zh-CN"/>
              </w:rPr>
              <w:t>钦州</w:t>
            </w:r>
            <w:r>
              <w:rPr>
                <w:rFonts w:hint="eastAsia"/>
                <w:b w:val="0"/>
                <w:bCs w:val="0"/>
                <w:color w:val="auto"/>
                <w:szCs w:val="21"/>
                <w:highlight w:val="none"/>
                <w:lang w:eastAsia="zh-CN"/>
              </w:rPr>
              <w:t>生态环境监测中心降雨自动监测点自动监测设备第三方运维服务考核表》，季度考核分满分为100分，根据考核的运维情况支付运维服务费，计算方式如下：</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1.第一季度（2023年4月至6月）考核分评分大于等于80分为合格，全额支付第二期运维费用。80分以下，扣除当季度运营费10%，并责令整改。</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一旦发现弄虚作假、虚假数据，采购人有权终止合同，并按当季维护费用的双倍进行经济处罚。</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val="0"/>
                <w:bCs w:val="0"/>
                <w:color w:val="auto"/>
                <w:szCs w:val="21"/>
                <w:highlight w:val="none"/>
                <w:lang w:eastAsia="zh-CN"/>
              </w:rPr>
            </w:pPr>
            <w:r>
              <w:rPr>
                <w:rFonts w:hint="eastAsia"/>
                <w:b w:val="0"/>
                <w:bCs w:val="0"/>
                <w:color w:val="auto"/>
                <w:szCs w:val="21"/>
                <w:highlight w:val="none"/>
                <w:lang w:eastAsia="zh-CN"/>
              </w:rPr>
              <w:t>2.第三季度（2023年10月至12月）考核分评分大于等于80分为合格，全额支付第三期运维费用。80分以下，扣除当季度运营费10%，并责令整改。</w:t>
            </w:r>
          </w:p>
          <w:p>
            <w:pPr>
              <w:keepNext w:val="0"/>
              <w:keepLines w:val="0"/>
              <w:pageBreakBefore w:val="0"/>
              <w:widowControl/>
              <w:kinsoku/>
              <w:wordWrap/>
              <w:overflowPunct/>
              <w:topLinePunct w:val="0"/>
              <w:autoSpaceDE/>
              <w:autoSpaceDN/>
              <w:bidi w:val="0"/>
              <w:adjustRightInd/>
              <w:snapToGrid/>
              <w:spacing w:line="300" w:lineRule="atLeast"/>
              <w:ind w:firstLine="420" w:firstLineChars="200"/>
              <w:jc w:val="left"/>
              <w:textAlignment w:val="auto"/>
              <w:rPr>
                <w:rFonts w:hint="eastAsia"/>
                <w:b/>
                <w:bCs/>
                <w:color w:val="auto"/>
                <w:szCs w:val="21"/>
                <w:highlight w:val="none"/>
                <w:lang w:eastAsia="zh-CN"/>
              </w:rPr>
            </w:pPr>
            <w:r>
              <w:rPr>
                <w:rFonts w:hint="eastAsia"/>
                <w:b w:val="0"/>
                <w:bCs w:val="0"/>
                <w:color w:val="auto"/>
                <w:szCs w:val="21"/>
                <w:highlight w:val="none"/>
                <w:lang w:eastAsia="zh-CN"/>
              </w:rPr>
              <w:t>3.第四季度（2024年1月至3月）考核分评分大于等于80分为合格。80分以下，采购人将在下一轮运维招标工作中拒绝该运维公司的应标材料并公告拒绝理由。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b/>
                <w:color w:val="auto"/>
                <w:szCs w:val="21"/>
                <w:highlight w:val="none"/>
              </w:rPr>
            </w:pPr>
            <w:r>
              <w:rPr>
                <w:rFonts w:hint="eastAsia"/>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numPr>
                <w:ilvl w:val="0"/>
                <w:numId w:val="0"/>
              </w:numPr>
              <w:ind w:firstLine="420" w:firstLineChars="200"/>
              <w:rPr>
                <w:rFonts w:hint="eastAsia"/>
              </w:rPr>
            </w:pPr>
            <w:r>
              <w:rPr>
                <w:rFonts w:hint="eastAsia"/>
              </w:rPr>
              <w:t>1</w:t>
            </w:r>
            <w:r>
              <w:rPr>
                <w:rFonts w:hint="eastAsia"/>
                <w:lang w:val="en-US" w:eastAsia="zh-CN"/>
              </w:rPr>
              <w:t>.</w:t>
            </w:r>
            <w:r>
              <w:rPr>
                <w:rFonts w:hint="eastAsia"/>
              </w:rPr>
              <w:t>报价要求</w:t>
            </w:r>
          </w:p>
          <w:p>
            <w:pPr>
              <w:numPr>
                <w:ilvl w:val="0"/>
                <w:numId w:val="0"/>
              </w:numPr>
              <w:ind w:firstLine="420" w:firstLineChars="200"/>
              <w:rPr>
                <w:rFonts w:hint="eastAsia"/>
                <w:lang w:val="en-US"/>
              </w:rPr>
            </w:pPr>
            <w:r>
              <w:rPr>
                <w:rFonts w:hint="eastAsia"/>
                <w:lang w:val="en-US"/>
              </w:rPr>
              <w:t>报价为采购人指定服务范围内的全部价格，至少包括：（1）服务的价格（包括人工、材料、维修、送样、配件更换等）；（2）必要的保险费用和各项税金；（3）与本项目有关的其他一切费用。</w:t>
            </w:r>
          </w:p>
          <w:p>
            <w:pPr>
              <w:numPr>
                <w:ilvl w:val="0"/>
                <w:numId w:val="0"/>
              </w:numPr>
              <w:ind w:firstLine="420" w:firstLineChars="200"/>
              <w:rPr>
                <w:rFonts w:hint="eastAsia"/>
                <w:lang w:val="en-US"/>
              </w:rPr>
            </w:pPr>
            <w:r>
              <w:rPr>
                <w:rFonts w:hint="eastAsia"/>
                <w:lang w:val="en-US"/>
              </w:rPr>
              <w:t>采购人不再支付成交价格以外的任何费用。</w:t>
            </w:r>
          </w:p>
          <w:p>
            <w:pPr>
              <w:numPr>
                <w:ilvl w:val="0"/>
                <w:numId w:val="0"/>
              </w:numPr>
              <w:ind w:firstLine="420" w:firstLineChars="200"/>
              <w:rPr>
                <w:rFonts w:hint="eastAsia"/>
              </w:rPr>
            </w:pPr>
            <w:r>
              <w:rPr>
                <w:rFonts w:hint="eastAsia"/>
                <w:lang w:val="en-US" w:eastAsia="zh-CN"/>
              </w:rPr>
              <w:t>2.</w:t>
            </w:r>
            <w:r>
              <w:rPr>
                <w:rFonts w:hint="eastAsia"/>
              </w:rPr>
              <w:t>付款条件</w:t>
            </w:r>
          </w:p>
          <w:p>
            <w:pPr>
              <w:numPr>
                <w:ilvl w:val="0"/>
                <w:numId w:val="0"/>
              </w:numPr>
              <w:ind w:firstLine="420" w:firstLineChars="200"/>
              <w:rPr>
                <w:rFonts w:hint="eastAsia"/>
                <w:highlight w:val="none"/>
              </w:rPr>
            </w:pPr>
            <w:r>
              <w:rPr>
                <w:rFonts w:hint="eastAsia"/>
                <w:highlight w:val="none"/>
                <w:lang w:val="en-US"/>
              </w:rPr>
              <w:t>本项目服务费分三期支付给中标商。（1）双方签订合同后，乙方提供合同总价20%质保函（质保期限涵盖合同服务期且不少于15个月）、发票、付款申请后，甲方在</w:t>
            </w:r>
            <w:r>
              <w:rPr>
                <w:rFonts w:hint="eastAsia"/>
                <w:highlight w:val="none"/>
                <w:lang w:val="en-US" w:eastAsia="zh-CN"/>
              </w:rPr>
              <w:t>15</w:t>
            </w:r>
            <w:r>
              <w:rPr>
                <w:rFonts w:hint="eastAsia"/>
                <w:highlight w:val="none"/>
                <w:lang w:val="en-US"/>
              </w:rPr>
              <w:t>个工作日内向乙方支付合同总价30%作为预付款；（2）乙方服务期满一个季度，经甲方阶段性考核合格后，乙方提供发票、付款申请、经双方确认的阶段性考核意见等材料，甲方在</w:t>
            </w:r>
            <w:r>
              <w:rPr>
                <w:rFonts w:hint="eastAsia"/>
                <w:highlight w:val="none"/>
                <w:lang w:val="en-US" w:eastAsia="zh-CN"/>
              </w:rPr>
              <w:t>1</w:t>
            </w:r>
            <w:r>
              <w:rPr>
                <w:rFonts w:hint="eastAsia"/>
                <w:highlight w:val="none"/>
                <w:lang w:val="en-US"/>
              </w:rPr>
              <w:t>5个工作日内向乙方支付合同总价50%；（3）2022年12月10日前，经甲方年终阶段性考核合格后，乙方提供发票、付款申请、经双方确认的阶段性考核意见等材料，甲方在</w:t>
            </w:r>
            <w:r>
              <w:rPr>
                <w:rFonts w:hint="eastAsia"/>
                <w:highlight w:val="none"/>
                <w:lang w:val="en-US" w:eastAsia="zh-CN"/>
              </w:rPr>
              <w:t>1</w:t>
            </w:r>
            <w:r>
              <w:rPr>
                <w:rFonts w:hint="eastAsia"/>
                <w:highlight w:val="none"/>
                <w:lang w:val="en-US"/>
              </w:rPr>
              <w:t>5个工作日内向乙方支付合同总价20%；（4）在合同服务期限内，甲方有权对乙方运维履约情况进行考核，并根据考核结果将被扣除的费用按照天折算运维时间，由乙方延长服务时间；（5）合同期满（含因履约瑕疵延长的期限），经甲方考核通过后出具意见函，乙方提供甲方出具的履约意见函、退还履约质保函申请，甲方在10个工作日内无息退还乙方履约保证函。</w:t>
            </w:r>
            <w:r>
              <w:rPr>
                <w:rFonts w:hint="eastAsia"/>
                <w:highlight w:val="none"/>
              </w:rPr>
              <w:t xml:space="preserve"> </w:t>
            </w:r>
          </w:p>
          <w:p>
            <w:pPr>
              <w:numPr>
                <w:ilvl w:val="0"/>
                <w:numId w:val="0"/>
              </w:numPr>
              <w:ind w:firstLine="420" w:firstLineChars="200"/>
              <w:rPr>
                <w:rFonts w:hint="eastAsia"/>
                <w:lang w:val="en-US" w:eastAsia="zh-CN"/>
              </w:rPr>
            </w:pPr>
            <w:r>
              <w:rPr>
                <w:rFonts w:hint="eastAsia"/>
                <w:lang w:val="en-US" w:eastAsia="zh-CN"/>
              </w:rPr>
              <w:t>3.供应商提交基本技术材料要求</w:t>
            </w:r>
          </w:p>
          <w:p>
            <w:pPr>
              <w:numPr>
                <w:ilvl w:val="0"/>
                <w:numId w:val="0"/>
              </w:numPr>
              <w:ind w:firstLine="420" w:firstLineChars="200"/>
              <w:rPr>
                <w:rFonts w:hint="eastAsia"/>
                <w:lang w:val="en-US" w:eastAsia="zh-CN"/>
              </w:rPr>
            </w:pPr>
            <w:r>
              <w:rPr>
                <w:rFonts w:hint="eastAsia"/>
                <w:lang w:val="en-US" w:eastAsia="zh-CN"/>
              </w:rPr>
              <w:t>（1）在广西钦州市设置办事处或售后服务网点/机构证明；</w:t>
            </w:r>
          </w:p>
          <w:p>
            <w:pPr>
              <w:numPr>
                <w:ilvl w:val="0"/>
                <w:numId w:val="0"/>
              </w:numPr>
              <w:ind w:firstLine="420" w:firstLineChars="200"/>
              <w:rPr>
                <w:rFonts w:hint="eastAsia"/>
                <w:lang w:val="en-US" w:eastAsia="zh-CN"/>
              </w:rPr>
            </w:pPr>
            <w:r>
              <w:rPr>
                <w:rFonts w:hint="eastAsia"/>
                <w:lang w:val="en-US" w:eastAsia="zh-CN"/>
              </w:rPr>
              <w:t>（2）提供针对本项目酸雨自动在线监测系统主要仪器设备原厂配件保障供应的承诺函（须提供相关文件原件并加盖厂家公章），或者原厂零配件质量保证及快速供应保证函的承诺书；</w:t>
            </w:r>
          </w:p>
          <w:p>
            <w:pPr>
              <w:numPr>
                <w:ilvl w:val="0"/>
                <w:numId w:val="0"/>
              </w:numPr>
              <w:ind w:firstLine="420" w:firstLineChars="200"/>
              <w:rPr>
                <w:rFonts w:hint="eastAsia"/>
                <w:lang w:val="en-US" w:eastAsia="zh-CN"/>
              </w:rPr>
            </w:pPr>
            <w:r>
              <w:rPr>
                <w:rFonts w:hint="eastAsia"/>
                <w:lang w:val="en-US" w:eastAsia="zh-CN"/>
              </w:rPr>
              <w:t>（3）专业技术证明材料（经年检有效的营业执照复印件，且经营范围包含生产或经营本次采购服务内容）；</w:t>
            </w:r>
          </w:p>
          <w:p>
            <w:pPr>
              <w:numPr>
                <w:ilvl w:val="0"/>
                <w:numId w:val="0"/>
              </w:numPr>
              <w:ind w:firstLine="420" w:firstLineChars="200"/>
              <w:rPr>
                <w:rFonts w:hint="eastAsia"/>
                <w:lang w:val="en-US" w:eastAsia="zh-CN"/>
              </w:rPr>
            </w:pPr>
            <w:r>
              <w:rPr>
                <w:rFonts w:hint="eastAsia"/>
                <w:lang w:val="en-US" w:eastAsia="zh-CN"/>
              </w:rPr>
              <w:t>（4）本项目的报价书含服务名称、服务内容、服务的质量保证、价格及服务承诺书等；</w:t>
            </w:r>
          </w:p>
          <w:p>
            <w:pPr>
              <w:numPr>
                <w:ilvl w:val="0"/>
                <w:numId w:val="0"/>
              </w:numPr>
              <w:ind w:firstLine="420" w:firstLineChars="200"/>
              <w:rPr>
                <w:rFonts w:hint="eastAsia"/>
                <w:lang w:val="en-US" w:eastAsia="zh-CN"/>
              </w:rPr>
            </w:pPr>
            <w:r>
              <w:rPr>
                <w:rFonts w:hint="eastAsia"/>
                <w:lang w:val="en-US" w:eastAsia="zh-CN"/>
              </w:rPr>
              <w:t>（5）专业技术人员的区级或以上相关部门颁发的自动监测领域上岗证（可在项目运维期间提供）。</w:t>
            </w:r>
          </w:p>
          <w:p>
            <w:pPr>
              <w:numPr>
                <w:ilvl w:val="0"/>
                <w:numId w:val="0"/>
              </w:numPr>
              <w:ind w:firstLine="420" w:firstLineChars="200"/>
              <w:rPr>
                <w:rFonts w:hint="eastAsia"/>
              </w:rPr>
            </w:pPr>
            <w:r>
              <w:rPr>
                <w:rFonts w:hint="eastAsia"/>
                <w:lang w:val="en-US" w:eastAsia="zh-CN"/>
              </w:rPr>
              <w:t>4.</w:t>
            </w:r>
            <w:r>
              <w:rPr>
                <w:rFonts w:hint="eastAsia"/>
              </w:rPr>
              <w:t>其他要求</w:t>
            </w:r>
          </w:p>
          <w:p>
            <w:pPr>
              <w:numPr>
                <w:ilvl w:val="0"/>
                <w:numId w:val="0"/>
              </w:numPr>
              <w:ind w:firstLine="420" w:firstLineChars="200"/>
              <w:rPr>
                <w:rFonts w:hint="eastAsia"/>
                <w:lang w:val="en-US"/>
              </w:rPr>
            </w:pPr>
            <w:r>
              <w:rPr>
                <w:rFonts w:hint="eastAsia"/>
                <w:lang w:val="en-US"/>
              </w:rPr>
              <w:t>（1）本次委托项目不允许分包。</w:t>
            </w:r>
          </w:p>
          <w:p>
            <w:pPr>
              <w:numPr>
                <w:ilvl w:val="0"/>
                <w:numId w:val="0"/>
              </w:numPr>
              <w:ind w:firstLine="420" w:firstLineChars="200"/>
              <w:rPr>
                <w:rFonts w:hint="eastAsia"/>
                <w:lang w:val="en-US"/>
              </w:rPr>
            </w:pPr>
            <w:r>
              <w:rPr>
                <w:rFonts w:hint="eastAsia"/>
                <w:lang w:val="en-US"/>
              </w:rPr>
              <w:t>（2）运维期间仪器运行所需电、通讯费用由中标方承担，委托运维及管理的全部资产（包括全部产权和建筑物、设备、软件、配套设施及更换下的配件、酸雨自动监测设备产生的各类数据信息及相关文档资料）属业主方所有。未经业主方同意，中标人不得以任何方式对各类财产进行出售、抵押、转移或公开。中标商负责运维维护及管理维护期间电、通讯等故障维修及协助费用缴存，保证其畅通。</w:t>
            </w:r>
          </w:p>
          <w:p>
            <w:pPr>
              <w:numPr>
                <w:ilvl w:val="0"/>
                <w:numId w:val="0"/>
              </w:numPr>
              <w:ind w:firstLine="420" w:firstLineChars="200"/>
              <w:rPr>
                <w:rFonts w:hint="eastAsia"/>
                <w:lang w:val="en-US"/>
              </w:rPr>
            </w:pPr>
            <w:r>
              <w:rPr>
                <w:rFonts w:hint="eastAsia"/>
                <w:lang w:val="en-US"/>
              </w:rPr>
              <w:t>（</w:t>
            </w:r>
            <w:r>
              <w:rPr>
                <w:rFonts w:hint="eastAsia"/>
                <w:lang w:val="en-US" w:eastAsia="zh-CN"/>
              </w:rPr>
              <w:t>3</w:t>
            </w:r>
            <w:r>
              <w:rPr>
                <w:rFonts w:hint="eastAsia"/>
                <w:lang w:val="en-US"/>
              </w:rPr>
              <w:t>）做好酸雨自动监测设备固定资产的管理、备品配件的登记等工作。</w:t>
            </w:r>
          </w:p>
          <w:p>
            <w:pPr>
              <w:numPr>
                <w:ilvl w:val="0"/>
                <w:numId w:val="0"/>
              </w:numPr>
              <w:ind w:firstLine="420" w:firstLineChars="200"/>
              <w:rPr>
                <w:rFonts w:hint="eastAsia"/>
                <w:lang w:val="en-US"/>
              </w:rPr>
            </w:pPr>
            <w:r>
              <w:rPr>
                <w:rFonts w:hint="eastAsia"/>
                <w:lang w:val="en-US"/>
              </w:rPr>
              <w:t>（</w:t>
            </w:r>
            <w:r>
              <w:rPr>
                <w:rFonts w:hint="eastAsia"/>
                <w:lang w:val="en-US" w:eastAsia="zh-CN"/>
              </w:rPr>
              <w:t>4</w:t>
            </w:r>
            <w:r>
              <w:rPr>
                <w:rFonts w:hint="eastAsia"/>
                <w:lang w:val="en-US"/>
              </w:rPr>
              <w:t>）在运维维护及管理期间，中标人必须遵守国家的有关法律、法规及其他规定，本着为业主方负责的精神，依照规范，科学管理，使酸雨自动监测设备运行达到国家及行业颁布的技术标准、业主方要求的考核指标要求及区生态环境监测中心的质控要求。</w:t>
            </w:r>
          </w:p>
          <w:p>
            <w:pPr>
              <w:bidi w:val="0"/>
              <w:ind w:firstLine="420" w:firstLineChars="200"/>
              <w:rPr>
                <w:rFonts w:hint="eastAsia"/>
                <w:lang w:val="en-US" w:eastAsia="zh-CN"/>
              </w:rPr>
            </w:pPr>
          </w:p>
        </w:tc>
      </w:tr>
    </w:tbl>
    <w:p/>
    <w:p>
      <w:pPr>
        <w:widowControl w:val="0"/>
        <w:tabs>
          <w:tab w:val="left" w:pos="0"/>
        </w:tabs>
        <w:spacing w:line="600" w:lineRule="exact"/>
        <w:jc w:val="left"/>
        <w:rPr>
          <w:rFonts w:hint="eastAsia" w:ascii="宋体" w:hAnsi="宋体"/>
          <w:sz w:val="24"/>
          <w:szCs w:val="32"/>
        </w:rPr>
      </w:pPr>
    </w:p>
    <w:p>
      <w:pPr>
        <w:widowControl w:val="0"/>
        <w:tabs>
          <w:tab w:val="left" w:pos="0"/>
        </w:tabs>
        <w:spacing w:line="600" w:lineRule="exact"/>
        <w:jc w:val="left"/>
        <w:rPr>
          <w:rFonts w:hint="eastAsia" w:ascii="宋体" w:hAnsi="宋体"/>
          <w:sz w:val="24"/>
          <w:szCs w:val="32"/>
        </w:rPr>
      </w:pPr>
    </w:p>
    <w:p>
      <w:pPr>
        <w:rPr>
          <w:rFonts w:hint="eastAsia" w:ascii="宋体" w:hAnsi="宋体"/>
          <w:sz w:val="24"/>
          <w:szCs w:val="32"/>
        </w:rPr>
      </w:pPr>
      <w:r>
        <w:rPr>
          <w:rFonts w:hint="eastAsia" w:ascii="宋体" w:hAnsi="宋体"/>
          <w:sz w:val="24"/>
          <w:szCs w:val="32"/>
        </w:rPr>
        <w:br w:type="page"/>
      </w:r>
    </w:p>
    <w:p>
      <w:pPr>
        <w:widowControl w:val="0"/>
        <w:tabs>
          <w:tab w:val="left" w:pos="0"/>
        </w:tabs>
        <w:spacing w:line="600" w:lineRule="exact"/>
        <w:jc w:val="center"/>
        <w:rPr>
          <w:rFonts w:ascii="Times New Roman" w:hAnsi="Times New Roman" w:eastAsia="方正小标宋_GBK"/>
          <w:sz w:val="32"/>
          <w:szCs w:val="32"/>
        </w:rPr>
      </w:pPr>
      <w:r>
        <w:rPr>
          <w:rFonts w:ascii="Times New Roman" w:hAnsi="Times New Roman" w:eastAsia="方正小标宋_GBK"/>
          <w:sz w:val="32"/>
          <w:szCs w:val="32"/>
        </w:rPr>
        <w:t>综合评分办法</w:t>
      </w:r>
    </w:p>
    <w:p>
      <w:pPr>
        <w:spacing w:line="300" w:lineRule="auto"/>
        <w:ind w:firstLine="426" w:firstLineChars="202"/>
        <w:rPr>
          <w:rFonts w:ascii="Times New Roman" w:hAnsi="Times New Roman"/>
          <w:b/>
          <w:szCs w:val="21"/>
        </w:rPr>
      </w:pPr>
      <w:r>
        <w:rPr>
          <w:rFonts w:ascii="Times New Roman" w:hAnsi="Times New Roman"/>
          <w:b/>
          <w:szCs w:val="21"/>
        </w:rPr>
        <w:t>一、评审原则</w:t>
      </w:r>
    </w:p>
    <w:p>
      <w:pPr>
        <w:spacing w:line="300" w:lineRule="auto"/>
        <w:ind w:firstLine="424" w:firstLineChars="202"/>
        <w:rPr>
          <w:rFonts w:ascii="Times New Roman" w:hAnsi="Times New Roman"/>
          <w:szCs w:val="21"/>
        </w:rPr>
      </w:pPr>
      <w:r>
        <w:rPr>
          <w:rFonts w:ascii="Times New Roman" w:hAnsi="Times New Roman"/>
          <w:szCs w:val="21"/>
        </w:rPr>
        <w:t>(一）评审小组构成：本项目的评审小组由采购单位组建，成员包含技术、经济等方面专业人员，成员人数为三人以上（含三人）单数。</w:t>
      </w:r>
    </w:p>
    <w:p>
      <w:pPr>
        <w:spacing w:line="300" w:lineRule="auto"/>
        <w:ind w:firstLine="424" w:firstLineChars="202"/>
        <w:rPr>
          <w:rFonts w:ascii="Times New Roman" w:hAnsi="Times New Roman"/>
          <w:szCs w:val="21"/>
        </w:rPr>
      </w:pPr>
      <w:r>
        <w:rPr>
          <w:rFonts w:ascii="Times New Roman" w:hAnsi="Times New Roman"/>
          <w:szCs w:val="21"/>
        </w:rPr>
        <w:t>(二）评审依据：本评审办法和供应商提交的响应文件。</w:t>
      </w:r>
    </w:p>
    <w:p>
      <w:pPr>
        <w:spacing w:line="300" w:lineRule="auto"/>
        <w:ind w:firstLine="424" w:firstLineChars="202"/>
        <w:rPr>
          <w:rFonts w:ascii="Times New Roman" w:hAnsi="Times New Roman"/>
          <w:szCs w:val="21"/>
        </w:rPr>
      </w:pPr>
      <w:r>
        <w:rPr>
          <w:rFonts w:ascii="Times New Roman" w:hAnsi="Times New Roman"/>
          <w:szCs w:val="21"/>
        </w:rPr>
        <w:t>(三）评审方法：综合评分法。</w:t>
      </w:r>
    </w:p>
    <w:p>
      <w:pPr>
        <w:spacing w:line="300" w:lineRule="auto"/>
        <w:ind w:firstLine="426" w:firstLineChars="202"/>
        <w:rPr>
          <w:rFonts w:ascii="Times New Roman" w:hAnsi="Times New Roman"/>
          <w:b/>
          <w:szCs w:val="21"/>
        </w:rPr>
      </w:pPr>
      <w:r>
        <w:rPr>
          <w:rFonts w:ascii="Times New Roman" w:hAnsi="Times New Roman"/>
          <w:b/>
          <w:szCs w:val="21"/>
        </w:rPr>
        <w:t>二、评审方法</w:t>
      </w:r>
    </w:p>
    <w:p>
      <w:pPr>
        <w:spacing w:line="300" w:lineRule="auto"/>
        <w:ind w:firstLine="424" w:firstLineChars="202"/>
        <w:rPr>
          <w:rFonts w:ascii="Times New Roman" w:hAnsi="Times New Roman"/>
          <w:szCs w:val="21"/>
        </w:rPr>
      </w:pPr>
      <w:r>
        <w:rPr>
          <w:rFonts w:ascii="Times New Roman" w:hAnsi="Times New Roman"/>
          <w:szCs w:val="21"/>
        </w:rPr>
        <w:t>供应商提交的报价及资格材料经初核符合要求的进入详评，评审小组将按本评审办法和响应文件为评定依据，采用百分制综合评分法：</w:t>
      </w:r>
    </w:p>
    <w:p>
      <w:pPr>
        <w:spacing w:line="300" w:lineRule="auto"/>
        <w:ind w:firstLine="426" w:firstLineChars="202"/>
        <w:rPr>
          <w:rFonts w:ascii="Times New Roman" w:hAnsi="Times New Roman"/>
          <w:b/>
          <w:szCs w:val="21"/>
        </w:rPr>
      </w:pPr>
      <w:r>
        <w:rPr>
          <w:rFonts w:ascii="Times New Roman" w:hAnsi="Times New Roman"/>
          <w:b/>
          <w:szCs w:val="21"/>
        </w:rPr>
        <w:t>评分细则（按四舍五入取至百分位）：</w:t>
      </w:r>
    </w:p>
    <w:p>
      <w:pPr>
        <w:spacing w:line="300" w:lineRule="auto"/>
        <w:ind w:firstLine="422" w:firstLineChars="200"/>
        <w:rPr>
          <w:rFonts w:ascii="Times New Roman" w:hAnsi="Times New Roman"/>
          <w:b/>
          <w:szCs w:val="21"/>
        </w:rPr>
      </w:pPr>
      <w:r>
        <w:rPr>
          <w:rFonts w:ascii="Times New Roman" w:hAnsi="Times New Roman"/>
          <w:b/>
          <w:szCs w:val="21"/>
        </w:rPr>
        <w:t xml:space="preserve">（一）价格分…………………………………………………  </w:t>
      </w:r>
      <w:r>
        <w:rPr>
          <w:rFonts w:hint="eastAsia" w:ascii="Times New Roman" w:hAnsi="Times New Roman"/>
          <w:b/>
          <w:szCs w:val="21"/>
        </w:rPr>
        <w:t>2</w:t>
      </w:r>
      <w:r>
        <w:rPr>
          <w:rFonts w:ascii="Times New Roman" w:hAnsi="Times New Roman"/>
          <w:b/>
          <w:szCs w:val="21"/>
        </w:rPr>
        <w:t>0分</w:t>
      </w:r>
    </w:p>
    <w:p>
      <w:pPr>
        <w:spacing w:line="300" w:lineRule="auto"/>
        <w:ind w:firstLine="420" w:firstLineChars="200"/>
        <w:rPr>
          <w:rFonts w:ascii="Times New Roman" w:hAnsi="Times New Roman"/>
          <w:szCs w:val="21"/>
        </w:rPr>
      </w:pPr>
      <w:r>
        <w:rPr>
          <w:rFonts w:ascii="Times New Roman" w:hAnsi="Times New Roman"/>
          <w:szCs w:val="21"/>
        </w:rPr>
        <w:t>1、评审价为供应商的报价进行政策性扣除后的价格，评审价只是作为评审时使用。最终成交人的成交报价＝最终报价。</w:t>
      </w:r>
    </w:p>
    <w:p>
      <w:pPr>
        <w:spacing w:line="300" w:lineRule="auto"/>
        <w:ind w:firstLine="420" w:firstLineChars="200"/>
        <w:rPr>
          <w:rFonts w:ascii="Times New Roman" w:hAnsi="Times New Roman"/>
          <w:szCs w:val="21"/>
        </w:rPr>
      </w:pPr>
      <w:r>
        <w:rPr>
          <w:rFonts w:ascii="Times New Roman" w:hAnsi="Times New Roman"/>
          <w:szCs w:val="21"/>
        </w:rPr>
        <w:t>2、按照《政府采购促进中小企业发展管理办法》（财库〔2020〕46号）规定，供应商为小型和微型企业，并在其响应文件中提供《中小企业声明函》，且其所竞标产品为小型和微型企业生产的，对其竞标价格给予6%的扣除。</w:t>
      </w:r>
    </w:p>
    <w:p>
      <w:pPr>
        <w:spacing w:line="300" w:lineRule="auto"/>
        <w:ind w:firstLine="420" w:firstLineChars="200"/>
        <w:rPr>
          <w:rFonts w:ascii="Times New Roman" w:hAnsi="Times New Roman"/>
          <w:szCs w:val="21"/>
        </w:rPr>
      </w:pPr>
      <w:r>
        <w:rPr>
          <w:rFonts w:ascii="Times New Roman" w:hAnsi="Times New Roman"/>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spacing w:line="300" w:lineRule="auto"/>
        <w:ind w:firstLine="420" w:firstLineChars="200"/>
        <w:rPr>
          <w:rFonts w:ascii="Times New Roman" w:hAnsi="Times New Roman"/>
          <w:szCs w:val="21"/>
        </w:rPr>
      </w:pPr>
      <w:r>
        <w:rPr>
          <w:rFonts w:ascii="Times New Roman" w:hAnsi="Times New Roman"/>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00" w:lineRule="auto"/>
        <w:ind w:firstLine="420" w:firstLineChars="200"/>
        <w:rPr>
          <w:rFonts w:ascii="Times New Roman" w:hAnsi="Times New Roman"/>
          <w:szCs w:val="21"/>
        </w:rPr>
      </w:pPr>
      <w:r>
        <w:rPr>
          <w:rFonts w:ascii="Times New Roman" w:hAnsi="Times New Roman"/>
          <w:szCs w:val="21"/>
        </w:rPr>
        <w:t>5、政策性扣除计算方法。</w:t>
      </w:r>
    </w:p>
    <w:p>
      <w:pPr>
        <w:spacing w:line="300" w:lineRule="auto"/>
        <w:ind w:firstLine="420" w:firstLineChars="200"/>
        <w:rPr>
          <w:rFonts w:ascii="Times New Roman" w:hAnsi="Times New Roman"/>
          <w:szCs w:val="21"/>
        </w:rPr>
      </w:pPr>
      <w:r>
        <w:rPr>
          <w:rFonts w:ascii="Times New Roman" w:hAnsi="Times New Roman"/>
          <w:szCs w:val="21"/>
        </w:rPr>
        <w:t>供应商被评定为监狱企业或残疾人福利性单位或小型和微型企业且其所竞标产品为小型和微型企业产品的，该供应商的磋商报价给予6%的扣除，扣除后的价格为评审报价，即评审报价=初始报价×（1-6%）；除上述情况外，评审报价=最终报价。</w:t>
      </w:r>
    </w:p>
    <w:p>
      <w:pPr>
        <w:spacing w:line="300" w:lineRule="auto"/>
        <w:ind w:firstLine="420" w:firstLineChars="200"/>
        <w:rPr>
          <w:rFonts w:ascii="Times New Roman" w:hAnsi="Times New Roman"/>
          <w:szCs w:val="21"/>
        </w:rPr>
      </w:pPr>
      <w:r>
        <w:rPr>
          <w:rFonts w:ascii="Times New Roman" w:hAnsi="Times New Roman"/>
          <w:szCs w:val="21"/>
        </w:rPr>
        <w:t>6、以进入评审的最低的评审报价为</w:t>
      </w:r>
      <w:r>
        <w:rPr>
          <w:rFonts w:ascii="Times New Roman" w:hAnsi="Times New Roman"/>
          <w:b/>
          <w:szCs w:val="21"/>
        </w:rPr>
        <w:t>（按价格总分填写）</w:t>
      </w:r>
      <w:r>
        <w:rPr>
          <w:rFonts w:ascii="Times New Roman" w:hAnsi="Times New Roman"/>
          <w:szCs w:val="21"/>
        </w:rPr>
        <w:t>分。</w:t>
      </w:r>
    </w:p>
    <w:p>
      <w:pPr>
        <w:spacing w:line="300" w:lineRule="auto"/>
        <w:ind w:firstLine="420" w:firstLineChars="200"/>
        <w:rPr>
          <w:rFonts w:ascii="Times New Roman" w:hAnsi="Times New Roman"/>
          <w:szCs w:val="21"/>
        </w:rPr>
      </w:pPr>
      <w:r>
        <w:rPr>
          <w:rFonts w:ascii="Times New Roman" w:hAnsi="Times New Roman"/>
          <w:szCs w:val="21"/>
        </w:rPr>
        <w:t>7、</w:t>
      </w:r>
      <w:r>
        <w:rPr>
          <w:rFonts w:ascii="Times New Roman" w:hAnsi="Times New Roman"/>
          <w:spacing w:val="-6"/>
          <w:szCs w:val="21"/>
        </w:rPr>
        <w:t>某供应商价格分 = 供应商最低评审报价（金额）/某供应商评审报价（金额）×</w:t>
      </w:r>
      <w:r>
        <w:rPr>
          <w:rFonts w:ascii="Times New Roman" w:hAnsi="Times New Roman"/>
          <w:b/>
          <w:szCs w:val="21"/>
        </w:rPr>
        <w:t>（按价格总分填写）</w:t>
      </w:r>
      <w:r>
        <w:rPr>
          <w:rFonts w:ascii="Times New Roman" w:hAnsi="Times New Roman"/>
          <w:szCs w:val="21"/>
        </w:rPr>
        <w:t>分</w:t>
      </w:r>
    </w:p>
    <w:p>
      <w:pPr>
        <w:spacing w:line="300" w:lineRule="auto"/>
        <w:ind w:firstLine="422" w:firstLineChars="200"/>
        <w:rPr>
          <w:rFonts w:ascii="Times New Roman" w:hAnsi="Times New Roman"/>
          <w:b/>
          <w:szCs w:val="21"/>
        </w:rPr>
      </w:pPr>
      <w:r>
        <w:rPr>
          <w:rFonts w:ascii="Times New Roman" w:hAnsi="Times New Roman"/>
          <w:b/>
          <w:szCs w:val="21"/>
        </w:rPr>
        <w:t xml:space="preserve">（二）实施方案分……………………………………………………………… </w:t>
      </w:r>
      <w:r>
        <w:rPr>
          <w:rFonts w:hint="eastAsia" w:ascii="Times New Roman" w:hAnsi="Times New Roman"/>
          <w:b/>
          <w:szCs w:val="21"/>
        </w:rPr>
        <w:t>4</w:t>
      </w:r>
      <w:r>
        <w:rPr>
          <w:rFonts w:ascii="Times New Roman" w:hAnsi="Times New Roman"/>
          <w:b/>
          <w:szCs w:val="21"/>
        </w:rPr>
        <w:t>0分</w:t>
      </w:r>
    </w:p>
    <w:p>
      <w:pPr>
        <w:spacing w:line="300" w:lineRule="auto"/>
        <w:ind w:firstLine="420" w:firstLineChars="200"/>
        <w:rPr>
          <w:rFonts w:ascii="Times New Roman" w:hAnsi="Times New Roman"/>
          <w:szCs w:val="21"/>
        </w:rPr>
      </w:pPr>
      <w:r>
        <w:rPr>
          <w:rFonts w:ascii="Times New Roman" w:hAnsi="Times New Roman"/>
          <w:szCs w:val="21"/>
        </w:rPr>
        <w:t>投标人提供《</w:t>
      </w:r>
      <w:r>
        <w:rPr>
          <w:rFonts w:hint="eastAsia" w:ascii="Times New Roman" w:hAnsi="Times New Roman"/>
          <w:szCs w:val="21"/>
        </w:rPr>
        <w:t>广西壮族自治区</w:t>
      </w:r>
      <w:r>
        <w:rPr>
          <w:rFonts w:hint="eastAsia" w:ascii="Times New Roman" w:hAnsi="Times New Roman"/>
          <w:szCs w:val="21"/>
          <w:lang w:eastAsia="zh-CN"/>
        </w:rPr>
        <w:t>钦州</w:t>
      </w:r>
      <w:r>
        <w:rPr>
          <w:rFonts w:hint="eastAsia" w:ascii="Times New Roman" w:hAnsi="Times New Roman"/>
          <w:szCs w:val="21"/>
        </w:rPr>
        <w:t>生态环境监测中心降雨自动监测点自动监测设备第三方运维服务服务考核表</w:t>
      </w:r>
      <w:r>
        <w:rPr>
          <w:rFonts w:ascii="Times New Roman" w:hAnsi="Times New Roman"/>
          <w:szCs w:val="21"/>
        </w:rPr>
        <w:t>实施方案》（以下简称“实施方案”），根据实施方案的专业性、科学性和可操作性，以及各项服务措施方案详细程度、工作进度、质量控制、人员投入、完成时效等内容进行评审，其中：</w:t>
      </w:r>
    </w:p>
    <w:p>
      <w:pPr>
        <w:spacing w:line="300" w:lineRule="auto"/>
        <w:ind w:firstLine="420" w:firstLineChars="200"/>
        <w:rPr>
          <w:rFonts w:ascii="Times New Roman" w:hAnsi="Times New Roman"/>
          <w:szCs w:val="21"/>
        </w:rPr>
      </w:pPr>
      <w:r>
        <w:rPr>
          <w:rFonts w:ascii="Times New Roman" w:hAnsi="Times New Roman"/>
          <w:szCs w:val="21"/>
        </w:rPr>
        <w:t>一档（</w:t>
      </w:r>
      <w:r>
        <w:rPr>
          <w:rFonts w:hint="eastAsia" w:ascii="Times New Roman" w:hAnsi="Times New Roman"/>
          <w:szCs w:val="21"/>
        </w:rPr>
        <w:t>20</w:t>
      </w:r>
      <w:r>
        <w:rPr>
          <w:rFonts w:ascii="Times New Roman" w:hAnsi="Times New Roman"/>
          <w:szCs w:val="21"/>
        </w:rPr>
        <w:t>分）：实施方案符合项目基本要求，工作流程、人员配备、工作措施、工作方法、工作手段等基本规范，且项目进度控制措施、质量控制措施、安全保障机制和应急预案有一定可操作性，满足工作时限要求。</w:t>
      </w:r>
    </w:p>
    <w:p>
      <w:pPr>
        <w:spacing w:line="300" w:lineRule="auto"/>
        <w:ind w:firstLine="420" w:firstLineChars="200"/>
        <w:rPr>
          <w:rFonts w:ascii="Times New Roman" w:hAnsi="Times New Roman"/>
          <w:szCs w:val="21"/>
        </w:rPr>
      </w:pPr>
      <w:r>
        <w:rPr>
          <w:rFonts w:ascii="Times New Roman" w:hAnsi="Times New Roman"/>
          <w:szCs w:val="21"/>
        </w:rPr>
        <w:t>二档（</w:t>
      </w:r>
      <w:r>
        <w:rPr>
          <w:rFonts w:hint="eastAsia" w:ascii="Times New Roman" w:hAnsi="Times New Roman"/>
          <w:szCs w:val="21"/>
        </w:rPr>
        <w:t>30</w:t>
      </w:r>
      <w:r>
        <w:rPr>
          <w:rFonts w:ascii="Times New Roman" w:hAnsi="Times New Roman"/>
          <w:szCs w:val="21"/>
        </w:rPr>
        <w:t>分）：实施方案详细、合理，符合项目要求。工作流程、人员配备、工作措施、工作方法、工作手段等规范且可操作；项目进度控制措施详细可行；管理体系完整；质量保证及质量控制措施可行；具体的数据检查、质量控制以及反馈纠正措施详细；安全保障机制完整且具有明确的预防和补救措施应急预案，完成工作时间具有一定的提前量。</w:t>
      </w:r>
    </w:p>
    <w:p>
      <w:pPr>
        <w:spacing w:line="300" w:lineRule="auto"/>
        <w:ind w:firstLine="420" w:firstLineChars="200"/>
        <w:rPr>
          <w:rFonts w:ascii="Times New Roman" w:hAnsi="Times New Roman"/>
        </w:rPr>
      </w:pPr>
      <w:r>
        <w:rPr>
          <w:rFonts w:ascii="Times New Roman" w:hAnsi="Times New Roman"/>
          <w:szCs w:val="21"/>
        </w:rPr>
        <w:t>三档（</w:t>
      </w:r>
      <w:r>
        <w:rPr>
          <w:rFonts w:hint="eastAsia" w:ascii="Times New Roman" w:hAnsi="Times New Roman"/>
          <w:szCs w:val="21"/>
        </w:rPr>
        <w:t>40</w:t>
      </w:r>
      <w:r>
        <w:rPr>
          <w:rFonts w:ascii="Times New Roman" w:hAnsi="Times New Roman"/>
          <w:szCs w:val="21"/>
        </w:rPr>
        <w:t>分）：实施方案详细、科学、合理，除符合项目要求外，提高额外保障服务。工作流程、人员配备分工合理、工作措施、工作方法、工作手段等规范、详细，可操作性强；列出项目工作进度计划表，进度控制措施详细、科学；管理制度和管理体系完善，有明确详尽的质量保证及质量控制措施，并落实到具体负责人；数据检查、质量控制以及反馈纠正措施全面、科学、合理，并落实到具体质量监督人员；有安全保障机制且可操作性强；有合理可行的应急预案，充分考虑多种突发情况，具有有效的预防和补救措施，完成工作时间有充足的提前量。</w:t>
      </w:r>
    </w:p>
    <w:p>
      <w:pPr>
        <w:spacing w:line="300" w:lineRule="auto"/>
        <w:ind w:firstLine="422" w:firstLineChars="200"/>
        <w:rPr>
          <w:rFonts w:ascii="Times New Roman" w:hAnsi="Times New Roman"/>
          <w:b/>
          <w:bCs/>
          <w:szCs w:val="21"/>
        </w:rPr>
      </w:pPr>
      <w:r>
        <w:rPr>
          <w:rFonts w:ascii="Times New Roman" w:hAnsi="Times New Roman"/>
          <w:b/>
          <w:bCs/>
          <w:szCs w:val="21"/>
        </w:rPr>
        <w:t>（三）项目人员分………………………………………………………………</w:t>
      </w:r>
      <w:r>
        <w:rPr>
          <w:rFonts w:hint="eastAsia" w:ascii="Times New Roman" w:hAnsi="Times New Roman"/>
          <w:b/>
          <w:bCs/>
          <w:szCs w:val="21"/>
        </w:rPr>
        <w:t>1</w:t>
      </w:r>
      <w:r>
        <w:rPr>
          <w:rFonts w:ascii="Times New Roman" w:hAnsi="Times New Roman"/>
          <w:b/>
          <w:bCs/>
          <w:szCs w:val="21"/>
        </w:rPr>
        <w:t>0分</w:t>
      </w:r>
    </w:p>
    <w:p>
      <w:pPr>
        <w:spacing w:line="300" w:lineRule="auto"/>
        <w:ind w:firstLine="420" w:firstLineChars="200"/>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 xml:space="preserve">现场运维人员职称 </w:t>
      </w:r>
      <w:r>
        <w:rPr>
          <w:rFonts w:ascii="Times New Roman" w:hAnsi="Times New Roman"/>
          <w:szCs w:val="21"/>
        </w:rPr>
        <w:t>满分</w:t>
      </w:r>
      <w:r>
        <w:rPr>
          <w:rFonts w:hint="eastAsia" w:ascii="Times New Roman" w:hAnsi="Times New Roman"/>
          <w:szCs w:val="21"/>
        </w:rPr>
        <w:t>5</w:t>
      </w:r>
      <w:r>
        <w:rPr>
          <w:rFonts w:ascii="Times New Roman" w:hAnsi="Times New Roman"/>
          <w:szCs w:val="21"/>
        </w:rPr>
        <w:t>分</w:t>
      </w:r>
    </w:p>
    <w:p>
      <w:pPr>
        <w:spacing w:line="300" w:lineRule="auto"/>
        <w:ind w:firstLine="420" w:firstLineChars="200"/>
        <w:rPr>
          <w:rFonts w:hint="default" w:ascii="Times New Roman" w:hAnsi="Times New Roman"/>
          <w:color w:val="FF0000"/>
          <w:szCs w:val="21"/>
          <w:lang w:val="en-US" w:eastAsia="zh-CN"/>
        </w:rPr>
      </w:pPr>
      <w:r>
        <w:rPr>
          <w:rFonts w:hint="eastAsia" w:ascii="Times New Roman" w:hAnsi="Times New Roman"/>
          <w:szCs w:val="21"/>
          <w:lang w:eastAsia="zh-CN"/>
        </w:rPr>
        <w:t>供应商投入项目运维人员具有环境保护类中级工程师职称证书（含中级或以上）的得</w:t>
      </w:r>
      <w:r>
        <w:rPr>
          <w:rFonts w:hint="eastAsia" w:ascii="Times New Roman" w:hAnsi="Times New Roman"/>
          <w:szCs w:val="21"/>
          <w:lang w:val="en-US" w:eastAsia="zh-CN"/>
        </w:rPr>
        <w:t>3分，具有与项目相关的电工职业资格证书</w:t>
      </w:r>
      <w:r>
        <w:rPr>
          <w:rFonts w:hint="eastAsia" w:ascii="Times New Roman" w:hAnsi="Times New Roman"/>
          <w:szCs w:val="21"/>
          <w:lang w:eastAsia="zh-CN"/>
        </w:rPr>
        <w:t>（含中级或以上）的得</w:t>
      </w:r>
      <w:r>
        <w:rPr>
          <w:rFonts w:hint="eastAsia" w:ascii="Times New Roman" w:hAnsi="Times New Roman"/>
          <w:szCs w:val="21"/>
          <w:lang w:val="en-US" w:eastAsia="zh-CN"/>
        </w:rPr>
        <w:t>2分；满分5分。</w:t>
      </w:r>
    </w:p>
    <w:p>
      <w:pPr>
        <w:spacing w:line="300" w:lineRule="auto"/>
        <w:ind w:firstLine="420" w:firstLineChars="200"/>
        <w:rPr>
          <w:rFonts w:ascii="Times New Roman" w:hAnsi="Times New Roman"/>
          <w:szCs w:val="21"/>
        </w:rPr>
      </w:pPr>
      <w:r>
        <w:rPr>
          <w:rFonts w:ascii="Times New Roman" w:hAnsi="Times New Roman"/>
          <w:szCs w:val="21"/>
        </w:rPr>
        <w:t>2. 项目投入</w:t>
      </w:r>
      <w:r>
        <w:rPr>
          <w:rFonts w:hint="eastAsia" w:ascii="Times New Roman" w:hAnsi="Times New Roman"/>
          <w:szCs w:val="21"/>
        </w:rPr>
        <w:t>运维人员数量</w:t>
      </w:r>
      <w:r>
        <w:rPr>
          <w:rFonts w:ascii="Times New Roman" w:hAnsi="Times New Roman"/>
          <w:szCs w:val="21"/>
        </w:rPr>
        <w:t>满分</w:t>
      </w:r>
      <w:r>
        <w:rPr>
          <w:rFonts w:hint="eastAsia" w:ascii="Times New Roman" w:hAnsi="Times New Roman"/>
          <w:szCs w:val="21"/>
        </w:rPr>
        <w:t>5</w:t>
      </w:r>
      <w:r>
        <w:rPr>
          <w:rFonts w:ascii="Times New Roman" w:hAnsi="Times New Roman"/>
          <w:szCs w:val="21"/>
        </w:rPr>
        <w:t>分</w:t>
      </w:r>
      <w:bookmarkStart w:id="0" w:name="_GoBack"/>
      <w:bookmarkEnd w:id="0"/>
    </w:p>
    <w:p>
      <w:pPr>
        <w:spacing w:line="300" w:lineRule="auto"/>
        <w:ind w:firstLine="420" w:firstLineChars="200"/>
        <w:rPr>
          <w:rFonts w:ascii="Times New Roman" w:hAnsi="Times New Roman"/>
          <w:szCs w:val="21"/>
        </w:rPr>
      </w:pPr>
      <w:r>
        <w:rPr>
          <w:rFonts w:ascii="Times New Roman" w:hAnsi="Times New Roman"/>
          <w:szCs w:val="21"/>
        </w:rPr>
        <w:t>项目投入</w:t>
      </w:r>
      <w:r>
        <w:rPr>
          <w:rFonts w:hint="eastAsia" w:ascii="Times New Roman" w:hAnsi="Times New Roman"/>
          <w:szCs w:val="21"/>
        </w:rPr>
        <w:t>运维人员3</w:t>
      </w:r>
      <w:r>
        <w:rPr>
          <w:rFonts w:ascii="Times New Roman" w:hAnsi="Times New Roman"/>
          <w:szCs w:val="21"/>
        </w:rPr>
        <w:t>人以上得</w:t>
      </w:r>
      <w:r>
        <w:rPr>
          <w:rFonts w:hint="eastAsia" w:ascii="Times New Roman" w:hAnsi="Times New Roman"/>
          <w:szCs w:val="21"/>
        </w:rPr>
        <w:t>5</w:t>
      </w:r>
      <w:r>
        <w:rPr>
          <w:rFonts w:ascii="Times New Roman" w:hAnsi="Times New Roman"/>
          <w:szCs w:val="21"/>
        </w:rPr>
        <w:t>分，</w:t>
      </w:r>
      <w:r>
        <w:rPr>
          <w:rFonts w:hint="eastAsia" w:ascii="Times New Roman" w:hAnsi="Times New Roman"/>
          <w:szCs w:val="21"/>
        </w:rPr>
        <w:t>3</w:t>
      </w:r>
      <w:r>
        <w:rPr>
          <w:rFonts w:ascii="Times New Roman" w:hAnsi="Times New Roman"/>
          <w:szCs w:val="21"/>
        </w:rPr>
        <w:t>人得</w:t>
      </w:r>
      <w:r>
        <w:rPr>
          <w:rFonts w:hint="eastAsia" w:ascii="Times New Roman" w:hAnsi="Times New Roman"/>
          <w:szCs w:val="21"/>
        </w:rPr>
        <w:t>3</w:t>
      </w:r>
      <w:r>
        <w:rPr>
          <w:rFonts w:ascii="Times New Roman" w:hAnsi="Times New Roman"/>
          <w:szCs w:val="21"/>
        </w:rPr>
        <w:t>分，</w:t>
      </w:r>
      <w:r>
        <w:rPr>
          <w:rFonts w:hint="eastAsia" w:ascii="Times New Roman" w:hAnsi="Times New Roman"/>
          <w:szCs w:val="21"/>
        </w:rPr>
        <w:t>2</w:t>
      </w:r>
      <w:r>
        <w:rPr>
          <w:rFonts w:ascii="Times New Roman" w:hAnsi="Times New Roman"/>
          <w:szCs w:val="21"/>
        </w:rPr>
        <w:t>人得</w:t>
      </w:r>
      <w:r>
        <w:rPr>
          <w:rFonts w:hint="eastAsia" w:ascii="Times New Roman" w:hAnsi="Times New Roman"/>
          <w:szCs w:val="21"/>
        </w:rPr>
        <w:t>2</w:t>
      </w:r>
      <w:r>
        <w:rPr>
          <w:rFonts w:ascii="Times New Roman" w:hAnsi="Times New Roman"/>
          <w:szCs w:val="21"/>
        </w:rPr>
        <w:t>分。</w:t>
      </w:r>
    </w:p>
    <w:p>
      <w:pPr>
        <w:spacing w:line="300" w:lineRule="auto"/>
        <w:ind w:firstLine="420" w:firstLineChars="200"/>
        <w:rPr>
          <w:rFonts w:ascii="Times New Roman" w:hAnsi="Times New Roman"/>
          <w:szCs w:val="21"/>
        </w:rPr>
      </w:pPr>
      <w:r>
        <w:rPr>
          <w:rFonts w:ascii="Times New Roman" w:hAnsi="Times New Roman"/>
          <w:szCs w:val="21"/>
        </w:rPr>
        <w:t>投标人提供以上人员聘任合同及缴纳社保证明材料，职称证书等证明资料（所有资料均要求提供复印件并加盖公章，原件备查）。</w:t>
      </w:r>
    </w:p>
    <w:p>
      <w:pPr>
        <w:spacing w:line="300" w:lineRule="auto"/>
        <w:ind w:firstLine="422" w:firstLineChars="200"/>
        <w:rPr>
          <w:rFonts w:ascii="Times New Roman" w:hAnsi="Times New Roman"/>
          <w:b/>
          <w:bCs/>
          <w:szCs w:val="21"/>
        </w:rPr>
      </w:pPr>
      <w:r>
        <w:rPr>
          <w:rFonts w:ascii="Times New Roman" w:hAnsi="Times New Roman"/>
          <w:b/>
          <w:bCs/>
          <w:szCs w:val="21"/>
        </w:rPr>
        <w:t>（四）车辆投入…………………………………………………………</w:t>
      </w:r>
      <w:r>
        <w:rPr>
          <w:rFonts w:hint="eastAsia" w:ascii="Times New Roman" w:hAnsi="Times New Roman"/>
          <w:b/>
          <w:bCs/>
          <w:szCs w:val="21"/>
        </w:rPr>
        <w:t>5</w:t>
      </w:r>
      <w:r>
        <w:rPr>
          <w:rFonts w:ascii="Times New Roman" w:hAnsi="Times New Roman"/>
          <w:b/>
          <w:bCs/>
          <w:szCs w:val="21"/>
        </w:rPr>
        <w:t>分</w:t>
      </w:r>
    </w:p>
    <w:p>
      <w:pPr>
        <w:spacing w:line="300" w:lineRule="auto"/>
        <w:ind w:firstLine="420" w:firstLineChars="200"/>
        <w:rPr>
          <w:rFonts w:ascii="Times New Roman" w:hAnsi="Times New Roman"/>
          <w:szCs w:val="21"/>
        </w:rPr>
      </w:pPr>
      <w:r>
        <w:rPr>
          <w:rFonts w:ascii="Times New Roman" w:hAnsi="Times New Roman"/>
          <w:szCs w:val="21"/>
        </w:rPr>
        <w:t>项目投入车辆满足最低数量</w:t>
      </w:r>
      <w:r>
        <w:rPr>
          <w:rFonts w:hint="eastAsia" w:ascii="Times New Roman" w:hAnsi="Times New Roman"/>
          <w:szCs w:val="21"/>
        </w:rPr>
        <w:t>1</w:t>
      </w:r>
      <w:r>
        <w:rPr>
          <w:rFonts w:ascii="Times New Roman" w:hAnsi="Times New Roman"/>
          <w:szCs w:val="21"/>
        </w:rPr>
        <w:t>台得</w:t>
      </w:r>
      <w:r>
        <w:rPr>
          <w:rFonts w:hint="eastAsia" w:ascii="Times New Roman" w:hAnsi="Times New Roman"/>
          <w:szCs w:val="21"/>
        </w:rPr>
        <w:t>3</w:t>
      </w:r>
      <w:r>
        <w:rPr>
          <w:rFonts w:ascii="Times New Roman" w:hAnsi="Times New Roman"/>
          <w:szCs w:val="21"/>
        </w:rPr>
        <w:t>分，每增加1台加1分，满分</w:t>
      </w:r>
      <w:r>
        <w:rPr>
          <w:rFonts w:hint="eastAsia" w:ascii="Times New Roman" w:hAnsi="Times New Roman"/>
          <w:szCs w:val="21"/>
        </w:rPr>
        <w:t>5</w:t>
      </w:r>
      <w:r>
        <w:rPr>
          <w:rFonts w:ascii="Times New Roman" w:hAnsi="Times New Roman"/>
          <w:szCs w:val="21"/>
        </w:rPr>
        <w:t>分。投标人自有车辆要求提供车辆清单、有效的行驶证或购车合同，租赁车辆需提供租赁合同或租赁合作意向书（租赁合同或租赁合作意向书应明确车辆数量）。</w:t>
      </w:r>
    </w:p>
    <w:p>
      <w:pPr>
        <w:spacing w:line="300" w:lineRule="auto"/>
        <w:ind w:firstLine="422" w:firstLineChars="200"/>
        <w:rPr>
          <w:rFonts w:ascii="Times New Roman" w:hAnsi="Times New Roman"/>
          <w:b/>
          <w:szCs w:val="21"/>
        </w:rPr>
      </w:pPr>
      <w:r>
        <w:rPr>
          <w:rFonts w:ascii="Times New Roman" w:hAnsi="Times New Roman"/>
          <w:b/>
          <w:szCs w:val="21"/>
        </w:rPr>
        <w:t>（五）商务业绩分…………………………………………………………………… 2</w:t>
      </w:r>
      <w:r>
        <w:rPr>
          <w:rFonts w:hint="eastAsia" w:ascii="Times New Roman" w:hAnsi="Times New Roman"/>
          <w:b/>
          <w:szCs w:val="21"/>
        </w:rPr>
        <w:t>5</w:t>
      </w:r>
      <w:r>
        <w:rPr>
          <w:rFonts w:ascii="Times New Roman" w:hAnsi="Times New Roman"/>
          <w:b/>
          <w:szCs w:val="21"/>
        </w:rPr>
        <w:t>分</w:t>
      </w:r>
    </w:p>
    <w:p>
      <w:pPr>
        <w:spacing w:line="300" w:lineRule="auto"/>
        <w:ind w:firstLine="420" w:firstLineChars="200"/>
        <w:rPr>
          <w:rFonts w:ascii="Times New Roman" w:hAnsi="Times New Roman"/>
          <w:szCs w:val="21"/>
        </w:rPr>
      </w:pPr>
      <w:r>
        <w:rPr>
          <w:rFonts w:ascii="Times New Roman" w:hAnsi="Times New Roman"/>
          <w:szCs w:val="21"/>
        </w:rPr>
        <w:t>投标人近3年来（从20</w:t>
      </w:r>
      <w:r>
        <w:rPr>
          <w:rFonts w:hint="eastAsia" w:ascii="Times New Roman" w:hAnsi="Times New Roman"/>
          <w:szCs w:val="21"/>
        </w:rPr>
        <w:t>20</w:t>
      </w:r>
      <w:r>
        <w:rPr>
          <w:rFonts w:ascii="Times New Roman" w:hAnsi="Times New Roman"/>
          <w:szCs w:val="21"/>
        </w:rPr>
        <w:t>年1月1日起算），具有与本次采购内容相类似的</w:t>
      </w:r>
      <w:r>
        <w:rPr>
          <w:rFonts w:hint="eastAsia" w:ascii="Times New Roman" w:hAnsi="Times New Roman"/>
          <w:szCs w:val="21"/>
        </w:rPr>
        <w:t>仪器设备运维服务</w:t>
      </w:r>
      <w:r>
        <w:rPr>
          <w:rFonts w:ascii="Times New Roman" w:hAnsi="Times New Roman"/>
          <w:szCs w:val="21"/>
        </w:rPr>
        <w:t>项目业绩的，每项业绩得</w:t>
      </w:r>
      <w:r>
        <w:rPr>
          <w:rFonts w:hint="eastAsia" w:ascii="Times New Roman" w:hAnsi="Times New Roman"/>
          <w:szCs w:val="21"/>
        </w:rPr>
        <w:t>5</w:t>
      </w:r>
      <w:r>
        <w:rPr>
          <w:rFonts w:ascii="Times New Roman" w:hAnsi="Times New Roman"/>
          <w:szCs w:val="21"/>
        </w:rPr>
        <w:t>分，该项满分</w:t>
      </w:r>
      <w:r>
        <w:rPr>
          <w:rFonts w:hint="eastAsia" w:ascii="Times New Roman" w:hAnsi="Times New Roman"/>
          <w:szCs w:val="21"/>
        </w:rPr>
        <w:t>2</w:t>
      </w:r>
      <w:r>
        <w:rPr>
          <w:rFonts w:ascii="Times New Roman" w:hAnsi="Times New Roman"/>
          <w:szCs w:val="21"/>
        </w:rPr>
        <w:t>0分。投标人须提供以下证明材料，否则不计分。证明材料包括但不限于以下文件（提供复印件，原件备查）：①合同，必须包含金额、签订合同双方的名称及印章、合同标的等；②验收材料及相关</w:t>
      </w:r>
      <w:r>
        <w:rPr>
          <w:rFonts w:hint="eastAsia" w:ascii="Times New Roman" w:hAnsi="Times New Roman"/>
          <w:szCs w:val="21"/>
        </w:rPr>
        <w:t>采购方</w:t>
      </w:r>
      <w:r>
        <w:rPr>
          <w:rFonts w:ascii="Times New Roman" w:hAnsi="Times New Roman"/>
          <w:szCs w:val="21"/>
        </w:rPr>
        <w:t>意见等。</w:t>
      </w:r>
    </w:p>
    <w:p>
      <w:pPr>
        <w:spacing w:line="300" w:lineRule="auto"/>
        <w:ind w:firstLine="384"/>
        <w:rPr>
          <w:rFonts w:ascii="Times New Roman" w:hAnsi="Times New Roman"/>
          <w:b/>
          <w:bCs/>
          <w:spacing w:val="-6"/>
          <w:szCs w:val="21"/>
        </w:rPr>
      </w:pPr>
      <w:r>
        <w:rPr>
          <w:rFonts w:ascii="Times New Roman" w:hAnsi="Times New Roman"/>
          <w:spacing w:val="-6"/>
          <w:szCs w:val="21"/>
        </w:rPr>
        <w:t>总分值=（</w:t>
      </w:r>
      <w:r>
        <w:rPr>
          <w:rFonts w:ascii="Times New Roman" w:hAnsi="Times New Roman"/>
          <w:b/>
          <w:bCs/>
          <w:spacing w:val="-6"/>
          <w:szCs w:val="21"/>
        </w:rPr>
        <w:t>一</w:t>
      </w:r>
      <w:r>
        <w:rPr>
          <w:rFonts w:ascii="Times New Roman" w:hAnsi="Times New Roman"/>
          <w:spacing w:val="-6"/>
          <w:szCs w:val="21"/>
        </w:rPr>
        <w:t>）</w:t>
      </w:r>
      <w:r>
        <w:rPr>
          <w:rFonts w:ascii="Times New Roman" w:hAnsi="Times New Roman"/>
          <w:b/>
          <w:bCs/>
          <w:spacing w:val="-6"/>
          <w:szCs w:val="21"/>
        </w:rPr>
        <w:t>+（二）+（三）+（四）+（五）</w:t>
      </w:r>
    </w:p>
    <w:p>
      <w:pPr>
        <w:spacing w:line="300" w:lineRule="auto"/>
        <w:ind w:firstLine="426" w:firstLineChars="202"/>
        <w:rPr>
          <w:rFonts w:ascii="Times New Roman" w:hAnsi="Times New Roman"/>
          <w:b/>
          <w:szCs w:val="21"/>
        </w:rPr>
      </w:pPr>
      <w:r>
        <w:rPr>
          <w:rFonts w:ascii="Times New Roman" w:hAnsi="Times New Roman"/>
          <w:b/>
          <w:szCs w:val="21"/>
        </w:rPr>
        <w:t>三、成交候选人推荐原则</w:t>
      </w:r>
    </w:p>
    <w:p>
      <w:pPr>
        <w:spacing w:line="300" w:lineRule="auto"/>
        <w:ind w:firstLine="420" w:firstLineChars="200"/>
        <w:rPr>
          <w:rFonts w:ascii="Times New Roman" w:hAnsi="Times New Roman"/>
          <w:szCs w:val="21"/>
        </w:rPr>
      </w:pPr>
      <w:r>
        <w:rPr>
          <w:rFonts w:ascii="Times New Roman" w:hAnsi="Times New Roman"/>
          <w:szCs w:val="21"/>
        </w:rPr>
        <w:t>由评标小组根据综合得分由高到低排列次序（总得分相同时，依次按投标报价低优先、实施方案分高优先、项目人员投入分高优先、仪器设备及车辆投入分高优先、业绩分高优先、商务分高优先的顺序排列）将排名前三的列为成交候选人，并确定排名第一名的成交候选人为中标供应商。</w:t>
      </w:r>
    </w:p>
    <w:p>
      <w:pPr>
        <w:spacing w:line="300" w:lineRule="auto"/>
        <w:ind w:firstLine="420" w:firstLineChars="200"/>
        <w:rPr>
          <w:rFonts w:ascii="Times New Roman" w:hAnsi="Times New Roman"/>
          <w:szCs w:val="21"/>
        </w:rPr>
      </w:pPr>
      <w:r>
        <w:rPr>
          <w:rFonts w:ascii="Times New Roman" w:hAnsi="Times New Roman"/>
          <w:szCs w:val="21"/>
        </w:rPr>
        <w:t>排名第一名的成交候选人放弃中标或因不可抗力提出不能履行合同的，</w:t>
      </w:r>
      <w:r>
        <w:rPr>
          <w:rFonts w:hint="eastAsia" w:ascii="Times New Roman" w:hAnsi="Times New Roman"/>
          <w:szCs w:val="21"/>
        </w:rPr>
        <w:t>采购方</w:t>
      </w:r>
      <w:r>
        <w:rPr>
          <w:rFonts w:ascii="Times New Roman" w:hAnsi="Times New Roman"/>
          <w:szCs w:val="21"/>
        </w:rPr>
        <w:t>单位可以确定排定第二的成交候选人为中标供应商。排名第二名的成交候选人因前款规定的同样原因不能签订合同的，</w:t>
      </w:r>
      <w:r>
        <w:rPr>
          <w:rFonts w:hint="eastAsia" w:ascii="Times New Roman" w:hAnsi="Times New Roman"/>
          <w:szCs w:val="21"/>
        </w:rPr>
        <w:t>采购方</w:t>
      </w:r>
      <w:r>
        <w:rPr>
          <w:rFonts w:ascii="Times New Roman" w:hAnsi="Times New Roman"/>
          <w:szCs w:val="21"/>
        </w:rPr>
        <w:t>单位可以确定排名第三名的成交候选人为中标供应商。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iZDIxMTg5ZDgzZmVlMjJmMTViOTkwYmNkMmNkMDEifQ=="/>
  </w:docVars>
  <w:rsids>
    <w:rsidRoot w:val="00000000"/>
    <w:rsid w:val="005E32A4"/>
    <w:rsid w:val="00AD13D9"/>
    <w:rsid w:val="01AF10ED"/>
    <w:rsid w:val="01EE2E69"/>
    <w:rsid w:val="0A70195C"/>
    <w:rsid w:val="12D23D2D"/>
    <w:rsid w:val="15033F3F"/>
    <w:rsid w:val="177C3764"/>
    <w:rsid w:val="18A76C2E"/>
    <w:rsid w:val="22A2595C"/>
    <w:rsid w:val="236D7BE4"/>
    <w:rsid w:val="24996F7D"/>
    <w:rsid w:val="286A70EF"/>
    <w:rsid w:val="33E02FA5"/>
    <w:rsid w:val="35040798"/>
    <w:rsid w:val="3A2E46D2"/>
    <w:rsid w:val="4D0A557F"/>
    <w:rsid w:val="54643D4D"/>
    <w:rsid w:val="58B43EAB"/>
    <w:rsid w:val="590409F4"/>
    <w:rsid w:val="59BB4B80"/>
    <w:rsid w:val="5A4D20D8"/>
    <w:rsid w:val="61074ECE"/>
    <w:rsid w:val="63D5645B"/>
    <w:rsid w:val="679C5414"/>
    <w:rsid w:val="6A7E01DB"/>
    <w:rsid w:val="6DB85A7C"/>
    <w:rsid w:val="7E654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paragraph" w:styleId="2">
    <w:name w:val="heading 4"/>
    <w:basedOn w:val="1"/>
    <w:next w:val="1"/>
    <w:qFormat/>
    <w:uiPriority w:val="9"/>
    <w:pPr>
      <w:keepNext/>
      <w:keepLines/>
      <w:spacing w:before="280" w:after="290" w:line="376" w:lineRule="auto"/>
      <w:outlineLvl w:val="3"/>
    </w:pPr>
    <w:rPr>
      <w:rFonts w:ascii="Cambria" w:hAnsi="Cambria"/>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Default"/>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7196</Words>
  <Characters>7549</Characters>
  <Lines>0</Lines>
  <Paragraphs>0</Paragraphs>
  <TotalTime>5</TotalTime>
  <ScaleCrop>false</ScaleCrop>
  <LinksUpToDate>false</LinksUpToDate>
  <CharactersWithSpaces>7569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majun</cp:lastModifiedBy>
  <dcterms:modified xsi:type="dcterms:W3CDTF">2023-02-27T09:07:08Z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A716444B37EF49B3A36A4D1E458BEAB8</vt:lpwstr>
  </property>
</Properties>
</file>