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left"/>
        <w:rPr>
          <w:rFonts w:ascii="Times New Roman" w:hAnsi="Times New Roman"/>
          <w:sz w:val="24"/>
          <w:szCs w:val="24"/>
        </w:rPr>
      </w:pPr>
      <w:r>
        <w:rPr>
          <w:rFonts w:hint="eastAsia" w:ascii="Times New Roman" w:hAnsi="Times New Roman"/>
          <w:sz w:val="24"/>
          <w:szCs w:val="24"/>
        </w:rPr>
        <w:t>附件3</w:t>
      </w:r>
    </w:p>
    <w:p>
      <w:pPr>
        <w:widowControl w:val="0"/>
        <w:spacing w:line="600" w:lineRule="exact"/>
        <w:jc w:val="left"/>
        <w:rPr>
          <w:rFonts w:ascii="方正小标宋_GBK" w:eastAsia="方正小标宋_GBK"/>
          <w:sz w:val="44"/>
          <w:szCs w:val="44"/>
        </w:rPr>
      </w:pPr>
    </w:p>
    <w:p>
      <w:pPr>
        <w:widowControl w:val="0"/>
        <w:spacing w:line="600" w:lineRule="exact"/>
        <w:jc w:val="center"/>
        <w:rPr>
          <w:rFonts w:ascii="方正小标宋_GBK" w:eastAsia="方正小标宋_GBK"/>
          <w:sz w:val="44"/>
          <w:szCs w:val="44"/>
        </w:rPr>
      </w:pPr>
      <w:r>
        <w:rPr>
          <w:rFonts w:hint="eastAsia" w:ascii="方正小标宋_GBK" w:eastAsia="方正小标宋_GBK"/>
          <w:sz w:val="44"/>
          <w:szCs w:val="44"/>
        </w:rPr>
        <w:t>广西壮族自治区</w:t>
      </w:r>
      <w:r>
        <w:rPr>
          <w:rFonts w:hint="eastAsia" w:ascii="方正小标宋_GBK" w:eastAsia="方正小标宋_GBK"/>
          <w:sz w:val="44"/>
          <w:szCs w:val="44"/>
          <w:lang w:val="en-US" w:eastAsia="zh-CN"/>
        </w:rPr>
        <w:t>钦州</w:t>
      </w:r>
      <w:r>
        <w:rPr>
          <w:rFonts w:hint="eastAsia" w:ascii="方正小标宋_GBK" w:eastAsia="方正小标宋_GBK"/>
          <w:sz w:val="44"/>
          <w:szCs w:val="44"/>
        </w:rPr>
        <w:t>生态环境监测中心</w:t>
      </w:r>
    </w:p>
    <w:p>
      <w:pPr>
        <w:widowControl w:val="0"/>
        <w:spacing w:line="600" w:lineRule="exact"/>
        <w:jc w:val="center"/>
        <w:rPr>
          <w:rFonts w:ascii="方正小标宋_GBK" w:eastAsia="方正小标宋_GBK"/>
          <w:sz w:val="44"/>
          <w:szCs w:val="44"/>
        </w:rPr>
      </w:pPr>
      <w:r>
        <w:rPr>
          <w:rFonts w:hint="eastAsia" w:ascii="方正小标宋_GBK" w:eastAsia="方正小标宋_GBK"/>
          <w:sz w:val="44"/>
          <w:szCs w:val="44"/>
        </w:rPr>
        <w:t>降雨自动监测点自动监测设备第三方运维服务考核表</w:t>
      </w:r>
    </w:p>
    <w:p>
      <w:pPr>
        <w:widowControl w:val="0"/>
        <w:spacing w:line="600" w:lineRule="exact"/>
        <w:ind w:firstLine="210" w:firstLineChars="100"/>
        <w:rPr>
          <w:rFonts w:ascii="宋体" w:hAnsi="宋体" w:cs="方正小标宋_GBK"/>
        </w:rPr>
      </w:pPr>
      <w:r>
        <w:rPr>
          <w:rFonts w:hint="eastAsia" w:ascii="宋体" w:hAnsi="宋体" w:cs="方正小标宋_GBK"/>
        </w:rPr>
        <w:t>考核时间：    月     日</w:t>
      </w:r>
    </w:p>
    <w:tbl>
      <w:tblPr>
        <w:tblStyle w:val="3"/>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78"/>
        <w:gridCol w:w="3653"/>
        <w:gridCol w:w="3774"/>
        <w:gridCol w:w="813"/>
        <w:gridCol w:w="94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序号</w:t>
            </w:r>
          </w:p>
        </w:tc>
        <w:tc>
          <w:tcPr>
            <w:tcW w:w="981" w:type="dxa"/>
            <w:tcBorders>
              <w:top w:val="single" w:color="auto" w:sz="4" w:space="0"/>
              <w:left w:val="single" w:color="auto" w:sz="4" w:space="0"/>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考核 指标</w:t>
            </w:r>
          </w:p>
        </w:tc>
        <w:tc>
          <w:tcPr>
            <w:tcW w:w="3665" w:type="dxa"/>
            <w:tcBorders>
              <w:top w:val="single" w:color="auto" w:sz="4" w:space="0"/>
              <w:left w:val="single" w:color="auto" w:sz="4" w:space="0"/>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考核内容</w:t>
            </w:r>
          </w:p>
        </w:tc>
        <w:tc>
          <w:tcPr>
            <w:tcW w:w="3786" w:type="dxa"/>
            <w:tcBorders>
              <w:top w:val="single" w:color="auto" w:sz="4" w:space="0"/>
              <w:left w:val="nil"/>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考核要求</w:t>
            </w:r>
          </w:p>
        </w:tc>
        <w:tc>
          <w:tcPr>
            <w:tcW w:w="816" w:type="dxa"/>
            <w:tcBorders>
              <w:top w:val="single" w:color="auto" w:sz="4" w:space="0"/>
              <w:left w:val="nil"/>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分值</w:t>
            </w:r>
          </w:p>
        </w:tc>
        <w:tc>
          <w:tcPr>
            <w:tcW w:w="949" w:type="dxa"/>
            <w:tcBorders>
              <w:top w:val="single" w:color="auto" w:sz="4" w:space="0"/>
              <w:left w:val="nil"/>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评分 结果</w:t>
            </w:r>
          </w:p>
        </w:tc>
        <w:tc>
          <w:tcPr>
            <w:tcW w:w="2666" w:type="dxa"/>
            <w:tcBorders>
              <w:top w:val="single" w:color="auto" w:sz="4" w:space="0"/>
              <w:left w:val="nil"/>
              <w:bottom w:val="single" w:color="auto" w:sz="4" w:space="0"/>
              <w:right w:val="single" w:color="auto" w:sz="4" w:space="0"/>
            </w:tcBorders>
            <w:vAlign w:val="center"/>
          </w:tcPr>
          <w:p>
            <w:pPr>
              <w:pStyle w:val="5"/>
              <w:snapToGrid w:val="0"/>
              <w:spacing w:line="340" w:lineRule="exact"/>
              <w:ind w:firstLine="0" w:firstLineChars="0"/>
              <w:jc w:val="center"/>
              <w:rPr>
                <w:rFonts w:ascii="Times New Roman" w:hAnsi="Times New Roman"/>
                <w:sz w:val="24"/>
                <w:szCs w:val="24"/>
              </w:rPr>
            </w:pPr>
            <w:r>
              <w:rPr>
                <w:rFonts w:ascii="Times New Roman" w:hAnsi="Times New Roman"/>
                <w:sz w:val="24"/>
                <w:szCs w:val="24"/>
              </w:rPr>
              <w:t>备注（说明扣分原因或其他事项）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776" w:type="dxa"/>
            <w:tcBorders>
              <w:top w:val="nil"/>
              <w:left w:val="single" w:color="auto" w:sz="4" w:space="0"/>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一</w:t>
            </w:r>
          </w:p>
        </w:tc>
        <w:tc>
          <w:tcPr>
            <w:tcW w:w="981"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降雨样品采送</w:t>
            </w:r>
          </w:p>
        </w:tc>
        <w:tc>
          <w:tcPr>
            <w:tcW w:w="3665"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（一）每天登录广西壮族自治区酸雨监测质量控制系统查看仪器状态信息、监测数据信息，并拍照或截图上传。</w:t>
            </w:r>
          </w:p>
          <w:p>
            <w:pPr>
              <w:widowControl w:val="0"/>
              <w:jc w:val="left"/>
              <w:rPr>
                <w:rFonts w:ascii="Times New Roman" w:hAnsi="Times New Roman"/>
              </w:rPr>
            </w:pPr>
            <w:r>
              <w:rPr>
                <w:rFonts w:ascii="Times New Roman" w:hAnsi="Times New Roman"/>
              </w:rPr>
              <w:t>（二）逢雨必采，逢雨必送，降雨按时送到指定实验室。</w:t>
            </w:r>
          </w:p>
        </w:tc>
        <w:tc>
          <w:tcPr>
            <w:tcW w:w="3786"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（一）每天登录广西壮族自治区酸雨监测质量控制系统查看仪器状态信息、监测数据信息，并拍照或截图上传指定微信群。缺少一天扣0.5分，扣完为止。</w:t>
            </w:r>
          </w:p>
          <w:p>
            <w:pPr>
              <w:widowControl w:val="0"/>
              <w:jc w:val="left"/>
              <w:rPr>
                <w:rFonts w:ascii="Times New Roman" w:hAnsi="Times New Roman"/>
              </w:rPr>
            </w:pPr>
            <w:r>
              <w:rPr>
                <w:rFonts w:ascii="Times New Roman" w:hAnsi="Times New Roman"/>
              </w:rPr>
              <w:t>（二）降雨未按时送到指定实验室1次扣0.5分，扣完为止。</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30</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ind w:firstLine="0" w:firstLineChars="0"/>
              <w:jc w:val="left"/>
              <w:rPr>
                <w:rFonts w:ascii="Times New Roman" w:hAnsi="Times New Roman"/>
                <w:sz w:val="24"/>
                <w:szCs w:val="24"/>
              </w:rPr>
            </w:pPr>
            <w:r>
              <w:rPr>
                <w:rFonts w:ascii="Times New Roman" w:hAnsi="Times New Roman"/>
              </w:rPr>
              <w:t>逢雨必采，逢雨必送，每天上午9：00至次日上午9：00的降雨视为一个样品，须在次日15时前送到业主指定实验室。因不可抗拒原因造成的样品采集延迟，该次样品仍需送样，并在送样记录单备注延迟原因。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76" w:type="dxa"/>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二</w:t>
            </w:r>
          </w:p>
        </w:tc>
        <w:tc>
          <w:tcPr>
            <w:tcW w:w="981" w:type="dxa"/>
            <w:tcBorders>
              <w:top w:val="single" w:color="auto" w:sz="4" w:space="0"/>
              <w:left w:val="nil"/>
              <w:bottom w:val="single" w:color="auto" w:sz="4" w:space="0"/>
              <w:right w:val="single" w:color="auto" w:sz="4" w:space="0"/>
            </w:tcBorders>
            <w:vAlign w:val="center"/>
          </w:tcPr>
          <w:p>
            <w:pPr>
              <w:widowControl w:val="0"/>
              <w:jc w:val="center"/>
            </w:pPr>
            <w:r>
              <w:rPr>
                <w:rFonts w:hint="eastAsia"/>
              </w:rPr>
              <w:t>日常运维工作</w:t>
            </w:r>
          </w:p>
        </w:tc>
        <w:tc>
          <w:tcPr>
            <w:tcW w:w="3665" w:type="dxa"/>
            <w:tcBorders>
              <w:top w:val="single" w:color="auto" w:sz="4" w:space="0"/>
              <w:left w:val="nil"/>
              <w:bottom w:val="single" w:color="auto" w:sz="4" w:space="0"/>
              <w:right w:val="single" w:color="auto" w:sz="4" w:space="0"/>
            </w:tcBorders>
            <w:vAlign w:val="center"/>
          </w:tcPr>
          <w:p>
            <w:pPr>
              <w:widowControl w:val="0"/>
              <w:numPr>
                <w:ilvl w:val="0"/>
                <w:numId w:val="1"/>
              </w:numPr>
              <w:jc w:val="left"/>
            </w:pPr>
            <w:r>
              <w:t>至少每两周进行1次在线设备pH和EC校准。</w:t>
            </w:r>
          </w:p>
          <w:p>
            <w:pPr>
              <w:widowControl w:val="0"/>
              <w:numPr>
                <w:ilvl w:val="0"/>
                <w:numId w:val="1"/>
              </w:numPr>
              <w:jc w:val="left"/>
            </w:pPr>
            <w:r>
              <w:t>每个月至少采集一次样品空白。</w:t>
            </w:r>
          </w:p>
          <w:p>
            <w:pPr>
              <w:widowControl w:val="0"/>
              <w:numPr>
                <w:ilvl w:val="0"/>
                <w:numId w:val="1"/>
              </w:numPr>
              <w:jc w:val="left"/>
            </w:pPr>
            <w:r>
              <w:t>每季度至少清洗一次仪器的集雨桶和雨量桶</w:t>
            </w:r>
            <w:r>
              <w:rPr>
                <w:rFonts w:hint="eastAsia"/>
              </w:rPr>
              <w:t>，并采集一个全程序空白样品</w:t>
            </w:r>
            <w:r>
              <w:t>。</w:t>
            </w:r>
          </w:p>
          <w:p>
            <w:pPr>
              <w:widowControl w:val="0"/>
              <w:numPr>
                <w:ilvl w:val="0"/>
                <w:numId w:val="1"/>
              </w:numPr>
              <w:jc w:val="left"/>
            </w:pPr>
            <w:r>
              <w:t>每个站点每月至少进行一次实验室与在线设备pH值比对。</w:t>
            </w:r>
          </w:p>
          <w:p>
            <w:pPr>
              <w:widowControl w:val="0"/>
              <w:jc w:val="left"/>
            </w:pPr>
            <w:r>
              <w:t>（五）无论是否有降水</w:t>
            </w:r>
            <w:r>
              <w:rPr>
                <w:rFonts w:hint="eastAsia"/>
              </w:rPr>
              <w:t>，</w:t>
            </w:r>
            <w:r>
              <w:t>每天登录广西壮族自治区酸雨监测质量控制系统查看仪器状态信息、监测数据信息，并拍照或截图上传。</w:t>
            </w:r>
          </w:p>
          <w:p>
            <w:pPr>
              <w:widowControl w:val="0"/>
              <w:jc w:val="left"/>
            </w:pPr>
            <w:r>
              <w:t>（六）其他</w:t>
            </w:r>
            <w:r>
              <w:rPr>
                <w:rFonts w:ascii="Times New Roman" w:hAnsi="Times New Roman"/>
              </w:rPr>
              <w:t>配套装置维护管理</w:t>
            </w:r>
            <w:r>
              <w:rPr>
                <w:rFonts w:hint="eastAsia" w:ascii="Times New Roman" w:hAnsi="Times New Roman"/>
              </w:rPr>
              <w:t>等</w:t>
            </w:r>
            <w:r>
              <w:t>要求。</w:t>
            </w:r>
          </w:p>
          <w:p/>
        </w:tc>
        <w:tc>
          <w:tcPr>
            <w:tcW w:w="3786" w:type="dxa"/>
            <w:tcBorders>
              <w:top w:val="single" w:color="auto" w:sz="4" w:space="0"/>
              <w:left w:val="nil"/>
              <w:bottom w:val="single" w:color="auto" w:sz="4" w:space="0"/>
              <w:right w:val="single" w:color="auto" w:sz="4" w:space="0"/>
            </w:tcBorders>
            <w:vAlign w:val="center"/>
          </w:tcPr>
          <w:p>
            <w:pPr>
              <w:widowControl w:val="0"/>
              <w:jc w:val="left"/>
            </w:pPr>
            <w:r>
              <w:t>（一）至少每两周进行1次在线设备pH和EC校准</w:t>
            </w:r>
            <w:r>
              <w:rPr>
                <w:rFonts w:hint="eastAsia"/>
              </w:rPr>
              <w:t>，缺少一次扣2分</w:t>
            </w:r>
            <w:r>
              <w:t>。</w:t>
            </w:r>
          </w:p>
          <w:p>
            <w:pPr>
              <w:widowControl w:val="0"/>
              <w:jc w:val="left"/>
            </w:pPr>
            <w:r>
              <w:t>（二）每个月至少采集一次样品空白</w:t>
            </w:r>
            <w:r>
              <w:rPr>
                <w:rFonts w:hint="eastAsia"/>
              </w:rPr>
              <w:t>，缺少一次扣2分</w:t>
            </w:r>
            <w:r>
              <w:t>。</w:t>
            </w:r>
          </w:p>
          <w:p>
            <w:pPr>
              <w:widowControl w:val="0"/>
              <w:jc w:val="left"/>
            </w:pPr>
            <w:r>
              <w:t>（三）每季度至少清洗一次仪器的集雨桶和雨量桶，并采集一个全程序空白样品</w:t>
            </w:r>
            <w:r>
              <w:rPr>
                <w:rFonts w:hint="eastAsia"/>
              </w:rPr>
              <w:t>，缺少一次扣2分</w:t>
            </w:r>
            <w:r>
              <w:t>。</w:t>
            </w:r>
          </w:p>
          <w:p>
            <w:pPr>
              <w:widowControl w:val="0"/>
              <w:jc w:val="left"/>
            </w:pPr>
            <w:r>
              <w:t>（四）每个站点每月至少进行一次实验室与在线设备pH值比对</w:t>
            </w:r>
            <w:r>
              <w:rPr>
                <w:rFonts w:hint="eastAsia"/>
              </w:rPr>
              <w:t>，pH值偏差不能超过±0.3个pH单位，如超过范围，则再次校准设备，再次监测有证标准样品，</w:t>
            </w:r>
            <w:r>
              <w:t>直到合格为止</w:t>
            </w:r>
            <w:r>
              <w:rPr>
                <w:rFonts w:hint="eastAsia"/>
              </w:rPr>
              <w:t>。在仪器无故障的情况下，如比对超过三次不合格的，从第三次起，每次扣1分，扣完为止</w:t>
            </w:r>
            <w:r>
              <w:t>。</w:t>
            </w:r>
          </w:p>
          <w:p>
            <w:r>
              <w:rPr>
                <w:rFonts w:hint="eastAsia"/>
              </w:rPr>
              <w:t>（五）</w:t>
            </w:r>
            <w:r>
              <w:t>无论是否有降水</w:t>
            </w:r>
            <w:r>
              <w:rPr>
                <w:rFonts w:hint="eastAsia"/>
              </w:rPr>
              <w:t>，每天登录</w:t>
            </w:r>
            <w:r>
              <w:t>广西壮族自治区酸雨监测质量控制系统查看仪器状态信息、监测数据信息，并</w:t>
            </w:r>
            <w:r>
              <w:rPr>
                <w:rFonts w:hint="eastAsia"/>
                <w:lang w:val="en-US" w:eastAsia="zh-CN"/>
              </w:rPr>
              <w:t>导出、</w:t>
            </w:r>
            <w:r>
              <w:t>拍照或截图上传</w:t>
            </w:r>
            <w:r>
              <w:rPr>
                <w:rFonts w:hint="eastAsia"/>
              </w:rPr>
              <w:t>，每月5日前以书面形式汇报上</w:t>
            </w:r>
            <w:r>
              <w:rPr>
                <w:rFonts w:hint="eastAsia"/>
                <w:lang w:val="en-US" w:eastAsia="zh-CN"/>
              </w:rPr>
              <w:t>月</w:t>
            </w:r>
            <w:r>
              <w:rPr>
                <w:rFonts w:hint="eastAsia"/>
              </w:rPr>
              <w:t>所有记录。视记录完整性情况，缺少一天扣1分，扣完为止。</w:t>
            </w:r>
          </w:p>
          <w:p>
            <w:r>
              <w:rPr>
                <w:rFonts w:hint="eastAsia"/>
              </w:rPr>
              <w:t>（六）其他违反</w:t>
            </w:r>
            <w:r>
              <w:rPr>
                <w:rFonts w:ascii="Times New Roman" w:hAnsi="Times New Roman"/>
              </w:rPr>
              <w:t>维护管理</w:t>
            </w:r>
            <w:r>
              <w:t>要求</w:t>
            </w:r>
            <w:r>
              <w:rPr>
                <w:rFonts w:hint="eastAsia"/>
              </w:rPr>
              <w:t>的事项，每次扣1分，扣完为止。</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hint="eastAsia" w:ascii="Times New Roman" w:hAnsi="Times New Roman"/>
              </w:rPr>
              <w:t>30</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76" w:type="dxa"/>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三</w:t>
            </w:r>
          </w:p>
        </w:tc>
        <w:tc>
          <w:tcPr>
            <w:tcW w:w="981"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仪器设备维修</w:t>
            </w:r>
          </w:p>
        </w:tc>
        <w:tc>
          <w:tcPr>
            <w:tcW w:w="3665" w:type="dxa"/>
            <w:tcBorders>
              <w:top w:val="single" w:color="auto" w:sz="4" w:space="0"/>
              <w:left w:val="nil"/>
              <w:bottom w:val="single" w:color="auto" w:sz="4" w:space="0"/>
              <w:right w:val="single" w:color="auto" w:sz="4" w:space="0"/>
            </w:tcBorders>
            <w:vAlign w:val="center"/>
          </w:tcPr>
          <w:p>
            <w:pPr>
              <w:widowControl w:val="0"/>
              <w:numPr>
                <w:ilvl w:val="0"/>
                <w:numId w:val="2"/>
              </w:numPr>
              <w:jc w:val="left"/>
              <w:rPr>
                <w:rFonts w:ascii="Times New Roman" w:hAnsi="Times New Roman"/>
              </w:rPr>
            </w:pPr>
            <w:r>
              <w:rPr>
                <w:rFonts w:ascii="Times New Roman" w:hAnsi="Times New Roman"/>
              </w:rPr>
              <w:t>初步判断现场监测仪器设备故障。</w:t>
            </w:r>
          </w:p>
          <w:p>
            <w:pPr>
              <w:widowControl w:val="0"/>
              <w:numPr>
                <w:ilvl w:val="0"/>
                <w:numId w:val="2"/>
              </w:numPr>
              <w:jc w:val="left"/>
              <w:rPr>
                <w:rFonts w:ascii="Times New Roman" w:hAnsi="Times New Roman"/>
              </w:rPr>
            </w:pPr>
            <w:r>
              <w:rPr>
                <w:rFonts w:ascii="Times New Roman" w:hAnsi="Times New Roman"/>
              </w:rPr>
              <w:t>协助做好仪器设备维修相关工作。</w:t>
            </w:r>
          </w:p>
          <w:p>
            <w:pPr>
              <w:widowControl w:val="0"/>
              <w:numPr>
                <w:ilvl w:val="0"/>
                <w:numId w:val="2"/>
              </w:numPr>
              <w:jc w:val="left"/>
              <w:rPr>
                <w:rFonts w:ascii="Times New Roman" w:hAnsi="Times New Roman"/>
              </w:rPr>
            </w:pPr>
            <w:r>
              <w:rPr>
                <w:rFonts w:ascii="Times New Roman" w:hAnsi="Times New Roman"/>
              </w:rPr>
              <w:t>承担现场监测仪器设备</w:t>
            </w:r>
            <w:r>
              <w:rPr>
                <w:rFonts w:hint="eastAsia" w:ascii="Times New Roman" w:hAnsi="Times New Roman"/>
              </w:rPr>
              <w:t>维修</w:t>
            </w:r>
            <w:r>
              <w:rPr>
                <w:rFonts w:ascii="Times New Roman" w:hAnsi="Times New Roman"/>
              </w:rPr>
              <w:t>。</w:t>
            </w:r>
            <w:bookmarkStart w:id="0" w:name="_GoBack"/>
            <w:bookmarkEnd w:id="0"/>
          </w:p>
        </w:tc>
        <w:tc>
          <w:tcPr>
            <w:tcW w:w="3786" w:type="dxa"/>
            <w:tcBorders>
              <w:top w:val="single" w:color="auto" w:sz="4" w:space="0"/>
              <w:left w:val="nil"/>
              <w:bottom w:val="single" w:color="auto" w:sz="4" w:space="0"/>
              <w:right w:val="single" w:color="auto" w:sz="4" w:space="0"/>
            </w:tcBorders>
            <w:vAlign w:val="center"/>
          </w:tcPr>
          <w:p>
            <w:pPr>
              <w:widowControl w:val="0"/>
              <w:numPr>
                <w:ilvl w:val="0"/>
                <w:numId w:val="3"/>
              </w:numPr>
              <w:jc w:val="left"/>
              <w:rPr>
                <w:rFonts w:ascii="Times New Roman" w:hAnsi="Times New Roman"/>
              </w:rPr>
            </w:pPr>
            <w:r>
              <w:rPr>
                <w:rFonts w:ascii="Times New Roman" w:hAnsi="Times New Roman"/>
              </w:rPr>
              <w:t>及时判断仪器设备故障，未按要求完成的每次扣1分，扣完为止。</w:t>
            </w:r>
          </w:p>
          <w:p>
            <w:pPr>
              <w:widowControl w:val="0"/>
              <w:jc w:val="left"/>
              <w:rPr>
                <w:rFonts w:ascii="Times New Roman" w:hAnsi="Times New Roman"/>
              </w:rPr>
            </w:pPr>
            <w:r>
              <w:rPr>
                <w:rFonts w:ascii="Times New Roman" w:hAnsi="Times New Roman"/>
              </w:rPr>
              <w:t>（二）协助仪器设备维修人员做好相关工作，并完成仪器设备维修后状态确认，未按要求完成的每次扣1分，扣完为止。</w:t>
            </w:r>
          </w:p>
          <w:p>
            <w:pPr>
              <w:widowControl w:val="0"/>
              <w:jc w:val="left"/>
              <w:rPr>
                <w:rFonts w:ascii="Times New Roman" w:hAnsi="Times New Roman"/>
              </w:rPr>
            </w:pPr>
            <w:r>
              <w:rPr>
                <w:rFonts w:ascii="Times New Roman" w:hAnsi="Times New Roman"/>
              </w:rPr>
              <w:t>（三）仪器设备故障诊断、维修方式及费由双方确认。</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1</w:t>
            </w:r>
            <w:r>
              <w:rPr>
                <w:rFonts w:hint="eastAsia" w:ascii="Times New Roman" w:hAnsi="Times New Roman"/>
              </w:rPr>
              <w:t>5</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6" w:type="dxa"/>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四</w:t>
            </w:r>
          </w:p>
        </w:tc>
        <w:tc>
          <w:tcPr>
            <w:tcW w:w="981"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记录</w:t>
            </w:r>
          </w:p>
        </w:tc>
        <w:tc>
          <w:tcPr>
            <w:tcW w:w="3665"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（一）按照要求规范填写采样记录、样品标签、交接记录等。</w:t>
            </w:r>
          </w:p>
          <w:p>
            <w:pPr>
              <w:widowControl w:val="0"/>
              <w:jc w:val="left"/>
              <w:rPr>
                <w:rFonts w:ascii="Times New Roman" w:hAnsi="Times New Roman"/>
              </w:rPr>
            </w:pPr>
            <w:r>
              <w:rPr>
                <w:rFonts w:ascii="Times New Roman" w:hAnsi="Times New Roman"/>
              </w:rPr>
              <w:t>（二）所有记录须字体清晰，不得模糊潦草，并按规范填写相应内容。</w:t>
            </w:r>
          </w:p>
          <w:p>
            <w:pPr>
              <w:widowControl w:val="0"/>
              <w:jc w:val="left"/>
              <w:rPr>
                <w:rFonts w:ascii="Times New Roman" w:hAnsi="Times New Roman"/>
              </w:rPr>
            </w:pPr>
            <w:r>
              <w:rPr>
                <w:rFonts w:hint="eastAsia" w:ascii="Times New Roman" w:hAnsi="Times New Roman"/>
              </w:rPr>
              <w:t>（三）采购方</w:t>
            </w:r>
            <w:r>
              <w:rPr>
                <w:rFonts w:ascii="Times New Roman" w:hAnsi="Times New Roman"/>
              </w:rPr>
              <w:t>可随时抽查记录内容，服务方须及时提供，不得阻挠、拖延、伪造。</w:t>
            </w:r>
          </w:p>
        </w:tc>
        <w:tc>
          <w:tcPr>
            <w:tcW w:w="3786"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（一）按照要求规范填写采样记录、样品标签、交接记录等，出现错误不及时更改的每次扣0.5分，扣完为止。</w:t>
            </w:r>
          </w:p>
          <w:p>
            <w:pPr>
              <w:widowControl w:val="0"/>
              <w:jc w:val="left"/>
              <w:rPr>
                <w:rFonts w:ascii="Times New Roman" w:hAnsi="Times New Roman"/>
              </w:rPr>
            </w:pPr>
            <w:r>
              <w:rPr>
                <w:rFonts w:ascii="Times New Roman" w:hAnsi="Times New Roman"/>
              </w:rPr>
              <w:t>（二）记录字体潦草、模糊不清的，每份扣0.5分，扣完为止。</w:t>
            </w:r>
          </w:p>
          <w:p>
            <w:pPr>
              <w:widowControl w:val="0"/>
              <w:jc w:val="left"/>
              <w:rPr>
                <w:rFonts w:ascii="Times New Roman" w:hAnsi="Times New Roman"/>
              </w:rPr>
            </w:pPr>
            <w:r>
              <w:rPr>
                <w:rFonts w:hint="eastAsia" w:ascii="Times New Roman" w:hAnsi="Times New Roman"/>
              </w:rPr>
              <w:t>（三）</w:t>
            </w:r>
            <w:r>
              <w:rPr>
                <w:rFonts w:ascii="Times New Roman" w:hAnsi="Times New Roman"/>
              </w:rPr>
              <w:t>发现有拖延、伪造记录、阻挠审查记录的，该项不得分。</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hint="eastAsia" w:ascii="Times New Roman" w:hAnsi="Times New Roman"/>
              </w:rPr>
              <w:t>15</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76" w:type="dxa"/>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五</w:t>
            </w:r>
          </w:p>
        </w:tc>
        <w:tc>
          <w:tcPr>
            <w:tcW w:w="981"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数据  保密</w:t>
            </w:r>
          </w:p>
        </w:tc>
        <w:tc>
          <w:tcPr>
            <w:tcW w:w="3665" w:type="dxa"/>
            <w:tcBorders>
              <w:top w:val="single" w:color="auto" w:sz="4" w:space="0"/>
              <w:left w:val="nil"/>
              <w:bottom w:val="single" w:color="auto" w:sz="4" w:space="0"/>
              <w:right w:val="single" w:color="auto" w:sz="4" w:space="0"/>
            </w:tcBorders>
            <w:vAlign w:val="center"/>
          </w:tcPr>
          <w:p>
            <w:pPr>
              <w:widowControl w:val="0"/>
              <w:numPr>
                <w:ilvl w:val="0"/>
                <w:numId w:val="4"/>
              </w:numPr>
              <w:jc w:val="left"/>
              <w:rPr>
                <w:rFonts w:ascii="Times New Roman" w:hAnsi="Times New Roman"/>
              </w:rPr>
            </w:pPr>
            <w:r>
              <w:rPr>
                <w:rFonts w:ascii="Times New Roman" w:hAnsi="Times New Roman"/>
              </w:rPr>
              <w:t>承担监测数据的保密责任，不得以任何方式和渠道向外界传递任何监测数据。</w:t>
            </w:r>
          </w:p>
        </w:tc>
        <w:tc>
          <w:tcPr>
            <w:tcW w:w="3786"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若出现擅自向外界传递采购方监测数据的，该项不得分。</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hint="eastAsia" w:ascii="Times New Roman" w:hAnsi="Times New Roman"/>
              </w:rPr>
              <w:t>5</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6" w:type="dxa"/>
            <w:tcBorders>
              <w:top w:val="nil"/>
              <w:left w:val="single" w:color="auto" w:sz="4" w:space="0"/>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六</w:t>
            </w:r>
          </w:p>
        </w:tc>
        <w:tc>
          <w:tcPr>
            <w:tcW w:w="981"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人员</w:t>
            </w:r>
          </w:p>
          <w:p>
            <w:pPr>
              <w:widowControl w:val="0"/>
              <w:jc w:val="center"/>
              <w:rPr>
                <w:rFonts w:ascii="Times New Roman" w:hAnsi="Times New Roman"/>
              </w:rPr>
            </w:pPr>
            <w:r>
              <w:rPr>
                <w:rFonts w:ascii="Times New Roman" w:hAnsi="Times New Roman"/>
              </w:rPr>
              <w:t>管理</w:t>
            </w:r>
          </w:p>
        </w:tc>
        <w:tc>
          <w:tcPr>
            <w:tcW w:w="3665"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按合同要求安排</w:t>
            </w:r>
            <w:r>
              <w:rPr>
                <w:rFonts w:hint="eastAsia" w:ascii="Times New Roman" w:hAnsi="Times New Roman"/>
              </w:rPr>
              <w:t>运维人员</w:t>
            </w:r>
            <w:r>
              <w:rPr>
                <w:rFonts w:ascii="Times New Roman" w:hAnsi="Times New Roman"/>
              </w:rPr>
              <w:t>，并按要求积极配合</w:t>
            </w:r>
            <w:r>
              <w:rPr>
                <w:rFonts w:hint="eastAsia" w:ascii="Times New Roman" w:hAnsi="Times New Roman"/>
              </w:rPr>
              <w:t>采购方</w:t>
            </w:r>
            <w:r>
              <w:rPr>
                <w:rFonts w:ascii="Times New Roman" w:hAnsi="Times New Roman"/>
              </w:rPr>
              <w:t>开展各项工作，遵守</w:t>
            </w:r>
            <w:r>
              <w:rPr>
                <w:rFonts w:hint="eastAsia" w:ascii="Times New Roman" w:hAnsi="Times New Roman"/>
              </w:rPr>
              <w:t>采购方</w:t>
            </w:r>
            <w:r>
              <w:rPr>
                <w:rFonts w:ascii="Times New Roman" w:hAnsi="Times New Roman"/>
              </w:rPr>
              <w:t>各项规章制度。</w:t>
            </w:r>
          </w:p>
        </w:tc>
        <w:tc>
          <w:tcPr>
            <w:tcW w:w="3786" w:type="dxa"/>
            <w:tcBorders>
              <w:top w:val="single" w:color="auto" w:sz="4" w:space="0"/>
              <w:left w:val="nil"/>
              <w:bottom w:val="single" w:color="auto" w:sz="4" w:space="0"/>
              <w:right w:val="single" w:color="auto" w:sz="4" w:space="0"/>
            </w:tcBorders>
            <w:vAlign w:val="center"/>
          </w:tcPr>
          <w:p>
            <w:pPr>
              <w:widowControl w:val="0"/>
              <w:jc w:val="left"/>
              <w:rPr>
                <w:rFonts w:ascii="Times New Roman" w:hAnsi="Times New Roman"/>
              </w:rPr>
            </w:pPr>
            <w:r>
              <w:rPr>
                <w:rFonts w:ascii="Times New Roman" w:hAnsi="Times New Roman"/>
              </w:rPr>
              <w:t>不配合</w:t>
            </w:r>
            <w:r>
              <w:rPr>
                <w:rFonts w:hint="eastAsia" w:ascii="Times New Roman" w:hAnsi="Times New Roman"/>
              </w:rPr>
              <w:t>采购方</w:t>
            </w:r>
            <w:r>
              <w:rPr>
                <w:rFonts w:ascii="Times New Roman" w:hAnsi="Times New Roman"/>
              </w:rPr>
              <w:t>开展工作、不遵守规章制度的每出现1次扣1分，扣完为止。</w:t>
            </w: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5</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22"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合计</w:t>
            </w:r>
          </w:p>
        </w:tc>
        <w:tc>
          <w:tcPr>
            <w:tcW w:w="378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p>
        </w:tc>
        <w:tc>
          <w:tcPr>
            <w:tcW w:w="816"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rPr>
            </w:pPr>
            <w:r>
              <w:rPr>
                <w:rFonts w:ascii="Times New Roman" w:hAnsi="Times New Roman"/>
              </w:rPr>
              <w:t>100</w:t>
            </w:r>
          </w:p>
        </w:tc>
        <w:tc>
          <w:tcPr>
            <w:tcW w:w="949"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266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22" w:type="dxa"/>
            <w:gridSpan w:val="3"/>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r>
              <w:rPr>
                <w:rFonts w:ascii="Times New Roman" w:hAnsi="Times New Roman"/>
                <w:sz w:val="24"/>
                <w:szCs w:val="24"/>
              </w:rPr>
              <w:t>本次考核总分得分</w:t>
            </w:r>
          </w:p>
        </w:tc>
        <w:tc>
          <w:tcPr>
            <w:tcW w:w="378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4431" w:type="dxa"/>
            <w:gridSpan w:val="3"/>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22" w:type="dxa"/>
            <w:gridSpan w:val="3"/>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r>
              <w:rPr>
                <w:rFonts w:ascii="Times New Roman" w:hAnsi="Times New Roman"/>
                <w:sz w:val="24"/>
                <w:szCs w:val="24"/>
              </w:rPr>
              <w:t>本次考核总评价</w:t>
            </w:r>
          </w:p>
        </w:tc>
        <w:tc>
          <w:tcPr>
            <w:tcW w:w="3786" w:type="dxa"/>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p>
        </w:tc>
        <w:tc>
          <w:tcPr>
            <w:tcW w:w="4431" w:type="dxa"/>
            <w:gridSpan w:val="3"/>
            <w:tcBorders>
              <w:top w:val="single" w:color="auto" w:sz="4" w:space="0"/>
              <w:left w:val="nil"/>
              <w:bottom w:val="single" w:color="auto" w:sz="4" w:space="0"/>
              <w:right w:val="single" w:color="auto" w:sz="4" w:space="0"/>
            </w:tcBorders>
            <w:vAlign w:val="center"/>
          </w:tcPr>
          <w:p>
            <w:pPr>
              <w:pStyle w:val="5"/>
              <w:spacing w:line="360" w:lineRule="auto"/>
              <w:ind w:firstLine="0" w:firstLineChars="0"/>
              <w:jc w:val="center"/>
              <w:rPr>
                <w:rFonts w:ascii="Times New Roman" w:hAnsi="Times New Roman"/>
                <w:sz w:val="24"/>
                <w:szCs w:val="24"/>
              </w:rPr>
            </w:pPr>
            <w:r>
              <w:rPr>
                <w:rFonts w:ascii="Times New Roman" w:hAnsi="Times New Roman"/>
                <w:sz w:val="24"/>
                <w:szCs w:val="24"/>
              </w:rPr>
              <w:t>合格（不合格）</w:t>
            </w:r>
          </w:p>
        </w:tc>
      </w:tr>
    </w:tbl>
    <w:p/>
    <w:p>
      <w:pPr>
        <w:ind w:firstLine="420" w:firstLineChars="200"/>
        <w:rPr>
          <w:rFonts w:hint="eastAsia"/>
        </w:rPr>
      </w:pPr>
      <w:r>
        <w:rPr>
          <w:rFonts w:hint="eastAsia"/>
        </w:rPr>
        <w:t>备注：中标方自正式运维期开始第一季度（2023年4月至6月）对成交供应商开展维护工作考核，依据维护内容就每周、每月、每季的维护质量和相关指标相结合的方式进行评分根据考核的运维情况支付运维服务费，计算方式如下：</w:t>
      </w:r>
    </w:p>
    <w:p>
      <w:pPr>
        <w:ind w:firstLine="420" w:firstLineChars="200"/>
        <w:rPr>
          <w:rFonts w:hint="eastAsia"/>
        </w:rPr>
      </w:pPr>
      <w:r>
        <w:rPr>
          <w:rFonts w:hint="eastAsia"/>
        </w:rPr>
        <w:t>1.第一季度（2023年4月至6月）考核分评分大于等于80分为合格，全额支付第二期运维费用。80分以下，扣除当季度运营费10%，并责令整改。</w:t>
      </w:r>
    </w:p>
    <w:p>
      <w:pPr>
        <w:rPr>
          <w:rFonts w:hint="eastAsia"/>
        </w:rPr>
      </w:pPr>
      <w:r>
        <w:rPr>
          <w:rFonts w:hint="eastAsia"/>
        </w:rPr>
        <w:t>一旦发现弄虚作假、虚假数据，采购人有权终止合同，并按当季维护费用的双倍进行经济处罚。</w:t>
      </w:r>
    </w:p>
    <w:p>
      <w:pPr>
        <w:ind w:firstLine="420" w:firstLineChars="200"/>
        <w:rPr>
          <w:rFonts w:hint="eastAsia"/>
        </w:rPr>
      </w:pPr>
      <w:r>
        <w:rPr>
          <w:rFonts w:hint="eastAsia"/>
        </w:rPr>
        <w:t>2.第三季度（2023年10月至12月）考核分评分大于等于80分为合格，全额支付第三期运维费用。80分以下，扣除当季度运营费10%，并责令整改。</w:t>
      </w:r>
    </w:p>
    <w:p>
      <w:pPr>
        <w:ind w:firstLine="420" w:firstLineChars="200"/>
        <w:rPr>
          <w:rFonts w:hint="eastAsia"/>
        </w:rPr>
      </w:pPr>
      <w:r>
        <w:rPr>
          <w:rFonts w:hint="eastAsia"/>
        </w:rPr>
        <w:t>3.第四季度（2024年1月至3月）考核分评分大于等于80分为合格。80分以下，采购人将在下一轮运维招标工作中拒绝该运维公司的应标材料并公告拒绝理由。</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F9338"/>
    <w:multiLevelType w:val="singleLevel"/>
    <w:tmpl w:val="945F9338"/>
    <w:lvl w:ilvl="0" w:tentative="0">
      <w:start w:val="1"/>
      <w:numFmt w:val="chineseCounting"/>
      <w:suff w:val="nothing"/>
      <w:lvlText w:val="（%1）"/>
      <w:lvlJc w:val="left"/>
      <w:rPr>
        <w:rFonts w:hint="eastAsia"/>
      </w:rPr>
    </w:lvl>
  </w:abstractNum>
  <w:abstractNum w:abstractNumId="1">
    <w:nsid w:val="9D32BCAB"/>
    <w:multiLevelType w:val="singleLevel"/>
    <w:tmpl w:val="9D32BCAB"/>
    <w:lvl w:ilvl="0" w:tentative="0">
      <w:start w:val="1"/>
      <w:numFmt w:val="chineseCounting"/>
      <w:suff w:val="nothing"/>
      <w:lvlText w:val="（%1）"/>
      <w:lvlJc w:val="left"/>
      <w:rPr>
        <w:rFonts w:hint="eastAsia"/>
      </w:rPr>
    </w:lvl>
  </w:abstractNum>
  <w:abstractNum w:abstractNumId="2">
    <w:nsid w:val="0652D904"/>
    <w:multiLevelType w:val="singleLevel"/>
    <w:tmpl w:val="0652D904"/>
    <w:lvl w:ilvl="0" w:tentative="0">
      <w:start w:val="1"/>
      <w:numFmt w:val="chineseCounting"/>
      <w:suff w:val="nothing"/>
      <w:lvlText w:val="（%1）"/>
      <w:lvlJc w:val="left"/>
      <w:rPr>
        <w:rFonts w:hint="eastAsia"/>
      </w:rPr>
    </w:lvl>
  </w:abstractNum>
  <w:abstractNum w:abstractNumId="3">
    <w:nsid w:val="19B5B183"/>
    <w:multiLevelType w:val="singleLevel"/>
    <w:tmpl w:val="19B5B183"/>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mEwOWQzNjBjNGNjMDgzZWNhZTg5NWJlYjgwMTIifQ=="/>
  </w:docVars>
  <w:rsids>
    <w:rsidRoot w:val="00000000"/>
    <w:rsid w:val="0C794854"/>
    <w:rsid w:val="34EB5B22"/>
    <w:rsid w:val="45242C77"/>
    <w:rsid w:val="456B0355"/>
    <w:rsid w:val="711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0"/>
    <w:pPr>
      <w:widowControl w:val="0"/>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1748</Words>
  <Characters>1802</Characters>
  <Lines>0</Lines>
  <Paragraphs>0</Paragraphs>
  <TotalTime>15</TotalTime>
  <ScaleCrop>false</ScaleCrop>
  <LinksUpToDate>false</LinksUpToDate>
  <CharactersWithSpaces>1815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2023-02-25T08:21:00Z</dcterms:created>
  <dc:creator>LENOVO</dc:creator>
  <cp:lastModifiedBy>LENOVO</cp:lastModifiedBy>
  <dcterms:modified xsi:type="dcterms:W3CDTF">2023-02-25T08:45:41Z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89021BA3313847C2B1F2D3D4591AA6BC</vt:lpwstr>
  </property>
</Properties>
</file>