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tabs>
          <w:tab w:val="left" w:pos="0"/>
        </w:tabs>
        <w:spacing w:line="600" w:lineRule="exact"/>
        <w:jc w:val="both"/>
        <w:rPr>
          <w:rFonts w:hint="eastAsia" w:ascii="方正小标宋_GBK" w:hAnsi="方正小标宋_GBK" w:eastAsia="方正小标宋_GBK" w:cs="方正小标宋_GBK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  <w:r>
        <w:rPr>
          <w:rFonts w:hint="eastAsia" w:ascii="方正小标宋_GBK" w:hAnsi="方正小标宋_GBK" w:eastAsia="方正小标宋_GBK" w:cs="方正小标宋_GBK"/>
          <w:sz w:val="32"/>
          <w:szCs w:val="32"/>
          <w:lang w:val="en-US" w:eastAsia="zh-CN"/>
        </w:rPr>
        <w:t>：</w:t>
      </w:r>
    </w:p>
    <w:p>
      <w:pPr>
        <w:widowControl w:val="0"/>
        <w:tabs>
          <w:tab w:val="left" w:pos="0"/>
        </w:tabs>
        <w:spacing w:line="60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贺州市1个区控水质自动站搬迁至国控采测分离断面项目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采购需求</w:t>
      </w:r>
      <w:bookmarkStart w:id="0" w:name="_GoBack"/>
      <w:bookmarkEnd w:id="0"/>
    </w:p>
    <w:p>
      <w:pPr>
        <w:widowControl w:val="0"/>
        <w:tabs>
          <w:tab w:val="left" w:pos="0"/>
        </w:tabs>
        <w:spacing w:line="600" w:lineRule="exact"/>
        <w:jc w:val="center"/>
        <w:rPr>
          <w:rFonts w:ascii="方正小标宋_GBK" w:hAnsi="方正小标宋_GBK" w:eastAsia="方正小标宋_GBK" w:cs="方正小标宋_GBK"/>
          <w:sz w:val="32"/>
          <w:szCs w:val="32"/>
        </w:rPr>
      </w:pPr>
    </w:p>
    <w:tbl>
      <w:tblPr>
        <w:tblStyle w:val="4"/>
        <w:tblW w:w="86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9"/>
        <w:gridCol w:w="470"/>
        <w:gridCol w:w="73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76" w:type="dxa"/>
            <w:gridSpan w:val="3"/>
            <w:noWrap/>
            <w:vAlign w:val="center"/>
          </w:tcPr>
          <w:p>
            <w:pPr>
              <w:spacing w:line="360" w:lineRule="auto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szCs w:val="21"/>
              </w:rPr>
              <w:t>一、项目要求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9" w:type="dxa"/>
            <w:noWrap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szCs w:val="21"/>
              </w:rPr>
              <w:t>名称</w:t>
            </w:r>
          </w:p>
        </w:tc>
        <w:tc>
          <w:tcPr>
            <w:tcW w:w="470" w:type="dxa"/>
            <w:noWrap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szCs w:val="21"/>
              </w:rPr>
              <w:t>数量</w:t>
            </w:r>
          </w:p>
        </w:tc>
        <w:tc>
          <w:tcPr>
            <w:tcW w:w="7307" w:type="dxa"/>
            <w:noWrap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szCs w:val="21"/>
              </w:rPr>
              <w:t>需求内容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  <w:jc w:val="center"/>
        </w:trPr>
        <w:tc>
          <w:tcPr>
            <w:tcW w:w="899" w:type="dxa"/>
            <w:noWrap/>
            <w:vAlign w:val="center"/>
          </w:tcPr>
          <w:p>
            <w:pPr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eastAsia="zh-CN"/>
              </w:rPr>
              <w:t>贺州市1个</w:t>
            </w:r>
            <w:r>
              <w:rPr>
                <w:rFonts w:hint="default" w:ascii="Times New Roman" w:hAnsi="Times New Roman" w:cs="Times New Roman"/>
              </w:rPr>
              <w:t>区控水质自动站搬迁至国控采测分离断面项目</w:t>
            </w:r>
          </w:p>
        </w:tc>
        <w:tc>
          <w:tcPr>
            <w:tcW w:w="470" w:type="dxa"/>
            <w:noWrap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</w:rPr>
              <w:t>1</w:t>
            </w:r>
          </w:p>
        </w:tc>
        <w:tc>
          <w:tcPr>
            <w:tcW w:w="7307" w:type="dxa"/>
            <w:noWrap/>
            <w:vAlign w:val="center"/>
          </w:tcPr>
          <w:p>
            <w:pPr>
              <w:pStyle w:val="9"/>
              <w:numPr>
                <w:ilvl w:val="0"/>
                <w:numId w:val="1"/>
              </w:numPr>
              <w:ind w:left="366" w:firstLineChars="0"/>
              <w:jc w:val="left"/>
              <w:rPr>
                <w:rFonts w:hint="default" w:ascii="Times New Roman" w:hAnsi="Times New Roman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szCs w:val="21"/>
              </w:rPr>
              <w:t>项目概况</w:t>
            </w:r>
          </w:p>
          <w:p>
            <w:pPr>
              <w:spacing w:line="276" w:lineRule="auto"/>
              <w:ind w:firstLine="420" w:firstLineChars="200"/>
              <w:jc w:val="left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根据《自治区生态环境厅办公室关于开展区控水质自动站搬迁工作的通知》要求，我中心拟对</w:t>
            </w:r>
            <w:r>
              <w:rPr>
                <w:rFonts w:hint="default" w:ascii="Times New Roman" w:hAnsi="Times New Roman" w:cs="Times New Roman"/>
                <w:szCs w:val="21"/>
                <w:lang w:eastAsia="zh-CN"/>
              </w:rPr>
              <w:t>贺州市1个</w:t>
            </w:r>
            <w:r>
              <w:rPr>
                <w:rFonts w:hint="default" w:ascii="Times New Roman" w:hAnsi="Times New Roman" w:cs="Times New Roman"/>
                <w:szCs w:val="21"/>
              </w:rPr>
              <w:t>区控水质自动站2023 年</w:t>
            </w:r>
            <w:r>
              <w:rPr>
                <w:rFonts w:hint="default" w:ascii="Times New Roman" w:hAnsi="Times New Roman" w:cs="Times New Roman"/>
                <w:szCs w:val="21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Cs w:val="21"/>
              </w:rPr>
              <w:t>月底前完成站点选址、租地、通水、通电、通网、通路和平整土地等前期工作；6月底前完成搬迁并正式运行。</w:t>
            </w:r>
          </w:p>
          <w:p>
            <w:pPr>
              <w:jc w:val="left"/>
              <w:rPr>
                <w:rFonts w:hint="default" w:ascii="Times New Roman" w:hAnsi="Times New Roman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szCs w:val="21"/>
              </w:rPr>
              <w:t>二、项目内容及工作要求</w:t>
            </w:r>
          </w:p>
          <w:p>
            <w:pPr>
              <w:ind w:firstLine="422"/>
              <w:jc w:val="left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（一）项目内容：</w:t>
            </w:r>
          </w:p>
          <w:p>
            <w:pPr>
              <w:spacing w:line="276" w:lineRule="auto"/>
              <w:ind w:firstLine="420" w:firstLineChars="200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</w:rPr>
              <w:t>本项目拟对</w:t>
            </w:r>
            <w:r>
              <w:rPr>
                <w:rFonts w:hint="default" w:ascii="Times New Roman" w:hAnsi="Times New Roman" w:cs="Times New Roman"/>
                <w:lang w:eastAsia="zh-CN"/>
              </w:rPr>
              <w:t>贺州1个</w:t>
            </w:r>
            <w:r>
              <w:rPr>
                <w:rFonts w:hint="default" w:ascii="Times New Roman" w:hAnsi="Times New Roman" w:cs="Times New Roman"/>
              </w:rPr>
              <w:t>区控水质自动站依据《地表水自动监测技术规范》</w:t>
            </w:r>
            <w:r>
              <w:rPr>
                <w:rFonts w:hint="default" w:ascii="Times New Roman" w:hAnsi="Times New Roman" w:cs="Times New Roman"/>
                <w:lang w:eastAsia="zh-CN"/>
              </w:rPr>
              <w:t>（</w:t>
            </w:r>
            <w:r>
              <w:rPr>
                <w:rFonts w:hint="default" w:ascii="Times New Roman" w:hAnsi="Times New Roman" w:cs="Times New Roman"/>
              </w:rPr>
              <w:t>HJ</w:t>
            </w:r>
            <w:r>
              <w:rPr>
                <w:rFonts w:hint="default" w:ascii="Times New Roman" w:hAnsi="Times New Roman" w:cs="Times New Roman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</w:rPr>
              <w:t>915-2017</w:t>
            </w:r>
            <w:r>
              <w:rPr>
                <w:rFonts w:hint="default" w:ascii="Times New Roman" w:hAnsi="Times New Roman" w:cs="Times New Roman"/>
                <w:lang w:eastAsia="zh-CN"/>
              </w:rPr>
              <w:t>）</w:t>
            </w:r>
            <w:r>
              <w:rPr>
                <w:rFonts w:hint="default" w:ascii="Times New Roman" w:hAnsi="Times New Roman" w:cs="Times New Roman"/>
              </w:rPr>
              <w:t>，完成点位现场勘察、租地</w:t>
            </w:r>
            <w:r>
              <w:rPr>
                <w:rFonts w:hint="default" w:ascii="Times New Roman" w:hAnsi="Times New Roman" w:cs="Times New Roman"/>
                <w:lang w:eastAsia="zh-CN"/>
              </w:rPr>
              <w:t>（</w:t>
            </w:r>
            <w:r>
              <w:rPr>
                <w:rFonts w:hint="default" w:ascii="Times New Roman" w:hAnsi="Times New Roman" w:cs="Times New Roman"/>
                <w:lang w:val="en-US" w:eastAsia="zh-CN"/>
              </w:rPr>
              <w:t>10年</w:t>
            </w:r>
            <w:r>
              <w:rPr>
                <w:rFonts w:hint="default" w:ascii="Times New Roman" w:hAnsi="Times New Roman" w:cs="Times New Roman"/>
                <w:lang w:eastAsia="zh-CN"/>
              </w:rPr>
              <w:t>）</w:t>
            </w:r>
            <w:r>
              <w:rPr>
                <w:rFonts w:hint="default" w:ascii="Times New Roman" w:hAnsi="Times New Roman" w:cs="Times New Roman"/>
              </w:rPr>
              <w:t>和四通一平（通水、通电、通网、通路和平整土地）等前期工作，待具备搬迁条件后，完成现场搬迁；搬迁后按照《地表水水质自动监测站安装验收技术要求（试行）》中的相关要求，完成仪器设备调试工作（包括常规五参数标样核查和实际水样比对，四参数的标样核查、多点线性核查、集成干预检查、加标回收率测试和实际水样比对）及验收，投入正式运行后，确保监测数据上传自治区水环境自动监测系统平台。</w:t>
            </w:r>
          </w:p>
          <w:p>
            <w:pPr>
              <w:ind w:firstLine="422"/>
              <w:jc w:val="left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（二）工作要求：</w:t>
            </w:r>
          </w:p>
          <w:p>
            <w:pPr>
              <w:ind w:firstLine="422"/>
              <w:jc w:val="left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1、依据</w:t>
            </w:r>
            <w:r>
              <w:rPr>
                <w:rFonts w:hint="default" w:ascii="Times New Roman" w:hAnsi="Times New Roman" w:cs="Times New Roman"/>
                <w:szCs w:val="21"/>
                <w:lang w:eastAsia="zh-CN"/>
              </w:rPr>
              <w:t>《地表水自动监测技术规范》（HJ 915-2017）</w:t>
            </w:r>
            <w:r>
              <w:rPr>
                <w:rFonts w:hint="default" w:ascii="Times New Roman" w:hAnsi="Times New Roman" w:cs="Times New Roman"/>
                <w:szCs w:val="21"/>
              </w:rPr>
              <w:t>要求，完成水质自动站的选址，并协助驻市监测中心完成征地（相关费用由供应商承担）工作，并根据水质自动站运行要求安装供电线路，有条件情况下安装供水管路，平铺进站路面等；</w:t>
            </w:r>
          </w:p>
          <w:p>
            <w:pPr>
              <w:ind w:firstLine="422"/>
              <w:jc w:val="left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2、依据相关规范及原水站站房承载规格要求，并结合现场不同地质情况完成站房基础建设；</w:t>
            </w:r>
          </w:p>
          <w:p>
            <w:pPr>
              <w:ind w:firstLine="422"/>
              <w:jc w:val="left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3完成搬迁后新站点采排水系统安装工作，配置包括：采样浮筒、太阳能航标灯和警示牌、锚链系统、一备一用采水泵并增加不锈钢过滤网装置、采水管路与电缆外部加套镀锌管进行安全防护，并保证满足</w:t>
            </w:r>
            <w:r>
              <w:rPr>
                <w:rFonts w:hint="default" w:ascii="Times New Roman" w:hAnsi="Times New Roman" w:cs="Times New Roman"/>
                <w:szCs w:val="21"/>
                <w:lang w:eastAsia="zh-CN"/>
              </w:rPr>
              <w:t>《地表水自动监测技术规范》（HJ 915-2017）</w:t>
            </w:r>
            <w:r>
              <w:rPr>
                <w:rFonts w:hint="default" w:ascii="Times New Roman" w:hAnsi="Times New Roman" w:cs="Times New Roman"/>
                <w:szCs w:val="21"/>
              </w:rPr>
              <w:t>要求；</w:t>
            </w:r>
          </w:p>
          <w:p>
            <w:pPr>
              <w:ind w:firstLine="422"/>
              <w:jc w:val="left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4、根据HJ915-2017规范，对站房基础平台、防雷装置、护栏、反清洗源水（具备条件情况下）等配套设施完成建设与安装；</w:t>
            </w:r>
          </w:p>
          <w:p>
            <w:pPr>
              <w:ind w:firstLine="422"/>
              <w:jc w:val="left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5、完成原有水站的</w:t>
            </w:r>
            <w:r>
              <w:rPr>
                <w:rFonts w:hint="default" w:ascii="Times New Roman" w:hAnsi="Times New Roman" w:cs="Times New Roman"/>
                <w:szCs w:val="21"/>
                <w:lang w:eastAsia="zh-CN"/>
              </w:rPr>
              <w:t>基座拆除和</w:t>
            </w:r>
            <w:r>
              <w:rPr>
                <w:rFonts w:hint="default" w:ascii="Times New Roman" w:hAnsi="Times New Roman" w:cs="Times New Roman"/>
                <w:szCs w:val="21"/>
              </w:rPr>
              <w:t xml:space="preserve">整体拆除（包括站房、仪器设备、采水点监控摄像装置、取水泵等，运输至新站点后进行站房吊装，仪器设备和采水系统、视频监控系统等安装联网调试等工作； </w:t>
            </w:r>
          </w:p>
          <w:p>
            <w:pPr>
              <w:ind w:firstLine="422"/>
              <w:jc w:val="left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6、搬迁后，按照《地表水水质自动监测站安装验收技术要求（试行）》中的相关要求，完成仪器设备调试工作（包括常规五参数标样核查和实际水样比对，四参数的标样核查、多点线性核查、集成干预检查、加标回收率测试和实际水样比对）等工作，并确保监测数据上传自治区水环境自动监测系统平台。</w:t>
            </w:r>
          </w:p>
          <w:p>
            <w:pPr>
              <w:ind w:firstLine="422"/>
              <w:jc w:val="left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7、协助驻市监测中心完成自治区环保厅组织的搬迁验收，直至验收通过。</w:t>
            </w:r>
          </w:p>
          <w:p>
            <w:pPr>
              <w:spacing w:line="276" w:lineRule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b/>
                <w:bCs/>
                <w:szCs w:val="21"/>
              </w:rPr>
              <w:t>三、其他要求</w:t>
            </w:r>
          </w:p>
          <w:p>
            <w:pPr>
              <w:ind w:firstLine="420" w:firstLineChars="20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</w:rPr>
              <w:t>1、为确保本搬迁项目顺利实施并按期完成交付运行，成交供应商需提供详细项目实施方案，包括但是不限于：项目需求及现场分析，搬迁服务方案、现场施工方案、仪器设备安装调试方案及售后服务方案等。</w:t>
            </w:r>
          </w:p>
          <w:p>
            <w:pPr>
              <w:ind w:firstLine="420" w:firstLineChars="200"/>
              <w:jc w:val="left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</w:rPr>
              <w:t>2、本项目需提供详细的搬迁服务内容清单（详见</w:t>
            </w:r>
            <w:r>
              <w:rPr>
                <w:rFonts w:hint="eastAsia" w:ascii="Times New Roman" w:hAnsi="Times New Roman" w:cs="Times New Roman"/>
                <w:lang w:eastAsia="zh-CN"/>
              </w:rPr>
              <w:t>附表</w:t>
            </w:r>
            <w:r>
              <w:rPr>
                <w:rFonts w:hint="default" w:ascii="Times New Roman" w:hAnsi="Times New Roman" w:cs="Times New Roman"/>
              </w:rPr>
              <w:t>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76" w:type="dxa"/>
            <w:gridSpan w:val="3"/>
            <w:noWrap/>
            <w:vAlign w:val="center"/>
          </w:tcPr>
          <w:p>
            <w:pPr>
              <w:spacing w:line="360" w:lineRule="auto"/>
              <w:rPr>
                <w:rFonts w:hint="default" w:ascii="Times New Roman" w:hAnsi="Times New Roman" w:cs="Times New Roman"/>
                <w:b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szCs w:val="21"/>
              </w:rPr>
              <w:t>二、商务要求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76" w:type="dxa"/>
            <w:gridSpan w:val="3"/>
            <w:noWrap/>
            <w:vAlign w:val="center"/>
          </w:tcPr>
          <w:p>
            <w:pPr>
              <w:ind w:firstLine="422" w:firstLineChars="200"/>
              <w:rPr>
                <w:rFonts w:hint="default" w:ascii="Times New Roman" w:hAnsi="Times New Roman" w:cs="Times New Roman"/>
                <w:b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szCs w:val="21"/>
              </w:rPr>
              <w:t>1、报价要求</w:t>
            </w:r>
          </w:p>
          <w:p>
            <w:pPr>
              <w:ind w:firstLine="420" w:firstLineChars="200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（填写项目报价要求，如本项目实行总承包报价，报价为采购人指定服务范围内的全部价格，至少包括：（1）服务的价格（包括人工、材料、设备等）；（2）必要的保险费用和各项税金；（3）验收及专家评估费用等。（4）与本项目有关的其他一切费用。</w:t>
            </w:r>
          </w:p>
          <w:p>
            <w:pPr>
              <w:ind w:firstLine="420" w:firstLineChars="200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采购人不再支付成交价格以外的任何费用。）</w:t>
            </w:r>
          </w:p>
          <w:p>
            <w:pPr>
              <w:ind w:firstLine="422" w:firstLineChars="200"/>
              <w:rPr>
                <w:rFonts w:hint="default" w:ascii="Times New Roman" w:hAnsi="Times New Roman" w:cs="Times New Roman"/>
                <w:b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szCs w:val="21"/>
              </w:rPr>
              <w:t>2、服务交付时间及交付地点</w:t>
            </w:r>
          </w:p>
          <w:p>
            <w:pPr>
              <w:ind w:firstLine="420" w:firstLineChars="200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（1）交付时间：2023年</w:t>
            </w:r>
            <w:r>
              <w:rPr>
                <w:rFonts w:hint="default" w:ascii="Times New Roman" w:hAnsi="Times New Roman" w:cs="Times New Roman"/>
                <w:szCs w:val="21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Cs w:val="21"/>
              </w:rPr>
              <w:t>月</w:t>
            </w:r>
            <w:r>
              <w:rPr>
                <w:rFonts w:hint="default" w:ascii="Times New Roman" w:hAnsi="Times New Roman" w:cs="Times New Roman"/>
                <w:szCs w:val="21"/>
                <w:lang w:val="en-US" w:eastAsia="zh-CN"/>
              </w:rPr>
              <w:t>30</w:t>
            </w:r>
            <w:r>
              <w:rPr>
                <w:rFonts w:hint="default" w:ascii="Times New Roman" w:hAnsi="Times New Roman" w:cs="Times New Roman"/>
                <w:szCs w:val="21"/>
              </w:rPr>
              <w:t>日前。</w:t>
            </w:r>
          </w:p>
          <w:p>
            <w:pPr>
              <w:ind w:firstLine="420" w:firstLineChars="200"/>
              <w:rPr>
                <w:rFonts w:hint="default" w:ascii="Times New Roman" w:hAnsi="Times New Roman" w:eastAsia="宋体" w:cs="Times New Roman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（2）交付地点：</w:t>
            </w:r>
            <w:r>
              <w:rPr>
                <w:rFonts w:hint="default" w:ascii="Times New Roman" w:hAnsi="Times New Roman" w:cs="Times New Roman"/>
                <w:szCs w:val="21"/>
                <w:lang w:eastAsia="zh-CN"/>
              </w:rPr>
              <w:t>贺州市</w:t>
            </w:r>
            <w:r>
              <w:rPr>
                <w:rFonts w:hint="default" w:ascii="Times New Roman" w:hAnsi="Times New Roman" w:cs="Times New Roman"/>
                <w:szCs w:val="21"/>
              </w:rPr>
              <w:t>。</w:t>
            </w:r>
            <w:r>
              <w:rPr>
                <w:rFonts w:hint="default" w:ascii="Times New Roman" w:hAnsi="Times New Roman" w:cs="Times New Roman"/>
                <w:szCs w:val="21"/>
                <w:lang w:eastAsia="zh-CN"/>
              </w:rPr>
              <w:t>搬迁地址从富川瑶族自治县新坝村搬迁到平桂区水口镇水口村。</w:t>
            </w:r>
          </w:p>
          <w:p>
            <w:pPr>
              <w:ind w:firstLine="420" w:firstLineChars="200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（3）交付标准和方法：依据采购需求、合同条款及相关规范。</w:t>
            </w:r>
          </w:p>
          <w:p>
            <w:pPr>
              <w:ind w:firstLine="422" w:firstLineChars="200"/>
              <w:rPr>
                <w:rFonts w:hint="default" w:ascii="Times New Roman" w:hAnsi="Times New Roman" w:cs="Times New Roman"/>
                <w:b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szCs w:val="21"/>
              </w:rPr>
              <w:t>3、付款条件</w:t>
            </w:r>
          </w:p>
          <w:p>
            <w:pPr>
              <w:ind w:firstLine="420" w:firstLineChars="200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付款条件：合同签订之日起7个工作日内支付合同款的50%；2023年</w:t>
            </w:r>
            <w:r>
              <w:rPr>
                <w:rFonts w:hint="default" w:ascii="Times New Roman" w:hAnsi="Times New Roman" w:cs="Times New Roman"/>
                <w:szCs w:val="21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Cs w:val="21"/>
              </w:rPr>
              <w:t>月</w:t>
            </w:r>
            <w:r>
              <w:rPr>
                <w:rFonts w:hint="default" w:ascii="Times New Roman" w:hAnsi="Times New Roman" w:cs="Times New Roman"/>
                <w:szCs w:val="21"/>
                <w:lang w:val="en-US" w:eastAsia="zh-CN"/>
              </w:rPr>
              <w:t>30</w:t>
            </w:r>
            <w:r>
              <w:rPr>
                <w:rFonts w:hint="default" w:ascii="Times New Roman" w:hAnsi="Times New Roman" w:cs="Times New Roman"/>
                <w:szCs w:val="21"/>
              </w:rPr>
              <w:t>日前通过采购人组织的成果验收后7个工作日内支付项目合同余款。付款前成交供应商先开具增值税发票给采购人。</w:t>
            </w:r>
          </w:p>
          <w:p>
            <w:pPr>
              <w:ind w:firstLine="422" w:firstLineChars="200"/>
              <w:rPr>
                <w:rFonts w:hint="default" w:ascii="Times New Roman" w:hAnsi="Times New Roman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szCs w:val="21"/>
              </w:rPr>
              <w:t>4、验收要求</w:t>
            </w:r>
          </w:p>
          <w:p>
            <w:pPr>
              <w:ind w:firstLine="420" w:firstLineChars="200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依据采购需求、合同条款及相关规范进行验收。</w:t>
            </w:r>
          </w:p>
        </w:tc>
      </w:tr>
    </w:tbl>
    <w:p/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  <w:rPr>
          <w:b/>
          <w:bCs/>
        </w:rPr>
      </w:pPr>
      <w:r>
        <w:rPr>
          <w:rFonts w:hint="eastAsia"/>
          <w:b/>
          <w:bCs/>
        </w:rPr>
        <w:t>附</w:t>
      </w:r>
      <w:r>
        <w:rPr>
          <w:rFonts w:hint="eastAsia"/>
          <w:b/>
          <w:bCs/>
          <w:lang w:eastAsia="zh-CN"/>
        </w:rPr>
        <w:t>表</w:t>
      </w:r>
      <w:r>
        <w:rPr>
          <w:rFonts w:hint="eastAsia"/>
          <w:b/>
          <w:bCs/>
        </w:rPr>
        <w:t>：</w:t>
      </w:r>
    </w:p>
    <w:tbl>
      <w:tblPr>
        <w:tblStyle w:val="4"/>
        <w:tblW w:w="5617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4" w:space="0"/>
          <w:insideV w:val="non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2"/>
        <w:gridCol w:w="1609"/>
        <w:gridCol w:w="2639"/>
        <w:gridCol w:w="1482"/>
        <w:gridCol w:w="22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831" w:type="pct"/>
            <w:tcBorders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  <w:t>类别</w:t>
            </w:r>
          </w:p>
        </w:tc>
        <w:tc>
          <w:tcPr>
            <w:tcW w:w="840" w:type="pct"/>
            <w:tcBorders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378" w:type="pct"/>
            <w:tcBorders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  <w:t>项目</w:t>
            </w:r>
          </w:p>
        </w:tc>
        <w:tc>
          <w:tcPr>
            <w:tcW w:w="774" w:type="pct"/>
            <w:tcBorders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  <w:t>规格/型号</w:t>
            </w:r>
          </w:p>
        </w:tc>
        <w:tc>
          <w:tcPr>
            <w:tcW w:w="1175" w:type="pct"/>
            <w:tcBorders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eastAsia="zh-CN"/>
              </w:rPr>
              <w:t>新坝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  <w:t>水站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831" w:type="pct"/>
            <w:vMerge w:val="restart"/>
            <w:tcBorders>
              <w:top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一、采排水单元</w:t>
            </w:r>
          </w:p>
        </w:tc>
        <w:tc>
          <w:tcPr>
            <w:tcW w:w="84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1.1</w:t>
            </w:r>
          </w:p>
        </w:tc>
        <w:tc>
          <w:tcPr>
            <w:tcW w:w="1378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取样浮筒</w:t>
            </w:r>
          </w:p>
        </w:tc>
        <w:tc>
          <w:tcPr>
            <w:tcW w:w="77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/</w:t>
            </w:r>
          </w:p>
        </w:tc>
        <w:tc>
          <w:tcPr>
            <w:tcW w:w="1175" w:type="pct"/>
            <w:tcBorders>
              <w:top w:val="nil"/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831" w:type="pct"/>
            <w:vMerge w:val="continue"/>
            <w:tcBorders>
              <w:top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4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1.2</w:t>
            </w:r>
          </w:p>
        </w:tc>
        <w:tc>
          <w:tcPr>
            <w:tcW w:w="1378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取水泵</w:t>
            </w:r>
          </w:p>
        </w:tc>
        <w:tc>
          <w:tcPr>
            <w:tcW w:w="77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1.1KW</w:t>
            </w:r>
          </w:p>
        </w:tc>
        <w:tc>
          <w:tcPr>
            <w:tcW w:w="1175" w:type="pct"/>
            <w:tcBorders>
              <w:top w:val="nil"/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2台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831" w:type="pct"/>
            <w:vMerge w:val="continue"/>
            <w:tcBorders>
              <w:top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4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1.3</w:t>
            </w:r>
          </w:p>
        </w:tc>
        <w:tc>
          <w:tcPr>
            <w:tcW w:w="1378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水泵滤网</w:t>
            </w:r>
          </w:p>
        </w:tc>
        <w:tc>
          <w:tcPr>
            <w:tcW w:w="77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/</w:t>
            </w:r>
          </w:p>
        </w:tc>
        <w:tc>
          <w:tcPr>
            <w:tcW w:w="1175" w:type="pct"/>
            <w:tcBorders>
              <w:top w:val="nil"/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831" w:type="pct"/>
            <w:vMerge w:val="continue"/>
            <w:tcBorders>
              <w:top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4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1.4</w:t>
            </w:r>
          </w:p>
        </w:tc>
        <w:tc>
          <w:tcPr>
            <w:tcW w:w="1378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取水管路</w:t>
            </w:r>
          </w:p>
        </w:tc>
        <w:tc>
          <w:tcPr>
            <w:tcW w:w="77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DN25</w:t>
            </w:r>
          </w:p>
        </w:tc>
        <w:tc>
          <w:tcPr>
            <w:tcW w:w="1175" w:type="pct"/>
            <w:tcBorders>
              <w:top w:val="nil"/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831" w:type="pct"/>
            <w:vMerge w:val="continue"/>
            <w:tcBorders>
              <w:top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4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1.5</w:t>
            </w:r>
          </w:p>
        </w:tc>
        <w:tc>
          <w:tcPr>
            <w:tcW w:w="1378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取水电缆</w:t>
            </w:r>
          </w:p>
        </w:tc>
        <w:tc>
          <w:tcPr>
            <w:tcW w:w="77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3*2.5</w:t>
            </w:r>
          </w:p>
        </w:tc>
        <w:tc>
          <w:tcPr>
            <w:tcW w:w="1175" w:type="pct"/>
            <w:tcBorders>
              <w:top w:val="nil"/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831" w:type="pct"/>
            <w:vMerge w:val="continue"/>
            <w:tcBorders>
              <w:top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4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1.6</w:t>
            </w:r>
          </w:p>
        </w:tc>
        <w:tc>
          <w:tcPr>
            <w:tcW w:w="1378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镀锌管（防护）</w:t>
            </w:r>
          </w:p>
        </w:tc>
        <w:tc>
          <w:tcPr>
            <w:tcW w:w="77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DN110</w:t>
            </w:r>
          </w:p>
        </w:tc>
        <w:tc>
          <w:tcPr>
            <w:tcW w:w="1175" w:type="pct"/>
            <w:tcBorders>
              <w:top w:val="nil"/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1" w:type="pct"/>
            <w:vMerge w:val="continue"/>
            <w:tcBorders>
              <w:top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4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1.7</w:t>
            </w:r>
          </w:p>
        </w:tc>
        <w:tc>
          <w:tcPr>
            <w:tcW w:w="1378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采水配套配件（钢缆、五金配件等）</w:t>
            </w:r>
          </w:p>
        </w:tc>
        <w:tc>
          <w:tcPr>
            <w:tcW w:w="77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/</w:t>
            </w:r>
          </w:p>
        </w:tc>
        <w:tc>
          <w:tcPr>
            <w:tcW w:w="1175" w:type="pct"/>
            <w:tcBorders>
              <w:top w:val="nil"/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831" w:type="pct"/>
            <w:vMerge w:val="continue"/>
            <w:tcBorders>
              <w:top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4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1.8</w:t>
            </w:r>
          </w:p>
        </w:tc>
        <w:tc>
          <w:tcPr>
            <w:tcW w:w="1378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排水管路</w:t>
            </w:r>
          </w:p>
        </w:tc>
        <w:tc>
          <w:tcPr>
            <w:tcW w:w="77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DN50</w:t>
            </w:r>
          </w:p>
        </w:tc>
        <w:tc>
          <w:tcPr>
            <w:tcW w:w="1175" w:type="pct"/>
            <w:tcBorders>
              <w:top w:val="nil"/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1" w:type="pct"/>
            <w:vMerge w:val="continue"/>
            <w:tcBorders>
              <w:top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4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1.9</w:t>
            </w:r>
          </w:p>
        </w:tc>
        <w:tc>
          <w:tcPr>
            <w:tcW w:w="1378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土建施工费（挖沟、埋管等）</w:t>
            </w:r>
          </w:p>
        </w:tc>
        <w:tc>
          <w:tcPr>
            <w:tcW w:w="77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/</w:t>
            </w:r>
          </w:p>
        </w:tc>
        <w:tc>
          <w:tcPr>
            <w:tcW w:w="1175" w:type="pct"/>
            <w:tcBorders>
              <w:top w:val="nil"/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831" w:type="pct"/>
            <w:vMerge w:val="restart"/>
            <w:tcBorders>
              <w:top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二、站房基础及配套设施</w:t>
            </w:r>
          </w:p>
        </w:tc>
        <w:tc>
          <w:tcPr>
            <w:tcW w:w="84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2.1</w:t>
            </w:r>
          </w:p>
        </w:tc>
        <w:tc>
          <w:tcPr>
            <w:tcW w:w="1378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站房占地租用</w:t>
            </w:r>
          </w:p>
        </w:tc>
        <w:tc>
          <w:tcPr>
            <w:tcW w:w="77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约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  <w:lang w:val="en-US" w:eastAsia="zh-CN"/>
              </w:rPr>
              <w:t>60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m²</w:t>
            </w:r>
          </w:p>
        </w:tc>
        <w:tc>
          <w:tcPr>
            <w:tcW w:w="1175" w:type="pct"/>
            <w:tcBorders>
              <w:top w:val="nil"/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831" w:type="pct"/>
            <w:vMerge w:val="continue"/>
            <w:tcBorders>
              <w:top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4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2.2</w:t>
            </w:r>
          </w:p>
        </w:tc>
        <w:tc>
          <w:tcPr>
            <w:tcW w:w="1378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站房基础平台</w:t>
            </w:r>
          </w:p>
        </w:tc>
        <w:tc>
          <w:tcPr>
            <w:tcW w:w="77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约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m²</w:t>
            </w:r>
          </w:p>
        </w:tc>
        <w:tc>
          <w:tcPr>
            <w:tcW w:w="1175" w:type="pct"/>
            <w:tcBorders>
              <w:top w:val="nil"/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831" w:type="pct"/>
            <w:vMerge w:val="continue"/>
            <w:tcBorders>
              <w:top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4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2.3</w:t>
            </w:r>
          </w:p>
        </w:tc>
        <w:tc>
          <w:tcPr>
            <w:tcW w:w="1378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通往站房道路硬化</w:t>
            </w:r>
          </w:p>
        </w:tc>
        <w:tc>
          <w:tcPr>
            <w:tcW w:w="77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/</w:t>
            </w:r>
          </w:p>
        </w:tc>
        <w:tc>
          <w:tcPr>
            <w:tcW w:w="1175" w:type="pct"/>
            <w:tcBorders>
              <w:top w:val="nil"/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831" w:type="pct"/>
            <w:vMerge w:val="continue"/>
            <w:tcBorders>
              <w:top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4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2.4</w:t>
            </w:r>
          </w:p>
        </w:tc>
        <w:tc>
          <w:tcPr>
            <w:tcW w:w="1378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不锈钢护栏</w:t>
            </w:r>
          </w:p>
        </w:tc>
        <w:tc>
          <w:tcPr>
            <w:tcW w:w="77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/</w:t>
            </w:r>
          </w:p>
        </w:tc>
        <w:tc>
          <w:tcPr>
            <w:tcW w:w="1175" w:type="pct"/>
            <w:tcBorders>
              <w:top w:val="nil"/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831" w:type="pct"/>
            <w:vMerge w:val="continue"/>
            <w:tcBorders>
              <w:top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4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2.5</w:t>
            </w:r>
          </w:p>
        </w:tc>
        <w:tc>
          <w:tcPr>
            <w:tcW w:w="1378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电源接入</w:t>
            </w:r>
          </w:p>
        </w:tc>
        <w:tc>
          <w:tcPr>
            <w:tcW w:w="77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/</w:t>
            </w:r>
          </w:p>
        </w:tc>
        <w:tc>
          <w:tcPr>
            <w:tcW w:w="1175" w:type="pct"/>
            <w:tcBorders>
              <w:top w:val="nil"/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831" w:type="pct"/>
            <w:vMerge w:val="continue"/>
            <w:tcBorders>
              <w:top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4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2.6</w:t>
            </w:r>
          </w:p>
        </w:tc>
        <w:tc>
          <w:tcPr>
            <w:tcW w:w="1378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防雷接地</w:t>
            </w:r>
          </w:p>
        </w:tc>
        <w:tc>
          <w:tcPr>
            <w:tcW w:w="77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/</w:t>
            </w:r>
          </w:p>
        </w:tc>
        <w:tc>
          <w:tcPr>
            <w:tcW w:w="1175" w:type="pct"/>
            <w:tcBorders>
              <w:top w:val="nil"/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831" w:type="pct"/>
            <w:vMerge w:val="continue"/>
            <w:tcBorders>
              <w:top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4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2.7</w:t>
            </w:r>
          </w:p>
        </w:tc>
        <w:tc>
          <w:tcPr>
            <w:tcW w:w="1378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自来水接入（根据实际条件）</w:t>
            </w:r>
          </w:p>
        </w:tc>
        <w:tc>
          <w:tcPr>
            <w:tcW w:w="77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/</w:t>
            </w:r>
          </w:p>
        </w:tc>
        <w:tc>
          <w:tcPr>
            <w:tcW w:w="1175" w:type="pct"/>
            <w:tcBorders>
              <w:top w:val="nil"/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831" w:type="pct"/>
            <w:vMerge w:val="restart"/>
            <w:tcBorders>
              <w:top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三、其他</w:t>
            </w:r>
          </w:p>
        </w:tc>
        <w:tc>
          <w:tcPr>
            <w:tcW w:w="84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3.1</w:t>
            </w:r>
          </w:p>
        </w:tc>
        <w:tc>
          <w:tcPr>
            <w:tcW w:w="1378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搬迁吊装、人工、车辆运输等</w:t>
            </w:r>
          </w:p>
        </w:tc>
        <w:tc>
          <w:tcPr>
            <w:tcW w:w="77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/</w:t>
            </w:r>
          </w:p>
        </w:tc>
        <w:tc>
          <w:tcPr>
            <w:tcW w:w="1175" w:type="pct"/>
            <w:tcBorders>
              <w:top w:val="nil"/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1" w:type="pct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4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3.2</w:t>
            </w:r>
          </w:p>
        </w:tc>
        <w:tc>
          <w:tcPr>
            <w:tcW w:w="1378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采水监控安装及调试</w:t>
            </w:r>
          </w:p>
        </w:tc>
        <w:tc>
          <w:tcPr>
            <w:tcW w:w="77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/</w:t>
            </w:r>
          </w:p>
        </w:tc>
        <w:tc>
          <w:tcPr>
            <w:tcW w:w="1175" w:type="pct"/>
            <w:tcBorders>
              <w:top w:val="nil"/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1" w:type="pct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4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3.3</w:t>
            </w:r>
          </w:p>
        </w:tc>
        <w:tc>
          <w:tcPr>
            <w:tcW w:w="1378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仪器设备调试技术服务</w:t>
            </w:r>
          </w:p>
        </w:tc>
        <w:tc>
          <w:tcPr>
            <w:tcW w:w="77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/</w:t>
            </w:r>
          </w:p>
        </w:tc>
        <w:tc>
          <w:tcPr>
            <w:tcW w:w="1175" w:type="pct"/>
            <w:tcBorders>
              <w:top w:val="nil"/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1" w:type="pct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4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val="en-US" w:eastAsia="zh-CN"/>
              </w:rPr>
              <w:t>3.4</w:t>
            </w:r>
          </w:p>
        </w:tc>
        <w:tc>
          <w:tcPr>
            <w:tcW w:w="1378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eastAsia="zh-CN"/>
              </w:rPr>
              <w:t>站点绿化</w:t>
            </w:r>
          </w:p>
        </w:tc>
        <w:tc>
          <w:tcPr>
            <w:tcW w:w="77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/</w:t>
            </w:r>
          </w:p>
        </w:tc>
        <w:tc>
          <w:tcPr>
            <w:tcW w:w="1175" w:type="pct"/>
            <w:tcBorders>
              <w:top w:val="nil"/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val="en-US" w:eastAsia="zh-CN"/>
              </w:rPr>
              <w:t>1项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1" w:type="pct"/>
            <w:vMerge w:val="continue"/>
            <w:tcBorders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4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val="en-US" w:eastAsia="zh-CN"/>
              </w:rPr>
              <w:t>3.5</w:t>
            </w:r>
          </w:p>
        </w:tc>
        <w:tc>
          <w:tcPr>
            <w:tcW w:w="1378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eastAsia="zh-CN"/>
              </w:rPr>
              <w:t>宣传版制作</w:t>
            </w:r>
          </w:p>
        </w:tc>
        <w:tc>
          <w:tcPr>
            <w:tcW w:w="77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val="en-US" w:eastAsia="zh-CN"/>
              </w:rPr>
              <w:t>/</w:t>
            </w:r>
          </w:p>
        </w:tc>
        <w:tc>
          <w:tcPr>
            <w:tcW w:w="1175" w:type="pct"/>
            <w:tcBorders>
              <w:top w:val="nil"/>
              <w:left w:val="nil"/>
              <w:bottom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val="en-US" w:eastAsia="zh-CN"/>
              </w:rPr>
              <w:t>1项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831" w:type="pct"/>
            <w:tcBorders>
              <w:top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四、质保</w:t>
            </w:r>
          </w:p>
        </w:tc>
        <w:tc>
          <w:tcPr>
            <w:tcW w:w="4168" w:type="pct"/>
            <w:gridSpan w:val="4"/>
            <w:tcBorders>
              <w:top w:val="single" w:color="auto" w:sz="8" w:space="0"/>
              <w:lef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质量保障要求：2年（不可抗力导致除外）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服务响应要求：7*24小时</w:t>
            </w:r>
          </w:p>
        </w:tc>
      </w:tr>
    </w:tbl>
    <w:p>
      <w:pPr>
        <w:jc w:val="left"/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297879679"/>
      <w:docPartObj>
        <w:docPartGallery w:val="autotext"/>
      </w:docPartObj>
    </w:sdtPr>
    <w:sdtContent>
      <w:sdt>
        <w:sdtPr>
          <w:id w:val="-1705238520"/>
          <w:docPartObj>
            <w:docPartGallery w:val="autotext"/>
          </w:docPartObj>
        </w:sdtPr>
        <w:sdtContent>
          <w:p>
            <w:pPr>
              <w:pStyle w:val="2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lang w:val="zh-CN"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lang w:val="zh-CN"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2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C763AD"/>
    <w:multiLevelType w:val="multilevel"/>
    <w:tmpl w:val="64C763AD"/>
    <w:lvl w:ilvl="0" w:tentative="0">
      <w:start w:val="1"/>
      <w:numFmt w:val="japaneseCounting"/>
      <w:lvlText w:val="%1、"/>
      <w:lvlJc w:val="left"/>
      <w:pPr>
        <w:ind w:left="862" w:hanging="44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62" w:hanging="420"/>
      </w:pPr>
    </w:lvl>
    <w:lvl w:ilvl="2" w:tentative="0">
      <w:start w:val="1"/>
      <w:numFmt w:val="lowerRoman"/>
      <w:lvlText w:val="%3."/>
      <w:lvlJc w:val="right"/>
      <w:pPr>
        <w:ind w:left="1682" w:hanging="420"/>
      </w:pPr>
    </w:lvl>
    <w:lvl w:ilvl="3" w:tentative="0">
      <w:start w:val="1"/>
      <w:numFmt w:val="decimal"/>
      <w:lvlText w:val="%4."/>
      <w:lvlJc w:val="left"/>
      <w:pPr>
        <w:ind w:left="2102" w:hanging="420"/>
      </w:pPr>
    </w:lvl>
    <w:lvl w:ilvl="4" w:tentative="0">
      <w:start w:val="1"/>
      <w:numFmt w:val="lowerLetter"/>
      <w:lvlText w:val="%5)"/>
      <w:lvlJc w:val="left"/>
      <w:pPr>
        <w:ind w:left="2522" w:hanging="420"/>
      </w:pPr>
    </w:lvl>
    <w:lvl w:ilvl="5" w:tentative="0">
      <w:start w:val="1"/>
      <w:numFmt w:val="lowerRoman"/>
      <w:lvlText w:val="%6."/>
      <w:lvlJc w:val="right"/>
      <w:pPr>
        <w:ind w:left="2942" w:hanging="420"/>
      </w:pPr>
    </w:lvl>
    <w:lvl w:ilvl="6" w:tentative="0">
      <w:start w:val="1"/>
      <w:numFmt w:val="decimal"/>
      <w:lvlText w:val="%7."/>
      <w:lvlJc w:val="left"/>
      <w:pPr>
        <w:ind w:left="3362" w:hanging="420"/>
      </w:pPr>
    </w:lvl>
    <w:lvl w:ilvl="7" w:tentative="0">
      <w:start w:val="1"/>
      <w:numFmt w:val="lowerLetter"/>
      <w:lvlText w:val="%8)"/>
      <w:lvlJc w:val="left"/>
      <w:pPr>
        <w:ind w:left="3782" w:hanging="420"/>
      </w:pPr>
    </w:lvl>
    <w:lvl w:ilvl="8" w:tentative="0">
      <w:start w:val="1"/>
      <w:numFmt w:val="lowerRoman"/>
      <w:lvlText w:val="%9."/>
      <w:lvlJc w:val="right"/>
      <w:pPr>
        <w:ind w:left="4202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U0ZjY1MTcwMzg0MWViZGQ2OTVjMWRhOGMzMzU1Y2QifQ=="/>
  </w:docVars>
  <w:rsids>
    <w:rsidRoot w:val="00D74EA7"/>
    <w:rsid w:val="0001026B"/>
    <w:rsid w:val="0001325B"/>
    <w:rsid w:val="00027C3A"/>
    <w:rsid w:val="000354E3"/>
    <w:rsid w:val="00070491"/>
    <w:rsid w:val="000742D1"/>
    <w:rsid w:val="000D671C"/>
    <w:rsid w:val="000E228A"/>
    <w:rsid w:val="00144F21"/>
    <w:rsid w:val="00174D72"/>
    <w:rsid w:val="001A379A"/>
    <w:rsid w:val="001A5E6A"/>
    <w:rsid w:val="001B19AE"/>
    <w:rsid w:val="002002A0"/>
    <w:rsid w:val="002B7F46"/>
    <w:rsid w:val="00313439"/>
    <w:rsid w:val="00313777"/>
    <w:rsid w:val="003350BE"/>
    <w:rsid w:val="00355AAE"/>
    <w:rsid w:val="003577CA"/>
    <w:rsid w:val="00371EBF"/>
    <w:rsid w:val="003B5B02"/>
    <w:rsid w:val="003C2C9F"/>
    <w:rsid w:val="003F03B1"/>
    <w:rsid w:val="00404DE8"/>
    <w:rsid w:val="00410D10"/>
    <w:rsid w:val="0044661B"/>
    <w:rsid w:val="0047475C"/>
    <w:rsid w:val="00531786"/>
    <w:rsid w:val="005415DF"/>
    <w:rsid w:val="00554BC8"/>
    <w:rsid w:val="00562593"/>
    <w:rsid w:val="005755B6"/>
    <w:rsid w:val="005A1AD1"/>
    <w:rsid w:val="005B4C86"/>
    <w:rsid w:val="005D158A"/>
    <w:rsid w:val="005D2CB5"/>
    <w:rsid w:val="006035E4"/>
    <w:rsid w:val="006463C3"/>
    <w:rsid w:val="0066663B"/>
    <w:rsid w:val="00693C87"/>
    <w:rsid w:val="006F5B17"/>
    <w:rsid w:val="00794753"/>
    <w:rsid w:val="008310B9"/>
    <w:rsid w:val="008353BF"/>
    <w:rsid w:val="00846D82"/>
    <w:rsid w:val="00856360"/>
    <w:rsid w:val="008A1F00"/>
    <w:rsid w:val="00916A9C"/>
    <w:rsid w:val="0092124E"/>
    <w:rsid w:val="009334CB"/>
    <w:rsid w:val="00947F71"/>
    <w:rsid w:val="009C244B"/>
    <w:rsid w:val="009C3453"/>
    <w:rsid w:val="009C6A0A"/>
    <w:rsid w:val="009C7E96"/>
    <w:rsid w:val="00A06496"/>
    <w:rsid w:val="00A97997"/>
    <w:rsid w:val="00AB5D18"/>
    <w:rsid w:val="00B53820"/>
    <w:rsid w:val="00C2486A"/>
    <w:rsid w:val="00C4198A"/>
    <w:rsid w:val="00C444C0"/>
    <w:rsid w:val="00C70283"/>
    <w:rsid w:val="00CE5B66"/>
    <w:rsid w:val="00D74EA7"/>
    <w:rsid w:val="00DA50D7"/>
    <w:rsid w:val="00E229BE"/>
    <w:rsid w:val="00E648EA"/>
    <w:rsid w:val="00E96592"/>
    <w:rsid w:val="00ED4633"/>
    <w:rsid w:val="00F21809"/>
    <w:rsid w:val="00F27C63"/>
    <w:rsid w:val="00F34AD5"/>
    <w:rsid w:val="00F36328"/>
    <w:rsid w:val="00F61F4D"/>
    <w:rsid w:val="00F92D4D"/>
    <w:rsid w:val="00FE07DF"/>
    <w:rsid w:val="00FE712A"/>
    <w:rsid w:val="00FF3CBA"/>
    <w:rsid w:val="16B417D6"/>
    <w:rsid w:val="19FA7833"/>
    <w:rsid w:val="1A8C65C3"/>
    <w:rsid w:val="2DE75120"/>
    <w:rsid w:val="2EFA5DDD"/>
    <w:rsid w:val="2F9624D4"/>
    <w:rsid w:val="373C00A7"/>
    <w:rsid w:val="39C2481E"/>
    <w:rsid w:val="4E5C7274"/>
    <w:rsid w:val="51992593"/>
    <w:rsid w:val="6EB32A89"/>
    <w:rsid w:val="74254C18"/>
    <w:rsid w:val="785F5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Calibri" w:hAnsi="Calibri" w:eastAsia="宋体" w:cs="Times New Roman"/>
      <w:kern w:val="2"/>
      <w:sz w:val="21"/>
      <w:szCs w:val="20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rFonts w:ascii="Calibri" w:hAnsi="Calibri" w:eastAsia="宋体" w:cs="Times New Roman"/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font11"/>
    <w:basedOn w:val="6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11">
    <w:name w:val="font01"/>
    <w:basedOn w:val="6"/>
    <w:qFormat/>
    <w:uiPriority w:val="0"/>
    <w:rPr>
      <w:rFonts w:hint="default" w:ascii="Times New Roman" w:hAnsi="Times New Roman" w:cs="Times New Roman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1763</Words>
  <Characters>1879</Characters>
  <Lines>14</Lines>
  <Paragraphs>4</Paragraphs>
  <TotalTime>1</TotalTime>
  <ScaleCrop>false</ScaleCrop>
  <LinksUpToDate>false</LinksUpToDate>
  <CharactersWithSpaces>1884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2023-03-05T07:52:00Z</dcterms:created>
  <dc:creator>Administrator</dc:creator>
  <cp:lastModifiedBy>Lenovo</cp:lastModifiedBy>
  <cp:lastPrinted>2023-03-06T02:14:00Z</cp:lastPrinted>
  <dcterms:modified xsi:type="dcterms:W3CDTF">2023-03-20T10:08:56Z</dcterms:modified>
  <cp:revision>30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  <property fmtid="{D5CDD505-2E9C-101B-9397-08002B2CF9AE}" pid="3" name="ICV">
    <vt:lpwstr>245291025E8D4691B172040D1E8A856B</vt:lpwstr>
  </property>
</Properties>
</file>