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tabs>
          <w:tab w:val="left" w:pos="0"/>
        </w:tabs>
        <w:spacing w:line="600" w:lineRule="exact"/>
        <w:jc w:val="both"/>
        <w:rPr>
          <w:rFonts w:hint="eastAsia"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2：</w:t>
      </w:r>
    </w:p>
    <w:p>
      <w:pPr>
        <w:widowControl w:val="0"/>
        <w:tabs>
          <w:tab w:val="left" w:pos="0"/>
        </w:tabs>
        <w:spacing w:line="60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eastAsia="zh-CN"/>
        </w:rPr>
        <w:t>贺州</w:t>
      </w:r>
      <w:r>
        <w:rPr>
          <w:rFonts w:hint="eastAsia" w:ascii="方正小标宋_GBK" w:hAnsi="方正小标宋_GBK" w:eastAsia="方正小标宋_GBK" w:cs="方正小标宋_GBK"/>
          <w:sz w:val="44"/>
          <w:szCs w:val="44"/>
        </w:rPr>
        <w:t>市</w:t>
      </w:r>
      <w:r>
        <w:rPr>
          <w:rFonts w:hint="eastAsia" w:ascii="方正小标宋_GBK" w:hAnsi="方正小标宋_GBK" w:eastAsia="方正小标宋_GBK" w:cs="方正小标宋_GBK"/>
          <w:sz w:val="44"/>
          <w:szCs w:val="44"/>
          <w:lang w:val="en-US" w:eastAsia="zh-CN"/>
        </w:rPr>
        <w:t>1</w:t>
      </w:r>
      <w:r>
        <w:rPr>
          <w:rFonts w:hint="eastAsia" w:ascii="方正小标宋_GBK" w:hAnsi="方正小标宋_GBK" w:eastAsia="方正小标宋_GBK" w:cs="方正小标宋_GBK"/>
          <w:sz w:val="44"/>
          <w:szCs w:val="44"/>
        </w:rPr>
        <w:t>个区控水质自动站搬迁至国控采测分离断面项目综合评分办法</w:t>
      </w:r>
    </w:p>
    <w:p>
      <w:pPr>
        <w:spacing w:line="300" w:lineRule="auto"/>
        <w:ind w:firstLine="426" w:firstLineChars="202"/>
        <w:rPr>
          <w:rFonts w:hint="eastAsia"/>
          <w:b/>
          <w:szCs w:val="21"/>
        </w:rPr>
      </w:pPr>
    </w:p>
    <w:p>
      <w:pPr>
        <w:spacing w:line="300" w:lineRule="auto"/>
        <w:ind w:firstLine="426" w:firstLineChars="202"/>
        <w:rPr>
          <w:b/>
          <w:szCs w:val="21"/>
        </w:rPr>
      </w:pPr>
      <w:r>
        <w:rPr>
          <w:rFonts w:hint="eastAsia"/>
          <w:b/>
          <w:szCs w:val="21"/>
        </w:rPr>
        <w:t>一、评审原则</w:t>
      </w:r>
    </w:p>
    <w:p>
      <w:pPr>
        <w:spacing w:line="300" w:lineRule="auto"/>
        <w:ind w:firstLine="424" w:firstLineChars="202"/>
        <w:rPr>
          <w:szCs w:val="21"/>
        </w:rPr>
      </w:pPr>
      <w:r>
        <w:rPr>
          <w:rFonts w:hint="eastAsia"/>
          <w:szCs w:val="21"/>
        </w:rPr>
        <w:t>(一）评审小组构成：本项目的评审小组由采购单位组建，成员包含技术、经济等方面专业人员，成员人数为三人以上（含三人）单数。其中，技术、经济等方面的专家不得少于成员总数的三分之二。</w:t>
      </w:r>
    </w:p>
    <w:p>
      <w:pPr>
        <w:spacing w:line="300" w:lineRule="auto"/>
        <w:ind w:firstLine="424" w:firstLineChars="202"/>
        <w:rPr>
          <w:szCs w:val="21"/>
        </w:rPr>
      </w:pPr>
      <w:r>
        <w:rPr>
          <w:rFonts w:hint="eastAsia"/>
          <w:szCs w:val="21"/>
        </w:rPr>
        <w:t>(二）评审依据：本评审办法和供应商提交的响应文件。</w:t>
      </w:r>
    </w:p>
    <w:p>
      <w:pPr>
        <w:spacing w:line="300" w:lineRule="auto"/>
        <w:ind w:firstLine="424" w:firstLineChars="202"/>
        <w:rPr>
          <w:szCs w:val="21"/>
        </w:rPr>
      </w:pPr>
      <w:r>
        <w:rPr>
          <w:rFonts w:hint="eastAsia"/>
          <w:szCs w:val="21"/>
        </w:rPr>
        <w:t>(三）评审方法：综合评分法。</w:t>
      </w:r>
    </w:p>
    <w:p>
      <w:pPr>
        <w:spacing w:line="300" w:lineRule="auto"/>
        <w:ind w:firstLine="426" w:firstLineChars="202"/>
        <w:rPr>
          <w:b/>
          <w:szCs w:val="21"/>
        </w:rPr>
      </w:pPr>
      <w:r>
        <w:rPr>
          <w:rFonts w:hint="eastAsia"/>
          <w:b/>
          <w:szCs w:val="21"/>
        </w:rPr>
        <w:t>二、评审方法</w:t>
      </w:r>
    </w:p>
    <w:p>
      <w:pPr>
        <w:spacing w:line="300" w:lineRule="auto"/>
        <w:ind w:firstLine="424" w:firstLineChars="202"/>
        <w:rPr>
          <w:szCs w:val="21"/>
        </w:rPr>
      </w:pPr>
      <w:r>
        <w:rPr>
          <w:rFonts w:hint="eastAsia"/>
          <w:szCs w:val="21"/>
        </w:rPr>
        <w:t>供应商提交的报价及资格材料经初核符合要求的进入详评，评审小组将按本评审办法和响应文</w:t>
      </w:r>
      <w:bookmarkStart w:id="1" w:name="_GoBack"/>
      <w:bookmarkEnd w:id="1"/>
      <w:r>
        <w:rPr>
          <w:rFonts w:hint="eastAsia"/>
          <w:szCs w:val="21"/>
        </w:rPr>
        <w:t>件为评定依据，采用百分制综合评分法：</w:t>
      </w:r>
    </w:p>
    <w:p>
      <w:pPr>
        <w:spacing w:line="300" w:lineRule="auto"/>
        <w:ind w:firstLine="426" w:firstLineChars="202"/>
        <w:rPr>
          <w:b/>
          <w:szCs w:val="21"/>
        </w:rPr>
      </w:pPr>
      <w:r>
        <w:rPr>
          <w:rFonts w:hint="eastAsia"/>
          <w:b/>
          <w:szCs w:val="21"/>
        </w:rPr>
        <w:t>评分细则（按四舍五入取至百分位）：</w:t>
      </w:r>
    </w:p>
    <w:p>
      <w:pPr>
        <w:spacing w:line="300" w:lineRule="auto"/>
        <w:ind w:firstLine="422" w:firstLineChars="200"/>
        <w:rPr>
          <w:b/>
          <w:szCs w:val="21"/>
        </w:rPr>
      </w:pPr>
      <w:r>
        <w:rPr>
          <w:rFonts w:hint="eastAsia"/>
          <w:b/>
          <w:szCs w:val="21"/>
        </w:rPr>
        <w:t>（一）价格分…………………………………………………  （10分）</w:t>
      </w:r>
    </w:p>
    <w:p>
      <w:pPr>
        <w:spacing w:line="300" w:lineRule="auto"/>
        <w:ind w:firstLine="420" w:firstLineChars="200"/>
        <w:rPr>
          <w:szCs w:val="21"/>
        </w:rPr>
      </w:pPr>
      <w:r>
        <w:rPr>
          <w:rFonts w:hint="eastAsia"/>
          <w:szCs w:val="21"/>
        </w:rPr>
        <w:t>1、评审价为供应商的报价进行政策性扣除后的价格，评审价只是作为评审时使用。最终成交人的成交报价＝最终报价。</w:t>
      </w:r>
    </w:p>
    <w:p>
      <w:pPr>
        <w:spacing w:line="300" w:lineRule="auto"/>
        <w:ind w:firstLine="420" w:firstLineChars="200"/>
        <w:rPr>
          <w:szCs w:val="21"/>
        </w:rPr>
      </w:pPr>
      <w:r>
        <w:rPr>
          <w:rFonts w:hint="eastAsia"/>
          <w:szCs w:val="21"/>
        </w:rPr>
        <w:t>2、按照《政府采购促进中小企业发展管理办法》（财库〔2020〕46号）规定，供应商为小型和微型企业，并在其响应文件中提供《中小企业声明函》，且其所竞标产品为小型和微型企业生产的，对其竞标价格给予6%的扣除。</w:t>
      </w:r>
    </w:p>
    <w:p>
      <w:pPr>
        <w:spacing w:line="300" w:lineRule="auto"/>
        <w:ind w:firstLine="420" w:firstLineChars="200"/>
        <w:rPr>
          <w:szCs w:val="21"/>
        </w:rPr>
      </w:pPr>
      <w:r>
        <w:rPr>
          <w:rFonts w:hint="eastAsia"/>
          <w:szCs w:val="21"/>
        </w:rPr>
        <w:t>3、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w:t>
      </w:r>
    </w:p>
    <w:p>
      <w:pPr>
        <w:spacing w:line="300" w:lineRule="auto"/>
        <w:ind w:firstLine="420" w:firstLineChars="200"/>
        <w:rPr>
          <w:szCs w:val="21"/>
        </w:rPr>
      </w:pPr>
      <w:r>
        <w:rPr>
          <w:rFonts w:hint="eastAsia"/>
          <w:szCs w:val="21"/>
        </w:rPr>
        <w:t>4、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spacing w:line="300" w:lineRule="auto"/>
        <w:ind w:firstLine="420" w:firstLineChars="200"/>
        <w:rPr>
          <w:szCs w:val="21"/>
        </w:rPr>
      </w:pPr>
      <w:r>
        <w:rPr>
          <w:rFonts w:hint="eastAsia"/>
          <w:szCs w:val="21"/>
        </w:rPr>
        <w:t>5、政策性扣除计算方法。</w:t>
      </w:r>
    </w:p>
    <w:p>
      <w:pPr>
        <w:spacing w:line="300" w:lineRule="auto"/>
        <w:ind w:firstLine="420" w:firstLineChars="200"/>
        <w:rPr>
          <w:szCs w:val="21"/>
        </w:rPr>
      </w:pPr>
      <w:r>
        <w:rPr>
          <w:rFonts w:hint="eastAsia"/>
          <w:szCs w:val="21"/>
        </w:rPr>
        <w:t>供应商被评定为监狱企业或残疾人福利性单位或小型和微型企业且其所竞标产品为小型和微型企业产品的，该供应商的磋商报价给予6%的扣除，扣除后的价格为评审报价，即评审报价=初始报价×（1-6%）；除上述情况外，评审报价=最终报价。</w:t>
      </w:r>
    </w:p>
    <w:p>
      <w:pPr>
        <w:spacing w:line="300" w:lineRule="auto"/>
        <w:ind w:firstLine="420" w:firstLineChars="200"/>
        <w:rPr>
          <w:szCs w:val="21"/>
        </w:rPr>
      </w:pPr>
      <w:r>
        <w:rPr>
          <w:rFonts w:hint="eastAsia"/>
          <w:szCs w:val="21"/>
        </w:rPr>
        <w:t>6、以进入评审的最低的评审报价为</w:t>
      </w:r>
      <w:r>
        <w:rPr>
          <w:rFonts w:hint="eastAsia"/>
          <w:bCs/>
          <w:szCs w:val="21"/>
        </w:rPr>
        <w:t>10</w:t>
      </w:r>
      <w:r>
        <w:rPr>
          <w:rFonts w:hint="eastAsia"/>
          <w:szCs w:val="21"/>
        </w:rPr>
        <w:t>分。</w:t>
      </w:r>
    </w:p>
    <w:p>
      <w:pPr>
        <w:spacing w:line="300" w:lineRule="auto"/>
        <w:ind w:firstLine="420" w:firstLineChars="200"/>
        <w:rPr>
          <w:szCs w:val="21"/>
        </w:rPr>
      </w:pPr>
      <w:r>
        <w:rPr>
          <w:rFonts w:hint="eastAsia"/>
          <w:szCs w:val="21"/>
        </w:rPr>
        <w:t>7、</w:t>
      </w:r>
      <w:r>
        <w:rPr>
          <w:rFonts w:hint="eastAsia"/>
          <w:spacing w:val="-6"/>
          <w:szCs w:val="21"/>
        </w:rPr>
        <w:t>某供应商价格分 = 供应商最低评审报价（金额）/某供应商评审报价（金额）×</w:t>
      </w:r>
      <w:r>
        <w:rPr>
          <w:rFonts w:hint="eastAsia"/>
          <w:bCs/>
          <w:szCs w:val="21"/>
        </w:rPr>
        <w:t>10</w:t>
      </w:r>
      <w:r>
        <w:rPr>
          <w:rFonts w:hint="eastAsia"/>
          <w:szCs w:val="21"/>
        </w:rPr>
        <w:t>分</w:t>
      </w:r>
    </w:p>
    <w:p>
      <w:pPr>
        <w:spacing w:line="300" w:lineRule="auto"/>
        <w:ind w:firstLine="422" w:firstLineChars="200"/>
        <w:rPr>
          <w:b/>
          <w:szCs w:val="21"/>
        </w:rPr>
      </w:pPr>
    </w:p>
    <w:p>
      <w:pPr>
        <w:spacing w:line="300" w:lineRule="auto"/>
        <w:ind w:firstLine="422" w:firstLineChars="200"/>
        <w:rPr>
          <w:b/>
          <w:szCs w:val="21"/>
        </w:rPr>
      </w:pPr>
      <w:r>
        <w:rPr>
          <w:rFonts w:hint="eastAsia"/>
          <w:b/>
          <w:szCs w:val="21"/>
        </w:rPr>
        <w:t>（二）技术分………………………………………………………………60分</w:t>
      </w:r>
    </w:p>
    <w:p>
      <w:pPr>
        <w:spacing w:line="300" w:lineRule="auto"/>
        <w:ind w:firstLine="398" w:firstLineChars="200"/>
        <w:rPr>
          <w:b/>
          <w:bCs/>
          <w:spacing w:val="-6"/>
          <w:szCs w:val="21"/>
        </w:rPr>
      </w:pPr>
      <w:r>
        <w:rPr>
          <w:rFonts w:hint="eastAsia"/>
          <w:b/>
          <w:bCs/>
          <w:spacing w:val="-6"/>
          <w:szCs w:val="21"/>
        </w:rPr>
        <w:t>1、项目实施方案（满分30分）</w:t>
      </w:r>
    </w:p>
    <w:p>
      <w:pPr>
        <w:spacing w:line="300" w:lineRule="auto"/>
        <w:ind w:firstLine="396" w:firstLineChars="200"/>
        <w:rPr>
          <w:spacing w:val="-6"/>
          <w:szCs w:val="21"/>
        </w:rPr>
      </w:pPr>
      <w:r>
        <w:rPr>
          <w:rFonts w:hint="eastAsia"/>
          <w:spacing w:val="-6"/>
          <w:szCs w:val="21"/>
        </w:rPr>
        <w:t>项目实施方案包括但不限于项目需求及现场分析、搬迁服务方案、现场施工方案、仪器设备安装调试方案等，由各评委根据投标人提交的实施方案独立评分。</w:t>
      </w:r>
    </w:p>
    <w:p>
      <w:pPr>
        <w:spacing w:line="300" w:lineRule="auto"/>
        <w:ind w:firstLine="396" w:firstLineChars="200"/>
        <w:rPr>
          <w:rFonts w:hint="eastAsia" w:cs="Times New Roman"/>
          <w:spacing w:val="-6"/>
          <w:szCs w:val="21"/>
        </w:rPr>
      </w:pPr>
      <w:r>
        <w:rPr>
          <w:rFonts w:hint="eastAsia"/>
          <w:spacing w:val="-6"/>
          <w:szCs w:val="21"/>
        </w:rPr>
        <w:t>一档(10分):实施方案简单，对</w:t>
      </w:r>
      <w:bookmarkStart w:id="0" w:name="_Hlk129087478"/>
      <w:r>
        <w:rPr>
          <w:rFonts w:hint="eastAsia"/>
          <w:spacing w:val="-6"/>
          <w:szCs w:val="21"/>
        </w:rPr>
        <w:t>项目需求及现场情况</w:t>
      </w:r>
      <w:bookmarkEnd w:id="0"/>
      <w:r>
        <w:rPr>
          <w:rFonts w:hint="eastAsia"/>
          <w:spacing w:val="-6"/>
          <w:szCs w:val="21"/>
        </w:rPr>
        <w:t>总体条件认识不足，整体实施方案设计一般，有搬迁服</w:t>
      </w:r>
      <w:r>
        <w:rPr>
          <w:rFonts w:hint="eastAsia" w:cs="Times New Roman"/>
          <w:spacing w:val="-6"/>
          <w:szCs w:val="21"/>
        </w:rPr>
        <w:t>务方案、现场施工方案、仪器设备安装调试方案，基本能满足项目需求；</w:t>
      </w:r>
    </w:p>
    <w:p>
      <w:pPr>
        <w:spacing w:line="300" w:lineRule="auto"/>
        <w:ind w:firstLine="396" w:firstLineChars="200"/>
        <w:rPr>
          <w:spacing w:val="-6"/>
          <w:szCs w:val="21"/>
        </w:rPr>
      </w:pPr>
      <w:r>
        <w:rPr>
          <w:rFonts w:hint="eastAsia" w:cs="Times New Roman"/>
          <w:spacing w:val="-6"/>
          <w:szCs w:val="21"/>
        </w:rPr>
        <w:t>二档(20分):实施方案较详细，对项目需求及现场情况有一定程度认识，整体实施方案设计较为合理，有较完善的搬迁服务方案、现场施工方案、仪器设备安装调试方案</w:t>
      </w:r>
      <w:r>
        <w:rPr>
          <w:rFonts w:hint="eastAsia" w:cs="Times New Roman"/>
          <w:spacing w:val="-6"/>
          <w:szCs w:val="21"/>
          <w:lang w:eastAsia="zh-CN"/>
        </w:rPr>
        <w:t>以及</w:t>
      </w:r>
      <w:r>
        <w:rPr>
          <w:rFonts w:hint="eastAsia" w:cs="Times New Roman"/>
          <w:spacing w:val="-6"/>
          <w:szCs w:val="21"/>
          <w:lang w:val="en-US" w:eastAsia="zh-Hans"/>
        </w:rPr>
        <w:t>项目建设效果图</w:t>
      </w:r>
      <w:r>
        <w:rPr>
          <w:rFonts w:hint="eastAsia" w:cs="Times New Roman"/>
          <w:spacing w:val="-6"/>
          <w:szCs w:val="21"/>
        </w:rPr>
        <w:t>，满足项</w:t>
      </w:r>
      <w:r>
        <w:rPr>
          <w:rFonts w:hint="eastAsia"/>
          <w:spacing w:val="-6"/>
          <w:szCs w:val="21"/>
        </w:rPr>
        <w:t>目基本要求，整体方案针对性、可行性一般；</w:t>
      </w:r>
    </w:p>
    <w:p>
      <w:pPr>
        <w:spacing w:line="300" w:lineRule="auto"/>
        <w:ind w:firstLine="396" w:firstLineChars="200"/>
        <w:rPr>
          <w:spacing w:val="-6"/>
          <w:szCs w:val="21"/>
        </w:rPr>
      </w:pPr>
      <w:r>
        <w:rPr>
          <w:rFonts w:hint="eastAsia"/>
          <w:spacing w:val="-6"/>
          <w:szCs w:val="21"/>
        </w:rPr>
        <w:t>二档(30分):实施方案详细全面，项目需求及现场情况总体条件认识充分，项目实施细节科学合理、切合实际，有完善的搬迁服务方案、现场施工方案、仪器设备安装调试方案</w:t>
      </w:r>
      <w:r>
        <w:rPr>
          <w:rFonts w:hint="eastAsia" w:cs="Times New Roman"/>
          <w:spacing w:val="-6"/>
          <w:szCs w:val="21"/>
          <w:lang w:eastAsia="zh-CN"/>
        </w:rPr>
        <w:t>以及</w:t>
      </w:r>
      <w:r>
        <w:rPr>
          <w:rFonts w:hint="eastAsia" w:cs="Times New Roman"/>
          <w:spacing w:val="-6"/>
          <w:szCs w:val="21"/>
          <w:lang w:val="en-US" w:eastAsia="zh-Hans"/>
        </w:rPr>
        <w:t>项目建设效果图</w:t>
      </w:r>
      <w:r>
        <w:rPr>
          <w:rFonts w:hint="eastAsia" w:cs="Times New Roman"/>
          <w:spacing w:val="-6"/>
          <w:szCs w:val="21"/>
        </w:rPr>
        <w:t>，</w:t>
      </w:r>
      <w:r>
        <w:rPr>
          <w:rFonts w:hint="eastAsia"/>
          <w:spacing w:val="-6"/>
          <w:szCs w:val="21"/>
        </w:rPr>
        <w:t>且项目实施施工队伍完备，且具有相关施工能力，整体方案针对性强，可行性高。</w:t>
      </w:r>
    </w:p>
    <w:p>
      <w:pPr>
        <w:spacing w:line="300" w:lineRule="auto"/>
        <w:ind w:firstLine="398" w:firstLineChars="200"/>
        <w:rPr>
          <w:b/>
          <w:bCs/>
          <w:spacing w:val="-6"/>
          <w:szCs w:val="21"/>
        </w:rPr>
      </w:pPr>
      <w:r>
        <w:rPr>
          <w:rFonts w:hint="eastAsia"/>
          <w:b/>
          <w:bCs/>
          <w:spacing w:val="-6"/>
          <w:szCs w:val="21"/>
        </w:rPr>
        <w:t>2、项目服务保障措施（满分30分）</w:t>
      </w:r>
    </w:p>
    <w:p>
      <w:pPr>
        <w:spacing w:line="300" w:lineRule="auto"/>
        <w:ind w:firstLine="396" w:firstLineChars="200"/>
        <w:rPr>
          <w:spacing w:val="-6"/>
          <w:szCs w:val="21"/>
        </w:rPr>
      </w:pPr>
      <w:r>
        <w:rPr>
          <w:rFonts w:hint="eastAsia"/>
          <w:spacing w:val="-6"/>
          <w:szCs w:val="21"/>
        </w:rPr>
        <w:t>项目服务保障措施包括但不限于项目服务团队配置、施工能力、项目工期承诺等保障措施的针对性、可行性、合理性，由各评委根据投标人提交的项目服务保障方案独立评分。</w:t>
      </w:r>
    </w:p>
    <w:p>
      <w:pPr>
        <w:spacing w:line="300" w:lineRule="auto"/>
        <w:ind w:firstLine="396" w:firstLineChars="200"/>
        <w:rPr>
          <w:spacing w:val="-6"/>
          <w:szCs w:val="21"/>
        </w:rPr>
      </w:pPr>
      <w:r>
        <w:rPr>
          <w:rFonts w:hint="eastAsia"/>
          <w:spacing w:val="-6"/>
          <w:szCs w:val="21"/>
        </w:rPr>
        <w:t>一档(10分):服务保障方案一般，存在关键内容描述模糊或未考虑周全，缺乏针对性；</w:t>
      </w:r>
    </w:p>
    <w:p>
      <w:pPr>
        <w:spacing w:line="300" w:lineRule="auto"/>
        <w:ind w:firstLine="396" w:firstLineChars="200"/>
        <w:rPr>
          <w:spacing w:val="-6"/>
          <w:szCs w:val="21"/>
        </w:rPr>
      </w:pPr>
      <w:r>
        <w:rPr>
          <w:rFonts w:hint="eastAsia"/>
          <w:spacing w:val="-6"/>
          <w:szCs w:val="21"/>
        </w:rPr>
        <w:t>二档(20分):服务保障方案基本科学合理、措施基本仔细明确、针对性一般，满足招标文件服务要求；</w:t>
      </w:r>
    </w:p>
    <w:p>
      <w:pPr>
        <w:spacing w:line="300" w:lineRule="auto"/>
        <w:ind w:firstLine="396" w:firstLineChars="200"/>
        <w:rPr>
          <w:spacing w:val="-6"/>
          <w:szCs w:val="21"/>
        </w:rPr>
      </w:pPr>
      <w:r>
        <w:rPr>
          <w:rFonts w:hint="eastAsia"/>
          <w:spacing w:val="-6"/>
          <w:szCs w:val="21"/>
        </w:rPr>
        <w:t>三档(30分):服务保障方案科学合理、措施细致明确、针对性强，优于招标文件服务要求，并提出有助于项目实施的合理化建议。</w:t>
      </w:r>
    </w:p>
    <w:p>
      <w:pPr>
        <w:numPr>
          <w:ilvl w:val="0"/>
          <w:numId w:val="1"/>
        </w:numPr>
        <w:spacing w:line="300" w:lineRule="auto"/>
        <w:ind w:firstLine="422" w:firstLineChars="200"/>
        <w:rPr>
          <w:b/>
          <w:szCs w:val="21"/>
        </w:rPr>
      </w:pPr>
      <w:r>
        <w:rPr>
          <w:rFonts w:hint="eastAsia"/>
          <w:b/>
          <w:szCs w:val="21"/>
        </w:rPr>
        <w:t>技术支持分………………………………………………………………18分</w:t>
      </w:r>
    </w:p>
    <w:p>
      <w:pPr>
        <w:spacing w:line="300" w:lineRule="auto"/>
        <w:ind w:firstLine="396" w:firstLineChars="200"/>
        <w:rPr>
          <w:spacing w:val="-6"/>
          <w:szCs w:val="21"/>
        </w:rPr>
      </w:pPr>
      <w:r>
        <w:rPr>
          <w:rFonts w:hint="eastAsia"/>
          <w:spacing w:val="-6"/>
          <w:szCs w:val="21"/>
        </w:rPr>
        <w:t>1、供应商拟投入本项目的经理具有建筑机械与自动化专业中级及以上职称，且有同类项目相关工作经历（需提供职称证书、近半年内至少连续3个月社保缴纳证明及相关工作经历证明材料的复印件，并在复印件上加盖公章）得6分；</w:t>
      </w:r>
    </w:p>
    <w:p>
      <w:pPr>
        <w:spacing w:line="300" w:lineRule="auto"/>
        <w:ind w:firstLine="396" w:firstLineChars="200"/>
        <w:rPr>
          <w:spacing w:val="-6"/>
          <w:szCs w:val="21"/>
        </w:rPr>
      </w:pPr>
      <w:r>
        <w:rPr>
          <w:rFonts w:hint="eastAsia"/>
          <w:spacing w:val="-6"/>
          <w:szCs w:val="21"/>
        </w:rPr>
        <w:t>2、供应商拟投入本项目实施人员配置合理（提供项目实施人员清单），同时具有质量负责人、安全负责人、资料员等专业岗位人员的（需提供执业资格证、近半年内至少连续3个月社保缴纳证明复印件，并在复印件上加盖公章）得6分；上述岗位缺少1个及以上的本项不得分；</w:t>
      </w:r>
    </w:p>
    <w:p>
      <w:pPr>
        <w:spacing w:line="300" w:lineRule="auto"/>
        <w:ind w:firstLine="396" w:firstLineChars="200"/>
        <w:rPr>
          <w:spacing w:val="-6"/>
          <w:szCs w:val="21"/>
        </w:rPr>
      </w:pPr>
      <w:r>
        <w:rPr>
          <w:rFonts w:hint="eastAsia"/>
          <w:spacing w:val="-6"/>
          <w:szCs w:val="21"/>
        </w:rPr>
        <w:t>3、供应商拟投入本项目实施团队具有设备安装、维护、拆除作等作业操作证的，每提供一个得1分，满分6分（需提供相关证书复印件，并在复印件上加盖公章）。</w:t>
      </w:r>
    </w:p>
    <w:p>
      <w:pPr>
        <w:spacing w:line="300" w:lineRule="auto"/>
        <w:ind w:firstLine="420" w:firstLineChars="200"/>
        <w:rPr>
          <w:bCs/>
          <w:spacing w:val="-6"/>
          <w:szCs w:val="21"/>
        </w:rPr>
      </w:pPr>
      <w:r>
        <w:rPr>
          <w:rFonts w:hint="eastAsia"/>
          <w:bCs/>
          <w:szCs w:val="21"/>
        </w:rPr>
        <w:t>备注：没有提供证明材料的不得分。</w:t>
      </w:r>
    </w:p>
    <w:p>
      <w:pPr>
        <w:numPr>
          <w:ilvl w:val="0"/>
          <w:numId w:val="1"/>
        </w:numPr>
        <w:spacing w:line="300" w:lineRule="auto"/>
        <w:ind w:firstLine="422" w:firstLineChars="200"/>
        <w:rPr>
          <w:b/>
          <w:szCs w:val="21"/>
        </w:rPr>
      </w:pPr>
      <w:r>
        <w:rPr>
          <w:rFonts w:hint="eastAsia"/>
          <w:b/>
          <w:szCs w:val="21"/>
        </w:rPr>
        <w:t>商务分……………………………………………………………………12分</w:t>
      </w:r>
    </w:p>
    <w:p>
      <w:pPr>
        <w:spacing w:line="300" w:lineRule="auto"/>
        <w:ind w:firstLine="396" w:firstLineChars="200"/>
        <w:rPr>
          <w:spacing w:val="-6"/>
          <w:szCs w:val="21"/>
        </w:rPr>
      </w:pPr>
      <w:r>
        <w:rPr>
          <w:rFonts w:hint="eastAsia"/>
          <w:spacing w:val="-6"/>
          <w:szCs w:val="21"/>
        </w:rPr>
        <w:t>1、供应商20</w:t>
      </w:r>
      <w:r>
        <w:rPr>
          <w:rFonts w:hint="eastAsia"/>
          <w:spacing w:val="-6"/>
          <w:szCs w:val="21"/>
          <w:lang w:val="en-US" w:eastAsia="zh-CN"/>
        </w:rPr>
        <w:t>20</w:t>
      </w:r>
      <w:r>
        <w:rPr>
          <w:rFonts w:hint="eastAsia"/>
          <w:spacing w:val="-6"/>
          <w:szCs w:val="21"/>
        </w:rPr>
        <w:t>年至今，具有连续三年经第三方机构审计的财务报告（至少包括资产负债表、现金流量表、利润表），得</w:t>
      </w:r>
      <w:r>
        <w:rPr>
          <w:rFonts w:hint="eastAsia"/>
          <w:spacing w:val="-6"/>
          <w:szCs w:val="21"/>
          <w:lang w:val="en-US" w:eastAsia="zh-CN"/>
        </w:rPr>
        <w:t>2</w:t>
      </w:r>
      <w:r>
        <w:rPr>
          <w:rFonts w:hint="eastAsia"/>
          <w:spacing w:val="-6"/>
          <w:szCs w:val="21"/>
        </w:rPr>
        <w:t>分。</w:t>
      </w:r>
    </w:p>
    <w:p>
      <w:pPr>
        <w:spacing w:line="300" w:lineRule="auto"/>
        <w:ind w:firstLine="396" w:firstLineChars="200"/>
        <w:rPr>
          <w:rFonts w:hint="eastAsia"/>
          <w:spacing w:val="-6"/>
          <w:szCs w:val="21"/>
        </w:rPr>
      </w:pPr>
      <w:r>
        <w:rPr>
          <w:rFonts w:hint="eastAsia"/>
          <w:spacing w:val="-6"/>
          <w:szCs w:val="21"/>
        </w:rPr>
        <w:t>2、供应商2020年1月1日至具有类似安装工程服务项目业绩（须提供中标通知书、采购合同等复印件并加盖单位公章）的，每个项目得1分，满分</w:t>
      </w:r>
      <w:r>
        <w:rPr>
          <w:rFonts w:hint="eastAsia"/>
          <w:spacing w:val="-6"/>
          <w:szCs w:val="21"/>
          <w:lang w:val="en-US" w:eastAsia="zh-CN"/>
        </w:rPr>
        <w:t>3</w:t>
      </w:r>
      <w:r>
        <w:rPr>
          <w:rFonts w:hint="eastAsia"/>
          <w:spacing w:val="-6"/>
          <w:szCs w:val="21"/>
        </w:rPr>
        <w:t>分。</w:t>
      </w:r>
    </w:p>
    <w:p>
      <w:pPr>
        <w:spacing w:line="300" w:lineRule="auto"/>
        <w:ind w:firstLine="396" w:firstLineChars="200"/>
        <w:rPr>
          <w:rFonts w:hint="default" w:eastAsia="宋体"/>
          <w:spacing w:val="-6"/>
          <w:szCs w:val="21"/>
          <w:lang w:val="en-US" w:eastAsia="zh-CN"/>
        </w:rPr>
      </w:pPr>
      <w:r>
        <w:rPr>
          <w:rFonts w:hint="eastAsia"/>
          <w:spacing w:val="-6"/>
          <w:szCs w:val="21"/>
          <w:lang w:val="en-US" w:eastAsia="zh-CN"/>
        </w:rPr>
        <w:t>3、在贺州市设置有办事处得2分，在桂林或梧州市设置有办事处得1分。满分2分。</w:t>
      </w:r>
    </w:p>
    <w:p>
      <w:pPr>
        <w:spacing w:line="300" w:lineRule="auto"/>
        <w:ind w:firstLine="396" w:firstLineChars="200"/>
        <w:rPr>
          <w:spacing w:val="-6"/>
          <w:szCs w:val="21"/>
        </w:rPr>
      </w:pPr>
      <w:r>
        <w:rPr>
          <w:rFonts w:hint="eastAsia"/>
          <w:spacing w:val="-6"/>
          <w:szCs w:val="21"/>
        </w:rPr>
        <w:t>3、供应商在以往环境监测服务中未受到各级环保主管部门行政处罚、通报、记不良记录、记过、或存在弄虚作假等不良行为记录的【投标文件中提供相应承诺函，加盖投标人公章（投标人应的承诺必须真实有效，若经查实存在虚假承诺的情形，则采购人有权取消其中标资格，并上报监督管理部门处理，且保留追究法律责任的权利）】，得5分，未提供相应承诺函或有不良记录的，不得分。</w:t>
      </w:r>
    </w:p>
    <w:p>
      <w:pPr>
        <w:spacing w:line="300" w:lineRule="auto"/>
        <w:ind w:firstLine="384"/>
        <w:rPr>
          <w:b/>
          <w:bCs/>
          <w:spacing w:val="-6"/>
          <w:szCs w:val="21"/>
        </w:rPr>
      </w:pPr>
      <w:r>
        <w:rPr>
          <w:rFonts w:hint="eastAsia"/>
          <w:spacing w:val="-6"/>
          <w:szCs w:val="21"/>
        </w:rPr>
        <w:t>总分值=（</w:t>
      </w:r>
      <w:r>
        <w:rPr>
          <w:rFonts w:hint="eastAsia"/>
          <w:b/>
          <w:bCs/>
          <w:spacing w:val="-6"/>
          <w:szCs w:val="21"/>
        </w:rPr>
        <w:t>一</w:t>
      </w:r>
      <w:r>
        <w:rPr>
          <w:rFonts w:hint="eastAsia"/>
          <w:spacing w:val="-6"/>
          <w:szCs w:val="21"/>
        </w:rPr>
        <w:t>）</w:t>
      </w:r>
      <w:r>
        <w:rPr>
          <w:rFonts w:hint="eastAsia"/>
          <w:b/>
          <w:bCs/>
          <w:spacing w:val="-6"/>
          <w:szCs w:val="21"/>
        </w:rPr>
        <w:t>+（二）+（三）</w:t>
      </w:r>
    </w:p>
    <w:p>
      <w:pPr>
        <w:spacing w:line="360" w:lineRule="auto"/>
        <w:ind w:firstLine="426" w:firstLineChars="202"/>
        <w:rPr>
          <w:b/>
          <w:szCs w:val="21"/>
        </w:rPr>
      </w:pPr>
      <w:r>
        <w:rPr>
          <w:rFonts w:hint="eastAsia"/>
          <w:b/>
          <w:szCs w:val="21"/>
        </w:rPr>
        <w:t>三、成交候选人推荐原则</w:t>
      </w:r>
    </w:p>
    <w:p>
      <w:pPr>
        <w:spacing w:line="360" w:lineRule="auto"/>
      </w:pPr>
      <w:r>
        <w:rPr>
          <w:rFonts w:hint="eastAsia"/>
          <w:szCs w:val="21"/>
        </w:rPr>
        <w:t xml:space="preserve">    根据供应商提交的材料进行综合评分，按照得分由高到低顺序得出成交候选人名单，评审得分相同的，按照最后报价（不计算价格折扣）由低到高排序，评审得分且最后报价（不计算价格折扣）相同的，按照技术指标优劣排序。成交原则为排序顺位第一的供应商。如成交供应商因不可抗力提出不能履行合同，顺位选择第二排名的供应商，以此类推</w:t>
      </w:r>
      <w:r>
        <w:rPr>
          <w:rFonts w:hint="eastAsia"/>
          <w:szCs w:val="21"/>
          <w:lang w:eastAsia="zh-CN"/>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方正小标宋_GBK">
    <w:panose1 w:val="03000509000000000000"/>
    <w:charset w:val="86"/>
    <w:family w:val="script"/>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8DF550C"/>
    <w:multiLevelType w:val="singleLevel"/>
    <w:tmpl w:val="F8DF550C"/>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U0ZjY1MTcwMzg0MWViZGQ2OTVjMWRhOGMzMzU1Y2QifQ=="/>
  </w:docVars>
  <w:rsids>
    <w:rsidRoot w:val="0018751D"/>
    <w:rsid w:val="00054406"/>
    <w:rsid w:val="0018751D"/>
    <w:rsid w:val="001F7628"/>
    <w:rsid w:val="00257D77"/>
    <w:rsid w:val="003324CA"/>
    <w:rsid w:val="003766DF"/>
    <w:rsid w:val="00394705"/>
    <w:rsid w:val="004619FC"/>
    <w:rsid w:val="004F19D4"/>
    <w:rsid w:val="00522776"/>
    <w:rsid w:val="005A3691"/>
    <w:rsid w:val="006C5FA7"/>
    <w:rsid w:val="00731D76"/>
    <w:rsid w:val="0077362A"/>
    <w:rsid w:val="00835332"/>
    <w:rsid w:val="008A6196"/>
    <w:rsid w:val="0098111E"/>
    <w:rsid w:val="00991E5F"/>
    <w:rsid w:val="009B10DB"/>
    <w:rsid w:val="00B069C8"/>
    <w:rsid w:val="00B511A1"/>
    <w:rsid w:val="00B620B7"/>
    <w:rsid w:val="00B7305E"/>
    <w:rsid w:val="00B82398"/>
    <w:rsid w:val="00C85FF2"/>
    <w:rsid w:val="00E46E9F"/>
    <w:rsid w:val="00F476A9"/>
    <w:rsid w:val="1525296D"/>
    <w:rsid w:val="237621D9"/>
    <w:rsid w:val="65F4744D"/>
    <w:rsid w:val="66B55CD7"/>
    <w:rsid w:val="6F2921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ascii="Calibri" w:hAnsi="Calibri" w:eastAsia="宋体" w:cs="Times New Roman"/>
      <w:kern w:val="2"/>
      <w:sz w:val="21"/>
      <w:szCs w:val="20"/>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qFormat/>
    <w:uiPriority w:val="99"/>
    <w:rPr>
      <w:sz w:val="18"/>
      <w:szCs w:val="18"/>
    </w:rPr>
  </w:style>
  <w:style w:type="character" w:customStyle="1" w:styleId="7">
    <w:name w:val="页脚 字符"/>
    <w:basedOn w:val="5"/>
    <w:link w:val="2"/>
    <w:qFormat/>
    <w:uiPriority w:val="99"/>
    <w:rPr>
      <w:sz w:val="18"/>
      <w:szCs w:val="18"/>
    </w:rPr>
  </w:style>
  <w:style w:type="paragraph" w:styleId="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2427</Words>
  <Characters>2477</Characters>
  <Lines>17</Lines>
  <Paragraphs>4</Paragraphs>
  <TotalTime>11</TotalTime>
  <ScaleCrop>false</ScaleCrop>
  <LinksUpToDate>false</LinksUpToDate>
  <CharactersWithSpaces>2485</CharactersWithSpaces>
  <Application>WPS Office_11.8.2.8808_F1E327BC-269C-435d-A152-05C5408002CA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2022-10-17T10:03:00Z</dcterms:created>
  <dc:creator>Administrator</dc:creator>
  <cp:lastModifiedBy>Lenovo</cp:lastModifiedBy>
  <dcterms:modified xsi:type="dcterms:W3CDTF">2023-03-20T10:14:26Z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2052-11.8.2.8808</vt:lpwstr>
  </property>
  <property fmtid="{D5CDD505-2E9C-101B-9397-08002B2CF9AE}" pid="3" name="ICV">
    <vt:lpwstr>B7CEFB1BD25F4147BAE3C817D0A1EA31</vt:lpwstr>
  </property>
</Properties>
</file>