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pageBreakBefore w:val="0"/>
        <w:widowControl w:val="0"/>
        <w:kinsoku w:val="0"/>
        <w:wordWrap/>
        <w:overflowPunct w:val="0"/>
        <w:topLinePunct w:val="0"/>
        <w:autoSpaceDE w:val="0"/>
        <w:autoSpaceDN w:val="0"/>
        <w:bidi w:val="0"/>
        <w:adjustRightInd w:val="0"/>
        <w:snapToGrid/>
        <w:spacing w:before="0" w:line="600" w:lineRule="exact"/>
        <w:textAlignment w:val="auto"/>
        <w:rPr>
          <w:rFonts w:hint="default" w:ascii="Times New Roman" w:hAnsi="Times New Roman" w:eastAsia="黑体" w:cs="Times New Roman"/>
          <w:color w:val="auto"/>
          <w:sz w:val="21"/>
        </w:rPr>
      </w:pPr>
      <w:r>
        <w:rPr>
          <w:rFonts w:hint="default" w:ascii="Times New Roman" w:hAnsi="Times New Roman" w:eastAsia="黑体" w:cs="Times New Roman"/>
          <w:color w:val="auto"/>
          <w:sz w:val="30"/>
        </w:rPr>
        <w:t>附</w:t>
      </w:r>
      <w:r>
        <w:rPr>
          <w:rFonts w:hint="default" w:ascii="Times New Roman" w:hAnsi="Times New Roman" w:eastAsia="黑体" w:cs="Times New Roman"/>
          <w:color w:val="auto"/>
          <w:sz w:val="30"/>
          <w:lang w:eastAsia="zh-CN"/>
        </w:rPr>
        <w:t>件</w:t>
      </w:r>
      <w:r>
        <w:rPr>
          <w:rFonts w:hint="default" w:ascii="Times New Roman" w:hAnsi="Times New Roman" w:eastAsia="黑体" w:cs="Times New Roman"/>
          <w:color w:val="auto"/>
          <w:sz w:val="30"/>
          <w:lang w:val="en-US" w:eastAsia="zh-CN"/>
        </w:rPr>
        <w:t>2</w:t>
      </w:r>
    </w:p>
    <w:p>
      <w:pPr>
        <w:keepNext w:val="0"/>
        <w:keepLines w:val="0"/>
        <w:pageBreakBefore w:val="0"/>
        <w:widowControl w:val="0"/>
        <w:wordWrap/>
        <w:topLinePunct w:val="0"/>
        <w:autoSpaceDE w:val="0"/>
        <w:autoSpaceDN w:val="0"/>
        <w:bidi w:val="0"/>
        <w:adjustRightInd w:val="0"/>
        <w:snapToGrid/>
        <w:spacing w:line="600" w:lineRule="exact"/>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br w:type="column"/>
      </w:r>
    </w:p>
    <w:p>
      <w:pPr>
        <w:keepNext w:val="0"/>
        <w:keepLines w:val="0"/>
        <w:pageBreakBefore w:val="0"/>
        <w:widowControl w:val="0"/>
        <w:wordWrap/>
        <w:topLinePunct w:val="0"/>
        <w:autoSpaceDE w:val="0"/>
        <w:autoSpaceDN w:val="0"/>
        <w:bidi w:val="0"/>
        <w:adjustRightInd w:val="0"/>
        <w:snapToGrid/>
        <w:spacing w:line="600" w:lineRule="exact"/>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综合评分办法</w:t>
      </w:r>
    </w:p>
    <w:p>
      <w:pPr>
        <w:keepNext w:val="0"/>
        <w:keepLines w:val="0"/>
        <w:pageBreakBefore w:val="0"/>
        <w:widowControl w:val="0"/>
        <w:wordWrap/>
        <w:topLinePunct w:val="0"/>
        <w:autoSpaceDE w:val="0"/>
        <w:autoSpaceDN w:val="0"/>
        <w:bidi w:val="0"/>
        <w:adjustRightInd w:val="0"/>
        <w:snapToGrid/>
        <w:spacing w:line="600" w:lineRule="exact"/>
        <w:ind w:firstLine="880" w:firstLineChars="200"/>
        <w:textAlignment w:val="auto"/>
        <w:rPr>
          <w:rFonts w:hint="eastAsia" w:ascii="方正小标宋_GBK" w:hAnsi="方正小标宋_GBK" w:eastAsia="方正小标宋_GBK" w:cs="方正小标宋_GBK"/>
          <w:color w:val="auto"/>
          <w:sz w:val="44"/>
          <w:szCs w:val="44"/>
        </w:rPr>
        <w:sectPr>
          <w:type w:val="continuous"/>
          <w:pgSz w:w="11910" w:h="16840"/>
          <w:pgMar w:top="1440" w:right="1800" w:bottom="1440" w:left="1800" w:header="720" w:footer="720" w:gutter="0"/>
          <w:lnNumType w:countBy="0" w:distance="360"/>
          <w:cols w:equalWidth="0" w:num="2">
            <w:col w:w="1688" w:space="1384"/>
            <w:col w:w="5238"/>
          </w:cols>
        </w:sectPr>
      </w:pP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eastAsia" w:ascii="黑体" w:hAnsi="黑体" w:eastAsia="黑体" w:cs="黑体"/>
          <w:color w:val="auto"/>
          <w:sz w:val="32"/>
          <w:szCs w:val="32"/>
          <w:lang w:eastAsia="zh-CN"/>
        </w:rPr>
      </w:pP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一、评审原则</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（一）</w:t>
      </w:r>
      <w:r>
        <w:rPr>
          <w:rFonts w:hint="default" w:ascii="Times New Roman" w:hAnsi="Times New Roman" w:eastAsia="仿宋" w:cs="Times New Roman"/>
          <w:color w:val="auto"/>
          <w:sz w:val="32"/>
          <w:szCs w:val="32"/>
        </w:rPr>
        <w:t>评审小组构成：本项目的评审小组由采购单位组建，成员包含技术、经济等方面专业人员，成员人数为</w:t>
      </w: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人以上（含</w:t>
      </w: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人）单数。其中，技术、经济等方面的专家不得少于成员总数的三分之二。</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（二）</w:t>
      </w:r>
      <w:r>
        <w:rPr>
          <w:rFonts w:hint="default" w:ascii="Times New Roman" w:hAnsi="Times New Roman" w:eastAsia="仿宋" w:cs="Times New Roman"/>
          <w:color w:val="auto"/>
          <w:sz w:val="32"/>
          <w:szCs w:val="32"/>
        </w:rPr>
        <w:t>评审依据：本评审办法和供应商提交的响应文件。</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（三）</w:t>
      </w:r>
      <w:r>
        <w:rPr>
          <w:rFonts w:hint="default" w:ascii="Times New Roman" w:hAnsi="Times New Roman" w:eastAsia="仿宋" w:cs="Times New Roman"/>
          <w:color w:val="auto"/>
          <w:sz w:val="32"/>
          <w:szCs w:val="32"/>
        </w:rPr>
        <w:t>评审方法：综合评分法。</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二、评审方法</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供应商提交</w:t>
      </w:r>
      <w:bookmarkStart w:id="0" w:name="_GoBack"/>
      <w:bookmarkEnd w:id="0"/>
      <w:r>
        <w:rPr>
          <w:rFonts w:hint="default" w:ascii="Times New Roman" w:hAnsi="Times New Roman" w:eastAsia="仿宋" w:cs="Times New Roman"/>
          <w:color w:val="auto"/>
          <w:sz w:val="32"/>
          <w:szCs w:val="32"/>
        </w:rPr>
        <w:t>的报价及资格材料经初核符合要求的进入详评，评审小组将按本评审办法和响应文件为评定依据，采用百分制综合评分法</w:t>
      </w:r>
      <w:r>
        <w:rPr>
          <w:rFonts w:hint="default" w:ascii="Times New Roman" w:hAnsi="Times New Roman" w:eastAsia="仿宋" w:cs="Times New Roman"/>
          <w:color w:val="auto"/>
          <w:sz w:val="32"/>
          <w:szCs w:val="32"/>
          <w:lang w:eastAsia="zh-CN"/>
        </w:rPr>
        <w:t>。</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评分细则（按四舍五入取至百分位）：</w:t>
      </w:r>
    </w:p>
    <w:p>
      <w:pPr>
        <w:keepNext w:val="0"/>
        <w:keepLines w:val="0"/>
        <w:pageBreakBefore w:val="0"/>
        <w:widowControl w:val="0"/>
        <w:wordWrap/>
        <w:topLinePunct w:val="0"/>
        <w:autoSpaceDE w:val="0"/>
        <w:autoSpaceDN w:val="0"/>
        <w:bidi w:val="0"/>
        <w:adjustRightInd w:val="0"/>
        <w:snapToGrid/>
        <w:spacing w:line="600" w:lineRule="exact"/>
        <w:ind w:firstLine="643" w:firstLineChars="200"/>
        <w:textAlignment w:val="auto"/>
        <w:rPr>
          <w:rFonts w:hint="eastAsia" w:ascii="楷体" w:hAnsi="楷体" w:eastAsia="楷体" w:cs="楷体"/>
          <w:color w:val="auto"/>
          <w:sz w:val="32"/>
          <w:szCs w:val="32"/>
          <w:lang w:eastAsia="zh-CN"/>
        </w:rPr>
      </w:pPr>
      <w:r>
        <w:rPr>
          <w:rFonts w:hint="eastAsia" w:ascii="楷体" w:hAnsi="楷体" w:eastAsia="楷体" w:cs="楷体"/>
          <w:b/>
          <w:bCs/>
          <w:color w:val="auto"/>
          <w:sz w:val="32"/>
          <w:szCs w:val="32"/>
          <w:lang w:eastAsia="zh-CN"/>
        </w:rPr>
        <w:t>（一）价格分</w:t>
      </w:r>
      <w:r>
        <w:rPr>
          <w:rFonts w:hint="eastAsia" w:ascii="楷体" w:hAnsi="楷体" w:eastAsia="楷体" w:cs="楷体"/>
          <w:b/>
          <w:bCs/>
          <w:color w:val="auto"/>
          <w:sz w:val="32"/>
          <w:szCs w:val="32"/>
        </w:rPr>
        <w:t>………………………………………10 分</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评审价为供应商的报价进行政策性扣除后的价格，评审价只是作为评审时使用。最终成交人的成交报价＝最终报价。</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按照《政府采购促进中小企业发展管理办法》（财库〔2020〕46号）规定，供应商为小型和微型企业，并在其响应文件中提供《中小企业声明函》，且其所竞标产品为小型和微型企业生产的，对其竞标价格给予 6%</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的扣除。</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按照《财政部</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含新疆生产建设兵团</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出具的属于监狱企业的证明文件。</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5</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政策性扣除计算方法。供应商被评定为监狱企业或残疾人福利性单位或小型和微型企业且其所竞标产品为小型和微型企业产品的，该供应商的磋商报价给予</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6%</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的扣除，扣除后的价格为评审报价，即评审报价=初始报价×（1</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6%）；除上述情况外，评审报价</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最终报价。</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6</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以进入评审的最低的评审报价为10分。</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7</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某供应商价格分</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供应商最低评审报价（金额）/某供应商评审报价（金额）×10 分</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sectPr>
          <w:type w:val="continuous"/>
          <w:pgSz w:w="11910" w:h="16840"/>
          <w:pgMar w:top="1440" w:right="1800" w:bottom="1440" w:left="1800" w:header="720" w:footer="720" w:gutter="0"/>
          <w:lnNumType w:countBy="0" w:distance="360"/>
          <w:cols w:space="720" w:num="1"/>
        </w:sectPr>
      </w:pPr>
    </w:p>
    <w:p>
      <w:pPr>
        <w:keepNext w:val="0"/>
        <w:keepLines w:val="0"/>
        <w:pageBreakBefore w:val="0"/>
        <w:widowControl w:val="0"/>
        <w:wordWrap/>
        <w:topLinePunct w:val="0"/>
        <w:autoSpaceDE w:val="0"/>
        <w:autoSpaceDN w:val="0"/>
        <w:bidi w:val="0"/>
        <w:adjustRightInd w:val="0"/>
        <w:snapToGrid/>
        <w:spacing w:line="600" w:lineRule="exact"/>
        <w:ind w:firstLine="643" w:firstLineChars="200"/>
        <w:textAlignment w:val="auto"/>
        <w:rPr>
          <w:rFonts w:hint="default" w:ascii="Times New Roman" w:hAnsi="Times New Roman" w:eastAsia="仿宋" w:cs="Times New Roman"/>
          <w:b/>
          <w:color w:val="auto"/>
          <w:sz w:val="32"/>
          <w:szCs w:val="32"/>
        </w:rPr>
      </w:pPr>
      <w:r>
        <w:rPr>
          <w:rFonts w:hint="eastAsia" w:ascii="Times New Roman" w:hAnsi="Times New Roman" w:eastAsia="仿宋" w:cs="Times New Roman"/>
          <w:b/>
          <w:color w:val="auto"/>
          <w:sz w:val="32"/>
          <w:szCs w:val="32"/>
          <w:lang w:eastAsia="zh-CN"/>
        </w:rPr>
        <w:t>（二）项目服务方案分</w:t>
      </w:r>
      <w:r>
        <w:rPr>
          <w:rFonts w:hint="default" w:ascii="Times New Roman" w:hAnsi="Times New Roman" w:eastAsia="仿宋" w:cs="Times New Roman"/>
          <w:b/>
          <w:color w:val="auto"/>
          <w:sz w:val="32"/>
          <w:szCs w:val="32"/>
        </w:rPr>
        <w:t>……………………………</w:t>
      </w:r>
      <w:r>
        <w:rPr>
          <w:rFonts w:hint="default" w:ascii="Times New Roman" w:hAnsi="Times New Roman" w:eastAsia="仿宋" w:cs="Times New Roman"/>
          <w:b/>
          <w:color w:val="auto"/>
          <w:sz w:val="32"/>
          <w:szCs w:val="32"/>
          <w:lang w:val="en-US" w:eastAsia="zh-CN"/>
        </w:rPr>
        <w:t>15</w:t>
      </w:r>
      <w:r>
        <w:rPr>
          <w:rFonts w:hint="default" w:ascii="Times New Roman" w:hAnsi="Times New Roman" w:eastAsia="仿宋" w:cs="Times New Roman"/>
          <w:b/>
          <w:color w:val="auto"/>
          <w:sz w:val="32"/>
          <w:szCs w:val="32"/>
        </w:rPr>
        <w:t>分</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根据2022年广西生态环境宣传教育实践基地环保宣传栏入村（点）制作安装、时间进度要求，初拟安装服务</w:t>
      </w:r>
      <w:r>
        <w:rPr>
          <w:rFonts w:hint="default" w:ascii="Times New Roman" w:hAnsi="Times New Roman" w:eastAsia="仿宋" w:cs="Times New Roman"/>
          <w:color w:val="auto"/>
          <w:sz w:val="32"/>
          <w:szCs w:val="32"/>
        </w:rPr>
        <w:t>方案。</w:t>
      </w:r>
    </w:p>
    <w:p>
      <w:pPr>
        <w:keepNext w:val="0"/>
        <w:keepLines w:val="0"/>
        <w:pageBreakBefore w:val="0"/>
        <w:widowControl w:val="0"/>
        <w:wordWrap/>
        <w:topLinePunct w:val="0"/>
        <w:autoSpaceDE w:val="0"/>
        <w:autoSpaceDN w:val="0"/>
        <w:bidi w:val="0"/>
        <w:adjustRightInd w:val="0"/>
        <w:snapToGrid/>
        <w:spacing w:line="600" w:lineRule="exact"/>
        <w:ind w:firstLine="643" w:firstLineChars="200"/>
        <w:textAlignment w:val="auto"/>
        <w:rPr>
          <w:rFonts w:hint="eastAsia" w:ascii="Times New Roman" w:hAnsi="Times New Roman" w:eastAsia="仿宋" w:cs="Times New Roman"/>
          <w:b/>
          <w:color w:val="auto"/>
          <w:sz w:val="32"/>
          <w:szCs w:val="32"/>
          <w:lang w:eastAsia="zh-CN"/>
        </w:rPr>
      </w:pPr>
      <w:r>
        <w:rPr>
          <w:rFonts w:hint="eastAsia" w:ascii="Times New Roman" w:hAnsi="Times New Roman" w:eastAsia="仿宋" w:cs="Times New Roman"/>
          <w:b/>
          <w:color w:val="auto"/>
          <w:sz w:val="32"/>
          <w:szCs w:val="32"/>
          <w:lang w:eastAsia="zh-CN"/>
        </w:rPr>
        <w:t>（三）案例分</w:t>
      </w:r>
      <w:r>
        <w:rPr>
          <w:rFonts w:hint="default" w:ascii="Times New Roman" w:hAnsi="Times New Roman" w:eastAsia="仿宋" w:cs="Times New Roman"/>
          <w:b/>
          <w:color w:val="auto"/>
          <w:sz w:val="32"/>
          <w:szCs w:val="32"/>
        </w:rPr>
        <w:t>………………………………………</w:t>
      </w:r>
      <w:r>
        <w:rPr>
          <w:rFonts w:hint="default" w:ascii="Times New Roman" w:hAnsi="Times New Roman" w:eastAsia="仿宋" w:cs="Times New Roman"/>
          <w:b/>
          <w:color w:val="auto"/>
          <w:sz w:val="32"/>
          <w:szCs w:val="32"/>
          <w:lang w:val="en-US" w:eastAsia="zh-CN"/>
        </w:rPr>
        <w:t>45</w:t>
      </w:r>
      <w:r>
        <w:rPr>
          <w:rFonts w:hint="default" w:ascii="Times New Roman" w:hAnsi="Times New Roman" w:eastAsia="仿宋" w:cs="Times New Roman"/>
          <w:b/>
          <w:color w:val="auto"/>
          <w:sz w:val="32"/>
          <w:szCs w:val="32"/>
        </w:rPr>
        <w:t xml:space="preserve"> 分</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近</w:t>
      </w: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lang w:eastAsia="zh-CN"/>
        </w:rPr>
        <w:t>年内在广西区内</w:t>
      </w:r>
      <w:r>
        <w:rPr>
          <w:rFonts w:hint="default" w:ascii="Times New Roman" w:hAnsi="Times New Roman" w:eastAsia="仿宋" w:cs="Times New Roman"/>
          <w:color w:val="auto"/>
          <w:sz w:val="32"/>
          <w:szCs w:val="32"/>
        </w:rPr>
        <w:t>合作过</w:t>
      </w:r>
      <w:r>
        <w:rPr>
          <w:rFonts w:hint="default" w:ascii="Times New Roman" w:hAnsi="Times New Roman" w:eastAsia="仿宋" w:cs="Times New Roman"/>
          <w:color w:val="auto"/>
          <w:sz w:val="32"/>
          <w:szCs w:val="32"/>
          <w:lang w:eastAsia="zh-CN"/>
        </w:rPr>
        <w:t>相关专业宣传栏制作安装服务的经历</w:t>
      </w:r>
      <w:r>
        <w:rPr>
          <w:rFonts w:hint="default" w:ascii="Times New Roman" w:hAnsi="Times New Roman" w:eastAsia="仿宋" w:cs="Times New Roman"/>
          <w:color w:val="auto"/>
          <w:sz w:val="32"/>
          <w:szCs w:val="32"/>
        </w:rPr>
        <w:t>，要求提供合同复印件，每个案例</w:t>
      </w:r>
      <w:r>
        <w:rPr>
          <w:rFonts w:hint="default" w:ascii="Times New Roman" w:hAnsi="Times New Roman" w:eastAsia="仿宋" w:cs="Times New Roman"/>
          <w:color w:val="auto"/>
          <w:sz w:val="32"/>
          <w:szCs w:val="32"/>
          <w:lang w:val="en-US" w:eastAsia="zh-CN"/>
        </w:rPr>
        <w:t>15分</w:t>
      </w:r>
      <w:r>
        <w:rPr>
          <w:rFonts w:hint="default" w:ascii="Times New Roman" w:hAnsi="Times New Roman" w:eastAsia="仿宋" w:cs="Times New Roman"/>
          <w:color w:val="auto"/>
          <w:sz w:val="32"/>
          <w:szCs w:val="32"/>
        </w:rPr>
        <w:t>，满分</w:t>
      </w:r>
      <w:r>
        <w:rPr>
          <w:rFonts w:hint="default" w:ascii="Times New Roman" w:hAnsi="Times New Roman" w:eastAsia="仿宋" w:cs="Times New Roman"/>
          <w:color w:val="auto"/>
          <w:sz w:val="32"/>
          <w:szCs w:val="32"/>
          <w:lang w:val="en-US" w:eastAsia="zh-CN"/>
        </w:rPr>
        <w:t>45</w:t>
      </w:r>
      <w:r>
        <w:rPr>
          <w:rFonts w:hint="default" w:ascii="Times New Roman" w:hAnsi="Times New Roman" w:eastAsia="仿宋" w:cs="Times New Roman"/>
          <w:color w:val="auto"/>
          <w:sz w:val="32"/>
          <w:szCs w:val="32"/>
        </w:rPr>
        <w:t>分。</w:t>
      </w:r>
    </w:p>
    <w:p>
      <w:pPr>
        <w:keepNext w:val="0"/>
        <w:keepLines w:val="0"/>
        <w:pageBreakBefore w:val="0"/>
        <w:widowControl w:val="0"/>
        <w:wordWrap/>
        <w:topLinePunct w:val="0"/>
        <w:autoSpaceDE w:val="0"/>
        <w:autoSpaceDN w:val="0"/>
        <w:bidi w:val="0"/>
        <w:adjustRightInd w:val="0"/>
        <w:snapToGrid/>
        <w:spacing w:line="600" w:lineRule="exact"/>
        <w:ind w:firstLine="643" w:firstLineChars="200"/>
        <w:textAlignment w:val="auto"/>
        <w:rPr>
          <w:rFonts w:hint="eastAsia" w:ascii="Times New Roman" w:hAnsi="Times New Roman" w:eastAsia="仿宋" w:cs="Times New Roman"/>
          <w:b/>
          <w:color w:val="auto"/>
          <w:sz w:val="32"/>
          <w:szCs w:val="32"/>
          <w:lang w:eastAsia="zh-CN"/>
        </w:rPr>
      </w:pPr>
      <w:r>
        <w:rPr>
          <w:rFonts w:hint="eastAsia" w:ascii="Times New Roman" w:hAnsi="Times New Roman" w:eastAsia="仿宋" w:cs="Times New Roman"/>
          <w:b/>
          <w:color w:val="auto"/>
          <w:sz w:val="32"/>
          <w:szCs w:val="32"/>
          <w:lang w:eastAsia="zh-CN"/>
        </w:rPr>
        <w:t>（四）增值服务分</w:t>
      </w:r>
      <w:r>
        <w:rPr>
          <w:rFonts w:hint="default" w:ascii="Times New Roman" w:hAnsi="Times New Roman" w:eastAsia="仿宋" w:cs="Times New Roman"/>
          <w:b/>
          <w:color w:val="auto"/>
          <w:sz w:val="32"/>
          <w:szCs w:val="32"/>
        </w:rPr>
        <w:t>…………………………………</w:t>
      </w:r>
      <w:r>
        <w:rPr>
          <w:rFonts w:hint="default" w:ascii="Times New Roman" w:hAnsi="Times New Roman" w:eastAsia="仿宋" w:cs="Times New Roman"/>
          <w:b/>
          <w:color w:val="auto"/>
          <w:sz w:val="32"/>
          <w:szCs w:val="32"/>
          <w:lang w:val="en-US" w:eastAsia="zh-CN"/>
        </w:rPr>
        <w:t>2</w:t>
      </w:r>
      <w:r>
        <w:rPr>
          <w:rFonts w:hint="default" w:ascii="Times New Roman" w:hAnsi="Times New Roman" w:eastAsia="仿宋" w:cs="Times New Roman"/>
          <w:b/>
          <w:color w:val="auto"/>
          <w:sz w:val="32"/>
          <w:szCs w:val="32"/>
        </w:rPr>
        <w:t>0 分</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eastAsia="zh-CN"/>
        </w:rPr>
        <w:t>提供增值服务，根据增值服务的价值打分，每项增值服务加</w:t>
      </w:r>
      <w:r>
        <w:rPr>
          <w:rFonts w:hint="default" w:ascii="Times New Roman" w:hAnsi="Times New Roman" w:eastAsia="仿宋" w:cs="Times New Roman"/>
          <w:color w:val="auto"/>
          <w:sz w:val="32"/>
          <w:szCs w:val="32"/>
          <w:lang w:val="en-US" w:eastAsia="zh-CN"/>
        </w:rPr>
        <w:t>5分，满分20分。</w:t>
      </w:r>
    </w:p>
    <w:p>
      <w:pPr>
        <w:keepNext w:val="0"/>
        <w:keepLines w:val="0"/>
        <w:pageBreakBefore w:val="0"/>
        <w:widowControl w:val="0"/>
        <w:wordWrap/>
        <w:topLinePunct w:val="0"/>
        <w:autoSpaceDE w:val="0"/>
        <w:autoSpaceDN w:val="0"/>
        <w:bidi w:val="0"/>
        <w:adjustRightInd w:val="0"/>
        <w:snapToGrid/>
        <w:spacing w:line="600" w:lineRule="exact"/>
        <w:ind w:firstLine="643" w:firstLineChars="200"/>
        <w:textAlignment w:val="auto"/>
        <w:rPr>
          <w:rFonts w:hint="eastAsia" w:ascii="Times New Roman" w:hAnsi="Times New Roman" w:eastAsia="仿宋" w:cs="Times New Roman"/>
          <w:b/>
          <w:color w:val="auto"/>
          <w:sz w:val="32"/>
          <w:szCs w:val="32"/>
          <w:lang w:eastAsia="zh-CN"/>
        </w:rPr>
      </w:pPr>
      <w:r>
        <w:rPr>
          <w:rFonts w:hint="eastAsia" w:ascii="Times New Roman" w:hAnsi="Times New Roman" w:eastAsia="仿宋" w:cs="Times New Roman"/>
          <w:b/>
          <w:color w:val="auto"/>
          <w:sz w:val="32"/>
          <w:szCs w:val="32"/>
          <w:lang w:eastAsia="zh-CN"/>
        </w:rPr>
        <w:t>（五）售后服务分</w:t>
      </w:r>
      <w:r>
        <w:rPr>
          <w:rFonts w:hint="default" w:ascii="Times New Roman" w:hAnsi="Times New Roman" w:eastAsia="仿宋" w:cs="Times New Roman"/>
          <w:b/>
          <w:color w:val="auto"/>
          <w:sz w:val="32"/>
          <w:szCs w:val="32"/>
        </w:rPr>
        <w:t>…………………………………</w:t>
      </w:r>
      <w:r>
        <w:rPr>
          <w:rFonts w:hint="default" w:ascii="Times New Roman" w:hAnsi="Times New Roman" w:eastAsia="仿宋" w:cs="Times New Roman"/>
          <w:b/>
          <w:color w:val="auto"/>
          <w:sz w:val="32"/>
          <w:szCs w:val="32"/>
          <w:lang w:val="en-US" w:eastAsia="zh-CN"/>
        </w:rPr>
        <w:t>1</w:t>
      </w:r>
      <w:r>
        <w:rPr>
          <w:rFonts w:hint="default" w:ascii="Times New Roman" w:hAnsi="Times New Roman" w:eastAsia="仿宋" w:cs="Times New Roman"/>
          <w:b/>
          <w:color w:val="auto"/>
          <w:sz w:val="32"/>
          <w:szCs w:val="32"/>
        </w:rPr>
        <w:t xml:space="preserve">0 分 </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一档（</w:t>
      </w: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分）：有承诺进行售后服务，无具体售后措施。</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二档（</w:t>
      </w:r>
      <w:r>
        <w:rPr>
          <w:rFonts w:hint="default" w:ascii="Times New Roman" w:hAnsi="Times New Roman" w:eastAsia="仿宋" w:cs="Times New Roman"/>
          <w:color w:val="auto"/>
          <w:sz w:val="32"/>
          <w:szCs w:val="32"/>
          <w:lang w:val="en-US" w:eastAsia="zh-CN"/>
        </w:rPr>
        <w:t>6</w:t>
      </w:r>
      <w:r>
        <w:rPr>
          <w:rFonts w:hint="default" w:ascii="Times New Roman" w:hAnsi="Times New Roman" w:eastAsia="仿宋" w:cs="Times New Roman"/>
          <w:color w:val="auto"/>
          <w:sz w:val="32"/>
          <w:szCs w:val="32"/>
        </w:rPr>
        <w:t>分）：有承诺进行售后服务，有售后措施，但比较简单。</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三档（</w:t>
      </w:r>
      <w:r>
        <w:rPr>
          <w:rFonts w:hint="default" w:ascii="Times New Roman" w:hAnsi="Times New Roman" w:eastAsia="仿宋" w:cs="Times New Roman"/>
          <w:color w:val="auto"/>
          <w:sz w:val="32"/>
          <w:szCs w:val="32"/>
          <w:lang w:val="en-US" w:eastAsia="zh-CN"/>
        </w:rPr>
        <w:t>10</w:t>
      </w:r>
      <w:r>
        <w:rPr>
          <w:rFonts w:hint="default" w:ascii="Times New Roman" w:hAnsi="Times New Roman" w:eastAsia="仿宋" w:cs="Times New Roman"/>
          <w:color w:val="auto"/>
          <w:sz w:val="32"/>
          <w:szCs w:val="32"/>
        </w:rPr>
        <w:t>分）：有承诺进行售后服务，售后措施完善可操作性较强。</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总分值=（一）+（二）+（三）+（四）+（五）。</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三、成交候选人推荐原则</w:t>
      </w:r>
    </w:p>
    <w:p>
      <w:pPr>
        <w:keepNext w:val="0"/>
        <w:keepLines w:val="0"/>
        <w:pageBreakBefore w:val="0"/>
        <w:widowControl w:val="0"/>
        <w:wordWrap/>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根据供应商提交的材料进行综合评分，按照得分由高到低顺序得出成交候选人名单，评审得分相同的，按照最后报价（不计算价格折扣）由低到高排序，评审得分且最后报价（不计算价格折扣）相同的，按照技术指标优劣排序。成交原则为排序顺位第</w:t>
      </w: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的供应商。如成交供应商因不可抗力提出不能履行合同，顺位选择第</w:t>
      </w: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排名的供应商，以此类推。</w:t>
      </w:r>
    </w:p>
    <w:sectPr>
      <w:pgSz w:w="11910" w:h="16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B26378F"/>
    <w:rsid w:val="2CE0315D"/>
    <w:rsid w:val="587F0520"/>
    <w:rsid w:val="60393D16"/>
    <w:rsid w:val="68BD2255"/>
    <w:rsid w:val="721E2E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1"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default" w:ascii="Times New Roman" w:hAnsi="Times New Roman" w:eastAsia="宋体" w:cs="Times New Roman"/>
      <w:sz w:val="24"/>
    </w:rPr>
  </w:style>
  <w:style w:type="paragraph" w:styleId="2">
    <w:name w:val="heading 1"/>
    <w:basedOn w:val="1"/>
    <w:next w:val="1"/>
    <w:unhideWhenUsed/>
    <w:qFormat/>
    <w:uiPriority w:val="1"/>
    <w:pPr>
      <w:ind w:left="120"/>
      <w:outlineLvl w:val="0"/>
    </w:pPr>
    <w:rPr>
      <w:rFonts w:hint="eastAsia" w:ascii="宋体" w:hAnsi="宋体" w:eastAsia="宋体"/>
      <w:sz w:val="32"/>
    </w:rPr>
  </w:style>
  <w:style w:type="paragraph" w:styleId="3">
    <w:name w:val="heading 2"/>
    <w:basedOn w:val="1"/>
    <w:next w:val="1"/>
    <w:unhideWhenUsed/>
    <w:qFormat/>
    <w:uiPriority w:val="1"/>
    <w:pPr>
      <w:spacing w:before="25"/>
      <w:ind w:left="540"/>
      <w:outlineLvl w:val="1"/>
    </w:pPr>
    <w:rPr>
      <w:rFonts w:hint="eastAsia" w:ascii="宋体" w:hAnsi="宋体" w:eastAsia="宋体"/>
      <w:b/>
      <w:sz w:val="21"/>
    </w:rPr>
  </w:style>
  <w:style w:type="character" w:default="1" w:styleId="7">
    <w:name w:val="Default Paragraph Font"/>
    <w:unhideWhenUsed/>
    <w:uiPriority w:val="99"/>
    <w:rPr>
      <w:rFonts w:hint="default"/>
      <w:sz w:val="24"/>
    </w:rPr>
  </w:style>
  <w:style w:type="table" w:default="1" w:styleId="6">
    <w:name w:val="Normal Table"/>
    <w:qFormat/>
    <w:uiPriority w:val="99"/>
    <w:tblPr>
      <w:tblCellMar>
        <w:top w:w="0" w:type="dxa"/>
        <w:left w:w="108" w:type="dxa"/>
        <w:bottom w:w="0" w:type="dxa"/>
        <w:right w:w="108" w:type="dxa"/>
      </w:tblCellMar>
    </w:tblPr>
  </w:style>
  <w:style w:type="paragraph" w:styleId="4">
    <w:name w:val="annotation text"/>
    <w:basedOn w:val="1"/>
    <w:unhideWhenUsed/>
    <w:qFormat/>
    <w:uiPriority w:val="99"/>
    <w:rPr>
      <w:rFonts w:hint="default"/>
      <w:sz w:val="24"/>
    </w:rPr>
  </w:style>
  <w:style w:type="paragraph" w:styleId="5">
    <w:name w:val="Body Text"/>
    <w:basedOn w:val="1"/>
    <w:unhideWhenUsed/>
    <w:qFormat/>
    <w:uiPriority w:val="1"/>
    <w:pPr>
      <w:spacing w:before="55"/>
      <w:ind w:left="120"/>
    </w:pPr>
    <w:rPr>
      <w:rFonts w:hint="eastAsia" w:ascii="宋体" w:hAnsi="宋体" w:eastAsia="宋体"/>
      <w:sz w:val="21"/>
    </w:rPr>
  </w:style>
  <w:style w:type="paragraph" w:customStyle="1" w:styleId="8">
    <w:name w:val="Table Paragraph"/>
    <w:basedOn w:val="1"/>
    <w:unhideWhenUsed/>
    <w:qFormat/>
    <w:uiPriority w:val="1"/>
    <w:rPr>
      <w:rFonts w:hint="default"/>
      <w:sz w:val="24"/>
    </w:rPr>
  </w:style>
  <w:style w:type="paragraph" w:styleId="9">
    <w:name w:val="List Paragraph"/>
    <w:basedOn w:val="1"/>
    <w:unhideWhenUsed/>
    <w:qFormat/>
    <w:uiPriority w:val="1"/>
    <w:rPr>
      <w:rFonts w:hint="default"/>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2022-05-16T09:16:00Z</dcterms:created>
  <dc:creator>Administrator</dc:creator>
  <cp:lastModifiedBy>陀翀</cp:lastModifiedBy>
  <dcterms:modified xsi:type="dcterms:W3CDTF">2023-04-10T01:20:55Z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