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  <w:t>采购需求</w:t>
      </w:r>
    </w:p>
    <w:tbl>
      <w:tblPr>
        <w:tblStyle w:val="4"/>
        <w:tblW w:w="8955" w:type="dxa"/>
        <w:jc w:val="center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652"/>
        <w:gridCol w:w="7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5" w:type="dxa"/>
            <w:gridSpan w:val="3"/>
            <w:vAlign w:val="center"/>
          </w:tcPr>
          <w:p>
            <w:pPr>
              <w:spacing w:line="360" w:lineRule="auto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</w:rPr>
              <w:t>一、项目要求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652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数量</w:t>
            </w:r>
          </w:p>
        </w:tc>
        <w:tc>
          <w:tcPr>
            <w:tcW w:w="712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/>
              </w:rPr>
              <w:t>需求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78" w:type="dxa"/>
            <w:vAlign w:val="center"/>
          </w:tcPr>
          <w:p>
            <w:pPr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北部湾海洋生态环境综合监测基地建设前期咨询报告编制服务</w:t>
            </w:r>
          </w:p>
        </w:tc>
        <w:tc>
          <w:tcPr>
            <w:tcW w:w="652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1项</w:t>
            </w:r>
          </w:p>
        </w:tc>
        <w:tc>
          <w:tcPr>
            <w:tcW w:w="712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ind w:firstLine="422" w:firstLineChars="200"/>
              <w:outlineLvl w:val="9"/>
              <w:rPr>
                <w:rFonts w:hint="eastAsia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一、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</w:rPr>
              <w:t>项目概况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ind w:firstLine="422" w:firstLineChars="200"/>
              <w:outlineLvl w:val="9"/>
              <w:rPr>
                <w:rFonts w:hint="eastAsia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eastAsia="zh-CN"/>
              </w:rPr>
              <w:t>（一）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</w:rPr>
              <w:t>项目名称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ind w:firstLine="420" w:firstLineChars="200"/>
              <w:outlineLvl w:val="9"/>
              <w:rPr>
                <w:rFonts w:hint="eastAsia" w:eastAsia="宋体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北部湾海洋生态环境综合监测基地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建设前期咨询报告编制服务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22" w:firstLineChars="200"/>
              <w:textAlignment w:val="auto"/>
              <w:outlineLvl w:val="9"/>
              <w:rPr>
                <w:rFonts w:hint="eastAsia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（二）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</w:rPr>
              <w:t>项目建设规模与内容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20" w:firstLineChars="200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北部湾海洋生态环境综合监测基地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建设内容包含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2个子基地（涠洲岛和茅尾海）、1个监测科研中心和1个能力建设项目。本次采购内容为1个子基地（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北部湾海洋生态环境综合监测基地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涠洲岛）项目）、1个监测科研中心（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中国（广西）—东盟海洋生态环境监测与科学研究中心项目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）和1个能力建设项目（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广西海洋生态监管监测与评估系统建设项目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）的前期咨询报告编制服务。各项目的概况如下：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22" w:firstLineChars="200"/>
              <w:textAlignment w:val="auto"/>
              <w:outlineLvl w:val="9"/>
              <w:rPr>
                <w:rFonts w:hint="default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</w:rPr>
              <w:t>北部湾海洋生态环境综合监测基地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涠洲岛）项目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20" w:firstLineChars="200"/>
              <w:textAlignment w:val="auto"/>
              <w:outlineLvl w:val="9"/>
              <w:rPr>
                <w:rFonts w:hint="default" w:eastAsia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北部湾海洋生态环境综合监测基地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涠洲岛）项目拟结合涠洲岛的特色开展海洋环境、大气、核辐射、布氏鲸及珊瑚礁等的智慧化、自动化连续监测和科学研究，并进行科普教育。拟建设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典型海洋生态系统监测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布氏鲸监测、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海洋辐射、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鸟类观测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大气污染物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监测等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实验室及自动监控中心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建设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布氏鲸、中华白海豚等海洋生物科普展区，鸟类、大气污染等跨境生态保护科普展区，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以及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中国—东盟海洋生态环境国际交流中心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20" w:firstLineChars="200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项目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建设地点位于北海市涠洲岛（备选场址2个），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总占地面积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约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10亩，总建筑面积3168平方米，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拟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建设1栋建筑面积2100平方米科研楼，1栋建筑面积1050平方米科普楼，和3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个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总占地面积1800平方米试验场地以及配套的地面停车场，绿化工程，给排水工程，电气工程等。项目估算总投资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约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234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22" w:firstLineChars="200"/>
              <w:textAlignment w:val="auto"/>
              <w:outlineLvl w:val="9"/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eastAsia="zh-CN"/>
              </w:rPr>
              <w:t>广西海洋生态监管监测与评估系统建设项目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20" w:firstLineChars="200"/>
              <w:textAlignment w:val="auto"/>
              <w:outlineLvl w:val="9"/>
              <w:rPr>
                <w:rFonts w:hint="default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广西海洋生态监管监测与评估系统建设项目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拟通过海洋生态监管监测能力提升、数据传输网改造、生态质量预报预警能力提升、生态保护修复管控评估能力提升四方面能力建设，加快建立广西现代化海洋生态监测监管体系，切实提升广西海洋生态监测感知网络、技术装备、业务支撑、基础保障的现代化水平。总投资估算约1.9亿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20" w:firstLineChars="200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开展北部湾海洋生态天空地海一体化监测网络能力建设。主要包括建设海洋生态卫星遥感监测系统、海洋生态环境无人机组网、岸基监测及地面监测系统、海洋生态自动监测系统，构建天空地海一体化现代海洋生态安全监测感知网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20" w:firstLineChars="200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开展海洋生态保护监管监测数据传输网能力提升。海洋生态保护监管监测数据传输网由数据传输网、超算智算系统、服务器存储和控制中心组成。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20" w:firstLineChars="200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（3）开展北部湾海洋生态质量及其影响环境因素分析能力提升建设。主要包括对跨境海湾生态综合监测基地北部湾生态质量综合监测站、北部湾海洋监测基地，以及对北部湾海洋生态环境综合监测基地（涠洲岛）、中越边境北仑河口综合监测基地、平陆运河茅尾海立体智能综合监测基地等重点海洋生态跨境、重点区域开展野外台站开展能力建设，提升海洋生态综合监测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20" w:firstLineChars="200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（4）开展海洋生态修复数智化评估与监管能力提升，主要建设海洋生态数智化评估与监管平台、广西近岸海域自动监控系统、陆海统筹水生态环境预测预报系统和滨海湿地遥感监测监管系统。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22" w:firstLineChars="200"/>
              <w:textAlignment w:val="auto"/>
              <w:outlineLvl w:val="9"/>
              <w:rPr>
                <w:rFonts w:hint="eastAsia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eastAsia="zh-CN"/>
              </w:rPr>
              <w:t>中国（广西）—东盟海洋生态环境监测与科学研究中心项目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outlineLvl w:val="9"/>
              <w:rPr>
                <w:rFonts w:hint="default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中国（广西）—东盟海洋生态环境监测与科学研究中心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拟</w:t>
            </w:r>
            <w:r>
              <w:rPr>
                <w:rFonts w:hint="default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建设科研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科普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监测楼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栋、试验场地及配套的绿化工程，给排水工程，电气工程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停车场等。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项目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建设地点位于北海市，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总占地面积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约</w:t>
            </w:r>
            <w:r>
              <w:rPr>
                <w:rFonts w:hint="default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100亩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，总投资估算约4.6亿。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ind w:firstLine="422"/>
              <w:outlineLvl w:val="9"/>
              <w:rPr>
                <w:rFonts w:hint="eastAsia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服务</w:t>
            </w: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ind w:firstLine="420" w:firstLineChars="200"/>
              <w:outlineLvl w:val="9"/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/>
                <w:bCs/>
                <w:color w:val="auto"/>
                <w:szCs w:val="21"/>
                <w:highlight w:val="none"/>
              </w:rPr>
              <w:t>根据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采购</w:t>
            </w:r>
            <w:r>
              <w:rPr>
                <w:rFonts w:hint="eastAsia"/>
                <w:bCs/>
                <w:color w:val="auto"/>
                <w:szCs w:val="21"/>
                <w:highlight w:val="none"/>
              </w:rPr>
              <w:t>单位需求完成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eastAsia="zh-CN"/>
              </w:rPr>
              <w:t>《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北部湾海洋生态环境综合监测基地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（涠洲岛）项目可行性研究报告》、《广西海洋生态监管监测与评估系统建设项目可行性研究报告》和《中国（广西）—东盟海洋生态环境监测与科学研究中心项目建议书》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编写，</w:t>
            </w: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其中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eastAsia="zh-CN"/>
              </w:rPr>
              <w:t>《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北部湾海洋生态环境综合监测基地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（涠洲岛）项目可行性研究报告》需提供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两个备选站址的建设方案。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ind w:firstLine="420" w:firstLineChars="200"/>
              <w:outlineLvl w:val="9"/>
              <w:rPr>
                <w:rFonts w:hint="default" w:eastAsia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bCs/>
                <w:color w:val="auto"/>
                <w:szCs w:val="21"/>
                <w:highlight w:val="none"/>
              </w:rPr>
              <w:t>中标单位需结合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以上各个</w:t>
            </w:r>
            <w:r>
              <w:rPr>
                <w:rFonts w:hint="eastAsia"/>
                <w:bCs/>
                <w:color w:val="auto"/>
                <w:szCs w:val="21"/>
                <w:highlight w:val="none"/>
              </w:rPr>
              <w:t>项目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的</w:t>
            </w:r>
            <w:r>
              <w:rPr>
                <w:rFonts w:hint="eastAsia"/>
                <w:bCs/>
                <w:color w:val="auto"/>
                <w:szCs w:val="21"/>
                <w:highlight w:val="none"/>
              </w:rPr>
              <w:t>概况，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依据</w:t>
            </w:r>
            <w:r>
              <w:rPr>
                <w:rFonts w:hint="eastAsia"/>
                <w:bCs/>
                <w:color w:val="auto"/>
                <w:szCs w:val="21"/>
                <w:highlight w:val="none"/>
              </w:rPr>
              <w:t>现行国家相关标准、行业标准、地方标准或者其他标准要求编制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各</w:t>
            </w:r>
            <w:r>
              <w:rPr>
                <w:rFonts w:hint="eastAsia"/>
                <w:bCs/>
                <w:color w:val="auto"/>
                <w:szCs w:val="21"/>
                <w:highlight w:val="none"/>
              </w:rPr>
              <w:t>项目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的建议书、可行性研究报告，并在具备报送条</w:t>
            </w: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件时，协助采购方向自治区发改委报送项目建议书、可行性研究报告和开展第三方评审</w:t>
            </w: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outlineLvl w:val="9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提交的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服务</w:t>
            </w: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成果材料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outlineLvl w:val="9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（1）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提交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</w:rPr>
              <w:t>北部湾海洋生态环境综合监测基地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（涠洲岛）项目可行性研究报告</w:t>
            </w: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outlineLvl w:val="9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（2）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提交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广西海洋生态监管监测与评估系统建设项目可行性研究报告</w:t>
            </w: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outlineLvl w:val="9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（3）提交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中国（广西）—东盟海洋生态环境监测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与科学研究中心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项目建议书。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ind w:left="0" w:leftChars="0" w:firstLine="422" w:firstLineChars="0"/>
              <w:outlineLvl w:val="9"/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工作要求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ind w:firstLine="422"/>
              <w:outlineLvl w:val="9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编制标准：现行国家相关标准、行业标准、地方标准或者其他标准、规范。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ind w:firstLine="422"/>
              <w:outlineLvl w:val="9"/>
              <w:rPr>
                <w:rFonts w:hint="eastAsia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</w:rPr>
              <w:t>提交项目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服务成果材料</w:t>
            </w:r>
            <w:r>
              <w:rPr>
                <w:rFonts w:hint="eastAsia"/>
                <w:bCs/>
                <w:color w:val="auto"/>
                <w:szCs w:val="21"/>
                <w:highlight w:val="none"/>
              </w:rPr>
              <w:t>时间：自签订合同后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bCs/>
                <w:color w:val="auto"/>
                <w:szCs w:val="21"/>
                <w:highlight w:val="none"/>
              </w:rPr>
              <w:t>0</w:t>
            </w:r>
            <w:r>
              <w:rPr>
                <w:rFonts w:hint="eastAsia"/>
                <w:bCs/>
                <w:color w:val="auto"/>
                <w:szCs w:val="21"/>
                <w:highlight w:val="none"/>
              </w:rPr>
              <w:t>日内（日历日）。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ind w:left="0" w:leftChars="0" w:firstLine="422" w:firstLineChars="0"/>
              <w:outlineLvl w:val="9"/>
              <w:rPr>
                <w:rFonts w:hint="eastAsia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  <w:lang w:eastAsia="zh-CN"/>
              </w:rPr>
              <w:t>其他要求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ind w:firstLine="420" w:firstLineChars="200"/>
              <w:outlineLvl w:val="9"/>
              <w:rPr>
                <w:rFonts w:hint="eastAsia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本采购</w:t>
            </w:r>
            <w:r>
              <w:rPr>
                <w:rFonts w:hint="eastAsia"/>
                <w:bCs/>
                <w:color w:val="auto"/>
                <w:szCs w:val="21"/>
                <w:highlight w:val="none"/>
              </w:rPr>
              <w:t>项目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的建议书和可行性研究报告</w:t>
            </w:r>
            <w:r>
              <w:rPr>
                <w:rFonts w:hint="eastAsia"/>
                <w:bCs/>
                <w:color w:val="auto"/>
                <w:szCs w:val="21"/>
                <w:highlight w:val="none"/>
              </w:rPr>
              <w:t>获得自治区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发展改革</w:t>
            </w:r>
            <w:r>
              <w:rPr>
                <w:rFonts w:hint="eastAsia"/>
                <w:bCs/>
                <w:color w:val="auto"/>
                <w:szCs w:val="21"/>
                <w:highlight w:val="none"/>
              </w:rPr>
              <w:t>委批复同意前，如自治区发改委或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采购单位</w:t>
            </w:r>
            <w:r>
              <w:rPr>
                <w:rFonts w:hint="eastAsia"/>
                <w:bCs/>
                <w:color w:val="auto"/>
                <w:szCs w:val="21"/>
                <w:highlight w:val="none"/>
              </w:rPr>
              <w:t>需要对相关内容进行修改，中标单位须</w:t>
            </w:r>
            <w:r>
              <w:rPr>
                <w:rFonts w:hint="eastAsia"/>
                <w:bCs/>
                <w:color w:val="auto"/>
                <w:szCs w:val="21"/>
                <w:highlight w:val="none"/>
                <w:lang w:val="en-US" w:eastAsia="zh-CN"/>
              </w:rPr>
              <w:t>协助</w:t>
            </w:r>
            <w:r>
              <w:rPr>
                <w:rFonts w:hint="eastAsia"/>
                <w:bCs/>
                <w:color w:val="auto"/>
                <w:szCs w:val="21"/>
                <w:highlight w:val="none"/>
              </w:rPr>
              <w:t>予以修改并不额外收取任何费用。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5" w:type="dxa"/>
            <w:gridSpan w:val="3"/>
            <w:vAlign w:val="center"/>
          </w:tcPr>
          <w:p>
            <w:pPr>
              <w:spacing w:line="360" w:lineRule="auto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</w:rPr>
              <w:t>二、商务要求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2" w:firstLineChars="200"/>
              <w:outlineLvl w:val="9"/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1、报价要求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outlineLvl w:val="9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本项目实行总承包报价，报价为采购人指定服务范围内的全部价格，至少包括：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outlineLvl w:val="9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/>
                <w:color w:val="auto"/>
                <w:szCs w:val="21"/>
                <w:highlight w:val="none"/>
              </w:rPr>
              <w:t>服务的价格（包括人工、材料、设备等）；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Chars="200"/>
              <w:outlineLvl w:val="9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/>
                <w:color w:val="auto"/>
                <w:szCs w:val="21"/>
                <w:highlight w:val="none"/>
              </w:rPr>
              <w:t>必要的保险费用和各项税金；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Chars="200"/>
              <w:outlineLvl w:val="9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/>
                <w:color w:val="auto"/>
                <w:szCs w:val="21"/>
                <w:highlight w:val="none"/>
              </w:rPr>
              <w:t>验收及专家评估费用等。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Chars="200"/>
              <w:outlineLvl w:val="9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（4）与本项目有关的其他一切费用。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outlineLvl w:val="9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采购人不再支付成交价格以外的任何费用。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2" w:firstLineChars="200"/>
              <w:outlineLvl w:val="9"/>
              <w:rPr>
                <w:rFonts w:hint="default" w:eastAsia="宋体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2、项目服务时间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val="en-US" w:eastAsia="zh-CN"/>
              </w:rPr>
              <w:t>及服务地点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outlineLvl w:val="9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自合同签订之日起至项目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建议书、可行性研究报告</w:t>
            </w:r>
            <w:r>
              <w:rPr>
                <w:rFonts w:hint="eastAsia"/>
                <w:color w:val="auto"/>
                <w:szCs w:val="21"/>
                <w:highlight w:val="none"/>
              </w:rPr>
              <w:t>获得自治区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发展改革</w:t>
            </w:r>
            <w:r>
              <w:rPr>
                <w:rFonts w:hint="eastAsia"/>
                <w:color w:val="auto"/>
                <w:szCs w:val="21"/>
                <w:highlight w:val="none"/>
              </w:rPr>
              <w:t>委批复同意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之日止</w:t>
            </w:r>
            <w:r>
              <w:rPr>
                <w:rFonts w:hint="eastAsia"/>
                <w:color w:val="auto"/>
                <w:szCs w:val="21"/>
                <w:highlight w:val="none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服务地点：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方指定地点。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2" w:firstLineChars="200"/>
              <w:outlineLvl w:val="9"/>
              <w:rPr>
                <w:rFonts w:hint="default" w:eastAsia="宋体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b/>
                <w:color w:val="auto"/>
                <w:szCs w:val="21"/>
                <w:highlight w:val="none"/>
              </w:rPr>
              <w:t>3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、交付</w:t>
            </w:r>
            <w:r>
              <w:rPr>
                <w:rFonts w:hint="eastAsia"/>
                <w:b/>
                <w:color w:val="auto"/>
                <w:szCs w:val="21"/>
                <w:highlight w:val="none"/>
                <w:lang w:val="en-US" w:eastAsia="zh-CN"/>
              </w:rPr>
              <w:t>地点和验收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outlineLvl w:val="9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交付地点：广西壮族自治区海洋环境监测中心站。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验收方式：组织专家验收。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中标方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所提交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成果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需经采购方组织专家验收通过，并经采购方认可后，将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成果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按合同要求提交采购人。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2" w:firstLineChars="200"/>
              <w:outlineLvl w:val="9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4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、合同签订时间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0" w:firstLineChars="200"/>
              <w:outlineLvl w:val="9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自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项目</w:t>
            </w:r>
            <w:r>
              <w:rPr>
                <w:rFonts w:hint="eastAsia"/>
                <w:color w:val="auto"/>
                <w:szCs w:val="21"/>
                <w:highlight w:val="none"/>
              </w:rPr>
              <w:t>成交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公告</w:t>
            </w:r>
            <w:r>
              <w:rPr>
                <w:rFonts w:hint="eastAsia"/>
                <w:color w:val="auto"/>
                <w:szCs w:val="21"/>
                <w:highlight w:val="none"/>
              </w:rPr>
              <w:t>发出之日起</w:t>
            </w:r>
            <w:r>
              <w:rPr>
                <w:color w:val="auto"/>
                <w:szCs w:val="21"/>
                <w:highlight w:val="none"/>
              </w:rPr>
              <w:t>5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个工作</w:t>
            </w:r>
            <w:r>
              <w:rPr>
                <w:rFonts w:hint="eastAsia"/>
                <w:color w:val="auto"/>
                <w:szCs w:val="21"/>
                <w:highlight w:val="none"/>
              </w:rPr>
              <w:t>日内。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firstLine="422" w:firstLineChars="200"/>
              <w:outlineLvl w:val="9"/>
              <w:rPr>
                <w:b/>
                <w:color w:val="auto"/>
                <w:szCs w:val="21"/>
                <w:highlight w:val="none"/>
              </w:rPr>
            </w:pPr>
            <w:r>
              <w:rPr>
                <w:b/>
                <w:color w:val="auto"/>
                <w:szCs w:val="21"/>
                <w:highlight w:val="none"/>
              </w:rPr>
              <w:t>5</w:t>
            </w:r>
            <w:r>
              <w:rPr>
                <w:rFonts w:hint="eastAsia"/>
                <w:b/>
                <w:color w:val="auto"/>
                <w:szCs w:val="21"/>
                <w:highlight w:val="none"/>
              </w:rPr>
              <w:t>、付款条件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（1）合同签订后，采购方收到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方的支付申请和发票后1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个工作日内向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方支付合同总金额的50％。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（2）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方按合同要求完成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项目建议书、可行性研究报告编制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工作，采购方组织专家对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方提交的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成果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进行验收，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成果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通过专家验收及采购方审定后，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方向采购方提交成果材料和合同尾款发票，甲方收到发票后15个工作日内支付合同尾款。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outlineLvl w:val="9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（3）付款前成交供应商先提交支付申请和开具发票给采购人。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7EEB76"/>
    <w:multiLevelType w:val="singleLevel"/>
    <w:tmpl w:val="BC7EEB76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EC022C7"/>
    <w:multiLevelType w:val="singleLevel"/>
    <w:tmpl w:val="FEC022C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C138189"/>
    <w:multiLevelType w:val="singleLevel"/>
    <w:tmpl w:val="7C138189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455D1"/>
    <w:rsid w:val="02B335F1"/>
    <w:rsid w:val="101935CF"/>
    <w:rsid w:val="170B0D1D"/>
    <w:rsid w:val="1B8E0F0F"/>
    <w:rsid w:val="22F14F5A"/>
    <w:rsid w:val="23431735"/>
    <w:rsid w:val="258D07BB"/>
    <w:rsid w:val="3CF516CE"/>
    <w:rsid w:val="410B0BCC"/>
    <w:rsid w:val="4840301F"/>
    <w:rsid w:val="4B075EE2"/>
    <w:rsid w:val="4E72508E"/>
    <w:rsid w:val="52ED0DC1"/>
    <w:rsid w:val="5E420C89"/>
    <w:rsid w:val="5F4C6301"/>
    <w:rsid w:val="649F75A3"/>
    <w:rsid w:val="729D7188"/>
    <w:rsid w:val="77C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widowControl w:val="0"/>
      <w:adjustRightInd w:val="0"/>
      <w:ind w:left="420" w:right="33"/>
      <w:jc w:val="left"/>
      <w:textAlignment w:val="baseline"/>
    </w:pPr>
    <w:rPr>
      <w:rFonts w:ascii="Calibri" w:hAnsi="Calibri" w:eastAsia="宋体" w:cs="Times New Roman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2022-05-20T08:23:00Z</dcterms:created>
  <dc:creator>hyj</dc:creator>
  <cp:lastModifiedBy>彭小燕</cp:lastModifiedBy>
  <dcterms:modified xsi:type="dcterms:W3CDTF">2024-06-13T08:29:58Z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