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bookmarkStart w:id="0" w:name="_GoBack"/>
      <w:bookmarkEnd w:id="0"/>
    </w:p>
    <w:p>
      <w:pPr>
        <w:pStyle w:val="2"/>
        <w:rPr>
          <w:rFonts w:hint="default"/>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jc w:val="center"/>
        <w:textAlignment w:val="auto"/>
        <w:rPr>
          <w:rFonts w:hint="eastAsia"/>
          <w:b/>
          <w:color w:val="auto"/>
          <w:sz w:val="44"/>
          <w:szCs w:val="44"/>
        </w:rPr>
      </w:pPr>
      <w:r>
        <w:rPr>
          <w:rFonts w:hint="eastAsia" w:ascii="方正小标宋_GBK" w:hAnsi="方正小标宋_GBK" w:eastAsia="方正小标宋_GBK" w:cs="方正小标宋_GBK"/>
          <w:color w:val="auto"/>
          <w:sz w:val="44"/>
          <w:szCs w:val="44"/>
          <w:highlight w:val="none"/>
          <w:lang w:val="en-US" w:eastAsia="zh-CN"/>
        </w:rPr>
        <w:t>评分细则</w:t>
      </w:r>
    </w:p>
    <w:p>
      <w:pPr>
        <w:spacing w:line="300" w:lineRule="auto"/>
        <w:ind w:firstLine="426" w:firstLineChars="202"/>
        <w:rPr>
          <w:b/>
          <w:color w:val="auto"/>
          <w:szCs w:val="21"/>
        </w:rPr>
      </w:pPr>
    </w:p>
    <w:p>
      <w:pPr>
        <w:keepNext w:val="0"/>
        <w:keepLines w:val="0"/>
        <w:pageBreakBefore w:val="0"/>
        <w:widowControl/>
        <w:kinsoku/>
        <w:wordWrap/>
        <w:overflowPunct/>
        <w:topLinePunct w:val="0"/>
        <w:autoSpaceDE/>
        <w:autoSpaceDN/>
        <w:bidi w:val="0"/>
        <w:adjustRightInd/>
        <w:snapToGrid/>
        <w:spacing w:line="360" w:lineRule="auto"/>
        <w:ind w:firstLine="568" w:firstLineChars="202"/>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一、评审原则</w:t>
      </w:r>
    </w:p>
    <w:p>
      <w:pPr>
        <w:keepNext w:val="0"/>
        <w:keepLines w:val="0"/>
        <w:pageBreakBefore w:val="0"/>
        <w:widowControl/>
        <w:kinsoku/>
        <w:wordWrap/>
        <w:overflowPunct/>
        <w:topLinePunct w:val="0"/>
        <w:autoSpaceDE/>
        <w:autoSpaceDN/>
        <w:bidi w:val="0"/>
        <w:adjustRightInd/>
        <w:snapToGrid/>
        <w:spacing w:line="360" w:lineRule="auto"/>
        <w:ind w:firstLine="484" w:firstLineChars="20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一）评审小组构成：本项目的评审小组由采购单位组建，成员包含技术、经济等方面专业人员，成员人数为三人以上（含三人）单数。其中，技术、经济等方面的专家不得少于成员总数的三分之二。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二）评审依据：本评审办法和供应商提交的响应文件。</w:t>
      </w:r>
    </w:p>
    <w:p>
      <w:pPr>
        <w:keepNext w:val="0"/>
        <w:keepLines w:val="0"/>
        <w:pageBreakBefore w:val="0"/>
        <w:widowControl/>
        <w:kinsoku/>
        <w:wordWrap/>
        <w:overflowPunct/>
        <w:topLinePunct w:val="0"/>
        <w:autoSpaceDE/>
        <w:autoSpaceDN/>
        <w:bidi w:val="0"/>
        <w:adjustRightInd/>
        <w:snapToGrid/>
        <w:spacing w:line="360" w:lineRule="auto"/>
        <w:ind w:firstLine="484" w:firstLineChars="20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三）评审方法：综合评分法。</w:t>
      </w:r>
    </w:p>
    <w:p>
      <w:pPr>
        <w:keepNext w:val="0"/>
        <w:keepLines w:val="0"/>
        <w:pageBreakBefore w:val="0"/>
        <w:widowControl/>
        <w:kinsoku/>
        <w:wordWrap/>
        <w:overflowPunct/>
        <w:topLinePunct w:val="0"/>
        <w:autoSpaceDE/>
        <w:autoSpaceDN/>
        <w:bidi w:val="0"/>
        <w:adjustRightInd/>
        <w:snapToGrid/>
        <w:spacing w:line="360" w:lineRule="auto"/>
        <w:ind w:firstLine="568" w:firstLineChars="202"/>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二、评审方法</w:t>
      </w:r>
    </w:p>
    <w:p>
      <w:pPr>
        <w:keepNext w:val="0"/>
        <w:keepLines w:val="0"/>
        <w:pageBreakBefore w:val="0"/>
        <w:widowControl/>
        <w:kinsoku/>
        <w:wordWrap/>
        <w:overflowPunct/>
        <w:topLinePunct w:val="0"/>
        <w:autoSpaceDE/>
        <w:autoSpaceDN/>
        <w:bidi w:val="0"/>
        <w:adjustRightInd/>
        <w:snapToGrid/>
        <w:spacing w:line="360" w:lineRule="auto"/>
        <w:ind w:firstLine="484" w:firstLineChars="202"/>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供应商提交的报价及资格材料经初核符合要求的进入详评，评审小组将按本评审办法和响应文件为评定依据，采用百分制综合评分法：</w:t>
      </w:r>
    </w:p>
    <w:p>
      <w:pPr>
        <w:keepNext w:val="0"/>
        <w:keepLines w:val="0"/>
        <w:pageBreakBefore w:val="0"/>
        <w:widowControl/>
        <w:kinsoku/>
        <w:wordWrap/>
        <w:overflowPunct/>
        <w:topLinePunct w:val="0"/>
        <w:autoSpaceDE/>
        <w:autoSpaceDN/>
        <w:bidi w:val="0"/>
        <w:adjustRightInd/>
        <w:snapToGrid/>
        <w:spacing w:line="360" w:lineRule="auto"/>
        <w:ind w:firstLine="487" w:firstLineChars="202"/>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评分细则（按四舍五入取至百分位）：</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（一）价格分（30分）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1、评审价为供应商的报价进行政策性扣除后的价格，评审价只是作为评审时使用。最终成交人的成交报价＝最终报价。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按照《政府采购促进中小企业发展管理办法》（财库〔2020〕46号）规定，供应商为小型和微型企业，并在其响应文件中提供《中小企业声明函》，且其所竞标产品为小型和微型企业生产的，对其竞标价格给予6%的扣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5、政策性扣除计算方法。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供应商被评定为监狱企业或残疾人福利性单位或小型和微型企业且其所竞标产品为小型和微型企业产品的，该供应商的磋商报价给予6%的扣除，扣除后的价格为评审报价，即评审报价=初始报价×（1-6%）；除上述情况外，评审报价=最终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6、以进入评审的最低的评审报价为30分。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7、某供应商价格分 = 供应商最低评审报价（金额）/某供应商评审报价（金额）× 30分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（二）技术分（35分）</w:t>
      </w:r>
    </w:p>
    <w:p>
      <w:pPr>
        <w:pStyle w:val="12"/>
        <w:keepNext w:val="0"/>
        <w:keepLines w:val="0"/>
        <w:pageBreakBefore w:val="0"/>
        <w:widowControl/>
        <w:kinsoku/>
        <w:wordWrap/>
        <w:overflowPunct/>
        <w:topLinePunct w:val="0"/>
        <w:autoSpaceDE/>
        <w:autoSpaceDN/>
        <w:bidi w:val="0"/>
        <w:adjustRightInd/>
        <w:snapToGrid/>
        <w:spacing w:before="15" w:line="360" w:lineRule="auto"/>
        <w:ind w:right="-15"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1.</w:t>
      </w:r>
      <w:r>
        <w:rPr>
          <w:rFonts w:hint="eastAsia" w:ascii="宋体" w:hAnsi="宋体" w:eastAsia="宋体" w:cs="宋体"/>
          <w:b/>
          <w:color w:val="auto"/>
          <w:sz w:val="24"/>
          <w:szCs w:val="24"/>
        </w:rPr>
        <w:t>项目实施方案分（满分</w:t>
      </w:r>
      <w:r>
        <w:rPr>
          <w:rFonts w:hint="eastAsia" w:ascii="宋体" w:hAnsi="宋体" w:eastAsia="宋体" w:cs="宋体"/>
          <w:b/>
          <w:color w:val="auto"/>
          <w:sz w:val="24"/>
          <w:szCs w:val="24"/>
          <w:lang w:val="en-US"/>
        </w:rPr>
        <w:t>20</w:t>
      </w:r>
      <w:r>
        <w:rPr>
          <w:rFonts w:hint="eastAsia" w:ascii="宋体" w:hAnsi="宋体" w:eastAsia="宋体" w:cs="宋体"/>
          <w:b/>
          <w:color w:val="auto"/>
          <w:sz w:val="24"/>
          <w:szCs w:val="24"/>
        </w:rPr>
        <w:t>分）</w:t>
      </w:r>
    </w:p>
    <w:p>
      <w:pPr>
        <w:pStyle w:val="12"/>
        <w:keepNext w:val="0"/>
        <w:keepLines w:val="0"/>
        <w:pageBreakBefore w:val="0"/>
        <w:widowControl/>
        <w:kinsoku/>
        <w:wordWrap/>
        <w:overflowPunct/>
        <w:topLinePunct w:val="0"/>
        <w:autoSpaceDE/>
        <w:autoSpaceDN/>
        <w:bidi w:val="0"/>
        <w:adjustRightInd/>
        <w:snapToGrid/>
        <w:spacing w:before="15" w:line="360" w:lineRule="auto"/>
        <w:ind w:right="-15" w:firstLine="480" w:firstLineChars="200"/>
        <w:textAlignment w:val="auto"/>
        <w:outlineLvl w:val="9"/>
        <w:rPr>
          <w:rFonts w:hint="eastAsia" w:ascii="宋体" w:hAnsi="宋体" w:eastAsia="宋体" w:cs="宋体"/>
          <w:color w:val="auto"/>
          <w:spacing w:val="-1"/>
          <w:w w:val="95"/>
          <w:sz w:val="24"/>
          <w:szCs w:val="24"/>
        </w:rPr>
      </w:pPr>
      <w:r>
        <w:rPr>
          <w:rFonts w:hint="eastAsia" w:ascii="宋体" w:hAnsi="宋体" w:eastAsia="宋体" w:cs="宋体"/>
          <w:color w:val="auto"/>
          <w:sz w:val="24"/>
          <w:szCs w:val="24"/>
        </w:rPr>
        <w:t>一档（</w:t>
      </w:r>
      <w:r>
        <w:rPr>
          <w:rFonts w:hint="eastAsia" w:ascii="宋体" w:hAnsi="宋体" w:eastAsia="宋体" w:cs="宋体"/>
          <w:color w:val="auto"/>
          <w:sz w:val="24"/>
          <w:szCs w:val="24"/>
          <w:lang w:val="en-US"/>
        </w:rPr>
        <w:t>5</w:t>
      </w:r>
      <w:r>
        <w:rPr>
          <w:rFonts w:hint="eastAsia" w:ascii="宋体" w:hAnsi="宋体" w:eastAsia="宋体" w:cs="宋体"/>
          <w:color w:val="auto"/>
          <w:spacing w:val="-35"/>
          <w:sz w:val="24"/>
          <w:szCs w:val="24"/>
        </w:rPr>
        <w:t>分</w:t>
      </w:r>
      <w:r>
        <w:rPr>
          <w:rFonts w:hint="eastAsia" w:ascii="宋体" w:hAnsi="宋体" w:eastAsia="宋体" w:cs="宋体"/>
          <w:color w:val="auto"/>
          <w:sz w:val="24"/>
          <w:szCs w:val="24"/>
        </w:rPr>
        <w:t>）：对项目的编制工作的总体设想（包含工作的思路、理念</w:t>
      </w:r>
      <w:r>
        <w:rPr>
          <w:rFonts w:hint="eastAsia" w:ascii="宋体" w:hAnsi="宋体" w:eastAsia="宋体" w:cs="宋体"/>
          <w:color w:val="auto"/>
          <w:w w:val="95"/>
          <w:sz w:val="24"/>
          <w:szCs w:val="24"/>
        </w:rPr>
        <w:t>准确性、合理性</w:t>
      </w:r>
      <w:r>
        <w:rPr>
          <w:rFonts w:hint="eastAsia" w:ascii="宋体" w:hAnsi="宋体" w:eastAsia="宋体" w:cs="宋体"/>
          <w:color w:val="auto"/>
          <w:spacing w:val="-3"/>
          <w:w w:val="95"/>
          <w:sz w:val="24"/>
          <w:szCs w:val="24"/>
        </w:rPr>
        <w:t>）</w:t>
      </w:r>
      <w:r>
        <w:rPr>
          <w:rFonts w:hint="eastAsia" w:ascii="宋体" w:hAnsi="宋体" w:eastAsia="宋体" w:cs="宋体"/>
          <w:color w:val="auto"/>
          <w:spacing w:val="-1"/>
          <w:w w:val="95"/>
          <w:sz w:val="24"/>
          <w:szCs w:val="24"/>
        </w:rPr>
        <w:t>、研究大纲、总体构架、技术分析、技术建议简单，没有</w:t>
      </w:r>
      <w:r>
        <w:rPr>
          <w:rFonts w:hint="eastAsia" w:ascii="宋体" w:hAnsi="宋体" w:eastAsia="宋体" w:cs="宋体"/>
          <w:color w:val="auto"/>
          <w:sz w:val="24"/>
          <w:szCs w:val="24"/>
        </w:rPr>
        <w:t>项目重点、难点及其解决措施，</w:t>
      </w:r>
      <w:r>
        <w:rPr>
          <w:rFonts w:hint="eastAsia" w:ascii="宋体" w:hAnsi="宋体" w:eastAsia="宋体" w:cs="宋体"/>
          <w:color w:val="auto"/>
          <w:spacing w:val="-1"/>
          <w:w w:val="95"/>
          <w:sz w:val="24"/>
          <w:szCs w:val="24"/>
        </w:rPr>
        <w:t>对本项目的理解认识程度分析论述浅显，采用的技术规范不符合本项目的特点；</w:t>
      </w:r>
    </w:p>
    <w:p>
      <w:pPr>
        <w:pStyle w:val="12"/>
        <w:keepNext w:val="0"/>
        <w:keepLines w:val="0"/>
        <w:pageBreakBefore w:val="0"/>
        <w:widowControl/>
        <w:kinsoku/>
        <w:wordWrap/>
        <w:overflowPunct/>
        <w:topLinePunct w:val="0"/>
        <w:autoSpaceDE/>
        <w:autoSpaceDN/>
        <w:bidi w:val="0"/>
        <w:adjustRightInd/>
        <w:snapToGrid/>
        <w:spacing w:before="15" w:line="360" w:lineRule="auto"/>
        <w:ind w:right="206" w:firstLine="456"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6"/>
          <w:sz w:val="24"/>
          <w:szCs w:val="24"/>
        </w:rPr>
        <w:t>二档</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10</w:t>
      </w:r>
      <w:r>
        <w:rPr>
          <w:rFonts w:hint="eastAsia" w:ascii="宋体" w:hAnsi="宋体" w:eastAsia="宋体" w:cs="宋体"/>
          <w:color w:val="auto"/>
          <w:sz w:val="24"/>
          <w:szCs w:val="24"/>
        </w:rPr>
        <w:t>分）</w:t>
      </w:r>
      <w:r>
        <w:rPr>
          <w:rFonts w:hint="eastAsia" w:ascii="宋体" w:hAnsi="宋体" w:eastAsia="宋体" w:cs="宋体"/>
          <w:color w:val="auto"/>
          <w:spacing w:val="-5"/>
          <w:sz w:val="24"/>
          <w:szCs w:val="24"/>
        </w:rPr>
        <w:t>：对项目的编制工作的总体设想</w:t>
      </w:r>
      <w:r>
        <w:rPr>
          <w:rFonts w:hint="eastAsia" w:ascii="宋体" w:hAnsi="宋体" w:eastAsia="宋体" w:cs="宋体"/>
          <w:color w:val="auto"/>
          <w:sz w:val="24"/>
          <w:szCs w:val="24"/>
        </w:rPr>
        <w:t>（</w:t>
      </w:r>
      <w:r>
        <w:rPr>
          <w:rFonts w:hint="eastAsia" w:ascii="宋体" w:hAnsi="宋体" w:eastAsia="宋体" w:cs="宋体"/>
          <w:color w:val="auto"/>
          <w:spacing w:val="-2"/>
          <w:sz w:val="24"/>
          <w:szCs w:val="24"/>
        </w:rPr>
        <w:t>包含工作的思路、理念</w:t>
      </w:r>
      <w:r>
        <w:rPr>
          <w:rFonts w:hint="eastAsia" w:ascii="宋体" w:hAnsi="宋体" w:eastAsia="宋体" w:cs="宋体"/>
          <w:color w:val="auto"/>
          <w:w w:val="95"/>
          <w:sz w:val="24"/>
          <w:szCs w:val="24"/>
        </w:rPr>
        <w:t>准确性、合理性</w:t>
      </w:r>
      <w:r>
        <w:rPr>
          <w:rFonts w:hint="eastAsia" w:ascii="宋体" w:hAnsi="宋体" w:eastAsia="宋体" w:cs="宋体"/>
          <w:color w:val="auto"/>
          <w:spacing w:val="-3"/>
          <w:w w:val="95"/>
          <w:sz w:val="24"/>
          <w:szCs w:val="24"/>
        </w:rPr>
        <w:t>）</w:t>
      </w:r>
      <w:r>
        <w:rPr>
          <w:rFonts w:hint="eastAsia" w:ascii="宋体" w:hAnsi="宋体" w:eastAsia="宋体" w:cs="宋体"/>
          <w:color w:val="auto"/>
          <w:spacing w:val="-1"/>
          <w:w w:val="95"/>
          <w:sz w:val="24"/>
          <w:szCs w:val="24"/>
        </w:rPr>
        <w:t>、研究大纲、总体构架、技术分析、技术建议一般，</w:t>
      </w:r>
      <w:r>
        <w:rPr>
          <w:rFonts w:hint="eastAsia" w:ascii="宋体" w:hAnsi="宋体" w:eastAsia="宋体" w:cs="宋体"/>
          <w:color w:val="auto"/>
          <w:sz w:val="24"/>
          <w:szCs w:val="24"/>
        </w:rPr>
        <w:t>项目重点、难点及其解决措施模糊一般，</w:t>
      </w:r>
      <w:r>
        <w:rPr>
          <w:rFonts w:hint="eastAsia" w:ascii="宋体" w:hAnsi="宋体" w:eastAsia="宋体" w:cs="宋体"/>
          <w:color w:val="auto"/>
          <w:spacing w:val="-1"/>
          <w:w w:val="95"/>
          <w:sz w:val="24"/>
          <w:szCs w:val="24"/>
        </w:rPr>
        <w:t>对本</w:t>
      </w:r>
      <w:r>
        <w:rPr>
          <w:rFonts w:hint="eastAsia" w:ascii="宋体" w:hAnsi="宋体" w:eastAsia="宋体" w:cs="宋体"/>
          <w:color w:val="auto"/>
          <w:w w:val="95"/>
          <w:sz w:val="24"/>
          <w:szCs w:val="24"/>
        </w:rPr>
        <w:t>项目的理解认识程度分析论述一般，采用的技术规范基本符合本项目的特</w:t>
      </w:r>
      <w:r>
        <w:rPr>
          <w:rFonts w:hint="eastAsia" w:ascii="宋体" w:hAnsi="宋体" w:eastAsia="宋体" w:cs="宋体"/>
          <w:color w:val="auto"/>
          <w:sz w:val="24"/>
          <w:szCs w:val="24"/>
        </w:rPr>
        <w:t>点；</w:t>
      </w:r>
    </w:p>
    <w:p>
      <w:pPr>
        <w:pStyle w:val="12"/>
        <w:keepNext w:val="0"/>
        <w:keepLines w:val="0"/>
        <w:pageBreakBefore w:val="0"/>
        <w:widowControl/>
        <w:kinsoku/>
        <w:wordWrap/>
        <w:overflowPunct/>
        <w:topLinePunct w:val="0"/>
        <w:autoSpaceDE/>
        <w:autoSpaceDN/>
        <w:bidi w:val="0"/>
        <w:adjustRightInd/>
        <w:snapToGrid/>
        <w:spacing w:line="360" w:lineRule="auto"/>
        <w:ind w:right="9" w:firstLine="46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5"/>
          <w:sz w:val="24"/>
          <w:szCs w:val="24"/>
        </w:rPr>
        <w:t>三档</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15</w:t>
      </w:r>
      <w:r>
        <w:rPr>
          <w:rFonts w:hint="eastAsia" w:ascii="宋体" w:hAnsi="宋体" w:eastAsia="宋体" w:cs="宋体"/>
          <w:color w:val="auto"/>
          <w:sz w:val="24"/>
          <w:szCs w:val="24"/>
        </w:rPr>
        <w:t>分）</w:t>
      </w:r>
      <w:r>
        <w:rPr>
          <w:rFonts w:hint="eastAsia" w:ascii="宋体" w:hAnsi="宋体" w:eastAsia="宋体" w:cs="宋体"/>
          <w:color w:val="auto"/>
          <w:spacing w:val="-5"/>
          <w:sz w:val="24"/>
          <w:szCs w:val="24"/>
        </w:rPr>
        <w:t>：对项目编制工作的总体设想</w:t>
      </w:r>
      <w:r>
        <w:rPr>
          <w:rFonts w:hint="eastAsia" w:ascii="宋体" w:hAnsi="宋体" w:eastAsia="宋体" w:cs="宋体"/>
          <w:color w:val="auto"/>
          <w:sz w:val="24"/>
          <w:szCs w:val="24"/>
        </w:rPr>
        <w:t>（</w:t>
      </w:r>
      <w:r>
        <w:rPr>
          <w:rFonts w:hint="eastAsia" w:ascii="宋体" w:hAnsi="宋体" w:eastAsia="宋体" w:cs="宋体"/>
          <w:color w:val="auto"/>
          <w:spacing w:val="-2"/>
          <w:sz w:val="24"/>
          <w:szCs w:val="24"/>
        </w:rPr>
        <w:t>包含工作的思路、理念准</w:t>
      </w:r>
      <w:r>
        <w:rPr>
          <w:rFonts w:hint="eastAsia" w:ascii="宋体" w:hAnsi="宋体" w:eastAsia="宋体" w:cs="宋体"/>
          <w:color w:val="auto"/>
          <w:spacing w:val="-2"/>
          <w:w w:val="95"/>
          <w:sz w:val="24"/>
          <w:szCs w:val="24"/>
        </w:rPr>
        <w:t>确性、合理性）</w:t>
      </w:r>
      <w:r>
        <w:rPr>
          <w:rFonts w:hint="eastAsia" w:ascii="宋体" w:hAnsi="宋体" w:eastAsia="宋体" w:cs="宋体"/>
          <w:color w:val="auto"/>
          <w:spacing w:val="-3"/>
          <w:w w:val="95"/>
          <w:sz w:val="24"/>
          <w:szCs w:val="24"/>
        </w:rPr>
        <w:t>、研究大纲、总体构架、技术分析、技术建议较好，</w:t>
      </w:r>
      <w:r>
        <w:rPr>
          <w:rFonts w:hint="eastAsia" w:ascii="宋体" w:hAnsi="宋体" w:eastAsia="宋体" w:cs="宋体"/>
          <w:color w:val="auto"/>
          <w:sz w:val="24"/>
          <w:szCs w:val="24"/>
        </w:rPr>
        <w:t>项目重点、难点及其解决措施可行、相对准确明晰、分析较好，</w:t>
      </w:r>
      <w:r>
        <w:rPr>
          <w:rFonts w:hint="eastAsia" w:ascii="宋体" w:hAnsi="宋体" w:eastAsia="宋体" w:cs="宋体"/>
          <w:color w:val="auto"/>
          <w:spacing w:val="-3"/>
          <w:w w:val="95"/>
          <w:sz w:val="24"/>
          <w:szCs w:val="24"/>
        </w:rPr>
        <w:t>对本项</w:t>
      </w:r>
      <w:r>
        <w:rPr>
          <w:rFonts w:hint="eastAsia" w:ascii="宋体" w:hAnsi="宋体" w:eastAsia="宋体" w:cs="宋体"/>
          <w:color w:val="auto"/>
          <w:spacing w:val="-3"/>
          <w:sz w:val="24"/>
          <w:szCs w:val="24"/>
        </w:rPr>
        <w:t>目的理解认识程度分析论述较好，采用的技术规范符合本项目的特点；</w:t>
      </w:r>
    </w:p>
    <w:p>
      <w:pPr>
        <w:pStyle w:val="12"/>
        <w:keepNext w:val="0"/>
        <w:keepLines w:val="0"/>
        <w:pageBreakBefore w:val="0"/>
        <w:widowControl/>
        <w:kinsoku/>
        <w:wordWrap/>
        <w:overflowPunct/>
        <w:topLinePunct w:val="0"/>
        <w:autoSpaceDE/>
        <w:autoSpaceDN/>
        <w:bidi w:val="0"/>
        <w:adjustRightInd/>
        <w:snapToGrid/>
        <w:spacing w:line="360" w:lineRule="auto"/>
        <w:ind w:right="9" w:firstLine="460" w:firstLineChars="200"/>
        <w:textAlignment w:val="auto"/>
        <w:outlineLvl w:val="9"/>
        <w:rPr>
          <w:rFonts w:hint="eastAsia" w:ascii="宋体" w:hAnsi="宋体" w:eastAsia="宋体" w:cs="宋体"/>
          <w:b/>
          <w:color w:val="auto"/>
          <w:sz w:val="24"/>
          <w:szCs w:val="24"/>
        </w:rPr>
      </w:pPr>
      <w:r>
        <w:rPr>
          <w:rFonts w:hint="eastAsia" w:ascii="宋体" w:hAnsi="宋体" w:eastAsia="宋体" w:cs="宋体"/>
          <w:color w:val="auto"/>
          <w:spacing w:val="-5"/>
          <w:sz w:val="24"/>
          <w:szCs w:val="24"/>
        </w:rPr>
        <w:t>四档</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2</w:t>
      </w:r>
      <w:r>
        <w:rPr>
          <w:rFonts w:hint="eastAsia" w:ascii="宋体" w:hAnsi="宋体" w:eastAsia="宋体" w:cs="宋体"/>
          <w:color w:val="auto"/>
          <w:sz w:val="24"/>
          <w:szCs w:val="24"/>
        </w:rPr>
        <w:t>0分）</w:t>
      </w:r>
      <w:r>
        <w:rPr>
          <w:rFonts w:hint="eastAsia" w:ascii="宋体" w:hAnsi="宋体" w:eastAsia="宋体" w:cs="宋体"/>
          <w:color w:val="auto"/>
          <w:spacing w:val="-5"/>
          <w:sz w:val="24"/>
          <w:szCs w:val="24"/>
        </w:rPr>
        <w:t>：对项目编制工作的总体设想</w:t>
      </w:r>
      <w:r>
        <w:rPr>
          <w:rFonts w:hint="eastAsia" w:ascii="宋体" w:hAnsi="宋体" w:eastAsia="宋体" w:cs="宋体"/>
          <w:color w:val="auto"/>
          <w:sz w:val="24"/>
          <w:szCs w:val="24"/>
        </w:rPr>
        <w:t>（</w:t>
      </w:r>
      <w:r>
        <w:rPr>
          <w:rFonts w:hint="eastAsia" w:ascii="宋体" w:hAnsi="宋体" w:eastAsia="宋体" w:cs="宋体"/>
          <w:color w:val="auto"/>
          <w:spacing w:val="-2"/>
          <w:sz w:val="24"/>
          <w:szCs w:val="24"/>
        </w:rPr>
        <w:t>包含工作的思路、理念准</w:t>
      </w:r>
      <w:r>
        <w:rPr>
          <w:rFonts w:hint="eastAsia" w:ascii="宋体" w:hAnsi="宋体" w:eastAsia="宋体" w:cs="宋体"/>
          <w:color w:val="auto"/>
          <w:spacing w:val="-2"/>
          <w:w w:val="95"/>
          <w:sz w:val="24"/>
          <w:szCs w:val="24"/>
        </w:rPr>
        <w:t>确性、合理性）</w:t>
      </w:r>
      <w:r>
        <w:rPr>
          <w:rFonts w:hint="eastAsia" w:ascii="宋体" w:hAnsi="宋体" w:eastAsia="宋体" w:cs="宋体"/>
          <w:color w:val="auto"/>
          <w:spacing w:val="-3"/>
          <w:w w:val="95"/>
          <w:sz w:val="24"/>
          <w:szCs w:val="24"/>
        </w:rPr>
        <w:t>、研究大纲、总体构架、技术分析、技术建议优秀，</w:t>
      </w:r>
      <w:r>
        <w:rPr>
          <w:rFonts w:hint="eastAsia" w:ascii="宋体" w:hAnsi="宋体" w:eastAsia="宋体" w:cs="宋体"/>
          <w:color w:val="auto"/>
          <w:sz w:val="24"/>
          <w:szCs w:val="24"/>
        </w:rPr>
        <w:t>项目重点、难点及其解决措施可行性准确透彻、分析到位、科学合理，</w:t>
      </w:r>
      <w:r>
        <w:rPr>
          <w:rFonts w:hint="eastAsia" w:ascii="宋体" w:hAnsi="宋体" w:eastAsia="宋体" w:cs="宋体"/>
          <w:color w:val="auto"/>
          <w:spacing w:val="-3"/>
          <w:w w:val="95"/>
          <w:sz w:val="24"/>
          <w:szCs w:val="24"/>
        </w:rPr>
        <w:t>对本项</w:t>
      </w:r>
      <w:r>
        <w:rPr>
          <w:rFonts w:hint="eastAsia" w:ascii="宋体" w:hAnsi="宋体" w:eastAsia="宋体" w:cs="宋体"/>
          <w:color w:val="auto"/>
          <w:spacing w:val="-5"/>
          <w:w w:val="95"/>
          <w:sz w:val="24"/>
          <w:szCs w:val="24"/>
        </w:rPr>
        <w:t>目的理解认识程度分析论述优秀，采用的技术规范明确、完整，十分符合本</w:t>
      </w:r>
      <w:r>
        <w:rPr>
          <w:rFonts w:hint="eastAsia" w:ascii="宋体" w:hAnsi="宋体" w:eastAsia="宋体" w:cs="宋体"/>
          <w:color w:val="auto"/>
          <w:sz w:val="24"/>
          <w:szCs w:val="24"/>
        </w:rPr>
        <w:t>项目的特点。</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2.服务承诺方案分（满分15分）</w:t>
      </w:r>
    </w:p>
    <w:p>
      <w:pPr>
        <w:pStyle w:val="12"/>
        <w:keepNext w:val="0"/>
        <w:keepLines w:val="0"/>
        <w:pageBreakBefore w:val="0"/>
        <w:widowControl/>
        <w:kinsoku/>
        <w:wordWrap/>
        <w:overflowPunct/>
        <w:topLinePunct w:val="0"/>
        <w:autoSpaceDE/>
        <w:autoSpaceDN/>
        <w:bidi w:val="0"/>
        <w:adjustRightInd/>
        <w:snapToGrid/>
        <w:spacing w:before="67" w:line="360" w:lineRule="auto"/>
        <w:ind w:right="48"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一档（</w:t>
      </w:r>
      <w:r>
        <w:rPr>
          <w:rFonts w:hint="eastAsia" w:ascii="宋体" w:hAnsi="宋体" w:eastAsia="宋体" w:cs="宋体"/>
          <w:color w:val="auto"/>
          <w:sz w:val="24"/>
          <w:szCs w:val="24"/>
          <w:lang w:val="en-US"/>
        </w:rPr>
        <w:t>5</w:t>
      </w:r>
      <w:r>
        <w:rPr>
          <w:rFonts w:hint="eastAsia" w:ascii="宋体" w:hAnsi="宋体" w:eastAsia="宋体" w:cs="宋体"/>
          <w:color w:val="auto"/>
          <w:sz w:val="24"/>
          <w:szCs w:val="24"/>
        </w:rPr>
        <w:t>分）：服务承诺内容基本符合项目的总体要求、有服务质量保证措施但各服务环节不明确，服务内容保障措施较简单；</w:t>
      </w:r>
    </w:p>
    <w:p>
      <w:pPr>
        <w:pStyle w:val="12"/>
        <w:keepNext w:val="0"/>
        <w:keepLines w:val="0"/>
        <w:pageBreakBefore w:val="0"/>
        <w:widowControl/>
        <w:kinsoku/>
        <w:wordWrap/>
        <w:overflowPunct/>
        <w:topLinePunct w:val="0"/>
        <w:autoSpaceDE/>
        <w:autoSpaceDN/>
        <w:bidi w:val="0"/>
        <w:adjustRightInd/>
        <w:snapToGrid/>
        <w:spacing w:line="360" w:lineRule="auto"/>
        <w:ind w:right="48"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二档（</w:t>
      </w:r>
      <w:r>
        <w:rPr>
          <w:rFonts w:hint="eastAsia" w:ascii="宋体" w:hAnsi="宋体" w:eastAsia="宋体" w:cs="宋体"/>
          <w:color w:val="auto"/>
          <w:sz w:val="24"/>
          <w:szCs w:val="24"/>
          <w:lang w:val="en-US"/>
        </w:rPr>
        <w:t>10</w:t>
      </w:r>
      <w:r>
        <w:rPr>
          <w:rFonts w:hint="eastAsia" w:ascii="宋体" w:hAnsi="宋体" w:eastAsia="宋体" w:cs="宋体"/>
          <w:color w:val="auto"/>
          <w:sz w:val="24"/>
          <w:szCs w:val="24"/>
        </w:rPr>
        <w:t>分）：服务承诺内容符合项目的总体要求，服务质量保证措施完整，有全面周到、有基本的服务流程说明，服务内容保障措施较详细；</w:t>
      </w:r>
    </w:p>
    <w:p>
      <w:pPr>
        <w:keepNext w:val="0"/>
        <w:keepLines w:val="0"/>
        <w:pageBreakBefore w:val="0"/>
        <w:widowControl/>
        <w:kinsoku/>
        <w:wordWrap/>
        <w:overflowPunct/>
        <w:topLinePunct w:val="0"/>
        <w:autoSpaceDE/>
        <w:autoSpaceDN/>
        <w:bidi w:val="0"/>
        <w:adjustRightInd/>
        <w:snapToGrid/>
        <w:spacing w:line="360" w:lineRule="auto"/>
        <w:ind w:firstLine="460" w:firstLineChars="200"/>
        <w:jc w:val="left"/>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5"/>
          <w:sz w:val="24"/>
          <w:szCs w:val="24"/>
        </w:rPr>
        <w:t>三档</w:t>
      </w:r>
      <w:r>
        <w:rPr>
          <w:rFonts w:hint="eastAsia" w:ascii="宋体" w:hAnsi="宋体" w:eastAsia="宋体" w:cs="宋体"/>
          <w:color w:val="auto"/>
          <w:sz w:val="24"/>
          <w:szCs w:val="24"/>
        </w:rPr>
        <w:t>（</w:t>
      </w:r>
      <w:r>
        <w:rPr>
          <w:rFonts w:hint="eastAsia" w:ascii="宋体" w:hAnsi="宋体" w:eastAsia="宋体" w:cs="宋体"/>
          <w:color w:val="auto"/>
          <w:sz w:val="24"/>
          <w:szCs w:val="24"/>
          <w:lang w:bidi="zh-CN"/>
        </w:rPr>
        <w:t>15</w:t>
      </w:r>
      <w:r>
        <w:rPr>
          <w:rFonts w:hint="eastAsia" w:ascii="宋体" w:hAnsi="宋体" w:eastAsia="宋体" w:cs="宋体"/>
          <w:color w:val="auto"/>
          <w:sz w:val="24"/>
          <w:szCs w:val="24"/>
          <w:lang w:val="zh-CN" w:bidi="zh-CN"/>
        </w:rPr>
        <w:t>分</w:t>
      </w:r>
      <w:r>
        <w:rPr>
          <w:rFonts w:hint="eastAsia" w:ascii="宋体" w:hAnsi="宋体" w:eastAsia="宋体" w:cs="宋体"/>
          <w:color w:val="auto"/>
          <w:spacing w:val="-14"/>
          <w:sz w:val="24"/>
          <w:szCs w:val="24"/>
        </w:rPr>
        <w:t>）</w:t>
      </w:r>
      <w:r>
        <w:rPr>
          <w:rFonts w:hint="eastAsia" w:ascii="宋体" w:hAnsi="宋体" w:eastAsia="宋体" w:cs="宋体"/>
          <w:color w:val="auto"/>
          <w:spacing w:val="-6"/>
          <w:sz w:val="24"/>
          <w:szCs w:val="24"/>
        </w:rPr>
        <w:t>：在满足二档的要求上，服务流程说明详细具体，能为本</w:t>
      </w:r>
      <w:r>
        <w:rPr>
          <w:rFonts w:hint="eastAsia" w:ascii="宋体" w:hAnsi="宋体" w:eastAsia="宋体" w:cs="宋体"/>
          <w:color w:val="auto"/>
          <w:spacing w:val="-6"/>
          <w:w w:val="95"/>
          <w:sz w:val="24"/>
          <w:szCs w:val="24"/>
        </w:rPr>
        <w:t>项目提出针对性的服务措施，提供后续的技术指导服务，服务质量承诺优于</w:t>
      </w:r>
      <w:r>
        <w:rPr>
          <w:rFonts w:hint="eastAsia" w:ascii="宋体" w:hAnsi="宋体" w:eastAsia="宋体" w:cs="宋体"/>
          <w:color w:val="auto"/>
          <w:spacing w:val="-6"/>
          <w:sz w:val="24"/>
          <w:szCs w:val="24"/>
        </w:rPr>
        <w:t>服务项目的要求。</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（三）技术支持与服务能力分（23分）</w:t>
      </w:r>
    </w:p>
    <w:p>
      <w:pPr>
        <w:pStyle w:val="5"/>
        <w:keepNext w:val="0"/>
        <w:keepLines w:val="0"/>
        <w:pageBreakBefore w:val="0"/>
        <w:widowControl/>
        <w:kinsoku/>
        <w:wordWrap/>
        <w:overflowPunct/>
        <w:topLinePunct w:val="0"/>
        <w:autoSpaceDE/>
        <w:autoSpaceDN/>
        <w:bidi w:val="0"/>
        <w:adjustRightInd/>
        <w:snapToGrid/>
        <w:spacing w:line="360" w:lineRule="auto"/>
        <w:ind w:left="0" w:leftChars="0" w:firstLine="456" w:firstLineChars="200"/>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（1）项目组成员（满分20分）</w:t>
      </w:r>
    </w:p>
    <w:p>
      <w:pPr>
        <w:pStyle w:val="5"/>
        <w:keepNext w:val="0"/>
        <w:keepLines w:val="0"/>
        <w:pageBreakBefore w:val="0"/>
        <w:widowControl/>
        <w:kinsoku/>
        <w:wordWrap/>
        <w:overflowPunct/>
        <w:topLinePunct w:val="0"/>
        <w:autoSpaceDE/>
        <w:autoSpaceDN/>
        <w:bidi w:val="0"/>
        <w:adjustRightInd/>
        <w:snapToGrid/>
        <w:spacing w:line="360" w:lineRule="auto"/>
        <w:ind w:left="0" w:leftChars="0" w:firstLine="456" w:firstLineChars="200"/>
        <w:textAlignment w:val="auto"/>
        <w:outlineLvl w:val="9"/>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拟投入本项目的项目负责人</w:t>
      </w:r>
      <w:r>
        <w:rPr>
          <w:rFonts w:hint="eastAsia" w:ascii="宋体" w:hAnsi="宋体" w:eastAsia="宋体" w:cs="宋体"/>
          <w:color w:val="auto"/>
          <w:spacing w:val="-6"/>
          <w:sz w:val="24"/>
          <w:szCs w:val="24"/>
          <w:lang w:eastAsia="zh-CN"/>
        </w:rPr>
        <w:t>必须</w:t>
      </w:r>
      <w:r>
        <w:rPr>
          <w:rFonts w:hint="eastAsia" w:ascii="宋体" w:hAnsi="宋体" w:eastAsia="宋体" w:cs="宋体"/>
          <w:color w:val="auto"/>
          <w:spacing w:val="-6"/>
          <w:sz w:val="24"/>
          <w:szCs w:val="24"/>
        </w:rPr>
        <w:t>具有咨询师执业资格</w:t>
      </w:r>
      <w:r>
        <w:rPr>
          <w:rFonts w:hint="eastAsia" w:ascii="宋体" w:hAnsi="宋体" w:eastAsia="宋体" w:cs="宋体"/>
          <w:color w:val="auto"/>
          <w:spacing w:val="-6"/>
          <w:sz w:val="24"/>
          <w:szCs w:val="24"/>
          <w:lang w:eastAsia="zh-CN"/>
        </w:rPr>
        <w:t>和</w:t>
      </w:r>
      <w:r>
        <w:rPr>
          <w:rFonts w:hint="eastAsia" w:ascii="宋体" w:hAnsi="宋体" w:eastAsia="宋体" w:cs="宋体"/>
          <w:color w:val="auto"/>
          <w:spacing w:val="-6"/>
          <w:sz w:val="24"/>
          <w:szCs w:val="24"/>
        </w:rPr>
        <w:t>高级职称</w:t>
      </w:r>
      <w:r>
        <w:rPr>
          <w:rFonts w:hint="eastAsia" w:ascii="宋体" w:hAnsi="宋体" w:eastAsia="宋体" w:cs="宋体"/>
          <w:color w:val="auto"/>
          <w:spacing w:val="-6"/>
          <w:sz w:val="24"/>
          <w:szCs w:val="24"/>
          <w:lang w:eastAsia="zh-CN"/>
        </w:rPr>
        <w:t>，不符合不得分。具有</w:t>
      </w:r>
      <w:r>
        <w:rPr>
          <w:rFonts w:hint="eastAsia" w:ascii="宋体" w:hAnsi="宋体" w:eastAsia="宋体" w:cs="宋体"/>
          <w:color w:val="auto"/>
          <w:spacing w:val="-6"/>
          <w:sz w:val="24"/>
          <w:szCs w:val="24"/>
        </w:rPr>
        <w:t>咨询师执业资格</w:t>
      </w:r>
      <w:r>
        <w:rPr>
          <w:rFonts w:hint="eastAsia" w:ascii="宋体" w:hAnsi="宋体" w:eastAsia="宋体" w:cs="宋体"/>
          <w:color w:val="auto"/>
          <w:spacing w:val="-6"/>
          <w:sz w:val="24"/>
          <w:szCs w:val="24"/>
          <w:lang w:eastAsia="zh-CN"/>
        </w:rPr>
        <w:t>和</w:t>
      </w:r>
      <w:r>
        <w:rPr>
          <w:rFonts w:hint="eastAsia" w:ascii="宋体" w:hAnsi="宋体" w:eastAsia="宋体" w:cs="宋体"/>
          <w:color w:val="auto"/>
          <w:spacing w:val="-6"/>
          <w:sz w:val="24"/>
          <w:szCs w:val="24"/>
        </w:rPr>
        <w:t>高级</w:t>
      </w:r>
      <w:r>
        <w:rPr>
          <w:rFonts w:hint="eastAsia" w:ascii="宋体" w:hAnsi="宋体" w:eastAsia="宋体" w:cs="宋体"/>
          <w:color w:val="auto"/>
          <w:spacing w:val="-6"/>
          <w:sz w:val="24"/>
          <w:szCs w:val="24"/>
          <w:lang w:eastAsia="zh-CN"/>
        </w:rPr>
        <w:t>工程师</w:t>
      </w:r>
      <w:r>
        <w:rPr>
          <w:rFonts w:hint="eastAsia" w:ascii="宋体" w:hAnsi="宋体" w:eastAsia="宋体" w:cs="宋体"/>
          <w:color w:val="auto"/>
          <w:spacing w:val="-6"/>
          <w:sz w:val="24"/>
          <w:szCs w:val="24"/>
        </w:rPr>
        <w:t>职称得</w:t>
      </w:r>
      <w:r>
        <w:rPr>
          <w:rFonts w:hint="eastAsia" w:ascii="宋体" w:hAnsi="宋体" w:eastAsia="宋体" w:cs="宋体"/>
          <w:color w:val="auto"/>
          <w:spacing w:val="-6"/>
          <w:sz w:val="24"/>
          <w:szCs w:val="24"/>
          <w:lang w:val="en-US" w:eastAsia="zh-CN"/>
        </w:rPr>
        <w:t>3</w:t>
      </w:r>
      <w:r>
        <w:rPr>
          <w:rFonts w:hint="eastAsia" w:ascii="宋体" w:hAnsi="宋体" w:eastAsia="宋体" w:cs="宋体"/>
          <w:color w:val="auto"/>
          <w:spacing w:val="-6"/>
          <w:sz w:val="24"/>
          <w:szCs w:val="24"/>
        </w:rPr>
        <w:t>分，</w:t>
      </w:r>
      <w:r>
        <w:rPr>
          <w:rFonts w:hint="eastAsia" w:ascii="宋体" w:hAnsi="宋体" w:eastAsia="宋体" w:cs="宋体"/>
          <w:color w:val="auto"/>
          <w:spacing w:val="-6"/>
          <w:sz w:val="24"/>
          <w:szCs w:val="24"/>
          <w:lang w:eastAsia="zh-CN"/>
        </w:rPr>
        <w:t>具有</w:t>
      </w:r>
      <w:r>
        <w:rPr>
          <w:rFonts w:hint="eastAsia" w:ascii="宋体" w:hAnsi="宋体" w:eastAsia="宋体" w:cs="宋体"/>
          <w:color w:val="auto"/>
          <w:spacing w:val="-6"/>
          <w:sz w:val="24"/>
          <w:szCs w:val="24"/>
        </w:rPr>
        <w:t>咨询师执业资格</w:t>
      </w:r>
      <w:r>
        <w:rPr>
          <w:rFonts w:hint="eastAsia" w:ascii="宋体" w:hAnsi="宋体" w:eastAsia="宋体" w:cs="宋体"/>
          <w:color w:val="auto"/>
          <w:spacing w:val="-6"/>
          <w:sz w:val="24"/>
          <w:szCs w:val="24"/>
          <w:lang w:eastAsia="zh-CN"/>
        </w:rPr>
        <w:t>和</w:t>
      </w:r>
      <w:r>
        <w:rPr>
          <w:rFonts w:hint="eastAsia" w:ascii="宋体" w:hAnsi="宋体" w:eastAsia="宋体" w:cs="宋体"/>
          <w:color w:val="auto"/>
          <w:spacing w:val="-6"/>
          <w:sz w:val="24"/>
          <w:szCs w:val="24"/>
        </w:rPr>
        <w:t>正高级或教授级职称得</w:t>
      </w:r>
      <w:r>
        <w:rPr>
          <w:rFonts w:hint="eastAsia" w:ascii="宋体" w:hAnsi="宋体" w:eastAsia="宋体" w:cs="宋体"/>
          <w:color w:val="auto"/>
          <w:spacing w:val="-6"/>
          <w:sz w:val="24"/>
          <w:szCs w:val="24"/>
          <w:lang w:val="en-US" w:eastAsia="zh-CN"/>
        </w:rPr>
        <w:t>4</w:t>
      </w:r>
      <w:r>
        <w:rPr>
          <w:rFonts w:hint="eastAsia" w:ascii="宋体" w:hAnsi="宋体" w:eastAsia="宋体" w:cs="宋体"/>
          <w:color w:val="auto"/>
          <w:spacing w:val="-6"/>
          <w:sz w:val="24"/>
          <w:szCs w:val="24"/>
        </w:rPr>
        <w:t>分。总共4分</w:t>
      </w:r>
      <w:r>
        <w:rPr>
          <w:rFonts w:hint="eastAsia" w:ascii="宋体" w:hAnsi="宋体" w:eastAsia="宋体" w:cs="宋体"/>
          <w:color w:val="auto"/>
          <w:spacing w:val="-6"/>
          <w:sz w:val="24"/>
          <w:szCs w:val="24"/>
          <w:lang w:eastAsia="zh-CN"/>
        </w:rPr>
        <w:t>。</w:t>
      </w:r>
    </w:p>
    <w:p>
      <w:pPr>
        <w:pStyle w:val="4"/>
        <w:keepNext w:val="0"/>
        <w:keepLines w:val="0"/>
        <w:pageBreakBefore w:val="0"/>
        <w:widowControl/>
        <w:kinsoku/>
        <w:wordWrap/>
        <w:overflowPunct/>
        <w:topLinePunct w:val="0"/>
        <w:autoSpaceDE/>
        <w:autoSpaceDN/>
        <w:bidi w:val="0"/>
        <w:adjustRightInd/>
        <w:snapToGrid/>
        <w:spacing w:line="360" w:lineRule="auto"/>
        <w:ind w:firstLine="456" w:firstLineChars="200"/>
        <w:textAlignment w:val="auto"/>
        <w:outlineLvl w:val="9"/>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rPr>
        <w:t>主要参与人员具有咨询师执业资格</w:t>
      </w:r>
      <w:r>
        <w:rPr>
          <w:rFonts w:hint="eastAsia" w:ascii="宋体" w:hAnsi="宋体" w:eastAsia="宋体" w:cs="宋体"/>
          <w:color w:val="auto"/>
          <w:spacing w:val="-6"/>
          <w:sz w:val="24"/>
          <w:szCs w:val="24"/>
          <w:lang w:val="en-US" w:eastAsia="zh-CN"/>
        </w:rPr>
        <w:t>1</w:t>
      </w:r>
      <w:r>
        <w:rPr>
          <w:rFonts w:hint="eastAsia" w:ascii="宋体" w:hAnsi="宋体" w:eastAsia="宋体" w:cs="宋体"/>
          <w:color w:val="auto"/>
          <w:spacing w:val="-6"/>
          <w:sz w:val="24"/>
          <w:szCs w:val="24"/>
        </w:rPr>
        <w:t>分，</w:t>
      </w:r>
      <w:r>
        <w:rPr>
          <w:rFonts w:hint="eastAsia" w:ascii="宋体" w:hAnsi="宋体" w:eastAsia="宋体" w:cs="宋体"/>
          <w:color w:val="auto"/>
          <w:sz w:val="24"/>
          <w:szCs w:val="24"/>
        </w:rPr>
        <w:t>同时具有为中级职称得0.5分，高级职称得1分，正高级或教授级职称得</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r>
        <w:rPr>
          <w:rFonts w:hint="eastAsia" w:ascii="宋体" w:hAnsi="宋体" w:eastAsia="宋体" w:cs="宋体"/>
          <w:color w:val="auto"/>
          <w:spacing w:val="-6"/>
          <w:sz w:val="24"/>
          <w:szCs w:val="24"/>
        </w:rPr>
        <w:t>总共1</w:t>
      </w:r>
      <w:r>
        <w:rPr>
          <w:rFonts w:hint="eastAsia" w:ascii="宋体" w:hAnsi="宋体" w:eastAsia="宋体" w:cs="宋体"/>
          <w:color w:val="auto"/>
          <w:spacing w:val="-6"/>
          <w:sz w:val="24"/>
          <w:szCs w:val="24"/>
          <w:lang w:val="en-US" w:eastAsia="zh-CN"/>
        </w:rPr>
        <w:t>0</w:t>
      </w:r>
      <w:r>
        <w:rPr>
          <w:rFonts w:hint="eastAsia" w:ascii="宋体" w:hAnsi="宋体" w:eastAsia="宋体" w:cs="宋体"/>
          <w:color w:val="auto"/>
          <w:spacing w:val="-6"/>
          <w:sz w:val="24"/>
          <w:szCs w:val="24"/>
        </w:rPr>
        <w:t>分</w:t>
      </w:r>
      <w:r>
        <w:rPr>
          <w:rFonts w:hint="eastAsia" w:ascii="宋体" w:hAnsi="宋体" w:eastAsia="宋体" w:cs="宋体"/>
          <w:color w:val="auto"/>
          <w:spacing w:val="-6"/>
          <w:sz w:val="24"/>
          <w:szCs w:val="24"/>
          <w:lang w:eastAsia="zh-CN"/>
        </w:rPr>
        <w:t>。</w:t>
      </w:r>
    </w:p>
    <w:p>
      <w:pPr>
        <w:pStyle w:val="4"/>
        <w:keepNext w:val="0"/>
        <w:keepLines w:val="0"/>
        <w:pageBreakBefore w:val="0"/>
        <w:widowControl/>
        <w:kinsoku/>
        <w:wordWrap/>
        <w:overflowPunct/>
        <w:topLinePunct w:val="0"/>
        <w:autoSpaceDE/>
        <w:autoSpaceDN/>
        <w:bidi w:val="0"/>
        <w:adjustRightInd/>
        <w:snapToGrid/>
        <w:spacing w:line="360" w:lineRule="auto"/>
        <w:ind w:firstLine="456" w:firstLineChars="200"/>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其他参与人员具有中级职称的，每提供1人得1分，总共</w:t>
      </w:r>
      <w:r>
        <w:rPr>
          <w:rFonts w:hint="eastAsia" w:ascii="宋体" w:hAnsi="宋体" w:eastAsia="宋体" w:cs="宋体"/>
          <w:color w:val="auto"/>
          <w:spacing w:val="-6"/>
          <w:sz w:val="24"/>
          <w:szCs w:val="24"/>
          <w:lang w:val="en-US" w:eastAsia="zh-CN"/>
        </w:rPr>
        <w:t>6</w:t>
      </w:r>
      <w:r>
        <w:rPr>
          <w:rFonts w:hint="eastAsia" w:ascii="宋体" w:hAnsi="宋体" w:eastAsia="宋体" w:cs="宋体"/>
          <w:color w:val="auto"/>
          <w:spacing w:val="-6"/>
          <w:sz w:val="24"/>
          <w:szCs w:val="24"/>
        </w:rPr>
        <w:t>分。</w:t>
      </w:r>
    </w:p>
    <w:p>
      <w:pPr>
        <w:pStyle w:val="5"/>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以上需提供咨询师执业资格证书、职称证书、供应商为其依法缴纳的近半年任意</w:t>
      </w:r>
      <w:r>
        <w:rPr>
          <w:rFonts w:hint="eastAsia" w:ascii="宋体" w:hAnsi="宋体" w:eastAsia="宋体" w:cs="宋体"/>
          <w:color w:val="auto"/>
          <w:spacing w:val="-6"/>
          <w:sz w:val="24"/>
          <w:szCs w:val="24"/>
          <w:lang w:val="en-US" w:eastAsia="zh-CN"/>
        </w:rPr>
        <w:t>1</w:t>
      </w:r>
      <w:r>
        <w:rPr>
          <w:rFonts w:hint="eastAsia" w:ascii="宋体" w:hAnsi="宋体" w:eastAsia="宋体" w:cs="宋体"/>
          <w:color w:val="auto"/>
          <w:spacing w:val="-6"/>
          <w:sz w:val="24"/>
          <w:szCs w:val="24"/>
        </w:rPr>
        <w:t>个月社保证明。</w:t>
      </w:r>
    </w:p>
    <w:p>
      <w:pPr>
        <w:pStyle w:val="5"/>
        <w:keepNext w:val="0"/>
        <w:keepLines w:val="0"/>
        <w:pageBreakBefore w:val="0"/>
        <w:widowControl/>
        <w:kinsoku/>
        <w:wordWrap/>
        <w:overflowPunct/>
        <w:topLinePunct w:val="0"/>
        <w:autoSpaceDE/>
        <w:autoSpaceDN/>
        <w:bidi w:val="0"/>
        <w:adjustRightInd/>
        <w:snapToGrid/>
        <w:spacing w:line="360" w:lineRule="auto"/>
        <w:ind w:left="0" w:leftChars="0" w:firstLine="456" w:firstLineChars="200"/>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（2）项目服务能力（满分3分）</w:t>
      </w:r>
    </w:p>
    <w:p>
      <w:pPr>
        <w:pStyle w:val="5"/>
        <w:keepNext w:val="0"/>
        <w:keepLines w:val="0"/>
        <w:pageBreakBefore w:val="0"/>
        <w:widowControl/>
        <w:kinsoku/>
        <w:wordWrap/>
        <w:overflowPunct/>
        <w:topLinePunct w:val="0"/>
        <w:autoSpaceDE/>
        <w:autoSpaceDN/>
        <w:bidi w:val="0"/>
        <w:adjustRightInd/>
        <w:snapToGrid/>
        <w:spacing w:line="360" w:lineRule="auto"/>
        <w:ind w:left="0" w:leftChars="0" w:firstLine="456" w:firstLineChars="200"/>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投标人具有AAA级信用企业、AAA级质量服务诚信单位、ISO9001质量管理体系认证证书，每提供一个得1分，最高3分。</w:t>
      </w:r>
    </w:p>
    <w:p>
      <w:pPr>
        <w:pStyle w:val="5"/>
        <w:keepNext w:val="0"/>
        <w:keepLines w:val="0"/>
        <w:pageBreakBefore w:val="0"/>
        <w:widowControl/>
        <w:kinsoku/>
        <w:wordWrap/>
        <w:overflowPunct/>
        <w:topLinePunct w:val="0"/>
        <w:autoSpaceDE/>
        <w:autoSpaceDN/>
        <w:bidi w:val="0"/>
        <w:adjustRightInd/>
        <w:snapToGrid/>
        <w:spacing w:line="360" w:lineRule="auto"/>
        <w:ind w:left="0" w:leftChars="0" w:firstLine="456" w:firstLineChars="200"/>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注：提供相关证书及评价机构出具的信用报告扫描件。</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（四）商务分（12 分）</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自2019年以来完成类似咨询项目的，每个得2分，本项满分12分（</w:t>
      </w:r>
      <w:r>
        <w:rPr>
          <w:rFonts w:hint="eastAsia" w:ascii="宋体" w:hAnsi="宋体" w:eastAsia="宋体" w:cs="宋体"/>
          <w:bCs/>
          <w:color w:val="auto"/>
          <w:sz w:val="24"/>
          <w:szCs w:val="24"/>
        </w:rPr>
        <w:t>提供与采购方的合同复印件，时间以合同签订日期为准，需提供合同封面、合同签字盖章页及证明采购内容关键页的复印件</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56" w:firstLineChars="200"/>
        <w:textAlignment w:val="auto"/>
        <w:outlineLvl w:val="9"/>
        <w:rPr>
          <w:rFonts w:hint="eastAsia" w:ascii="宋体" w:hAnsi="宋体" w:eastAsia="宋体" w:cs="宋体"/>
          <w:b/>
          <w:bCs/>
          <w:color w:val="auto"/>
          <w:spacing w:val="-6"/>
          <w:sz w:val="24"/>
          <w:szCs w:val="24"/>
        </w:rPr>
      </w:pPr>
      <w:r>
        <w:rPr>
          <w:rFonts w:hint="eastAsia" w:ascii="宋体" w:hAnsi="宋体" w:eastAsia="宋体" w:cs="宋体"/>
          <w:color w:val="auto"/>
          <w:spacing w:val="-6"/>
          <w:sz w:val="24"/>
          <w:szCs w:val="24"/>
        </w:rPr>
        <w:t>总分值=（</w:t>
      </w:r>
      <w:r>
        <w:rPr>
          <w:rFonts w:hint="eastAsia" w:ascii="宋体" w:hAnsi="宋体" w:eastAsia="宋体" w:cs="宋体"/>
          <w:b/>
          <w:bCs/>
          <w:color w:val="auto"/>
          <w:spacing w:val="-6"/>
          <w:sz w:val="24"/>
          <w:szCs w:val="24"/>
        </w:rPr>
        <w:t>一</w:t>
      </w:r>
      <w:r>
        <w:rPr>
          <w:rFonts w:hint="eastAsia" w:ascii="宋体" w:hAnsi="宋体" w:eastAsia="宋体" w:cs="宋体"/>
          <w:color w:val="auto"/>
          <w:spacing w:val="-6"/>
          <w:sz w:val="24"/>
          <w:szCs w:val="24"/>
        </w:rPr>
        <w:t>）</w:t>
      </w:r>
      <w:r>
        <w:rPr>
          <w:rFonts w:hint="eastAsia" w:ascii="宋体" w:hAnsi="宋体" w:eastAsia="宋体" w:cs="宋体"/>
          <w:b/>
          <w:bCs/>
          <w:color w:val="auto"/>
          <w:spacing w:val="-6"/>
          <w:sz w:val="24"/>
          <w:szCs w:val="24"/>
        </w:rPr>
        <w:t>+（二）+（三）+（四）</w:t>
      </w:r>
    </w:p>
    <w:p>
      <w:pPr>
        <w:keepNext w:val="0"/>
        <w:keepLines w:val="0"/>
        <w:pageBreakBefore w:val="0"/>
        <w:widowControl/>
        <w:kinsoku/>
        <w:wordWrap/>
        <w:overflowPunct/>
        <w:topLinePunct w:val="0"/>
        <w:autoSpaceDE/>
        <w:autoSpaceDN/>
        <w:bidi w:val="0"/>
        <w:adjustRightInd/>
        <w:snapToGrid/>
        <w:spacing w:line="360" w:lineRule="auto"/>
        <w:ind w:firstLine="568" w:firstLineChars="202"/>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三、成交候选人推荐原则</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根据供应商提交的材料进行综合评分，按照得分由高到低顺序得出成交候选人名单，评审得分相同的，按照最后报价（不计算价格折扣）由低到高排序，评审得分且最后报价（不计算价格折扣）相同的，按照技术指标优劣排序。成交原则为排序顺位第一的供应商。如成交供应商因不可抗力提出不能履行合同，顺位选择第二排名的供应商，以此类推。</w:t>
      </w:r>
    </w:p>
    <w:p>
      <w:pPr>
        <w:rPr>
          <w:color w:val="auto"/>
        </w:rPr>
      </w:pPr>
    </w:p>
    <w:p>
      <w:pPr>
        <w:widowControl w:val="0"/>
        <w:tabs>
          <w:tab w:val="left" w:pos="0"/>
        </w:tabs>
        <w:spacing w:line="600" w:lineRule="exact"/>
        <w:ind w:left="4670" w:leftChars="1824" w:hanging="840" w:hangingChars="400"/>
        <w:jc w:val="left"/>
        <w:rPr>
          <w:color w:val="auto"/>
        </w:rPr>
      </w:pPr>
    </w:p>
    <w:p>
      <w:pPr>
        <w:spacing w:line="300" w:lineRule="auto"/>
        <w:ind w:firstLine="424" w:firstLineChars="202"/>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73"/>
    <w:rsid w:val="00241073"/>
    <w:rsid w:val="004C41C5"/>
    <w:rsid w:val="00727F84"/>
    <w:rsid w:val="009C5DBC"/>
    <w:rsid w:val="009D6C80"/>
    <w:rsid w:val="00A70F7D"/>
    <w:rsid w:val="00BB6DE4"/>
    <w:rsid w:val="00FD67DF"/>
    <w:rsid w:val="013C5309"/>
    <w:rsid w:val="07AD3575"/>
    <w:rsid w:val="0D645344"/>
    <w:rsid w:val="0F6A113D"/>
    <w:rsid w:val="16801D83"/>
    <w:rsid w:val="2135331B"/>
    <w:rsid w:val="22A85A60"/>
    <w:rsid w:val="35BE79E2"/>
    <w:rsid w:val="363473D9"/>
    <w:rsid w:val="3F280AE6"/>
    <w:rsid w:val="41297415"/>
    <w:rsid w:val="42624EB4"/>
    <w:rsid w:val="48557C54"/>
    <w:rsid w:val="4BB653DA"/>
    <w:rsid w:val="4DB00C57"/>
    <w:rsid w:val="4DEE2BB8"/>
    <w:rsid w:val="4E0633A9"/>
    <w:rsid w:val="4ECE307D"/>
    <w:rsid w:val="4FD70CC1"/>
    <w:rsid w:val="517813BC"/>
    <w:rsid w:val="5D977597"/>
    <w:rsid w:val="5F355421"/>
    <w:rsid w:val="64673DFE"/>
    <w:rsid w:val="6AC871F9"/>
    <w:rsid w:val="706E23B8"/>
    <w:rsid w:val="708755C1"/>
    <w:rsid w:val="764124CA"/>
    <w:rsid w:val="778C7172"/>
    <w:rsid w:val="7B1B5EF1"/>
    <w:rsid w:val="7CB8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widowControl w:val="0"/>
      <w:adjustRightInd w:val="0"/>
      <w:ind w:left="420" w:right="33"/>
      <w:jc w:val="left"/>
      <w:textAlignment w:val="baseline"/>
    </w:pPr>
    <w:rPr>
      <w:rFonts w:ascii="Calibri" w:hAnsi="Calibri" w:eastAsia="宋体" w:cs="Times New Roman"/>
      <w:kern w:val="0"/>
      <w:sz w:val="24"/>
      <w:szCs w:val="20"/>
      <w:lang w:val="en-US" w:eastAsia="zh-CN" w:bidi="ar-SA"/>
    </w:rPr>
  </w:style>
  <w:style w:type="paragraph" w:styleId="3">
    <w:name w:val="annotation subject"/>
    <w:basedOn w:val="4"/>
    <w:next w:val="4"/>
    <w:link w:val="16"/>
    <w:qFormat/>
    <w:uiPriority w:val="0"/>
    <w:rPr>
      <w:b/>
      <w:bCs/>
    </w:rPr>
  </w:style>
  <w:style w:type="paragraph" w:styleId="4">
    <w:name w:val="annotation text"/>
    <w:basedOn w:val="1"/>
    <w:link w:val="15"/>
    <w:qFormat/>
    <w:uiPriority w:val="0"/>
    <w:pPr>
      <w:jc w:val="left"/>
    </w:pPr>
  </w:style>
  <w:style w:type="paragraph" w:styleId="5">
    <w:name w:val="Normal Indent"/>
    <w:basedOn w:val="1"/>
    <w:semiHidden/>
    <w:qFormat/>
    <w:uiPriority w:val="0"/>
    <w:pPr>
      <w:ind w:firstLine="420"/>
    </w:pPr>
    <w:rPr>
      <w:rFonts w:eastAsia="微软雅黑"/>
    </w:rPr>
  </w:style>
  <w:style w:type="paragraph" w:styleId="6">
    <w:name w:val="Balloon Text"/>
    <w:basedOn w:val="1"/>
    <w:link w:val="17"/>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paragraph" w:customStyle="1" w:styleId="12">
    <w:name w:val="Table Paragraph"/>
    <w:basedOn w:val="1"/>
    <w:qFormat/>
    <w:uiPriority w:val="1"/>
    <w:rPr>
      <w:rFonts w:ascii="宋体" w:hAnsi="宋体" w:cs="宋体"/>
      <w:lang w:val="zh-CN" w:bidi="zh-CN"/>
    </w:rPr>
  </w:style>
  <w:style w:type="character" w:customStyle="1" w:styleId="13">
    <w:name w:val="页眉 Char"/>
    <w:basedOn w:val="9"/>
    <w:link w:val="8"/>
    <w:qFormat/>
    <w:uiPriority w:val="0"/>
    <w:rPr>
      <w:rFonts w:ascii="Calibri" w:hAnsi="Calibri" w:eastAsia="宋体" w:cs="Times New Roman"/>
      <w:kern w:val="2"/>
      <w:sz w:val="18"/>
      <w:szCs w:val="18"/>
    </w:rPr>
  </w:style>
  <w:style w:type="character" w:customStyle="1" w:styleId="14">
    <w:name w:val="页脚 Char"/>
    <w:basedOn w:val="9"/>
    <w:link w:val="7"/>
    <w:qFormat/>
    <w:uiPriority w:val="0"/>
    <w:rPr>
      <w:rFonts w:ascii="Calibri" w:hAnsi="Calibri" w:eastAsia="宋体" w:cs="Times New Roman"/>
      <w:kern w:val="2"/>
      <w:sz w:val="18"/>
      <w:szCs w:val="18"/>
    </w:rPr>
  </w:style>
  <w:style w:type="character" w:customStyle="1" w:styleId="15">
    <w:name w:val="批注文字 Char"/>
    <w:basedOn w:val="9"/>
    <w:link w:val="4"/>
    <w:qFormat/>
    <w:uiPriority w:val="0"/>
    <w:rPr>
      <w:rFonts w:ascii="Calibri" w:hAnsi="Calibri" w:eastAsia="宋体" w:cs="Times New Roman"/>
      <w:kern w:val="2"/>
      <w:sz w:val="21"/>
    </w:rPr>
  </w:style>
  <w:style w:type="character" w:customStyle="1" w:styleId="16">
    <w:name w:val="批注主题 Char"/>
    <w:basedOn w:val="15"/>
    <w:link w:val="3"/>
    <w:qFormat/>
    <w:uiPriority w:val="0"/>
    <w:rPr>
      <w:rFonts w:ascii="Calibri" w:hAnsi="Calibri" w:eastAsia="宋体" w:cs="Times New Roman"/>
      <w:b/>
      <w:bCs/>
      <w:kern w:val="2"/>
      <w:sz w:val="21"/>
    </w:rPr>
  </w:style>
  <w:style w:type="character" w:customStyle="1" w:styleId="17">
    <w:name w:val="批注框文本 Char"/>
    <w:basedOn w:val="9"/>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设计集团</Company>
  <Pages>3</Pages>
  <Words>373</Words>
  <Characters>2129</Characters>
  <Lines>17</Lines>
  <Paragraphs>4</Paragraphs>
  <TotalTime>2</TotalTime>
  <ScaleCrop>false</ScaleCrop>
  <LinksUpToDate>false</LinksUpToDate>
  <CharactersWithSpaces>2498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2024-06-13T02:25:00Z</dcterms:created>
  <dc:creator>hyj</dc:creator>
  <cp:lastModifiedBy>韦细姣</cp:lastModifiedBy>
  <dcterms:modified xsi:type="dcterms:W3CDTF">2024-06-14T09:25:47Z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