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val="0"/>
        <w:tabs>
          <w:tab w:val="left" w:pos="0"/>
        </w:tabs>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val="0"/>
        <w:tabs>
          <w:tab w:val="left" w:pos="0"/>
        </w:tabs>
        <w:spacing w:line="6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综合评分办法</w:t>
      </w:r>
    </w:p>
    <w:p>
      <w:pPr>
        <w:widowControl w:val="0"/>
        <w:tabs>
          <w:tab w:val="left" w:pos="0"/>
        </w:tabs>
        <w:spacing w:line="600" w:lineRule="exact"/>
        <w:jc w:val="center"/>
        <w:rPr>
          <w:rFonts w:ascii="方正小标宋_GBK" w:hAnsi="方正小标宋_GBK" w:eastAsia="方正小标宋_GBK" w:cs="方正小标宋_GBK"/>
          <w:sz w:val="32"/>
          <w:szCs w:val="32"/>
        </w:rPr>
      </w:pPr>
    </w:p>
    <w:p>
      <w:pPr>
        <w:spacing w:line="300" w:lineRule="auto"/>
        <w:ind w:firstLine="426" w:firstLineChars="202"/>
        <w:rPr>
          <w:b/>
          <w:szCs w:val="21"/>
        </w:rPr>
      </w:pPr>
      <w:r>
        <w:rPr>
          <w:rFonts w:hint="eastAsia"/>
          <w:b/>
          <w:szCs w:val="21"/>
        </w:rPr>
        <w:t>一、评审原则</w:t>
      </w:r>
    </w:p>
    <w:p>
      <w:pPr>
        <w:spacing w:line="300" w:lineRule="auto"/>
        <w:ind w:firstLine="424" w:firstLineChars="202"/>
        <w:rPr>
          <w:szCs w:val="21"/>
        </w:rPr>
      </w:pPr>
      <w:r>
        <w:rPr>
          <w:rFonts w:hint="eastAsia"/>
          <w:szCs w:val="21"/>
        </w:rPr>
        <w:t>（一）评审小组构成：本项目的评审小组由采购单位组建，成员包含技术、经济等方面专业人员，成员人数为三人以上（含三人）单数。其中，技术、经济等方面的专家不得少于成员总数的三分之二。</w:t>
      </w:r>
    </w:p>
    <w:p>
      <w:pPr>
        <w:spacing w:line="300" w:lineRule="auto"/>
        <w:ind w:firstLine="424" w:firstLineChars="202"/>
        <w:rPr>
          <w:szCs w:val="21"/>
        </w:rPr>
      </w:pPr>
      <w:r>
        <w:rPr>
          <w:rFonts w:hint="eastAsia"/>
          <w:szCs w:val="21"/>
        </w:rPr>
        <w:t>（二）评审依据：本评审办法和供应商提交的响应文件。</w:t>
      </w:r>
    </w:p>
    <w:p>
      <w:pPr>
        <w:spacing w:line="300" w:lineRule="auto"/>
        <w:ind w:firstLine="424" w:firstLineChars="202"/>
        <w:rPr>
          <w:szCs w:val="21"/>
        </w:rPr>
      </w:pPr>
      <w:r>
        <w:rPr>
          <w:rFonts w:hint="eastAsia"/>
          <w:szCs w:val="21"/>
        </w:rPr>
        <w:t>（三）评审方法：综合评分法。</w:t>
      </w:r>
    </w:p>
    <w:p>
      <w:pPr>
        <w:spacing w:line="300" w:lineRule="auto"/>
        <w:ind w:firstLine="426" w:firstLineChars="202"/>
        <w:rPr>
          <w:b/>
          <w:szCs w:val="21"/>
        </w:rPr>
      </w:pPr>
      <w:r>
        <w:rPr>
          <w:rFonts w:hint="eastAsia"/>
          <w:b/>
          <w:szCs w:val="21"/>
        </w:rPr>
        <w:t>二、评审方法</w:t>
      </w:r>
    </w:p>
    <w:p>
      <w:pPr>
        <w:spacing w:line="300" w:lineRule="auto"/>
        <w:ind w:firstLine="424" w:firstLineChars="202"/>
        <w:rPr>
          <w:szCs w:val="21"/>
        </w:rPr>
      </w:pPr>
      <w:r>
        <w:rPr>
          <w:rFonts w:hint="eastAsia"/>
          <w:szCs w:val="21"/>
        </w:rPr>
        <w:t>供应商提交的报价及资格材料经初核符合要求的进入详评，评审小组将按本评审办法和响应文件为评定依据，采用百分制综合评分法：</w:t>
      </w:r>
    </w:p>
    <w:p>
      <w:pPr>
        <w:spacing w:line="300" w:lineRule="auto"/>
        <w:ind w:firstLine="426" w:firstLineChars="202"/>
        <w:rPr>
          <w:b/>
          <w:szCs w:val="21"/>
        </w:rPr>
      </w:pPr>
      <w:r>
        <w:rPr>
          <w:rFonts w:hint="eastAsia"/>
          <w:b/>
          <w:szCs w:val="21"/>
        </w:rPr>
        <w:t>评分细则（按四舍五入取至百分位）：</w:t>
      </w:r>
    </w:p>
    <w:p>
      <w:pPr>
        <w:spacing w:line="300" w:lineRule="auto"/>
        <w:ind w:firstLine="422" w:firstLineChars="200"/>
        <w:rPr>
          <w:b/>
          <w:szCs w:val="21"/>
        </w:rPr>
      </w:pPr>
      <w:r>
        <w:rPr>
          <w:rFonts w:hint="eastAsia"/>
          <w:b/>
          <w:szCs w:val="21"/>
        </w:rPr>
        <w:t>（一）价格分…………………………………………………………………………… 30分</w:t>
      </w:r>
    </w:p>
    <w:p>
      <w:pPr>
        <w:spacing w:line="300" w:lineRule="auto"/>
        <w:ind w:firstLine="420" w:firstLineChars="200"/>
        <w:rPr>
          <w:szCs w:val="21"/>
        </w:rPr>
      </w:pPr>
      <w:r>
        <w:rPr>
          <w:rFonts w:hint="eastAsia"/>
          <w:szCs w:val="21"/>
        </w:rPr>
        <w:t>1、评审价为供应商的报价进行政策性扣除后的价格，评审价只是作为评审时使用。最终成交人的成交报价＝最终报价。</w:t>
      </w:r>
    </w:p>
    <w:p>
      <w:pPr>
        <w:spacing w:line="300" w:lineRule="auto"/>
        <w:ind w:firstLine="420" w:firstLineChars="200"/>
        <w:rPr>
          <w:szCs w:val="21"/>
        </w:rPr>
      </w:pPr>
      <w:r>
        <w:rPr>
          <w:rFonts w:hint="eastAsia"/>
          <w:szCs w:val="21"/>
        </w:rPr>
        <w:t>2、按照《政府采购促进中小企业发展管理办法》（财库〔2020〕46号）规定，供应商为小型和微型企业，并在其响应文件中提供《中小企业声明函》，且其所竞标产品为小型和微型企业生产的，对其竞标价格给予6%的扣除。</w:t>
      </w:r>
    </w:p>
    <w:p>
      <w:pPr>
        <w:spacing w:line="300" w:lineRule="auto"/>
        <w:ind w:firstLine="420" w:firstLineChars="200"/>
        <w:rPr>
          <w:szCs w:val="21"/>
        </w:rPr>
      </w:pPr>
      <w:r>
        <w:rPr>
          <w:rFonts w:hint="eastAsia"/>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300" w:lineRule="auto"/>
        <w:ind w:firstLine="420" w:firstLineChars="200"/>
        <w:rPr>
          <w:szCs w:val="21"/>
        </w:rPr>
      </w:pPr>
      <w:r>
        <w:rPr>
          <w:rFonts w:hint="eastAsia"/>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00" w:lineRule="auto"/>
        <w:ind w:firstLine="420" w:firstLineChars="200"/>
        <w:rPr>
          <w:szCs w:val="21"/>
        </w:rPr>
      </w:pPr>
      <w:r>
        <w:rPr>
          <w:rFonts w:hint="eastAsia"/>
          <w:szCs w:val="21"/>
        </w:rPr>
        <w:t>5、政策性扣除计算方法。</w:t>
      </w:r>
    </w:p>
    <w:p>
      <w:pPr>
        <w:spacing w:line="300" w:lineRule="auto"/>
        <w:ind w:firstLine="420" w:firstLineChars="200"/>
        <w:rPr>
          <w:szCs w:val="21"/>
        </w:rPr>
      </w:pPr>
      <w:r>
        <w:rPr>
          <w:rFonts w:hint="eastAsia"/>
          <w:szCs w:val="21"/>
        </w:rPr>
        <w:t>供应商被评定为监狱企业或残疾人福利性单位或小型和微型企业且其所竞标产品为小型和微型企业产品的，该供应商的磋商报价给予6%的扣除，扣除后的价格为评审报价，即评审报价=初始报价×（1-6%）；除上述情况外，评审报价=最终报价。</w:t>
      </w:r>
    </w:p>
    <w:p>
      <w:pPr>
        <w:spacing w:line="300" w:lineRule="auto"/>
        <w:ind w:firstLine="420" w:firstLineChars="200"/>
        <w:rPr>
          <w:szCs w:val="21"/>
        </w:rPr>
      </w:pPr>
      <w:r>
        <w:rPr>
          <w:rFonts w:hint="eastAsia"/>
          <w:szCs w:val="21"/>
        </w:rPr>
        <w:t>6、以进入评审的最低的评审报价为</w:t>
      </w:r>
      <w:r>
        <w:rPr>
          <w:rFonts w:hint="eastAsia"/>
          <w:b/>
          <w:szCs w:val="21"/>
        </w:rPr>
        <w:t>30</w:t>
      </w:r>
      <w:r>
        <w:rPr>
          <w:rFonts w:hint="eastAsia"/>
          <w:szCs w:val="21"/>
        </w:rPr>
        <w:t>分。</w:t>
      </w:r>
    </w:p>
    <w:p>
      <w:pPr>
        <w:spacing w:line="300" w:lineRule="auto"/>
        <w:ind w:firstLine="420" w:firstLineChars="200"/>
        <w:rPr>
          <w:szCs w:val="21"/>
        </w:rPr>
      </w:pPr>
      <w:r>
        <w:rPr>
          <w:rFonts w:hint="eastAsia"/>
          <w:szCs w:val="21"/>
        </w:rPr>
        <w:t>7、</w:t>
      </w:r>
      <w:r>
        <w:rPr>
          <w:rFonts w:hint="eastAsia"/>
          <w:spacing w:val="-6"/>
          <w:szCs w:val="21"/>
        </w:rPr>
        <w:t xml:space="preserve">某供应商价格分 = 供应商最低评审报价（金额）/某供应商评审报价（金额）× </w:t>
      </w:r>
      <w:r>
        <w:rPr>
          <w:rFonts w:hint="eastAsia"/>
          <w:b/>
          <w:szCs w:val="21"/>
        </w:rPr>
        <w:t>30</w:t>
      </w:r>
      <w:r>
        <w:rPr>
          <w:rFonts w:hint="eastAsia"/>
          <w:szCs w:val="21"/>
        </w:rPr>
        <w:t>分</w:t>
      </w:r>
    </w:p>
    <w:p>
      <w:pPr>
        <w:spacing w:line="300" w:lineRule="auto"/>
        <w:ind w:firstLine="422" w:firstLineChars="200"/>
        <w:rPr>
          <w:b/>
          <w:szCs w:val="21"/>
        </w:rPr>
      </w:pPr>
      <w:r>
        <w:rPr>
          <w:rFonts w:hint="eastAsia"/>
          <w:b/>
          <w:szCs w:val="21"/>
        </w:rPr>
        <w:t>（二）服务方案分……………………………………………………………………… 30分</w:t>
      </w:r>
    </w:p>
    <w:p>
      <w:pPr>
        <w:spacing w:line="300" w:lineRule="auto"/>
        <w:ind w:firstLine="396" w:firstLineChars="200"/>
        <w:rPr>
          <w:spacing w:val="-6"/>
          <w:szCs w:val="21"/>
        </w:rPr>
      </w:pPr>
      <w:r>
        <w:rPr>
          <w:rFonts w:hint="eastAsia"/>
          <w:spacing w:val="-6"/>
          <w:szCs w:val="21"/>
        </w:rPr>
        <w:t>一档（10分）：提供船舶的各参数</w:t>
      </w:r>
      <w:r>
        <w:rPr>
          <w:rFonts w:hint="eastAsia"/>
          <w:spacing w:val="-6"/>
          <w:szCs w:val="21"/>
          <w:lang w:eastAsia="zh-CN"/>
        </w:rPr>
        <w:t>、</w:t>
      </w:r>
      <w:r>
        <w:rPr>
          <w:rFonts w:hint="eastAsia"/>
          <w:spacing w:val="-6"/>
          <w:szCs w:val="21"/>
        </w:rPr>
        <w:t>整体服务承诺、出海安全保障、船上人员服务基本符合项目要求，基本符合采购项目要求，综合评定为一般；</w:t>
      </w:r>
    </w:p>
    <w:p>
      <w:pPr>
        <w:spacing w:line="300" w:lineRule="auto"/>
        <w:ind w:firstLine="396" w:firstLineChars="200"/>
        <w:rPr>
          <w:spacing w:val="-6"/>
          <w:szCs w:val="21"/>
        </w:rPr>
      </w:pPr>
      <w:r>
        <w:rPr>
          <w:rFonts w:hint="eastAsia"/>
          <w:spacing w:val="-6"/>
          <w:szCs w:val="21"/>
        </w:rPr>
        <w:t>二档（</w:t>
      </w:r>
      <w:r>
        <w:rPr>
          <w:rFonts w:hint="eastAsia"/>
          <w:spacing w:val="-6"/>
          <w:szCs w:val="21"/>
          <w:lang w:val="en-US" w:eastAsia="zh-CN"/>
        </w:rPr>
        <w:t>20</w:t>
      </w:r>
      <w:r>
        <w:rPr>
          <w:rFonts w:hint="eastAsia"/>
          <w:spacing w:val="-6"/>
          <w:szCs w:val="21"/>
        </w:rPr>
        <w:t>分）：提供船舶的各参数</w:t>
      </w:r>
      <w:r>
        <w:rPr>
          <w:rFonts w:hint="eastAsia"/>
          <w:spacing w:val="-6"/>
          <w:szCs w:val="21"/>
          <w:lang w:eastAsia="zh-CN"/>
        </w:rPr>
        <w:t>、</w:t>
      </w:r>
      <w:r>
        <w:rPr>
          <w:rFonts w:hint="eastAsia"/>
          <w:spacing w:val="-6"/>
          <w:szCs w:val="21"/>
        </w:rPr>
        <w:t>整体服务承诺、出海安全保障、船上人员服务符合采购项目要求；综合评定为良好。</w:t>
      </w:r>
    </w:p>
    <w:p>
      <w:pPr>
        <w:spacing w:line="300" w:lineRule="auto"/>
        <w:ind w:firstLine="396" w:firstLineChars="200"/>
        <w:rPr>
          <w:spacing w:val="-6"/>
          <w:szCs w:val="21"/>
        </w:rPr>
      </w:pPr>
      <w:r>
        <w:rPr>
          <w:rFonts w:hint="eastAsia"/>
          <w:spacing w:val="-6"/>
          <w:szCs w:val="21"/>
        </w:rPr>
        <w:t>三档（</w:t>
      </w:r>
      <w:r>
        <w:rPr>
          <w:rFonts w:hint="eastAsia"/>
          <w:spacing w:val="-6"/>
          <w:szCs w:val="21"/>
          <w:lang w:val="en-US" w:eastAsia="zh-CN"/>
        </w:rPr>
        <w:t>3</w:t>
      </w:r>
      <w:r>
        <w:rPr>
          <w:rFonts w:hint="eastAsia"/>
          <w:spacing w:val="-6"/>
          <w:szCs w:val="21"/>
        </w:rPr>
        <w:t>0分）：提供船舶的各参数</w:t>
      </w:r>
      <w:r>
        <w:rPr>
          <w:rFonts w:hint="eastAsia"/>
          <w:spacing w:val="-6"/>
          <w:szCs w:val="21"/>
          <w:lang w:eastAsia="zh-CN"/>
        </w:rPr>
        <w:t>、</w:t>
      </w:r>
      <w:r>
        <w:rPr>
          <w:rFonts w:hint="eastAsia"/>
          <w:spacing w:val="-6"/>
          <w:szCs w:val="21"/>
        </w:rPr>
        <w:t>整体服务承诺、出海安全保障、船上人员服务</w:t>
      </w:r>
      <w:r>
        <w:rPr>
          <w:rFonts w:hint="eastAsia"/>
          <w:spacing w:val="-6"/>
          <w:szCs w:val="21"/>
          <w:lang w:eastAsia="zh-CN"/>
        </w:rPr>
        <w:t>完全符合或优于</w:t>
      </w:r>
      <w:r>
        <w:rPr>
          <w:rFonts w:hint="eastAsia"/>
          <w:spacing w:val="-6"/>
          <w:szCs w:val="21"/>
        </w:rPr>
        <w:t>采购项目要求，并针对本项目提出有利于项目进行的可行性建议或措施。综合评定为优秀。</w:t>
      </w:r>
    </w:p>
    <w:p>
      <w:pPr>
        <w:spacing w:line="300" w:lineRule="auto"/>
        <w:ind w:firstLine="396" w:firstLineChars="200"/>
        <w:rPr>
          <w:rFonts w:hint="eastAsia" w:eastAsia="宋体"/>
          <w:color w:val="auto"/>
          <w:spacing w:val="-6"/>
          <w:szCs w:val="21"/>
          <w:lang w:eastAsia="zh-CN"/>
        </w:rPr>
      </w:pPr>
      <w:r>
        <w:rPr>
          <w:rFonts w:hint="eastAsia"/>
          <w:color w:val="auto"/>
          <w:spacing w:val="-6"/>
          <w:szCs w:val="21"/>
        </w:rPr>
        <w:t>具体</w:t>
      </w:r>
      <w:r>
        <w:rPr>
          <w:rFonts w:hint="eastAsia"/>
          <w:color w:val="auto"/>
          <w:spacing w:val="-6"/>
          <w:szCs w:val="21"/>
          <w:lang w:eastAsia="zh-CN"/>
        </w:rPr>
        <w:t>服务</w:t>
      </w:r>
      <w:r>
        <w:rPr>
          <w:rFonts w:hint="eastAsia"/>
          <w:color w:val="auto"/>
          <w:spacing w:val="-6"/>
          <w:szCs w:val="21"/>
        </w:rPr>
        <w:t>要求和打分标准见下表：</w:t>
      </w:r>
      <w:r>
        <w:rPr>
          <w:rFonts w:hint="eastAsia"/>
          <w:color w:val="auto"/>
          <w:spacing w:val="-6"/>
          <w:szCs w:val="21"/>
          <w:lang w:eastAsia="zh-CN"/>
        </w:rPr>
        <w:t>（</w:t>
      </w:r>
      <w:r>
        <w:rPr>
          <w:rFonts w:hint="eastAsia"/>
          <w:color w:val="auto"/>
          <w:spacing w:val="-6"/>
          <w:szCs w:val="21"/>
          <w:lang w:val="en-US" w:eastAsia="zh-CN"/>
        </w:rPr>
        <w:t>低于一档要求则该项记0分</w:t>
      </w:r>
      <w:r>
        <w:rPr>
          <w:rFonts w:hint="eastAsia"/>
          <w:color w:val="auto"/>
          <w:spacing w:val="-6"/>
          <w:szCs w:val="21"/>
          <w:lang w:eastAsia="zh-CN"/>
        </w:rPr>
        <w:t>）</w:t>
      </w:r>
    </w:p>
    <w:tbl>
      <w:tblPr>
        <w:tblStyle w:val="7"/>
        <w:tblW w:w="7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5364"/>
        <w:gridCol w:w="612"/>
        <w:gridCol w:w="612"/>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Merge w:val="restart"/>
            <w:vAlign w:val="center"/>
          </w:tcPr>
          <w:p>
            <w:pPr>
              <w:widowControl w:val="0"/>
              <w:spacing w:line="300" w:lineRule="auto"/>
              <w:jc w:val="center"/>
              <w:rPr>
                <w:color w:val="auto"/>
                <w:spacing w:val="-6"/>
                <w:szCs w:val="21"/>
              </w:rPr>
            </w:pPr>
            <w:r>
              <w:rPr>
                <w:rFonts w:hint="eastAsia"/>
                <w:color w:val="auto"/>
                <w:spacing w:val="-6"/>
                <w:szCs w:val="21"/>
              </w:rPr>
              <w:t>序号</w:t>
            </w:r>
          </w:p>
        </w:tc>
        <w:tc>
          <w:tcPr>
            <w:tcW w:w="5364" w:type="dxa"/>
            <w:vMerge w:val="restart"/>
            <w:vAlign w:val="center"/>
          </w:tcPr>
          <w:p>
            <w:pPr>
              <w:widowControl w:val="0"/>
              <w:spacing w:line="300" w:lineRule="auto"/>
              <w:jc w:val="center"/>
              <w:rPr>
                <w:color w:val="auto"/>
                <w:spacing w:val="-6"/>
                <w:szCs w:val="21"/>
              </w:rPr>
            </w:pPr>
            <w:r>
              <w:rPr>
                <w:rFonts w:hint="eastAsia"/>
                <w:color w:val="auto"/>
                <w:spacing w:val="-6"/>
                <w:szCs w:val="21"/>
              </w:rPr>
              <w:t>船的具体技术参数要求</w:t>
            </w:r>
          </w:p>
        </w:tc>
        <w:tc>
          <w:tcPr>
            <w:tcW w:w="1836" w:type="dxa"/>
            <w:gridSpan w:val="3"/>
            <w:vAlign w:val="center"/>
          </w:tcPr>
          <w:p>
            <w:pPr>
              <w:widowControl w:val="0"/>
              <w:spacing w:line="300" w:lineRule="auto"/>
              <w:jc w:val="center"/>
              <w:rPr>
                <w:rFonts w:hint="eastAsia"/>
                <w:color w:val="auto"/>
                <w:spacing w:val="-6"/>
                <w:szCs w:val="21"/>
              </w:rPr>
            </w:pPr>
            <w:r>
              <w:rPr>
                <w:rFonts w:hint="eastAsia"/>
                <w:color w:val="auto"/>
                <w:spacing w:val="-6"/>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Merge w:val="continue"/>
            <w:vAlign w:val="center"/>
          </w:tcPr>
          <w:p>
            <w:pPr>
              <w:widowControl w:val="0"/>
              <w:spacing w:line="300" w:lineRule="auto"/>
              <w:jc w:val="center"/>
              <w:rPr>
                <w:rFonts w:hint="eastAsia"/>
                <w:color w:val="auto"/>
                <w:spacing w:val="-6"/>
                <w:szCs w:val="21"/>
              </w:rPr>
            </w:pPr>
          </w:p>
        </w:tc>
        <w:tc>
          <w:tcPr>
            <w:tcW w:w="5364" w:type="dxa"/>
            <w:vMerge w:val="continue"/>
            <w:vAlign w:val="center"/>
          </w:tcPr>
          <w:p>
            <w:pPr>
              <w:widowControl w:val="0"/>
              <w:spacing w:line="300" w:lineRule="auto"/>
              <w:jc w:val="center"/>
              <w:rPr>
                <w:rFonts w:hint="eastAsia"/>
                <w:color w:val="auto"/>
                <w:spacing w:val="-6"/>
                <w:szCs w:val="21"/>
              </w:rPr>
            </w:pPr>
          </w:p>
        </w:tc>
        <w:tc>
          <w:tcPr>
            <w:tcW w:w="612"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eastAsia="zh-CN"/>
              </w:rPr>
              <w:t>一档</w:t>
            </w:r>
          </w:p>
        </w:tc>
        <w:tc>
          <w:tcPr>
            <w:tcW w:w="612"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eastAsia="zh-CN"/>
              </w:rPr>
              <w:t>二档</w:t>
            </w:r>
          </w:p>
        </w:tc>
        <w:tc>
          <w:tcPr>
            <w:tcW w:w="612"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eastAsia="zh-CN"/>
              </w:rPr>
              <w:t>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color w:val="auto"/>
                <w:spacing w:val="-6"/>
                <w:szCs w:val="21"/>
              </w:rPr>
            </w:pPr>
            <w:r>
              <w:rPr>
                <w:rFonts w:hint="eastAsia"/>
                <w:color w:val="auto"/>
                <w:spacing w:val="-6"/>
                <w:szCs w:val="21"/>
              </w:rPr>
              <w:t>1</w:t>
            </w:r>
          </w:p>
        </w:tc>
        <w:tc>
          <w:tcPr>
            <w:tcW w:w="5364" w:type="dxa"/>
            <w:vAlign w:val="center"/>
          </w:tcPr>
          <w:p>
            <w:pPr>
              <w:widowControl w:val="0"/>
              <w:spacing w:line="300" w:lineRule="auto"/>
              <w:jc w:val="center"/>
              <w:rPr>
                <w:rFonts w:hint="default" w:eastAsia="宋体"/>
                <w:color w:val="auto"/>
                <w:spacing w:val="-6"/>
                <w:szCs w:val="21"/>
                <w:lang w:val="en-US" w:eastAsia="zh-CN"/>
              </w:rPr>
            </w:pPr>
            <w:r>
              <w:rPr>
                <w:rFonts w:hint="eastAsia"/>
                <w:color w:val="auto"/>
                <w:spacing w:val="-6"/>
                <w:szCs w:val="21"/>
                <w:lang w:val="en-US" w:eastAsia="zh-CN"/>
              </w:rPr>
              <w:t>单船至少可搭乘2/3/4名工作人员。</w:t>
            </w:r>
          </w:p>
        </w:tc>
        <w:tc>
          <w:tcPr>
            <w:tcW w:w="612" w:type="dxa"/>
            <w:vAlign w:val="center"/>
          </w:tcPr>
          <w:p>
            <w:pPr>
              <w:widowControl w:val="0"/>
              <w:spacing w:line="300" w:lineRule="auto"/>
              <w:jc w:val="center"/>
              <w:rPr>
                <w:rFonts w:hint="default" w:eastAsia="宋体"/>
                <w:color w:val="auto"/>
                <w:spacing w:val="-6"/>
                <w:szCs w:val="21"/>
                <w:lang w:val="en-US" w:eastAsia="zh-CN"/>
              </w:rPr>
            </w:pPr>
            <w:r>
              <w:rPr>
                <w:rFonts w:hint="eastAsia"/>
                <w:color w:val="auto"/>
                <w:spacing w:val="-6"/>
                <w:szCs w:val="21"/>
                <w:lang w:val="en-US" w:eastAsia="zh-CN"/>
              </w:rPr>
              <w:t>2</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3</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color w:val="auto"/>
                <w:spacing w:val="-6"/>
                <w:szCs w:val="21"/>
              </w:rPr>
            </w:pPr>
            <w:r>
              <w:rPr>
                <w:rFonts w:hint="eastAsia"/>
                <w:color w:val="auto"/>
                <w:spacing w:val="-6"/>
                <w:szCs w:val="21"/>
              </w:rPr>
              <w:t>2</w:t>
            </w:r>
          </w:p>
        </w:tc>
        <w:tc>
          <w:tcPr>
            <w:tcW w:w="5364" w:type="dxa"/>
            <w:vAlign w:val="center"/>
          </w:tcPr>
          <w:p>
            <w:pPr>
              <w:widowControl w:val="0"/>
              <w:spacing w:line="300" w:lineRule="auto"/>
              <w:jc w:val="center"/>
              <w:rPr>
                <w:color w:val="auto"/>
                <w:spacing w:val="-6"/>
                <w:szCs w:val="21"/>
              </w:rPr>
            </w:pPr>
            <w:r>
              <w:rPr>
                <w:rFonts w:hint="eastAsia" w:cs="Times New Roman"/>
                <w:color w:val="auto"/>
                <w:spacing w:val="-6"/>
                <w:szCs w:val="21"/>
                <w:lang w:eastAsia="zh-CN"/>
              </w:rPr>
              <w:t>钦州海域方向：</w:t>
            </w:r>
            <w:r>
              <w:rPr>
                <w:rFonts w:hint="eastAsia" w:eastAsia="宋体" w:cs="Times New Roman"/>
                <w:color w:val="auto"/>
                <w:spacing w:val="-6"/>
                <w:szCs w:val="21"/>
              </w:rPr>
              <w:t>船长大于</w:t>
            </w:r>
            <w:r>
              <w:rPr>
                <w:rFonts w:hint="eastAsia" w:cs="Times New Roman"/>
                <w:color w:val="auto"/>
                <w:spacing w:val="-6"/>
                <w:szCs w:val="21"/>
                <w:lang w:val="en-US" w:eastAsia="zh-CN"/>
              </w:rPr>
              <w:t>7/8/</w:t>
            </w:r>
            <w:r>
              <w:rPr>
                <w:rFonts w:hint="eastAsia" w:eastAsia="宋体" w:cs="Times New Roman"/>
                <w:color w:val="auto"/>
                <w:spacing w:val="-6"/>
                <w:szCs w:val="21"/>
                <w:lang w:val="en-US" w:eastAsia="zh-CN"/>
              </w:rPr>
              <w:t>8.5</w:t>
            </w:r>
            <w:r>
              <w:rPr>
                <w:rFonts w:hint="eastAsia" w:eastAsia="宋体" w:cs="Times New Roman"/>
                <w:color w:val="auto"/>
                <w:spacing w:val="-6"/>
                <w:szCs w:val="21"/>
              </w:rPr>
              <w:t>米，主机总功率大于</w:t>
            </w:r>
            <w:r>
              <w:rPr>
                <w:rFonts w:hint="eastAsia" w:cs="Times New Roman"/>
                <w:color w:val="auto"/>
                <w:spacing w:val="-6"/>
                <w:szCs w:val="21"/>
                <w:lang w:val="en-US" w:eastAsia="zh-CN"/>
              </w:rPr>
              <w:t>80/90/</w:t>
            </w:r>
            <w:r>
              <w:rPr>
                <w:rFonts w:hint="eastAsia" w:eastAsia="宋体" w:cs="Times New Roman"/>
                <w:color w:val="auto"/>
                <w:spacing w:val="-6"/>
                <w:szCs w:val="21"/>
                <w:lang w:val="en-US" w:eastAsia="zh-CN"/>
              </w:rPr>
              <w:t>100</w:t>
            </w:r>
            <w:r>
              <w:rPr>
                <w:rFonts w:hint="eastAsia" w:eastAsia="宋体" w:cs="Times New Roman"/>
                <w:color w:val="auto"/>
                <w:spacing w:val="-6"/>
                <w:szCs w:val="21"/>
              </w:rPr>
              <w:t>千瓦。</w:t>
            </w:r>
          </w:p>
        </w:tc>
        <w:tc>
          <w:tcPr>
            <w:tcW w:w="612" w:type="dxa"/>
            <w:vAlign w:val="center"/>
          </w:tcPr>
          <w:p>
            <w:pPr>
              <w:widowControl w:val="0"/>
              <w:spacing w:line="300" w:lineRule="auto"/>
              <w:jc w:val="center"/>
              <w:rPr>
                <w:rFonts w:hint="default" w:eastAsia="宋体"/>
                <w:color w:val="auto"/>
                <w:spacing w:val="-6"/>
                <w:szCs w:val="21"/>
                <w:lang w:val="en-US" w:eastAsia="zh-CN"/>
              </w:rPr>
            </w:pPr>
            <w:r>
              <w:rPr>
                <w:rFonts w:hint="eastAsia"/>
                <w:color w:val="auto"/>
                <w:spacing w:val="-6"/>
                <w:szCs w:val="21"/>
                <w:lang w:val="en-US" w:eastAsia="zh-CN"/>
              </w:rPr>
              <w:t>2</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3</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rFonts w:hint="eastAsia"/>
                <w:color w:val="auto"/>
                <w:spacing w:val="-6"/>
                <w:szCs w:val="21"/>
              </w:rPr>
            </w:pPr>
            <w:r>
              <w:rPr>
                <w:rFonts w:hint="eastAsia"/>
                <w:color w:val="auto"/>
                <w:spacing w:val="-6"/>
                <w:szCs w:val="21"/>
                <w:lang w:val="en-US" w:eastAsia="zh-CN"/>
              </w:rPr>
              <w:t>3</w:t>
            </w:r>
          </w:p>
        </w:tc>
        <w:tc>
          <w:tcPr>
            <w:tcW w:w="5364" w:type="dxa"/>
            <w:vAlign w:val="center"/>
          </w:tcPr>
          <w:p>
            <w:pPr>
              <w:widowControl w:val="0"/>
              <w:spacing w:line="300" w:lineRule="auto"/>
              <w:jc w:val="center"/>
              <w:rPr>
                <w:rFonts w:hint="eastAsia" w:eastAsia="宋体" w:cs="Times New Roman"/>
                <w:color w:val="auto"/>
                <w:spacing w:val="-6"/>
                <w:szCs w:val="21"/>
              </w:rPr>
            </w:pPr>
            <w:r>
              <w:rPr>
                <w:rFonts w:hint="eastAsia" w:cs="Times New Roman"/>
                <w:color w:val="auto"/>
                <w:spacing w:val="-6"/>
                <w:szCs w:val="21"/>
                <w:lang w:eastAsia="zh-CN"/>
              </w:rPr>
              <w:t>防城港海域方向：</w:t>
            </w:r>
            <w:r>
              <w:rPr>
                <w:rFonts w:hint="eastAsia" w:eastAsia="宋体" w:cs="Times New Roman"/>
                <w:color w:val="auto"/>
                <w:spacing w:val="-6"/>
                <w:szCs w:val="21"/>
              </w:rPr>
              <w:t>船长大于</w:t>
            </w:r>
            <w:r>
              <w:rPr>
                <w:rFonts w:hint="eastAsia" w:cs="Times New Roman"/>
                <w:color w:val="auto"/>
                <w:spacing w:val="-6"/>
                <w:szCs w:val="21"/>
                <w:lang w:val="en-US" w:eastAsia="zh-CN"/>
              </w:rPr>
              <w:t>5/6/7</w:t>
            </w:r>
            <w:r>
              <w:rPr>
                <w:rFonts w:hint="eastAsia" w:eastAsia="宋体" w:cs="Times New Roman"/>
                <w:color w:val="auto"/>
                <w:spacing w:val="-6"/>
                <w:szCs w:val="21"/>
              </w:rPr>
              <w:t>米，主机总功率大于</w:t>
            </w:r>
            <w:r>
              <w:rPr>
                <w:rFonts w:hint="eastAsia" w:cs="Times New Roman"/>
                <w:color w:val="auto"/>
                <w:spacing w:val="-6"/>
                <w:szCs w:val="21"/>
                <w:lang w:val="en-US" w:eastAsia="zh-CN"/>
              </w:rPr>
              <w:t>10/20/30</w:t>
            </w:r>
            <w:r>
              <w:rPr>
                <w:rFonts w:hint="eastAsia" w:eastAsia="宋体" w:cs="Times New Roman"/>
                <w:color w:val="auto"/>
                <w:spacing w:val="-6"/>
                <w:szCs w:val="21"/>
              </w:rPr>
              <w:t>千瓦。</w:t>
            </w:r>
          </w:p>
        </w:tc>
        <w:tc>
          <w:tcPr>
            <w:tcW w:w="612" w:type="dxa"/>
            <w:vAlign w:val="center"/>
          </w:tcPr>
          <w:p>
            <w:pPr>
              <w:widowControl w:val="0"/>
              <w:spacing w:line="300" w:lineRule="auto"/>
              <w:jc w:val="center"/>
              <w:rPr>
                <w:rFonts w:hint="eastAsia"/>
                <w:color w:val="auto"/>
                <w:spacing w:val="-6"/>
                <w:szCs w:val="21"/>
                <w:lang w:val="en-US" w:eastAsia="zh-CN"/>
              </w:rPr>
            </w:pPr>
            <w:r>
              <w:rPr>
                <w:rFonts w:hint="eastAsia"/>
                <w:color w:val="auto"/>
                <w:spacing w:val="-6"/>
                <w:szCs w:val="21"/>
                <w:lang w:val="en-US" w:eastAsia="zh-CN"/>
              </w:rPr>
              <w:t>2</w:t>
            </w:r>
          </w:p>
        </w:tc>
        <w:tc>
          <w:tcPr>
            <w:tcW w:w="612" w:type="dxa"/>
            <w:vAlign w:val="center"/>
          </w:tcPr>
          <w:p>
            <w:pPr>
              <w:widowControl w:val="0"/>
              <w:spacing w:line="300" w:lineRule="auto"/>
              <w:jc w:val="center"/>
              <w:rPr>
                <w:rFonts w:hint="eastAsia"/>
                <w:color w:val="auto"/>
                <w:spacing w:val="-6"/>
                <w:szCs w:val="21"/>
                <w:lang w:val="en-US" w:eastAsia="zh-CN"/>
              </w:rPr>
            </w:pPr>
            <w:r>
              <w:rPr>
                <w:rFonts w:hint="eastAsia"/>
                <w:color w:val="auto"/>
                <w:spacing w:val="-6"/>
                <w:szCs w:val="21"/>
                <w:lang w:val="en-US" w:eastAsia="zh-CN"/>
              </w:rPr>
              <w:t>3</w:t>
            </w:r>
          </w:p>
        </w:tc>
        <w:tc>
          <w:tcPr>
            <w:tcW w:w="612" w:type="dxa"/>
            <w:vAlign w:val="center"/>
          </w:tcPr>
          <w:p>
            <w:pPr>
              <w:widowControl w:val="0"/>
              <w:spacing w:line="300" w:lineRule="auto"/>
              <w:jc w:val="center"/>
              <w:rPr>
                <w:rFonts w:hint="eastAsia"/>
                <w:color w:val="auto"/>
                <w:spacing w:val="-6"/>
                <w:szCs w:val="21"/>
                <w:lang w:val="en-US" w:eastAsia="zh-CN"/>
              </w:rPr>
            </w:pPr>
            <w:r>
              <w:rPr>
                <w:rFonts w:hint="eastAsia"/>
                <w:color w:val="auto"/>
                <w:spacing w:val="-6"/>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val="en-US" w:eastAsia="zh-CN"/>
              </w:rPr>
              <w:t>4</w:t>
            </w:r>
          </w:p>
        </w:tc>
        <w:tc>
          <w:tcPr>
            <w:tcW w:w="5364" w:type="dxa"/>
            <w:vAlign w:val="center"/>
          </w:tcPr>
          <w:p>
            <w:pPr>
              <w:widowControl w:val="0"/>
              <w:spacing w:line="300" w:lineRule="auto"/>
              <w:jc w:val="center"/>
              <w:rPr>
                <w:color w:val="auto"/>
                <w:spacing w:val="-6"/>
                <w:szCs w:val="21"/>
              </w:rPr>
            </w:pPr>
            <w:r>
              <w:rPr>
                <w:rFonts w:hint="eastAsia"/>
                <w:color w:val="auto"/>
                <w:spacing w:val="-6"/>
                <w:szCs w:val="21"/>
                <w:lang w:val="en-US" w:eastAsia="zh-CN"/>
              </w:rPr>
              <w:t>拥有应对突发情况提供支援的驾驶员1/2/3人。</w:t>
            </w:r>
          </w:p>
        </w:tc>
        <w:tc>
          <w:tcPr>
            <w:tcW w:w="612" w:type="dxa"/>
            <w:vAlign w:val="center"/>
          </w:tcPr>
          <w:p>
            <w:pPr>
              <w:widowControl w:val="0"/>
              <w:spacing w:line="300" w:lineRule="auto"/>
              <w:jc w:val="center"/>
              <w:rPr>
                <w:rFonts w:hint="default" w:eastAsia="宋体"/>
                <w:color w:val="auto"/>
                <w:spacing w:val="-6"/>
                <w:szCs w:val="21"/>
                <w:lang w:val="en-US" w:eastAsia="zh-CN"/>
              </w:rPr>
            </w:pPr>
            <w:r>
              <w:rPr>
                <w:rFonts w:hint="eastAsia"/>
                <w:color w:val="auto"/>
                <w:spacing w:val="-6"/>
                <w:szCs w:val="21"/>
                <w:lang w:val="en-US" w:eastAsia="zh-CN"/>
              </w:rPr>
              <w:t>2</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3</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rFonts w:hint="eastAsia" w:eastAsia="宋体"/>
                <w:color w:val="auto"/>
                <w:spacing w:val="-6"/>
                <w:szCs w:val="21"/>
                <w:lang w:val="en-US" w:eastAsia="zh-CN"/>
              </w:rPr>
            </w:pPr>
            <w:r>
              <w:rPr>
                <w:rFonts w:hint="eastAsia"/>
                <w:color w:val="auto"/>
                <w:spacing w:val="-6"/>
                <w:szCs w:val="21"/>
                <w:lang w:val="en-US" w:eastAsia="zh-CN"/>
              </w:rPr>
              <w:t>5</w:t>
            </w:r>
          </w:p>
        </w:tc>
        <w:tc>
          <w:tcPr>
            <w:tcW w:w="5364" w:type="dxa"/>
            <w:vAlign w:val="center"/>
          </w:tcPr>
          <w:p>
            <w:pPr>
              <w:widowControl w:val="0"/>
              <w:spacing w:line="300" w:lineRule="auto"/>
              <w:jc w:val="center"/>
              <w:rPr>
                <w:rFonts w:hint="eastAsia"/>
                <w:color w:val="auto"/>
                <w:spacing w:val="-6"/>
                <w:szCs w:val="21"/>
                <w:lang w:val="en-US" w:eastAsia="zh-CN"/>
              </w:rPr>
            </w:pPr>
            <w:r>
              <w:rPr>
                <w:rFonts w:hint="eastAsia"/>
                <w:color w:val="auto"/>
                <w:spacing w:val="-6"/>
                <w:szCs w:val="21"/>
                <w:lang w:val="en-US" w:eastAsia="zh-CN"/>
              </w:rPr>
              <w:t>有证书核定船员≥2 /3/4人。</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2</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3</w:t>
            </w:r>
          </w:p>
        </w:tc>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4</w:t>
            </w:r>
          </w:p>
        </w:tc>
      </w:tr>
    </w:tbl>
    <w:p>
      <w:pPr>
        <w:spacing w:line="300" w:lineRule="auto"/>
        <w:ind w:firstLine="396" w:firstLineChars="200"/>
        <w:jc w:val="center"/>
        <w:rPr>
          <w:color w:val="auto"/>
          <w:spacing w:val="-6"/>
          <w:szCs w:val="21"/>
        </w:rPr>
      </w:pPr>
    </w:p>
    <w:tbl>
      <w:tblPr>
        <w:tblStyle w:val="7"/>
        <w:tblW w:w="7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5177"/>
        <w:gridCol w:w="111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Merge w:val="restart"/>
            <w:vAlign w:val="center"/>
          </w:tcPr>
          <w:p>
            <w:pPr>
              <w:widowControl w:val="0"/>
              <w:spacing w:line="300" w:lineRule="auto"/>
              <w:jc w:val="center"/>
              <w:rPr>
                <w:color w:val="auto"/>
                <w:spacing w:val="-6"/>
                <w:szCs w:val="21"/>
              </w:rPr>
            </w:pPr>
            <w:r>
              <w:rPr>
                <w:rFonts w:hint="eastAsia"/>
                <w:color w:val="auto"/>
                <w:spacing w:val="-6"/>
                <w:szCs w:val="21"/>
              </w:rPr>
              <w:t>序号</w:t>
            </w:r>
          </w:p>
        </w:tc>
        <w:tc>
          <w:tcPr>
            <w:tcW w:w="5177" w:type="dxa"/>
            <w:vMerge w:val="restart"/>
            <w:vAlign w:val="center"/>
          </w:tcPr>
          <w:p>
            <w:pPr>
              <w:widowControl w:val="0"/>
              <w:spacing w:line="300" w:lineRule="auto"/>
              <w:jc w:val="center"/>
              <w:rPr>
                <w:color w:val="auto"/>
                <w:spacing w:val="-6"/>
                <w:szCs w:val="21"/>
              </w:rPr>
            </w:pPr>
            <w:r>
              <w:rPr>
                <w:rFonts w:hint="eastAsia"/>
                <w:color w:val="auto"/>
                <w:spacing w:val="-6"/>
                <w:szCs w:val="21"/>
              </w:rPr>
              <w:t>船的具体技术参数要求</w:t>
            </w:r>
          </w:p>
        </w:tc>
        <w:tc>
          <w:tcPr>
            <w:tcW w:w="2160" w:type="dxa"/>
            <w:gridSpan w:val="2"/>
            <w:vAlign w:val="center"/>
          </w:tcPr>
          <w:p>
            <w:pPr>
              <w:widowControl w:val="0"/>
              <w:spacing w:line="300" w:lineRule="auto"/>
              <w:jc w:val="center"/>
              <w:rPr>
                <w:rFonts w:hint="eastAsia"/>
                <w:color w:val="auto"/>
                <w:spacing w:val="-6"/>
                <w:szCs w:val="21"/>
              </w:rPr>
            </w:pPr>
            <w:r>
              <w:rPr>
                <w:rFonts w:hint="eastAsia"/>
                <w:color w:val="auto"/>
                <w:spacing w:val="-6"/>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Merge w:val="continue"/>
            <w:vAlign w:val="center"/>
          </w:tcPr>
          <w:p>
            <w:pPr>
              <w:widowControl w:val="0"/>
              <w:spacing w:line="300" w:lineRule="auto"/>
              <w:jc w:val="center"/>
              <w:rPr>
                <w:rFonts w:hint="eastAsia"/>
                <w:color w:val="auto"/>
                <w:spacing w:val="-6"/>
                <w:szCs w:val="21"/>
              </w:rPr>
            </w:pPr>
          </w:p>
        </w:tc>
        <w:tc>
          <w:tcPr>
            <w:tcW w:w="5177" w:type="dxa"/>
            <w:vMerge w:val="continue"/>
            <w:vAlign w:val="center"/>
          </w:tcPr>
          <w:p>
            <w:pPr>
              <w:widowControl w:val="0"/>
              <w:spacing w:line="300" w:lineRule="auto"/>
              <w:jc w:val="center"/>
              <w:rPr>
                <w:rFonts w:hint="eastAsia"/>
                <w:color w:val="auto"/>
                <w:spacing w:val="-6"/>
                <w:szCs w:val="21"/>
              </w:rPr>
            </w:pPr>
          </w:p>
        </w:tc>
        <w:tc>
          <w:tcPr>
            <w:tcW w:w="1110"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val="en-US" w:eastAsia="zh-CN"/>
              </w:rPr>
              <w:t>符合要求</w:t>
            </w:r>
          </w:p>
        </w:tc>
        <w:tc>
          <w:tcPr>
            <w:tcW w:w="1050" w:type="dxa"/>
            <w:vAlign w:val="center"/>
          </w:tcPr>
          <w:p>
            <w:pPr>
              <w:widowControl w:val="0"/>
              <w:spacing w:line="300" w:lineRule="auto"/>
              <w:jc w:val="center"/>
              <w:rPr>
                <w:rFonts w:hint="default" w:eastAsia="宋体"/>
                <w:color w:val="auto"/>
                <w:spacing w:val="-6"/>
                <w:szCs w:val="21"/>
                <w:lang w:val="en-US" w:eastAsia="zh-CN"/>
              </w:rPr>
            </w:pPr>
            <w:r>
              <w:rPr>
                <w:rFonts w:hint="eastAsia"/>
                <w:color w:val="auto"/>
                <w:spacing w:val="-6"/>
                <w:szCs w:val="21"/>
                <w:lang w:val="en-US" w:eastAsia="zh-CN"/>
              </w:rPr>
              <w:t>不符要求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612" w:type="dxa"/>
            <w:vAlign w:val="center"/>
          </w:tcPr>
          <w:p>
            <w:pPr>
              <w:widowControl w:val="0"/>
              <w:spacing w:line="300" w:lineRule="auto"/>
              <w:jc w:val="center"/>
              <w:rPr>
                <w:rFonts w:hint="eastAsia" w:eastAsia="宋体"/>
                <w:color w:val="auto"/>
                <w:spacing w:val="-6"/>
                <w:szCs w:val="21"/>
                <w:lang w:eastAsia="zh-CN"/>
              </w:rPr>
            </w:pPr>
            <w:r>
              <w:rPr>
                <w:rFonts w:hint="eastAsia"/>
                <w:color w:val="auto"/>
                <w:spacing w:val="-6"/>
                <w:szCs w:val="21"/>
                <w:lang w:val="en-US" w:eastAsia="zh-CN"/>
              </w:rPr>
              <w:t>1</w:t>
            </w:r>
          </w:p>
        </w:tc>
        <w:tc>
          <w:tcPr>
            <w:tcW w:w="5177" w:type="dxa"/>
            <w:vAlign w:val="center"/>
          </w:tcPr>
          <w:p>
            <w:pPr>
              <w:widowControl w:val="0"/>
              <w:spacing w:line="300" w:lineRule="auto"/>
              <w:jc w:val="center"/>
              <w:rPr>
                <w:color w:val="auto"/>
                <w:spacing w:val="-6"/>
                <w:szCs w:val="21"/>
              </w:rPr>
            </w:pPr>
            <w:r>
              <w:rPr>
                <w:rFonts w:hint="eastAsia"/>
                <w:color w:val="auto"/>
                <w:spacing w:val="-6"/>
                <w:szCs w:val="21"/>
                <w:lang w:val="en-US" w:eastAsia="zh-CN"/>
              </w:rPr>
              <w:t>有船舱用于存放监测仪器、工具以及作业间隙的人员休息。</w:t>
            </w:r>
          </w:p>
        </w:tc>
        <w:tc>
          <w:tcPr>
            <w:tcW w:w="1110"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5</w:t>
            </w:r>
          </w:p>
        </w:tc>
        <w:tc>
          <w:tcPr>
            <w:tcW w:w="1050"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2</w:t>
            </w:r>
          </w:p>
        </w:tc>
        <w:tc>
          <w:tcPr>
            <w:tcW w:w="5177" w:type="dxa"/>
            <w:vAlign w:val="center"/>
          </w:tcPr>
          <w:p>
            <w:pPr>
              <w:widowControl w:val="0"/>
              <w:spacing w:line="300" w:lineRule="auto"/>
              <w:jc w:val="center"/>
              <w:rPr>
                <w:rFonts w:hint="eastAsia"/>
                <w:color w:val="auto"/>
                <w:spacing w:val="-6"/>
                <w:szCs w:val="21"/>
                <w:lang w:val="en-US" w:eastAsia="zh-CN"/>
              </w:rPr>
            </w:pPr>
            <w:r>
              <w:rPr>
                <w:rFonts w:hint="eastAsia"/>
                <w:color w:val="auto"/>
                <w:spacing w:val="-6"/>
                <w:szCs w:val="21"/>
              </w:rPr>
              <w:t>船上配备</w:t>
            </w:r>
            <w:r>
              <w:rPr>
                <w:rFonts w:hint="eastAsia"/>
                <w:color w:val="auto"/>
                <w:spacing w:val="-6"/>
                <w:szCs w:val="21"/>
                <w:lang w:val="en-US" w:eastAsia="zh-CN"/>
              </w:rPr>
              <w:t>足量救生衣，配备遮阳棚。</w:t>
            </w:r>
          </w:p>
        </w:tc>
        <w:tc>
          <w:tcPr>
            <w:tcW w:w="1110"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5</w:t>
            </w:r>
          </w:p>
        </w:tc>
        <w:tc>
          <w:tcPr>
            <w:tcW w:w="1050" w:type="dxa"/>
            <w:vAlign w:val="center"/>
          </w:tcPr>
          <w:p>
            <w:pPr>
              <w:widowControl w:val="0"/>
              <w:spacing w:line="300" w:lineRule="auto"/>
              <w:jc w:val="center"/>
              <w:rPr>
                <w:rFonts w:hint="default"/>
                <w:color w:val="auto"/>
                <w:spacing w:val="-6"/>
                <w:szCs w:val="21"/>
                <w:lang w:val="en-US" w:eastAsia="zh-CN"/>
              </w:rPr>
            </w:pPr>
            <w:r>
              <w:rPr>
                <w:rFonts w:hint="eastAsia"/>
                <w:color w:val="auto"/>
                <w:spacing w:val="-6"/>
                <w:szCs w:val="21"/>
                <w:lang w:val="en-US" w:eastAsia="zh-CN"/>
              </w:rPr>
              <w:t>0</w:t>
            </w:r>
          </w:p>
        </w:tc>
      </w:tr>
    </w:tbl>
    <w:p>
      <w:pPr>
        <w:spacing w:line="300" w:lineRule="auto"/>
        <w:ind w:firstLine="396" w:firstLineChars="200"/>
        <w:rPr>
          <w:spacing w:val="-6"/>
          <w:szCs w:val="21"/>
        </w:rPr>
      </w:pPr>
    </w:p>
    <w:p>
      <w:pPr>
        <w:spacing w:line="300" w:lineRule="auto"/>
        <w:ind w:firstLine="422" w:firstLineChars="200"/>
        <w:rPr>
          <w:b/>
          <w:szCs w:val="21"/>
        </w:rPr>
      </w:pPr>
      <w:r>
        <w:rPr>
          <w:rFonts w:hint="eastAsia"/>
          <w:b/>
          <w:szCs w:val="21"/>
        </w:rPr>
        <w:t>（三）技术支持分……………………………………………………………………… 20分</w:t>
      </w:r>
    </w:p>
    <w:p>
      <w:pPr>
        <w:spacing w:line="300" w:lineRule="auto"/>
        <w:ind w:firstLine="396" w:firstLineChars="200"/>
        <w:rPr>
          <w:b/>
          <w:szCs w:val="21"/>
        </w:rPr>
      </w:pPr>
      <w:r>
        <w:rPr>
          <w:rFonts w:hint="eastAsia"/>
          <w:spacing w:val="-6"/>
          <w:szCs w:val="21"/>
        </w:rPr>
        <w:t>为保证搁浅等意外情况下能及时更换船舶，继续监测调查，投标人项目团队应具备不止一艘符合</w:t>
      </w:r>
      <w:r>
        <w:rPr>
          <w:rFonts w:hint="eastAsia"/>
          <w:spacing w:val="-6"/>
          <w:szCs w:val="21"/>
          <w:highlight w:val="none"/>
        </w:rPr>
        <w:t>要求的</w:t>
      </w:r>
      <w:r>
        <w:rPr>
          <w:rFonts w:hint="eastAsia"/>
          <w:spacing w:val="-6"/>
          <w:szCs w:val="21"/>
        </w:rPr>
        <w:t>船舶，每额外拥有符合要求的船舶一艘计10分，满分20分。</w:t>
      </w:r>
    </w:p>
    <w:p>
      <w:pPr>
        <w:spacing w:line="300" w:lineRule="auto"/>
        <w:ind w:firstLine="422" w:firstLineChars="200"/>
        <w:rPr>
          <w:b/>
          <w:szCs w:val="21"/>
        </w:rPr>
      </w:pPr>
      <w:r>
        <w:rPr>
          <w:rFonts w:hint="eastAsia"/>
          <w:b/>
          <w:szCs w:val="21"/>
        </w:rPr>
        <w:t>（四）商务分…………………………………………………………………………… 20分</w:t>
      </w:r>
    </w:p>
    <w:p>
      <w:pPr>
        <w:spacing w:line="300" w:lineRule="auto"/>
        <w:ind w:firstLine="396" w:firstLineChars="200"/>
        <w:rPr>
          <w:b/>
          <w:szCs w:val="21"/>
        </w:rPr>
      </w:pPr>
      <w:r>
        <w:rPr>
          <w:rFonts w:hint="eastAsia"/>
          <w:spacing w:val="-6"/>
          <w:szCs w:val="21"/>
        </w:rPr>
        <w:t>供应商2018年以来有承接过类似本项目的业绩，每承接过1项则得5分，满分20分。（注：同一个编号的项目有两个或两个以上的分标中标的只算一次，须提供成交通知书或合同复印件，复印件加盖供应商公章，否则不得分）</w:t>
      </w:r>
    </w:p>
    <w:p>
      <w:pPr>
        <w:spacing w:line="300" w:lineRule="auto"/>
        <w:ind w:firstLine="384"/>
        <w:rPr>
          <w:spacing w:val="-6"/>
          <w:szCs w:val="21"/>
        </w:rPr>
      </w:pPr>
    </w:p>
    <w:p>
      <w:pPr>
        <w:spacing w:line="300" w:lineRule="auto"/>
        <w:ind w:firstLine="384"/>
        <w:rPr>
          <w:b/>
          <w:bCs/>
          <w:spacing w:val="-6"/>
          <w:szCs w:val="21"/>
        </w:rPr>
      </w:pPr>
      <w:r>
        <w:rPr>
          <w:rFonts w:hint="eastAsia"/>
          <w:spacing w:val="-6"/>
          <w:szCs w:val="21"/>
        </w:rPr>
        <w:t>总分值=（</w:t>
      </w:r>
      <w:r>
        <w:rPr>
          <w:rFonts w:hint="eastAsia"/>
          <w:b/>
          <w:bCs/>
          <w:spacing w:val="-6"/>
          <w:szCs w:val="21"/>
        </w:rPr>
        <w:t>一</w:t>
      </w:r>
      <w:r>
        <w:rPr>
          <w:rFonts w:hint="eastAsia"/>
          <w:spacing w:val="-6"/>
          <w:szCs w:val="21"/>
        </w:rPr>
        <w:t>）</w:t>
      </w:r>
      <w:r>
        <w:rPr>
          <w:rFonts w:hint="eastAsia"/>
          <w:b/>
          <w:bCs/>
          <w:spacing w:val="-6"/>
          <w:szCs w:val="21"/>
        </w:rPr>
        <w:t>+（二）+（三）+（四）</w:t>
      </w:r>
    </w:p>
    <w:p>
      <w:pPr>
        <w:spacing w:line="300" w:lineRule="auto"/>
        <w:ind w:firstLine="420"/>
        <w:rPr>
          <w:spacing w:val="-6"/>
          <w:szCs w:val="21"/>
        </w:rPr>
      </w:pPr>
    </w:p>
    <w:p>
      <w:pPr>
        <w:spacing w:line="300" w:lineRule="auto"/>
        <w:ind w:firstLine="426" w:firstLineChars="202"/>
        <w:rPr>
          <w:b/>
          <w:szCs w:val="21"/>
        </w:rPr>
      </w:pPr>
      <w:r>
        <w:rPr>
          <w:rFonts w:hint="eastAsia"/>
          <w:b/>
          <w:szCs w:val="21"/>
        </w:rPr>
        <w:t>三、成交候选人推荐原则</w:t>
      </w:r>
      <w:bookmarkStart w:id="0" w:name="_GoBack"/>
      <w:bookmarkEnd w:id="0"/>
    </w:p>
    <w:p>
      <w:pPr>
        <w:ind w:firstLine="420" w:firstLineChars="200"/>
      </w:pPr>
      <w:r>
        <w:rPr>
          <w:rFonts w:hint="eastAsia"/>
          <w:szCs w:val="21"/>
        </w:rPr>
        <w:t>根据供应商提交的材料进行综合评分，按照得分由高到低顺序得出成交候选人名单，评审得分相同的，按照最后报价（不计算价格折扣）由低到高排序，评审得分且最后报价（不计算价格折扣）相同的，按照技术指标优劣排序。成交原则为排序顺位第一的供应商。如成交供应商因不可抗力提出不能履行合同，顺位选择第二排名的供应商，以此类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M2JlMmNkNDVjMGY1OWE3MjU3MjYxNDY2MGM0YTAifQ=="/>
  </w:docVars>
  <w:rsids>
    <w:rsidRoot w:val="4EA14D7D"/>
    <w:rsid w:val="006925EF"/>
    <w:rsid w:val="00A07E75"/>
    <w:rsid w:val="00F36459"/>
    <w:rsid w:val="0582013B"/>
    <w:rsid w:val="08D0360F"/>
    <w:rsid w:val="09F729D4"/>
    <w:rsid w:val="11B95FC2"/>
    <w:rsid w:val="15B13078"/>
    <w:rsid w:val="1945505E"/>
    <w:rsid w:val="1972232F"/>
    <w:rsid w:val="1A4F62E9"/>
    <w:rsid w:val="1B6F5636"/>
    <w:rsid w:val="1CA069BC"/>
    <w:rsid w:val="1E1316EE"/>
    <w:rsid w:val="2052410C"/>
    <w:rsid w:val="22FB628F"/>
    <w:rsid w:val="23B63B57"/>
    <w:rsid w:val="25FA524D"/>
    <w:rsid w:val="26720249"/>
    <w:rsid w:val="2966439B"/>
    <w:rsid w:val="2F9B6592"/>
    <w:rsid w:val="306D1DCD"/>
    <w:rsid w:val="31922DCC"/>
    <w:rsid w:val="33B412DE"/>
    <w:rsid w:val="35603031"/>
    <w:rsid w:val="375A57DE"/>
    <w:rsid w:val="40D2277C"/>
    <w:rsid w:val="478A5C4D"/>
    <w:rsid w:val="4879236E"/>
    <w:rsid w:val="488036DF"/>
    <w:rsid w:val="49900C21"/>
    <w:rsid w:val="4C2E63C4"/>
    <w:rsid w:val="4EA14D7D"/>
    <w:rsid w:val="4F10677D"/>
    <w:rsid w:val="512966EC"/>
    <w:rsid w:val="5566292A"/>
    <w:rsid w:val="577B1B3C"/>
    <w:rsid w:val="5CB42323"/>
    <w:rsid w:val="600B5DA9"/>
    <w:rsid w:val="66E83B48"/>
    <w:rsid w:val="672E79A4"/>
    <w:rsid w:val="67F265FD"/>
    <w:rsid w:val="6831000B"/>
    <w:rsid w:val="69102CDD"/>
    <w:rsid w:val="6E967CF1"/>
    <w:rsid w:val="72A33E47"/>
    <w:rsid w:val="76612B36"/>
    <w:rsid w:val="7B9602BE"/>
    <w:rsid w:val="7BD51185"/>
    <w:rsid w:val="7C781570"/>
    <w:rsid w:val="7FFE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rFonts w:ascii="Calibri" w:hAnsi="Calibri"/>
      <w:kern w:val="2"/>
      <w:sz w:val="18"/>
      <w:szCs w:val="18"/>
    </w:rPr>
  </w:style>
  <w:style w:type="character" w:customStyle="1" w:styleId="9">
    <w:name w:val="页脚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3</Pages>
  <Words>1806</Words>
  <Characters>1878</Characters>
  <Lines>19</Lines>
  <Paragraphs>5</Paragraphs>
  <TotalTime>4</TotalTime>
  <ScaleCrop>false</ScaleCrop>
  <LinksUpToDate>false</LinksUpToDate>
  <CharactersWithSpaces>1886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2023-08-31T09:26:00Z</dcterms:created>
  <dc:creator>Gem Yan</dc:creator>
  <cp:lastModifiedBy>韦细姣</cp:lastModifiedBy>
  <dcterms:modified xsi:type="dcterms:W3CDTF">2024-06-14T10:19:09Z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DD9995F0C10346AEAAA89507BD634D29_12</vt:lpwstr>
  </property>
</Properties>
</file>