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方正小标宋_GBK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cs="方正小标宋_GBK"/>
          <w:b/>
          <w:bCs/>
          <w:color w:val="auto"/>
          <w:sz w:val="44"/>
          <w:szCs w:val="44"/>
          <w:highlight w:val="none"/>
          <w:lang w:eastAsia="zh-CN"/>
        </w:rPr>
        <w:t>《</w:t>
      </w:r>
      <w:r>
        <w:rPr>
          <w:rFonts w:hint="eastAsia" w:ascii="Times New Roman" w:hAnsi="Times New Roman" w:cs="方正小标宋_GBK"/>
          <w:b/>
          <w:bCs/>
          <w:color w:val="auto"/>
          <w:sz w:val="44"/>
          <w:szCs w:val="44"/>
          <w:highlight w:val="none"/>
        </w:rPr>
        <w:t>202</w:t>
      </w:r>
      <w:r>
        <w:rPr>
          <w:rFonts w:hint="eastAsia" w:ascii="Times New Roman" w:hAnsi="Times New Roman" w:cs="方正小标宋_GBK"/>
          <w:b/>
          <w:bCs/>
          <w:color w:val="auto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Times New Roman" w:hAnsi="Times New Roman" w:cs="方正小标宋_GBK"/>
          <w:b/>
          <w:bCs/>
          <w:color w:val="auto"/>
          <w:sz w:val="44"/>
          <w:szCs w:val="44"/>
          <w:highlight w:val="none"/>
        </w:rPr>
        <w:t>年</w:t>
      </w:r>
      <w:r>
        <w:rPr>
          <w:rFonts w:hint="eastAsia" w:ascii="Times New Roman" w:hAnsi="Times New Roman" w:cs="方正小标宋_GBK"/>
          <w:b/>
          <w:bCs/>
          <w:color w:val="auto"/>
          <w:sz w:val="44"/>
          <w:szCs w:val="44"/>
          <w:highlight w:val="none"/>
          <w:lang w:val="en-US" w:eastAsia="zh-CN"/>
        </w:rPr>
        <w:t>7月</w:t>
      </w:r>
      <w:r>
        <w:rPr>
          <w:rFonts w:hint="eastAsia" w:ascii="Times New Roman" w:hAnsi="Times New Roman" w:cs="方正小标宋_GBK"/>
          <w:b/>
          <w:bCs/>
          <w:color w:val="auto"/>
          <w:sz w:val="44"/>
          <w:szCs w:val="44"/>
          <w:highlight w:val="none"/>
        </w:rPr>
        <w:t>防城港市集中式饮用水源地</w:t>
      </w:r>
      <w:r>
        <w:rPr>
          <w:rFonts w:hint="eastAsia" w:ascii="Times New Roman" w:hAnsi="Times New Roman" w:cs="方正小标宋_GBK"/>
          <w:b/>
          <w:bCs/>
          <w:color w:val="auto"/>
          <w:sz w:val="44"/>
          <w:szCs w:val="44"/>
          <w:highlight w:val="none"/>
          <w:lang w:val="en-US" w:eastAsia="zh-CN"/>
        </w:rPr>
        <w:t>有机物项目实验分析技术支持服务</w:t>
      </w:r>
      <w:r>
        <w:rPr>
          <w:rFonts w:hint="eastAsia" w:ascii="Times New Roman" w:hAnsi="Times New Roman" w:cs="方正小标宋_GBK"/>
          <w:b/>
          <w:bCs/>
          <w:color w:val="auto"/>
          <w:sz w:val="44"/>
          <w:szCs w:val="44"/>
          <w:highlight w:val="none"/>
          <w:lang w:eastAsia="zh-CN"/>
        </w:rPr>
        <w:t>》</w:t>
      </w:r>
    </w:p>
    <w:p>
      <w:pPr>
        <w:jc w:val="center"/>
        <w:rPr>
          <w:rFonts w:hint="default" w:eastAsia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方正小标宋_GBK"/>
          <w:b/>
          <w:bCs/>
          <w:color w:val="auto"/>
          <w:sz w:val="44"/>
          <w:szCs w:val="44"/>
          <w:highlight w:val="none"/>
          <w:lang w:val="en-US" w:eastAsia="zh-CN"/>
        </w:rPr>
        <w:t>项目采购需求</w:t>
      </w:r>
    </w:p>
    <w:p>
      <w:pPr>
        <w:rPr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一、 服务对象及方式</w:t>
      </w:r>
    </w:p>
    <w:p>
      <w:pPr>
        <w:spacing w:line="560" w:lineRule="exact"/>
        <w:ind w:firstLine="800" w:firstLineChars="250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1．服务对象: </w:t>
      </w:r>
      <w:r>
        <w:rPr>
          <w:rFonts w:hint="eastAsia" w:ascii="仿宋_GB2312" w:eastAsia="仿宋_GB2312"/>
          <w:color w:val="auto"/>
          <w:sz w:val="32"/>
          <w:szCs w:val="32"/>
        </w:rPr>
        <w:t>广西壮族自治区防城港生态环境监测中心</w:t>
      </w:r>
    </w:p>
    <w:p>
      <w:pPr>
        <w:spacing w:line="560" w:lineRule="exact"/>
        <w:ind w:firstLine="800" w:firstLineChars="250"/>
        <w:rPr>
          <w:rFonts w:ascii="仿宋_GB2312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.服务方式：202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7月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防城港市集中式饮用水源地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有机物项目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实验分析技术支持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 w:cs="Times New Roman"/>
          <w:color w:val="auto"/>
          <w:sz w:val="32"/>
          <w:szCs w:val="32"/>
          <w:highlight w:val="none"/>
        </w:rPr>
        <w:t>、服务范围及内容</w:t>
      </w:r>
    </w:p>
    <w:p>
      <w:pPr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样品数量</w:t>
      </w:r>
    </w:p>
    <w:p>
      <w:pPr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样品数量为10个。</w:t>
      </w:r>
    </w:p>
    <w:p>
      <w:pPr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（全程序空白、密码质控样等质控措施不计入样品数量）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。</w:t>
      </w:r>
    </w:p>
    <w:p>
      <w:pPr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2.监测频次</w:t>
      </w:r>
    </w:p>
    <w:p>
      <w:pPr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7月开展1次，共1次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。</w:t>
      </w:r>
    </w:p>
    <w:p>
      <w:pPr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3.开展方式</w:t>
      </w:r>
    </w:p>
    <w:p>
      <w:pPr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由广西壮族自治区防城港生态环境监测中心负责采样、送样，服务供应方负责实验分析、汇总整理监测数据、编制监测报告。</w:t>
      </w:r>
    </w:p>
    <w:p>
      <w:pPr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4.分析项目</w:t>
      </w:r>
    </w:p>
    <w:p>
      <w:pPr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23项常规项目：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三氯甲烷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四氯化碳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三氯乙烯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四氯乙烯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苯乙烯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甲苯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乙苯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二甲苯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异丙苯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氯苯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1,2-二氯苯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1,4-二氯苯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三氯苯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硝基苯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二硝基苯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硝基氯苯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邻苯二甲酸二丁酯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邻苯二甲酸二（2-乙基己基）酯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滴滴涕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林丹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阿特拉津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苯并（a）芘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43项全分析项目：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三溴甲烷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二氯甲烷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1,2-二氯乙烷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环氧氯丙烷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氯乙烯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1,1-二氯乙烯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1,2-二氯乙烯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氯丁二烯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六氯丁二烯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乙醛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丙烯醛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三氯乙醛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四氯苯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六氯苯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2,4-二硝基甲苯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2,4,6-三硝基甲苯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2,4-二硝基氯苯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2,4-二氯苯酚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2,4,6-三氯苯酚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五氯酚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苯胺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联苯胺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丙烯酰胺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丙烯腈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四乙基铅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吡啶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松节油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苦味酸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丁基黄原酸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环氧七氯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对硫磷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甲基对硫磷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马拉硫磷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乐果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敌敌畏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敌百虫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内吸磷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百菌清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甲萘威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溴氰菊酯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多氯联苯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微囊藻毒素-LR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黄磷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总计66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项。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黑体" w:asciiTheme="minorHAnsi" w:hAnsiTheme="minorHAnsi" w:cstheme="minorBidi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黑体" w:asciiTheme="minorHAnsi" w:hAnsiTheme="minorHAnsi" w:cstheme="minorBidi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三、报价限额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本项目采购预算：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47000.00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肆万柒仟元整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eastAsia="黑体"/>
          <w:color w:val="auto"/>
          <w:sz w:val="32"/>
          <w:szCs w:val="32"/>
          <w:highlight w:val="none"/>
        </w:rPr>
        <w:t>、采购方式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五、成交方式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综合评分法。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eastAsia" w:eastAsia="黑体"/>
          <w:color w:val="auto"/>
          <w:sz w:val="32"/>
          <w:szCs w:val="32"/>
          <w:highlight w:val="none"/>
        </w:rPr>
        <w:t>、付款方式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采购方按分期支付的方式向服务供应方支付技术服务费。采购方合同款分二期支付服务供应方，第一期为双方签订合同后，采购方自收到服务供应方开具的增值税发票之日起15个工作日内向服务供应方支付合同总额的50%首付款。第二期为服务供应方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完成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分析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服务后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按时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采购方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提交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合格的密码质控样考核结果，数据汇总表，CMA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监测报告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一式两份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采购方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验收合格后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通知服务供应方开具发票，采购方在收到服务供应方开具的发票之日起的15个工作日内根据向服务供应方支付合同剩余款项。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采购方发放分析项目15%的密码质控样，服务供应方需及时向采购方报送密码质控数据。密码质控样数据有2次报送机会，服务供应方2次内报数通过的，支付合同全款；2次报数均未通过的，每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项次扣除合同全款的3%。</w:t>
      </w:r>
    </w:p>
    <w:p>
      <w:pPr>
        <w:spacing w:line="560" w:lineRule="exact"/>
        <w:ind w:firstLine="640" w:firstLineChars="200"/>
        <w:rPr>
          <w:rFonts w:hint="eastAsia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hint="eastAsia" w:eastAsia="黑体"/>
          <w:color w:val="auto"/>
          <w:sz w:val="32"/>
          <w:szCs w:val="32"/>
          <w:highlight w:val="none"/>
        </w:rPr>
        <w:t>、</w:t>
      </w: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服务供应方资格要求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服务供应方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须具有独立法人或独立承担民事责任的能力资格，国内注册且有效经营范围具备生产或经营本次采购项目要求的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服务供应方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（二）对在“信用中国”网站(www.creditchina.gov.cn)列入失信被执行人、企业经营异常名录和重大税收违法案件当事人名单的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服务供应方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，不得参与本次采购活动。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参与服务的监测人员应满足以下条件;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一是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掌握饮用水监测的相关基础知识、法律法规、评价标准、监测标准或技术规范、质量控制要求、安全防护知识；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承担饮用水监测工作前应经过必要的培训和能力确认，能力确认方式应包括基础理论、基本技能的培训与考核等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服务供应方每项监测项目分析方法检出限需达到《地表水环境质量标准》（GB3838-2002）标准限值的四分之一。</w:t>
      </w:r>
    </w:p>
    <w:p>
      <w:pPr>
        <w:spacing w:line="560" w:lineRule="exact"/>
        <w:ind w:firstLine="640" w:firstLineChars="200"/>
        <w:rPr>
          <w:rFonts w:hint="eastAsia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八</w:t>
      </w:r>
      <w:r>
        <w:rPr>
          <w:rFonts w:hint="eastAsia" w:eastAsia="黑体"/>
          <w:color w:val="auto"/>
          <w:sz w:val="32"/>
          <w:szCs w:val="32"/>
          <w:highlight w:val="none"/>
        </w:rPr>
        <w:t>、</w:t>
      </w: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服务供应方提交材料要求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营业执照（复印件）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或事业单位法人证书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（复印件）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及法人代表身份证（复印件）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资质认定证书附表（包含本次需求分析项目的页面和有效期页面）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使用的分析方法及检出限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加盖公章的报价文件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加盖公章的廉政告知函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服务供应方认为要提供的其他材料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ind w:firstLine="640" w:firstLineChars="200"/>
        <w:rPr>
          <w:rFonts w:hint="default" w:ascii="仿宋_GB2312" w:eastAsia="仿宋_GB2312" w:hAnsiTheme="minorHAnsi" w:cstheme="minorBidi"/>
          <w:b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b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（七）报价低于采购预算80%的需提供成本核算证明材料。</w:t>
      </w:r>
    </w:p>
    <w:p>
      <w:pPr>
        <w:spacing w:line="560" w:lineRule="exact"/>
        <w:ind w:firstLine="640" w:firstLineChars="200"/>
        <w:rPr>
          <w:rFonts w:hint="eastAsia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九</w:t>
      </w:r>
      <w:r>
        <w:rPr>
          <w:rFonts w:hint="eastAsia" w:eastAsia="黑体"/>
          <w:color w:val="auto"/>
          <w:sz w:val="32"/>
          <w:szCs w:val="32"/>
          <w:highlight w:val="none"/>
        </w:rPr>
        <w:t>、</w:t>
      </w: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项目联系人及联系方式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96" w:leftChars="284"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何京蔓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；联系电话077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-2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825351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18807709373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96" w:leftChars="284" w:firstLine="0" w:firstLineChars="0"/>
        <w:textAlignment w:val="auto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十</w:t>
      </w:r>
      <w:r>
        <w:rPr>
          <w:rFonts w:hint="eastAsia" w:eastAsia="黑体"/>
          <w:color w:val="auto"/>
          <w:sz w:val="32"/>
          <w:szCs w:val="32"/>
          <w:highlight w:val="none"/>
        </w:rPr>
        <w:t>、特别事项说明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本项目不得分包及转包，否则一律无效。</w:t>
      </w:r>
    </w:p>
    <w:p>
      <w:pPr>
        <w:tabs>
          <w:tab w:val="center" w:pos="4153"/>
        </w:tabs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b w:val="0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b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Times New Roman" w:eastAsia="仿宋_GB2312"/>
          <w:b w:val="0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Times New Roman" w:eastAsia="仿宋_GB2312"/>
          <w:b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 w:hAnsiTheme="minorHAnsi" w:cstheme="minorBidi"/>
          <w:b w:val="0"/>
          <w:color w:val="auto"/>
          <w:sz w:val="32"/>
          <w:szCs w:val="32"/>
          <w:highlight w:val="none"/>
        </w:rPr>
        <w:t>保密规定：</w:t>
      </w:r>
      <w:r>
        <w:rPr>
          <w:rFonts w:hint="eastAsia" w:ascii="仿宋_GB2312" w:eastAsia="仿宋_GB2312" w:cstheme="minorBidi"/>
          <w:b w:val="0"/>
          <w:color w:val="auto"/>
          <w:sz w:val="32"/>
          <w:szCs w:val="32"/>
          <w:highlight w:val="none"/>
          <w:lang w:val="en-US" w:eastAsia="zh-CN"/>
        </w:rPr>
        <w:t>服务供应方</w:t>
      </w:r>
      <w:r>
        <w:rPr>
          <w:rFonts w:hint="eastAsia" w:ascii="仿宋_GB2312" w:eastAsia="仿宋_GB2312" w:hAnsiTheme="minorHAnsi" w:cstheme="minorBidi"/>
          <w:b w:val="0"/>
          <w:color w:val="auto"/>
          <w:sz w:val="32"/>
          <w:szCs w:val="32"/>
          <w:highlight w:val="none"/>
        </w:rPr>
        <w:t>不得将采购方任何文字资料、数据透露给无权获得的任何第三方机构或个人。如有违反并造成采购方损失的，采购方将追究</w:t>
      </w:r>
      <w:r>
        <w:rPr>
          <w:rFonts w:hint="eastAsia" w:ascii="仿宋_GB2312" w:eastAsia="仿宋_GB2312" w:cstheme="minorBidi"/>
          <w:b w:val="0"/>
          <w:color w:val="auto"/>
          <w:sz w:val="32"/>
          <w:szCs w:val="32"/>
          <w:highlight w:val="none"/>
          <w:lang w:val="en-US" w:eastAsia="zh-CN"/>
        </w:rPr>
        <w:t>服务供应方</w:t>
      </w:r>
      <w:r>
        <w:rPr>
          <w:rFonts w:hint="eastAsia" w:ascii="仿宋_GB2312" w:eastAsia="仿宋_GB2312" w:hAnsiTheme="minorHAnsi" w:cstheme="minorBidi"/>
          <w:b w:val="0"/>
          <w:color w:val="auto"/>
          <w:sz w:val="32"/>
          <w:szCs w:val="32"/>
          <w:highlight w:val="none"/>
        </w:rPr>
        <w:t>相关经济和法律责任。</w:t>
      </w:r>
    </w:p>
    <w:p>
      <w:pPr>
        <w:tabs>
          <w:tab w:val="center" w:pos="4153"/>
        </w:tabs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b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theme="minorBidi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（三）服务供应方接样</w:t>
      </w:r>
      <w:r>
        <w:rPr>
          <w:rFonts w:hint="eastAsia" w:ascii="仿宋_GB2312" w:eastAsia="仿宋_GB2312" w:hAnsiTheme="minorHAnsi" w:cstheme="minorBidi"/>
          <w:b w:val="0"/>
          <w:color w:val="auto"/>
          <w:sz w:val="32"/>
          <w:szCs w:val="32"/>
          <w:highlight w:val="none"/>
          <w:lang w:val="en-US" w:eastAsia="zh-CN"/>
        </w:rPr>
        <w:t>后应立即组织实验分析，发现样品数据</w:t>
      </w:r>
      <w:r>
        <w:rPr>
          <w:rFonts w:hint="eastAsia" w:ascii="仿宋_GB2312" w:eastAsia="仿宋_GB2312" w:cstheme="minorBidi"/>
          <w:b w:val="0"/>
          <w:color w:val="auto"/>
          <w:sz w:val="32"/>
          <w:szCs w:val="32"/>
          <w:highlight w:val="none"/>
          <w:lang w:val="en-US" w:eastAsia="zh-CN"/>
        </w:rPr>
        <w:t>异常</w:t>
      </w:r>
      <w:r>
        <w:rPr>
          <w:rFonts w:hint="eastAsia" w:ascii="仿宋_GB2312" w:eastAsia="仿宋_GB2312" w:hAnsiTheme="minorHAnsi" w:cstheme="minorBidi"/>
          <w:b w:val="0"/>
          <w:color w:val="auto"/>
          <w:sz w:val="32"/>
          <w:szCs w:val="32"/>
          <w:highlight w:val="none"/>
          <w:lang w:val="en-US" w:eastAsia="zh-CN"/>
        </w:rPr>
        <w:t>或质控数据不合格的，需在样品分析有效期内复核数据重新上报，</w:t>
      </w:r>
      <w:r>
        <w:rPr>
          <w:rFonts w:hint="eastAsia" w:ascii="仿宋_GB2312" w:eastAsia="仿宋_GB2312" w:cstheme="minorBidi"/>
          <w:b w:val="0"/>
          <w:color w:val="auto"/>
          <w:sz w:val="32"/>
          <w:szCs w:val="32"/>
          <w:highlight w:val="none"/>
          <w:lang w:val="en-US" w:eastAsia="zh-CN"/>
        </w:rPr>
        <w:t>直至合格，</w:t>
      </w:r>
      <w:r>
        <w:rPr>
          <w:rFonts w:hint="eastAsia" w:ascii="仿宋_GB2312" w:eastAsia="仿宋_GB2312" w:hAnsiTheme="minorHAnsi" w:cstheme="minorBidi"/>
          <w:b w:val="0"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default" w:ascii="仿宋_GB2312" w:eastAsia="仿宋_GB2312" w:hAnsiTheme="minorHAnsi" w:cstheme="minorBidi"/>
          <w:b w:val="0"/>
          <w:color w:val="auto"/>
          <w:sz w:val="32"/>
          <w:szCs w:val="32"/>
          <w:highlight w:val="none"/>
        </w:rPr>
        <w:t>在接样后</w:t>
      </w:r>
      <w:r>
        <w:rPr>
          <w:rFonts w:hint="eastAsia" w:ascii="仿宋_GB2312" w:eastAsia="仿宋_GB2312" w:cstheme="minorBidi"/>
          <w:b w:val="0"/>
          <w:color w:val="auto"/>
          <w:sz w:val="32"/>
          <w:szCs w:val="32"/>
          <w:highlight w:val="none"/>
          <w:lang w:val="en-US" w:eastAsia="zh-CN"/>
        </w:rPr>
        <w:t>10个工作日内</w:t>
      </w:r>
      <w:r>
        <w:rPr>
          <w:rFonts w:hint="default" w:ascii="仿宋_GB2312" w:eastAsia="仿宋_GB2312" w:hAnsiTheme="minorHAnsi" w:cstheme="minorBidi"/>
          <w:b w:val="0"/>
          <w:color w:val="auto"/>
          <w:sz w:val="32"/>
          <w:szCs w:val="32"/>
          <w:highlight w:val="none"/>
        </w:rPr>
        <w:t>向采购方提交</w:t>
      </w:r>
      <w:r>
        <w:rPr>
          <w:rFonts w:hint="eastAsia" w:ascii="仿宋_GB2312" w:eastAsia="仿宋_GB2312" w:cstheme="minorBidi"/>
          <w:b w:val="0"/>
          <w:color w:val="auto"/>
          <w:sz w:val="32"/>
          <w:szCs w:val="32"/>
          <w:highlight w:val="none"/>
          <w:lang w:val="en-US" w:eastAsia="zh-CN"/>
        </w:rPr>
        <w:t>23项常规项目的</w:t>
      </w:r>
      <w:r>
        <w:rPr>
          <w:rFonts w:hint="default" w:ascii="仿宋_GB2312" w:eastAsia="仿宋_GB2312" w:hAnsiTheme="minorHAnsi" w:cstheme="minorBidi"/>
          <w:b w:val="0"/>
          <w:color w:val="auto"/>
          <w:sz w:val="32"/>
          <w:szCs w:val="32"/>
          <w:highlight w:val="none"/>
        </w:rPr>
        <w:t>CMA监测报告（一式两份）</w:t>
      </w:r>
      <w:r>
        <w:rPr>
          <w:rFonts w:hint="eastAsia" w:ascii="仿宋_GB2312" w:eastAsia="仿宋_GB2312" w:cstheme="minorBidi"/>
          <w:b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 w:cstheme="minorBidi"/>
          <w:b w:val="0"/>
          <w:color w:val="auto"/>
          <w:sz w:val="32"/>
          <w:szCs w:val="32"/>
          <w:highlight w:val="none"/>
          <w:lang w:val="en-US" w:eastAsia="zh-CN"/>
        </w:rPr>
        <w:t>并于接样后的15个工作日内提交43项全分析项目的</w:t>
      </w:r>
      <w:r>
        <w:rPr>
          <w:rFonts w:hint="default" w:ascii="仿宋_GB2312" w:eastAsia="仿宋_GB2312" w:hAnsiTheme="minorHAnsi" w:cstheme="minorBidi"/>
          <w:b w:val="0"/>
          <w:color w:val="auto"/>
          <w:sz w:val="32"/>
          <w:szCs w:val="32"/>
          <w:highlight w:val="none"/>
        </w:rPr>
        <w:t>CMA监测报告（一式两份）</w:t>
      </w:r>
      <w:r>
        <w:rPr>
          <w:rFonts w:hint="eastAsia" w:ascii="仿宋_GB2312" w:eastAsia="仿宋_GB2312" w:hAnsiTheme="minorHAnsi" w:cstheme="minorBidi"/>
          <w:b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tabs>
          <w:tab w:val="center" w:pos="4153"/>
        </w:tabs>
        <w:spacing w:line="560" w:lineRule="exact"/>
        <w:ind w:firstLine="640" w:firstLineChars="200"/>
        <w:rPr>
          <w:rFonts w:hint="eastAsia" w:ascii="仿宋_GB2312" w:hAnsi="Times New Roman" w:eastAsia="仿宋_GB2312"/>
          <w:b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b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Times New Roman" w:eastAsia="仿宋_GB2312"/>
          <w:b w:val="0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Times New Roman" w:eastAsia="仿宋_GB2312"/>
          <w:b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Times New Roman" w:eastAsia="仿宋_GB2312"/>
          <w:b w:val="0"/>
          <w:color w:val="auto"/>
          <w:sz w:val="32"/>
          <w:szCs w:val="32"/>
          <w:highlight w:val="none"/>
          <w:lang w:val="en-US" w:eastAsia="zh-CN"/>
        </w:rPr>
        <w:t>服务供应方应对出具的监测数据进行仔细审核，保证监测数据的真、准、全，采购方有权在监测过程中对服务供应方进行质量监督。</w:t>
      </w:r>
    </w:p>
    <w:p>
      <w:pPr>
        <w:pStyle w:val="2"/>
        <w:ind w:firstLine="640" w:firstLineChars="200"/>
        <w:rPr>
          <w:rFonts w:hint="default" w:ascii="仿宋_GB2312" w:hAnsi="Times New Roman" w:eastAsia="仿宋_GB2312" w:cstheme="minorBidi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jc w:val="right"/>
        <w:rPr>
          <w:rFonts w:hint="eastAsia" w:ascii="仿宋_GB2312" w:hAnsi="Times New Roman" w:eastAsia="仿宋_GB2312" w:cstheme="minorBidi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theme="minorBidi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广西壮族自治区防城港生态环境监测中心</w:t>
      </w:r>
    </w:p>
    <w:p>
      <w:pPr>
        <w:pStyle w:val="2"/>
        <w:wordWrap w:val="0"/>
        <w:jc w:val="right"/>
        <w:rPr>
          <w:rFonts w:hint="default"/>
          <w:color w:val="FF0000"/>
          <w:lang w:val="en-US" w:eastAsia="zh-CN"/>
        </w:rPr>
      </w:pPr>
      <w:r>
        <w:rPr>
          <w:rFonts w:hint="eastAsia" w:ascii="仿宋_GB2312" w:hAnsi="Times New Roman" w:eastAsia="仿宋_GB2312" w:cstheme="minorBidi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2024年6月18日  </w:t>
      </w:r>
      <w:r>
        <w:rPr>
          <w:rFonts w:hint="eastAsia" w:ascii="仿宋_GB2312" w:hAnsi="Times New Roman" w:eastAsia="仿宋_GB2312" w:cstheme="minorBidi"/>
          <w:b w:val="0"/>
          <w:color w:val="FF0000"/>
          <w:kern w:val="2"/>
          <w:sz w:val="32"/>
          <w:szCs w:val="32"/>
          <w:highlight w:val="none"/>
          <w:lang w:val="en-US" w:eastAsia="zh-CN" w:bidi="ar-SA"/>
        </w:rPr>
        <w:t xml:space="preserve">     </w:t>
      </w:r>
    </w:p>
    <w:p>
      <w:pPr>
        <w:rPr>
          <w:rFonts w:hint="eastAsia" w:ascii="仿宋_GB2312" w:hAnsi="Times New Roman" w:eastAsia="仿宋_GB2312"/>
          <w:b w:val="0"/>
          <w:color w:val="FF0000"/>
          <w:sz w:val="32"/>
          <w:szCs w:val="32"/>
          <w:highlight w:val="none"/>
          <w:lang w:val="en-US" w:eastAsia="zh-CN"/>
        </w:rPr>
      </w:pPr>
    </w:p>
    <w:p>
      <w:pPr>
        <w:rPr>
          <w:color w:val="FF0000"/>
          <w:sz w:val="21"/>
          <w:szCs w:val="21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OTk4ODhmODkxYWUzYjIzOWVjMmM2OTEwODJmOTIifQ=="/>
  </w:docVars>
  <w:rsids>
    <w:rsidRoot w:val="00DF07FE"/>
    <w:rsid w:val="001638B7"/>
    <w:rsid w:val="00204F3B"/>
    <w:rsid w:val="002F59A6"/>
    <w:rsid w:val="00324BA2"/>
    <w:rsid w:val="00335CDB"/>
    <w:rsid w:val="00491D38"/>
    <w:rsid w:val="00537984"/>
    <w:rsid w:val="006D2A98"/>
    <w:rsid w:val="00732EC8"/>
    <w:rsid w:val="008A7FD5"/>
    <w:rsid w:val="009A2B38"/>
    <w:rsid w:val="00B53C94"/>
    <w:rsid w:val="00C65DCA"/>
    <w:rsid w:val="00D71B9B"/>
    <w:rsid w:val="00D92E41"/>
    <w:rsid w:val="00DD35DC"/>
    <w:rsid w:val="00DF07FE"/>
    <w:rsid w:val="00EF153D"/>
    <w:rsid w:val="00FE3E39"/>
    <w:rsid w:val="028C11CF"/>
    <w:rsid w:val="02A10123"/>
    <w:rsid w:val="02C31095"/>
    <w:rsid w:val="02EB239A"/>
    <w:rsid w:val="03296750"/>
    <w:rsid w:val="036A079C"/>
    <w:rsid w:val="03B56C6C"/>
    <w:rsid w:val="03F24A85"/>
    <w:rsid w:val="042E70BE"/>
    <w:rsid w:val="067C140A"/>
    <w:rsid w:val="06C70A28"/>
    <w:rsid w:val="06D7510F"/>
    <w:rsid w:val="07774095"/>
    <w:rsid w:val="07E25F6A"/>
    <w:rsid w:val="07FE227D"/>
    <w:rsid w:val="085C373D"/>
    <w:rsid w:val="08C2594B"/>
    <w:rsid w:val="0910796B"/>
    <w:rsid w:val="09462630"/>
    <w:rsid w:val="09501FA4"/>
    <w:rsid w:val="097F55EA"/>
    <w:rsid w:val="0AD84AD8"/>
    <w:rsid w:val="0C152235"/>
    <w:rsid w:val="0C164716"/>
    <w:rsid w:val="0C5B233E"/>
    <w:rsid w:val="0C94610A"/>
    <w:rsid w:val="0CCD3226"/>
    <w:rsid w:val="0D1819F1"/>
    <w:rsid w:val="0D66527C"/>
    <w:rsid w:val="0EE53CAA"/>
    <w:rsid w:val="0F096081"/>
    <w:rsid w:val="0FD27D08"/>
    <w:rsid w:val="100C20FA"/>
    <w:rsid w:val="10850883"/>
    <w:rsid w:val="108514B4"/>
    <w:rsid w:val="10981E38"/>
    <w:rsid w:val="11062CF8"/>
    <w:rsid w:val="11E22BBA"/>
    <w:rsid w:val="1230101F"/>
    <w:rsid w:val="130B052E"/>
    <w:rsid w:val="134C0C32"/>
    <w:rsid w:val="137E3987"/>
    <w:rsid w:val="1389574C"/>
    <w:rsid w:val="147541B9"/>
    <w:rsid w:val="14EA41C6"/>
    <w:rsid w:val="16430098"/>
    <w:rsid w:val="166500DB"/>
    <w:rsid w:val="16E178E4"/>
    <w:rsid w:val="17492AC4"/>
    <w:rsid w:val="17801A7F"/>
    <w:rsid w:val="17C03A07"/>
    <w:rsid w:val="192F2B88"/>
    <w:rsid w:val="19765F89"/>
    <w:rsid w:val="1B897F89"/>
    <w:rsid w:val="1BCF4FEF"/>
    <w:rsid w:val="1C6A37E0"/>
    <w:rsid w:val="1C9E7054"/>
    <w:rsid w:val="1CC601F2"/>
    <w:rsid w:val="1D4A3114"/>
    <w:rsid w:val="20D81D57"/>
    <w:rsid w:val="213939D9"/>
    <w:rsid w:val="21692022"/>
    <w:rsid w:val="22985B39"/>
    <w:rsid w:val="22C021E5"/>
    <w:rsid w:val="22EB59A3"/>
    <w:rsid w:val="23922691"/>
    <w:rsid w:val="23F151E8"/>
    <w:rsid w:val="24BD2374"/>
    <w:rsid w:val="253E1CFB"/>
    <w:rsid w:val="25662B72"/>
    <w:rsid w:val="25AD5F43"/>
    <w:rsid w:val="26112165"/>
    <w:rsid w:val="2826784C"/>
    <w:rsid w:val="28FD67FF"/>
    <w:rsid w:val="2A582EA2"/>
    <w:rsid w:val="2C7B250D"/>
    <w:rsid w:val="2D2D342B"/>
    <w:rsid w:val="2D4A4819"/>
    <w:rsid w:val="2D824FB8"/>
    <w:rsid w:val="2DA35580"/>
    <w:rsid w:val="2DD64701"/>
    <w:rsid w:val="2DE93D07"/>
    <w:rsid w:val="2E2F33F2"/>
    <w:rsid w:val="2E375C96"/>
    <w:rsid w:val="2ED5205C"/>
    <w:rsid w:val="30567D14"/>
    <w:rsid w:val="30743C81"/>
    <w:rsid w:val="30AE0481"/>
    <w:rsid w:val="31E23FFD"/>
    <w:rsid w:val="323E7DE1"/>
    <w:rsid w:val="32C23974"/>
    <w:rsid w:val="3368765E"/>
    <w:rsid w:val="33D228C9"/>
    <w:rsid w:val="351F78C8"/>
    <w:rsid w:val="35210722"/>
    <w:rsid w:val="35705BE6"/>
    <w:rsid w:val="373F7FE3"/>
    <w:rsid w:val="374970B3"/>
    <w:rsid w:val="376E6B1A"/>
    <w:rsid w:val="3792011E"/>
    <w:rsid w:val="37FB3E51"/>
    <w:rsid w:val="38B039FA"/>
    <w:rsid w:val="3B085702"/>
    <w:rsid w:val="3CB754BE"/>
    <w:rsid w:val="3D123B9A"/>
    <w:rsid w:val="3D2E4E0E"/>
    <w:rsid w:val="3D7B3D3F"/>
    <w:rsid w:val="3E1A7695"/>
    <w:rsid w:val="3FA06448"/>
    <w:rsid w:val="3FA84207"/>
    <w:rsid w:val="40221D33"/>
    <w:rsid w:val="41942A66"/>
    <w:rsid w:val="4251450F"/>
    <w:rsid w:val="4351693A"/>
    <w:rsid w:val="43631DE4"/>
    <w:rsid w:val="436D4129"/>
    <w:rsid w:val="437234EE"/>
    <w:rsid w:val="43ED1A36"/>
    <w:rsid w:val="44610D65"/>
    <w:rsid w:val="44EA0C52"/>
    <w:rsid w:val="44F3098C"/>
    <w:rsid w:val="451C7BB5"/>
    <w:rsid w:val="459E74D5"/>
    <w:rsid w:val="45F047AA"/>
    <w:rsid w:val="467D3B89"/>
    <w:rsid w:val="46A240EA"/>
    <w:rsid w:val="47557E03"/>
    <w:rsid w:val="475C7717"/>
    <w:rsid w:val="47615E32"/>
    <w:rsid w:val="476C6994"/>
    <w:rsid w:val="49C11E5D"/>
    <w:rsid w:val="49FC117C"/>
    <w:rsid w:val="4AD738A7"/>
    <w:rsid w:val="4B5B58FB"/>
    <w:rsid w:val="4BDC009E"/>
    <w:rsid w:val="4BF47F88"/>
    <w:rsid w:val="4CF036A1"/>
    <w:rsid w:val="4DB81A5E"/>
    <w:rsid w:val="4DC16347"/>
    <w:rsid w:val="4DFA2B8A"/>
    <w:rsid w:val="4E572D9E"/>
    <w:rsid w:val="4ED82D9F"/>
    <w:rsid w:val="4F3B64BD"/>
    <w:rsid w:val="4F903945"/>
    <w:rsid w:val="4FCF7D1E"/>
    <w:rsid w:val="4FF331DF"/>
    <w:rsid w:val="50350B80"/>
    <w:rsid w:val="50D23D0F"/>
    <w:rsid w:val="510216BE"/>
    <w:rsid w:val="522315C4"/>
    <w:rsid w:val="541531B8"/>
    <w:rsid w:val="545C662D"/>
    <w:rsid w:val="54B83A04"/>
    <w:rsid w:val="55464BC4"/>
    <w:rsid w:val="55766631"/>
    <w:rsid w:val="55971713"/>
    <w:rsid w:val="55E47DD0"/>
    <w:rsid w:val="55E66FDD"/>
    <w:rsid w:val="5895490D"/>
    <w:rsid w:val="59910D81"/>
    <w:rsid w:val="59933AD4"/>
    <w:rsid w:val="59D82A9F"/>
    <w:rsid w:val="5A053316"/>
    <w:rsid w:val="5A6C6A91"/>
    <w:rsid w:val="5AE90955"/>
    <w:rsid w:val="5BFD6C75"/>
    <w:rsid w:val="5C052CF9"/>
    <w:rsid w:val="5C217546"/>
    <w:rsid w:val="5FDA21C6"/>
    <w:rsid w:val="5FF2571A"/>
    <w:rsid w:val="605E48D3"/>
    <w:rsid w:val="608F56AA"/>
    <w:rsid w:val="60915E8A"/>
    <w:rsid w:val="61667881"/>
    <w:rsid w:val="61AA1834"/>
    <w:rsid w:val="6240607F"/>
    <w:rsid w:val="628235C6"/>
    <w:rsid w:val="62980744"/>
    <w:rsid w:val="6343463D"/>
    <w:rsid w:val="64476F97"/>
    <w:rsid w:val="65605834"/>
    <w:rsid w:val="65B3697C"/>
    <w:rsid w:val="65C86B41"/>
    <w:rsid w:val="6600467E"/>
    <w:rsid w:val="67073DC9"/>
    <w:rsid w:val="676B6080"/>
    <w:rsid w:val="67960509"/>
    <w:rsid w:val="680D5840"/>
    <w:rsid w:val="685F19E3"/>
    <w:rsid w:val="688F051A"/>
    <w:rsid w:val="68A66173"/>
    <w:rsid w:val="68B37AEF"/>
    <w:rsid w:val="696D617A"/>
    <w:rsid w:val="69A4520A"/>
    <w:rsid w:val="69D14501"/>
    <w:rsid w:val="6A06767A"/>
    <w:rsid w:val="6AB6651F"/>
    <w:rsid w:val="6AD806D4"/>
    <w:rsid w:val="6AE51930"/>
    <w:rsid w:val="6B521208"/>
    <w:rsid w:val="6C4B6506"/>
    <w:rsid w:val="6C564598"/>
    <w:rsid w:val="6D2D0302"/>
    <w:rsid w:val="6ECD017C"/>
    <w:rsid w:val="6F5E5E3D"/>
    <w:rsid w:val="6FB62831"/>
    <w:rsid w:val="6FDB5DF3"/>
    <w:rsid w:val="70147557"/>
    <w:rsid w:val="701B0D7C"/>
    <w:rsid w:val="70913204"/>
    <w:rsid w:val="710C022E"/>
    <w:rsid w:val="715F4066"/>
    <w:rsid w:val="71DE0782"/>
    <w:rsid w:val="72210599"/>
    <w:rsid w:val="72A72905"/>
    <w:rsid w:val="7344298E"/>
    <w:rsid w:val="771605D9"/>
    <w:rsid w:val="773A3D47"/>
    <w:rsid w:val="77466345"/>
    <w:rsid w:val="782E21FB"/>
    <w:rsid w:val="788C2381"/>
    <w:rsid w:val="79B754A8"/>
    <w:rsid w:val="7B31465A"/>
    <w:rsid w:val="7BB769BD"/>
    <w:rsid w:val="7BDA2241"/>
    <w:rsid w:val="7BF5023D"/>
    <w:rsid w:val="7C013460"/>
    <w:rsid w:val="7C0C58BD"/>
    <w:rsid w:val="7C8167B1"/>
    <w:rsid w:val="7E6C7773"/>
    <w:rsid w:val="7EB13621"/>
    <w:rsid w:val="7EBB39C0"/>
    <w:rsid w:val="7EEA4F65"/>
    <w:rsid w:val="7EF53635"/>
    <w:rsid w:val="7F534260"/>
    <w:rsid w:val="7F716A1A"/>
    <w:rsid w:val="7F8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line="360" w:lineRule="auto"/>
      <w:outlineLvl w:val="3"/>
    </w:pPr>
    <w:rPr>
      <w:rFonts w:ascii="Arial" w:hAnsi="Arial" w:eastAsia="宋体" w:cs="Times New Roman"/>
      <w:b/>
      <w:sz w:val="3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 2"/>
    <w:basedOn w:val="1"/>
    <w:next w:val="1"/>
    <w:qFormat/>
    <w:uiPriority w:val="0"/>
    <w:pPr>
      <w:ind w:left="23" w:leftChars="11" w:firstLine="720" w:firstLineChars="200"/>
    </w:pPr>
    <w:rPr>
      <w:sz w:val="36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表格文字"/>
    <w:qFormat/>
    <w:uiPriority w:val="99"/>
    <w:pPr>
      <w:widowControl w:val="0"/>
      <w:spacing w:before="25" w:after="25"/>
    </w:pPr>
    <w:rPr>
      <w:rFonts w:ascii="Times New Roman" w:hAnsi="Times New Roman" w:eastAsia="宋体" w:cs="Times New Roman"/>
      <w:bCs/>
      <w:spacing w:val="10"/>
      <w:sz w:val="24"/>
      <w:szCs w:val="21"/>
      <w:lang w:val="en-US" w:eastAsia="zh-CN" w:bidi="ar-SA"/>
    </w:rPr>
  </w:style>
  <w:style w:type="paragraph" w:customStyle="1" w:styleId="14">
    <w:name w:val="msolistparagraph"/>
    <w:basedOn w:val="1"/>
    <w:qFormat/>
    <w:uiPriority w:val="0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5级"/>
    <w:basedOn w:val="1"/>
    <w:qFormat/>
    <w:uiPriority w:val="0"/>
    <w:pPr>
      <w:adjustRightInd w:val="0"/>
      <w:snapToGrid w:val="0"/>
      <w:spacing w:line="500" w:lineRule="exact"/>
      <w:ind w:firstLine="480" w:firstLineChars="200"/>
    </w:pPr>
    <w:rPr>
      <w:rFonts w:ascii="仿宋_GB2312" w:hAnsi="宋体" w:eastAsia="仿宋_GB2312"/>
      <w:sz w:val="24"/>
    </w:rPr>
  </w:style>
  <w:style w:type="paragraph" w:customStyle="1" w:styleId="17">
    <w:name w:val="Table Paragraph"/>
    <w:qFormat/>
    <w:uiPriority w:val="1"/>
    <w:pPr>
      <w:widowControl w:val="0"/>
      <w:jc w:val="both"/>
    </w:pPr>
    <w:rPr>
      <w:rFonts w:ascii="黑体" w:hAnsi="黑体" w:eastAsia="黑体" w:cs="黑体"/>
      <w:kern w:val="2"/>
      <w:sz w:val="21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1787</Words>
  <Characters>1923</Characters>
  <Lines>11</Lines>
  <Paragraphs>3</Paragraphs>
  <TotalTime>49</TotalTime>
  <ScaleCrop>false</ScaleCrop>
  <LinksUpToDate>false</LinksUpToDate>
  <CharactersWithSpaces>1933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2022-01-11T09:43:00Z</dcterms:created>
  <dc:creator>Lenovo</dc:creator>
  <cp:lastModifiedBy>'undefined'</cp:lastModifiedBy>
  <cp:lastPrinted>2023-05-17T03:33:00Z</cp:lastPrinted>
  <dcterms:modified xsi:type="dcterms:W3CDTF">2024-06-18T09:43:47Z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4DE76F7C3B9D422A96141851F871E6CE</vt:lpwstr>
  </property>
</Properties>
</file>