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2C85C5AE">
      <w:pPr>
        <w:widowControl w:val="0"/>
        <w:tabs>
          <w:tab w:val="left" w:pos="0"/>
        </w:tabs>
        <w:adjustRightInd w:val="0"/>
        <w:snapToGrid w:val="0"/>
        <w:spacing w:line="600" w:lineRule="exact"/>
        <w:jc w:val="left"/>
        <w:rPr>
          <w:rFonts w:ascii="Times New Roman" w:hAnsi="Times New Roman"/>
          <w:color w:val="000000" w:themeColor="text1"/>
          <w:sz w:val="28"/>
          <w:szCs w:val="28"/>
          <w14:textFill>
            <w14:solidFill>
              <w14:schemeClr w14:val="tx1"/>
            </w14:solidFill>
          </w14:textFill>
        </w:rPr>
      </w:pPr>
      <w:r>
        <w:rPr>
          <w:rFonts w:ascii="Times New Roman" w:hAnsi="Times New Roman" w:eastAsia="黑体"/>
          <w:color w:val="000000" w:themeColor="text1"/>
          <w:sz w:val="28"/>
          <w:szCs w:val="28"/>
          <w14:textFill>
            <w14:solidFill>
              <w14:schemeClr w14:val="tx1"/>
            </w14:solidFill>
          </w14:textFill>
        </w:rPr>
        <w:t>附</w:t>
      </w:r>
      <w:r>
        <w:rPr>
          <w:rFonts w:hint="eastAsia" w:ascii="Times New Roman" w:hAnsi="Times New Roman" w:eastAsia="黑体"/>
          <w:color w:val="000000" w:themeColor="text1"/>
          <w:sz w:val="28"/>
          <w:szCs w:val="28"/>
          <w14:textFill>
            <w14:solidFill>
              <w14:schemeClr w14:val="tx1"/>
            </w14:solidFill>
          </w14:textFill>
        </w:rPr>
        <w:t>件2</w:t>
      </w:r>
    </w:p>
    <w:p w14:paraId="5C063F3C">
      <w:pPr>
        <w:tabs>
          <w:tab w:val="left" w:pos="0"/>
        </w:tabs>
        <w:adjustRightInd w:val="0"/>
        <w:snapToGrid w:val="0"/>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2024年空气自动监测站运维服务项目综合评分办法</w:t>
      </w:r>
    </w:p>
    <w:p w14:paraId="241A1F37">
      <w:pPr>
        <w:tabs>
          <w:tab w:val="left" w:pos="0"/>
        </w:tabs>
        <w:adjustRightInd w:val="0"/>
        <w:snapToGrid w:val="0"/>
        <w:spacing w:line="320" w:lineRule="exact"/>
        <w:ind w:firstLine="420" w:firstLineChars="200"/>
        <w:rPr>
          <w:rFonts w:ascii="黑体" w:hAnsi="黑体" w:eastAsia="黑体" w:cs="黑体"/>
          <w:szCs w:val="21"/>
        </w:rPr>
      </w:pPr>
    </w:p>
    <w:p w14:paraId="5CCB79C5">
      <w:pPr>
        <w:adjustRightInd w:val="0"/>
        <w:snapToGrid w:val="0"/>
        <w:spacing w:line="320" w:lineRule="exact"/>
        <w:ind w:firstLine="426" w:firstLineChars="202"/>
        <w:rPr>
          <w:b/>
          <w:szCs w:val="21"/>
        </w:rPr>
      </w:pPr>
      <w:r>
        <w:rPr>
          <w:rFonts w:hint="eastAsia"/>
          <w:b/>
          <w:szCs w:val="21"/>
        </w:rPr>
        <w:t>一、评审原则</w:t>
      </w:r>
    </w:p>
    <w:p w14:paraId="4B0DF65B">
      <w:pPr>
        <w:adjustRightInd w:val="0"/>
        <w:snapToGrid w:val="0"/>
        <w:spacing w:line="320" w:lineRule="exact"/>
        <w:ind w:firstLine="420" w:firstLineChars="200"/>
        <w:rPr>
          <w:szCs w:val="21"/>
        </w:rPr>
      </w:pPr>
      <w:r>
        <w:rPr>
          <w:rFonts w:hint="eastAsia"/>
          <w:szCs w:val="21"/>
        </w:rPr>
        <w:t>（一）评审小组构成：本项目的评审小组由采购单位组建，成员包含技术、经济等方面专业人员，成员人数为五人以上（含三人）单数。其中，技术、经济等方面的专家不得少于成员总数的五分之三。</w:t>
      </w:r>
    </w:p>
    <w:p w14:paraId="160161EF">
      <w:pPr>
        <w:adjustRightInd w:val="0"/>
        <w:snapToGrid w:val="0"/>
        <w:spacing w:line="320" w:lineRule="exact"/>
        <w:ind w:firstLine="420" w:firstLineChars="200"/>
        <w:rPr>
          <w:szCs w:val="21"/>
        </w:rPr>
      </w:pPr>
      <w:r>
        <w:rPr>
          <w:rFonts w:hint="eastAsia"/>
          <w:szCs w:val="21"/>
        </w:rPr>
        <w:t>（二）评审依据：本评审办法和供应商提交的响应文件。</w:t>
      </w:r>
    </w:p>
    <w:p w14:paraId="7662B0E9">
      <w:pPr>
        <w:adjustRightInd w:val="0"/>
        <w:snapToGrid w:val="0"/>
        <w:spacing w:line="320" w:lineRule="exact"/>
        <w:ind w:firstLine="420" w:firstLineChars="200"/>
        <w:rPr>
          <w:szCs w:val="21"/>
        </w:rPr>
      </w:pPr>
      <w:r>
        <w:rPr>
          <w:rFonts w:hint="eastAsia"/>
          <w:szCs w:val="21"/>
        </w:rPr>
        <w:t>（三）评审方法：综合评分法。</w:t>
      </w:r>
    </w:p>
    <w:p w14:paraId="6BE245FB">
      <w:pPr>
        <w:adjustRightInd w:val="0"/>
        <w:snapToGrid w:val="0"/>
        <w:spacing w:line="320" w:lineRule="exact"/>
        <w:ind w:firstLine="426" w:firstLineChars="202"/>
        <w:rPr>
          <w:b/>
          <w:szCs w:val="21"/>
        </w:rPr>
      </w:pPr>
      <w:r>
        <w:rPr>
          <w:rFonts w:hint="eastAsia"/>
          <w:b/>
          <w:szCs w:val="21"/>
        </w:rPr>
        <w:t>二、评审方法</w:t>
      </w:r>
    </w:p>
    <w:p w14:paraId="626B6CB8">
      <w:pPr>
        <w:adjustRightInd w:val="0"/>
        <w:snapToGrid w:val="0"/>
        <w:spacing w:line="320" w:lineRule="exact"/>
        <w:ind w:firstLine="424" w:firstLineChars="202"/>
        <w:rPr>
          <w:szCs w:val="21"/>
        </w:rPr>
      </w:pPr>
      <w:r>
        <w:rPr>
          <w:rFonts w:hint="eastAsia"/>
          <w:szCs w:val="21"/>
        </w:rPr>
        <w:t>供应商提交的报价及资格材料经初核符合要求的进入详评，评审小组将按本评审办法和响应文件为评定依据，采用百分制综合评分法：</w:t>
      </w:r>
    </w:p>
    <w:p w14:paraId="5AE4C1EB">
      <w:pPr>
        <w:adjustRightInd w:val="0"/>
        <w:snapToGrid w:val="0"/>
        <w:spacing w:line="320" w:lineRule="exact"/>
        <w:ind w:firstLine="420" w:firstLineChars="200"/>
        <w:rPr>
          <w:rFonts w:ascii="宋体" w:hAnsi="宋体" w:cs="宋体"/>
          <w:color w:val="000000"/>
          <w:szCs w:val="21"/>
        </w:rPr>
      </w:pPr>
      <w:r>
        <w:rPr>
          <w:rFonts w:hint="eastAsia" w:ascii="宋体" w:hAnsi="宋体" w:cs="宋体"/>
          <w:color w:val="000000"/>
          <w:szCs w:val="21"/>
        </w:rPr>
        <w:t>（一）分值分配表</w:t>
      </w:r>
    </w:p>
    <w:tbl>
      <w:tblPr>
        <w:tblStyle w:val="9"/>
        <w:tblW w:w="91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6"/>
        <w:gridCol w:w="3785"/>
        <w:gridCol w:w="3980"/>
      </w:tblGrid>
      <w:tr w14:paraId="3C97C3F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76" w:type="dxa"/>
          </w:tcPr>
          <w:p w14:paraId="5B50FB4E">
            <w:pPr>
              <w:pStyle w:val="11"/>
              <w:widowControl w:val="0"/>
              <w:adjustRightInd w:val="0"/>
              <w:snapToGrid w:val="0"/>
              <w:spacing w:line="320" w:lineRule="exact"/>
              <w:ind w:firstLine="0" w:firstLineChars="0"/>
              <w:jc w:val="center"/>
              <w:rPr>
                <w:rFonts w:ascii="Times New Roman" w:hAnsi="Times New Roman" w:eastAsia="宋体" w:cs="Times New Roman"/>
                <w:b/>
                <w:bCs/>
                <w:color w:val="000000"/>
                <w:szCs w:val="21"/>
              </w:rPr>
            </w:pPr>
            <w:r>
              <w:rPr>
                <w:rFonts w:ascii="Times New Roman" w:hAnsi="Times New Roman" w:eastAsia="宋体" w:cs="Times New Roman"/>
                <w:b/>
                <w:bCs/>
                <w:color w:val="000000"/>
                <w:szCs w:val="21"/>
              </w:rPr>
              <w:t>序号</w:t>
            </w:r>
          </w:p>
        </w:tc>
        <w:tc>
          <w:tcPr>
            <w:tcW w:w="3785" w:type="dxa"/>
          </w:tcPr>
          <w:p w14:paraId="4BE709ED">
            <w:pPr>
              <w:pStyle w:val="11"/>
              <w:widowControl w:val="0"/>
              <w:adjustRightInd w:val="0"/>
              <w:snapToGrid w:val="0"/>
              <w:spacing w:line="320" w:lineRule="exact"/>
              <w:ind w:firstLine="0" w:firstLineChars="0"/>
              <w:jc w:val="center"/>
              <w:rPr>
                <w:rFonts w:ascii="Times New Roman" w:hAnsi="Times New Roman" w:eastAsia="宋体" w:cs="Times New Roman"/>
                <w:b/>
                <w:bCs/>
                <w:color w:val="000000"/>
                <w:szCs w:val="21"/>
              </w:rPr>
            </w:pPr>
            <w:r>
              <w:rPr>
                <w:rFonts w:ascii="Times New Roman" w:hAnsi="Times New Roman" w:eastAsia="宋体" w:cs="Times New Roman"/>
                <w:b/>
                <w:bCs/>
                <w:color w:val="000000"/>
                <w:szCs w:val="21"/>
              </w:rPr>
              <w:t>评分因素</w:t>
            </w:r>
          </w:p>
        </w:tc>
        <w:tc>
          <w:tcPr>
            <w:tcW w:w="3980" w:type="dxa"/>
          </w:tcPr>
          <w:p w14:paraId="334634E1">
            <w:pPr>
              <w:pStyle w:val="11"/>
              <w:widowControl w:val="0"/>
              <w:adjustRightInd w:val="0"/>
              <w:snapToGrid w:val="0"/>
              <w:spacing w:line="320" w:lineRule="exact"/>
              <w:ind w:firstLine="0" w:firstLineChars="0"/>
              <w:jc w:val="center"/>
              <w:rPr>
                <w:rFonts w:ascii="Times New Roman" w:hAnsi="Times New Roman" w:eastAsia="宋体" w:cs="Times New Roman"/>
                <w:b/>
                <w:bCs/>
                <w:color w:val="000000"/>
                <w:szCs w:val="21"/>
              </w:rPr>
            </w:pPr>
            <w:r>
              <w:rPr>
                <w:rFonts w:ascii="Times New Roman" w:hAnsi="Times New Roman" w:eastAsia="宋体" w:cs="Times New Roman"/>
                <w:b/>
                <w:bCs/>
                <w:color w:val="000000"/>
                <w:szCs w:val="21"/>
              </w:rPr>
              <w:t>分值分配</w:t>
            </w:r>
          </w:p>
        </w:tc>
      </w:tr>
      <w:tr w14:paraId="2A49E34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76" w:type="dxa"/>
          </w:tcPr>
          <w:p w14:paraId="39E333CF">
            <w:pPr>
              <w:pStyle w:val="11"/>
              <w:widowControl w:val="0"/>
              <w:adjustRightInd w:val="0"/>
              <w:snapToGrid w:val="0"/>
              <w:spacing w:line="320" w:lineRule="exact"/>
              <w:ind w:firstLine="0" w:firstLineChars="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1</w:t>
            </w:r>
          </w:p>
        </w:tc>
        <w:tc>
          <w:tcPr>
            <w:tcW w:w="3785" w:type="dxa"/>
          </w:tcPr>
          <w:p w14:paraId="1E47A2B9">
            <w:pPr>
              <w:pStyle w:val="11"/>
              <w:widowControl w:val="0"/>
              <w:adjustRightInd w:val="0"/>
              <w:snapToGrid w:val="0"/>
              <w:spacing w:line="320" w:lineRule="exact"/>
              <w:ind w:firstLine="0" w:firstLineChars="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价格分</w:t>
            </w:r>
          </w:p>
        </w:tc>
        <w:tc>
          <w:tcPr>
            <w:tcW w:w="3980" w:type="dxa"/>
          </w:tcPr>
          <w:p w14:paraId="7F4DA612">
            <w:pPr>
              <w:pStyle w:val="11"/>
              <w:widowControl w:val="0"/>
              <w:adjustRightInd w:val="0"/>
              <w:snapToGrid w:val="0"/>
              <w:spacing w:line="320" w:lineRule="exact"/>
              <w:ind w:firstLine="0" w:firstLineChars="0"/>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10</w:t>
            </w:r>
          </w:p>
        </w:tc>
      </w:tr>
      <w:tr w14:paraId="0BBB68F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76" w:type="dxa"/>
          </w:tcPr>
          <w:p w14:paraId="782154E9">
            <w:pPr>
              <w:pStyle w:val="11"/>
              <w:widowControl w:val="0"/>
              <w:adjustRightInd w:val="0"/>
              <w:snapToGrid w:val="0"/>
              <w:spacing w:line="320" w:lineRule="exact"/>
              <w:ind w:firstLine="0" w:firstLineChars="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w:t>
            </w:r>
          </w:p>
        </w:tc>
        <w:tc>
          <w:tcPr>
            <w:tcW w:w="3785" w:type="dxa"/>
          </w:tcPr>
          <w:p w14:paraId="1D2E9EAB">
            <w:pPr>
              <w:pStyle w:val="11"/>
              <w:widowControl w:val="0"/>
              <w:adjustRightInd w:val="0"/>
              <w:snapToGrid w:val="0"/>
              <w:spacing w:line="320" w:lineRule="exact"/>
              <w:ind w:firstLine="0" w:firstLineChars="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技术分</w:t>
            </w:r>
          </w:p>
        </w:tc>
        <w:tc>
          <w:tcPr>
            <w:tcW w:w="3980" w:type="dxa"/>
          </w:tcPr>
          <w:p w14:paraId="1D5DA262">
            <w:pPr>
              <w:pStyle w:val="11"/>
              <w:widowControl w:val="0"/>
              <w:adjustRightInd w:val="0"/>
              <w:snapToGrid w:val="0"/>
              <w:spacing w:line="320" w:lineRule="exact"/>
              <w:ind w:firstLine="0" w:firstLineChars="0"/>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35</w:t>
            </w:r>
          </w:p>
        </w:tc>
      </w:tr>
      <w:tr w14:paraId="1EE0310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76" w:type="dxa"/>
          </w:tcPr>
          <w:p w14:paraId="4F2C0CF8">
            <w:pPr>
              <w:pStyle w:val="11"/>
              <w:widowControl w:val="0"/>
              <w:adjustRightInd w:val="0"/>
              <w:snapToGrid w:val="0"/>
              <w:spacing w:line="320" w:lineRule="exact"/>
              <w:ind w:firstLine="0" w:firstLineChars="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3</w:t>
            </w:r>
          </w:p>
        </w:tc>
        <w:tc>
          <w:tcPr>
            <w:tcW w:w="3785" w:type="dxa"/>
          </w:tcPr>
          <w:p w14:paraId="3DFAE4B7">
            <w:pPr>
              <w:pStyle w:val="11"/>
              <w:widowControl w:val="0"/>
              <w:adjustRightInd w:val="0"/>
              <w:snapToGrid w:val="0"/>
              <w:spacing w:line="320" w:lineRule="exact"/>
              <w:ind w:firstLine="0" w:firstLineChars="0"/>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技术支持分</w:t>
            </w:r>
          </w:p>
        </w:tc>
        <w:tc>
          <w:tcPr>
            <w:tcW w:w="3980" w:type="dxa"/>
          </w:tcPr>
          <w:p w14:paraId="76A54B62">
            <w:pPr>
              <w:pStyle w:val="11"/>
              <w:widowControl w:val="0"/>
              <w:adjustRightInd w:val="0"/>
              <w:snapToGrid w:val="0"/>
              <w:spacing w:line="320" w:lineRule="exact"/>
              <w:ind w:firstLine="0" w:firstLineChars="0"/>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35</w:t>
            </w:r>
          </w:p>
        </w:tc>
      </w:tr>
      <w:tr w14:paraId="2C8716B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76" w:type="dxa"/>
          </w:tcPr>
          <w:p w14:paraId="2D742CC5">
            <w:pPr>
              <w:pStyle w:val="11"/>
              <w:widowControl w:val="0"/>
              <w:adjustRightInd w:val="0"/>
              <w:snapToGrid w:val="0"/>
              <w:spacing w:line="320" w:lineRule="exact"/>
              <w:ind w:firstLine="0" w:firstLineChars="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4</w:t>
            </w:r>
          </w:p>
        </w:tc>
        <w:tc>
          <w:tcPr>
            <w:tcW w:w="3785" w:type="dxa"/>
          </w:tcPr>
          <w:p w14:paraId="10D8EB4C">
            <w:pPr>
              <w:pStyle w:val="11"/>
              <w:widowControl w:val="0"/>
              <w:adjustRightInd w:val="0"/>
              <w:snapToGrid w:val="0"/>
              <w:spacing w:line="320" w:lineRule="exact"/>
              <w:ind w:firstLine="0" w:firstLineChars="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商务分</w:t>
            </w:r>
          </w:p>
        </w:tc>
        <w:tc>
          <w:tcPr>
            <w:tcW w:w="3980" w:type="dxa"/>
          </w:tcPr>
          <w:p w14:paraId="7AC31122">
            <w:pPr>
              <w:pStyle w:val="11"/>
              <w:widowControl w:val="0"/>
              <w:adjustRightInd w:val="0"/>
              <w:snapToGrid w:val="0"/>
              <w:spacing w:line="320" w:lineRule="exact"/>
              <w:ind w:firstLine="0" w:firstLineChars="0"/>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20</w:t>
            </w:r>
          </w:p>
        </w:tc>
      </w:tr>
      <w:tr w14:paraId="38BB743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76" w:type="dxa"/>
          </w:tcPr>
          <w:p w14:paraId="579BC727">
            <w:pPr>
              <w:pStyle w:val="11"/>
              <w:widowControl w:val="0"/>
              <w:adjustRightInd w:val="0"/>
              <w:snapToGrid w:val="0"/>
              <w:spacing w:line="320" w:lineRule="exact"/>
              <w:ind w:firstLine="0" w:firstLineChars="0"/>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5</w:t>
            </w:r>
          </w:p>
        </w:tc>
        <w:tc>
          <w:tcPr>
            <w:tcW w:w="3785" w:type="dxa"/>
          </w:tcPr>
          <w:p w14:paraId="206B66C1">
            <w:pPr>
              <w:pStyle w:val="11"/>
              <w:widowControl w:val="0"/>
              <w:adjustRightInd w:val="0"/>
              <w:snapToGrid w:val="0"/>
              <w:spacing w:line="320" w:lineRule="exact"/>
              <w:ind w:firstLine="0" w:firstLineChars="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合计</w:t>
            </w:r>
          </w:p>
        </w:tc>
        <w:tc>
          <w:tcPr>
            <w:tcW w:w="3980" w:type="dxa"/>
          </w:tcPr>
          <w:p w14:paraId="119A23BE">
            <w:pPr>
              <w:pStyle w:val="11"/>
              <w:widowControl w:val="0"/>
              <w:adjustRightInd w:val="0"/>
              <w:snapToGrid w:val="0"/>
              <w:spacing w:line="320" w:lineRule="exact"/>
              <w:ind w:firstLine="0" w:firstLineChars="0"/>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100</w:t>
            </w:r>
          </w:p>
        </w:tc>
      </w:tr>
    </w:tbl>
    <w:p w14:paraId="4B8DAC5E">
      <w:pPr>
        <w:spacing w:line="300" w:lineRule="auto"/>
        <w:ind w:firstLine="424" w:firstLineChars="202"/>
        <w:rPr>
          <w:rFonts w:ascii="黑体" w:hAnsi="黑体" w:eastAsia="黑体" w:cs="黑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（二）评分细则（按四舍五入取至百分位）</w:t>
      </w:r>
    </w:p>
    <w:tbl>
      <w:tblPr>
        <w:tblStyle w:val="8"/>
        <w:tblW w:w="92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38"/>
        <w:gridCol w:w="1558"/>
        <w:gridCol w:w="7016"/>
      </w:tblGrid>
      <w:tr w14:paraId="3F93980F">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14:paraId="48EEF717">
            <w:pPr>
              <w:adjustRightInd w:val="0"/>
              <w:snapToGrid w:val="0"/>
              <w:spacing w:line="320" w:lineRule="exact"/>
              <w:jc w:val="center"/>
              <w:rPr>
                <w:rFonts w:ascii="宋体" w:hAnsi="宋体" w:cs="宋体"/>
                <w:szCs w:val="21"/>
              </w:rPr>
            </w:pPr>
            <w:r>
              <w:rPr>
                <w:rFonts w:hint="eastAsia" w:ascii="宋体" w:hAnsi="宋体" w:cs="宋体"/>
                <w:szCs w:val="21"/>
              </w:rPr>
              <w:t>序号</w:t>
            </w:r>
          </w:p>
        </w:tc>
        <w:tc>
          <w:tcPr>
            <w:tcW w:w="1558" w:type="dxa"/>
            <w:tcBorders>
              <w:top w:val="single" w:color="auto" w:sz="4" w:space="0"/>
              <w:left w:val="single" w:color="auto" w:sz="4" w:space="0"/>
              <w:bottom w:val="single" w:color="auto" w:sz="4" w:space="0"/>
              <w:right w:val="single" w:color="auto" w:sz="4" w:space="0"/>
            </w:tcBorders>
            <w:vAlign w:val="center"/>
          </w:tcPr>
          <w:p w14:paraId="0DFCC1DF">
            <w:pPr>
              <w:adjustRightInd w:val="0"/>
              <w:snapToGrid w:val="0"/>
              <w:spacing w:line="320" w:lineRule="exact"/>
              <w:jc w:val="center"/>
              <w:rPr>
                <w:rFonts w:ascii="宋体" w:hAnsi="宋体" w:cs="宋体"/>
                <w:szCs w:val="21"/>
              </w:rPr>
            </w:pPr>
            <w:r>
              <w:rPr>
                <w:rFonts w:hint="eastAsia" w:ascii="宋体" w:hAnsi="宋体" w:cs="宋体"/>
                <w:szCs w:val="21"/>
              </w:rPr>
              <w:t>评分内容</w:t>
            </w:r>
          </w:p>
        </w:tc>
        <w:tc>
          <w:tcPr>
            <w:tcW w:w="7016" w:type="dxa"/>
            <w:tcBorders>
              <w:top w:val="single" w:color="auto" w:sz="4" w:space="0"/>
              <w:left w:val="single" w:color="auto" w:sz="4" w:space="0"/>
              <w:bottom w:val="single" w:color="auto" w:sz="4" w:space="0"/>
              <w:right w:val="single" w:color="auto" w:sz="4" w:space="0"/>
            </w:tcBorders>
            <w:vAlign w:val="center"/>
          </w:tcPr>
          <w:p w14:paraId="6BF4A41F">
            <w:pPr>
              <w:adjustRightInd w:val="0"/>
              <w:snapToGrid w:val="0"/>
              <w:spacing w:line="320" w:lineRule="exact"/>
              <w:jc w:val="center"/>
              <w:rPr>
                <w:rFonts w:ascii="宋体" w:hAnsi="宋体" w:cs="宋体"/>
                <w:szCs w:val="21"/>
              </w:rPr>
            </w:pPr>
            <w:r>
              <w:rPr>
                <w:rFonts w:hint="eastAsia" w:ascii="宋体" w:hAnsi="宋体" w:cs="宋体"/>
                <w:szCs w:val="21"/>
              </w:rPr>
              <w:t>评分标准</w:t>
            </w:r>
          </w:p>
        </w:tc>
      </w:tr>
      <w:tr w14:paraId="456490A5">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14:paraId="664ABFE3">
            <w:pPr>
              <w:adjustRightInd w:val="0"/>
              <w:snapToGrid w:val="0"/>
              <w:spacing w:line="320" w:lineRule="exact"/>
              <w:jc w:val="center"/>
              <w:rPr>
                <w:rFonts w:ascii="宋体" w:hAnsi="宋体" w:cs="宋体"/>
                <w:szCs w:val="21"/>
              </w:rPr>
            </w:pPr>
          </w:p>
        </w:tc>
        <w:tc>
          <w:tcPr>
            <w:tcW w:w="1558" w:type="dxa"/>
            <w:tcBorders>
              <w:top w:val="single" w:color="auto" w:sz="4" w:space="0"/>
              <w:left w:val="single" w:color="auto" w:sz="4" w:space="0"/>
              <w:bottom w:val="single" w:color="auto" w:sz="4" w:space="0"/>
              <w:right w:val="single" w:color="auto" w:sz="4" w:space="0"/>
            </w:tcBorders>
            <w:vAlign w:val="center"/>
          </w:tcPr>
          <w:p w14:paraId="41722D31">
            <w:pPr>
              <w:adjustRightInd w:val="0"/>
              <w:snapToGrid w:val="0"/>
              <w:spacing w:line="320" w:lineRule="exact"/>
              <w:jc w:val="center"/>
              <w:rPr>
                <w:rFonts w:ascii="宋体" w:hAnsi="宋体" w:cs="宋体"/>
                <w:szCs w:val="21"/>
              </w:rPr>
            </w:pPr>
          </w:p>
        </w:tc>
        <w:tc>
          <w:tcPr>
            <w:tcW w:w="7016" w:type="dxa"/>
            <w:tcBorders>
              <w:top w:val="single" w:color="auto" w:sz="4" w:space="0"/>
              <w:left w:val="single" w:color="auto" w:sz="4" w:space="0"/>
              <w:bottom w:val="single" w:color="auto" w:sz="4" w:space="0"/>
              <w:right w:val="single" w:color="auto" w:sz="4" w:space="0"/>
            </w:tcBorders>
            <w:vAlign w:val="center"/>
          </w:tcPr>
          <w:p w14:paraId="28C3FB60">
            <w:pPr>
              <w:adjustRightInd w:val="0"/>
              <w:snapToGrid w:val="0"/>
              <w:spacing w:line="320" w:lineRule="exact"/>
              <w:jc w:val="center"/>
              <w:rPr>
                <w:rFonts w:ascii="宋体" w:hAnsi="宋体" w:cs="宋体"/>
                <w:szCs w:val="21"/>
              </w:rPr>
            </w:pPr>
          </w:p>
        </w:tc>
      </w:tr>
      <w:tr w14:paraId="39F75C74">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jc w:val="center"/>
        </w:trPr>
        <w:tc>
          <w:tcPr>
            <w:tcW w:w="9212" w:type="dxa"/>
            <w:gridSpan w:val="3"/>
            <w:tcBorders>
              <w:top w:val="single" w:color="auto" w:sz="4" w:space="0"/>
              <w:left w:val="single" w:color="auto" w:sz="4" w:space="0"/>
              <w:bottom w:val="single" w:color="auto" w:sz="4" w:space="0"/>
              <w:right w:val="single" w:color="auto" w:sz="4" w:space="0"/>
            </w:tcBorders>
            <w:vAlign w:val="center"/>
          </w:tcPr>
          <w:p w14:paraId="24950C9A">
            <w:pPr>
              <w:adjustRightInd w:val="0"/>
              <w:snapToGrid w:val="0"/>
              <w:spacing w:line="320" w:lineRule="exact"/>
              <w:jc w:val="center"/>
              <w:rPr>
                <w:rFonts w:ascii="Times New Roman" w:hAnsi="Times New Roman"/>
                <w:szCs w:val="21"/>
              </w:rPr>
            </w:pPr>
            <w:r>
              <w:rPr>
                <w:rFonts w:ascii="Times New Roman" w:hAnsi="Times New Roman" w:eastAsia="楷体_GB2312"/>
                <w:bCs/>
                <w:kern w:val="0"/>
                <w:szCs w:val="21"/>
                <w:lang w:val="zh-CN" w:bidi="zh-CN"/>
              </w:rPr>
              <w:t>（</w:t>
            </w:r>
            <w:r>
              <w:rPr>
                <w:rFonts w:ascii="Times New Roman" w:hAnsi="Times New Roman" w:eastAsia="楷体_GB2312"/>
                <w:bCs/>
                <w:kern w:val="0"/>
                <w:szCs w:val="21"/>
                <w:lang w:bidi="zh-CN"/>
              </w:rPr>
              <w:t>一</w:t>
            </w:r>
            <w:r>
              <w:rPr>
                <w:rFonts w:ascii="Times New Roman" w:hAnsi="Times New Roman" w:eastAsia="楷体_GB2312"/>
                <w:bCs/>
                <w:kern w:val="0"/>
                <w:szCs w:val="21"/>
                <w:lang w:val="zh-CN" w:bidi="zh-CN"/>
              </w:rPr>
              <w:t>）价格部分</w:t>
            </w:r>
            <w:r>
              <w:rPr>
                <w:rFonts w:ascii="Times New Roman" w:hAnsi="Times New Roman" w:eastAsia="楷体_GB2312"/>
              </w:rPr>
              <w:t>（满分</w:t>
            </w:r>
            <w:r>
              <w:rPr>
                <w:rFonts w:hint="eastAsia" w:ascii="Times New Roman" w:hAnsi="Times New Roman" w:eastAsia="楷体_GB2312"/>
              </w:rPr>
              <w:t>10</w:t>
            </w:r>
            <w:r>
              <w:rPr>
                <w:rFonts w:ascii="Times New Roman" w:hAnsi="Times New Roman" w:eastAsia="楷体_GB2312"/>
              </w:rPr>
              <w:t>分）</w:t>
            </w:r>
          </w:p>
        </w:tc>
      </w:tr>
      <w:tr w14:paraId="4775372C">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8"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14:paraId="630024AD">
            <w:pPr>
              <w:adjustRightInd w:val="0"/>
              <w:snapToGrid w:val="0"/>
              <w:spacing w:line="320" w:lineRule="exact"/>
              <w:jc w:val="center"/>
              <w:rPr>
                <w:rFonts w:ascii="Times New Roman" w:hAnsi="Times New Roman"/>
                <w:szCs w:val="21"/>
              </w:rPr>
            </w:pPr>
            <w:r>
              <w:rPr>
                <w:rFonts w:ascii="Times New Roman" w:hAnsi="Times New Roman"/>
                <w:szCs w:val="21"/>
              </w:rPr>
              <w:t>1</w:t>
            </w:r>
          </w:p>
        </w:tc>
        <w:tc>
          <w:tcPr>
            <w:tcW w:w="1558" w:type="dxa"/>
            <w:tcBorders>
              <w:top w:val="single" w:color="auto" w:sz="4" w:space="0"/>
              <w:left w:val="single" w:color="auto" w:sz="4" w:space="0"/>
              <w:bottom w:val="single" w:color="auto" w:sz="4" w:space="0"/>
              <w:right w:val="single" w:color="auto" w:sz="4" w:space="0"/>
            </w:tcBorders>
            <w:vAlign w:val="center"/>
          </w:tcPr>
          <w:p w14:paraId="37025548">
            <w:pPr>
              <w:adjustRightInd w:val="0"/>
              <w:snapToGrid w:val="0"/>
              <w:spacing w:line="320" w:lineRule="exact"/>
              <w:jc w:val="center"/>
              <w:rPr>
                <w:rFonts w:ascii="Times New Roman" w:hAnsi="Times New Roman"/>
                <w:bCs/>
                <w:szCs w:val="21"/>
              </w:rPr>
            </w:pPr>
            <w:r>
              <w:rPr>
                <w:rFonts w:ascii="Times New Roman" w:hAnsi="Times New Roman"/>
                <w:bCs/>
                <w:kern w:val="0"/>
                <w:szCs w:val="21"/>
                <w:lang w:val="zh-CN" w:bidi="zh-CN"/>
              </w:rPr>
              <w:t>价格分</w:t>
            </w:r>
            <w:r>
              <w:rPr>
                <w:rFonts w:ascii="Times New Roman" w:hAnsi="Times New Roman"/>
                <w:bCs/>
                <w:kern w:val="0"/>
                <w:szCs w:val="21"/>
                <w:lang w:bidi="zh-CN"/>
              </w:rPr>
              <w:t xml:space="preserve">    </w:t>
            </w:r>
            <w:r>
              <w:rPr>
                <w:rFonts w:hint="eastAsia" w:ascii="Times New Roman" w:hAnsi="Times New Roman"/>
                <w:bCs/>
                <w:kern w:val="0"/>
                <w:szCs w:val="21"/>
                <w:lang w:bidi="zh-CN"/>
              </w:rPr>
              <w:t xml:space="preserve"> </w:t>
            </w:r>
            <w:r>
              <w:rPr>
                <w:rFonts w:ascii="Times New Roman" w:hAnsi="Times New Roman"/>
                <w:bCs/>
                <w:kern w:val="0"/>
                <w:szCs w:val="21"/>
                <w:lang w:val="zh-CN" w:bidi="zh-CN"/>
              </w:rPr>
              <w:t>（满分</w:t>
            </w:r>
            <w:r>
              <w:rPr>
                <w:rFonts w:hint="eastAsia" w:ascii="Times New Roman" w:hAnsi="Times New Roman"/>
                <w:bCs/>
                <w:kern w:val="0"/>
                <w:szCs w:val="21"/>
                <w:lang w:bidi="zh-CN"/>
              </w:rPr>
              <w:t>10</w:t>
            </w:r>
            <w:r>
              <w:rPr>
                <w:rFonts w:ascii="Times New Roman" w:hAnsi="Times New Roman"/>
                <w:bCs/>
                <w:kern w:val="0"/>
                <w:szCs w:val="21"/>
                <w:lang w:val="zh-CN" w:bidi="zh-CN"/>
              </w:rPr>
              <w:t>分）</w:t>
            </w:r>
          </w:p>
        </w:tc>
        <w:tc>
          <w:tcPr>
            <w:tcW w:w="7016" w:type="dxa"/>
            <w:tcBorders>
              <w:top w:val="single" w:color="auto" w:sz="4" w:space="0"/>
              <w:left w:val="single" w:color="auto" w:sz="4" w:space="0"/>
              <w:bottom w:val="single" w:color="auto" w:sz="4" w:space="0"/>
              <w:right w:val="single" w:color="auto" w:sz="4" w:space="0"/>
            </w:tcBorders>
            <w:vAlign w:val="center"/>
          </w:tcPr>
          <w:p w14:paraId="3E700907">
            <w:pPr>
              <w:widowControl w:val="0"/>
              <w:adjustRightInd w:val="0"/>
              <w:snapToGrid w:val="0"/>
              <w:spacing w:line="320" w:lineRule="exact"/>
              <w:ind w:firstLine="420" w:firstLineChars="200"/>
              <w:jc w:val="left"/>
              <w:rPr>
                <w:rFonts w:ascii="Times New Roman" w:hAnsi="Times New Roman"/>
                <w:color w:val="000000"/>
                <w:szCs w:val="21"/>
              </w:rPr>
            </w:pPr>
            <w:r>
              <w:rPr>
                <w:rFonts w:ascii="Times New Roman" w:hAnsi="Times New Roman"/>
                <w:color w:val="000000"/>
                <w:szCs w:val="21"/>
              </w:rPr>
              <w:t>投标报价得分=（全部供应商中的最低报价/某供应商投标报价）×20</w:t>
            </w:r>
          </w:p>
          <w:p w14:paraId="33DA7B24">
            <w:pPr>
              <w:widowControl w:val="0"/>
              <w:adjustRightInd w:val="0"/>
              <w:snapToGrid w:val="0"/>
              <w:spacing w:line="320" w:lineRule="exact"/>
              <w:ind w:firstLine="420" w:firstLineChars="200"/>
              <w:jc w:val="left"/>
              <w:rPr>
                <w:rFonts w:ascii="Times New Roman" w:hAnsi="Times New Roman"/>
                <w:bCs/>
                <w:szCs w:val="21"/>
              </w:rPr>
            </w:pPr>
            <w:r>
              <w:rPr>
                <w:rFonts w:ascii="Times New Roman" w:hAnsi="Times New Roman"/>
                <w:bCs/>
                <w:szCs w:val="21"/>
              </w:rPr>
              <w:t>（1）根据《政府采购促进中小企业发展管理办法》（财库﹝2020﹞46 号）第九条要求，对小型和微型企业报价给予</w:t>
            </w:r>
            <w:r>
              <w:rPr>
                <w:rFonts w:hint="eastAsia" w:ascii="Times New Roman" w:hAnsi="Times New Roman"/>
                <w:bCs/>
                <w:szCs w:val="21"/>
              </w:rPr>
              <w:t>6</w:t>
            </w:r>
            <w:r>
              <w:rPr>
                <w:rFonts w:ascii="Times New Roman" w:hAnsi="Times New Roman"/>
                <w:bCs/>
                <w:szCs w:val="21"/>
              </w:rPr>
              <w:t>%的扣除，用扣除后的投标报价参与评审。</w:t>
            </w:r>
          </w:p>
          <w:p w14:paraId="5D5DE8F2">
            <w:pPr>
              <w:widowControl w:val="0"/>
              <w:adjustRightInd w:val="0"/>
              <w:snapToGrid w:val="0"/>
              <w:spacing w:line="320" w:lineRule="exact"/>
              <w:ind w:firstLine="420" w:firstLineChars="200"/>
              <w:jc w:val="left"/>
              <w:rPr>
                <w:rFonts w:ascii="Times New Roman" w:hAnsi="Times New Roman"/>
                <w:bCs/>
                <w:szCs w:val="21"/>
              </w:rPr>
            </w:pPr>
            <w:r>
              <w:rPr>
                <w:rFonts w:ascii="Times New Roman" w:hAnsi="Times New Roman"/>
                <w:bCs/>
                <w:szCs w:val="21"/>
              </w:rPr>
              <w:t>（2）根据《关于政府采购支持监狱企业发展有关问题的通知》（财库〔2014〕68号）的要求，监狱和戒毒企业（以下简称监狱企业）视同小型、微型企业。须提供由省级以上监狱管理局、戒毒管理局（含新疆生产建设兵团）出具的属于监狱企业的证明文件。</w:t>
            </w:r>
          </w:p>
          <w:p w14:paraId="4047FCF4">
            <w:pPr>
              <w:pStyle w:val="6"/>
              <w:adjustRightInd w:val="0"/>
              <w:snapToGrid w:val="0"/>
              <w:spacing w:line="320" w:lineRule="exact"/>
              <w:ind w:firstLine="420" w:firstLineChars="200"/>
              <w:rPr>
                <w:rFonts w:ascii="Times New Roman" w:hAnsi="Times New Roman"/>
                <w:color w:val="000000"/>
                <w:szCs w:val="21"/>
              </w:rPr>
            </w:pPr>
            <w:r>
              <w:rPr>
                <w:rFonts w:ascii="Times New Roman" w:hAnsi="Times New Roman"/>
                <w:bCs/>
                <w:szCs w:val="21"/>
              </w:rPr>
              <w:t>（3）根据《三部门联合发布关于促进残疾人就业政府采购政策的通知》（财库〔2017〕141号），残疾人福利性单位视同小型、微型企业，须提供《残疾人福利性单位声明函》，未提供声明函者不予认定。</w:t>
            </w:r>
          </w:p>
        </w:tc>
      </w:tr>
      <w:tr w14:paraId="63F3B2BF">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212" w:type="dxa"/>
            <w:gridSpan w:val="3"/>
            <w:tcBorders>
              <w:top w:val="single" w:color="auto" w:sz="4" w:space="0"/>
              <w:left w:val="single" w:color="auto" w:sz="4" w:space="0"/>
              <w:bottom w:val="single" w:color="auto" w:sz="4" w:space="0"/>
              <w:right w:val="single" w:color="auto" w:sz="4" w:space="0"/>
            </w:tcBorders>
            <w:vAlign w:val="center"/>
          </w:tcPr>
          <w:p w14:paraId="79F51E7F">
            <w:pPr>
              <w:adjustRightInd w:val="0"/>
              <w:snapToGrid w:val="0"/>
              <w:spacing w:line="320" w:lineRule="exact"/>
              <w:jc w:val="center"/>
              <w:rPr>
                <w:rFonts w:ascii="Times New Roman" w:hAnsi="Times New Roman"/>
              </w:rPr>
            </w:pPr>
            <w:r>
              <w:rPr>
                <w:rFonts w:ascii="Times New Roman" w:hAnsi="Times New Roman" w:eastAsia="楷体_GB2312"/>
              </w:rPr>
              <w:t>（二）技术部分（满分</w:t>
            </w:r>
            <w:r>
              <w:rPr>
                <w:rFonts w:hint="eastAsia" w:ascii="Times New Roman" w:hAnsi="Times New Roman" w:eastAsia="楷体_GB2312"/>
              </w:rPr>
              <w:t>35</w:t>
            </w:r>
            <w:r>
              <w:rPr>
                <w:rFonts w:ascii="Times New Roman" w:hAnsi="Times New Roman" w:eastAsia="楷体_GB2312"/>
              </w:rPr>
              <w:t>分）</w:t>
            </w:r>
          </w:p>
        </w:tc>
      </w:tr>
      <w:tr w14:paraId="76999EB3">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2"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14:paraId="3E561A8B">
            <w:pPr>
              <w:adjustRightInd w:val="0"/>
              <w:snapToGrid w:val="0"/>
              <w:spacing w:line="320" w:lineRule="exact"/>
              <w:jc w:val="center"/>
              <w:rPr>
                <w:rFonts w:ascii="Times New Roman" w:hAnsi="Times New Roman"/>
                <w:szCs w:val="21"/>
              </w:rPr>
            </w:pPr>
            <w:r>
              <w:rPr>
                <w:rFonts w:ascii="Times New Roman" w:hAnsi="Times New Roman"/>
                <w:szCs w:val="21"/>
              </w:rPr>
              <w:t>1</w:t>
            </w:r>
          </w:p>
        </w:tc>
        <w:tc>
          <w:tcPr>
            <w:tcW w:w="1558" w:type="dxa"/>
            <w:tcBorders>
              <w:top w:val="single" w:color="auto" w:sz="4" w:space="0"/>
              <w:left w:val="single" w:color="auto" w:sz="4" w:space="0"/>
              <w:bottom w:val="single" w:color="auto" w:sz="4" w:space="0"/>
              <w:right w:val="single" w:color="auto" w:sz="4" w:space="0"/>
            </w:tcBorders>
            <w:vAlign w:val="center"/>
          </w:tcPr>
          <w:p w14:paraId="34C4B34A">
            <w:pPr>
              <w:adjustRightInd w:val="0"/>
              <w:snapToGrid w:val="0"/>
              <w:spacing w:line="320" w:lineRule="exact"/>
              <w:ind w:left="210" w:hanging="210" w:hangingChars="100"/>
              <w:jc w:val="center"/>
              <w:rPr>
                <w:rFonts w:ascii="Times New Roman" w:hAnsi="Times New Roman"/>
                <w:szCs w:val="21"/>
              </w:rPr>
            </w:pPr>
            <w:r>
              <w:rPr>
                <w:rFonts w:hint="eastAsia" w:ascii="Times New Roman" w:hAnsi="Times New Roman"/>
                <w:szCs w:val="21"/>
              </w:rPr>
              <w:t>服务方案</w:t>
            </w:r>
          </w:p>
          <w:p w14:paraId="21666B8C">
            <w:pPr>
              <w:adjustRightInd w:val="0"/>
              <w:snapToGrid w:val="0"/>
              <w:spacing w:line="320" w:lineRule="exact"/>
              <w:ind w:left="210" w:hanging="210" w:hangingChars="100"/>
              <w:jc w:val="center"/>
              <w:rPr>
                <w:rFonts w:ascii="Times New Roman" w:hAnsi="Times New Roman"/>
                <w:szCs w:val="21"/>
              </w:rPr>
            </w:pPr>
            <w:r>
              <w:rPr>
                <w:rFonts w:ascii="Times New Roman" w:hAnsi="Times New Roman"/>
                <w:szCs w:val="21"/>
              </w:rPr>
              <w:t>（满分</w:t>
            </w:r>
            <w:r>
              <w:rPr>
                <w:rFonts w:hint="eastAsia" w:ascii="Times New Roman" w:hAnsi="Times New Roman"/>
                <w:szCs w:val="21"/>
              </w:rPr>
              <w:t>15</w:t>
            </w:r>
            <w:r>
              <w:rPr>
                <w:rFonts w:ascii="Times New Roman" w:hAnsi="Times New Roman"/>
                <w:szCs w:val="21"/>
              </w:rPr>
              <w:t>分）</w:t>
            </w:r>
          </w:p>
        </w:tc>
        <w:tc>
          <w:tcPr>
            <w:tcW w:w="7016" w:type="dxa"/>
            <w:tcBorders>
              <w:top w:val="single" w:color="auto" w:sz="4" w:space="0"/>
              <w:left w:val="single" w:color="auto" w:sz="4" w:space="0"/>
              <w:bottom w:val="single" w:color="auto" w:sz="4" w:space="0"/>
              <w:right w:val="single" w:color="auto" w:sz="4" w:space="0"/>
            </w:tcBorders>
            <w:vAlign w:val="center"/>
          </w:tcPr>
          <w:p w14:paraId="64CC4773">
            <w:pPr>
              <w:adjustRightInd w:val="0"/>
              <w:snapToGrid w:val="0"/>
              <w:spacing w:line="320" w:lineRule="exact"/>
              <w:ind w:firstLine="420" w:firstLineChars="200"/>
              <w:rPr>
                <w:rFonts w:ascii="宋体" w:hAnsi="宋体" w:cs="宋体"/>
                <w:szCs w:val="21"/>
              </w:rPr>
            </w:pPr>
            <w:r>
              <w:rPr>
                <w:rFonts w:hint="eastAsia" w:ascii="宋体" w:hAnsi="宋体" w:cs="宋体"/>
                <w:szCs w:val="21"/>
              </w:rPr>
              <w:t>根据运维机构提供的本项目运维服务方案是否具有针对性、完整性、合理性、可行性进行综合评分。</w:t>
            </w:r>
          </w:p>
          <w:p w14:paraId="37F26218">
            <w:pPr>
              <w:adjustRightInd w:val="0"/>
              <w:snapToGrid w:val="0"/>
              <w:spacing w:line="320" w:lineRule="exact"/>
              <w:ind w:firstLine="420" w:firstLineChars="200"/>
              <w:rPr>
                <w:rFonts w:ascii="宋体" w:hAnsi="宋体" w:cs="宋体"/>
                <w:szCs w:val="21"/>
              </w:rPr>
            </w:pPr>
            <w:r>
              <w:rPr>
                <w:rFonts w:hint="eastAsia" w:ascii="宋体" w:hAnsi="宋体" w:cs="宋体"/>
                <w:szCs w:val="21"/>
              </w:rPr>
              <w:t>1.一档（1</w:t>
            </w:r>
            <w:r>
              <w:rPr>
                <w:rFonts w:ascii="宋体" w:hAnsi="宋体" w:cs="宋体"/>
                <w:szCs w:val="21"/>
              </w:rPr>
              <w:t>5</w:t>
            </w:r>
            <w:r>
              <w:rPr>
                <w:rFonts w:hint="eastAsia" w:ascii="宋体" w:hAnsi="宋体" w:cs="宋体"/>
                <w:szCs w:val="21"/>
              </w:rPr>
              <w:t>分）：</w:t>
            </w:r>
            <w:r>
              <w:t>运营维护计划详细、清晰、切合本项目服务实际需求、可实施性强；有详细、完整的工作计划、各站点运营维护方案，工作目标、工作流程、维护服务项目计划安排等内容清晰、合理、规范和科学</w:t>
            </w:r>
            <w:r>
              <w:rPr>
                <w:rFonts w:hint="eastAsia" w:ascii="宋体" w:hAnsi="宋体" w:cs="宋体"/>
                <w:szCs w:val="21"/>
                <w:highlight w:val="none"/>
              </w:rPr>
              <w:t>，</w:t>
            </w:r>
            <w:r>
              <w:rPr>
                <w:rFonts w:hint="eastAsia" w:ascii="宋体" w:hAnsi="宋体" w:cs="宋体"/>
                <w:szCs w:val="21"/>
              </w:rPr>
              <w:t>得15分；</w:t>
            </w:r>
          </w:p>
          <w:p w14:paraId="697D78AF">
            <w:pPr>
              <w:pStyle w:val="5"/>
              <w:adjustRightInd w:val="0"/>
              <w:snapToGrid w:val="0"/>
              <w:spacing w:before="22" w:line="304" w:lineRule="auto"/>
              <w:ind w:left="112" w:right="232" w:firstLine="420" w:firstLineChars="200"/>
              <w:rPr>
                <w:rFonts w:ascii="宋体" w:hAnsi="宋体" w:cs="宋体"/>
                <w:szCs w:val="21"/>
              </w:rPr>
            </w:pPr>
            <w:r>
              <w:rPr>
                <w:rFonts w:hint="eastAsia" w:ascii="宋体" w:hAnsi="宋体" w:cs="宋体"/>
                <w:szCs w:val="21"/>
              </w:rPr>
              <w:t>2.二档（1</w:t>
            </w:r>
            <w:r>
              <w:rPr>
                <w:rFonts w:ascii="宋体" w:hAnsi="宋体" w:cs="宋体"/>
                <w:szCs w:val="21"/>
              </w:rPr>
              <w:t>0</w:t>
            </w:r>
            <w:r>
              <w:rPr>
                <w:rFonts w:hint="eastAsia" w:ascii="宋体" w:hAnsi="宋体" w:cs="宋体"/>
                <w:szCs w:val="21"/>
              </w:rPr>
              <w:t>分）：</w:t>
            </w:r>
            <w:r>
              <w:t>运营维护计划基本清晰，可实施性较强；工作流程、各项管理维护服务项目及环节所需的长远计划和短期安排、每周运营计划及在管理平台中向采购单位公示等内容具体描述、比较规范，方案具有可行性，能满足采购文件要求</w:t>
            </w:r>
            <w:r>
              <w:rPr>
                <w:rFonts w:hint="eastAsia" w:ascii="宋体" w:hAnsi="宋体" w:cs="宋体"/>
                <w:szCs w:val="21"/>
              </w:rPr>
              <w:t>，得10分；</w:t>
            </w:r>
          </w:p>
          <w:p w14:paraId="1EB6226D">
            <w:pPr>
              <w:adjustRightInd w:val="0"/>
              <w:snapToGrid w:val="0"/>
              <w:spacing w:line="320" w:lineRule="exact"/>
              <w:ind w:firstLine="420" w:firstLineChars="200"/>
              <w:rPr>
                <w:rFonts w:ascii="宋体" w:hAnsi="宋体" w:cs="宋体"/>
                <w:szCs w:val="21"/>
              </w:rPr>
            </w:pPr>
            <w:r>
              <w:rPr>
                <w:rFonts w:hint="eastAsia" w:ascii="宋体" w:hAnsi="宋体" w:cs="宋体"/>
                <w:szCs w:val="21"/>
              </w:rPr>
              <w:t>3.三档（5分）：</w:t>
            </w:r>
            <w:r>
              <w:rPr>
                <w:spacing w:val="-7"/>
              </w:rPr>
              <w:t>有简单的运营维护计划；工作流程、各项管理维护服务项目及环节所需的长远计划和短期安排、每周运营计划及在管理平台中向采购单位公示等内容简单描述，方案基本满足采购文件要求</w:t>
            </w:r>
            <w:r>
              <w:rPr>
                <w:rFonts w:hint="eastAsia" w:ascii="宋体" w:hAnsi="宋体" w:cs="宋体"/>
                <w:szCs w:val="21"/>
              </w:rPr>
              <w:t>，得5 分；</w:t>
            </w:r>
          </w:p>
          <w:p w14:paraId="6C6E59EF">
            <w:pPr>
              <w:pStyle w:val="5"/>
              <w:adjustRightInd w:val="0"/>
              <w:snapToGrid w:val="0"/>
              <w:spacing w:line="320" w:lineRule="exact"/>
              <w:ind w:firstLine="420" w:firstLineChars="200"/>
            </w:pPr>
            <w:r>
              <w:rPr>
                <w:rFonts w:hint="eastAsia" w:ascii="宋体" w:hAnsi="宋体" w:cs="宋体"/>
                <w:szCs w:val="21"/>
              </w:rPr>
              <w:t>4.四档（2分）：方案不符合本项目运维内容，运维方案不够具体，没有可行性，或没有这方面论述，得2分。</w:t>
            </w:r>
          </w:p>
        </w:tc>
      </w:tr>
      <w:tr w14:paraId="4AF78DB7">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43"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14:paraId="1DA60ED3">
            <w:pPr>
              <w:adjustRightInd w:val="0"/>
              <w:snapToGrid w:val="0"/>
              <w:spacing w:line="320" w:lineRule="exact"/>
              <w:jc w:val="center"/>
              <w:rPr>
                <w:rFonts w:ascii="宋体" w:hAnsi="宋体" w:cs="宋体"/>
                <w:szCs w:val="21"/>
              </w:rPr>
            </w:pPr>
            <w:r>
              <w:rPr>
                <w:rFonts w:hint="eastAsia" w:ascii="宋体" w:hAnsi="宋体" w:cs="宋体"/>
                <w:szCs w:val="21"/>
              </w:rPr>
              <w:t>2</w:t>
            </w:r>
          </w:p>
        </w:tc>
        <w:tc>
          <w:tcPr>
            <w:tcW w:w="1558" w:type="dxa"/>
            <w:tcBorders>
              <w:top w:val="single" w:color="auto" w:sz="4" w:space="0"/>
              <w:left w:val="single" w:color="auto" w:sz="4" w:space="0"/>
              <w:bottom w:val="single" w:color="auto" w:sz="4" w:space="0"/>
              <w:right w:val="single" w:color="auto" w:sz="4" w:space="0"/>
            </w:tcBorders>
            <w:vAlign w:val="center"/>
          </w:tcPr>
          <w:p w14:paraId="3772B105">
            <w:pPr>
              <w:adjustRightInd w:val="0"/>
              <w:snapToGrid w:val="0"/>
              <w:spacing w:line="320" w:lineRule="exact"/>
              <w:jc w:val="center"/>
              <w:rPr>
                <w:rFonts w:ascii="宋体" w:hAnsi="宋体" w:cs="宋体"/>
                <w:szCs w:val="21"/>
              </w:rPr>
            </w:pPr>
            <w:r>
              <w:rPr>
                <w:rFonts w:hint="eastAsia" w:ascii="宋体" w:hAnsi="宋体" w:cs="宋体"/>
                <w:szCs w:val="21"/>
              </w:rPr>
              <w:t>管理制度   （满分10分</w:t>
            </w:r>
          </w:p>
        </w:tc>
        <w:tc>
          <w:tcPr>
            <w:tcW w:w="7016" w:type="dxa"/>
            <w:tcBorders>
              <w:top w:val="single" w:color="auto" w:sz="4" w:space="0"/>
              <w:left w:val="single" w:color="auto" w:sz="4" w:space="0"/>
              <w:bottom w:val="single" w:color="auto" w:sz="4" w:space="0"/>
              <w:right w:val="single" w:color="auto" w:sz="4" w:space="0"/>
            </w:tcBorders>
            <w:vAlign w:val="center"/>
          </w:tcPr>
          <w:p w14:paraId="029AD5F3">
            <w:pPr>
              <w:adjustRightInd w:val="0"/>
              <w:snapToGrid w:val="0"/>
              <w:spacing w:line="320" w:lineRule="exact"/>
              <w:ind w:firstLine="420" w:firstLineChars="200"/>
              <w:rPr>
                <w:rFonts w:ascii="宋体" w:hAnsi="宋体" w:cs="宋体"/>
                <w:szCs w:val="21"/>
              </w:rPr>
            </w:pPr>
            <w:r>
              <w:rPr>
                <w:rFonts w:hint="eastAsia" w:ascii="宋体" w:hAnsi="宋体" w:cs="宋体"/>
                <w:szCs w:val="21"/>
              </w:rPr>
              <w:t>运维机构提供本项目相关管理流程、规范文件和制度。</w:t>
            </w:r>
          </w:p>
          <w:p w14:paraId="5D133005">
            <w:pPr>
              <w:adjustRightInd w:val="0"/>
              <w:snapToGrid w:val="0"/>
              <w:spacing w:line="320" w:lineRule="exact"/>
              <w:ind w:firstLine="420" w:firstLineChars="200"/>
              <w:rPr>
                <w:rFonts w:ascii="宋体" w:hAnsi="宋体" w:cs="宋体"/>
                <w:szCs w:val="21"/>
              </w:rPr>
            </w:pPr>
            <w:r>
              <w:rPr>
                <w:rFonts w:hint="eastAsia" w:ascii="宋体" w:hAnsi="宋体" w:cs="宋体"/>
                <w:szCs w:val="21"/>
              </w:rPr>
              <w:t>1.一档（10分）：管理制度完善具体、对本项目有针对性，可行性强；</w:t>
            </w:r>
          </w:p>
          <w:p w14:paraId="67727A10">
            <w:pPr>
              <w:adjustRightInd w:val="0"/>
              <w:snapToGrid w:val="0"/>
              <w:spacing w:line="320" w:lineRule="exact"/>
              <w:ind w:firstLine="420" w:firstLineChars="200"/>
              <w:rPr>
                <w:rFonts w:ascii="宋体" w:hAnsi="宋体" w:cs="宋体"/>
                <w:szCs w:val="21"/>
              </w:rPr>
            </w:pPr>
            <w:r>
              <w:rPr>
                <w:rFonts w:hint="eastAsia" w:ascii="宋体" w:hAnsi="宋体" w:cs="宋体"/>
                <w:szCs w:val="21"/>
              </w:rPr>
              <w:t>2.二档（8分）：管理制度基本完善、可行性较强；</w:t>
            </w:r>
          </w:p>
          <w:p w14:paraId="40B09442">
            <w:pPr>
              <w:adjustRightInd w:val="0"/>
              <w:snapToGrid w:val="0"/>
              <w:spacing w:line="320" w:lineRule="exact"/>
              <w:ind w:firstLine="420" w:firstLineChars="200"/>
              <w:rPr>
                <w:rFonts w:ascii="宋体" w:hAnsi="宋体" w:cs="宋体"/>
                <w:szCs w:val="21"/>
              </w:rPr>
            </w:pPr>
            <w:r>
              <w:rPr>
                <w:rFonts w:hint="eastAsia" w:ascii="宋体" w:hAnsi="宋体" w:cs="宋体"/>
                <w:szCs w:val="21"/>
              </w:rPr>
              <w:t>3.三档（5分）：管理制度不够完善、可行性一般；</w:t>
            </w:r>
          </w:p>
          <w:p w14:paraId="4B906DDA">
            <w:pPr>
              <w:adjustRightInd w:val="0"/>
              <w:snapToGrid w:val="0"/>
              <w:spacing w:line="320" w:lineRule="exact"/>
              <w:ind w:firstLine="420" w:firstLineChars="200"/>
              <w:rPr>
                <w:rFonts w:ascii="宋体" w:hAnsi="宋体" w:cs="宋体"/>
                <w:szCs w:val="21"/>
              </w:rPr>
            </w:pPr>
            <w:r>
              <w:rPr>
                <w:rFonts w:hint="eastAsia" w:ascii="宋体" w:hAnsi="宋体" w:cs="宋体"/>
                <w:szCs w:val="21"/>
              </w:rPr>
              <w:t>4.四档（2分）：管理制度不够具体、没有可行性，或没有相关论述。</w:t>
            </w:r>
          </w:p>
        </w:tc>
      </w:tr>
      <w:tr w14:paraId="7670B0EC">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94"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14:paraId="4FE40128">
            <w:pPr>
              <w:adjustRightInd w:val="0"/>
              <w:snapToGrid w:val="0"/>
              <w:spacing w:line="320" w:lineRule="exact"/>
              <w:jc w:val="center"/>
              <w:rPr>
                <w:rFonts w:ascii="宋体" w:hAnsi="宋体" w:cs="宋体"/>
                <w:szCs w:val="21"/>
              </w:rPr>
            </w:pPr>
            <w:r>
              <w:rPr>
                <w:rFonts w:hint="eastAsia" w:ascii="宋体" w:hAnsi="宋体" w:cs="宋体"/>
                <w:szCs w:val="21"/>
              </w:rPr>
              <w:t>3</w:t>
            </w:r>
          </w:p>
        </w:tc>
        <w:tc>
          <w:tcPr>
            <w:tcW w:w="1558" w:type="dxa"/>
            <w:tcBorders>
              <w:top w:val="single" w:color="auto" w:sz="4" w:space="0"/>
              <w:left w:val="single" w:color="auto" w:sz="4" w:space="0"/>
              <w:bottom w:val="single" w:color="auto" w:sz="4" w:space="0"/>
              <w:right w:val="single" w:color="auto" w:sz="4" w:space="0"/>
            </w:tcBorders>
            <w:vAlign w:val="center"/>
          </w:tcPr>
          <w:p w14:paraId="7455007C">
            <w:pPr>
              <w:adjustRightInd w:val="0"/>
              <w:snapToGrid w:val="0"/>
              <w:spacing w:line="320" w:lineRule="exact"/>
              <w:rPr>
                <w:rFonts w:ascii="宋体" w:hAnsi="宋体" w:cs="宋体"/>
                <w:szCs w:val="21"/>
              </w:rPr>
            </w:pPr>
            <w:r>
              <w:rPr>
                <w:rFonts w:hint="eastAsia" w:ascii="宋体" w:hAnsi="宋体" w:cs="宋体"/>
                <w:szCs w:val="21"/>
              </w:rPr>
              <w:t>应急处理方案（满分10分）</w:t>
            </w:r>
          </w:p>
        </w:tc>
        <w:tc>
          <w:tcPr>
            <w:tcW w:w="7016" w:type="dxa"/>
            <w:tcBorders>
              <w:top w:val="single" w:color="auto" w:sz="4" w:space="0"/>
              <w:left w:val="single" w:color="auto" w:sz="4" w:space="0"/>
              <w:bottom w:val="single" w:color="auto" w:sz="4" w:space="0"/>
              <w:right w:val="single" w:color="auto" w:sz="4" w:space="0"/>
            </w:tcBorders>
            <w:vAlign w:val="center"/>
          </w:tcPr>
          <w:p w14:paraId="6391899C">
            <w:pPr>
              <w:adjustRightInd w:val="0"/>
              <w:snapToGrid w:val="0"/>
              <w:spacing w:line="320" w:lineRule="exact"/>
              <w:ind w:firstLine="420" w:firstLineChars="200"/>
              <w:rPr>
                <w:rFonts w:ascii="宋体" w:hAnsi="宋体" w:cs="宋体"/>
                <w:szCs w:val="21"/>
              </w:rPr>
            </w:pPr>
            <w:r>
              <w:rPr>
                <w:rFonts w:hint="eastAsia" w:ascii="宋体" w:hAnsi="宋体" w:cs="宋体"/>
                <w:szCs w:val="21"/>
              </w:rPr>
              <w:t>应急处理方案包括详细的应急响应过程，响应方式，响应时间，故障修复时间等</w:t>
            </w:r>
            <w:r>
              <w:rPr>
                <w:rFonts w:hint="eastAsia" w:ascii="宋体" w:hAnsi="宋体" w:cs="宋体"/>
                <w:szCs w:val="21"/>
                <w:lang w:eastAsia="zh-CN"/>
              </w:rPr>
              <w:t>，</w:t>
            </w:r>
            <w:r>
              <w:rPr>
                <w:rFonts w:hint="eastAsia" w:ascii="宋体" w:hAnsi="宋体" w:cs="宋体"/>
                <w:szCs w:val="21"/>
              </w:rPr>
              <w:t>完善的应急预案。</w:t>
            </w:r>
          </w:p>
          <w:p w14:paraId="2DAD3B72">
            <w:pPr>
              <w:pStyle w:val="5"/>
              <w:adjustRightInd w:val="0"/>
              <w:snapToGrid w:val="0"/>
              <w:spacing w:before="25" w:line="307" w:lineRule="auto"/>
              <w:ind w:left="112" w:right="138" w:firstLine="420" w:firstLineChars="200"/>
              <w:rPr>
                <w:rFonts w:hint="eastAsia" w:ascii="宋体" w:hAnsi="宋体" w:eastAsia="宋体" w:cs="宋体"/>
                <w:szCs w:val="21"/>
                <w:lang w:eastAsia="zh-CN"/>
              </w:rPr>
            </w:pPr>
            <w:r>
              <w:rPr>
                <w:rFonts w:hint="eastAsia" w:ascii="宋体" w:hAnsi="宋体" w:cs="宋体"/>
                <w:szCs w:val="21"/>
              </w:rPr>
              <w:t>1.一档（1</w:t>
            </w:r>
            <w:r>
              <w:rPr>
                <w:rFonts w:ascii="宋体" w:hAnsi="宋体" w:cs="宋体"/>
                <w:szCs w:val="21"/>
              </w:rPr>
              <w:t>0</w:t>
            </w:r>
            <w:r>
              <w:rPr>
                <w:rFonts w:hint="eastAsia" w:ascii="宋体" w:hAnsi="宋体" w:cs="宋体"/>
                <w:szCs w:val="21"/>
              </w:rPr>
              <w:t>分）：</w:t>
            </w:r>
            <w:r>
              <w:t>应急预案中有完整、详细的安全、消防、自然灾害、设备故障处置等应</w:t>
            </w:r>
            <w:r>
              <w:rPr>
                <w:spacing w:val="-8"/>
              </w:rPr>
              <w:t>急措施，有详细处理流程、步骤、方法及保障措施，且预案具有可行性、合理性、针对性的</w:t>
            </w:r>
            <w:r>
              <w:rPr>
                <w:rFonts w:hint="eastAsia"/>
                <w:spacing w:val="-8"/>
              </w:rPr>
              <w:t>，</w:t>
            </w:r>
            <w:r>
              <w:rPr>
                <w:rFonts w:hint="eastAsia" w:ascii="宋体" w:hAnsi="宋体" w:cs="宋体"/>
                <w:szCs w:val="21"/>
              </w:rPr>
              <w:t>得10分</w:t>
            </w:r>
            <w:r>
              <w:rPr>
                <w:rFonts w:hint="eastAsia" w:ascii="宋体" w:hAnsi="宋体" w:cs="宋体"/>
                <w:szCs w:val="21"/>
                <w:lang w:eastAsia="zh-CN"/>
              </w:rPr>
              <w:t>；</w:t>
            </w:r>
          </w:p>
          <w:p w14:paraId="4DC828BE">
            <w:pPr>
              <w:adjustRightInd w:val="0"/>
              <w:snapToGrid w:val="0"/>
              <w:spacing w:line="320" w:lineRule="exact"/>
              <w:ind w:firstLine="420" w:firstLineChars="200"/>
              <w:rPr>
                <w:rFonts w:hint="eastAsia" w:ascii="宋体" w:hAnsi="宋体" w:eastAsia="宋体" w:cs="宋体"/>
                <w:szCs w:val="21"/>
                <w:lang w:eastAsia="zh-CN"/>
              </w:rPr>
            </w:pPr>
            <w:r>
              <w:rPr>
                <w:rFonts w:hint="eastAsia" w:ascii="宋体" w:hAnsi="宋体" w:cs="宋体"/>
                <w:szCs w:val="21"/>
              </w:rPr>
              <w:t>2.二档（8分）：</w:t>
            </w:r>
            <w:r>
              <w:t>应急预案中有较完整的安全、消防、设备故障处置等应急措施的，且预案基本可行</w:t>
            </w:r>
            <w:r>
              <w:rPr>
                <w:rFonts w:hint="eastAsia" w:ascii="宋体" w:hAnsi="宋体" w:cs="宋体"/>
                <w:szCs w:val="21"/>
              </w:rPr>
              <w:t>，得8分</w:t>
            </w:r>
            <w:r>
              <w:rPr>
                <w:rFonts w:hint="eastAsia" w:ascii="宋体" w:hAnsi="宋体" w:cs="宋体"/>
                <w:szCs w:val="21"/>
                <w:lang w:eastAsia="zh-CN"/>
              </w:rPr>
              <w:t>；</w:t>
            </w:r>
          </w:p>
          <w:p w14:paraId="6A3384EB">
            <w:pPr>
              <w:adjustRightInd w:val="0"/>
              <w:snapToGrid w:val="0"/>
              <w:spacing w:line="320" w:lineRule="exact"/>
              <w:ind w:firstLine="420" w:firstLineChars="200"/>
              <w:rPr>
                <w:rFonts w:hint="eastAsia" w:ascii="宋体" w:hAnsi="宋体" w:eastAsia="宋体" w:cs="宋体"/>
                <w:szCs w:val="21"/>
                <w:lang w:eastAsia="zh-CN"/>
              </w:rPr>
            </w:pPr>
            <w:r>
              <w:rPr>
                <w:rFonts w:hint="eastAsia" w:ascii="宋体" w:hAnsi="宋体" w:cs="宋体"/>
                <w:szCs w:val="21"/>
              </w:rPr>
              <w:t>3.三档（5分）：</w:t>
            </w:r>
            <w:r>
              <w:t>应急预案中有简单的安全、消防、设备故障处置等应急措施的</w:t>
            </w:r>
            <w:r>
              <w:rPr>
                <w:rFonts w:hint="eastAsia" w:ascii="宋体" w:hAnsi="宋体" w:cs="宋体"/>
                <w:szCs w:val="21"/>
              </w:rPr>
              <w:t>，得5 分</w:t>
            </w:r>
            <w:r>
              <w:rPr>
                <w:rFonts w:hint="eastAsia" w:ascii="宋体" w:hAnsi="宋体" w:cs="宋体"/>
                <w:szCs w:val="21"/>
                <w:lang w:eastAsia="zh-CN"/>
              </w:rPr>
              <w:t>；</w:t>
            </w:r>
          </w:p>
          <w:p w14:paraId="108C69DE">
            <w:pPr>
              <w:adjustRightInd w:val="0"/>
              <w:snapToGrid w:val="0"/>
              <w:spacing w:line="320" w:lineRule="exact"/>
              <w:ind w:firstLine="420" w:firstLineChars="200"/>
              <w:rPr>
                <w:rFonts w:ascii="宋体" w:hAnsi="宋体" w:cs="宋体"/>
                <w:szCs w:val="21"/>
              </w:rPr>
            </w:pPr>
            <w:r>
              <w:rPr>
                <w:rFonts w:hint="eastAsia" w:ascii="宋体" w:hAnsi="宋体" w:cs="宋体"/>
                <w:szCs w:val="21"/>
              </w:rPr>
              <w:t>4.四档（2分）：方案不够具体、没有可行性，或没有这方面论述，得2分。</w:t>
            </w:r>
          </w:p>
        </w:tc>
      </w:tr>
      <w:tr w14:paraId="29DDC5C2">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212" w:type="dxa"/>
            <w:gridSpan w:val="3"/>
            <w:tcBorders>
              <w:top w:val="single" w:color="auto" w:sz="4" w:space="0"/>
              <w:left w:val="single" w:color="auto" w:sz="4" w:space="0"/>
              <w:bottom w:val="single" w:color="auto" w:sz="4" w:space="0"/>
              <w:right w:val="single" w:color="auto" w:sz="4" w:space="0"/>
            </w:tcBorders>
            <w:vAlign w:val="center"/>
          </w:tcPr>
          <w:p w14:paraId="30EADA26">
            <w:pPr>
              <w:adjustRightInd w:val="0"/>
              <w:snapToGrid w:val="0"/>
              <w:spacing w:line="320" w:lineRule="exact"/>
              <w:ind w:firstLine="420" w:firstLineChars="200"/>
              <w:jc w:val="center"/>
              <w:rPr>
                <w:rFonts w:ascii="宋体" w:hAnsi="宋体" w:cs="宋体"/>
                <w:szCs w:val="21"/>
              </w:rPr>
            </w:pPr>
            <w:r>
              <w:rPr>
                <w:rFonts w:ascii="Times New Roman" w:hAnsi="Times New Roman" w:eastAsia="楷体_GB2312"/>
              </w:rPr>
              <w:t>（</w:t>
            </w:r>
            <w:r>
              <w:rPr>
                <w:rFonts w:hint="eastAsia" w:ascii="Times New Roman" w:hAnsi="Times New Roman" w:eastAsia="楷体_GB2312"/>
              </w:rPr>
              <w:t>三</w:t>
            </w:r>
            <w:r>
              <w:rPr>
                <w:rFonts w:ascii="Times New Roman" w:hAnsi="Times New Roman" w:eastAsia="楷体_GB2312"/>
              </w:rPr>
              <w:t>）技术</w:t>
            </w:r>
            <w:r>
              <w:rPr>
                <w:rFonts w:hint="eastAsia" w:ascii="Times New Roman" w:hAnsi="Times New Roman" w:eastAsia="楷体_GB2312"/>
              </w:rPr>
              <w:t>支持</w:t>
            </w:r>
            <w:r>
              <w:rPr>
                <w:rFonts w:ascii="Times New Roman" w:hAnsi="Times New Roman" w:eastAsia="楷体_GB2312"/>
              </w:rPr>
              <w:t>部分（满分</w:t>
            </w:r>
            <w:r>
              <w:rPr>
                <w:rFonts w:hint="eastAsia" w:ascii="Times New Roman" w:hAnsi="Times New Roman" w:eastAsia="楷体_GB2312"/>
              </w:rPr>
              <w:t>35</w:t>
            </w:r>
            <w:r>
              <w:rPr>
                <w:rFonts w:ascii="Times New Roman" w:hAnsi="Times New Roman" w:eastAsia="楷体_GB2312"/>
              </w:rPr>
              <w:t>分）</w:t>
            </w:r>
          </w:p>
        </w:tc>
      </w:tr>
      <w:tr w14:paraId="35B9000E">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94"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14:paraId="27F33780">
            <w:pPr>
              <w:adjustRightInd w:val="0"/>
              <w:snapToGrid w:val="0"/>
              <w:spacing w:line="320" w:lineRule="exact"/>
              <w:jc w:val="center"/>
              <w:rPr>
                <w:rFonts w:ascii="宋体" w:hAnsi="宋体" w:cs="宋体"/>
                <w:szCs w:val="21"/>
              </w:rPr>
            </w:pPr>
            <w:r>
              <w:rPr>
                <w:rFonts w:hint="eastAsia" w:ascii="宋体" w:hAnsi="宋体" w:cs="宋体"/>
                <w:szCs w:val="21"/>
              </w:rPr>
              <w:t>1</w:t>
            </w:r>
          </w:p>
        </w:tc>
        <w:tc>
          <w:tcPr>
            <w:tcW w:w="1558" w:type="dxa"/>
            <w:tcBorders>
              <w:top w:val="single" w:color="auto" w:sz="4" w:space="0"/>
              <w:left w:val="single" w:color="auto" w:sz="4" w:space="0"/>
              <w:bottom w:val="single" w:color="auto" w:sz="4" w:space="0"/>
              <w:right w:val="single" w:color="auto" w:sz="4" w:space="0"/>
            </w:tcBorders>
            <w:vAlign w:val="center"/>
          </w:tcPr>
          <w:p w14:paraId="69DA5478">
            <w:pPr>
              <w:adjustRightInd w:val="0"/>
              <w:snapToGrid w:val="0"/>
              <w:spacing w:line="320" w:lineRule="exact"/>
              <w:jc w:val="center"/>
              <w:rPr>
                <w:rFonts w:ascii="宋体" w:hAnsi="宋体" w:cs="宋体"/>
                <w:szCs w:val="21"/>
              </w:rPr>
            </w:pPr>
            <w:r>
              <w:rPr>
                <w:rFonts w:hint="eastAsia" w:ascii="宋体" w:hAnsi="宋体" w:cs="宋体"/>
                <w:szCs w:val="21"/>
              </w:rPr>
              <w:t>本地化服务 （满分5分）</w:t>
            </w:r>
          </w:p>
        </w:tc>
        <w:tc>
          <w:tcPr>
            <w:tcW w:w="7016" w:type="dxa"/>
            <w:tcBorders>
              <w:top w:val="single" w:color="auto" w:sz="4" w:space="0"/>
              <w:left w:val="single" w:color="auto" w:sz="4" w:space="0"/>
              <w:bottom w:val="single" w:color="auto" w:sz="4" w:space="0"/>
              <w:right w:val="single" w:color="auto" w:sz="4" w:space="0"/>
            </w:tcBorders>
            <w:vAlign w:val="center"/>
          </w:tcPr>
          <w:p w14:paraId="226469E5">
            <w:pPr>
              <w:adjustRightInd w:val="0"/>
              <w:snapToGrid w:val="0"/>
              <w:spacing w:line="320" w:lineRule="exact"/>
              <w:ind w:firstLine="420" w:firstLineChars="200"/>
              <w:rPr>
                <w:rFonts w:ascii="宋体" w:hAnsi="宋体" w:cs="宋体"/>
                <w:szCs w:val="21"/>
              </w:rPr>
            </w:pPr>
            <w:r>
              <w:rPr>
                <w:rFonts w:hint="eastAsia" w:ascii="宋体" w:hAnsi="宋体" w:cs="宋体"/>
                <w:szCs w:val="21"/>
              </w:rPr>
              <w:t>运维机构在本项目所在地设有办事处或机构的，得5分。</w:t>
            </w:r>
          </w:p>
          <w:p w14:paraId="2287210D">
            <w:pPr>
              <w:adjustRightInd w:val="0"/>
              <w:snapToGrid w:val="0"/>
              <w:spacing w:line="320" w:lineRule="exact"/>
              <w:ind w:firstLine="420" w:firstLineChars="200"/>
              <w:rPr>
                <w:rFonts w:ascii="宋体" w:hAnsi="宋体" w:cs="宋体"/>
                <w:szCs w:val="21"/>
              </w:rPr>
            </w:pPr>
            <w:r>
              <w:rPr>
                <w:rFonts w:hint="eastAsia" w:ascii="宋体" w:hAnsi="宋体" w:cs="宋体"/>
                <w:szCs w:val="21"/>
              </w:rPr>
              <w:t>备注：运维机构在本项目所在地设有办事处或机构的，提供证明材料（运维单位提供场地租赁合同复印件或相关证明，并注明服务机构详细地址、联系人、电话，加盖公章）；运维机构在本项目所在地没有固定办事处或机构的，不得分。</w:t>
            </w:r>
          </w:p>
        </w:tc>
      </w:tr>
      <w:tr w14:paraId="062CE263">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94"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14:paraId="5D1859D6">
            <w:pPr>
              <w:adjustRightInd w:val="0"/>
              <w:snapToGrid w:val="0"/>
              <w:spacing w:line="320" w:lineRule="exact"/>
              <w:jc w:val="center"/>
              <w:rPr>
                <w:rFonts w:ascii="宋体" w:hAnsi="宋体" w:cs="宋体"/>
                <w:szCs w:val="21"/>
              </w:rPr>
            </w:pPr>
            <w:r>
              <w:rPr>
                <w:rFonts w:hint="eastAsia" w:ascii="宋体" w:hAnsi="宋体" w:cs="宋体"/>
                <w:szCs w:val="21"/>
              </w:rPr>
              <w:t>2</w:t>
            </w:r>
          </w:p>
        </w:tc>
        <w:tc>
          <w:tcPr>
            <w:tcW w:w="1558" w:type="dxa"/>
            <w:tcBorders>
              <w:top w:val="single" w:color="auto" w:sz="4" w:space="0"/>
              <w:left w:val="single" w:color="auto" w:sz="4" w:space="0"/>
              <w:bottom w:val="single" w:color="auto" w:sz="4" w:space="0"/>
              <w:right w:val="single" w:color="auto" w:sz="4" w:space="0"/>
            </w:tcBorders>
            <w:vAlign w:val="center"/>
          </w:tcPr>
          <w:p w14:paraId="17E14AA0">
            <w:pPr>
              <w:adjustRightInd w:val="0"/>
              <w:snapToGrid w:val="0"/>
              <w:spacing w:line="320" w:lineRule="exact"/>
              <w:jc w:val="center"/>
              <w:rPr>
                <w:rFonts w:ascii="宋体" w:hAnsi="宋体" w:cs="宋体"/>
                <w:szCs w:val="21"/>
              </w:rPr>
            </w:pPr>
            <w:r>
              <w:rPr>
                <w:rFonts w:hint="eastAsia" w:ascii="宋体" w:hAnsi="宋体" w:cs="宋体"/>
                <w:szCs w:val="21"/>
              </w:rPr>
              <w:t>人员设置   （满分15分）</w:t>
            </w:r>
          </w:p>
        </w:tc>
        <w:tc>
          <w:tcPr>
            <w:tcW w:w="7016" w:type="dxa"/>
            <w:tcBorders>
              <w:top w:val="single" w:color="auto" w:sz="4" w:space="0"/>
              <w:left w:val="single" w:color="auto" w:sz="4" w:space="0"/>
              <w:bottom w:val="single" w:color="auto" w:sz="4" w:space="0"/>
              <w:right w:val="single" w:color="auto" w:sz="4" w:space="0"/>
            </w:tcBorders>
            <w:vAlign w:val="center"/>
          </w:tcPr>
          <w:p w14:paraId="3BAFB3BB">
            <w:pPr>
              <w:adjustRightInd w:val="0"/>
              <w:snapToGrid w:val="0"/>
              <w:spacing w:line="320" w:lineRule="exact"/>
              <w:ind w:firstLine="420" w:firstLineChars="200"/>
              <w:rPr>
                <w:rFonts w:ascii="宋体" w:hAnsi="宋体" w:cs="宋体"/>
                <w:szCs w:val="21"/>
                <w:highlight w:val="none"/>
              </w:rPr>
            </w:pPr>
            <w:r>
              <w:rPr>
                <w:rFonts w:hint="eastAsia" w:ascii="宋体" w:hAnsi="宋体" w:cs="宋体"/>
                <w:szCs w:val="21"/>
                <w:highlight w:val="none"/>
              </w:rPr>
              <w:t>1.拟投入的项目负责人具有</w:t>
            </w:r>
            <w:r>
              <w:rPr>
                <w:rFonts w:hint="eastAsia" w:ascii="宋体" w:hAnsi="宋体" w:cs="宋体"/>
                <w:szCs w:val="21"/>
                <w:highlight w:val="none"/>
                <w:lang w:val="en-US" w:eastAsia="zh-CN"/>
              </w:rPr>
              <w:t>本科</w:t>
            </w:r>
            <w:r>
              <w:rPr>
                <w:rFonts w:hint="eastAsia" w:ascii="宋体" w:hAnsi="宋体" w:cs="宋体"/>
                <w:szCs w:val="21"/>
                <w:highlight w:val="none"/>
              </w:rPr>
              <w:t>及以上学历，</w:t>
            </w:r>
            <w:r>
              <w:rPr>
                <w:rFonts w:hint="eastAsia" w:ascii="宋体" w:hAnsi="宋体" w:cs="宋体"/>
                <w:szCs w:val="21"/>
                <w:highlight w:val="none"/>
                <w:lang w:eastAsia="zh-CN"/>
              </w:rPr>
              <w:t>具有</w:t>
            </w:r>
            <w:r>
              <w:rPr>
                <w:rFonts w:hint="eastAsia" w:ascii="宋体" w:hAnsi="宋体" w:cs="宋体"/>
                <w:szCs w:val="21"/>
                <w:highlight w:val="none"/>
              </w:rPr>
              <w:t>生态环境类</w:t>
            </w:r>
            <w:r>
              <w:rPr>
                <w:rFonts w:hint="eastAsia" w:ascii="宋体" w:hAnsi="宋体" w:cs="宋体"/>
                <w:szCs w:val="21"/>
                <w:highlight w:val="none"/>
                <w:lang w:eastAsia="zh-CN"/>
              </w:rPr>
              <w:t>高</w:t>
            </w:r>
            <w:r>
              <w:rPr>
                <w:rFonts w:hint="eastAsia" w:ascii="宋体" w:hAnsi="宋体" w:cs="宋体"/>
                <w:szCs w:val="21"/>
                <w:highlight w:val="none"/>
              </w:rPr>
              <w:t>级职称的，得</w:t>
            </w:r>
            <w:r>
              <w:rPr>
                <w:rFonts w:hint="eastAsia" w:ascii="宋体" w:hAnsi="宋体" w:cs="宋体"/>
                <w:szCs w:val="21"/>
                <w:highlight w:val="none"/>
                <w:lang w:val="en-US" w:eastAsia="zh-CN"/>
              </w:rPr>
              <w:t>5</w:t>
            </w:r>
            <w:r>
              <w:rPr>
                <w:rFonts w:hint="eastAsia" w:ascii="宋体" w:hAnsi="宋体" w:cs="宋体"/>
                <w:szCs w:val="21"/>
                <w:highlight w:val="none"/>
              </w:rPr>
              <w:t>分</w:t>
            </w:r>
            <w:r>
              <w:rPr>
                <w:rFonts w:hint="eastAsia" w:ascii="宋体" w:hAnsi="宋体" w:cs="宋体"/>
                <w:szCs w:val="21"/>
                <w:highlight w:val="none"/>
                <w:lang w:eastAsia="zh-CN"/>
              </w:rPr>
              <w:t>；具有生态环境类中级职称的，得</w:t>
            </w:r>
            <w:r>
              <w:rPr>
                <w:rFonts w:hint="eastAsia" w:ascii="宋体" w:hAnsi="宋体" w:cs="宋体"/>
                <w:szCs w:val="21"/>
                <w:highlight w:val="none"/>
                <w:lang w:val="en-US" w:eastAsia="zh-CN"/>
              </w:rPr>
              <w:t>3分，满分5分</w:t>
            </w:r>
            <w:r>
              <w:rPr>
                <w:rFonts w:hint="eastAsia" w:ascii="宋体" w:hAnsi="宋体" w:cs="宋体"/>
                <w:szCs w:val="21"/>
                <w:highlight w:val="none"/>
              </w:rPr>
              <w:t>。</w:t>
            </w:r>
          </w:p>
          <w:p w14:paraId="7F33D359">
            <w:pPr>
              <w:pStyle w:val="3"/>
              <w:numPr>
                <w:ilvl w:val="0"/>
                <w:numId w:val="0"/>
              </w:numPr>
              <w:adjustRightInd w:val="0"/>
              <w:snapToGrid w:val="0"/>
              <w:spacing w:line="320" w:lineRule="exact"/>
              <w:ind w:firstLine="420" w:firstLineChars="200"/>
              <w:jc w:val="left"/>
              <w:rPr>
                <w:rFonts w:ascii="宋体" w:hAnsi="宋体" w:cs="宋体"/>
                <w:szCs w:val="21"/>
              </w:rPr>
            </w:pPr>
            <w:r>
              <w:rPr>
                <w:rFonts w:hint="eastAsia" w:ascii="宋体" w:hAnsi="宋体" w:cs="宋体"/>
                <w:szCs w:val="21"/>
              </w:rPr>
              <w:t>2.参与本项目运维的专业技术人员经过国家级部门空气自动监测领域培训，并取得国家级部门颁发的空气自动监测领域合格证的，每提供一个加</w:t>
            </w:r>
            <w:r>
              <w:rPr>
                <w:rFonts w:hint="eastAsia" w:ascii="宋体" w:hAnsi="宋体" w:cs="宋体"/>
                <w:szCs w:val="21"/>
                <w:lang w:val="en-US" w:eastAsia="zh-CN"/>
              </w:rPr>
              <w:t>2</w:t>
            </w:r>
            <w:r>
              <w:rPr>
                <w:rFonts w:hint="eastAsia" w:ascii="宋体" w:hAnsi="宋体" w:cs="宋体"/>
                <w:szCs w:val="21"/>
              </w:rPr>
              <w:t>分；参加省级部门空气自动监测领域培训，并取得省级部门颁发的空气自动监测领域合格证的，每提供一个加</w:t>
            </w:r>
            <w:r>
              <w:rPr>
                <w:rFonts w:hint="eastAsia" w:ascii="宋体" w:hAnsi="宋体" w:cs="宋体"/>
                <w:szCs w:val="21"/>
                <w:lang w:val="en-US" w:eastAsia="zh-CN"/>
              </w:rPr>
              <w:t>1</w:t>
            </w:r>
            <w:r>
              <w:rPr>
                <w:rFonts w:hint="eastAsia" w:ascii="宋体" w:hAnsi="宋体" w:cs="宋体"/>
                <w:szCs w:val="21"/>
              </w:rPr>
              <w:t>分。最高得</w:t>
            </w:r>
            <w:r>
              <w:rPr>
                <w:rFonts w:hint="eastAsia" w:ascii="宋体" w:hAnsi="宋体" w:cs="宋体"/>
                <w:szCs w:val="21"/>
                <w:lang w:val="en-US" w:eastAsia="zh-CN"/>
              </w:rPr>
              <w:t>8</w:t>
            </w:r>
            <w:r>
              <w:rPr>
                <w:rFonts w:hint="eastAsia" w:ascii="宋体" w:hAnsi="宋体" w:cs="宋体"/>
                <w:szCs w:val="21"/>
              </w:rPr>
              <w:t>分。</w:t>
            </w:r>
          </w:p>
          <w:p w14:paraId="4FDAC13B">
            <w:pPr>
              <w:pStyle w:val="3"/>
              <w:numPr>
                <w:ilvl w:val="0"/>
                <w:numId w:val="0"/>
              </w:numPr>
              <w:adjustRightInd w:val="0"/>
              <w:snapToGrid w:val="0"/>
              <w:spacing w:line="320" w:lineRule="exact"/>
              <w:ind w:firstLine="420" w:firstLineChars="200"/>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lang w:val="en-US" w:eastAsia="zh-CN"/>
                <w14:textFill>
                  <w14:solidFill>
                    <w14:schemeClr w14:val="tx1"/>
                  </w14:solidFill>
                </w14:textFill>
              </w:rPr>
              <w:t>3.本项目项目负责人或运维专业技术人员有安全员证书的，每提供一个加1分，满分2分。</w:t>
            </w:r>
            <w:r>
              <w:rPr>
                <w:rFonts w:hint="eastAsia" w:ascii="Times New Roman" w:hAnsi="Times New Roman"/>
                <w:color w:val="000000" w:themeColor="text1"/>
                <w14:textFill>
                  <w14:solidFill>
                    <w14:schemeClr w14:val="tx1"/>
                  </w14:solidFill>
                </w14:textFill>
              </w:rPr>
              <w:t xml:space="preserve">                       </w:t>
            </w:r>
            <w:r>
              <w:rPr>
                <w:rFonts w:hint="eastAsia" w:ascii="宋体" w:hAnsi="宋体" w:cs="宋体"/>
                <w:szCs w:val="21"/>
              </w:rPr>
              <w:t xml:space="preserve">  </w:t>
            </w:r>
          </w:p>
          <w:p w14:paraId="5E5AC97B">
            <w:pPr>
              <w:adjustRightInd w:val="0"/>
              <w:snapToGrid w:val="0"/>
              <w:spacing w:line="320" w:lineRule="exact"/>
              <w:ind w:firstLine="420" w:firstLineChars="200"/>
              <w:rPr>
                <w:rFonts w:ascii="宋体" w:hAnsi="宋体" w:cs="宋体"/>
                <w:szCs w:val="21"/>
              </w:rPr>
            </w:pPr>
            <w:r>
              <w:rPr>
                <w:rFonts w:hint="eastAsia" w:ascii="宋体" w:hAnsi="宋体" w:cs="宋体"/>
                <w:szCs w:val="21"/>
              </w:rPr>
              <w:t>备注：运维机构提供本项目负责人学历证书</w:t>
            </w:r>
            <w:r>
              <w:rPr>
                <w:rFonts w:hint="eastAsia" w:ascii="宋体" w:hAnsi="宋体" w:cs="宋体"/>
                <w:szCs w:val="21"/>
                <w:highlight w:val="none"/>
              </w:rPr>
              <w:t>、</w:t>
            </w:r>
            <w:r>
              <w:rPr>
                <w:rFonts w:hint="eastAsia" w:ascii="宋体" w:hAnsi="宋体" w:cs="宋体"/>
                <w:szCs w:val="21"/>
              </w:rPr>
              <w:t>职称证书</w:t>
            </w:r>
            <w:r>
              <w:rPr>
                <w:rFonts w:hint="eastAsia" w:ascii="宋体" w:hAnsi="宋体" w:cs="宋体"/>
                <w:szCs w:val="21"/>
                <w:lang w:eastAsia="zh-CN"/>
              </w:rPr>
              <w:t>、</w:t>
            </w:r>
            <w:r>
              <w:rPr>
                <w:rFonts w:hint="eastAsia" w:ascii="宋体" w:hAnsi="宋体" w:cs="宋体"/>
                <w:szCs w:val="21"/>
                <w:lang w:val="en-US" w:eastAsia="zh-CN"/>
              </w:rPr>
              <w:t>安全员证书</w:t>
            </w:r>
            <w:r>
              <w:rPr>
                <w:rFonts w:hint="eastAsia" w:ascii="宋体" w:hAnsi="宋体" w:cs="宋体"/>
                <w:szCs w:val="21"/>
              </w:rPr>
              <w:t>，运维人员参加空气自动监测领域培训的相关文件或上岗证</w:t>
            </w:r>
            <w:r>
              <w:rPr>
                <w:rFonts w:hint="eastAsia" w:ascii="宋体" w:hAnsi="宋体" w:cs="宋体"/>
                <w:szCs w:val="21"/>
                <w:lang w:eastAsia="zh-CN"/>
              </w:rPr>
              <w:t>、</w:t>
            </w:r>
            <w:r>
              <w:rPr>
                <w:rFonts w:hint="eastAsia" w:ascii="宋体" w:hAnsi="宋体" w:cs="宋体"/>
                <w:szCs w:val="21"/>
                <w:highlight w:val="none"/>
                <w:lang w:eastAsia="zh-CN"/>
              </w:rPr>
              <w:t>合格证书、</w:t>
            </w:r>
            <w:r>
              <w:rPr>
                <w:rFonts w:hint="eastAsia" w:ascii="宋体" w:hAnsi="宋体" w:cs="宋体"/>
                <w:szCs w:val="21"/>
                <w:highlight w:val="none"/>
                <w:lang w:val="en-US" w:eastAsia="zh-CN"/>
              </w:rPr>
              <w:t>安全员证书</w:t>
            </w:r>
            <w:r>
              <w:rPr>
                <w:rFonts w:hint="eastAsia" w:ascii="宋体" w:hAnsi="宋体" w:cs="宋体"/>
                <w:szCs w:val="21"/>
              </w:rPr>
              <w:t>等证明材料复印件</w:t>
            </w:r>
            <w:r>
              <w:rPr>
                <w:rFonts w:hint="eastAsia" w:ascii="Times New Roman" w:hAnsi="Times New Roman"/>
                <w:color w:val="000000" w:themeColor="text1"/>
                <w14:textFill>
                  <w14:solidFill>
                    <w14:schemeClr w14:val="tx1"/>
                  </w14:solidFill>
                </w14:textFill>
              </w:rPr>
              <w:t>，项目负责人和运维人员</w:t>
            </w:r>
            <w:r>
              <w:rPr>
                <w:rFonts w:ascii="Times New Roman" w:hAnsi="Times New Roman"/>
                <w:color w:val="000000" w:themeColor="text1"/>
                <w14:textFill>
                  <w14:solidFill>
                    <w14:schemeClr w14:val="tx1"/>
                  </w14:solidFill>
                </w14:textFill>
              </w:rPr>
              <w:t>近</w:t>
            </w:r>
            <w:r>
              <w:rPr>
                <w:rFonts w:hint="eastAsia" w:ascii="Times New Roman" w:hAnsi="Times New Roman"/>
                <w:color w:val="000000" w:themeColor="text1"/>
                <w14:textFill>
                  <w14:solidFill>
                    <w14:schemeClr w14:val="tx1"/>
                  </w14:solidFill>
                </w14:textFill>
              </w:rPr>
              <w:t>5个月</w:t>
            </w:r>
            <w:r>
              <w:rPr>
                <w:rFonts w:ascii="Times New Roman" w:hAnsi="Times New Roman"/>
                <w:color w:val="000000" w:themeColor="text1"/>
                <w14:textFill>
                  <w14:solidFill>
                    <w14:schemeClr w14:val="tx1"/>
                  </w14:solidFill>
                </w14:textFill>
              </w:rPr>
              <w:t>内至少</w:t>
            </w:r>
            <w:r>
              <w:rPr>
                <w:rFonts w:hint="eastAsia" w:ascii="Times New Roman" w:hAnsi="Times New Roman"/>
                <w:color w:val="000000" w:themeColor="text1"/>
                <w14:textFill>
                  <w14:solidFill>
                    <w14:schemeClr w14:val="tx1"/>
                  </w14:solidFill>
                </w14:textFill>
              </w:rPr>
              <w:t>3</w:t>
            </w:r>
            <w:r>
              <w:rPr>
                <w:rFonts w:ascii="Times New Roman" w:hAnsi="Times New Roman"/>
                <w:color w:val="000000" w:themeColor="text1"/>
                <w14:textFill>
                  <w14:solidFill>
                    <w14:schemeClr w14:val="tx1"/>
                  </w14:solidFill>
                </w14:textFill>
              </w:rPr>
              <w:t>个月社保缴纳证明</w:t>
            </w:r>
            <w:r>
              <w:rPr>
                <w:rFonts w:ascii="Times New Roman" w:hAnsi="Times New Roman"/>
                <w:strike w:val="0"/>
                <w:dstrike w:val="0"/>
                <w:color w:val="000000" w:themeColor="text1"/>
                <w:shd w:val="clear"/>
                <w14:textFill>
                  <w14:solidFill>
                    <w14:schemeClr w14:val="tx1"/>
                  </w14:solidFill>
                </w14:textFill>
              </w:rPr>
              <w:t>及相关工作经历证明材料的</w:t>
            </w:r>
            <w:r>
              <w:rPr>
                <w:rFonts w:ascii="Times New Roman" w:hAnsi="Times New Roman"/>
                <w:color w:val="000000" w:themeColor="text1"/>
                <w14:textFill>
                  <w14:solidFill>
                    <w14:schemeClr w14:val="tx1"/>
                  </w14:solidFill>
                </w14:textFill>
              </w:rPr>
              <w:t>复印件，</w:t>
            </w:r>
            <w:r>
              <w:rPr>
                <w:rFonts w:ascii="Times New Roman" w:hAnsi="Times New Roman"/>
                <w:color w:val="000000" w:themeColor="text1"/>
                <w:szCs w:val="21"/>
                <w14:textFill>
                  <w14:solidFill>
                    <w14:schemeClr w14:val="tx1"/>
                  </w14:solidFill>
                </w14:textFill>
              </w:rPr>
              <w:t>并在复印件上加盖公章</w:t>
            </w:r>
            <w:r>
              <w:rPr>
                <w:rFonts w:hint="eastAsia" w:ascii="Times New Roman" w:hAnsi="Times New Roman"/>
                <w:color w:val="000000" w:themeColor="text1"/>
                <w:szCs w:val="21"/>
                <w14:textFill>
                  <w14:solidFill>
                    <w14:schemeClr w14:val="tx1"/>
                  </w14:solidFill>
                </w14:textFill>
              </w:rPr>
              <w:t>。</w:t>
            </w:r>
            <w:r>
              <w:rPr>
                <w:rFonts w:hint="eastAsia" w:ascii="宋体" w:hAnsi="宋体" w:cs="宋体"/>
                <w:szCs w:val="21"/>
              </w:rPr>
              <w:t>没有证明材料不得分。</w:t>
            </w:r>
          </w:p>
        </w:tc>
      </w:tr>
      <w:tr w14:paraId="6E2BFBD3">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94"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14:paraId="717FB8F5">
            <w:pPr>
              <w:adjustRightInd w:val="0"/>
              <w:snapToGrid w:val="0"/>
              <w:spacing w:line="320" w:lineRule="exact"/>
              <w:jc w:val="center"/>
              <w:rPr>
                <w:rFonts w:ascii="宋体" w:hAnsi="宋体" w:cs="宋体"/>
                <w:szCs w:val="21"/>
              </w:rPr>
            </w:pPr>
            <w:r>
              <w:rPr>
                <w:rFonts w:hint="eastAsia" w:ascii="宋体" w:hAnsi="宋体" w:cs="宋体"/>
                <w:szCs w:val="21"/>
              </w:rPr>
              <w:t>3</w:t>
            </w:r>
          </w:p>
        </w:tc>
        <w:tc>
          <w:tcPr>
            <w:tcW w:w="1558" w:type="dxa"/>
            <w:tcBorders>
              <w:top w:val="single" w:color="auto" w:sz="4" w:space="0"/>
              <w:left w:val="single" w:color="auto" w:sz="4" w:space="0"/>
              <w:bottom w:val="single" w:color="auto" w:sz="4" w:space="0"/>
              <w:right w:val="single" w:color="auto" w:sz="4" w:space="0"/>
            </w:tcBorders>
            <w:vAlign w:val="center"/>
          </w:tcPr>
          <w:p w14:paraId="32BB5E69">
            <w:pPr>
              <w:adjustRightInd w:val="0"/>
              <w:snapToGrid w:val="0"/>
              <w:spacing w:line="320" w:lineRule="exact"/>
              <w:jc w:val="center"/>
              <w:rPr>
                <w:rFonts w:ascii="宋体" w:hAnsi="宋体" w:cs="宋体"/>
                <w:szCs w:val="21"/>
              </w:rPr>
            </w:pPr>
            <w:r>
              <w:rPr>
                <w:rFonts w:hint="eastAsia" w:ascii="宋体" w:hAnsi="宋体" w:cs="宋体"/>
                <w:szCs w:val="21"/>
              </w:rPr>
              <w:t>车辆配置   （满分5分）</w:t>
            </w:r>
          </w:p>
        </w:tc>
        <w:tc>
          <w:tcPr>
            <w:tcW w:w="7016" w:type="dxa"/>
            <w:tcBorders>
              <w:top w:val="single" w:color="auto" w:sz="4" w:space="0"/>
              <w:left w:val="single" w:color="auto" w:sz="4" w:space="0"/>
              <w:bottom w:val="single" w:color="auto" w:sz="4" w:space="0"/>
              <w:right w:val="single" w:color="auto" w:sz="4" w:space="0"/>
            </w:tcBorders>
            <w:vAlign w:val="center"/>
          </w:tcPr>
          <w:p w14:paraId="6A55B132">
            <w:pPr>
              <w:adjustRightInd w:val="0"/>
              <w:snapToGrid w:val="0"/>
              <w:spacing w:line="320" w:lineRule="exact"/>
              <w:ind w:firstLine="420" w:firstLineChars="200"/>
              <w:rPr>
                <w:rFonts w:ascii="宋体" w:hAnsi="宋体" w:cs="宋体"/>
                <w:szCs w:val="21"/>
              </w:rPr>
            </w:pPr>
            <w:r>
              <w:rPr>
                <w:rFonts w:hint="eastAsia" w:ascii="宋体" w:hAnsi="宋体" w:cs="宋体"/>
                <w:szCs w:val="21"/>
              </w:rPr>
              <w:t>本项目配备有车辆的，得5分。</w:t>
            </w:r>
          </w:p>
          <w:p w14:paraId="32D4F86F">
            <w:pPr>
              <w:pStyle w:val="5"/>
              <w:adjustRightInd w:val="0"/>
              <w:snapToGrid w:val="0"/>
              <w:spacing w:line="320" w:lineRule="exact"/>
              <w:ind w:firstLine="420" w:firstLineChars="200"/>
              <w:rPr>
                <w:rFonts w:ascii="宋体" w:hAnsi="宋体" w:cs="宋体"/>
                <w:szCs w:val="21"/>
              </w:rPr>
            </w:pPr>
            <w:r>
              <w:rPr>
                <w:rFonts w:hint="eastAsia" w:ascii="宋体" w:hAnsi="宋体" w:cs="宋体"/>
                <w:szCs w:val="21"/>
              </w:rPr>
              <w:t>备注：提供车辆的行驶证复印件，行驶证上的“所有人”名称一栏要与供应商名称一致，车辆仅为本项目服务的承诺书，证明材料复印件上加盖运维机构公章，缺一或不提供不得分。</w:t>
            </w:r>
          </w:p>
        </w:tc>
      </w:tr>
      <w:tr w14:paraId="2B42F598">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38" w:type="dxa"/>
            <w:tcBorders>
              <w:top w:val="single" w:color="auto" w:sz="4" w:space="0"/>
              <w:left w:val="single" w:color="auto" w:sz="4" w:space="0"/>
              <w:bottom w:val="single" w:color="auto" w:sz="4" w:space="0"/>
              <w:right w:val="single" w:color="auto" w:sz="4" w:space="0"/>
            </w:tcBorders>
          </w:tcPr>
          <w:p w14:paraId="08DCE0FE">
            <w:pPr>
              <w:adjustRightInd w:val="0"/>
              <w:snapToGrid w:val="0"/>
              <w:spacing w:line="320" w:lineRule="exact"/>
              <w:jc w:val="center"/>
              <w:rPr>
                <w:rFonts w:ascii="宋体" w:hAnsi="宋体" w:cs="宋体"/>
                <w:szCs w:val="21"/>
              </w:rPr>
            </w:pPr>
            <w:r>
              <w:rPr>
                <w:rFonts w:hint="eastAsia" w:ascii="宋体" w:hAnsi="宋体" w:cs="宋体"/>
                <w:szCs w:val="21"/>
              </w:rPr>
              <w:t>4</w:t>
            </w:r>
          </w:p>
        </w:tc>
        <w:tc>
          <w:tcPr>
            <w:tcW w:w="1558" w:type="dxa"/>
            <w:tcBorders>
              <w:top w:val="single" w:color="auto" w:sz="4" w:space="0"/>
              <w:left w:val="single" w:color="auto" w:sz="4" w:space="0"/>
              <w:bottom w:val="single" w:color="auto" w:sz="4" w:space="0"/>
              <w:right w:val="single" w:color="auto" w:sz="4" w:space="0"/>
            </w:tcBorders>
          </w:tcPr>
          <w:p w14:paraId="112E120D">
            <w:pPr>
              <w:adjustRightInd w:val="0"/>
              <w:snapToGrid w:val="0"/>
              <w:spacing w:line="320" w:lineRule="exact"/>
              <w:ind w:firstLine="8" w:firstLineChars="4"/>
              <w:jc w:val="center"/>
              <w:rPr>
                <w:rFonts w:ascii="宋体" w:hAnsi="宋体"/>
                <w:kern w:val="0"/>
                <w:szCs w:val="21"/>
              </w:rPr>
            </w:pPr>
            <w:r>
              <w:rPr>
                <w:rFonts w:hint="eastAsia" w:ascii="宋体" w:hAnsi="宋体"/>
                <w:kern w:val="0"/>
                <w:szCs w:val="21"/>
              </w:rPr>
              <w:t>备件备机</w:t>
            </w:r>
          </w:p>
          <w:p w14:paraId="7903EE92">
            <w:pPr>
              <w:pStyle w:val="5"/>
              <w:adjustRightInd w:val="0"/>
              <w:snapToGrid w:val="0"/>
              <w:spacing w:after="0" w:line="320" w:lineRule="exact"/>
              <w:jc w:val="center"/>
              <w:rPr>
                <w:rFonts w:ascii="宋体" w:hAnsi="宋体"/>
                <w:b/>
              </w:rPr>
            </w:pPr>
            <w:r>
              <w:rPr>
                <w:rFonts w:hint="eastAsia" w:ascii="宋体" w:hAnsi="宋体" w:cs="宋体"/>
                <w:szCs w:val="21"/>
              </w:rPr>
              <w:t>（满分10分）</w:t>
            </w:r>
          </w:p>
        </w:tc>
        <w:tc>
          <w:tcPr>
            <w:tcW w:w="7016" w:type="dxa"/>
            <w:tcBorders>
              <w:top w:val="single" w:color="auto" w:sz="4" w:space="0"/>
              <w:left w:val="single" w:color="auto" w:sz="4" w:space="0"/>
              <w:bottom w:val="single" w:color="auto" w:sz="4" w:space="0"/>
              <w:right w:val="single" w:color="auto" w:sz="4" w:space="0"/>
            </w:tcBorders>
          </w:tcPr>
          <w:p w14:paraId="1E7D950D">
            <w:pPr>
              <w:pStyle w:val="5"/>
              <w:numPr>
                <w:ilvl w:val="0"/>
                <w:numId w:val="2"/>
              </w:numPr>
              <w:adjustRightInd w:val="0"/>
              <w:snapToGrid w:val="0"/>
              <w:spacing w:after="0" w:line="320" w:lineRule="exact"/>
              <w:ind w:firstLine="420" w:firstLineChars="200"/>
              <w:jc w:val="left"/>
              <w:rPr>
                <w:rFonts w:hint="eastAsia" w:ascii="宋体" w:hAnsi="宋体"/>
                <w:szCs w:val="21"/>
                <w:highlight w:val="none"/>
              </w:rPr>
            </w:pPr>
            <w:r>
              <w:rPr>
                <w:rFonts w:hint="eastAsia"/>
                <w:highlight w:val="none"/>
              </w:rPr>
              <w:t>供应商提供包</w:t>
            </w:r>
            <w:r>
              <w:rPr>
                <w:rFonts w:hint="eastAsia" w:ascii="宋体" w:hAnsi="宋体"/>
                <w:szCs w:val="21"/>
                <w:highlight w:val="none"/>
              </w:rPr>
              <w:t>含：SO2、NO2（NOX、NO）、CO、O3、PM10、PM2.5六项指标分析仪的备机，每提供一套得</w:t>
            </w:r>
            <w:r>
              <w:rPr>
                <w:rFonts w:hint="eastAsia" w:ascii="宋体" w:hAnsi="宋体"/>
                <w:szCs w:val="21"/>
                <w:highlight w:val="none"/>
                <w:lang w:val="en-US" w:eastAsia="zh-CN"/>
              </w:rPr>
              <w:t>2</w:t>
            </w:r>
            <w:r>
              <w:rPr>
                <w:rFonts w:hint="eastAsia" w:ascii="宋体" w:hAnsi="宋体"/>
                <w:szCs w:val="21"/>
                <w:highlight w:val="none"/>
              </w:rPr>
              <w:t>分，需要提供相关采购合同或票据凭证</w:t>
            </w:r>
            <w:bookmarkStart w:id="0" w:name="_GoBack"/>
            <w:bookmarkEnd w:id="0"/>
            <w:r>
              <w:rPr>
                <w:rFonts w:hint="eastAsia" w:ascii="宋体" w:hAnsi="宋体"/>
                <w:szCs w:val="21"/>
                <w:highlight w:val="none"/>
              </w:rPr>
              <w:t>及仪器设备序列号和图片并加盖供应商公章，满分</w:t>
            </w:r>
            <w:r>
              <w:rPr>
                <w:rFonts w:hint="eastAsia" w:ascii="宋体" w:hAnsi="宋体"/>
                <w:szCs w:val="21"/>
                <w:highlight w:val="none"/>
                <w:lang w:val="en-US" w:eastAsia="zh-CN"/>
              </w:rPr>
              <w:t>8</w:t>
            </w:r>
            <w:r>
              <w:rPr>
                <w:rFonts w:hint="eastAsia" w:ascii="宋体" w:hAnsi="宋体"/>
                <w:szCs w:val="21"/>
                <w:highlight w:val="none"/>
              </w:rPr>
              <w:t>分。</w:t>
            </w:r>
          </w:p>
          <w:p w14:paraId="11DC657F">
            <w:pPr>
              <w:pStyle w:val="5"/>
              <w:numPr>
                <w:ilvl w:val="0"/>
                <w:numId w:val="2"/>
              </w:numPr>
              <w:adjustRightInd w:val="0"/>
              <w:snapToGrid w:val="0"/>
              <w:spacing w:after="0" w:line="320" w:lineRule="exact"/>
              <w:ind w:firstLine="420" w:firstLineChars="200"/>
              <w:jc w:val="left"/>
              <w:rPr>
                <w:rFonts w:hint="eastAsia" w:ascii="宋体" w:hAnsi="宋体"/>
                <w:szCs w:val="21"/>
                <w:highlight w:val="none"/>
              </w:rPr>
            </w:pPr>
            <w:r>
              <w:rPr>
                <w:rFonts w:hint="eastAsia"/>
                <w:highlight w:val="none"/>
              </w:rPr>
              <w:t>供应商提供</w:t>
            </w:r>
            <w:r>
              <w:rPr>
                <w:rFonts w:hint="eastAsia"/>
                <w:highlight w:val="none"/>
                <w:lang w:val="en-US" w:eastAsia="zh-CN"/>
              </w:rPr>
              <w:t>本项目</w:t>
            </w:r>
            <w:r>
              <w:rPr>
                <w:rFonts w:hint="eastAsia" w:ascii="宋体" w:hAnsi="宋体"/>
                <w:szCs w:val="21"/>
                <w:highlight w:val="none"/>
              </w:rPr>
              <w:t>SO2、NO2（NOX、NO）、CO、O3、PM10、PM2.5六项指标</w:t>
            </w:r>
            <w:r>
              <w:rPr>
                <w:rFonts w:hint="eastAsia"/>
                <w:highlight w:val="none"/>
              </w:rPr>
              <w:t>原厂商出具的设备运营、仪器维修技术支持函及原厂配件保障供应承诺函的</w:t>
            </w:r>
            <w:r>
              <w:rPr>
                <w:rFonts w:hint="eastAsia"/>
                <w:highlight w:val="none"/>
                <w:lang w:val="en-US" w:eastAsia="zh-CN"/>
              </w:rPr>
              <w:t>得2分。</w:t>
            </w:r>
          </w:p>
        </w:tc>
      </w:tr>
      <w:tr w14:paraId="0481F4AA">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212" w:type="dxa"/>
            <w:gridSpan w:val="3"/>
            <w:tcBorders>
              <w:top w:val="single" w:color="auto" w:sz="4" w:space="0"/>
              <w:left w:val="single" w:color="auto" w:sz="4" w:space="0"/>
              <w:bottom w:val="single" w:color="auto" w:sz="4" w:space="0"/>
              <w:right w:val="single" w:color="auto" w:sz="4" w:space="0"/>
            </w:tcBorders>
            <w:vAlign w:val="center"/>
          </w:tcPr>
          <w:p w14:paraId="06827F9B">
            <w:pPr>
              <w:adjustRightInd w:val="0"/>
              <w:snapToGrid w:val="0"/>
              <w:spacing w:line="320" w:lineRule="exact"/>
              <w:ind w:firstLine="420" w:firstLineChars="200"/>
              <w:jc w:val="center"/>
              <w:rPr>
                <w:rFonts w:ascii="宋体" w:hAnsi="宋体" w:cs="宋体"/>
                <w:szCs w:val="21"/>
              </w:rPr>
            </w:pPr>
            <w:r>
              <w:rPr>
                <w:rFonts w:hint="eastAsia" w:ascii="楷体_GB2312" w:hAnsi="楷体_GB2312" w:eastAsia="楷体_GB2312" w:cs="楷体_GB2312"/>
                <w:szCs w:val="21"/>
              </w:rPr>
              <w:t>（四）商务部分</w:t>
            </w:r>
            <w:r>
              <w:rPr>
                <w:rFonts w:ascii="Times New Roman" w:hAnsi="Times New Roman" w:eastAsia="楷体_GB2312"/>
              </w:rPr>
              <w:t>（满分20分）</w:t>
            </w:r>
          </w:p>
        </w:tc>
      </w:tr>
      <w:tr w14:paraId="509CF95B">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9"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14:paraId="35E50578">
            <w:pPr>
              <w:adjustRightInd w:val="0"/>
              <w:snapToGrid w:val="0"/>
              <w:spacing w:line="320" w:lineRule="exact"/>
              <w:jc w:val="center"/>
              <w:rPr>
                <w:rFonts w:ascii="宋体" w:hAnsi="宋体" w:cs="宋体"/>
                <w:szCs w:val="21"/>
              </w:rPr>
            </w:pPr>
            <w:r>
              <w:rPr>
                <w:rFonts w:hint="eastAsia" w:ascii="宋体" w:hAnsi="宋体" w:cs="宋体"/>
                <w:szCs w:val="21"/>
              </w:rPr>
              <w:t>1</w:t>
            </w:r>
          </w:p>
        </w:tc>
        <w:tc>
          <w:tcPr>
            <w:tcW w:w="1558" w:type="dxa"/>
            <w:tcBorders>
              <w:top w:val="single" w:color="auto" w:sz="4" w:space="0"/>
              <w:left w:val="single" w:color="auto" w:sz="4" w:space="0"/>
              <w:bottom w:val="single" w:color="auto" w:sz="4" w:space="0"/>
              <w:right w:val="single" w:color="auto" w:sz="4" w:space="0"/>
            </w:tcBorders>
            <w:vAlign w:val="center"/>
          </w:tcPr>
          <w:p w14:paraId="4ABC5412">
            <w:pPr>
              <w:tabs>
                <w:tab w:val="center" w:pos="4153"/>
                <w:tab w:val="right" w:pos="8306"/>
              </w:tabs>
              <w:adjustRightInd w:val="0"/>
              <w:snapToGrid w:val="0"/>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企业信誉</w:t>
            </w:r>
          </w:p>
          <w:p w14:paraId="644B03C5">
            <w:pPr>
              <w:tabs>
                <w:tab w:val="center" w:pos="4153"/>
                <w:tab w:val="right" w:pos="8306"/>
              </w:tabs>
              <w:adjustRightInd w:val="0"/>
              <w:snapToGrid w:val="0"/>
              <w:spacing w:line="320" w:lineRule="exact"/>
              <w:jc w:val="center"/>
              <w:rPr>
                <w:rFonts w:ascii="宋体" w:hAnsi="宋体" w:cs="宋体"/>
                <w:szCs w:val="21"/>
              </w:rPr>
            </w:pPr>
            <w:r>
              <w:rPr>
                <w:rFonts w:hint="eastAsia" w:ascii="宋体" w:hAnsi="宋体" w:cs="宋体"/>
                <w:bCs/>
                <w:color w:val="000000" w:themeColor="text1"/>
                <w14:textFill>
                  <w14:solidFill>
                    <w14:schemeClr w14:val="tx1"/>
                  </w14:solidFill>
                </w14:textFill>
              </w:rPr>
              <w:t>（满分5分）</w:t>
            </w:r>
          </w:p>
        </w:tc>
        <w:tc>
          <w:tcPr>
            <w:tcW w:w="7016" w:type="dxa"/>
            <w:tcBorders>
              <w:top w:val="single" w:color="auto" w:sz="4" w:space="0"/>
              <w:left w:val="single" w:color="auto" w:sz="4" w:space="0"/>
              <w:bottom w:val="single" w:color="auto" w:sz="4" w:space="0"/>
              <w:right w:val="single" w:color="auto" w:sz="4" w:space="0"/>
            </w:tcBorders>
          </w:tcPr>
          <w:p w14:paraId="063BF937">
            <w:pPr>
              <w:adjustRightInd w:val="0"/>
              <w:snapToGrid w:val="0"/>
              <w:spacing w:line="320" w:lineRule="exact"/>
              <w:ind w:firstLine="420" w:firstLineChars="200"/>
              <w:rPr>
                <w:rFonts w:ascii="宋体" w:hAnsi="宋体" w:cs="宋体"/>
                <w:szCs w:val="21"/>
              </w:rPr>
            </w:pPr>
            <w:r>
              <w:rPr>
                <w:rFonts w:hint="eastAsia" w:ascii="宋体" w:hAnsi="宋体" w:cs="宋体"/>
              </w:rPr>
              <w:t>供应商在以往环境监测服务中未受到各级环保主管部门行政处罚、通报、记不良记录、记过、或存在弄虚作假等不良行为记录的，加盖供应商公章（供应商应的承诺必须真实有效，若经查实存在虚假承诺的情形，则采购人有权取消其成交资格，并上报监督管理部门处理，且保留追究法律责任的权利），得5分，未提供相应承诺函或有不良记录的，不得分。</w:t>
            </w:r>
          </w:p>
        </w:tc>
      </w:tr>
      <w:tr w14:paraId="4DF16DC0">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8"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14:paraId="50EC9E7D">
            <w:pPr>
              <w:adjustRightInd w:val="0"/>
              <w:snapToGrid w:val="0"/>
              <w:spacing w:line="320" w:lineRule="exact"/>
              <w:jc w:val="center"/>
              <w:rPr>
                <w:rFonts w:ascii="宋体" w:hAnsi="宋体" w:cs="宋体"/>
                <w:szCs w:val="21"/>
              </w:rPr>
            </w:pPr>
            <w:r>
              <w:rPr>
                <w:rFonts w:hint="eastAsia" w:ascii="宋体" w:hAnsi="宋体" w:cs="宋体"/>
                <w:szCs w:val="21"/>
              </w:rPr>
              <w:t>2</w:t>
            </w:r>
          </w:p>
        </w:tc>
        <w:tc>
          <w:tcPr>
            <w:tcW w:w="1558" w:type="dxa"/>
            <w:tcBorders>
              <w:top w:val="single" w:color="auto" w:sz="4" w:space="0"/>
              <w:left w:val="single" w:color="auto" w:sz="4" w:space="0"/>
              <w:bottom w:val="single" w:color="auto" w:sz="4" w:space="0"/>
              <w:right w:val="single" w:color="auto" w:sz="4" w:space="0"/>
            </w:tcBorders>
            <w:vAlign w:val="center"/>
          </w:tcPr>
          <w:p w14:paraId="51971B46">
            <w:pPr>
              <w:adjustRightInd w:val="0"/>
              <w:snapToGrid w:val="0"/>
              <w:spacing w:line="320" w:lineRule="exact"/>
              <w:jc w:val="center"/>
              <w:rPr>
                <w:rFonts w:ascii="宋体" w:hAnsi="宋体" w:cs="宋体"/>
                <w:szCs w:val="21"/>
              </w:rPr>
            </w:pPr>
            <w:r>
              <w:rPr>
                <w:rFonts w:hint="eastAsia" w:ascii="宋体" w:hAnsi="宋体" w:cs="宋体"/>
                <w:szCs w:val="21"/>
              </w:rPr>
              <w:t>项目业绩</w:t>
            </w:r>
          </w:p>
          <w:p w14:paraId="4E6B52B7">
            <w:pPr>
              <w:adjustRightInd w:val="0"/>
              <w:snapToGrid w:val="0"/>
              <w:spacing w:line="320" w:lineRule="exact"/>
              <w:jc w:val="center"/>
              <w:rPr>
                <w:rFonts w:ascii="宋体" w:hAnsi="宋体" w:cs="宋体"/>
                <w:szCs w:val="21"/>
              </w:rPr>
            </w:pPr>
            <w:r>
              <w:rPr>
                <w:rFonts w:hint="eastAsia" w:ascii="宋体" w:hAnsi="宋体" w:cs="宋体"/>
                <w:szCs w:val="21"/>
              </w:rPr>
              <w:t>（满分15分）</w:t>
            </w:r>
          </w:p>
        </w:tc>
        <w:tc>
          <w:tcPr>
            <w:tcW w:w="7016" w:type="dxa"/>
            <w:tcBorders>
              <w:top w:val="single" w:color="auto" w:sz="4" w:space="0"/>
              <w:left w:val="single" w:color="auto" w:sz="4" w:space="0"/>
              <w:bottom w:val="single" w:color="auto" w:sz="4" w:space="0"/>
              <w:right w:val="single" w:color="auto" w:sz="4" w:space="0"/>
            </w:tcBorders>
          </w:tcPr>
          <w:p w14:paraId="73BB999E">
            <w:pPr>
              <w:adjustRightInd w:val="0"/>
              <w:snapToGrid w:val="0"/>
              <w:spacing w:line="320" w:lineRule="exact"/>
              <w:ind w:firstLine="420" w:firstLineChars="200"/>
              <w:rPr>
                <w:rFonts w:ascii="宋体" w:hAnsi="宋体" w:cs="宋体"/>
                <w:szCs w:val="21"/>
              </w:rPr>
            </w:pPr>
            <w:r>
              <w:rPr>
                <w:rFonts w:hint="eastAsia" w:ascii="宋体" w:hAnsi="宋体" w:cs="宋体"/>
                <w:szCs w:val="21"/>
              </w:rPr>
              <w:t>运维机构提供近5年（2019年1月至今</w:t>
            </w:r>
            <w:r>
              <w:rPr>
                <w:rFonts w:hint="eastAsia" w:ascii="宋体" w:hAnsi="宋体" w:cs="宋体"/>
                <w:szCs w:val="21"/>
                <w:lang w:eastAsia="zh-CN"/>
              </w:rPr>
              <w:t>）</w:t>
            </w:r>
            <w:r>
              <w:rPr>
                <w:rFonts w:hint="eastAsia" w:ascii="宋体" w:hAnsi="宋体" w:cs="宋体"/>
                <w:szCs w:val="21"/>
              </w:rPr>
              <w:t>开展空气自动监测站运维服务项目业绩证明材料（以合同复印件</w:t>
            </w:r>
            <w:r>
              <w:rPr>
                <w:rFonts w:hint="eastAsia" w:ascii="宋体" w:hAnsi="宋体" w:cs="宋体"/>
                <w:szCs w:val="21"/>
                <w:lang w:val="en-US" w:eastAsia="zh-CN"/>
              </w:rPr>
              <w:t>或</w:t>
            </w:r>
            <w:r>
              <w:rPr>
                <w:rFonts w:hint="eastAsia" w:ascii="宋体" w:hAnsi="宋体" w:cs="宋体"/>
                <w:szCs w:val="21"/>
              </w:rPr>
              <w:t>中标书为准）。每提供一个得</w:t>
            </w:r>
            <w:r>
              <w:rPr>
                <w:rFonts w:hint="eastAsia" w:ascii="宋体" w:hAnsi="宋体" w:cs="宋体"/>
                <w:szCs w:val="21"/>
                <w:lang w:val="en-US" w:eastAsia="zh-CN"/>
              </w:rPr>
              <w:t>3</w:t>
            </w:r>
            <w:r>
              <w:rPr>
                <w:rFonts w:hint="eastAsia" w:ascii="宋体" w:hAnsi="宋体" w:cs="宋体"/>
                <w:szCs w:val="21"/>
              </w:rPr>
              <w:t>分，满分15分。</w:t>
            </w:r>
            <w:r>
              <w:rPr>
                <w:rFonts w:hint="eastAsia" w:ascii="宋体" w:hAnsi="宋体" w:cs="宋体"/>
                <w:szCs w:val="21"/>
                <w:lang w:eastAsia="zh-CN"/>
              </w:rPr>
              <w:t>（</w:t>
            </w:r>
            <w:r>
              <w:rPr>
                <w:rFonts w:hint="eastAsia" w:ascii="宋体" w:hAnsi="宋体" w:cs="宋体"/>
                <w:szCs w:val="21"/>
                <w:lang w:val="en-US" w:eastAsia="zh-CN"/>
              </w:rPr>
              <w:t>同一项目的不同分标不重复加分）</w:t>
            </w:r>
          </w:p>
        </w:tc>
      </w:tr>
    </w:tbl>
    <w:p w14:paraId="04EA903E">
      <w:pPr>
        <w:adjustRightInd w:val="0"/>
        <w:snapToGri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总分值=（一）+（二）+（三）+（四）</w:t>
      </w:r>
    </w:p>
    <w:p w14:paraId="3CA971E9">
      <w:pPr>
        <w:adjustRightInd w:val="0"/>
        <w:snapToGrid w:val="0"/>
        <w:spacing w:line="320" w:lineRule="exact"/>
        <w:ind w:firstLine="422" w:firstLineChars="200"/>
        <w:rPr>
          <w:b/>
          <w:bCs/>
        </w:rPr>
      </w:pPr>
      <w:r>
        <w:rPr>
          <w:rFonts w:hint="eastAsia"/>
          <w:b/>
          <w:bCs/>
        </w:rPr>
        <w:t>三、成交候选人推荐原则</w:t>
      </w:r>
    </w:p>
    <w:p w14:paraId="7A55B5E8">
      <w:pPr>
        <w:adjustRightInd w:val="0"/>
        <w:snapToGrid w:val="0"/>
        <w:spacing w:line="320" w:lineRule="exact"/>
        <w:ind w:firstLine="420" w:firstLineChars="200"/>
      </w:pPr>
      <w:r>
        <w:rPr>
          <w:rFonts w:hint="eastAsia"/>
        </w:rPr>
        <w:t>根据供应商提交的材料进行综合评分，按照得分由高到低顺序得出成交候选人名单，评审得分相同的，按照最后报价（不计算价格折扣）由低到高排序，评审得分且最后报价（不计算价格折扣）相同的，按照技术指标优劣排序。成交原则为排序顺位第一的供应商。如成交供应商因不可抗力提出不能履行合同，顺位选择第二排名的供应商，以此类推。</w:t>
      </w:r>
    </w:p>
    <w:sectPr>
      <w:pgSz w:w="11906" w:h="16838"/>
      <w:pgMar w:top="1701"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8978DF"/>
    <w:multiLevelType w:val="singleLevel"/>
    <w:tmpl w:val="858978DF"/>
    <w:lvl w:ilvl="0" w:tentative="0">
      <w:start w:val="1"/>
      <w:numFmt w:val="decimal"/>
      <w:suff w:val="nothing"/>
      <w:lvlText w:val="%1、"/>
      <w:lvlJc w:val="left"/>
    </w:lvl>
  </w:abstractNum>
  <w:abstractNum w:abstractNumId="1">
    <w:nsid w:val="D33FF615"/>
    <w:multiLevelType w:val="singleLevel"/>
    <w:tmpl w:val="D33FF615"/>
    <w:lvl w:ilvl="0" w:tentative="0">
      <w:start w:val="1"/>
      <w:numFmt w:val="decimal"/>
      <w:pStyle w:val="3"/>
      <w:lvlText w:val="%1."/>
      <w:lvlJc w:val="left"/>
      <w:pPr>
        <w:tabs>
          <w:tab w:val="left"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hN2YyZTk1NWZhOTUwODI2Y2E1YWI4OTUxN2E1OGYifQ=="/>
  </w:docVars>
  <w:rsids>
    <w:rsidRoot w:val="0785655A"/>
    <w:rsid w:val="000F07F3"/>
    <w:rsid w:val="00101AE9"/>
    <w:rsid w:val="00173181"/>
    <w:rsid w:val="003D3D34"/>
    <w:rsid w:val="00445DA7"/>
    <w:rsid w:val="00525BBB"/>
    <w:rsid w:val="00584ECB"/>
    <w:rsid w:val="0059752E"/>
    <w:rsid w:val="00625248"/>
    <w:rsid w:val="006C0209"/>
    <w:rsid w:val="00976358"/>
    <w:rsid w:val="009948EE"/>
    <w:rsid w:val="00997682"/>
    <w:rsid w:val="009A284A"/>
    <w:rsid w:val="00A54971"/>
    <w:rsid w:val="00CE7054"/>
    <w:rsid w:val="00ED3981"/>
    <w:rsid w:val="01C503D8"/>
    <w:rsid w:val="02E1776D"/>
    <w:rsid w:val="044511F7"/>
    <w:rsid w:val="0785655A"/>
    <w:rsid w:val="0D4B0D71"/>
    <w:rsid w:val="1099521C"/>
    <w:rsid w:val="16BF171B"/>
    <w:rsid w:val="186F343E"/>
    <w:rsid w:val="188F4A22"/>
    <w:rsid w:val="196D36B1"/>
    <w:rsid w:val="1ED7548C"/>
    <w:rsid w:val="1F84180E"/>
    <w:rsid w:val="209723A8"/>
    <w:rsid w:val="21453630"/>
    <w:rsid w:val="21C30312"/>
    <w:rsid w:val="2435663B"/>
    <w:rsid w:val="24B57054"/>
    <w:rsid w:val="26B92BB5"/>
    <w:rsid w:val="27E93A4D"/>
    <w:rsid w:val="2A0B5243"/>
    <w:rsid w:val="2B2D0EF2"/>
    <w:rsid w:val="2E0E6DB8"/>
    <w:rsid w:val="30FD5CBF"/>
    <w:rsid w:val="31541159"/>
    <w:rsid w:val="392E644B"/>
    <w:rsid w:val="3DCB25D0"/>
    <w:rsid w:val="3EC501D2"/>
    <w:rsid w:val="43384BFA"/>
    <w:rsid w:val="43CF0940"/>
    <w:rsid w:val="45462E84"/>
    <w:rsid w:val="47985179"/>
    <w:rsid w:val="4BDB3AF0"/>
    <w:rsid w:val="4E2C6EE0"/>
    <w:rsid w:val="537522C1"/>
    <w:rsid w:val="53933738"/>
    <w:rsid w:val="541D7BD3"/>
    <w:rsid w:val="582B2191"/>
    <w:rsid w:val="59822285"/>
    <w:rsid w:val="5F181700"/>
    <w:rsid w:val="5FF976DB"/>
    <w:rsid w:val="62B66AFB"/>
    <w:rsid w:val="67A12CAF"/>
    <w:rsid w:val="69894164"/>
    <w:rsid w:val="69F779E3"/>
    <w:rsid w:val="6A473712"/>
    <w:rsid w:val="72EE4A23"/>
    <w:rsid w:val="76E72179"/>
    <w:rsid w:val="7AED73D7"/>
    <w:rsid w:val="7DE93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Calibri" w:hAnsi="Calibri"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paragraph" w:styleId="3">
    <w:name w:val="List Number"/>
    <w:basedOn w:val="1"/>
    <w:qFormat/>
    <w:uiPriority w:val="0"/>
    <w:pPr>
      <w:numPr>
        <w:ilvl w:val="0"/>
        <w:numId w:val="1"/>
      </w:numPr>
    </w:pPr>
  </w:style>
  <w:style w:type="paragraph" w:styleId="4">
    <w:name w:val="annotation text"/>
    <w:basedOn w:val="1"/>
    <w:qFormat/>
    <w:uiPriority w:val="0"/>
    <w:pPr>
      <w:jc w:val="left"/>
    </w:pPr>
  </w:style>
  <w:style w:type="paragraph" w:styleId="5">
    <w:name w:val="Body Text"/>
    <w:basedOn w:val="1"/>
    <w:unhideWhenUsed/>
    <w:qFormat/>
    <w:uiPriority w:val="0"/>
    <w:pPr>
      <w:spacing w:after="120"/>
    </w:pPr>
  </w:style>
  <w:style w:type="paragraph" w:styleId="6">
    <w:name w:val="Plain Text"/>
    <w:basedOn w:val="1"/>
    <w:next w:val="1"/>
    <w:qFormat/>
    <w:uiPriority w:val="0"/>
    <w:rPr>
      <w:rFonts w:ascii="宋体" w:hAnsi="Courier New"/>
    </w:rPr>
  </w:style>
  <w:style w:type="paragraph" w:styleId="7">
    <w:name w:val="header"/>
    <w:basedOn w:val="1"/>
    <w:link w:val="13"/>
    <w:qFormat/>
    <w:uiPriority w:val="0"/>
    <w:pPr>
      <w:tabs>
        <w:tab w:val="center" w:pos="4153"/>
        <w:tab w:val="right" w:pos="8306"/>
      </w:tabs>
      <w:snapToGrid w:val="0"/>
      <w:jc w:val="center"/>
    </w:pPr>
    <w:rPr>
      <w:sz w:val="18"/>
      <w:szCs w:val="18"/>
    </w:rPr>
  </w:style>
  <w:style w:type="table" w:styleId="9">
    <w:name w:val="Table Grid"/>
    <w:basedOn w:val="8"/>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列出段落11"/>
    <w:basedOn w:val="1"/>
    <w:qFormat/>
    <w:uiPriority w:val="34"/>
    <w:pPr>
      <w:ind w:firstLine="420" w:firstLineChars="200"/>
    </w:pPr>
    <w:rPr>
      <w:rFonts w:asciiTheme="minorHAnsi" w:hAnsiTheme="minorHAnsi" w:eastAsiaTheme="minorEastAsia" w:cstheme="minorBidi"/>
    </w:rPr>
  </w:style>
  <w:style w:type="paragraph" w:customStyle="1" w:styleId="12">
    <w:name w:val="Revision"/>
    <w:hidden/>
    <w:unhideWhenUsed/>
    <w:qFormat/>
    <w:uiPriority w:val="99"/>
    <w:rPr>
      <w:rFonts w:ascii="Calibri" w:hAnsi="Calibri" w:eastAsia="宋体" w:cs="Times New Roman"/>
      <w:kern w:val="2"/>
      <w:sz w:val="21"/>
      <w:lang w:val="en-US" w:eastAsia="zh-CN" w:bidi="ar-SA"/>
    </w:rPr>
  </w:style>
  <w:style w:type="character" w:customStyle="1" w:styleId="13">
    <w:name w:val="页眉 字符"/>
    <w:basedOn w:val="10"/>
    <w:link w:val="7"/>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2693</Words>
  <Characters>2793</Characters>
  <Lines>25</Lines>
  <Paragraphs>7</Paragraphs>
  <TotalTime>21</TotalTime>
  <ScaleCrop>false</ScaleCrop>
  <LinksUpToDate>false</LinksUpToDate>
  <CharactersWithSpaces>2836</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2023-03-07T06:14:00Z</dcterms:created>
  <dc:creator>WPS_465383031</dc:creator>
  <cp:lastModifiedBy></cp:lastModifiedBy>
  <dcterms:modified xsi:type="dcterms:W3CDTF">2024-06-28T02:01:45Z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FF59D9ABAFA448C0AD92F8CB7E1B3BB0</vt:lpwstr>
  </property>
</Properties>
</file>