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widowControl w:val="0"/>
        <w:tabs>
          <w:tab w:val="left" w:pos="0"/>
        </w:tabs>
        <w:spacing w:line="600" w:lineRule="exact"/>
        <w:jc w:val="center"/>
        <w:rPr>
          <w:rFonts w:ascii="Times New Roman" w:hAnsi="Times New Roman" w:eastAsia="方正小标宋_GBK"/>
          <w:sz w:val="32"/>
          <w:szCs w:val="32"/>
        </w:rPr>
      </w:pPr>
      <w:r>
        <w:rPr>
          <w:rFonts w:ascii="Times New Roman" w:hAnsi="Times New Roman" w:eastAsia="方正小标宋_GBK"/>
          <w:sz w:val="32"/>
          <w:szCs w:val="32"/>
        </w:rPr>
        <w:t>采购需求</w:t>
      </w:r>
    </w:p>
    <w:p>
      <w:pPr>
        <w:pStyle w:val="6"/>
      </w:pPr>
    </w:p>
    <w:tbl>
      <w:tblPr>
        <w:tblStyle w:val="7"/>
        <w:tblW w:w="8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470"/>
        <w:gridCol w:w="7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6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一、项目要求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名称</w:t>
            </w:r>
          </w:p>
        </w:tc>
        <w:tc>
          <w:tcPr>
            <w:tcW w:w="4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数量</w:t>
            </w:r>
          </w:p>
        </w:tc>
        <w:tc>
          <w:tcPr>
            <w:tcW w:w="73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需求内容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99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“一带一路”生态环保大数据服务平台广西分平台</w:t>
            </w:r>
            <w:r>
              <w:rPr>
                <w:rFonts w:hint="eastAsia" w:ascii="Times New Roman" w:hAnsi="Times New Roman"/>
              </w:rPr>
              <w:t>运维</w:t>
            </w:r>
            <w:r>
              <w:rPr>
                <w:rFonts w:ascii="Times New Roman" w:hAnsi="Times New Roman"/>
              </w:rPr>
              <w:t>服务</w:t>
            </w:r>
          </w:p>
        </w:tc>
        <w:tc>
          <w:tcPr>
            <w:tcW w:w="4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1</w:t>
            </w:r>
          </w:p>
        </w:tc>
        <w:tc>
          <w:tcPr>
            <w:tcW w:w="7307" w:type="dxa"/>
            <w:vAlign w:val="center"/>
          </w:tcPr>
          <w:p>
            <w:pPr>
              <w:pStyle w:val="2"/>
              <w:ind w:firstLine="420" w:firstLineChars="200"/>
              <w:rPr>
                <w:rFonts w:ascii="Times New Roman" w:hAnsi="Times New Roman" w:eastAsiaTheme="minorEastAsia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color w:val="auto"/>
                <w:sz w:val="21"/>
                <w:szCs w:val="21"/>
              </w:rPr>
              <w:t>一、项目概况</w:t>
            </w:r>
          </w:p>
          <w:p>
            <w:pPr>
              <w:pStyle w:val="2"/>
              <w:ind w:firstLine="420" w:firstLineChars="200"/>
              <w:rPr>
                <w:rFonts w:ascii="Times New Roman" w:hAnsi="Times New Roman" w:eastAsiaTheme="minorEastAsia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color w:val="auto"/>
                <w:sz w:val="21"/>
                <w:szCs w:val="21"/>
              </w:rPr>
              <w:t>开展“一带一路”生态环保大数据服务平台广西分平台</w:t>
            </w:r>
            <w:r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</w:rPr>
              <w:t>运维</w:t>
            </w:r>
            <w:r>
              <w:rPr>
                <w:rFonts w:ascii="Times New Roman" w:hAnsi="Times New Roman" w:eastAsiaTheme="minorEastAsia"/>
                <w:color w:val="auto"/>
                <w:sz w:val="21"/>
                <w:szCs w:val="21"/>
              </w:rPr>
              <w:t>服务工作。</w:t>
            </w:r>
          </w:p>
          <w:p>
            <w:pPr>
              <w:pStyle w:val="2"/>
              <w:ind w:left="422"/>
              <w:rPr>
                <w:rFonts w:ascii="Times New Roman" w:hAnsi="Times New Roman" w:eastAsiaTheme="minorEastAsia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color w:val="auto"/>
                <w:sz w:val="21"/>
                <w:szCs w:val="21"/>
              </w:rPr>
              <w:t>二、工作内容</w:t>
            </w:r>
          </w:p>
          <w:p>
            <w:pPr>
              <w:pStyle w:val="2"/>
              <w:ind w:firstLine="420" w:firstLineChars="200"/>
              <w:rPr>
                <w:rFonts w:ascii="Times New Roman" w:hAnsi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</w:rPr>
              <w:t>（一）服务内容及要求：</w:t>
            </w:r>
          </w:p>
          <w:p>
            <w:pPr>
              <w:pStyle w:val="2"/>
              <w:ind w:firstLine="420" w:firstLineChars="200"/>
              <w:rPr>
                <w:rFonts w:ascii="Times New Roman" w:hAnsi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</w:rPr>
              <w:t>“一带一路”生态环保大数据服务平台广西分平台（以下简称“广西分平台”已于2022年完成门户网站建设，下一步需要对平台系统进行运维，包括对其功能模块进行优化，提供跨平台服务等，帮助更好满足用户需求，充分发挥平台效应服务好企业，现需采购运维服务商，采购服务要求如下：</w:t>
            </w:r>
          </w:p>
          <w:p>
            <w:pPr>
              <w:pStyle w:val="2"/>
              <w:ind w:firstLine="420" w:firstLineChars="200"/>
              <w:rPr>
                <w:rFonts w:ascii="Times New Roman" w:hAnsi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</w:rPr>
              <w:t>1.建立系统资产清单，包括建立系统服务器信息清单、操作系统信息清单、系统数据库信息清单、系统中间件信息清单、软件基础平台信息清单、建立系统备份情况台账、建立服务器网络策略开通情况清单等。</w:t>
            </w:r>
          </w:p>
          <w:p>
            <w:pPr>
              <w:pStyle w:val="2"/>
              <w:ind w:firstLine="420" w:firstLineChars="200"/>
              <w:rPr>
                <w:rFonts w:ascii="Times New Roman" w:hAnsi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</w:rPr>
              <w:t>2.提供系统巡检服务，包括对系统应用（功能）进行定期巡检、对系统服务器进行定期巡检、对系统数据库进行定期巡检、对系统中间件进行定期巡检、对系统软件基础平台进行定期巡检、按时提交巡检报告。</w:t>
            </w:r>
          </w:p>
          <w:p>
            <w:pPr>
              <w:pStyle w:val="2"/>
              <w:ind w:firstLine="420" w:firstLineChars="200"/>
              <w:rPr>
                <w:rFonts w:ascii="Times New Roman" w:hAnsi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</w:rPr>
              <w:t>3.提供操作系统安全保障，包括定期对数据库进行备份、定期升级操作系统杀毒软件、按时修复系统安全漏洞、配合采购人开展等保测评或第三方软件测试的整改工作、协助制定网络安全事件应急预案、在节假日及重大活动期间提供全天候的操作系统安全保障服务。</w:t>
            </w:r>
          </w:p>
          <w:p>
            <w:pPr>
              <w:pStyle w:val="2"/>
              <w:ind w:firstLine="420" w:firstLineChars="200"/>
              <w:rPr>
                <w:rFonts w:ascii="Times New Roman" w:hAnsi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</w:rPr>
              <w:t>4.提供技术支撑，包括成立专门的系统运维服务团队、制定问题反馈机制、提供运维人员简历。</w:t>
            </w:r>
          </w:p>
          <w:p>
            <w:pPr>
              <w:pStyle w:val="2"/>
              <w:ind w:firstLine="420" w:firstLineChars="200"/>
              <w:rPr>
                <w:rFonts w:ascii="Times New Roman" w:hAnsi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</w:rPr>
              <w:t>5.提供运维成果，每月10日前提交一份上月的提交运维服务报告，包含官网服务器巡检报告，运维问题报告等内容；如系统出现漏洞，及时提出优化解决和安全建议；2025年1月20日前提交一份2024年度运维总结报告。</w:t>
            </w:r>
          </w:p>
          <w:p>
            <w:pPr>
              <w:pStyle w:val="2"/>
              <w:ind w:firstLine="420" w:firstLineChars="200"/>
              <w:rPr>
                <w:rFonts w:ascii="Times New Roman" w:hAnsi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</w:rPr>
              <w:t>三、</w:t>
            </w:r>
            <w:r>
              <w:rPr>
                <w:rFonts w:ascii="Times New Roman" w:hAnsi="Times New Roman" w:eastAsiaTheme="minorEastAsia"/>
                <w:color w:val="auto"/>
                <w:sz w:val="21"/>
                <w:szCs w:val="21"/>
              </w:rPr>
              <w:t>工作要求</w:t>
            </w:r>
          </w:p>
          <w:p>
            <w:pPr>
              <w:pStyle w:val="2"/>
              <w:ind w:firstLine="420" w:firstLineChars="200"/>
              <w:rPr>
                <w:rFonts w:ascii="Times New Roman" w:hAnsi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</w:rPr>
              <w:t>（二）</w:t>
            </w:r>
            <w:r>
              <w:rPr>
                <w:rFonts w:ascii="Times New Roman" w:hAnsi="Times New Roman" w:eastAsiaTheme="minorEastAsia"/>
                <w:color w:val="auto"/>
                <w:sz w:val="21"/>
                <w:szCs w:val="21"/>
              </w:rPr>
              <w:t>工作时间：服务期一年</w:t>
            </w:r>
            <w:r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</w:rPr>
              <w:t>。</w:t>
            </w:r>
          </w:p>
          <w:p>
            <w:pPr>
              <w:pStyle w:val="2"/>
              <w:rPr>
                <w:rFonts w:ascii="Times New Roman" w:hAnsi="Times New Roman" w:eastAsiaTheme="minorEastAsia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6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二、商务要求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6" w:type="dxa"/>
            <w:gridSpan w:val="3"/>
            <w:vAlign w:val="center"/>
          </w:tcPr>
          <w:p>
            <w:pPr>
              <w:ind w:firstLine="422" w:firstLineChars="200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1、报价要求</w:t>
            </w:r>
          </w:p>
          <w:p>
            <w:pPr>
              <w:ind w:firstLine="420" w:firstLineChars="20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项目预算人民币壹</w:t>
            </w:r>
            <w:r>
              <w:rPr>
                <w:rFonts w:hint="eastAsia" w:ascii="Times New Roman" w:hAnsi="Times New Roman" w:eastAsiaTheme="minorEastAsia"/>
                <w:szCs w:val="21"/>
              </w:rPr>
              <w:t>拾伍</w:t>
            </w:r>
            <w:r>
              <w:rPr>
                <w:rFonts w:ascii="Times New Roman" w:hAnsi="Times New Roman" w:eastAsiaTheme="minorEastAsia"/>
                <w:szCs w:val="21"/>
              </w:rPr>
              <w:t>万</w:t>
            </w:r>
            <w:r>
              <w:rPr>
                <w:rFonts w:hint="eastAsia" w:ascii="Times New Roman" w:hAnsi="Times New Roman" w:eastAsiaTheme="minorEastAsia"/>
                <w:szCs w:val="21"/>
              </w:rPr>
              <w:t>圆</w:t>
            </w:r>
            <w:r>
              <w:rPr>
                <w:rFonts w:ascii="Times New Roman" w:hAnsi="Times New Roman" w:eastAsiaTheme="minorEastAsia"/>
                <w:szCs w:val="21"/>
              </w:rPr>
              <w:t xml:space="preserve">整（¥ </w:t>
            </w:r>
            <w:r>
              <w:rPr>
                <w:rFonts w:hint="eastAsia" w:ascii="Times New Roman" w:hAnsi="Times New Roman" w:eastAsiaTheme="minorEastAsia"/>
                <w:szCs w:val="21"/>
              </w:rPr>
              <w:t>1500</w:t>
            </w:r>
            <w:r>
              <w:rPr>
                <w:rFonts w:ascii="Times New Roman" w:hAnsi="Times New Roman" w:eastAsiaTheme="minorEastAsia"/>
                <w:szCs w:val="21"/>
              </w:rPr>
              <w:t>00.00）。包括：（1）服务的价格（包括人工、材料、设备等）；（2）必要的保险费用和各项税金；（3）验收及专家评估费用等。采购人不再支付成交价格以外的任何费用。</w:t>
            </w:r>
          </w:p>
          <w:p>
            <w:pPr>
              <w:ind w:firstLine="422" w:firstLineChars="200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2、项目服务时间及服务地点</w:t>
            </w:r>
          </w:p>
          <w:p>
            <w:pPr>
              <w:ind w:firstLine="420" w:firstLineChars="20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（1）服务期限：1年（自合同签订之日起计算）。</w:t>
            </w:r>
          </w:p>
          <w:p>
            <w:pPr>
              <w:ind w:firstLine="420" w:firstLineChars="20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（2）服务地点：广西南宁市</w:t>
            </w:r>
            <w:r>
              <w:rPr>
                <w:rFonts w:hint="eastAsia" w:ascii="Times New Roman" w:hAnsi="Times New Roman" w:eastAsiaTheme="minorEastAsia"/>
                <w:szCs w:val="21"/>
              </w:rPr>
              <w:t>或远程服务。</w:t>
            </w:r>
          </w:p>
          <w:p>
            <w:pPr>
              <w:ind w:firstLine="422" w:firstLineChars="200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3、服务交付时间及交付地点</w:t>
            </w:r>
          </w:p>
          <w:p>
            <w:pPr>
              <w:ind w:firstLine="420" w:firstLineChars="20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（1）服务期限：</w:t>
            </w:r>
            <w:r>
              <w:rPr>
                <w:rFonts w:hint="eastAsia" w:ascii="Times New Roman" w:hAnsi="Times New Roman" w:eastAsiaTheme="minorEastAsia"/>
                <w:szCs w:val="21"/>
              </w:rPr>
              <w:t>1年（自合同签订之日起计算）</w:t>
            </w:r>
            <w:r>
              <w:rPr>
                <w:rFonts w:ascii="Times New Roman" w:hAnsi="Times New Roman" w:eastAsiaTheme="minorEastAsia"/>
                <w:szCs w:val="21"/>
              </w:rPr>
              <w:t>。</w:t>
            </w:r>
          </w:p>
          <w:p>
            <w:pPr>
              <w:ind w:firstLine="420" w:firstLineChars="20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（2）服务地点：</w:t>
            </w:r>
            <w:r>
              <w:rPr>
                <w:rFonts w:hint="eastAsia" w:ascii="Times New Roman" w:hAnsi="Times New Roman" w:eastAsiaTheme="minorEastAsia"/>
                <w:szCs w:val="21"/>
              </w:rPr>
              <w:t>广西南宁或远程服务。</w:t>
            </w:r>
          </w:p>
          <w:p>
            <w:pPr>
              <w:ind w:firstLine="422" w:firstLineChars="200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4、付款条件</w:t>
            </w:r>
          </w:p>
          <w:p>
            <w:pPr>
              <w:ind w:firstLine="420" w:firstLineChars="20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分期支付：甲方自合同签订后10个工作日内，支付服务费总额的30%；乙方完成6个月的运维工作并提交6份符合采购需求的运维报告给甲方，甲方在5个工作日内，支付合同总额的30%；完成运维工作、提交12份月度运维报告和1份年度运维报告，且达到甲方要求和验收后7个工作日内，支付合同总额的40%。</w:t>
            </w:r>
          </w:p>
          <w:p>
            <w:pPr>
              <w:ind w:firstLine="422" w:firstLineChars="200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5、其他要求</w:t>
            </w:r>
          </w:p>
          <w:p>
            <w:pPr>
              <w:ind w:firstLine="420" w:firstLineChars="20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 xml:space="preserve"> 无。</w:t>
            </w:r>
          </w:p>
          <w:p>
            <w:pPr>
              <w:ind w:firstLine="420" w:firstLineChars="200"/>
              <w:rPr>
                <w:rFonts w:ascii="Times New Roman" w:hAnsi="Times New Roman" w:eastAsiaTheme="minor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jU4MTgxY2RhYmI0YTg1NzgxZjA1MGMwMGRlYTEifQ=="/>
  </w:docVars>
  <w:rsids>
    <w:rsidRoot w:val="00172C6D"/>
    <w:rsid w:val="00172C6D"/>
    <w:rsid w:val="00D53055"/>
    <w:rsid w:val="29DA2781"/>
    <w:rsid w:val="47526C95"/>
    <w:rsid w:val="5A631C35"/>
    <w:rsid w:val="6D0B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lang w:val="en-US" w:eastAsia="zh-CN" w:bidi="ar-SA"/>
    </w:r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next w:val="5"/>
    <w:autoRedefine/>
    <w:qFormat/>
    <w:uiPriority w:val="99"/>
    <w:pPr>
      <w:spacing w:line="380" w:lineRule="exact"/>
    </w:pPr>
    <w:rPr>
      <w:sz w:val="24"/>
    </w:rPr>
  </w:style>
  <w:style w:type="paragraph" w:styleId="5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paragraph" w:styleId="6">
    <w:name w:val="toc 1"/>
    <w:basedOn w:val="1"/>
    <w:next w:val="1"/>
    <w:autoRedefine/>
    <w:unhideWhenUsed/>
    <w:qFormat/>
    <w:uiPriority w:val="39"/>
    <w:pPr>
      <w:widowControl w:val="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1072</Characters>
  <Lines>8</Lines>
  <Paragraphs>2</Paragraphs>
  <TotalTime>4</TotalTime>
  <ScaleCrop>false</ScaleCrop>
  <LinksUpToDate>false</LinksUpToDate>
  <CharactersWithSpaces>1257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2023-08-14T10:15:00Z</dcterms:created>
  <dc:creator>吴洁敏</dc:creator>
  <cp:lastModifiedBy>黄小影</cp:lastModifiedBy>
  <dcterms:modified xsi:type="dcterms:W3CDTF">2024-06-26T07:11:40Z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FF7B15905CE14FAD8324BEA55D9021AC_13</vt:lpwstr>
  </property>
</Properties>
</file>