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1620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180"/>
          <w:tab w:val="left" w:pos="1620"/>
        </w:tabs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广西壮族自治区环境保护科学研究院</w:t>
      </w:r>
    </w:p>
    <w:p>
      <w:pPr>
        <w:tabs>
          <w:tab w:val="left" w:pos="180"/>
          <w:tab w:val="left" w:pos="1620"/>
        </w:tabs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2024年度实验室安全维护服务采购项目需求一览表</w:t>
      </w:r>
    </w:p>
    <w:tbl>
      <w:tblPr>
        <w:tblStyle w:val="12"/>
        <w:tblW w:w="99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79"/>
        <w:gridCol w:w="925"/>
        <w:gridCol w:w="725"/>
        <w:gridCol w:w="5621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一、技术参数要求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标的名称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单位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数量</w:t>
            </w:r>
          </w:p>
        </w:tc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技术要求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单价上限（万元）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2024年度实验室安全维护服务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  <w:t>需求内容：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服务单位需对我方实验室（1号楼后平房实验室、2号楼一二三六七层实验室及2号楼前污水处理设施）进行安全维护服务，具体内容及要求如下：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 xml:space="preserve">1、实验室内通风系统：每个月检查一次风机运行及管道老化情况，每半年为风机轴承做一次保养(不含机油）及变频系统的维护，按照损坏情况进行维修；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2、实验室内气路管道：每月进行1次常规检查，6个月内做一次管道及终端面板保压测试，检查气路终端仪器连接口气路及气阀的密闭性，按照损坏情况进行维修；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3、实验室内台、柜：每个月检查一次实验家具使用情况，按照损坏情况进行维修，每个月检查一次试剂仓库试剂柜及货架的安全隐患，每年提供2次实验台柜拆装移动服务；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、实验室内通风柜：每个月检查一次控制面板及给排水系统，检查抽风管路，根据实际情况进行清洗，避免因酸化而造成管路腐蚀。根据每月检查情况，按照损坏情况进行维修；为保证通风柜的运行效果，参照JB/T 6412-1999, 7.1每年做一次流动显示试验测试（小烟雾）以及面风速测试，记录结果，有异常的通风柜提出维修方案并按照损坏情况进行维修。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5、实验室内气瓶室安全监控：每月检查安全设备的有效性，保证安全设备的正常使用；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6、实验室内电路：每个月对各个实验房间的电路检查一次，特别要关注增加仪器的房间电路承载能力的核查，排除用电安全隐患。结合每月检查情况，按照损坏情况进行维修；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7、实验室用电：每年进行一次实验室用电安全隐患检查；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8、实验室给排用水：每个月检查一次各实验房间用水、排水水管情况，按照损坏情况进行维修；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9、微生物室：每6个月检查一次空气过滤器使用情况；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10、平房实验室（含危废储存间等）：每个月检查一次实验室地面渗漏、通风等安全隐患；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11、污水处理设施（含药剂所在仓库安全检查）：每个月检查一次污水处理设施电路、水管等设施安全隐患，每个月校准一次pH计、排放污泥沉淀池中的污泥并检查相关试剂是否有剩余，以便实验室人员及时更换试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12、实验室安全设施：气源室内气体检漏报警装置检查及维护；实验室洗眼器、淋浴装置使用状态定期检查维护。灭火器、消防砂、实验安装烟雾报警装置定期检查维护。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13、小型仪器设备电路检查：每月检查一次小型仪器设备电路，包括赶酸仪、箱式电阻炉、数显恒温电沙浴、电热鼓风干燥箱、数显恒温水浴锅等共40台（套）小型仪器设备。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▲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14、供应商需分别安排相应的、有相关工作经验或相关专业技术的人员对实验室电路、给排用水、气路、通风系统和通风柜等进行检查和日常维护。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二、商务要求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合同签订时间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highlight w:val="none"/>
              </w:rPr>
              <w:t>自确定中标供应商之日起10日内。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服务期限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自合同签订之日起1年。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报价要求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1、本项目总报价不包含因实验室安全维护过程中维修产生的五金配件、实验室耗材、实验室气路配件、实验设备配件等费用。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kern w:val="0"/>
                <w:sz w:val="32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▲2、在服务期内，供应商在实验室安全维护维修过程中所需的五金配件、实验室耗材、实验室气路配件、实验设备配件等产品价格，必须不得高于市场价格，并经采购人确认签字后方可进行维修，完成维修后需采购人验收确认签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地点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和方式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地点：广西南宁市青秀区教育路5号，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采购人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指定实验室。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方式：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上门服务或24小时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电话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技术咨询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服务交付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时间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根据每月的检查情况提交1份月度实验室安全隐患报告（表），合同到期前15个工作日提交实验室安全隐患年度报告（表）。实验室安全隐患报告（表）内容覆盖以上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技术要求中的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需求内容。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付款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方式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自合同签订之日起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供应商向采购人交纳履约保证金后5个工作日内，采购人向供应商支付合同总金额的50%；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2、供应商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按要求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提交月度实验室安全隐患报告（表），完成两个季度的实验室安全维护服务后，采购人向供应商支付合同总金额的45%；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按要求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提交月度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实验室安全隐患报告（表）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和实验室安全隐患年度报告（表），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完成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全年的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实验室安全维护服务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并通过采购人验收后，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采购人向供应商支付合同总金额的5%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在服务期内，供应商在实验室安全维护维修过程中所需的五金配件、实验室耗材、实验室气路配件、实验设备配件等产品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相应的维修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款项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采购人按季度结算给供应商。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每次结算前，供应商应出具请款函、维修单据及相应款项的合法发票。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履约保证金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自合同签订之日起5个工作日内，供应商向采购人交纳人民币壹仟贰佰元整（¥1,200.00）作为履约保证金。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履约保证金退付方式、时间及条件：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项目经采购人总体验收确认后，</w:t>
            </w:r>
            <w:r>
              <w:rPr>
                <w:rFonts w:hint="default" w:ascii="Times New Roman" w:hAnsi="Times New Roman" w:cs="Times New Roman"/>
                <w:lang w:val="en-US"/>
              </w:rPr>
              <w:t>由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供应商</w:t>
            </w:r>
            <w:r>
              <w:rPr>
                <w:rFonts w:hint="default" w:ascii="Times New Roman" w:hAnsi="Times New Roman" w:cs="Times New Roman"/>
                <w:lang w:val="en-US"/>
              </w:rPr>
              <w:t>提供《履约保证金退付意见书》，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采购人</w:t>
            </w:r>
            <w:r>
              <w:rPr>
                <w:rFonts w:hint="default" w:ascii="Times New Roman" w:hAnsi="Times New Roman" w:cs="Times New Roman"/>
                <w:lang w:val="en-US"/>
              </w:rPr>
              <w:t>在收到合格材料后五个工作日内办理退还手续（不计利息）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其他要求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▲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供应商需具备水电工程师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持证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上岗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报价材料需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提供相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电工证等相关佐证材料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。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F39131-791A-462D-BD5C-74B15A01D9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0FAD9E4-70DA-4704-817B-00208CD46AD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- 3 -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9A2E"/>
    <w:multiLevelType w:val="singleLevel"/>
    <w:tmpl w:val="4AFA9A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651A07C7"/>
    <w:rsid w:val="00175848"/>
    <w:rsid w:val="00191C7E"/>
    <w:rsid w:val="003E6A3B"/>
    <w:rsid w:val="004369DE"/>
    <w:rsid w:val="008C7283"/>
    <w:rsid w:val="00A41232"/>
    <w:rsid w:val="00AC5D44"/>
    <w:rsid w:val="00AD62AE"/>
    <w:rsid w:val="00B77ADD"/>
    <w:rsid w:val="00CA0568"/>
    <w:rsid w:val="00D6119A"/>
    <w:rsid w:val="00FC0288"/>
    <w:rsid w:val="02087A0A"/>
    <w:rsid w:val="0212757E"/>
    <w:rsid w:val="048A280E"/>
    <w:rsid w:val="062C2FA9"/>
    <w:rsid w:val="082012E8"/>
    <w:rsid w:val="08443B2B"/>
    <w:rsid w:val="0B0F511E"/>
    <w:rsid w:val="0B632AA5"/>
    <w:rsid w:val="0DFB6E2C"/>
    <w:rsid w:val="10D62CC9"/>
    <w:rsid w:val="11FD6CEE"/>
    <w:rsid w:val="139F6867"/>
    <w:rsid w:val="15D307F3"/>
    <w:rsid w:val="1841431E"/>
    <w:rsid w:val="18F75CA2"/>
    <w:rsid w:val="199A4C93"/>
    <w:rsid w:val="1B032986"/>
    <w:rsid w:val="1D260E84"/>
    <w:rsid w:val="21443E80"/>
    <w:rsid w:val="2233666D"/>
    <w:rsid w:val="25E5134E"/>
    <w:rsid w:val="26222E1C"/>
    <w:rsid w:val="27353875"/>
    <w:rsid w:val="29244A0A"/>
    <w:rsid w:val="2A69198E"/>
    <w:rsid w:val="32995E92"/>
    <w:rsid w:val="341B48E5"/>
    <w:rsid w:val="34752472"/>
    <w:rsid w:val="34D815C9"/>
    <w:rsid w:val="39AA6C7F"/>
    <w:rsid w:val="39C63606"/>
    <w:rsid w:val="39F363B5"/>
    <w:rsid w:val="3C6D6B03"/>
    <w:rsid w:val="3D2D1D5A"/>
    <w:rsid w:val="3E0D6516"/>
    <w:rsid w:val="3ECE7CBE"/>
    <w:rsid w:val="452E0CAB"/>
    <w:rsid w:val="47083F45"/>
    <w:rsid w:val="48784092"/>
    <w:rsid w:val="48876A39"/>
    <w:rsid w:val="489C1E00"/>
    <w:rsid w:val="48B05687"/>
    <w:rsid w:val="4B1C3505"/>
    <w:rsid w:val="4B791D36"/>
    <w:rsid w:val="4DA5200C"/>
    <w:rsid w:val="52B31633"/>
    <w:rsid w:val="531F622D"/>
    <w:rsid w:val="54806497"/>
    <w:rsid w:val="553B23A8"/>
    <w:rsid w:val="55927D70"/>
    <w:rsid w:val="55B73E73"/>
    <w:rsid w:val="572212AC"/>
    <w:rsid w:val="58AB0880"/>
    <w:rsid w:val="59F51BE0"/>
    <w:rsid w:val="5A03390F"/>
    <w:rsid w:val="5A4A4C91"/>
    <w:rsid w:val="5EA71366"/>
    <w:rsid w:val="5F1F1A0B"/>
    <w:rsid w:val="62207BF1"/>
    <w:rsid w:val="625C206D"/>
    <w:rsid w:val="62DF30F7"/>
    <w:rsid w:val="651A07C7"/>
    <w:rsid w:val="652F332F"/>
    <w:rsid w:val="657B5FA9"/>
    <w:rsid w:val="666535E8"/>
    <w:rsid w:val="674203CB"/>
    <w:rsid w:val="6AAC464D"/>
    <w:rsid w:val="6DD67171"/>
    <w:rsid w:val="6F0F5B2D"/>
    <w:rsid w:val="70912C2C"/>
    <w:rsid w:val="735C39C4"/>
    <w:rsid w:val="73D81F62"/>
    <w:rsid w:val="74881F4C"/>
    <w:rsid w:val="78224F4F"/>
    <w:rsid w:val="784563FF"/>
    <w:rsid w:val="7A5C0CB3"/>
    <w:rsid w:val="7E8B2623"/>
    <w:rsid w:val="7FB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qFormat/>
    <w:uiPriority w:val="99"/>
    <w:pPr>
      <w:ind w:firstLine="420"/>
    </w:pPr>
    <w:rPr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link w:val="16"/>
    <w:qFormat/>
    <w:uiPriority w:val="99"/>
    <w:pPr>
      <w:spacing w:after="120"/>
    </w:pPr>
    <w:rPr>
      <w:rFonts w:asciiTheme="minorHAnsi" w:hAnsiTheme="minorHAnsi" w:eastAsiaTheme="minorEastAsia" w:cstheme="minorBidi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8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First Indent 2"/>
    <w:basedOn w:val="7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正文文本 Char"/>
    <w:basedOn w:val="14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8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方正兰亭细黑简体" w:eastAsia="方正兰亭细黑简体" w:hAnsiTheme="minorHAnsi" w:cstheme="minorBidi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1813</Words>
  <Characters>1861</Characters>
  <Lines>30</Lines>
  <Paragraphs>8</Paragraphs>
  <TotalTime>2</TotalTime>
  <ScaleCrop>false</ScaleCrop>
  <LinksUpToDate>false</LinksUpToDate>
  <CharactersWithSpaces>1864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2024-05-20T02:11:00Z</dcterms:created>
  <dc:creator>王斌</dc:creator>
  <cp:lastModifiedBy>AD</cp:lastModifiedBy>
  <dcterms:modified xsi:type="dcterms:W3CDTF">2024-07-08T03:29:33Z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85EB62916F934CB193B3D83D97D6E3FA_13</vt:lpwstr>
  </property>
</Properties>
</file>