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广西壮族自治区环境保护科学研究院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2024年度实验室安全维护服务采购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需求响应表</w:t>
      </w:r>
    </w:p>
    <w:p>
      <w:pPr>
        <w:pStyle w:val="8"/>
        <w:spacing w:line="240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600"/>
        <w:jc w:val="right"/>
        <w:textAlignment w:val="auto"/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  <w:t>时间：   年   月   日</w:t>
      </w:r>
    </w:p>
    <w:tbl>
      <w:tblPr>
        <w:tblStyle w:val="9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49"/>
        <w:gridCol w:w="5525"/>
        <w:gridCol w:w="806"/>
        <w:gridCol w:w="1035"/>
        <w:gridCol w:w="458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服务要求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需求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响应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  <w:bookmarkStart w:id="0" w:name="_Toc21945"/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1</w:t>
            </w:r>
            <w:bookmarkEnd w:id="0"/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2024年度实验室安全维护服务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2"/>
                <w:lang w:val="en-US" w:eastAsia="zh-CN"/>
              </w:rPr>
              <w:t>需求内容</w:t>
            </w:r>
            <w:r>
              <w:rPr>
                <w:rFonts w:hint="eastAsia" w:cs="Times New Roman"/>
                <w:b/>
                <w:bCs/>
                <w:szCs w:val="22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服务单位需对我方实验室（1号楼后平房实验室、2号楼一二三六七层实验室及2号楼前污水处理设施）进行安全维护服务，具体内容及要求如下：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 xml:space="preserve">1、实验室内通风系统：每个月检查一次风机运行及管道老化情况，每半年为风机轴承做一次保养(不含机油）及变频系统的维护，按照损坏情况进行维修；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2、实验室内气路管道：每月进行1次常规检查，6个月内做一次管道及终端面板保压测试，检查气路终端仪器连接口气路及气阀的密闭性，按照损坏情况进行维修；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3、实验室内台、柜：每个月检查一次实验家具使用情况，按照损坏情况进行维修，每个月检查一次试剂仓库试剂柜及货架的安全隐患，每年提供2次实验台柜拆装移动服务；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4、实验室内通风柜：每个月检查一次控制面板及给排水系统，检查抽风管路，根据实际情况进行清洗，避免因酸化而造成管路腐蚀。根据每月检查情况，按照损坏情况进行维修；为保证通风柜的运行效果，参照JB/T 6412-1999, 7.1每年做一次流动显示试验测试（小烟雾）以及面风速测试，记录结果，有异常的通风柜提出维修方案并按照损坏情况进行维修。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5、实验室内气瓶室安全监控：每月检查安全设备的有效性，保证安全设备的正常使用；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6、实验室内电路：每个月对各个实验房间的电路检查一次，特别要关注增加仪器的房间电路承载能力的核查，排除用电安全隐患。结合每月检查情况，按照损坏情况进行维修；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7、实验室用电：每年进行一次实验室用电安全隐患检查；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8、实验室给排用水：每个月检查一次各实验房间用水、排水水管情况，按照损坏情况进行维修；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9、微生物室：每6个月检查一次空气过滤器使用情况；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10、平房实验室（含危废储存间等）：每个月检查一次实验室地面渗漏、通风等安全隐患；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11、污水处理设施（含药剂所在仓库安全检查）：每个月检查一次污水处理设施电路、水管等设施安全隐患，每个月校准一次pH计、排放污泥沉淀池中的污泥并检查相关试剂是否有剩余，以便实验室人员及时更换试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12、实验室安全设施：气源室内气体检漏报警装置检查及维护；实验室洗眼器、淋浴装置使用状态定期检查维护。灭火器、消防砂、实验安装烟雾报警装置定期检查维护。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13、小型仪器设备电路检查：每月检查一次小型仪器设备电路，包括赶酸仪、箱式电阻炉、数显恒温电沙浴、电热鼓风干燥箱、数显恒温水浴锅等共40台（套）小型仪器设备。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▲14、供应商需分别安排相应的、有相关工作经验或相关专业技术的人员对实验室电路、给排用水、气路、通风系统和通风柜等进行检查和日常维护。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合同签订时间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自确定中标供应商之日起10日内。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服务期限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自合同签订之日起1年。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Times New Roman" w:hAnsi="Times New Roman" w:eastAsia="方正黑体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bookmarkStart w:id="1" w:name="_Toc5015"/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报价要求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szCs w:val="21"/>
              </w:rPr>
              <w:t>本项目总报价不包含因实验室安全维护过程中维修产生的五金配件、实验室耗材、实验室气路配件、实验设备配件等费用。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服务期内，供应商在实验室安全维护维修过程中所需的五金配件、实验室耗材、实验室气路配件、实验设备配件等产品价格，必须不得高于市场价格，并经我方确认签字后方可进行维修，完成维修后需我方验收确认签字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Times New Roman" w:hAnsi="Times New Roman" w:eastAsia="方正黑体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地点</w:t>
            </w: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和方式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、服务地点：广西南宁市青秀区教育路5号，采购人指定实验室。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、服务方式：上门服务或24小时电话技术咨询。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服务交付时间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供应商根据每月的检查情况提交1份月度实验室安全隐患报告（表），合同到期前15个工作日提交实验室安全隐患年度报告（表）。实验室安全隐患报告（表）内容覆盖以上技术要求中的需求内容。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eastAsia" w:ascii="Times New Roman" w:hAnsi="Times New Roman" w:eastAsia="方正黑体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付款方式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1、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自合同签订之日起，供应商向采购人交纳履约保证金后5个工作日内，采购人向供应商支付合同总金额的50%；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2、供应商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按要求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提交月度实验室安全隐患报告（表），完成两个季度的实验室安全维护服务后，采购人向供应商支付合同总金额的45%；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3、供应商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按要求提交月度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实验室安全隐患报告（表）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和实验室安全隐患年度报告（表），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完成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全年的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实验室安全维护服务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并通过采购人验收后，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采购人向供应商支付合同总金额的5%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4、在服务期内，供应商在实验室安全维护维修过程中所需的五金配件、实验室耗材、实验室气路配件、实验设备配件等产品相应的维修款项，采购人按季度结算给供应商。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5、每次结算前，供应商应出具请款函、维修单据及相应款项的合法发票。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履约保证金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自合同签订之日起5个工作日内，供应商向采购人交纳人民币壹仟贰佰元整（¥1,200.00）作为履约保证金。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履约保证金退付方式、时间及条件：项目经采购人总体验收确认后，由供应商提供《履约保证金退付意见书》，采购人在收到合格材料后五个工作日内办理退还手续（不计利息）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  <w:tc>
          <w:tcPr>
            <w:tcW w:w="5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▲供应商需具备水电工程师并持证上岗，报价材料需提供相电工证等相关佐证材料。</w:t>
            </w:r>
          </w:p>
        </w:tc>
        <w:tc>
          <w:tcPr>
            <w:tcW w:w="8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4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报价单位（盖章）：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   单位地址：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-359" w:leftChars="-171" w:firstLine="56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联系人（签字）：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  联系方式：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报价日期：</w:t>
      </w:r>
      <w:bookmarkEnd w:id="1"/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-359" w:leftChars="-171" w:firstLine="0" w:firstLineChars="0"/>
        <w:jc w:val="left"/>
        <w:textAlignment w:val="auto"/>
        <w:outlineLvl w:val="1"/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</w:t>
      </w:r>
      <w:bookmarkStart w:id="2" w:name="_Toc31049"/>
      <w:r>
        <w:rPr>
          <w:rFonts w:hint="default" w:ascii="Times New Roman" w:hAnsi="Times New Roman" w:eastAsia="方正仿宋_GBK" w:cs="Times New Roman"/>
          <w:color w:val="000000"/>
          <w:sz w:val="24"/>
          <w:highlight w:val="none"/>
        </w:rPr>
        <w:t>注：报价单位应根据询价函和服务需求响应表的要求逐条响应并在“偏离情况”栏注明“正偏离”、“负偏离”或“无偏离”，特别对有具体参数要求的指标，报价单位必须提供所供服务的具体参数值</w:t>
      </w:r>
      <w:bookmarkEnd w:id="2"/>
      <w:r>
        <w:rPr>
          <w:rFonts w:hint="default" w:ascii="Times New Roman" w:hAnsi="Times New Roman" w:eastAsia="方正仿宋_GBK" w:cs="Times New Roman"/>
          <w:color w:val="000000"/>
          <w:sz w:val="24"/>
          <w:highlight w:val="none"/>
          <w:lang w:eastAsia="zh-CN"/>
        </w:rPr>
        <w:t>。</w:t>
      </w:r>
      <w:bookmarkStart w:id="3" w:name="_GoBack"/>
      <w:bookmarkEnd w:id="3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7C5F16-53B6-4E38-B69B-7D83C3462D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118CD62-F425-427B-B769-C0CD4E05DF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AF7792A-621B-4C9F-A3D8-18686B2C8A0D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C0E6FEB6-6709-4B07-89C6-B8A8DB3937D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4E0090A-F4E7-4268-B509-900B5CC013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4F2D50FD"/>
    <w:rsid w:val="005319D6"/>
    <w:rsid w:val="024B6734"/>
    <w:rsid w:val="044528AF"/>
    <w:rsid w:val="0E855684"/>
    <w:rsid w:val="182D2531"/>
    <w:rsid w:val="1CE123EB"/>
    <w:rsid w:val="1E1B192D"/>
    <w:rsid w:val="1E266DD8"/>
    <w:rsid w:val="204E741C"/>
    <w:rsid w:val="22135053"/>
    <w:rsid w:val="25DC0B10"/>
    <w:rsid w:val="26EF4531"/>
    <w:rsid w:val="32160058"/>
    <w:rsid w:val="327A33B7"/>
    <w:rsid w:val="3881206D"/>
    <w:rsid w:val="405E496E"/>
    <w:rsid w:val="43BB6C43"/>
    <w:rsid w:val="4D7B35DC"/>
    <w:rsid w:val="4F2D50FD"/>
    <w:rsid w:val="4F73508A"/>
    <w:rsid w:val="50453665"/>
    <w:rsid w:val="5A953220"/>
    <w:rsid w:val="5E24539E"/>
    <w:rsid w:val="602F6597"/>
    <w:rsid w:val="65107084"/>
    <w:rsid w:val="66615725"/>
    <w:rsid w:val="7B8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2024-05-27T08:18:00Z</dcterms:created>
  <dc:creator>王斌</dc:creator>
  <cp:lastModifiedBy>AD</cp:lastModifiedBy>
  <dcterms:modified xsi:type="dcterms:W3CDTF">2024-07-08T03:39:57Z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D27D2337B4504E3D9FFA09235E705BF9_11</vt:lpwstr>
  </property>
</Properties>
</file>