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BDC5E">
      <w:pPr>
        <w:tabs>
          <w:tab w:val="left" w:pos="0"/>
        </w:tabs>
        <w:spacing w:line="600" w:lineRule="exact"/>
        <w:jc w:val="left"/>
        <w:rPr>
          <w:rFonts w:hint="eastAsia" w:ascii="方正小标宋简体" w:hAnsi="方正小标宋简体" w:eastAsia="方正小标宋简体" w:cs="方正小标宋简体"/>
          <w:b/>
          <w:bCs/>
          <w:sz w:val="36"/>
          <w:szCs w:val="36"/>
        </w:rPr>
      </w:pPr>
      <w:r>
        <w:rPr>
          <w:rFonts w:hint="eastAsia" w:ascii="黑体" w:hAnsi="黑体" w:eastAsia="黑体" w:cs="黑体"/>
          <w:sz w:val="28"/>
          <w:szCs w:val="28"/>
        </w:rPr>
        <w:t>附件2</w:t>
      </w:r>
    </w:p>
    <w:p w14:paraId="7D37656E">
      <w:pPr>
        <w:tabs>
          <w:tab w:val="left" w:pos="0"/>
        </w:tabs>
        <w:spacing w:line="600" w:lineRule="exac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综合评分办法</w:t>
      </w:r>
    </w:p>
    <w:p w14:paraId="08444AB8">
      <w:pPr>
        <w:spacing w:line="300" w:lineRule="auto"/>
        <w:ind w:firstLine="426" w:firstLineChars="202"/>
        <w:rPr>
          <w:b/>
          <w:szCs w:val="21"/>
        </w:rPr>
      </w:pPr>
    </w:p>
    <w:p w14:paraId="7B5F1855">
      <w:pPr>
        <w:spacing w:line="300" w:lineRule="auto"/>
        <w:ind w:firstLine="646" w:firstLineChars="202"/>
        <w:outlineLvl w:val="0"/>
        <w:rPr>
          <w:rFonts w:ascii="仿宋" w:hAnsi="仿宋" w:eastAsia="仿宋" w:cs="仿宋"/>
          <w:sz w:val="32"/>
          <w:szCs w:val="32"/>
        </w:rPr>
      </w:pPr>
      <w:r>
        <w:rPr>
          <w:rFonts w:hint="eastAsia" w:ascii="仿宋" w:hAnsi="仿宋" w:eastAsia="仿宋" w:cs="仿宋"/>
          <w:sz w:val="32"/>
          <w:szCs w:val="32"/>
        </w:rPr>
        <w:t>一、评审原则</w:t>
      </w:r>
    </w:p>
    <w:p w14:paraId="3193933D">
      <w:pPr>
        <w:spacing w:line="300" w:lineRule="auto"/>
        <w:ind w:firstLine="646" w:firstLineChars="202"/>
        <w:rPr>
          <w:rFonts w:ascii="仿宋" w:hAnsi="仿宋" w:eastAsia="仿宋" w:cs="仿宋"/>
          <w:sz w:val="32"/>
          <w:szCs w:val="32"/>
        </w:rPr>
      </w:pPr>
      <w:r>
        <w:rPr>
          <w:rFonts w:hint="eastAsia" w:ascii="仿宋" w:hAnsi="仿宋" w:eastAsia="仿宋" w:cs="仿宋"/>
          <w:sz w:val="32"/>
          <w:szCs w:val="32"/>
        </w:rPr>
        <w:t>(一）评审小组构成：本项目的评审小组由采购单位组建，成员人数为三人以上（含三人）单数。</w:t>
      </w:r>
    </w:p>
    <w:p w14:paraId="4838D379">
      <w:pPr>
        <w:spacing w:line="300" w:lineRule="auto"/>
        <w:ind w:firstLine="646" w:firstLineChars="202"/>
        <w:rPr>
          <w:rFonts w:ascii="仿宋" w:hAnsi="仿宋" w:eastAsia="仿宋" w:cs="仿宋"/>
          <w:sz w:val="32"/>
          <w:szCs w:val="32"/>
        </w:rPr>
      </w:pPr>
      <w:r>
        <w:rPr>
          <w:rFonts w:hint="eastAsia" w:ascii="仿宋" w:hAnsi="仿宋" w:eastAsia="仿宋" w:cs="仿宋"/>
          <w:sz w:val="32"/>
          <w:szCs w:val="32"/>
        </w:rPr>
        <w:t>(二）评审依据：本评审办法和供应商提交的响应文件。</w:t>
      </w:r>
    </w:p>
    <w:p w14:paraId="476AF74B">
      <w:pPr>
        <w:spacing w:line="300" w:lineRule="auto"/>
        <w:ind w:firstLine="646" w:firstLineChars="202"/>
        <w:rPr>
          <w:rFonts w:ascii="仿宋" w:hAnsi="仿宋" w:eastAsia="仿宋" w:cs="仿宋"/>
          <w:sz w:val="32"/>
          <w:szCs w:val="32"/>
        </w:rPr>
      </w:pPr>
      <w:r>
        <w:rPr>
          <w:rFonts w:hint="eastAsia" w:ascii="仿宋" w:hAnsi="仿宋" w:eastAsia="仿宋" w:cs="仿宋"/>
          <w:sz w:val="32"/>
          <w:szCs w:val="32"/>
        </w:rPr>
        <w:t>(三）评审方法：综合评分法。</w:t>
      </w:r>
    </w:p>
    <w:p w14:paraId="1E2B9619">
      <w:pPr>
        <w:spacing w:line="300" w:lineRule="auto"/>
        <w:ind w:firstLine="646" w:firstLineChars="202"/>
        <w:outlineLvl w:val="0"/>
        <w:rPr>
          <w:rFonts w:ascii="仿宋" w:hAnsi="仿宋" w:eastAsia="仿宋" w:cs="仿宋"/>
          <w:sz w:val="32"/>
          <w:szCs w:val="32"/>
        </w:rPr>
      </w:pPr>
      <w:r>
        <w:rPr>
          <w:rFonts w:hint="eastAsia" w:ascii="仿宋" w:hAnsi="仿宋" w:eastAsia="仿宋" w:cs="仿宋"/>
          <w:sz w:val="32"/>
          <w:szCs w:val="32"/>
        </w:rPr>
        <w:t>二、评审方法</w:t>
      </w:r>
    </w:p>
    <w:p w14:paraId="1051636A">
      <w:pPr>
        <w:spacing w:line="300" w:lineRule="auto"/>
        <w:ind w:firstLine="646" w:firstLineChars="202"/>
        <w:rPr>
          <w:rFonts w:ascii="仿宋" w:hAnsi="仿宋" w:eastAsia="仿宋" w:cs="仿宋"/>
          <w:sz w:val="32"/>
          <w:szCs w:val="32"/>
        </w:rPr>
      </w:pPr>
      <w:r>
        <w:rPr>
          <w:rFonts w:hint="eastAsia" w:ascii="仿宋" w:hAnsi="仿宋" w:eastAsia="仿宋" w:cs="仿宋"/>
          <w:sz w:val="32"/>
          <w:szCs w:val="32"/>
        </w:rPr>
        <w:t>供应商提交的报价及资格材料经初核符合要求的进入详评，评审小组将按本评审办法和响应文件为评定依据，采用百分制综合评分法：</w:t>
      </w:r>
    </w:p>
    <w:p w14:paraId="17D5A238">
      <w:pPr>
        <w:spacing w:line="300" w:lineRule="auto"/>
        <w:ind w:firstLine="646" w:firstLineChars="202"/>
        <w:rPr>
          <w:rFonts w:ascii="仿宋" w:hAnsi="仿宋" w:eastAsia="仿宋" w:cs="仿宋"/>
          <w:sz w:val="32"/>
          <w:szCs w:val="32"/>
        </w:rPr>
      </w:pPr>
      <w:r>
        <w:rPr>
          <w:rFonts w:hint="eastAsia" w:ascii="仿宋" w:hAnsi="仿宋" w:eastAsia="仿宋" w:cs="仿宋"/>
          <w:sz w:val="32"/>
          <w:szCs w:val="32"/>
        </w:rPr>
        <w:t>评分细则（按四舍五入取至百分位）：</w:t>
      </w:r>
    </w:p>
    <w:tbl>
      <w:tblPr>
        <w:tblStyle w:val="3"/>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425"/>
        <w:gridCol w:w="985"/>
        <w:gridCol w:w="6388"/>
        <w:gridCol w:w="1240"/>
      </w:tblGrid>
      <w:tr w14:paraId="4D9D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1853" w:type="dxa"/>
            <w:gridSpan w:val="2"/>
            <w:noWrap/>
            <w:vAlign w:val="center"/>
          </w:tcPr>
          <w:p w14:paraId="15C3E4EA">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序号</w:t>
            </w:r>
          </w:p>
        </w:tc>
        <w:tc>
          <w:tcPr>
            <w:tcW w:w="985" w:type="dxa"/>
          </w:tcPr>
          <w:p w14:paraId="0FAA901D">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评分因素</w:t>
            </w:r>
          </w:p>
        </w:tc>
        <w:tc>
          <w:tcPr>
            <w:tcW w:w="6388" w:type="dxa"/>
            <w:vAlign w:val="center"/>
          </w:tcPr>
          <w:p w14:paraId="414002FA">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评分标准</w:t>
            </w:r>
          </w:p>
        </w:tc>
        <w:tc>
          <w:tcPr>
            <w:tcW w:w="1240" w:type="dxa"/>
            <w:noWrap/>
            <w:vAlign w:val="center"/>
          </w:tcPr>
          <w:p w14:paraId="1949D4FF">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最高得分</w:t>
            </w:r>
          </w:p>
        </w:tc>
      </w:tr>
      <w:tr w14:paraId="046B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8" w:type="dxa"/>
            <w:noWrap/>
            <w:vAlign w:val="center"/>
          </w:tcPr>
          <w:p w14:paraId="286536EA">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1</w:t>
            </w:r>
          </w:p>
        </w:tc>
        <w:tc>
          <w:tcPr>
            <w:tcW w:w="1425" w:type="dxa"/>
            <w:vAlign w:val="center"/>
          </w:tcPr>
          <w:p w14:paraId="6049F474">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价格部分</w:t>
            </w:r>
          </w:p>
          <w:p w14:paraId="5E9062B6">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（10分）</w:t>
            </w:r>
          </w:p>
        </w:tc>
        <w:tc>
          <w:tcPr>
            <w:tcW w:w="985" w:type="dxa"/>
            <w:vAlign w:val="center"/>
          </w:tcPr>
          <w:p w14:paraId="1380D629">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投标报价</w:t>
            </w:r>
          </w:p>
        </w:tc>
        <w:tc>
          <w:tcPr>
            <w:tcW w:w="6388" w:type="dxa"/>
            <w:noWrap/>
            <w:vAlign w:val="center"/>
          </w:tcPr>
          <w:p w14:paraId="486933E1">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价格得分=（评标基准价/投标报价）×10</w:t>
            </w:r>
          </w:p>
          <w:p w14:paraId="266E0703">
            <w:pPr>
              <w:keepNext w:val="0"/>
              <w:keepLines w:val="0"/>
              <w:pageBreakBefore w:val="0"/>
              <w:widowControl/>
              <w:kinsoku/>
              <w:wordWrap/>
              <w:overflowPunct/>
              <w:topLinePunct w:val="0"/>
              <w:bidi w:val="0"/>
              <w:snapToGrid/>
              <w:spacing w:line="400" w:lineRule="exact"/>
              <w:jc w:val="left"/>
              <w:textAlignment w:val="auto"/>
              <w:rPr>
                <w:sz w:val="28"/>
                <w:szCs w:val="28"/>
              </w:rPr>
            </w:pPr>
            <w:r>
              <w:rPr>
                <w:rFonts w:hint="eastAsia" w:ascii="仿宋" w:hAnsi="仿宋" w:eastAsia="仿宋" w:cs="仿宋"/>
                <w:kern w:val="0"/>
                <w:sz w:val="28"/>
                <w:szCs w:val="28"/>
              </w:rPr>
              <w:t>评标基准价为参加报价单位最低价格</w:t>
            </w:r>
          </w:p>
        </w:tc>
        <w:tc>
          <w:tcPr>
            <w:tcW w:w="1240" w:type="dxa"/>
            <w:noWrap/>
            <w:vAlign w:val="center"/>
          </w:tcPr>
          <w:p w14:paraId="4EFFEDC1">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10</w:t>
            </w:r>
          </w:p>
        </w:tc>
      </w:tr>
      <w:tr w14:paraId="1FEF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28" w:type="dxa"/>
            <w:vMerge w:val="restart"/>
            <w:vAlign w:val="center"/>
          </w:tcPr>
          <w:p w14:paraId="42FAE5AA">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宋体" w:hAnsi="宋体" w:cs="宋体"/>
                <w:kern w:val="0"/>
                <w:sz w:val="28"/>
                <w:szCs w:val="28"/>
              </w:rPr>
              <w:t>2</w:t>
            </w:r>
          </w:p>
        </w:tc>
        <w:tc>
          <w:tcPr>
            <w:tcW w:w="1425" w:type="dxa"/>
            <w:vMerge w:val="restart"/>
            <w:vAlign w:val="center"/>
          </w:tcPr>
          <w:p w14:paraId="1342541B">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技术部分（60分）</w:t>
            </w:r>
          </w:p>
        </w:tc>
        <w:tc>
          <w:tcPr>
            <w:tcW w:w="985" w:type="dxa"/>
            <w:vMerge w:val="restart"/>
            <w:vAlign w:val="center"/>
          </w:tcPr>
          <w:p w14:paraId="4EB13A8C">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部署实施方案</w:t>
            </w:r>
          </w:p>
        </w:tc>
        <w:tc>
          <w:tcPr>
            <w:tcW w:w="6388" w:type="dxa"/>
            <w:vAlign w:val="center"/>
          </w:tcPr>
          <w:p w14:paraId="4B33AA78">
            <w:pPr>
              <w:keepNext w:val="0"/>
              <w:keepLines w:val="0"/>
              <w:pageBreakBefore w:val="0"/>
              <w:kinsoku/>
              <w:wordWrap/>
              <w:overflowPunct/>
              <w:topLinePunct w:val="0"/>
              <w:bidi w:val="0"/>
              <w:snapToGrid/>
              <w:spacing w:line="400" w:lineRule="exact"/>
              <w:ind w:firstLine="560" w:firstLineChars="200"/>
              <w:textAlignment w:val="auto"/>
              <w:rPr>
                <w:rFonts w:ascii="宋体" w:hAnsi="宋体" w:cs="宋体"/>
                <w:kern w:val="0"/>
                <w:sz w:val="28"/>
                <w:szCs w:val="28"/>
              </w:rPr>
            </w:pPr>
            <w:r>
              <w:rPr>
                <w:rFonts w:hint="eastAsia" w:ascii="仿宋" w:hAnsi="仿宋" w:eastAsia="仿宋" w:cs="仿宋"/>
                <w:kern w:val="0"/>
                <w:sz w:val="28"/>
                <w:szCs w:val="28"/>
              </w:rPr>
              <w:t>一档（10分）：项目实施方案基本满足采购招标要求，有基本的施工进度计划和工期保证措施，有基本的安全控制措施及实施质量控制保证方案，施工安装方案中含有各系统的基本描述的。</w:t>
            </w:r>
          </w:p>
        </w:tc>
        <w:tc>
          <w:tcPr>
            <w:tcW w:w="1240" w:type="dxa"/>
            <w:vMerge w:val="restart"/>
            <w:vAlign w:val="center"/>
          </w:tcPr>
          <w:p w14:paraId="04FCBDEF">
            <w:pPr>
              <w:keepNext w:val="0"/>
              <w:keepLines w:val="0"/>
              <w:pageBreakBefore w:val="0"/>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30</w:t>
            </w:r>
          </w:p>
        </w:tc>
      </w:tr>
      <w:tr w14:paraId="5F17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28" w:type="dxa"/>
            <w:vMerge w:val="continue"/>
            <w:vAlign w:val="center"/>
          </w:tcPr>
          <w:p w14:paraId="04AA76A8">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1425" w:type="dxa"/>
            <w:vMerge w:val="continue"/>
            <w:vAlign w:val="center"/>
          </w:tcPr>
          <w:p w14:paraId="7D52354A">
            <w:pPr>
              <w:keepNext w:val="0"/>
              <w:keepLines w:val="0"/>
              <w:pageBreakBefore w:val="0"/>
              <w:widowControl/>
              <w:kinsoku/>
              <w:wordWrap/>
              <w:overflowPunct/>
              <w:topLinePunct w:val="0"/>
              <w:bidi w:val="0"/>
              <w:snapToGrid/>
              <w:spacing w:line="400" w:lineRule="exact"/>
              <w:jc w:val="left"/>
              <w:textAlignment w:val="auto"/>
              <w:rPr>
                <w:rFonts w:ascii="宋体" w:hAnsi="宋体" w:cs="宋体"/>
                <w:kern w:val="0"/>
                <w:sz w:val="28"/>
                <w:szCs w:val="28"/>
              </w:rPr>
            </w:pPr>
          </w:p>
        </w:tc>
        <w:tc>
          <w:tcPr>
            <w:tcW w:w="985" w:type="dxa"/>
            <w:vMerge w:val="continue"/>
            <w:vAlign w:val="center"/>
          </w:tcPr>
          <w:p w14:paraId="1F91DD3D">
            <w:pPr>
              <w:keepNext w:val="0"/>
              <w:keepLines w:val="0"/>
              <w:pageBreakBefore w:val="0"/>
              <w:widowControl/>
              <w:kinsoku/>
              <w:wordWrap/>
              <w:overflowPunct/>
              <w:topLinePunct w:val="0"/>
              <w:bidi w:val="0"/>
              <w:snapToGrid/>
              <w:spacing w:line="400" w:lineRule="exact"/>
              <w:jc w:val="left"/>
              <w:textAlignment w:val="auto"/>
              <w:rPr>
                <w:rFonts w:ascii="宋体" w:hAnsi="宋体" w:cs="宋体"/>
                <w:kern w:val="0"/>
                <w:sz w:val="28"/>
                <w:szCs w:val="28"/>
              </w:rPr>
            </w:pPr>
          </w:p>
        </w:tc>
        <w:tc>
          <w:tcPr>
            <w:tcW w:w="6388" w:type="dxa"/>
            <w:vAlign w:val="center"/>
          </w:tcPr>
          <w:p w14:paraId="3CD6476B">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二档（20分）：项目实施方案有较好的施工进度计划和工期保证措施；有较好的安全控制措施、实施质量控制方案及实施质量保证措施及质量管理程序，有各系统实施方案详细描述的。</w:t>
            </w:r>
          </w:p>
        </w:tc>
        <w:tc>
          <w:tcPr>
            <w:tcW w:w="1240" w:type="dxa"/>
            <w:vMerge w:val="continue"/>
            <w:vAlign w:val="center"/>
          </w:tcPr>
          <w:p w14:paraId="3FE7FD16">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rPr>
            </w:pPr>
          </w:p>
        </w:tc>
      </w:tr>
      <w:tr w14:paraId="6BF2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28" w:type="dxa"/>
            <w:vMerge w:val="continue"/>
            <w:vAlign w:val="center"/>
          </w:tcPr>
          <w:p w14:paraId="08291D03">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1425" w:type="dxa"/>
            <w:vMerge w:val="continue"/>
            <w:vAlign w:val="center"/>
          </w:tcPr>
          <w:p w14:paraId="544A3906">
            <w:pPr>
              <w:keepNext w:val="0"/>
              <w:keepLines w:val="0"/>
              <w:pageBreakBefore w:val="0"/>
              <w:widowControl/>
              <w:kinsoku/>
              <w:wordWrap/>
              <w:overflowPunct/>
              <w:topLinePunct w:val="0"/>
              <w:bidi w:val="0"/>
              <w:snapToGrid/>
              <w:spacing w:line="400" w:lineRule="exact"/>
              <w:jc w:val="left"/>
              <w:textAlignment w:val="auto"/>
              <w:rPr>
                <w:rFonts w:ascii="宋体" w:hAnsi="宋体" w:cs="宋体"/>
                <w:kern w:val="0"/>
                <w:sz w:val="28"/>
                <w:szCs w:val="28"/>
              </w:rPr>
            </w:pPr>
          </w:p>
        </w:tc>
        <w:tc>
          <w:tcPr>
            <w:tcW w:w="985" w:type="dxa"/>
            <w:vMerge w:val="continue"/>
            <w:vAlign w:val="center"/>
          </w:tcPr>
          <w:p w14:paraId="1A6B6E3C">
            <w:pPr>
              <w:keepNext w:val="0"/>
              <w:keepLines w:val="0"/>
              <w:pageBreakBefore w:val="0"/>
              <w:widowControl/>
              <w:kinsoku/>
              <w:wordWrap/>
              <w:overflowPunct/>
              <w:topLinePunct w:val="0"/>
              <w:bidi w:val="0"/>
              <w:snapToGrid/>
              <w:spacing w:line="400" w:lineRule="exact"/>
              <w:jc w:val="left"/>
              <w:textAlignment w:val="auto"/>
              <w:rPr>
                <w:rFonts w:ascii="宋体" w:hAnsi="宋体" w:cs="宋体"/>
                <w:kern w:val="0"/>
                <w:sz w:val="28"/>
                <w:szCs w:val="28"/>
              </w:rPr>
            </w:pPr>
          </w:p>
        </w:tc>
        <w:tc>
          <w:tcPr>
            <w:tcW w:w="6388" w:type="dxa"/>
            <w:vAlign w:val="center"/>
          </w:tcPr>
          <w:p w14:paraId="26484890">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三档（30分）：项目实施方案有完善的施工进度计划和工期保证措施； 有完善的安全控制措施及实施质量控制方案，具有工程项目安全管理，实施质量保证措施及质量管理程序，提供相关施工安装方案，能提前完工及具有赶工计划，内容齐全、详细、可行，贴合采购人实际需求的。</w:t>
            </w:r>
          </w:p>
        </w:tc>
        <w:tc>
          <w:tcPr>
            <w:tcW w:w="1240" w:type="dxa"/>
            <w:vMerge w:val="continue"/>
            <w:vAlign w:val="center"/>
          </w:tcPr>
          <w:p w14:paraId="11F4D264">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rPr>
            </w:pPr>
          </w:p>
        </w:tc>
      </w:tr>
      <w:tr w14:paraId="7F5A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28" w:type="dxa"/>
            <w:vMerge w:val="continue"/>
            <w:noWrap/>
            <w:vAlign w:val="center"/>
          </w:tcPr>
          <w:p w14:paraId="7000701B">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1425" w:type="dxa"/>
            <w:vMerge w:val="continue"/>
            <w:vAlign w:val="center"/>
          </w:tcPr>
          <w:p w14:paraId="0D2BAC62">
            <w:pPr>
              <w:keepNext w:val="0"/>
              <w:keepLines w:val="0"/>
              <w:pageBreakBefore w:val="0"/>
              <w:widowControl/>
              <w:kinsoku/>
              <w:wordWrap/>
              <w:overflowPunct/>
              <w:topLinePunct w:val="0"/>
              <w:bidi w:val="0"/>
              <w:snapToGrid/>
              <w:spacing w:line="400" w:lineRule="exact"/>
              <w:jc w:val="left"/>
              <w:textAlignment w:val="auto"/>
              <w:rPr>
                <w:rFonts w:ascii="宋体" w:hAnsi="宋体" w:cs="宋体"/>
                <w:kern w:val="0"/>
                <w:sz w:val="28"/>
                <w:szCs w:val="28"/>
              </w:rPr>
            </w:pPr>
          </w:p>
        </w:tc>
        <w:tc>
          <w:tcPr>
            <w:tcW w:w="985" w:type="dxa"/>
            <w:vMerge w:val="restart"/>
            <w:vAlign w:val="center"/>
          </w:tcPr>
          <w:p w14:paraId="097F8DAE">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售后技术服务方案</w:t>
            </w:r>
          </w:p>
        </w:tc>
        <w:tc>
          <w:tcPr>
            <w:tcW w:w="6388" w:type="dxa"/>
            <w:vAlign w:val="center"/>
          </w:tcPr>
          <w:p w14:paraId="534FCA71">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一档（10分）：提供有售后服务方案，方案一般，对售后服务内容有基本描述。</w:t>
            </w:r>
          </w:p>
        </w:tc>
        <w:tc>
          <w:tcPr>
            <w:tcW w:w="1240" w:type="dxa"/>
            <w:vMerge w:val="restart"/>
            <w:noWrap/>
            <w:vAlign w:val="center"/>
          </w:tcPr>
          <w:p w14:paraId="3D9392AE">
            <w:pPr>
              <w:keepNext w:val="0"/>
              <w:keepLines w:val="0"/>
              <w:pageBreakBefore w:val="0"/>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30</w:t>
            </w:r>
          </w:p>
        </w:tc>
      </w:tr>
      <w:tr w14:paraId="1B15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8" w:type="dxa"/>
            <w:vMerge w:val="continue"/>
            <w:vAlign w:val="center"/>
          </w:tcPr>
          <w:p w14:paraId="1DB52BC8">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1425" w:type="dxa"/>
            <w:vMerge w:val="continue"/>
            <w:vAlign w:val="center"/>
          </w:tcPr>
          <w:p w14:paraId="0022A488">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985" w:type="dxa"/>
            <w:vMerge w:val="continue"/>
            <w:vAlign w:val="center"/>
          </w:tcPr>
          <w:p w14:paraId="5610C66C">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6388" w:type="dxa"/>
            <w:vAlign w:val="center"/>
          </w:tcPr>
          <w:p w14:paraId="4E2591B2">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二档（20分）：售后服务方案提供故障处理流程、维护保障流程及组织架构，提供免费服务电话和售后服务承诺且描述了项目运维服务和应急保障方案的方法以及实现方式，方案可行较详细及具备同类型项目应急保障服务能力，应急保障方案包含有线和无线备用解决方案。</w:t>
            </w:r>
          </w:p>
        </w:tc>
        <w:tc>
          <w:tcPr>
            <w:tcW w:w="1240" w:type="dxa"/>
            <w:vMerge w:val="continue"/>
            <w:vAlign w:val="center"/>
          </w:tcPr>
          <w:p w14:paraId="55D9F119">
            <w:pPr>
              <w:keepNext w:val="0"/>
              <w:keepLines w:val="0"/>
              <w:pageBreakBefore w:val="0"/>
              <w:kinsoku/>
              <w:wordWrap/>
              <w:overflowPunct/>
              <w:topLinePunct w:val="0"/>
              <w:bidi w:val="0"/>
              <w:snapToGrid/>
              <w:spacing w:line="400" w:lineRule="exact"/>
              <w:ind w:firstLine="560" w:firstLineChars="200"/>
              <w:jc w:val="center"/>
              <w:textAlignment w:val="auto"/>
              <w:rPr>
                <w:rFonts w:ascii="仿宋" w:hAnsi="仿宋" w:eastAsia="仿宋" w:cs="仿宋"/>
                <w:kern w:val="0"/>
                <w:sz w:val="28"/>
                <w:szCs w:val="28"/>
              </w:rPr>
            </w:pPr>
          </w:p>
        </w:tc>
      </w:tr>
      <w:tr w14:paraId="468A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28" w:type="dxa"/>
            <w:vMerge w:val="continue"/>
            <w:vAlign w:val="center"/>
          </w:tcPr>
          <w:p w14:paraId="170C4769">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1425" w:type="dxa"/>
            <w:vMerge w:val="continue"/>
            <w:vAlign w:val="center"/>
          </w:tcPr>
          <w:p w14:paraId="319D627B">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985" w:type="dxa"/>
            <w:vMerge w:val="continue"/>
            <w:vAlign w:val="center"/>
          </w:tcPr>
          <w:p w14:paraId="5B94CEB8">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p>
        </w:tc>
        <w:tc>
          <w:tcPr>
            <w:tcW w:w="6388" w:type="dxa"/>
            <w:vAlign w:val="center"/>
          </w:tcPr>
          <w:p w14:paraId="0F745814">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三档（30分）：售后服务方案详细、具体、有效，服务措施详实、针对性和实用性强，满足采购文件运维服务要求，运维服务方案对售后响应时间、故障修复时间和提供备用线路有描述，提供详细的运维服务故障处理流程、维护保障流程及组织架构，提供免费服务电话等售后服务内容，运维服务方案详细、完整及具备同类型项目应急保障服务能力，应急保障方案包含有线和无线备用解决方案，且投标人或投标人上级所属公司或投标人总公司具备良好的系统运维管理能力，有自主开发的运维系统，完全满足招标项目的需求的。</w:t>
            </w:r>
          </w:p>
        </w:tc>
        <w:tc>
          <w:tcPr>
            <w:tcW w:w="1240" w:type="dxa"/>
            <w:vMerge w:val="continue"/>
            <w:vAlign w:val="center"/>
          </w:tcPr>
          <w:p w14:paraId="3ACDE2BA">
            <w:pPr>
              <w:keepNext w:val="0"/>
              <w:keepLines w:val="0"/>
              <w:pageBreakBefore w:val="0"/>
              <w:kinsoku/>
              <w:wordWrap/>
              <w:overflowPunct/>
              <w:topLinePunct w:val="0"/>
              <w:bidi w:val="0"/>
              <w:snapToGrid/>
              <w:spacing w:line="400" w:lineRule="exact"/>
              <w:ind w:firstLine="560" w:firstLineChars="200"/>
              <w:jc w:val="center"/>
              <w:textAlignment w:val="auto"/>
              <w:rPr>
                <w:rFonts w:ascii="仿宋" w:hAnsi="仿宋" w:eastAsia="仿宋" w:cs="仿宋"/>
                <w:kern w:val="0"/>
                <w:sz w:val="28"/>
                <w:szCs w:val="28"/>
              </w:rPr>
            </w:pPr>
          </w:p>
        </w:tc>
      </w:tr>
      <w:tr w14:paraId="3F9D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28" w:type="dxa"/>
            <w:noWrap/>
            <w:vAlign w:val="center"/>
          </w:tcPr>
          <w:p w14:paraId="53B3EA58">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3</w:t>
            </w:r>
          </w:p>
        </w:tc>
        <w:tc>
          <w:tcPr>
            <w:tcW w:w="1425" w:type="dxa"/>
            <w:vAlign w:val="center"/>
          </w:tcPr>
          <w:p w14:paraId="3F026BD8">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商务部分（30分）</w:t>
            </w:r>
          </w:p>
        </w:tc>
        <w:tc>
          <w:tcPr>
            <w:tcW w:w="985" w:type="dxa"/>
            <w:vAlign w:val="center"/>
          </w:tcPr>
          <w:p w14:paraId="42D30295">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综合</w:t>
            </w:r>
            <w:r>
              <w:rPr>
                <w:rFonts w:ascii="仿宋" w:hAnsi="仿宋" w:eastAsia="仿宋" w:cs="仿宋"/>
                <w:kern w:val="0"/>
                <w:sz w:val="28"/>
                <w:szCs w:val="28"/>
              </w:rPr>
              <w:t>实力</w:t>
            </w:r>
          </w:p>
        </w:tc>
        <w:tc>
          <w:tcPr>
            <w:tcW w:w="6388" w:type="dxa"/>
            <w:vAlign w:val="center"/>
          </w:tcPr>
          <w:p w14:paraId="655FAE00">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（1）投标人类似业绩的，每提供一份得</w:t>
            </w:r>
            <w:r>
              <w:rPr>
                <w:rFonts w:ascii="仿宋" w:hAnsi="仿宋" w:eastAsia="仿宋" w:cs="仿宋"/>
                <w:kern w:val="0"/>
                <w:sz w:val="28"/>
                <w:szCs w:val="28"/>
                <w:highlight w:val="none"/>
              </w:rPr>
              <w:t>2</w:t>
            </w:r>
            <w:r>
              <w:rPr>
                <w:rFonts w:hint="eastAsia" w:ascii="仿宋" w:hAnsi="仿宋" w:eastAsia="仿宋" w:cs="仿宋"/>
                <w:kern w:val="0"/>
                <w:sz w:val="28"/>
                <w:szCs w:val="28"/>
                <w:highlight w:val="none"/>
              </w:rPr>
              <w:t>分，满分</w:t>
            </w:r>
            <w:r>
              <w:rPr>
                <w:rFonts w:ascii="仿宋" w:hAnsi="仿宋" w:eastAsia="仿宋" w:cs="仿宋"/>
                <w:kern w:val="0"/>
                <w:sz w:val="28"/>
                <w:szCs w:val="28"/>
                <w:highlight w:val="none"/>
              </w:rPr>
              <w:t>6</w:t>
            </w:r>
            <w:r>
              <w:rPr>
                <w:rFonts w:hint="eastAsia" w:ascii="仿宋" w:hAnsi="仿宋" w:eastAsia="仿宋" w:cs="仿宋"/>
                <w:kern w:val="0"/>
                <w:sz w:val="28"/>
                <w:szCs w:val="28"/>
                <w:highlight w:val="none"/>
              </w:rPr>
              <w:t>分。备注：须提供项目合同复印件或中标（成交）通知书证明材料）；</w:t>
            </w:r>
          </w:p>
          <w:p w14:paraId="69CFE511">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（2）投标人或投标人上级公司获得 ISO 9001 质量管理体系认证、信息安全管理体系认证、信息技术服务管理体系认证等相关认证证书,每提供一个证书得</w:t>
            </w:r>
            <w:r>
              <w:rPr>
                <w:rFonts w:ascii="仿宋" w:hAnsi="仿宋" w:eastAsia="仿宋" w:cs="仿宋"/>
                <w:kern w:val="0"/>
                <w:sz w:val="28"/>
                <w:szCs w:val="28"/>
                <w:highlight w:val="none"/>
              </w:rPr>
              <w:t>2</w:t>
            </w:r>
            <w:r>
              <w:rPr>
                <w:rFonts w:hint="eastAsia" w:ascii="仿宋" w:hAnsi="仿宋" w:eastAsia="仿宋" w:cs="仿宋"/>
                <w:kern w:val="0"/>
                <w:sz w:val="28"/>
                <w:szCs w:val="28"/>
                <w:highlight w:val="none"/>
              </w:rPr>
              <w:t xml:space="preserve"> 分，满分</w:t>
            </w:r>
            <w:r>
              <w:rPr>
                <w:rFonts w:ascii="仿宋" w:hAnsi="仿宋" w:eastAsia="仿宋" w:cs="仿宋"/>
                <w:kern w:val="0"/>
                <w:sz w:val="28"/>
                <w:szCs w:val="28"/>
                <w:highlight w:val="none"/>
              </w:rPr>
              <w:t>6</w:t>
            </w:r>
            <w:r>
              <w:rPr>
                <w:rFonts w:hint="eastAsia" w:ascii="仿宋" w:hAnsi="仿宋" w:eastAsia="仿宋" w:cs="仿宋"/>
                <w:kern w:val="0"/>
                <w:sz w:val="28"/>
                <w:szCs w:val="28"/>
                <w:highlight w:val="none"/>
              </w:rPr>
              <w:t>分；</w:t>
            </w:r>
          </w:p>
          <w:p w14:paraId="5AC38DAF">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（3）拟投入的项目负责人</w:t>
            </w:r>
            <w:r>
              <w:rPr>
                <w:rFonts w:ascii="仿宋" w:hAnsi="仿宋" w:eastAsia="仿宋" w:cs="仿宋"/>
                <w:kern w:val="0"/>
                <w:sz w:val="28"/>
                <w:szCs w:val="28"/>
                <w:highlight w:val="none"/>
              </w:rPr>
              <w:t>具备</w:t>
            </w:r>
            <w:r>
              <w:rPr>
                <w:rFonts w:hint="eastAsia" w:ascii="仿宋" w:hAnsi="仿宋" w:eastAsia="仿宋" w:cs="仿宋"/>
                <w:kern w:val="0"/>
                <w:sz w:val="28"/>
                <w:szCs w:val="28"/>
                <w:highlight w:val="none"/>
              </w:rPr>
              <w:t>信息系统项目管理师证书</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系统集成项目管理工程师证书，每提供有</w:t>
            </w:r>
            <w:r>
              <w:rPr>
                <w:rFonts w:ascii="仿宋" w:hAnsi="仿宋" w:eastAsia="仿宋" w:cs="仿宋"/>
                <w:kern w:val="0"/>
                <w:sz w:val="28"/>
                <w:szCs w:val="28"/>
                <w:highlight w:val="none"/>
              </w:rPr>
              <w:t>1</w:t>
            </w:r>
            <w:r>
              <w:rPr>
                <w:rFonts w:hint="eastAsia" w:ascii="仿宋" w:hAnsi="仿宋" w:eastAsia="仿宋" w:cs="仿宋"/>
                <w:kern w:val="0"/>
                <w:sz w:val="28"/>
                <w:szCs w:val="28"/>
                <w:highlight w:val="none"/>
              </w:rPr>
              <w:t>个证书的得</w:t>
            </w:r>
            <w:r>
              <w:rPr>
                <w:rFonts w:ascii="仿宋" w:hAnsi="仿宋" w:eastAsia="仿宋" w:cs="仿宋"/>
                <w:kern w:val="0"/>
                <w:sz w:val="28"/>
                <w:szCs w:val="28"/>
                <w:highlight w:val="none"/>
              </w:rPr>
              <w:t>3</w:t>
            </w:r>
            <w:r>
              <w:rPr>
                <w:rFonts w:hint="eastAsia" w:ascii="仿宋" w:hAnsi="仿宋" w:eastAsia="仿宋" w:cs="仿宋"/>
                <w:kern w:val="0"/>
                <w:sz w:val="28"/>
                <w:szCs w:val="28"/>
                <w:highlight w:val="none"/>
              </w:rPr>
              <w:t>分，满分</w:t>
            </w:r>
            <w:r>
              <w:rPr>
                <w:rFonts w:ascii="仿宋" w:hAnsi="仿宋" w:eastAsia="仿宋" w:cs="仿宋"/>
                <w:kern w:val="0"/>
                <w:sz w:val="28"/>
                <w:szCs w:val="28"/>
                <w:highlight w:val="none"/>
              </w:rPr>
              <w:t>6</w:t>
            </w:r>
            <w:r>
              <w:rPr>
                <w:rFonts w:hint="eastAsia" w:ascii="仿宋" w:hAnsi="仿宋" w:eastAsia="仿宋" w:cs="仿宋"/>
                <w:kern w:val="0"/>
                <w:sz w:val="28"/>
                <w:szCs w:val="28"/>
                <w:highlight w:val="none"/>
              </w:rPr>
              <w:t>分；</w:t>
            </w:r>
          </w:p>
          <w:p w14:paraId="53E6F0DC">
            <w:pPr>
              <w:keepNext w:val="0"/>
              <w:keepLines w:val="0"/>
              <w:pageBreakBefore w:val="0"/>
              <w:kinsoku/>
              <w:wordWrap/>
              <w:overflowPunct/>
              <w:topLinePunct w:val="0"/>
              <w:bidi w:val="0"/>
              <w:snapToGrid/>
              <w:spacing w:line="4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（4）拟投入技术负责人同时网络工程师证书</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注册信息安全工程师证书，每一个得</w:t>
            </w:r>
            <w:r>
              <w:rPr>
                <w:rFonts w:ascii="仿宋" w:hAnsi="仿宋" w:eastAsia="仿宋" w:cs="仿宋"/>
                <w:kern w:val="0"/>
                <w:sz w:val="28"/>
                <w:szCs w:val="28"/>
                <w:highlight w:val="none"/>
              </w:rPr>
              <w:t>3</w:t>
            </w:r>
            <w:r>
              <w:rPr>
                <w:rFonts w:hint="eastAsia" w:ascii="仿宋" w:hAnsi="仿宋" w:eastAsia="仿宋" w:cs="仿宋"/>
                <w:kern w:val="0"/>
                <w:sz w:val="28"/>
                <w:szCs w:val="28"/>
                <w:highlight w:val="none"/>
              </w:rPr>
              <w:t>分，满分</w:t>
            </w:r>
            <w:r>
              <w:rPr>
                <w:rFonts w:ascii="仿宋" w:hAnsi="仿宋" w:eastAsia="仿宋" w:cs="仿宋"/>
                <w:kern w:val="0"/>
                <w:sz w:val="28"/>
                <w:szCs w:val="28"/>
                <w:highlight w:val="none"/>
              </w:rPr>
              <w:t>6</w:t>
            </w:r>
            <w:r>
              <w:rPr>
                <w:rFonts w:hint="eastAsia" w:ascii="仿宋" w:hAnsi="仿宋" w:eastAsia="仿宋" w:cs="仿宋"/>
                <w:kern w:val="0"/>
                <w:sz w:val="28"/>
                <w:szCs w:val="28"/>
                <w:highlight w:val="none"/>
              </w:rPr>
              <w:t>分。</w:t>
            </w:r>
          </w:p>
          <w:p w14:paraId="2669D315">
            <w:pPr>
              <w:pStyle w:val="2"/>
              <w:keepNext w:val="0"/>
              <w:keepLines w:val="0"/>
              <w:pageBreakBefore w:val="0"/>
              <w:kinsoku/>
              <w:wordWrap/>
              <w:overflowPunct/>
              <w:topLinePunct w:val="0"/>
              <w:bidi w:val="0"/>
              <w:snapToGrid/>
              <w:spacing w:line="400" w:lineRule="exact"/>
              <w:ind w:firstLine="560" w:firstLineChars="200"/>
              <w:textAlignment w:val="auto"/>
            </w:pPr>
            <w:r>
              <w:rPr>
                <w:rFonts w:hint="eastAsia" w:ascii="仿宋" w:hAnsi="仿宋" w:eastAsia="仿宋" w:cs="仿宋"/>
                <w:sz w:val="28"/>
                <w:szCs w:val="28"/>
                <w:highlight w:val="none"/>
              </w:rPr>
              <w:t>（</w:t>
            </w:r>
            <w:r>
              <w:rPr>
                <w:rFonts w:ascii="仿宋" w:hAnsi="仿宋" w:eastAsia="仿宋" w:cs="仿宋"/>
                <w:sz w:val="28"/>
                <w:szCs w:val="28"/>
                <w:highlight w:val="none"/>
              </w:rPr>
              <w:t>5</w:t>
            </w:r>
            <w:r>
              <w:rPr>
                <w:rFonts w:hint="eastAsia" w:ascii="仿宋" w:hAnsi="仿宋" w:eastAsia="仿宋" w:cs="仿宋"/>
                <w:sz w:val="28"/>
                <w:szCs w:val="28"/>
                <w:highlight w:val="none"/>
              </w:rPr>
              <w:t>）拟投入的实施团队人员持有系统集成管理师证书</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，每一个得</w:t>
            </w:r>
            <w:r>
              <w:rPr>
                <w:rFonts w:ascii="仿宋" w:hAnsi="仿宋" w:eastAsia="仿宋" w:cs="仿宋"/>
                <w:sz w:val="28"/>
                <w:szCs w:val="28"/>
                <w:highlight w:val="none"/>
              </w:rPr>
              <w:t>2</w:t>
            </w:r>
            <w:r>
              <w:rPr>
                <w:rFonts w:hint="eastAsia" w:ascii="仿宋" w:hAnsi="仿宋" w:eastAsia="仿宋" w:cs="仿宋"/>
                <w:sz w:val="28"/>
                <w:szCs w:val="28"/>
                <w:highlight w:val="none"/>
              </w:rPr>
              <w:t>分，满分</w:t>
            </w:r>
            <w:r>
              <w:rPr>
                <w:rFonts w:ascii="仿宋" w:hAnsi="仿宋" w:eastAsia="仿宋" w:cs="仿宋"/>
                <w:sz w:val="28"/>
                <w:szCs w:val="28"/>
                <w:highlight w:val="none"/>
              </w:rPr>
              <w:t>6</w:t>
            </w:r>
            <w:r>
              <w:rPr>
                <w:rFonts w:hint="eastAsia" w:ascii="仿宋" w:hAnsi="仿宋" w:eastAsia="仿宋" w:cs="仿宋"/>
                <w:sz w:val="28"/>
                <w:szCs w:val="28"/>
                <w:highlight w:val="none"/>
              </w:rPr>
              <w:t>分。</w:t>
            </w:r>
          </w:p>
        </w:tc>
        <w:tc>
          <w:tcPr>
            <w:tcW w:w="1240" w:type="dxa"/>
            <w:noWrap/>
            <w:vAlign w:val="center"/>
          </w:tcPr>
          <w:p w14:paraId="2A3557AC">
            <w:pPr>
              <w:keepNext w:val="0"/>
              <w:keepLines w:val="0"/>
              <w:pageBreakBefore w:val="0"/>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30</w:t>
            </w:r>
          </w:p>
        </w:tc>
      </w:tr>
      <w:tr w14:paraId="41B8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226" w:type="dxa"/>
            <w:gridSpan w:val="4"/>
            <w:noWrap/>
            <w:vAlign w:val="center"/>
          </w:tcPr>
          <w:p w14:paraId="1F348CBE">
            <w:pPr>
              <w:keepNext w:val="0"/>
              <w:keepLines w:val="0"/>
              <w:pageBreakBefore w:val="0"/>
              <w:widowControl/>
              <w:kinsoku/>
              <w:wordWrap/>
              <w:overflowPunct/>
              <w:topLinePunct w:val="0"/>
              <w:bidi w:val="0"/>
              <w:snapToGrid/>
              <w:spacing w:line="400" w:lineRule="exact"/>
              <w:jc w:val="center"/>
              <w:textAlignment w:val="auto"/>
              <w:rPr>
                <w:rFonts w:ascii="宋体" w:hAnsi="宋体" w:cs="宋体"/>
                <w:kern w:val="0"/>
                <w:sz w:val="28"/>
                <w:szCs w:val="28"/>
              </w:rPr>
            </w:pPr>
            <w:r>
              <w:rPr>
                <w:rFonts w:hint="eastAsia" w:ascii="仿宋" w:hAnsi="仿宋" w:eastAsia="仿宋" w:cs="仿宋"/>
                <w:kern w:val="0"/>
                <w:sz w:val="28"/>
                <w:szCs w:val="28"/>
              </w:rPr>
              <w:t>满分：</w:t>
            </w:r>
          </w:p>
        </w:tc>
        <w:tc>
          <w:tcPr>
            <w:tcW w:w="1240" w:type="dxa"/>
            <w:noWrap/>
            <w:vAlign w:val="center"/>
          </w:tcPr>
          <w:p w14:paraId="56FB1ED2">
            <w:pPr>
              <w:keepNext w:val="0"/>
              <w:keepLines w:val="0"/>
              <w:pageBreakBefore w:val="0"/>
              <w:kinsoku/>
              <w:wordWrap/>
              <w:overflowPunct/>
              <w:topLinePunct w:val="0"/>
              <w:bidi w:val="0"/>
              <w:snapToGrid/>
              <w:spacing w:line="400" w:lineRule="exact"/>
              <w:jc w:val="center"/>
              <w:textAlignment w:val="auto"/>
              <w:rPr>
                <w:rFonts w:ascii="仿宋" w:hAnsi="仿宋" w:eastAsia="仿宋" w:cs="仿宋"/>
                <w:kern w:val="0"/>
                <w:sz w:val="28"/>
                <w:szCs w:val="28"/>
              </w:rPr>
            </w:pPr>
            <w:r>
              <w:rPr>
                <w:rFonts w:hint="eastAsia" w:ascii="仿宋" w:hAnsi="仿宋" w:eastAsia="仿宋" w:cs="仿宋"/>
                <w:kern w:val="0"/>
                <w:sz w:val="28"/>
                <w:szCs w:val="28"/>
              </w:rPr>
              <w:t>100</w:t>
            </w:r>
          </w:p>
        </w:tc>
      </w:tr>
    </w:tbl>
    <w:p w14:paraId="01ED696A">
      <w:pPr>
        <w:spacing w:line="300" w:lineRule="auto"/>
        <w:outlineLvl w:val="0"/>
        <w:rPr>
          <w:rFonts w:ascii="仿宋" w:hAnsi="仿宋" w:eastAsia="仿宋" w:cs="仿宋"/>
          <w:sz w:val="32"/>
          <w:szCs w:val="32"/>
        </w:rPr>
      </w:pPr>
      <w:r>
        <w:rPr>
          <w:rFonts w:hint="eastAsia" w:ascii="仿宋" w:hAnsi="仿宋" w:eastAsia="仿宋" w:cs="仿宋"/>
          <w:sz w:val="32"/>
          <w:szCs w:val="32"/>
        </w:rPr>
        <w:t>三、成交候选人推荐原则</w:t>
      </w:r>
    </w:p>
    <w:p w14:paraId="649D1451">
      <w:pPr>
        <w:spacing w:line="300" w:lineRule="auto"/>
        <w:ind w:firstLine="640" w:firstLineChars="200"/>
      </w:pPr>
      <w:r>
        <w:rPr>
          <w:rFonts w:hint="eastAsia" w:ascii="仿宋" w:hAnsi="仿宋" w:eastAsia="仿宋" w:cs="仿宋"/>
          <w:sz w:val="32"/>
          <w:szCs w:val="32"/>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1N2Q4ODkwMzk1YmYxMGExMDgxNmY1NmY1OTgzZDcifQ=="/>
  </w:docVars>
  <w:rsids>
    <w:rsidRoot w:val="65D5622B"/>
    <w:rsid w:val="001A6A9D"/>
    <w:rsid w:val="006D3155"/>
    <w:rsid w:val="0077561D"/>
    <w:rsid w:val="00D22916"/>
    <w:rsid w:val="00D360D5"/>
    <w:rsid w:val="2D5B2683"/>
    <w:rsid w:val="65D5622B"/>
    <w:rsid w:val="6B7F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1400</Words>
  <Characters>1421</Characters>
  <Lines>10</Lines>
  <Paragraphs>3</Paragraphs>
  <TotalTime>9</TotalTime>
  <ScaleCrop>false</ScaleCrop>
  <LinksUpToDate>false</LinksUpToDate>
  <CharactersWithSpaces>1426</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2024-07-05T08:30:00Z</dcterms:created>
  <dc:creator>剑剑剑剑剑剑</dc:creator>
  <cp:lastModifiedBy>曼曼</cp:lastModifiedBy>
  <dcterms:modified xsi:type="dcterms:W3CDTF">2024-07-08T01:46:49Z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2762F710C6E447DBA46886B1C8197377_13</vt:lpwstr>
  </property>
</Properties>
</file>