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附件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</w:t>
      </w:r>
    </w:p>
    <w:p>
      <w:pPr>
        <w:spacing w:line="360" w:lineRule="auto"/>
        <w:jc w:val="center"/>
        <w:rPr>
          <w:rFonts w:hint="eastAsia" w:ascii="仿宋_GB2312" w:hAnsi="宋体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/>
          <w:bCs/>
          <w:sz w:val="32"/>
          <w:szCs w:val="32"/>
          <w:lang w:eastAsia="zh-CN"/>
        </w:rPr>
        <w:t>综合评分办法</w:t>
      </w:r>
    </w:p>
    <w:p>
      <w:pPr>
        <w:spacing w:line="360" w:lineRule="auto"/>
        <w:jc w:val="center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spacing w:line="36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采购评审小组以采购文件为依据，对符合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采购</w:t>
      </w:r>
      <w:r>
        <w:rPr>
          <w:rFonts w:hint="eastAsia" w:ascii="仿宋_GB2312" w:hAnsi="宋体" w:eastAsia="仿宋_GB2312"/>
          <w:sz w:val="32"/>
          <w:szCs w:val="32"/>
        </w:rPr>
        <w:t>文件资格供应商的报价文件进行评审，在保证符合采购需求且报价合理的基础上，采用综合评分法确定成交供应商。</w:t>
      </w:r>
    </w:p>
    <w:tbl>
      <w:tblPr>
        <w:tblStyle w:val="8"/>
        <w:tblpPr w:leftFromText="180" w:rightFromText="180" w:vertAnchor="text" w:horzAnchor="page" w:tblpX="1301" w:tblpY="919"/>
        <w:tblOverlap w:val="never"/>
        <w:tblW w:w="9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1003"/>
        <w:gridCol w:w="785"/>
        <w:gridCol w:w="1918"/>
        <w:gridCol w:w="5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572" w:type="dxa"/>
            <w:vAlign w:val="center"/>
          </w:tcPr>
          <w:p>
            <w:pPr>
              <w:adjustRightInd w:val="0"/>
              <w:spacing w:line="410" w:lineRule="exact"/>
              <w:jc w:val="center"/>
              <w:textAlignment w:val="baseline"/>
              <w:rPr>
                <w:rFonts w:ascii="宋体" w:hAnsi="宋体" w:cs="宋体"/>
                <w:b/>
                <w:color w:val="0D0D0D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D0D0D"/>
                <w:sz w:val="28"/>
                <w:szCs w:val="28"/>
              </w:rPr>
              <w:t>序号</w:t>
            </w:r>
          </w:p>
        </w:tc>
        <w:tc>
          <w:tcPr>
            <w:tcW w:w="1003" w:type="dxa"/>
            <w:vAlign w:val="center"/>
          </w:tcPr>
          <w:p>
            <w:pPr>
              <w:adjustRightInd w:val="0"/>
              <w:spacing w:line="410" w:lineRule="exact"/>
              <w:jc w:val="center"/>
              <w:textAlignment w:val="baseline"/>
              <w:rPr>
                <w:rFonts w:ascii="宋体" w:hAnsi="宋体" w:cs="宋体"/>
                <w:color w:val="0D0D0D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D0D0D"/>
                <w:sz w:val="28"/>
                <w:szCs w:val="28"/>
              </w:rPr>
              <w:t>评审因素</w:t>
            </w:r>
          </w:p>
        </w:tc>
        <w:tc>
          <w:tcPr>
            <w:tcW w:w="785" w:type="dxa"/>
            <w:vAlign w:val="center"/>
          </w:tcPr>
          <w:p>
            <w:pPr>
              <w:adjustRightInd w:val="0"/>
              <w:spacing w:line="410" w:lineRule="exact"/>
              <w:jc w:val="center"/>
              <w:textAlignment w:val="baseline"/>
              <w:rPr>
                <w:rFonts w:ascii="宋体" w:hAnsi="宋体" w:cs="宋体"/>
                <w:b/>
                <w:color w:val="0D0D0D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D0D0D"/>
                <w:sz w:val="28"/>
                <w:szCs w:val="28"/>
              </w:rPr>
              <w:t>分值</w:t>
            </w:r>
          </w:p>
        </w:tc>
        <w:tc>
          <w:tcPr>
            <w:tcW w:w="7268" w:type="dxa"/>
            <w:gridSpan w:val="2"/>
            <w:vAlign w:val="center"/>
          </w:tcPr>
          <w:p>
            <w:pPr>
              <w:adjustRightInd w:val="0"/>
              <w:spacing w:line="410" w:lineRule="exact"/>
              <w:jc w:val="center"/>
              <w:textAlignment w:val="baseline"/>
              <w:rPr>
                <w:rFonts w:ascii="宋体" w:hAnsi="宋体" w:cs="宋体"/>
                <w:b/>
                <w:color w:val="0D0D0D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color w:val="0D0D0D"/>
                <w:sz w:val="36"/>
                <w:szCs w:val="36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72" w:type="dxa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cs="宋体"/>
                <w:b/>
                <w:color w:val="0D0D0D"/>
                <w:szCs w:val="21"/>
              </w:rPr>
            </w:pPr>
            <w:r>
              <w:rPr>
                <w:rFonts w:hint="eastAsia" w:ascii="宋体" w:hAnsi="宋体" w:cs="宋体"/>
                <w:b/>
                <w:color w:val="0D0D0D"/>
                <w:szCs w:val="21"/>
              </w:rPr>
              <w:t>1</w:t>
            </w:r>
          </w:p>
        </w:tc>
        <w:tc>
          <w:tcPr>
            <w:tcW w:w="1003" w:type="dxa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cs="宋体"/>
                <w:b/>
                <w:color w:val="0D0D0D"/>
                <w:szCs w:val="21"/>
              </w:rPr>
            </w:pPr>
            <w:r>
              <w:rPr>
                <w:rFonts w:hint="eastAsia" w:ascii="宋体" w:hAnsi="宋体" w:cs="宋体"/>
                <w:b/>
                <w:color w:val="0D0D0D"/>
                <w:szCs w:val="21"/>
              </w:rPr>
              <w:t>报价</w:t>
            </w:r>
          </w:p>
        </w:tc>
        <w:tc>
          <w:tcPr>
            <w:tcW w:w="785" w:type="dxa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cs="宋体"/>
                <w:b/>
                <w:color w:val="0D0D0D"/>
                <w:szCs w:val="21"/>
              </w:rPr>
            </w:pPr>
            <w:r>
              <w:rPr>
                <w:rFonts w:hint="eastAsia" w:ascii="宋体" w:hAnsi="宋体" w:cs="宋体"/>
                <w:b/>
                <w:color w:val="0D0D0D"/>
                <w:szCs w:val="21"/>
              </w:rPr>
              <w:t>10分</w:t>
            </w:r>
          </w:p>
        </w:tc>
        <w:tc>
          <w:tcPr>
            <w:tcW w:w="7268" w:type="dxa"/>
            <w:gridSpan w:val="2"/>
            <w:vAlign w:val="center"/>
          </w:tcPr>
          <w:p>
            <w:pPr>
              <w:pStyle w:val="4"/>
              <w:spacing w:line="420" w:lineRule="exact"/>
              <w:outlineLvl w:val="0"/>
              <w:rPr>
                <w:rFonts w:hAnsi="宋体" w:cs="宋体"/>
                <w:b/>
                <w:color w:val="0D0D0D"/>
                <w:sz w:val="21"/>
                <w:highlight w:val="none"/>
              </w:rPr>
            </w:pPr>
            <w:r>
              <w:rPr>
                <w:rFonts w:hint="eastAsia" w:hAnsi="宋体" w:cs="宋体"/>
                <w:b/>
                <w:color w:val="0D0D0D"/>
                <w:sz w:val="21"/>
                <w:highlight w:val="none"/>
              </w:rPr>
              <w:t>报价分（满分10分）</w:t>
            </w:r>
          </w:p>
          <w:p>
            <w:pPr>
              <w:pStyle w:val="4"/>
              <w:spacing w:line="420" w:lineRule="exact"/>
              <w:ind w:firstLine="420" w:firstLineChars="200"/>
              <w:rPr>
                <w:rFonts w:hint="default" w:hAnsi="宋体" w:eastAsia="宋体" w:cs="宋体"/>
                <w:bCs/>
                <w:color w:val="0D0D0D"/>
                <w:kern w:val="2"/>
                <w:sz w:val="21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bCs/>
                <w:color w:val="0D0D0D"/>
                <w:sz w:val="21"/>
                <w:highlight w:val="none"/>
              </w:rPr>
              <w:t>报价分采用低价优先法计算，满足</w:t>
            </w:r>
            <w:r>
              <w:rPr>
                <w:rFonts w:hint="eastAsia" w:hAnsi="宋体" w:cs="宋体"/>
                <w:bCs/>
                <w:color w:val="0D0D0D"/>
                <w:sz w:val="21"/>
                <w:highlight w:val="none"/>
                <w:lang w:val="en-US" w:eastAsia="zh-CN"/>
              </w:rPr>
              <w:t>采购</w:t>
            </w:r>
            <w:r>
              <w:rPr>
                <w:rFonts w:hint="eastAsia" w:hAnsi="宋体" w:cs="宋体"/>
                <w:bCs/>
                <w:color w:val="0D0D0D"/>
                <w:sz w:val="21"/>
                <w:highlight w:val="none"/>
              </w:rPr>
              <w:t>文件要求情况下，以</w:t>
            </w:r>
            <w:r>
              <w:rPr>
                <w:rFonts w:hint="eastAsia" w:hAnsi="宋体" w:cs="宋体"/>
                <w:bCs/>
                <w:color w:val="0D0D0D"/>
                <w:sz w:val="21"/>
                <w:highlight w:val="none"/>
                <w:lang w:eastAsia="zh-CN"/>
              </w:rPr>
              <w:t>最低报价为</w:t>
            </w:r>
            <w:r>
              <w:rPr>
                <w:rFonts w:hint="eastAsia" w:hAnsi="宋体" w:cs="宋体"/>
                <w:bCs/>
                <w:color w:val="0D0D0D"/>
                <w:sz w:val="21"/>
                <w:highlight w:val="none"/>
              </w:rPr>
              <w:t>基准</w:t>
            </w:r>
            <w:r>
              <w:rPr>
                <w:rFonts w:hint="eastAsia" w:hAnsi="宋体" w:cs="宋体"/>
                <w:bCs/>
                <w:color w:val="0D0D0D"/>
                <w:sz w:val="21"/>
                <w:highlight w:val="none"/>
                <w:lang w:eastAsia="zh-CN"/>
              </w:rPr>
              <w:t>，其报价分为满分</w:t>
            </w:r>
            <w:r>
              <w:rPr>
                <w:rFonts w:hint="eastAsia" w:hAnsi="宋体" w:cs="宋体"/>
                <w:bCs/>
                <w:color w:val="0D0D0D"/>
                <w:sz w:val="21"/>
                <w:highlight w:val="none"/>
              </w:rPr>
              <w:t>。</w:t>
            </w:r>
            <w:r>
              <w:rPr>
                <w:rFonts w:hint="eastAsia" w:hAnsi="宋体" w:cs="宋体"/>
                <w:bCs/>
                <w:color w:val="0D0D0D"/>
                <w:sz w:val="21"/>
                <w:highlight w:val="none"/>
                <w:lang w:eastAsia="zh-CN"/>
              </w:rPr>
              <w:t>其他供应商的报价分统一按照下列公式计算：报价得分</w:t>
            </w:r>
            <w:r>
              <w:rPr>
                <w:rFonts w:hint="eastAsia" w:hAnsi="宋体" w:cs="宋体"/>
                <w:bCs/>
                <w:color w:val="0D0D0D"/>
                <w:sz w:val="21"/>
                <w:highlight w:val="none"/>
                <w:lang w:val="en-US" w:eastAsia="zh-CN"/>
              </w:rPr>
              <w:t>=（基准价/报价）*10分。（四舍五入，保留小数点后两位）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72" w:type="dxa"/>
            <w:vMerge w:val="restart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cs="宋体"/>
                <w:b/>
                <w:color w:val="0D0D0D"/>
                <w:szCs w:val="21"/>
              </w:rPr>
            </w:pPr>
            <w:r>
              <w:rPr>
                <w:rFonts w:hint="eastAsia" w:ascii="宋体" w:hAnsi="宋体" w:cs="宋体"/>
                <w:b/>
                <w:color w:val="0D0D0D"/>
                <w:szCs w:val="21"/>
              </w:rPr>
              <w:t>2</w:t>
            </w:r>
          </w:p>
        </w:tc>
        <w:tc>
          <w:tcPr>
            <w:tcW w:w="1003" w:type="dxa"/>
            <w:vMerge w:val="restart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cs="宋体"/>
                <w:b/>
                <w:color w:val="0D0D0D"/>
                <w:szCs w:val="21"/>
              </w:rPr>
            </w:pPr>
            <w:r>
              <w:rPr>
                <w:rFonts w:hint="eastAsia" w:ascii="宋体" w:hAnsi="宋体" w:cs="宋体"/>
                <w:b/>
                <w:color w:val="0D0D0D"/>
                <w:szCs w:val="21"/>
              </w:rPr>
              <w:t>服务技术水平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cs="宋体"/>
                <w:b/>
                <w:color w:val="0D0D0D"/>
                <w:szCs w:val="21"/>
              </w:rPr>
            </w:pPr>
            <w:r>
              <w:rPr>
                <w:rFonts w:hint="eastAsia" w:ascii="宋体" w:hAnsi="宋体" w:cs="宋体"/>
                <w:b/>
                <w:color w:val="0D0D0D"/>
                <w:szCs w:val="21"/>
              </w:rPr>
              <w:t>57分</w:t>
            </w:r>
          </w:p>
        </w:tc>
        <w:tc>
          <w:tcPr>
            <w:tcW w:w="1918" w:type="dxa"/>
            <w:vAlign w:val="center"/>
          </w:tcPr>
          <w:p>
            <w:pPr>
              <w:pStyle w:val="4"/>
              <w:spacing w:line="400" w:lineRule="exact"/>
              <w:rPr>
                <w:rFonts w:hAnsi="宋体" w:cs="宋体"/>
                <w:bCs/>
                <w:color w:val="0D0D0D"/>
                <w:sz w:val="21"/>
              </w:rPr>
            </w:pPr>
            <w:r>
              <w:rPr>
                <w:rFonts w:hint="eastAsia" w:hAnsi="宋体" w:cs="宋体"/>
                <w:color w:val="0D0D0D"/>
                <w:sz w:val="21"/>
                <w:lang w:val="en-US" w:eastAsia="zh-CN"/>
              </w:rPr>
              <w:t>1.</w:t>
            </w:r>
            <w:r>
              <w:rPr>
                <w:rFonts w:hint="eastAsia" w:hAnsi="宋体" w:cs="宋体"/>
                <w:color w:val="0D0D0D"/>
                <w:sz w:val="21"/>
              </w:rPr>
              <w:t>规章制度分（满分15分）</w:t>
            </w:r>
          </w:p>
        </w:tc>
        <w:tc>
          <w:tcPr>
            <w:tcW w:w="5350" w:type="dxa"/>
            <w:vAlign w:val="center"/>
          </w:tcPr>
          <w:p>
            <w:pPr>
              <w:pStyle w:val="4"/>
              <w:spacing w:line="400" w:lineRule="exact"/>
              <w:ind w:firstLine="315" w:firstLineChars="150"/>
              <w:rPr>
                <w:rFonts w:hAnsi="宋体" w:cs="宋体"/>
                <w:color w:val="0D0D0D"/>
                <w:sz w:val="21"/>
              </w:rPr>
            </w:pPr>
            <w:r>
              <w:rPr>
                <w:rFonts w:hint="eastAsia" w:hAnsi="宋体" w:cs="宋体"/>
                <w:color w:val="0D0D0D"/>
                <w:sz w:val="21"/>
              </w:rPr>
              <w:t>评审小组根据供应商提供的规章制度（</w:t>
            </w:r>
            <w:r>
              <w:rPr>
                <w:rFonts w:hint="eastAsia" w:hAnsi="宋体" w:cs="宋体"/>
                <w:color w:val="0D0D0D"/>
                <w:sz w:val="21"/>
                <w:lang w:val="en-US" w:eastAsia="zh-CN"/>
              </w:rPr>
              <w:t>包括</w:t>
            </w:r>
            <w:r>
              <w:rPr>
                <w:rFonts w:hint="eastAsia" w:hAnsi="宋体" w:cs="宋体"/>
                <w:color w:val="0D0D0D"/>
                <w:sz w:val="21"/>
              </w:rPr>
              <w:t>岗位职责、岗位责任制、人员考勤和录用制度、派遣劳动合同规范性、员工培训学习制度、突发事件应急预案等）进行评分。</w:t>
            </w:r>
          </w:p>
          <w:p>
            <w:pPr>
              <w:pStyle w:val="4"/>
              <w:spacing w:line="400" w:lineRule="exact"/>
              <w:ind w:firstLine="315" w:firstLineChars="150"/>
              <w:rPr>
                <w:rFonts w:hAnsi="宋体" w:cs="宋体"/>
                <w:color w:val="0D0D0D"/>
                <w:sz w:val="21"/>
              </w:rPr>
            </w:pPr>
            <w:r>
              <w:rPr>
                <w:rFonts w:hint="eastAsia" w:hAnsi="宋体" w:cs="宋体"/>
                <w:color w:val="0D0D0D"/>
                <w:sz w:val="21"/>
              </w:rPr>
              <w:t>一档（5分）：</w:t>
            </w:r>
            <w:r>
              <w:rPr>
                <w:rFonts w:hint="eastAsia" w:hAnsi="宋体" w:cs="宋体"/>
                <w:color w:val="0D0D0D"/>
                <w:sz w:val="21"/>
                <w:lang w:val="en-US" w:eastAsia="zh-CN"/>
              </w:rPr>
              <w:t>制度不够健全</w:t>
            </w:r>
            <w:r>
              <w:rPr>
                <w:rFonts w:hint="eastAsia" w:hAnsi="宋体" w:cs="宋体"/>
                <w:color w:val="0D0D0D"/>
                <w:sz w:val="21"/>
              </w:rPr>
              <w:t>，</w:t>
            </w:r>
            <w:r>
              <w:rPr>
                <w:rFonts w:hint="eastAsia" w:hAnsi="宋体" w:cs="宋体"/>
                <w:color w:val="0D0D0D"/>
                <w:sz w:val="21"/>
                <w:lang w:val="en-US" w:eastAsia="zh-CN"/>
              </w:rPr>
              <w:t>未完全包括上述制度内容，</w:t>
            </w:r>
            <w:r>
              <w:rPr>
                <w:rFonts w:hint="eastAsia" w:hAnsi="宋体" w:cs="宋体"/>
                <w:color w:val="0D0D0D"/>
                <w:sz w:val="21"/>
              </w:rPr>
              <w:t>规章制度思路不清晰，措施不具体。</w:t>
            </w:r>
          </w:p>
          <w:p>
            <w:pPr>
              <w:pStyle w:val="4"/>
              <w:spacing w:line="400" w:lineRule="exact"/>
              <w:ind w:firstLine="315" w:firstLineChars="150"/>
              <w:rPr>
                <w:rFonts w:hAnsi="宋体" w:cs="宋体"/>
                <w:color w:val="0D0D0D"/>
                <w:sz w:val="21"/>
              </w:rPr>
            </w:pPr>
            <w:r>
              <w:rPr>
                <w:rFonts w:hint="eastAsia" w:hAnsi="宋体" w:cs="宋体"/>
                <w:color w:val="0D0D0D"/>
                <w:sz w:val="21"/>
              </w:rPr>
              <w:t>二档（10分）：</w:t>
            </w:r>
            <w:r>
              <w:rPr>
                <w:rFonts w:hint="eastAsia" w:hAnsi="宋体" w:cs="宋体"/>
                <w:color w:val="0D0D0D"/>
                <w:sz w:val="21"/>
                <w:lang w:val="en-US" w:eastAsia="zh-CN"/>
              </w:rPr>
              <w:t>制度健全</w:t>
            </w:r>
            <w:r>
              <w:rPr>
                <w:rFonts w:hint="eastAsia" w:hAnsi="宋体" w:cs="宋体"/>
                <w:color w:val="0D0D0D"/>
                <w:sz w:val="21"/>
              </w:rPr>
              <w:t>，</w:t>
            </w:r>
            <w:r>
              <w:rPr>
                <w:rFonts w:hint="eastAsia" w:hAnsi="宋体" w:cs="宋体"/>
                <w:color w:val="0D0D0D"/>
                <w:sz w:val="21"/>
                <w:lang w:val="en-US" w:eastAsia="zh-CN"/>
              </w:rPr>
              <w:t>包括上述制度内容，</w:t>
            </w:r>
            <w:r>
              <w:rPr>
                <w:rFonts w:hint="eastAsia" w:hAnsi="宋体" w:cs="宋体"/>
                <w:color w:val="0D0D0D"/>
                <w:sz w:val="21"/>
              </w:rPr>
              <w:t xml:space="preserve">规章制度表达清晰、完整，符合规范要求。                                                      </w:t>
            </w:r>
          </w:p>
          <w:p>
            <w:pPr>
              <w:pStyle w:val="4"/>
              <w:spacing w:line="400" w:lineRule="exact"/>
              <w:ind w:firstLine="315" w:firstLineChars="150"/>
              <w:rPr>
                <w:rFonts w:hAnsi="宋体" w:cs="宋体"/>
                <w:bCs/>
                <w:color w:val="0D0D0D"/>
                <w:sz w:val="21"/>
              </w:rPr>
            </w:pPr>
            <w:r>
              <w:rPr>
                <w:rFonts w:hint="eastAsia" w:hAnsi="宋体" w:cs="宋体"/>
                <w:color w:val="0D0D0D"/>
                <w:sz w:val="21"/>
              </w:rPr>
              <w:t>三档（15分）：</w:t>
            </w:r>
            <w:r>
              <w:rPr>
                <w:rFonts w:hint="eastAsia" w:hAnsi="宋体" w:cs="宋体"/>
                <w:color w:val="0D0D0D"/>
                <w:sz w:val="21"/>
                <w:lang w:val="en-US" w:eastAsia="zh-CN"/>
              </w:rPr>
              <w:t>制度健全</w:t>
            </w:r>
            <w:r>
              <w:rPr>
                <w:rFonts w:hint="eastAsia" w:hAnsi="宋体" w:cs="宋体"/>
                <w:color w:val="0D0D0D"/>
                <w:sz w:val="21"/>
              </w:rPr>
              <w:t>，</w:t>
            </w:r>
            <w:r>
              <w:rPr>
                <w:rFonts w:hint="eastAsia" w:hAnsi="宋体" w:cs="宋体"/>
                <w:color w:val="0D0D0D"/>
                <w:sz w:val="21"/>
                <w:lang w:val="en-US" w:eastAsia="zh-CN"/>
              </w:rPr>
              <w:t>包括上述制度内容，</w:t>
            </w:r>
            <w:r>
              <w:rPr>
                <w:rFonts w:hint="eastAsia" w:hAnsi="宋体" w:cs="宋体"/>
                <w:color w:val="0D0D0D"/>
                <w:sz w:val="21"/>
              </w:rPr>
              <w:t xml:space="preserve">总体规章制度表述清晰、严瑾、完整，制度先进、有效、成熟且依据项目具体情况采取有针对性的规章制度，符合规范要求，可行性强。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72" w:type="dxa"/>
            <w:vMerge w:val="continue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cs="宋体"/>
                <w:b/>
                <w:color w:val="0D0D0D"/>
                <w:szCs w:val="21"/>
              </w:rPr>
            </w:pPr>
          </w:p>
        </w:tc>
        <w:tc>
          <w:tcPr>
            <w:tcW w:w="1003" w:type="dxa"/>
            <w:vMerge w:val="continue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cs="宋体"/>
                <w:b/>
                <w:color w:val="0D0D0D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cs="宋体"/>
                <w:b/>
                <w:color w:val="0D0D0D"/>
                <w:szCs w:val="21"/>
              </w:rPr>
            </w:pPr>
          </w:p>
        </w:tc>
        <w:tc>
          <w:tcPr>
            <w:tcW w:w="1918" w:type="dxa"/>
            <w:vAlign w:val="center"/>
          </w:tcPr>
          <w:p>
            <w:pPr>
              <w:pStyle w:val="4"/>
              <w:spacing w:line="400" w:lineRule="exact"/>
              <w:rPr>
                <w:rFonts w:hAnsi="宋体" w:cs="宋体"/>
                <w:bCs/>
                <w:color w:val="0D0D0D"/>
                <w:sz w:val="21"/>
              </w:rPr>
            </w:pPr>
            <w:r>
              <w:rPr>
                <w:rFonts w:hint="eastAsia" w:hAnsi="宋体" w:cs="宋体"/>
                <w:color w:val="0D0D0D"/>
                <w:sz w:val="21"/>
                <w:lang w:val="en-US" w:eastAsia="zh-CN"/>
              </w:rPr>
              <w:t>2.</w:t>
            </w:r>
            <w:r>
              <w:rPr>
                <w:rFonts w:hint="eastAsia" w:hAnsi="宋体" w:cs="宋体"/>
                <w:color w:val="0D0D0D"/>
                <w:sz w:val="21"/>
              </w:rPr>
              <w:t>劳务派遣服务方案分（满分20分）</w:t>
            </w:r>
          </w:p>
        </w:tc>
        <w:tc>
          <w:tcPr>
            <w:tcW w:w="5350" w:type="dxa"/>
            <w:vAlign w:val="center"/>
          </w:tcPr>
          <w:p>
            <w:pPr>
              <w:tabs>
                <w:tab w:val="left" w:pos="7440"/>
              </w:tabs>
              <w:spacing w:line="400" w:lineRule="exact"/>
              <w:ind w:firstLine="420" w:firstLineChars="200"/>
              <w:rPr>
                <w:rFonts w:ascii="宋体" w:hAnsi="宋体" w:cs="宋体"/>
                <w:color w:val="0D0D0D"/>
                <w:szCs w:val="21"/>
              </w:rPr>
            </w:pPr>
            <w:r>
              <w:rPr>
                <w:rFonts w:hint="eastAsia" w:ascii="宋体" w:hAnsi="宋体" w:cs="宋体"/>
                <w:color w:val="0D0D0D"/>
                <w:szCs w:val="21"/>
              </w:rPr>
              <w:t xml:space="preserve">一档（6分）：提供有服务方案，方案符合采购文件要求；   </w:t>
            </w:r>
          </w:p>
          <w:p>
            <w:pPr>
              <w:tabs>
                <w:tab w:val="left" w:pos="7440"/>
              </w:tabs>
              <w:spacing w:line="400" w:lineRule="exact"/>
              <w:ind w:firstLine="420" w:firstLineChars="200"/>
              <w:rPr>
                <w:rFonts w:ascii="宋体" w:hAnsi="宋体" w:cs="宋体"/>
                <w:color w:val="0D0D0D"/>
                <w:szCs w:val="21"/>
              </w:rPr>
            </w:pPr>
            <w:r>
              <w:rPr>
                <w:rFonts w:hint="eastAsia" w:ascii="宋体" w:hAnsi="宋体" w:cs="宋体"/>
                <w:color w:val="0D0D0D"/>
                <w:szCs w:val="21"/>
              </w:rPr>
              <w:t>二档（13分）：提供有服务方案，方案符合采购文件要求，各方面内容齐全，有劳务派遣服务方案、项目作业方案、质量控制方案；</w:t>
            </w:r>
          </w:p>
          <w:p>
            <w:pPr>
              <w:tabs>
                <w:tab w:val="left" w:pos="7440"/>
              </w:tabs>
              <w:spacing w:line="400" w:lineRule="exact"/>
              <w:ind w:firstLine="420" w:firstLineChars="200"/>
              <w:rPr>
                <w:rFonts w:ascii="宋体" w:hAnsi="宋体" w:cs="宋体"/>
                <w:bCs/>
                <w:color w:val="0D0D0D"/>
                <w:szCs w:val="21"/>
              </w:rPr>
            </w:pPr>
            <w:r>
              <w:rPr>
                <w:rFonts w:hint="eastAsia" w:ascii="宋体" w:hAnsi="宋体" w:cs="宋体"/>
                <w:color w:val="0D0D0D"/>
                <w:szCs w:val="21"/>
              </w:rPr>
              <w:t>三档（20分）：提供有服务方案，方案符合并优于采购文件要求，各方面内容齐全，有劳务派遣服务方案、项目作业方案、质量控制</w:t>
            </w:r>
            <w:r>
              <w:rPr>
                <w:rFonts w:hint="eastAsia" w:ascii="宋体" w:hAnsi="宋体" w:cs="宋体"/>
                <w:color w:val="0D0D0D"/>
                <w:szCs w:val="21"/>
                <w:lang w:val="en-US" w:eastAsia="zh-CN"/>
              </w:rPr>
              <w:t>方案</w:t>
            </w:r>
            <w:r>
              <w:rPr>
                <w:rFonts w:hint="eastAsia" w:ascii="宋体" w:hAnsi="宋体" w:cs="宋体"/>
                <w:color w:val="0D0D0D"/>
                <w:szCs w:val="21"/>
              </w:rPr>
              <w:t>、劳务人员配置方案。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72" w:type="dxa"/>
            <w:vMerge w:val="continue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cs="宋体"/>
                <w:b/>
                <w:color w:val="0D0D0D"/>
                <w:szCs w:val="21"/>
              </w:rPr>
            </w:pPr>
          </w:p>
        </w:tc>
        <w:tc>
          <w:tcPr>
            <w:tcW w:w="1003" w:type="dxa"/>
            <w:vMerge w:val="continue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cs="宋体"/>
                <w:b/>
                <w:color w:val="0D0D0D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cs="宋体"/>
                <w:b/>
                <w:color w:val="0D0D0D"/>
                <w:szCs w:val="21"/>
              </w:rPr>
            </w:pPr>
          </w:p>
        </w:tc>
        <w:tc>
          <w:tcPr>
            <w:tcW w:w="1918" w:type="dxa"/>
            <w:vAlign w:val="center"/>
          </w:tcPr>
          <w:p>
            <w:pPr>
              <w:pStyle w:val="4"/>
              <w:spacing w:line="400" w:lineRule="exact"/>
              <w:rPr>
                <w:rFonts w:hAnsi="宋体" w:cs="宋体"/>
                <w:bCs/>
                <w:color w:val="0D0D0D"/>
                <w:sz w:val="21"/>
              </w:rPr>
            </w:pPr>
            <w:r>
              <w:rPr>
                <w:rFonts w:hint="eastAsia" w:hAnsi="宋体" w:cs="宋体"/>
                <w:color w:val="0D0D0D"/>
                <w:sz w:val="21"/>
                <w:lang w:val="en-US" w:eastAsia="zh-CN"/>
              </w:rPr>
              <w:t>3.</w:t>
            </w:r>
            <w:r>
              <w:rPr>
                <w:rFonts w:hint="eastAsia" w:hAnsi="宋体" w:cs="宋体"/>
                <w:color w:val="0D0D0D"/>
                <w:sz w:val="21"/>
              </w:rPr>
              <w:t>派遣人员管理方案分（满分15分）</w:t>
            </w:r>
          </w:p>
        </w:tc>
        <w:tc>
          <w:tcPr>
            <w:tcW w:w="5350" w:type="dxa"/>
            <w:vAlign w:val="center"/>
          </w:tcPr>
          <w:p>
            <w:pPr>
              <w:spacing w:line="400" w:lineRule="exact"/>
              <w:ind w:firstLine="420" w:firstLineChars="200"/>
              <w:rPr>
                <w:rFonts w:hint="eastAsia" w:ascii="宋体" w:hAnsi="宋体" w:cs="宋体"/>
                <w:color w:val="0D0D0D"/>
                <w:szCs w:val="21"/>
              </w:rPr>
            </w:pPr>
            <w:r>
              <w:rPr>
                <w:rFonts w:hint="eastAsia" w:ascii="宋体" w:hAnsi="宋体" w:cs="宋体"/>
                <w:color w:val="0D0D0D"/>
                <w:szCs w:val="21"/>
              </w:rPr>
              <w:t>一档（5分）：列出了计划派遣劳务人员岗位设置；</w:t>
            </w:r>
          </w:p>
          <w:p>
            <w:pPr>
              <w:spacing w:line="400" w:lineRule="exact"/>
              <w:ind w:firstLine="420" w:firstLineChars="200"/>
              <w:rPr>
                <w:rFonts w:hint="eastAsia" w:ascii="宋体" w:hAnsi="宋体" w:cs="宋体"/>
                <w:color w:val="0D0D0D"/>
                <w:szCs w:val="21"/>
              </w:rPr>
            </w:pPr>
            <w:r>
              <w:rPr>
                <w:rFonts w:hint="eastAsia" w:ascii="宋体" w:hAnsi="宋体" w:cs="宋体"/>
                <w:color w:val="0D0D0D"/>
                <w:szCs w:val="21"/>
              </w:rPr>
              <w:t>二档（10分）：列出了计划派遣劳务人员岗位设置，有相应的劳务管理人员，劳务人员管理方案；</w:t>
            </w:r>
          </w:p>
          <w:p>
            <w:pPr>
              <w:spacing w:line="400" w:lineRule="exact"/>
              <w:rPr>
                <w:rFonts w:hint="eastAsia" w:ascii="宋体" w:hAnsi="宋体" w:cs="宋体"/>
                <w:color w:val="0D0D0D"/>
                <w:szCs w:val="21"/>
              </w:rPr>
            </w:pPr>
            <w:r>
              <w:rPr>
                <w:rFonts w:hint="eastAsia" w:ascii="宋体" w:hAnsi="宋体" w:cs="宋体"/>
                <w:color w:val="0D0D0D"/>
                <w:szCs w:val="21"/>
              </w:rPr>
              <w:t>三档（15分）：列出了计划派遣人员岗位设置，有相应的劳务管理人员，项目管理组织机构及人员职能清晰可控，劳务人员人员管理方案。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72" w:type="dxa"/>
            <w:vMerge w:val="continue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cs="宋体"/>
                <w:b/>
                <w:color w:val="0D0D0D"/>
                <w:szCs w:val="21"/>
              </w:rPr>
            </w:pPr>
          </w:p>
        </w:tc>
        <w:tc>
          <w:tcPr>
            <w:tcW w:w="1003" w:type="dxa"/>
            <w:vMerge w:val="continue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cs="宋体"/>
                <w:b/>
                <w:color w:val="0D0D0D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cs="宋体"/>
                <w:b/>
                <w:color w:val="0D0D0D"/>
                <w:szCs w:val="21"/>
              </w:rPr>
            </w:pPr>
          </w:p>
        </w:tc>
        <w:tc>
          <w:tcPr>
            <w:tcW w:w="1918" w:type="dxa"/>
            <w:vAlign w:val="center"/>
          </w:tcPr>
          <w:p>
            <w:pPr>
              <w:spacing w:line="400" w:lineRule="exact"/>
              <w:rPr>
                <w:rFonts w:ascii="宋体" w:hAnsi="宋体" w:cs="宋体"/>
                <w:bCs/>
                <w:color w:val="0D0D0D"/>
                <w:szCs w:val="21"/>
              </w:rPr>
            </w:pPr>
            <w:r>
              <w:rPr>
                <w:rFonts w:hint="eastAsia" w:ascii="宋体" w:hAnsi="宋体" w:cs="宋体"/>
                <w:color w:val="0D0D0D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color w:val="0D0D0D"/>
                <w:szCs w:val="21"/>
              </w:rPr>
              <w:t>应急措施分（满分7分）</w:t>
            </w:r>
          </w:p>
        </w:tc>
        <w:tc>
          <w:tcPr>
            <w:tcW w:w="5350" w:type="dxa"/>
            <w:vAlign w:val="center"/>
          </w:tcPr>
          <w:p>
            <w:pPr>
              <w:spacing w:line="400" w:lineRule="exact"/>
              <w:ind w:firstLine="420" w:firstLineChars="200"/>
              <w:rPr>
                <w:rFonts w:ascii="宋体" w:hAnsi="宋体" w:cs="宋体"/>
                <w:b/>
                <w:bCs/>
                <w:color w:val="0D0D0D"/>
                <w:szCs w:val="21"/>
              </w:rPr>
            </w:pPr>
            <w:r>
              <w:rPr>
                <w:rFonts w:hint="eastAsia" w:ascii="宋体" w:hAnsi="宋体" w:cs="宋体"/>
                <w:color w:val="0D0D0D"/>
                <w:szCs w:val="21"/>
              </w:rPr>
              <w:t>一档（2分）：服务承诺内容基本齐全，陈述简单，针对处理问题无具体响应时间；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 w:cs="宋体"/>
                <w:color w:val="0D0D0D"/>
                <w:szCs w:val="21"/>
              </w:rPr>
            </w:pPr>
            <w:r>
              <w:rPr>
                <w:rFonts w:hint="eastAsia" w:ascii="宋体" w:hAnsi="宋体" w:cs="宋体"/>
                <w:color w:val="0D0D0D"/>
                <w:szCs w:val="21"/>
              </w:rPr>
              <w:t>二档（4分）：服务承诺内容齐全，陈述较详细，操作性一般的，针对处理问题响应及时，并承诺在6小时内到达现场处理；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 w:cs="宋体"/>
                <w:bCs/>
                <w:color w:val="0D0D0D"/>
                <w:szCs w:val="21"/>
              </w:rPr>
            </w:pPr>
            <w:r>
              <w:rPr>
                <w:rFonts w:hint="eastAsia" w:ascii="宋体" w:hAnsi="宋体" w:cs="宋体"/>
                <w:color w:val="0D0D0D"/>
                <w:szCs w:val="21"/>
              </w:rPr>
              <w:t>三档（7分）：服务承诺内容齐全，陈述详细，承诺具体明确，操作性强且科学合理，针对处理问题响应及时，并承诺在3小时内到达现场处理。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72" w:type="dxa"/>
            <w:vMerge w:val="restart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cs="宋体"/>
                <w:b/>
                <w:color w:val="0D0D0D"/>
                <w:szCs w:val="21"/>
              </w:rPr>
            </w:pPr>
            <w:r>
              <w:rPr>
                <w:rFonts w:hint="eastAsia" w:ascii="宋体" w:hAnsi="宋体" w:cs="宋体"/>
                <w:b/>
                <w:color w:val="0D0D0D"/>
                <w:szCs w:val="21"/>
              </w:rPr>
              <w:t>3</w:t>
            </w:r>
          </w:p>
        </w:tc>
        <w:tc>
          <w:tcPr>
            <w:tcW w:w="1003" w:type="dxa"/>
            <w:vMerge w:val="restart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cs="宋体"/>
                <w:b/>
                <w:color w:val="0D0D0D"/>
                <w:szCs w:val="21"/>
              </w:rPr>
            </w:pPr>
            <w:r>
              <w:rPr>
                <w:rFonts w:hint="eastAsia" w:ascii="宋体" w:hAnsi="宋体" w:cs="宋体"/>
                <w:b/>
                <w:color w:val="0D0D0D"/>
                <w:szCs w:val="21"/>
              </w:rPr>
              <w:t>商务分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cs="宋体"/>
                <w:b/>
                <w:color w:val="0D0D0D"/>
                <w:szCs w:val="21"/>
              </w:rPr>
            </w:pPr>
            <w:r>
              <w:rPr>
                <w:rFonts w:hint="eastAsia" w:ascii="宋体" w:hAnsi="宋体" w:cs="宋体"/>
                <w:b/>
                <w:color w:val="0D0D0D"/>
                <w:szCs w:val="21"/>
              </w:rPr>
              <w:t>33分</w:t>
            </w:r>
          </w:p>
        </w:tc>
        <w:tc>
          <w:tcPr>
            <w:tcW w:w="7268" w:type="dxa"/>
            <w:gridSpan w:val="2"/>
            <w:vAlign w:val="center"/>
          </w:tcPr>
          <w:p>
            <w:pPr>
              <w:spacing w:line="400" w:lineRule="exact"/>
              <w:ind w:firstLine="420" w:firstLineChars="200"/>
              <w:rPr>
                <w:rFonts w:ascii="宋体" w:hAnsi="宋体" w:cs="宋体"/>
                <w:bCs/>
                <w:color w:val="0D0D0D"/>
                <w:szCs w:val="21"/>
              </w:rPr>
            </w:pPr>
            <w:r>
              <w:rPr>
                <w:rFonts w:hint="eastAsia" w:ascii="宋体" w:hAnsi="宋体" w:cs="宋体"/>
                <w:color w:val="0D0D0D"/>
                <w:szCs w:val="21"/>
                <w:lang w:val="en-US" w:eastAsia="zh-CN"/>
              </w:rPr>
              <w:t>2020年1月至今承接过同类项目的</w:t>
            </w:r>
            <w:r>
              <w:rPr>
                <w:rFonts w:hint="eastAsia" w:ascii="宋体" w:hAnsi="宋体" w:cs="宋体"/>
                <w:color w:val="0D0D0D"/>
                <w:szCs w:val="21"/>
              </w:rPr>
              <w:t>（劳务外包项目或劳务派遣项目），每个业绩得2分，满分14分。所有业绩须提供有效合同或中标通知书证明材料复印件</w:t>
            </w:r>
            <w:r>
              <w:rPr>
                <w:rFonts w:hint="eastAsia" w:ascii="宋体" w:hAnsi="宋体" w:cs="宋体"/>
                <w:color w:val="0D0D0D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D0D0D"/>
                <w:szCs w:val="21"/>
                <w:lang w:val="en-US" w:eastAsia="zh-CN"/>
              </w:rPr>
              <w:t>否则不得分</w:t>
            </w:r>
            <w:r>
              <w:rPr>
                <w:rFonts w:hint="eastAsia" w:ascii="宋体" w:hAnsi="宋体" w:cs="宋体"/>
                <w:color w:val="0D0D0D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72" w:type="dxa"/>
            <w:vMerge w:val="continue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cs="宋体"/>
                <w:b/>
                <w:color w:val="0D0D0D"/>
                <w:szCs w:val="21"/>
              </w:rPr>
            </w:pPr>
          </w:p>
        </w:tc>
        <w:tc>
          <w:tcPr>
            <w:tcW w:w="1003" w:type="dxa"/>
            <w:vMerge w:val="continue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cs="宋体"/>
                <w:b/>
                <w:color w:val="0D0D0D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cs="宋体"/>
                <w:b/>
                <w:color w:val="0D0D0D"/>
                <w:szCs w:val="21"/>
              </w:rPr>
            </w:pPr>
          </w:p>
        </w:tc>
        <w:tc>
          <w:tcPr>
            <w:tcW w:w="7268" w:type="dxa"/>
            <w:gridSpan w:val="2"/>
            <w:vAlign w:val="center"/>
          </w:tcPr>
          <w:p>
            <w:pPr>
              <w:spacing w:line="400" w:lineRule="exact"/>
              <w:ind w:firstLine="420" w:firstLineChars="200"/>
              <w:rPr>
                <w:rFonts w:hint="eastAsia" w:ascii="宋体" w:hAnsi="宋体" w:cs="宋体"/>
                <w:bCs w:val="0"/>
                <w:color w:val="0D0D0D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供应商拟投入的项目管理人员中有3级人力资源管理师或3级劳动关系协调员证书，每证得0.5分；有中级经济师职称、国家2级人力资源管理师或2级劳动关系协调员，每证得1分，满分3分。【响应文件中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需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提供人员职称证书复印件以及拟投入管理人员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的劳动合同</w:t>
            </w:r>
            <w:r>
              <w:rPr>
                <w:rFonts w:hint="eastAsia" w:ascii="宋体" w:hAnsi="宋体" w:cs="宋体"/>
                <w:color w:val="0D0D0D"/>
                <w:szCs w:val="21"/>
              </w:rPr>
              <w:t>复印件为准</w:t>
            </w:r>
            <w:r>
              <w:rPr>
                <w:rFonts w:hint="eastAsia" w:ascii="宋体" w:hAnsi="宋体" w:cs="宋体"/>
                <w:color w:val="0D0D0D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D0D0D"/>
                <w:szCs w:val="21"/>
                <w:lang w:val="en-US" w:eastAsia="zh-CN"/>
              </w:rPr>
              <w:t>否则不得分</w:t>
            </w:r>
            <w:r>
              <w:rPr>
                <w:rFonts w:hint="eastAsia" w:ascii="宋体" w:hAnsi="宋体" w:cs="宋体"/>
                <w:color w:val="0D0D0D"/>
                <w:szCs w:val="21"/>
              </w:rPr>
              <w:t>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572" w:type="dxa"/>
            <w:vMerge w:val="continue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cs="宋体"/>
                <w:b/>
                <w:color w:val="0D0D0D"/>
                <w:szCs w:val="21"/>
              </w:rPr>
            </w:pPr>
          </w:p>
        </w:tc>
        <w:tc>
          <w:tcPr>
            <w:tcW w:w="1003" w:type="dxa"/>
            <w:vMerge w:val="continue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cs="宋体"/>
                <w:b/>
                <w:color w:val="0D0D0D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cs="宋体"/>
                <w:b/>
                <w:color w:val="0D0D0D"/>
                <w:szCs w:val="21"/>
              </w:rPr>
            </w:pPr>
          </w:p>
        </w:tc>
        <w:tc>
          <w:tcPr>
            <w:tcW w:w="7268" w:type="dxa"/>
            <w:gridSpan w:val="2"/>
            <w:vAlign w:val="center"/>
          </w:tcPr>
          <w:p>
            <w:pPr>
              <w:pStyle w:val="4"/>
              <w:spacing w:line="420" w:lineRule="exact"/>
              <w:ind w:firstLine="420" w:firstLineChars="200"/>
              <w:jc w:val="left"/>
              <w:rPr>
                <w:rFonts w:hint="eastAsia" w:hAnsi="宋体" w:cs="宋体"/>
                <w:bCs w:val="0"/>
                <w:color w:val="0D0D0D"/>
                <w:kern w:val="2"/>
                <w:sz w:val="21"/>
                <w:highlight w:val="none"/>
              </w:rPr>
            </w:pPr>
            <w:r>
              <w:rPr>
                <w:rFonts w:hint="eastAsia" w:hAnsi="宋体" w:cs="宋体"/>
                <w:color w:val="0D0D0D"/>
                <w:kern w:val="2"/>
                <w:sz w:val="21"/>
                <w:highlight w:val="none"/>
              </w:rPr>
              <w:t>供应商获得市级涉及劳务派遣、劳动关系、人力资源、税务等相关服务荣誉的，每个得2分，获得区（省）级的每个得3分（满分为6分）。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572" w:type="dxa"/>
            <w:vMerge w:val="continue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cs="宋体"/>
                <w:b/>
                <w:color w:val="0D0D0D"/>
                <w:szCs w:val="21"/>
              </w:rPr>
            </w:pPr>
          </w:p>
        </w:tc>
        <w:tc>
          <w:tcPr>
            <w:tcW w:w="1003" w:type="dxa"/>
            <w:vMerge w:val="continue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cs="宋体"/>
                <w:b/>
                <w:color w:val="0D0D0D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cs="宋体"/>
                <w:b/>
                <w:color w:val="0D0D0D"/>
                <w:szCs w:val="21"/>
              </w:rPr>
            </w:pPr>
          </w:p>
        </w:tc>
        <w:tc>
          <w:tcPr>
            <w:tcW w:w="7268" w:type="dxa"/>
            <w:gridSpan w:val="2"/>
            <w:vAlign w:val="center"/>
          </w:tcPr>
          <w:p>
            <w:pPr>
              <w:spacing w:line="400" w:lineRule="exact"/>
              <w:ind w:firstLine="420" w:firstLineChars="200"/>
              <w:rPr>
                <w:rFonts w:hint="eastAsia" w:ascii="宋体" w:hAnsi="宋体" w:cs="宋体"/>
                <w:color w:val="0D0D0D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供应商具有专业的内部管理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体系</w:t>
            </w:r>
            <w:r>
              <w:rPr>
                <w:rFonts w:hint="eastAsia" w:ascii="宋体" w:hAnsi="宋体" w:cs="宋体"/>
                <w:color w:val="auto"/>
                <w:szCs w:val="21"/>
              </w:rPr>
              <w:t>，需同时具备完善的客户基础信息管理、客户协议管理、劳动合同管理、劳务人员工资结算、劳务人员社保结算、员工劳动合同管理等功能，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每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缺少以上任意一项功能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扣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分，</w:t>
            </w:r>
            <w:r>
              <w:rPr>
                <w:rFonts w:hint="eastAsia" w:ascii="宋体" w:hAnsi="宋体" w:cs="宋体"/>
                <w:color w:val="0D0D0D"/>
                <w:szCs w:val="21"/>
                <w:highlight w:val="none"/>
              </w:rPr>
              <w:t>此项满分6分。（需提供相关系统截图或证明材料加盖供应商公章）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5"/>
            <w:vAlign w:val="center"/>
          </w:tcPr>
          <w:p>
            <w:pPr>
              <w:pStyle w:val="4"/>
              <w:spacing w:line="360" w:lineRule="auto"/>
              <w:rPr>
                <w:rFonts w:hAnsi="宋体" w:cs="宋体"/>
                <w:bCs/>
                <w:color w:val="0D0D0D"/>
                <w:kern w:val="2"/>
                <w:sz w:val="21"/>
              </w:rPr>
            </w:pPr>
            <w:r>
              <w:rPr>
                <w:rFonts w:hint="eastAsia" w:hAnsi="宋体" w:cs="宋体"/>
                <w:b/>
                <w:bCs/>
                <w:color w:val="0D0D0D"/>
                <w:kern w:val="2"/>
                <w:sz w:val="21"/>
              </w:rPr>
              <w:t>总得分=1+2+3。</w:t>
            </w:r>
          </w:p>
        </w:tc>
      </w:tr>
    </w:tbl>
    <w:p/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iN2EzOTIwNTFkMWRjYjlhM2M2MjEwMTAzOTAyMTAifQ=="/>
  </w:docVars>
  <w:rsids>
    <w:rsidRoot w:val="17685A94"/>
    <w:rsid w:val="158749A2"/>
    <w:rsid w:val="16CC16DA"/>
    <w:rsid w:val="17685A94"/>
    <w:rsid w:val="2049436D"/>
    <w:rsid w:val="2ABA4F46"/>
    <w:rsid w:val="4991255F"/>
    <w:rsid w:val="5B223663"/>
    <w:rsid w:val="5D676390"/>
    <w:rsid w:val="614B0802"/>
    <w:rsid w:val="667E6E74"/>
    <w:rsid w:val="733102EE"/>
    <w:rsid w:val="7AF0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unhideWhenUsed/>
    <w:qFormat/>
    <w:uiPriority w:val="99"/>
    <w:pPr>
      <w:ind w:left="1400" w:leftChars="1400"/>
    </w:p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Plain Text"/>
    <w:basedOn w:val="1"/>
    <w:next w:val="2"/>
    <w:qFormat/>
    <w:uiPriority w:val="0"/>
    <w:rPr>
      <w:rFonts w:ascii="宋体" w:hAnsi="Courier New"/>
      <w:kern w:val="0"/>
      <w:sz w:val="20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广西环科院</Company>
  <Pages>3</Pages>
  <Words>1381</Words>
  <Characters>1408</Characters>
  <Lines>0</Lines>
  <Paragraphs>0</Paragraphs>
  <TotalTime>41</TotalTime>
  <ScaleCrop>false</ScaleCrop>
  <LinksUpToDate>false</LinksUpToDate>
  <CharactersWithSpaces>1466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2024-07-19T08:45:00Z</dcterms:created>
  <dc:creator>韦华瑜</dc:creator>
  <cp:lastModifiedBy>流年无觞</cp:lastModifiedBy>
  <dcterms:modified xsi:type="dcterms:W3CDTF">2024-07-29T07:53:15Z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89E1AB610575486FACC808E5628A3F30_12</vt:lpwstr>
  </property>
</Properties>
</file>