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04" w:leftChars="-200" w:hanging="16" w:hangingChars="5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附7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比选评审标准</w:t>
      </w:r>
    </w:p>
    <w:tbl>
      <w:tblPr>
        <w:tblStyle w:val="4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评分项及满分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一、价格分（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价格分(30分)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价格分计算公式:某供应商价格分 = 供应商最低评审报价（金额）/某供应商评审报价（金额）×（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填写价格分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）分。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二、活动策划方案分（40分）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根据活动策划方案的完整性、科学性、合理性、专业性、细致程度和清晰程度等进行打分。包括但不限于：流程设置、场地布置、应急保障、视频宣传等要素。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未提供或方案不合理的不得分；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一档：方案基本满足要求的得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二档：方案较为合理的得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11-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20分；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三档：方案详尽，内容丰富的得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21-30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四档：方案详尽，内容丰富、针对性专业强的得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31-40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三、后勤保障方案分（20分）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根据后勤保障方案的完整性、科学性、合理性、细致程度和清晰程度等进行打分。包括但不限于：通勤保障、电力保障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、通讯保障等要素。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未提供或方案不合理的不得分；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一档：方案基本满足要求的得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10分；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二档：方案较为合理的得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11-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15分； 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三档：方案详尽，内容丰富的得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val="en-US" w:eastAsia="zh-CN"/>
              </w:rPr>
              <w:t>16-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4"/>
                <w:szCs w:val="24"/>
                <w:highlight w:val="none"/>
                <w:lang w:val="en-US" w:eastAsia="zh-CN"/>
              </w:rPr>
              <w:t>四、业绩分（10分）</w:t>
            </w:r>
          </w:p>
        </w:tc>
        <w:tc>
          <w:tcPr>
            <w:tcW w:w="6311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1月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以来承接过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b w:val="0"/>
                <w:sz w:val="24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cs="Times New Roman"/>
                <w:b w:val="0"/>
                <w:sz w:val="24"/>
                <w:highlight w:val="none"/>
                <w:lang w:val="en-US" w:eastAsia="zh-CN"/>
              </w:rPr>
              <w:t>类似</w:t>
            </w:r>
            <w:r>
              <w:rPr>
                <w:rFonts w:hint="eastAsia" w:ascii="宋体" w:hAnsi="宋体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业绩的，每有一项得</w:t>
            </w:r>
            <w:r>
              <w:rPr>
                <w:rFonts w:hint="eastAsia" w:ascii="宋体" w:hAnsi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sz w:val="24"/>
                <w:szCs w:val="24"/>
                <w:highlight w:val="none"/>
                <w:lang w:val="en-US" w:eastAsia="zh-CN"/>
              </w:rPr>
              <w:t>分，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满分 10 分。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类似项目业绩要求：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  1. 类似项目业绩指“承办过类似等活动或经评审小组认可的其他案例”。</w:t>
            </w:r>
          </w:p>
          <w:p>
            <w:pPr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Times New Roman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须提供项目清单（清单应包含委托人名称、项目名称、合同时间、合同金额等信息），否则不予计分。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 xml:space="preserve">    3. 提供2020年至今与用户签订的同类项目的合同复印件关键页（封面、标的、盖章页等）或正式发文（红头文件），否则不予计分。</w:t>
            </w:r>
          </w:p>
        </w:tc>
      </w:tr>
    </w:tbl>
    <w:p>
      <w:pPr>
        <w:rPr>
          <w:strike/>
          <w:dstrike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DEzYjMxMTkwN2VlZGEwY2I1OWQyZjdmOWE1NDEifQ=="/>
  </w:docVars>
  <w:rsids>
    <w:rsidRoot w:val="00000000"/>
    <w:rsid w:val="24FA7C74"/>
    <w:rsid w:val="29F951D3"/>
    <w:rsid w:val="2A7444C6"/>
    <w:rsid w:val="2D4E1B5C"/>
    <w:rsid w:val="5CBE7B3B"/>
    <w:rsid w:val="753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2024-08-19T08:16:00Z</dcterms:created>
  <dc:creator>Administrator</dc:creator>
  <cp:lastModifiedBy>樹楓</cp:lastModifiedBy>
  <dcterms:modified xsi:type="dcterms:W3CDTF">2024-08-28T00:39:14Z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CFA64DA4377044F4A0EE7A4B9B073AD3_12</vt:lpwstr>
  </property>
</Properties>
</file>