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  <w:lang w:val="en-US" w:eastAsia="zh-CN"/>
        </w:rPr>
        <w:t>采购需求</w:t>
      </w:r>
    </w:p>
    <w:tbl>
      <w:tblPr>
        <w:tblStyle w:val="4"/>
        <w:tblW w:w="8955" w:type="dxa"/>
        <w:jc w:val="center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652"/>
        <w:gridCol w:w="7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5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一、项目要求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71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/>
              </w:rPr>
              <w:t>需求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4" w:hRule="atLeast"/>
          <w:jc w:val="center"/>
        </w:trPr>
        <w:tc>
          <w:tcPr>
            <w:tcW w:w="1178" w:type="dxa"/>
            <w:vAlign w:val="center"/>
          </w:tcPr>
          <w:p>
            <w:pPr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北部湾海洋生态环境综合监测基地建设前期咨询报告编制服务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1项</w:t>
            </w:r>
          </w:p>
        </w:tc>
        <w:tc>
          <w:tcPr>
            <w:tcW w:w="712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2" w:firstLineChars="200"/>
              <w:outlineLvl w:val="9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一、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项目概况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2" w:firstLineChars="200"/>
              <w:outlineLvl w:val="9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（一）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项目名称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0" w:firstLineChars="200"/>
              <w:textAlignment w:val="auto"/>
              <w:outlineLvl w:val="9"/>
              <w:rPr>
                <w:rFonts w:hint="eastAsia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广西海洋生态环境应急监测船建造工程前期咨询报告编制服务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22" w:firstLineChars="200"/>
              <w:textAlignment w:val="auto"/>
              <w:outlineLvl w:val="9"/>
              <w:rPr>
                <w:rFonts w:hint="eastAsia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（二）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项目建设规模与内容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广西海洋生态环境应急监测船建造工程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内容包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含建造一艘船体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长约</w:t>
            </w:r>
            <w:r>
              <w:rPr>
                <w:rFonts w:hint="eastAsia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米，型宽约</w:t>
            </w:r>
            <w:r>
              <w:rPr>
                <w:rFonts w:hint="eastAsia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10-11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米，型深约</w:t>
            </w:r>
            <w:r>
              <w:rPr>
                <w:rFonts w:hint="eastAsia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4-5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米，吃水约</w:t>
            </w:r>
            <w:r>
              <w:rPr>
                <w:rFonts w:hint="eastAsia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米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的海洋生态应急监测船建设项目的前期咨询报告编制服务。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（详见项目可行性研究需求书）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2"/>
              <w:outlineLvl w:val="9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0" w:firstLineChars="200"/>
              <w:outlineLvl w:val="9"/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根据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单位需求完成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《广西海洋生态环境应急监测船建造工程项目建议书》、《广西海洋生态环境应急监测船建造工程项目可行性研究报告》的编写工作</w:t>
            </w:r>
            <w:r>
              <w:rPr>
                <w:rFonts w:hint="eastAsia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0" w:firstLineChars="200"/>
              <w:outlineLvl w:val="9"/>
              <w:rPr>
                <w:rFonts w:hint="default" w:eastAsia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中标单位需结合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以上各个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概况，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依据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现行国家相关标准、行业标准、地方标准或者其他标准要求编制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各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的建议书、可行性研究报告，并在具备报送条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件时，协助采购方向自治区发改委报送项目建议书、可行性研究报告和开展第三方评审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outlineLvl w:val="9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提交的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成果材料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630" w:firstLineChars="300"/>
              <w:textAlignment w:val="auto"/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（1）提交《广西海洋生态环境应急监测船建造工程项目建议书》。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630" w:firstLineChars="300"/>
              <w:textAlignment w:val="auto"/>
              <w:rPr>
                <w:rFonts w:hint="default" w:ascii="Calibri" w:hAnsi="Calibri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（2）提交《广西海洋生态环境应急监测船建造工程项目可行性研究报告》。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0" w:leftChars="0" w:firstLine="422" w:firstLineChars="0"/>
              <w:outlineLvl w:val="9"/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工作要求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2"/>
              <w:outlineLvl w:val="9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编制标准：现行国家相关标准、行业标准、地方标准或者其他标准、规范。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2"/>
              <w:outlineLvl w:val="9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</w:rPr>
              <w:t>提交项目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服务成果材料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时间：自签订合同后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日内（日历日）。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left="0" w:leftChars="0" w:firstLine="422" w:firstLineChars="0"/>
              <w:outlineLvl w:val="9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  <w:t>其他要求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80" w:lineRule="exact"/>
              <w:ind w:firstLine="420" w:firstLineChars="200"/>
              <w:outlineLvl w:val="9"/>
              <w:rPr>
                <w:rFonts w:hint="eastAsia"/>
                <w:b/>
                <w:bCs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本采购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项目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的建议书和可行性研究报告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获得自治区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发展改革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委批复同意前，如自治区发改委或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采购单</w:t>
            </w:r>
            <w:bookmarkStart w:id="0" w:name="_GoBack"/>
            <w:bookmarkEnd w:id="0"/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位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需要对相关内容进行修改，中标单位须</w:t>
            </w:r>
            <w:r>
              <w:rPr>
                <w:rFonts w:hint="eastAsia"/>
                <w:bCs/>
                <w:color w:val="auto"/>
                <w:szCs w:val="21"/>
                <w:highlight w:val="none"/>
                <w:lang w:val="en-US" w:eastAsia="zh-CN"/>
              </w:rPr>
              <w:t>协助</w:t>
            </w:r>
            <w:r>
              <w:rPr>
                <w:rFonts w:hint="eastAsia"/>
                <w:bCs/>
                <w:color w:val="auto"/>
                <w:szCs w:val="21"/>
                <w:highlight w:val="none"/>
              </w:rPr>
              <w:t>予以修改并不额外收取任何费用。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5" w:type="dxa"/>
            <w:gridSpan w:val="3"/>
            <w:vAlign w:val="center"/>
          </w:tcPr>
          <w:p>
            <w:pPr>
              <w:spacing w:line="360" w:lineRule="auto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Cs w:val="21"/>
                <w:highlight w:val="none"/>
              </w:rPr>
              <w:t>二、商务要求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firstLine="422" w:firstLineChars="200"/>
              <w:rPr>
                <w:b/>
                <w:color w:val="auto"/>
                <w:szCs w:val="21"/>
                <w:highlight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1、报价要求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本项目实行总承包报价，报价为采购人指定服务范围内的全部价格，至少包括：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服务的价格（包括人工、材料、设备等）；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必要的保险费用和各项税金；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/>
                <w:color w:val="auto"/>
                <w:szCs w:val="21"/>
                <w:highlight w:val="none"/>
              </w:rPr>
              <w:t>验收及专家评估费用等。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（4）与本项目有关的其他一切费用。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采购人不再支付成交价格以外的任何费用。</w:t>
            </w:r>
          </w:p>
          <w:p>
            <w:pPr>
              <w:numPr>
                <w:ilvl w:val="0"/>
                <w:numId w:val="0"/>
              </w:numPr>
              <w:ind w:firstLine="422" w:firstLineChars="200"/>
              <w:rPr>
                <w:rFonts w:hint="default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</w:rPr>
              <w:t>2、项目服务时间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及服务地点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自合同签订之日起至项目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建议书、可行性研究报告</w:t>
            </w:r>
            <w:r>
              <w:rPr>
                <w:rFonts w:hint="eastAsia"/>
                <w:color w:val="auto"/>
                <w:szCs w:val="21"/>
                <w:highlight w:val="none"/>
              </w:rPr>
              <w:t>获得自治区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发展改革</w:t>
            </w:r>
            <w:r>
              <w:rPr>
                <w:rFonts w:hint="eastAsia"/>
                <w:color w:val="auto"/>
                <w:szCs w:val="21"/>
                <w:highlight w:val="none"/>
              </w:rPr>
              <w:t>委批复同意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之日止</w:t>
            </w:r>
            <w:r>
              <w:rPr>
                <w:rFonts w:hint="eastAsia"/>
                <w:color w:val="auto"/>
                <w:szCs w:val="21"/>
                <w:highlight w:val="none"/>
              </w:rPr>
              <w:t>。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服务地点：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方指定地点。</w:t>
            </w:r>
          </w:p>
          <w:p>
            <w:pPr>
              <w:ind w:firstLine="422" w:firstLineChars="200"/>
              <w:rPr>
                <w:rFonts w:hint="default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b/>
                <w:color w:val="auto"/>
                <w:szCs w:val="21"/>
                <w:highlight w:val="none"/>
              </w:rPr>
              <w:t>3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、交付</w:t>
            </w:r>
            <w:r>
              <w:rPr>
                <w:rFonts w:hint="eastAsia"/>
                <w:b/>
                <w:color w:val="auto"/>
                <w:szCs w:val="21"/>
                <w:highlight w:val="none"/>
                <w:lang w:val="en-US" w:eastAsia="zh-CN"/>
              </w:rPr>
              <w:t>地点和验收</w:t>
            </w:r>
          </w:p>
          <w:p>
            <w:pPr>
              <w:ind w:firstLine="420" w:firstLineChars="200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交付地点：广西壮族自治区海洋环境监测中心站。</w:t>
            </w:r>
          </w:p>
          <w:p>
            <w:pPr>
              <w:pStyle w:val="2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验收方式：组织专家验收。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所提交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需经采购方组织专家验收通过，并经采购方认可后，将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按合同要求提交采购人。</w:t>
            </w:r>
          </w:p>
          <w:p>
            <w:pPr>
              <w:ind w:firstLine="422" w:firstLineChars="200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4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、合同签订时间</w:t>
            </w:r>
          </w:p>
          <w:p>
            <w:pPr>
              <w:ind w:firstLine="420" w:firstLineChars="200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自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项目</w:t>
            </w:r>
            <w:r>
              <w:rPr>
                <w:rFonts w:hint="eastAsia"/>
                <w:color w:val="auto"/>
                <w:szCs w:val="21"/>
                <w:highlight w:val="none"/>
              </w:rPr>
              <w:t>成交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公告</w:t>
            </w:r>
            <w:r>
              <w:rPr>
                <w:rFonts w:hint="eastAsia"/>
                <w:color w:val="auto"/>
                <w:szCs w:val="21"/>
                <w:highlight w:val="none"/>
              </w:rPr>
              <w:t>发出之日起</w:t>
            </w:r>
            <w:r>
              <w:rPr>
                <w:color w:val="auto"/>
                <w:szCs w:val="21"/>
                <w:highlight w:val="none"/>
              </w:rPr>
              <w:t>5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个工作</w:t>
            </w:r>
            <w:r>
              <w:rPr>
                <w:rFonts w:hint="eastAsia"/>
                <w:color w:val="auto"/>
                <w:szCs w:val="21"/>
                <w:highlight w:val="none"/>
              </w:rPr>
              <w:t>日内。</w:t>
            </w:r>
          </w:p>
          <w:p>
            <w:pPr>
              <w:ind w:firstLine="422" w:firstLineChars="200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5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、付款条件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（1）合同签订后，采购方收到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方的支付申请和发票后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个工作日内向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方支付合同总金额的50％。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（2）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方按合同要求完成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项目建议书、可行性研究报告编制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工作，采购方组织专家对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方提交的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进行验收，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成果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通过专家验收及采购方审定后，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方向采购方提交成果材料和合同尾款发票，甲方收到发票后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个工作日内支付合同尾款。</w:t>
            </w:r>
          </w:p>
          <w:p>
            <w:pPr>
              <w:pStyle w:val="2"/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（3）付款前成交供应商先提交支付申请和开具发票给采购人。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C022C7"/>
    <w:multiLevelType w:val="singleLevel"/>
    <w:tmpl w:val="FEC022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455D1"/>
    <w:rsid w:val="02B335F1"/>
    <w:rsid w:val="101935CF"/>
    <w:rsid w:val="17B3472B"/>
    <w:rsid w:val="1B8E0F0F"/>
    <w:rsid w:val="22F14F5A"/>
    <w:rsid w:val="23431735"/>
    <w:rsid w:val="258D07BB"/>
    <w:rsid w:val="3CF516CE"/>
    <w:rsid w:val="410B0BCC"/>
    <w:rsid w:val="4840301F"/>
    <w:rsid w:val="4B075EE2"/>
    <w:rsid w:val="4E72508E"/>
    <w:rsid w:val="52ED0DC1"/>
    <w:rsid w:val="542B5FF1"/>
    <w:rsid w:val="5F4C6301"/>
    <w:rsid w:val="649F75A3"/>
    <w:rsid w:val="729D7188"/>
    <w:rsid w:val="775A55CA"/>
    <w:rsid w:val="77CE052D"/>
    <w:rsid w:val="7A1B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adjustRightInd w:val="0"/>
      <w:ind w:left="420" w:right="33"/>
      <w:jc w:val="left"/>
      <w:textAlignment w:val="baseline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2022-05-20T08:23:00Z</dcterms:created>
  <dc:creator>hyj</dc:creator>
  <cp:lastModifiedBy>韩国光</cp:lastModifiedBy>
  <dcterms:modified xsi:type="dcterms:W3CDTF">2024-09-05T00:54:07Z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