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纯水机维护服务需求</w:t>
      </w:r>
    </w:p>
    <w:tbl>
      <w:tblPr>
        <w:tblStyle w:val="3"/>
        <w:tblW w:w="9465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50"/>
        <w:gridCol w:w="7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仪器保养服务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每月定时一次上门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为三台纯水系统（设备清单详见附表一），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服务内容包含但不限于以下内容：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三台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纯水主机各功能测试；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2.仪器外部清洁、内部管道消毒清洗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仪器维护服务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根据仪器设备正常使用要求的频率更换耗材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详见附表二），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更换耗材包含但不限于附表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的耗材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如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更换耗材后出现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水质不达标等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问题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维护方应该根据实际情况进行维护至水质达标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仪器维修服务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任意一台仪器发生故障时，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维护方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2小时内响应并提供电话技术支持，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  <w:t>无法处理的，6小时内安排技术人员上门检测维修，如可以预判故障原因却缺少配件而无法及时进行维修（供货）的，或者由于停电停水等原因而影响测试维修，则由双方协商约定上门检测维修时间，当所发生的故障不涉及更换零配件时，或者人为损坏的，应免费修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水质检测</w:t>
            </w:r>
          </w:p>
        </w:tc>
        <w:tc>
          <w:tcPr>
            <w:tcW w:w="7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维护方于2024年8月提供由有资质单位出具的一份盖CMA章水质检测报告（检测样品为3个一级水水样、2个三级水水样），水质检测结果必须满足《分析实验室用水规格和试验方法》（GB/T6682-2008）的要求。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附表一  三台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纯水系统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型号清单</w:t>
      </w:r>
    </w:p>
    <w:tbl>
      <w:tblPr>
        <w:tblStyle w:val="3"/>
        <w:tblpPr w:leftFromText="180" w:rightFromText="180" w:vertAnchor="page" w:horzAnchor="page" w:tblpX="1217" w:tblpY="2151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3"/>
        <w:gridCol w:w="2595"/>
        <w:gridCol w:w="1110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超纯水系统（包含超纯水和纯水系统）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Mini-Q Integral10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纯水机（包含超纯水和纯水系统）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Direct-Q8 UV-R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优普纯水机（包含超纯水系统）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ULUP-III-20T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附表二  各纯水机配件型号及更换数量及频次一览表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5541" w:type="pct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40"/>
        <w:gridCol w:w="1380"/>
        <w:gridCol w:w="2140"/>
        <w:gridCol w:w="1754"/>
        <w:gridCol w:w="85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44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仪器型号</w:t>
            </w:r>
          </w:p>
        </w:tc>
        <w:tc>
          <w:tcPr>
            <w:tcW w:w="7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仪器厂家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配件名称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配件货号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配件数量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更换频次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超纯水系统（包含超纯水和纯水系统）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Mini-Q Integral10</w:t>
            </w:r>
          </w:p>
        </w:tc>
        <w:tc>
          <w:tcPr>
            <w:tcW w:w="7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默克化工技术（上海）有限公司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预纯化柱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PR0G0T0S2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2根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精纯化柱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QTUM0TEX1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1根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终端过滤器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MPGP04001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水箱空气过滤器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TANKMPK01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紫外灯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ZFA10UVM1 A10 TOC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预处理棉芯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JMCFCNF1L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1箱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纯水机（包含超纯水和纯水系统）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Direct-Q8 UV-R</w:t>
            </w:r>
          </w:p>
        </w:tc>
        <w:tc>
          <w:tcPr>
            <w:tcW w:w="7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默克化工技术（上海）有限公司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纯化柱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SPR08SIA1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1根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终端过滤器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MPGP04001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水箱空气过滤器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TANKMPK01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预处理棉芯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JMCFCNF1L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1箱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优普纯水机（包含超纯水系统）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ULUP-III-20T</w:t>
            </w:r>
          </w:p>
        </w:tc>
        <w:tc>
          <w:tcPr>
            <w:tcW w:w="7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成都超纯科技有限公司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超纯化柱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ZYUPZS-42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预处理柱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ZYYCL-42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100G反渗透膜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100G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1支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终端过滤器</w:t>
            </w:r>
          </w:p>
        </w:tc>
        <w:tc>
          <w:tcPr>
            <w:tcW w:w="9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0.22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1个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1次/年</w:t>
            </w:r>
          </w:p>
        </w:tc>
      </w:tr>
    </w:tbl>
    <w:p>
      <w:pPr>
        <w:pStyle w:val="2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YWEwMGI0NDA3ZTY0M2U1ODA1NDAxOTQwODZhZTkifQ=="/>
  </w:docVars>
  <w:rsids>
    <w:rsidRoot w:val="00000000"/>
    <w:rsid w:val="0AFF2E86"/>
    <w:rsid w:val="1635042E"/>
    <w:rsid w:val="20095CFA"/>
    <w:rsid w:val="2E0E4BAB"/>
    <w:rsid w:val="30633A0C"/>
    <w:rsid w:val="39B44357"/>
    <w:rsid w:val="409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2023-12-19T02:38:00Z</dcterms:created>
  <dc:creator>杨坤</dc:creator>
  <cp:lastModifiedBy>577running</cp:lastModifiedBy>
  <dcterms:modified xsi:type="dcterms:W3CDTF">2023-12-26T00:44:34Z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ACA43DE4948A4B97BEB1CE6458152F7C_12</vt:lpwstr>
  </property>
</Properties>
</file>