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ascii="黑体" w:hAnsi="黑体" w:eastAsia="黑体"/>
          <w:color w:val="auto"/>
          <w:spacing w:val="30"/>
          <w:kern w:val="52"/>
          <w:sz w:val="64"/>
          <w:szCs w:val="64"/>
          <w:highlight w:val="none"/>
        </w:rPr>
      </w:pPr>
      <w:r>
        <w:rPr>
          <w:rFonts w:ascii="黑体" w:hAnsi="黑体" w:eastAsia="黑体"/>
          <w:color w:val="auto"/>
          <w:spacing w:val="30"/>
          <w:kern w:val="52"/>
          <w:sz w:val="64"/>
          <w:szCs w:val="64"/>
          <w:highlight w:val="none"/>
        </w:rPr>
        <w:t>广西科文招标有限公司</w:t>
      </w:r>
    </w:p>
    <w:p>
      <w:pPr>
        <w:pStyle w:val="12"/>
        <w:jc w:val="center"/>
        <w:rPr>
          <w:rFonts w:ascii="黑体" w:hAnsi="黑体" w:eastAsia="黑体" w:cs="方正小标宋简体"/>
          <w:b/>
          <w:color w:val="auto"/>
          <w:sz w:val="44"/>
          <w:szCs w:val="44"/>
          <w:highlight w:val="none"/>
        </w:rPr>
      </w:pPr>
      <w:r>
        <w:rPr>
          <w:rFonts w:ascii="黑体" w:hAnsi="黑体" w:eastAsia="黑体"/>
          <w:b/>
          <w:color w:val="auto"/>
          <w:spacing w:val="-18"/>
          <w:sz w:val="64"/>
          <w:szCs w:val="64"/>
          <w:highlight w:val="none"/>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99060</wp:posOffset>
                </wp:positionV>
                <wp:extent cx="54864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4864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pt;margin-top:7.8pt;height:0pt;width:432pt;z-index:251659264;mso-width-relative:page;mso-height-relative:page;" filled="f" stroked="t" coordsize="21600,21600" o:gfxdata="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K9rBQzU&#10;AAAACAEAAA8AAAAAAAAAAQAgAAAAIgAAAGRycy9kb3ducmV2LnhtbFBLAQIUABQAAAAIAIdO4kAY&#10;TiCN6wEAANkDAAAOAAAAAAAAAAEAIAAAACMBAABkcnMvZTJvRG9jLnhtbFBLBQYAAAAABgAGAFkB&#10;AACABQAAAAA=&#10;">
                <v:fill on="f" focussize="0,0"/>
                <v:stroke weight="1pt" color="#000000" joinstyle="round"/>
                <v:imagedata o:title=""/>
                <o:lock v:ext="edit" aspectratio="f"/>
              </v:line>
            </w:pict>
          </mc:Fallback>
        </mc:AlternateContent>
      </w:r>
    </w:p>
    <w:p>
      <w:pPr>
        <w:snapToGrid w:val="0"/>
        <w:spacing w:before="156" w:beforeLines="50" w:line="360" w:lineRule="auto"/>
        <w:jc w:val="center"/>
        <w:rPr>
          <w:rFonts w:ascii="黑体" w:hAnsi="黑体" w:eastAsia="黑体"/>
          <w:color w:val="auto"/>
          <w:sz w:val="84"/>
          <w:szCs w:val="84"/>
          <w:highlight w:val="none"/>
        </w:rPr>
      </w:pPr>
      <w:r>
        <w:rPr>
          <w:rFonts w:hint="eastAsia" w:ascii="黑体" w:hAnsi="黑体" w:eastAsia="黑体"/>
          <w:color w:val="auto"/>
          <w:sz w:val="84"/>
          <w:szCs w:val="84"/>
          <w:highlight w:val="none"/>
        </w:rPr>
        <w:t>竞争性</w:t>
      </w:r>
      <w:bookmarkStart w:id="144" w:name="_GoBack"/>
      <w:bookmarkEnd w:id="144"/>
      <w:r>
        <w:rPr>
          <w:rFonts w:hint="eastAsia" w:ascii="黑体" w:hAnsi="黑体" w:eastAsia="黑体"/>
          <w:color w:val="auto"/>
          <w:sz w:val="84"/>
          <w:szCs w:val="84"/>
          <w:highlight w:val="none"/>
        </w:rPr>
        <w:t>磋商文件</w:t>
      </w:r>
    </w:p>
    <w:p>
      <w:pPr>
        <w:snapToGrid w:val="0"/>
        <w:spacing w:line="360" w:lineRule="auto"/>
        <w:rPr>
          <w:rFonts w:ascii="仿宋_GB2312" w:hAnsi="宋体" w:eastAsia="仿宋_GB2312"/>
          <w:b/>
          <w:color w:val="auto"/>
          <w:sz w:val="48"/>
          <w:szCs w:val="48"/>
          <w:highlight w:val="none"/>
        </w:rPr>
      </w:pPr>
    </w:p>
    <w:p>
      <w:pPr>
        <w:pStyle w:val="12"/>
        <w:snapToGrid w:val="0"/>
        <w:spacing w:line="360" w:lineRule="auto"/>
        <w:ind w:firstLine="1205" w:firstLineChars="400"/>
        <w:rPr>
          <w:rFonts w:ascii="仿宋_GB2312" w:hAnsi="宋体" w:eastAsia="仿宋_GB2312"/>
          <w:b/>
          <w:bCs/>
          <w:color w:val="auto"/>
          <w:sz w:val="30"/>
          <w:szCs w:val="30"/>
          <w:highlight w:val="none"/>
        </w:rPr>
      </w:pPr>
    </w:p>
    <w:p>
      <w:pPr>
        <w:pStyle w:val="12"/>
        <w:snapToGrid w:val="0"/>
        <w:spacing w:line="360" w:lineRule="auto"/>
        <w:ind w:firstLine="1205" w:firstLineChars="400"/>
        <w:rPr>
          <w:rFonts w:ascii="仿宋_GB2312" w:hAnsi="宋体" w:eastAsia="仿宋_GB2312"/>
          <w:b/>
          <w:bCs/>
          <w:color w:val="auto"/>
          <w:sz w:val="30"/>
          <w:szCs w:val="30"/>
          <w:highlight w:val="none"/>
        </w:rPr>
      </w:pPr>
      <w:r>
        <w:rPr>
          <w:rFonts w:hint="eastAsia" w:ascii="仿宋_GB2312" w:hAnsi="宋体" w:eastAsia="仿宋_GB2312"/>
          <w:b/>
          <w:bCs/>
          <w:color w:val="auto"/>
          <w:sz w:val="30"/>
          <w:szCs w:val="30"/>
          <w:highlight w:val="none"/>
        </w:rPr>
        <w:t>项目</w:t>
      </w:r>
      <w:r>
        <w:rPr>
          <w:rFonts w:hint="eastAsia" w:ascii="仿宋_GB2312" w:hAnsi="宋体" w:eastAsia="仿宋_GB2312" w:cs="Courier New"/>
          <w:b/>
          <w:bCs/>
          <w:color w:val="auto"/>
          <w:w w:val="95"/>
          <w:sz w:val="30"/>
          <w:szCs w:val="30"/>
          <w:highlight w:val="none"/>
        </w:rPr>
        <w:t>名称</w:t>
      </w:r>
      <w:r>
        <w:rPr>
          <w:rFonts w:hint="eastAsia" w:ascii="仿宋_GB2312" w:hAnsi="宋体" w:eastAsia="仿宋_GB2312"/>
          <w:b/>
          <w:bCs/>
          <w:color w:val="auto"/>
          <w:sz w:val="30"/>
          <w:szCs w:val="30"/>
          <w:highlight w:val="none"/>
        </w:rPr>
        <w:t>：</w:t>
      </w:r>
      <w:r>
        <w:rPr>
          <w:rFonts w:hint="eastAsia" w:ascii="仿宋_GB2312" w:hAnsi="宋体" w:eastAsia="仿宋_GB2312"/>
          <w:b/>
          <w:color w:val="auto"/>
          <w:sz w:val="32"/>
          <w:szCs w:val="32"/>
          <w:highlight w:val="none"/>
        </w:rPr>
        <w:t>2022年第三方运维服务项目</w:t>
      </w:r>
    </w:p>
    <w:p>
      <w:pPr>
        <w:pStyle w:val="12"/>
        <w:snapToGrid w:val="0"/>
        <w:spacing w:line="360" w:lineRule="auto"/>
        <w:ind w:firstLine="1205" w:firstLineChars="400"/>
        <w:rPr>
          <w:rFonts w:ascii="仿宋_GB2312" w:hAnsi="宋体" w:eastAsia="仿宋_GB2312"/>
          <w:b/>
          <w:bCs/>
          <w:color w:val="auto"/>
          <w:sz w:val="30"/>
          <w:szCs w:val="30"/>
          <w:highlight w:val="none"/>
        </w:rPr>
      </w:pPr>
      <w:r>
        <w:rPr>
          <w:rFonts w:hint="eastAsia" w:ascii="仿宋_GB2312" w:hAnsi="宋体" w:eastAsia="仿宋_GB2312"/>
          <w:b/>
          <w:bCs/>
          <w:color w:val="auto"/>
          <w:sz w:val="30"/>
          <w:szCs w:val="30"/>
          <w:highlight w:val="none"/>
        </w:rPr>
        <w:t>项目编号：GXZC2022-C3-000629-KWZB</w:t>
      </w:r>
    </w:p>
    <w:p>
      <w:pPr>
        <w:pStyle w:val="12"/>
        <w:snapToGrid w:val="0"/>
        <w:spacing w:line="360" w:lineRule="auto"/>
        <w:ind w:firstLine="1205" w:firstLineChars="400"/>
        <w:rPr>
          <w:rFonts w:ascii="仿宋_GB2312" w:hAnsi="宋体" w:eastAsia="仿宋_GB2312"/>
          <w:b/>
          <w:bCs/>
          <w:color w:val="auto"/>
          <w:sz w:val="30"/>
          <w:szCs w:val="30"/>
          <w:highlight w:val="none"/>
        </w:rPr>
      </w:pPr>
    </w:p>
    <w:p>
      <w:pPr>
        <w:snapToGrid w:val="0"/>
        <w:spacing w:line="360" w:lineRule="auto"/>
        <w:ind w:firstLine="1145" w:firstLineChars="400"/>
        <w:rPr>
          <w:rFonts w:ascii="仿宋_GB2312" w:hAnsi="宋体" w:eastAsia="仿宋_GB2312" w:cs="Courier New"/>
          <w:b/>
          <w:bCs/>
          <w:color w:val="auto"/>
          <w:w w:val="95"/>
          <w:sz w:val="30"/>
          <w:szCs w:val="30"/>
          <w:highlight w:val="none"/>
        </w:rPr>
      </w:pPr>
    </w:p>
    <w:p>
      <w:pPr>
        <w:snapToGrid w:val="0"/>
        <w:spacing w:line="360" w:lineRule="auto"/>
        <w:ind w:firstLine="1145" w:firstLineChars="400"/>
        <w:rPr>
          <w:rFonts w:ascii="仿宋_GB2312" w:hAnsi="宋体" w:eastAsia="仿宋_GB2312" w:cs="Courier New"/>
          <w:b/>
          <w:bCs/>
          <w:color w:val="auto"/>
          <w:w w:val="95"/>
          <w:sz w:val="30"/>
          <w:szCs w:val="30"/>
          <w:highlight w:val="none"/>
        </w:rPr>
      </w:pPr>
    </w:p>
    <w:p>
      <w:pPr>
        <w:snapToGrid w:val="0"/>
        <w:spacing w:line="360" w:lineRule="auto"/>
        <w:ind w:firstLine="1205" w:firstLineChars="400"/>
        <w:rPr>
          <w:rFonts w:ascii="仿宋_GB2312" w:hAnsi="宋体" w:eastAsia="仿宋_GB2312"/>
          <w:color w:val="auto"/>
          <w:sz w:val="30"/>
          <w:szCs w:val="72"/>
          <w:highlight w:val="none"/>
        </w:rPr>
      </w:pPr>
      <w:r>
        <w:rPr>
          <w:rFonts w:hint="eastAsia" w:ascii="仿宋_GB2312" w:hAnsi="宋体" w:eastAsia="仿宋_GB2312"/>
          <w:b/>
          <w:color w:val="auto"/>
          <w:sz w:val="30"/>
          <w:szCs w:val="48"/>
          <w:highlight w:val="none"/>
        </w:rPr>
        <w:t xml:space="preserve"> </w:t>
      </w:r>
    </w:p>
    <w:p>
      <w:pPr>
        <w:pStyle w:val="12"/>
        <w:snapToGrid w:val="0"/>
        <w:spacing w:line="360" w:lineRule="auto"/>
        <w:ind w:firstLine="1125" w:firstLineChars="393"/>
        <w:rPr>
          <w:rFonts w:ascii="仿宋_GB2312" w:hAnsi="宋体" w:eastAsia="仿宋_GB2312"/>
          <w:b/>
          <w:bCs/>
          <w:color w:val="auto"/>
          <w:w w:val="95"/>
          <w:sz w:val="30"/>
          <w:szCs w:val="30"/>
          <w:highlight w:val="none"/>
        </w:rPr>
      </w:pPr>
      <w:r>
        <w:rPr>
          <w:rFonts w:hint="eastAsia" w:ascii="仿宋_GB2312" w:hAnsi="宋体" w:eastAsia="仿宋_GB2312"/>
          <w:b/>
          <w:bCs/>
          <w:color w:val="auto"/>
          <w:w w:val="95"/>
          <w:sz w:val="30"/>
          <w:szCs w:val="30"/>
          <w:highlight w:val="none"/>
        </w:rPr>
        <w:t>采 购 人：</w:t>
      </w:r>
      <w:r>
        <w:rPr>
          <w:rFonts w:hint="eastAsia" w:ascii="仿宋_GB2312" w:hAnsi="宋体" w:eastAsia="仿宋_GB2312"/>
          <w:b/>
          <w:color w:val="auto"/>
          <w:sz w:val="32"/>
          <w:szCs w:val="32"/>
          <w:highlight w:val="none"/>
        </w:rPr>
        <w:t>广西壮族自治区南宁生态环境监测中心</w:t>
      </w:r>
    </w:p>
    <w:p>
      <w:pPr>
        <w:pStyle w:val="12"/>
        <w:snapToGrid w:val="0"/>
        <w:spacing w:line="360" w:lineRule="auto"/>
        <w:ind w:firstLine="1125" w:firstLineChars="393"/>
        <w:rPr>
          <w:rFonts w:ascii="仿宋_GB2312" w:hAnsi="宋体" w:eastAsia="仿宋_GB2312"/>
          <w:b/>
          <w:bCs/>
          <w:color w:val="auto"/>
          <w:w w:val="95"/>
          <w:sz w:val="30"/>
          <w:szCs w:val="30"/>
          <w:highlight w:val="none"/>
        </w:rPr>
      </w:pPr>
      <w:r>
        <w:rPr>
          <w:rFonts w:hint="eastAsia" w:ascii="仿宋_GB2312" w:hAnsi="宋体" w:eastAsia="仿宋_GB2312"/>
          <w:b/>
          <w:bCs/>
          <w:color w:val="auto"/>
          <w:w w:val="95"/>
          <w:sz w:val="30"/>
          <w:szCs w:val="30"/>
          <w:highlight w:val="none"/>
        </w:rPr>
        <w:t>采购代理机构：</w:t>
      </w:r>
      <w:r>
        <w:rPr>
          <w:rFonts w:hint="eastAsia" w:ascii="仿宋_GB2312" w:hAnsi="宋体" w:eastAsia="仿宋_GB2312"/>
          <w:b/>
          <w:color w:val="auto"/>
          <w:sz w:val="32"/>
          <w:szCs w:val="32"/>
          <w:highlight w:val="none"/>
        </w:rPr>
        <w:t>广西科文招标有限公司</w:t>
      </w:r>
    </w:p>
    <w:p>
      <w:pPr>
        <w:pStyle w:val="12"/>
        <w:snapToGrid w:val="0"/>
        <w:spacing w:line="360" w:lineRule="auto"/>
        <w:ind w:firstLine="1125" w:firstLineChars="393"/>
        <w:rPr>
          <w:rFonts w:ascii="仿宋_GB2312" w:hAnsi="宋体" w:eastAsia="仿宋_GB2312"/>
          <w:b/>
          <w:bCs/>
          <w:color w:val="auto"/>
          <w:w w:val="95"/>
          <w:sz w:val="30"/>
          <w:szCs w:val="30"/>
          <w:highlight w:val="none"/>
        </w:rPr>
      </w:pPr>
    </w:p>
    <w:p>
      <w:pPr>
        <w:pStyle w:val="12"/>
        <w:snapToGrid w:val="0"/>
        <w:spacing w:line="360" w:lineRule="auto"/>
        <w:ind w:left="420" w:firstLine="841" w:firstLineChars="294"/>
        <w:rPr>
          <w:rFonts w:ascii="仿宋_GB2312" w:hAnsi="宋体" w:eastAsia="仿宋_GB2312"/>
          <w:b/>
          <w:bCs/>
          <w:color w:val="auto"/>
          <w:w w:val="95"/>
          <w:sz w:val="30"/>
          <w:szCs w:val="30"/>
          <w:highlight w:val="none"/>
        </w:rPr>
      </w:pPr>
      <w:r>
        <w:rPr>
          <w:rFonts w:hint="eastAsia" w:ascii="仿宋_GB2312" w:hAnsi="宋体" w:eastAsia="仿宋_GB2312"/>
          <w:b/>
          <w:bCs/>
          <w:color w:val="auto"/>
          <w:w w:val="95"/>
          <w:sz w:val="30"/>
          <w:szCs w:val="30"/>
          <w:highlight w:val="none"/>
        </w:rPr>
        <w:t xml:space="preserve">            2022年4月</w:t>
      </w:r>
      <w:r>
        <w:rPr>
          <w:rFonts w:hint="eastAsia" w:ascii="仿宋_GB2312" w:hAnsi="宋体" w:eastAsia="仿宋_GB2312"/>
          <w:b/>
          <w:bCs/>
          <w:color w:val="auto"/>
          <w:w w:val="95"/>
          <w:sz w:val="30"/>
          <w:szCs w:val="30"/>
          <w:highlight w:val="none"/>
          <w:lang w:val="en-US" w:eastAsia="zh-CN"/>
        </w:rPr>
        <w:t>15</w:t>
      </w:r>
      <w:r>
        <w:rPr>
          <w:rFonts w:hint="eastAsia" w:ascii="仿宋_GB2312" w:hAnsi="宋体" w:eastAsia="仿宋_GB2312"/>
          <w:b/>
          <w:bCs/>
          <w:color w:val="auto"/>
          <w:w w:val="95"/>
          <w:sz w:val="30"/>
          <w:szCs w:val="30"/>
          <w:highlight w:val="none"/>
        </w:rPr>
        <w:t>日</w:t>
      </w:r>
    </w:p>
    <w:p>
      <w:pPr>
        <w:spacing w:line="360" w:lineRule="auto"/>
        <w:jc w:val="center"/>
        <w:rPr>
          <w:rFonts w:ascii="宋体" w:hAnsi="宋体" w:cs="宋体"/>
          <w:b/>
          <w:bCs/>
          <w:color w:val="auto"/>
          <w:kern w:val="0"/>
          <w:sz w:val="32"/>
          <w:szCs w:val="32"/>
          <w:highlight w:val="none"/>
        </w:rPr>
      </w:pPr>
    </w:p>
    <w:p>
      <w:pPr>
        <w:spacing w:line="360" w:lineRule="auto"/>
        <w:rPr>
          <w:rFonts w:ascii="宋体" w:hAnsi="宋体"/>
          <w:b/>
          <w:color w:val="auto"/>
          <w:sz w:val="44"/>
          <w:szCs w:val="44"/>
          <w:highlight w:val="none"/>
        </w:rPr>
      </w:pPr>
      <w:r>
        <w:rPr>
          <w:rFonts w:ascii="黑体" w:hAnsi="黑体" w:eastAsia="黑体" w:cs="宋体"/>
          <w:b/>
          <w:bCs/>
          <w:color w:val="auto"/>
          <w:kern w:val="0"/>
          <w:sz w:val="32"/>
          <w:szCs w:val="32"/>
          <w:highlight w:val="none"/>
        </w:rPr>
        <w:br w:type="page"/>
      </w:r>
    </w:p>
    <w:p>
      <w:pPr>
        <w:spacing w:line="360" w:lineRule="auto"/>
        <w:jc w:val="center"/>
        <w:rPr>
          <w:rFonts w:ascii="宋体" w:hAnsi="宋体"/>
          <w:b/>
          <w:color w:val="auto"/>
          <w:sz w:val="44"/>
          <w:szCs w:val="44"/>
          <w:highlight w:val="none"/>
        </w:rPr>
      </w:pPr>
      <w:r>
        <w:rPr>
          <w:rFonts w:hint="eastAsia" w:ascii="宋体" w:hAnsi="宋体"/>
          <w:b/>
          <w:color w:val="auto"/>
          <w:sz w:val="44"/>
          <w:szCs w:val="44"/>
          <w:highlight w:val="none"/>
        </w:rPr>
        <w:t>目  录</w:t>
      </w:r>
    </w:p>
    <w:p>
      <w:pPr>
        <w:spacing w:line="400" w:lineRule="exact"/>
        <w:jc w:val="center"/>
        <w:rPr>
          <w:rFonts w:ascii="宋体" w:hAnsi="宋体"/>
          <w:b/>
          <w:color w:val="auto"/>
          <w:sz w:val="44"/>
          <w:szCs w:val="44"/>
          <w:highlight w:val="none"/>
        </w:rPr>
      </w:pPr>
    </w:p>
    <w:p>
      <w:pPr>
        <w:pStyle w:val="15"/>
        <w:tabs>
          <w:tab w:val="right" w:leader="dot" w:pos="8869"/>
        </w:tabs>
        <w:snapToGrid w:val="0"/>
        <w:spacing w:line="500" w:lineRule="atLeast"/>
        <w:rPr>
          <w:rFonts w:ascii="宋体" w:hAnsi="宋体"/>
          <w:b/>
          <w:color w:val="auto"/>
          <w:sz w:val="24"/>
          <w:highlight w:val="none"/>
        </w:rPr>
      </w:pPr>
      <w:r>
        <w:rPr>
          <w:rFonts w:ascii="宋体" w:hAnsi="宋体"/>
          <w:b/>
          <w:color w:val="auto"/>
          <w:sz w:val="24"/>
          <w:highlight w:val="none"/>
        </w:rPr>
        <w:fldChar w:fldCharType="begin"/>
      </w:r>
      <w:r>
        <w:rPr>
          <w:rFonts w:ascii="宋体" w:hAnsi="宋体"/>
          <w:b/>
          <w:color w:val="auto"/>
          <w:sz w:val="24"/>
          <w:highlight w:val="none"/>
        </w:rPr>
        <w:instrText xml:space="preserve"> </w:instrText>
      </w:r>
      <w:r>
        <w:rPr>
          <w:rFonts w:hint="eastAsia" w:ascii="宋体" w:hAnsi="宋体"/>
          <w:b/>
          <w:color w:val="auto"/>
          <w:sz w:val="24"/>
          <w:highlight w:val="none"/>
        </w:rPr>
        <w:instrText xml:space="preserve">TOC \o "1-3" \h \z \u</w:instrText>
      </w:r>
      <w:r>
        <w:rPr>
          <w:rFonts w:ascii="宋体" w:hAnsi="宋体"/>
          <w:b/>
          <w:color w:val="auto"/>
          <w:sz w:val="24"/>
          <w:highlight w:val="none"/>
        </w:rPr>
        <w:instrText xml:space="preserve"> </w:instrText>
      </w:r>
      <w:r>
        <w:rPr>
          <w:rFonts w:ascii="宋体" w:hAnsi="宋体"/>
          <w:b/>
          <w:color w:val="auto"/>
          <w:sz w:val="24"/>
          <w:highlight w:val="none"/>
        </w:rPr>
        <w:fldChar w:fldCharType="separate"/>
      </w:r>
      <w:r>
        <w:rPr>
          <w:color w:val="auto"/>
          <w:highlight w:val="none"/>
        </w:rPr>
        <w:fldChar w:fldCharType="begin"/>
      </w:r>
      <w:r>
        <w:rPr>
          <w:color w:val="auto"/>
          <w:highlight w:val="none"/>
        </w:rPr>
        <w:instrText xml:space="preserve"> HYPERLINK \l "_Toc74323456" </w:instrText>
      </w:r>
      <w:r>
        <w:rPr>
          <w:color w:val="auto"/>
          <w:highlight w:val="none"/>
        </w:rPr>
        <w:fldChar w:fldCharType="separate"/>
      </w:r>
      <w:r>
        <w:rPr>
          <w:rStyle w:val="21"/>
          <w:rFonts w:hint="eastAsia" w:ascii="宋体" w:hAnsi="宋体"/>
          <w:b/>
          <w:color w:val="auto"/>
          <w:sz w:val="24"/>
          <w:highlight w:val="none"/>
        </w:rPr>
        <w:t>第一章</w:t>
      </w:r>
      <w:r>
        <w:rPr>
          <w:rStyle w:val="21"/>
          <w:rFonts w:ascii="宋体" w:hAnsi="宋体"/>
          <w:b/>
          <w:color w:val="auto"/>
          <w:sz w:val="24"/>
          <w:highlight w:val="none"/>
        </w:rPr>
        <w:t xml:space="preserve"> </w:t>
      </w:r>
      <w:r>
        <w:rPr>
          <w:rStyle w:val="21"/>
          <w:rFonts w:hint="eastAsia" w:ascii="宋体" w:hAnsi="宋体"/>
          <w:b/>
          <w:color w:val="auto"/>
          <w:sz w:val="24"/>
          <w:highlight w:val="none"/>
        </w:rPr>
        <w:t>竞争性磋商公告</w:t>
      </w:r>
      <w:r>
        <w:rPr>
          <w:rFonts w:ascii="宋体" w:hAnsi="宋体"/>
          <w:b/>
          <w:color w:val="auto"/>
          <w:sz w:val="24"/>
          <w:highlight w:val="none"/>
        </w:rPr>
        <w:tab/>
      </w:r>
      <w:r>
        <w:rPr>
          <w:rFonts w:hint="eastAsia" w:ascii="宋体" w:hAnsi="宋体"/>
          <w:b/>
          <w:color w:val="auto"/>
          <w:sz w:val="24"/>
          <w:highlight w:val="none"/>
        </w:rPr>
        <w:t>2</w:t>
      </w:r>
      <w:r>
        <w:rPr>
          <w:rFonts w:hint="eastAsia" w:ascii="宋体" w:hAnsi="宋体"/>
          <w:b/>
          <w:color w:val="auto"/>
          <w:sz w:val="24"/>
          <w:highlight w:val="none"/>
        </w:rPr>
        <w:fldChar w:fldCharType="end"/>
      </w:r>
    </w:p>
    <w:p>
      <w:pPr>
        <w:pStyle w:val="15"/>
        <w:tabs>
          <w:tab w:val="right" w:leader="dot" w:pos="8869"/>
        </w:tabs>
        <w:snapToGrid w:val="0"/>
        <w:spacing w:line="500" w:lineRule="atLeast"/>
        <w:rPr>
          <w:rFonts w:ascii="宋体" w:hAnsi="宋体"/>
          <w:b/>
          <w:color w:val="auto"/>
          <w:sz w:val="24"/>
          <w:highlight w:val="none"/>
        </w:rPr>
      </w:pPr>
      <w:r>
        <w:rPr>
          <w:color w:val="auto"/>
          <w:highlight w:val="none"/>
        </w:rPr>
        <w:fldChar w:fldCharType="begin"/>
      </w:r>
      <w:r>
        <w:rPr>
          <w:color w:val="auto"/>
          <w:highlight w:val="none"/>
        </w:rPr>
        <w:instrText xml:space="preserve"> HYPERLINK \l "_Toc74323457" </w:instrText>
      </w:r>
      <w:r>
        <w:rPr>
          <w:color w:val="auto"/>
          <w:highlight w:val="none"/>
        </w:rPr>
        <w:fldChar w:fldCharType="separate"/>
      </w:r>
      <w:r>
        <w:rPr>
          <w:rStyle w:val="21"/>
          <w:rFonts w:hint="eastAsia" w:ascii="宋体" w:hAnsi="宋体"/>
          <w:b/>
          <w:color w:val="auto"/>
          <w:sz w:val="24"/>
          <w:highlight w:val="none"/>
        </w:rPr>
        <w:t>第二章</w:t>
      </w:r>
      <w:r>
        <w:rPr>
          <w:rStyle w:val="21"/>
          <w:rFonts w:ascii="宋体" w:hAnsi="宋体"/>
          <w:b/>
          <w:color w:val="auto"/>
          <w:sz w:val="24"/>
          <w:highlight w:val="none"/>
        </w:rPr>
        <w:t xml:space="preserve"> </w:t>
      </w:r>
      <w:r>
        <w:rPr>
          <w:rStyle w:val="21"/>
          <w:rFonts w:hint="eastAsia" w:ascii="宋体" w:hAnsi="宋体"/>
          <w:b/>
          <w:color w:val="auto"/>
          <w:sz w:val="24"/>
          <w:highlight w:val="none"/>
        </w:rPr>
        <w:t>供应</w:t>
      </w:r>
      <w:bookmarkStart w:id="0" w:name="_Hlt82161237"/>
      <w:r>
        <w:rPr>
          <w:rStyle w:val="21"/>
          <w:rFonts w:hint="eastAsia" w:ascii="宋体" w:hAnsi="宋体"/>
          <w:b/>
          <w:color w:val="auto"/>
          <w:sz w:val="24"/>
          <w:highlight w:val="none"/>
        </w:rPr>
        <w:t>商</w:t>
      </w:r>
      <w:bookmarkEnd w:id="0"/>
      <w:r>
        <w:rPr>
          <w:rStyle w:val="21"/>
          <w:rFonts w:hint="eastAsia" w:ascii="宋体" w:hAnsi="宋体"/>
          <w:b/>
          <w:color w:val="auto"/>
          <w:sz w:val="24"/>
          <w:highlight w:val="none"/>
        </w:rPr>
        <w:t>须知</w:t>
      </w:r>
      <w:r>
        <w:rPr>
          <w:rFonts w:ascii="宋体" w:hAnsi="宋体"/>
          <w:b/>
          <w:color w:val="auto"/>
          <w:sz w:val="24"/>
          <w:highlight w:val="none"/>
        </w:rPr>
        <w:tab/>
      </w:r>
      <w:r>
        <w:rPr>
          <w:rFonts w:hint="eastAsia" w:ascii="宋体" w:hAnsi="宋体"/>
          <w:b/>
          <w:color w:val="auto"/>
          <w:sz w:val="24"/>
          <w:highlight w:val="none"/>
        </w:rPr>
        <w:t>6</w:t>
      </w:r>
      <w:r>
        <w:rPr>
          <w:rFonts w:hint="eastAsia" w:ascii="宋体" w:hAnsi="宋体"/>
          <w:b/>
          <w:color w:val="auto"/>
          <w:sz w:val="24"/>
          <w:highlight w:val="none"/>
        </w:rPr>
        <w:fldChar w:fldCharType="end"/>
      </w:r>
    </w:p>
    <w:p>
      <w:pPr>
        <w:pStyle w:val="15"/>
        <w:tabs>
          <w:tab w:val="right" w:leader="dot" w:pos="8869"/>
        </w:tabs>
        <w:snapToGrid w:val="0"/>
        <w:spacing w:line="500" w:lineRule="atLeast"/>
        <w:rPr>
          <w:rFonts w:ascii="宋体" w:hAnsi="宋体"/>
          <w:b/>
          <w:color w:val="auto"/>
          <w:sz w:val="24"/>
          <w:highlight w:val="none"/>
        </w:rPr>
      </w:pPr>
      <w:r>
        <w:rPr>
          <w:color w:val="auto"/>
          <w:highlight w:val="none"/>
        </w:rPr>
        <w:fldChar w:fldCharType="begin"/>
      </w:r>
      <w:r>
        <w:rPr>
          <w:color w:val="auto"/>
          <w:highlight w:val="none"/>
        </w:rPr>
        <w:instrText xml:space="preserve"> HYPERLINK \l "_Toc74323458" </w:instrText>
      </w:r>
      <w:r>
        <w:rPr>
          <w:color w:val="auto"/>
          <w:highlight w:val="none"/>
        </w:rPr>
        <w:fldChar w:fldCharType="separate"/>
      </w:r>
      <w:r>
        <w:rPr>
          <w:rStyle w:val="21"/>
          <w:rFonts w:hint="eastAsia" w:ascii="宋体" w:hAnsi="宋体"/>
          <w:b/>
          <w:color w:val="auto"/>
          <w:sz w:val="24"/>
          <w:highlight w:val="none"/>
        </w:rPr>
        <w:t>第三章</w:t>
      </w:r>
      <w:r>
        <w:rPr>
          <w:rStyle w:val="21"/>
          <w:rFonts w:ascii="宋体" w:hAnsi="宋体"/>
          <w:b/>
          <w:color w:val="auto"/>
          <w:sz w:val="24"/>
          <w:highlight w:val="none"/>
        </w:rPr>
        <w:t xml:space="preserve"> </w:t>
      </w:r>
      <w:r>
        <w:rPr>
          <w:rStyle w:val="21"/>
          <w:rFonts w:hint="eastAsia" w:ascii="宋体" w:hAnsi="宋体"/>
          <w:b/>
          <w:color w:val="auto"/>
          <w:sz w:val="24"/>
          <w:highlight w:val="none"/>
        </w:rPr>
        <w:t>采购需</w:t>
      </w:r>
      <w:bookmarkStart w:id="1" w:name="_Hlt82166940"/>
      <w:r>
        <w:rPr>
          <w:rStyle w:val="21"/>
          <w:rFonts w:hint="eastAsia" w:ascii="宋体" w:hAnsi="宋体"/>
          <w:b/>
          <w:color w:val="auto"/>
          <w:sz w:val="24"/>
          <w:highlight w:val="none"/>
        </w:rPr>
        <w:t>求</w:t>
      </w:r>
      <w:bookmarkEnd w:id="1"/>
      <w:r>
        <w:rPr>
          <w:rFonts w:ascii="宋体" w:hAnsi="宋体"/>
          <w:b/>
          <w:color w:val="auto"/>
          <w:sz w:val="24"/>
          <w:highlight w:val="none"/>
        </w:rPr>
        <w:tab/>
      </w:r>
      <w:r>
        <w:rPr>
          <w:rFonts w:hint="eastAsia" w:ascii="宋体" w:hAnsi="宋体"/>
          <w:b/>
          <w:color w:val="auto"/>
          <w:sz w:val="24"/>
          <w:highlight w:val="none"/>
        </w:rPr>
        <w:t>2</w:t>
      </w:r>
      <w:r>
        <w:rPr>
          <w:rFonts w:hint="eastAsia" w:ascii="宋体" w:hAnsi="宋体"/>
          <w:b/>
          <w:color w:val="auto"/>
          <w:sz w:val="24"/>
          <w:highlight w:val="none"/>
        </w:rPr>
        <w:fldChar w:fldCharType="end"/>
      </w:r>
      <w:r>
        <w:rPr>
          <w:rFonts w:hint="eastAsia" w:ascii="宋体" w:hAnsi="宋体"/>
          <w:b/>
          <w:color w:val="auto"/>
          <w:sz w:val="24"/>
          <w:highlight w:val="none"/>
        </w:rPr>
        <w:t>3</w:t>
      </w:r>
    </w:p>
    <w:p>
      <w:pPr>
        <w:pStyle w:val="15"/>
        <w:tabs>
          <w:tab w:val="right" w:leader="dot" w:pos="8869"/>
        </w:tabs>
        <w:snapToGrid w:val="0"/>
        <w:spacing w:line="500" w:lineRule="atLeast"/>
        <w:rPr>
          <w:rFonts w:ascii="宋体" w:hAnsi="宋体"/>
          <w:b/>
          <w:color w:val="auto"/>
          <w:sz w:val="24"/>
          <w:highlight w:val="none"/>
        </w:rPr>
      </w:pPr>
      <w:r>
        <w:rPr>
          <w:color w:val="auto"/>
          <w:highlight w:val="none"/>
        </w:rPr>
        <w:fldChar w:fldCharType="begin"/>
      </w:r>
      <w:r>
        <w:rPr>
          <w:color w:val="auto"/>
          <w:highlight w:val="none"/>
        </w:rPr>
        <w:instrText xml:space="preserve"> HYPERLINK \l "_Toc74323459" </w:instrText>
      </w:r>
      <w:r>
        <w:rPr>
          <w:color w:val="auto"/>
          <w:highlight w:val="none"/>
        </w:rPr>
        <w:fldChar w:fldCharType="separate"/>
      </w:r>
      <w:r>
        <w:rPr>
          <w:rStyle w:val="21"/>
          <w:rFonts w:hint="eastAsia" w:ascii="宋体" w:hAnsi="宋体"/>
          <w:b/>
          <w:color w:val="auto"/>
          <w:sz w:val="24"/>
          <w:highlight w:val="none"/>
        </w:rPr>
        <w:t>第四章</w:t>
      </w:r>
      <w:r>
        <w:rPr>
          <w:rStyle w:val="21"/>
          <w:rFonts w:ascii="宋体" w:hAnsi="宋体"/>
          <w:b/>
          <w:color w:val="auto"/>
          <w:sz w:val="24"/>
          <w:highlight w:val="none"/>
        </w:rPr>
        <w:t xml:space="preserve"> </w:t>
      </w:r>
      <w:r>
        <w:rPr>
          <w:rStyle w:val="21"/>
          <w:rFonts w:hint="eastAsia" w:ascii="宋体" w:hAnsi="宋体"/>
          <w:b/>
          <w:color w:val="auto"/>
          <w:sz w:val="24"/>
          <w:highlight w:val="none"/>
        </w:rPr>
        <w:t>评审程序、</w:t>
      </w:r>
      <w:bookmarkStart w:id="2" w:name="_Hlt82166000"/>
      <w:r>
        <w:rPr>
          <w:rStyle w:val="21"/>
          <w:rFonts w:hint="eastAsia" w:ascii="宋体" w:hAnsi="宋体"/>
          <w:b/>
          <w:color w:val="auto"/>
          <w:sz w:val="24"/>
          <w:highlight w:val="none"/>
        </w:rPr>
        <w:t>评</w:t>
      </w:r>
      <w:bookmarkEnd w:id="2"/>
      <w:r>
        <w:rPr>
          <w:rStyle w:val="21"/>
          <w:rFonts w:hint="eastAsia" w:ascii="宋体" w:hAnsi="宋体"/>
          <w:b/>
          <w:color w:val="auto"/>
          <w:sz w:val="24"/>
          <w:highlight w:val="none"/>
        </w:rPr>
        <w:t>审方法和评审标准</w:t>
      </w:r>
      <w:r>
        <w:rPr>
          <w:rFonts w:ascii="宋体" w:hAnsi="宋体"/>
          <w:b/>
          <w:color w:val="auto"/>
          <w:sz w:val="24"/>
          <w:highlight w:val="none"/>
        </w:rPr>
        <w:tab/>
      </w:r>
      <w:r>
        <w:rPr>
          <w:rFonts w:ascii="宋体" w:hAnsi="宋体"/>
          <w:b/>
          <w:color w:val="auto"/>
          <w:sz w:val="24"/>
          <w:highlight w:val="none"/>
        </w:rPr>
        <w:fldChar w:fldCharType="begin"/>
      </w:r>
      <w:r>
        <w:rPr>
          <w:rFonts w:ascii="宋体" w:hAnsi="宋体"/>
          <w:b/>
          <w:color w:val="auto"/>
          <w:sz w:val="24"/>
          <w:highlight w:val="none"/>
        </w:rPr>
        <w:instrText xml:space="preserve"> PAGEREF _Toc74323459 \h </w:instrText>
      </w:r>
      <w:r>
        <w:rPr>
          <w:rFonts w:ascii="宋体" w:hAnsi="宋体"/>
          <w:b/>
          <w:color w:val="auto"/>
          <w:sz w:val="24"/>
          <w:highlight w:val="none"/>
        </w:rPr>
        <w:fldChar w:fldCharType="separate"/>
      </w:r>
      <w:r>
        <w:rPr>
          <w:rFonts w:ascii="宋体" w:hAnsi="宋体"/>
          <w:b/>
          <w:color w:val="auto"/>
          <w:sz w:val="24"/>
          <w:highlight w:val="none"/>
        </w:rPr>
        <w:t>3</w:t>
      </w:r>
      <w:r>
        <w:rPr>
          <w:rFonts w:hint="eastAsia" w:ascii="宋体" w:hAnsi="宋体"/>
          <w:b/>
          <w:color w:val="auto"/>
          <w:sz w:val="24"/>
          <w:highlight w:val="none"/>
        </w:rPr>
        <w:t>1</w:t>
      </w:r>
      <w:r>
        <w:rPr>
          <w:rFonts w:ascii="宋体" w:hAnsi="宋体"/>
          <w:b/>
          <w:color w:val="auto"/>
          <w:sz w:val="24"/>
          <w:highlight w:val="none"/>
        </w:rPr>
        <w:fldChar w:fldCharType="end"/>
      </w:r>
      <w:r>
        <w:rPr>
          <w:rFonts w:ascii="宋体" w:hAnsi="宋体"/>
          <w:b/>
          <w:color w:val="auto"/>
          <w:sz w:val="24"/>
          <w:highlight w:val="none"/>
        </w:rPr>
        <w:fldChar w:fldCharType="end"/>
      </w:r>
    </w:p>
    <w:p>
      <w:pPr>
        <w:pStyle w:val="15"/>
        <w:tabs>
          <w:tab w:val="right" w:leader="dot" w:pos="8869"/>
        </w:tabs>
        <w:snapToGrid w:val="0"/>
        <w:spacing w:line="500" w:lineRule="atLeast"/>
        <w:rPr>
          <w:rFonts w:ascii="宋体" w:hAnsi="宋体"/>
          <w:b/>
          <w:color w:val="auto"/>
          <w:sz w:val="24"/>
          <w:highlight w:val="none"/>
        </w:rPr>
      </w:pPr>
      <w:r>
        <w:rPr>
          <w:color w:val="auto"/>
          <w:highlight w:val="none"/>
        </w:rPr>
        <w:fldChar w:fldCharType="begin"/>
      </w:r>
      <w:r>
        <w:rPr>
          <w:color w:val="auto"/>
          <w:highlight w:val="none"/>
        </w:rPr>
        <w:instrText xml:space="preserve"> HYPERLINK \l "_Toc74323460" </w:instrText>
      </w:r>
      <w:r>
        <w:rPr>
          <w:color w:val="auto"/>
          <w:highlight w:val="none"/>
        </w:rPr>
        <w:fldChar w:fldCharType="separate"/>
      </w:r>
      <w:r>
        <w:rPr>
          <w:rStyle w:val="21"/>
          <w:rFonts w:hint="eastAsia" w:ascii="宋体" w:hAnsi="宋体"/>
          <w:b/>
          <w:color w:val="auto"/>
          <w:sz w:val="24"/>
          <w:highlight w:val="none"/>
        </w:rPr>
        <w:t>第五章</w:t>
      </w:r>
      <w:r>
        <w:rPr>
          <w:rStyle w:val="21"/>
          <w:rFonts w:ascii="宋体" w:hAnsi="宋体"/>
          <w:b/>
          <w:color w:val="auto"/>
          <w:sz w:val="24"/>
          <w:highlight w:val="none"/>
        </w:rPr>
        <w:t xml:space="preserve"> </w:t>
      </w:r>
      <w:r>
        <w:rPr>
          <w:rStyle w:val="21"/>
          <w:rFonts w:hint="eastAsia" w:ascii="宋体" w:hAnsi="宋体"/>
          <w:b/>
          <w:color w:val="auto"/>
          <w:sz w:val="24"/>
          <w:highlight w:val="none"/>
        </w:rPr>
        <w:t>响应文件格式</w:t>
      </w:r>
      <w:r>
        <w:rPr>
          <w:rFonts w:ascii="宋体" w:hAnsi="宋体"/>
          <w:b/>
          <w:color w:val="auto"/>
          <w:sz w:val="24"/>
          <w:highlight w:val="none"/>
        </w:rPr>
        <w:tab/>
      </w:r>
      <w:r>
        <w:rPr>
          <w:rFonts w:hint="eastAsia" w:ascii="宋体" w:hAnsi="宋体"/>
          <w:b/>
          <w:color w:val="auto"/>
          <w:sz w:val="24"/>
          <w:highlight w:val="none"/>
        </w:rPr>
        <w:t>3</w:t>
      </w:r>
      <w:r>
        <w:rPr>
          <w:rFonts w:hint="eastAsia" w:ascii="宋体" w:hAnsi="宋体"/>
          <w:b/>
          <w:color w:val="auto"/>
          <w:sz w:val="24"/>
          <w:highlight w:val="none"/>
        </w:rPr>
        <w:fldChar w:fldCharType="end"/>
      </w:r>
      <w:r>
        <w:rPr>
          <w:rFonts w:hint="eastAsia" w:ascii="宋体" w:hAnsi="宋体"/>
          <w:b/>
          <w:color w:val="auto"/>
          <w:sz w:val="24"/>
          <w:highlight w:val="none"/>
        </w:rPr>
        <w:t>9</w:t>
      </w:r>
    </w:p>
    <w:p>
      <w:pPr>
        <w:pStyle w:val="15"/>
        <w:tabs>
          <w:tab w:val="right" w:leader="dot" w:pos="8869"/>
        </w:tabs>
        <w:snapToGrid w:val="0"/>
        <w:spacing w:line="500" w:lineRule="atLeast"/>
        <w:rPr>
          <w:rFonts w:ascii="宋体" w:hAnsi="宋体"/>
          <w:color w:val="auto"/>
          <w:sz w:val="24"/>
          <w:highlight w:val="none"/>
        </w:rPr>
      </w:pPr>
      <w:r>
        <w:rPr>
          <w:color w:val="auto"/>
          <w:highlight w:val="none"/>
        </w:rPr>
        <w:fldChar w:fldCharType="begin"/>
      </w:r>
      <w:r>
        <w:rPr>
          <w:color w:val="auto"/>
          <w:highlight w:val="none"/>
        </w:rPr>
        <w:instrText xml:space="preserve"> HYPERLINK \l "_Toc74323461" </w:instrText>
      </w:r>
      <w:r>
        <w:rPr>
          <w:color w:val="auto"/>
          <w:highlight w:val="none"/>
        </w:rPr>
        <w:fldChar w:fldCharType="separate"/>
      </w:r>
      <w:r>
        <w:rPr>
          <w:rStyle w:val="21"/>
          <w:rFonts w:hint="eastAsia" w:ascii="宋体" w:hAnsi="宋体"/>
          <w:b/>
          <w:color w:val="auto"/>
          <w:sz w:val="24"/>
          <w:highlight w:val="none"/>
        </w:rPr>
        <w:t>第六章</w:t>
      </w:r>
      <w:r>
        <w:rPr>
          <w:rStyle w:val="21"/>
          <w:rFonts w:ascii="宋体" w:hAnsi="宋体"/>
          <w:b/>
          <w:color w:val="auto"/>
          <w:sz w:val="24"/>
          <w:highlight w:val="none"/>
        </w:rPr>
        <w:t xml:space="preserve"> </w:t>
      </w:r>
      <w:r>
        <w:rPr>
          <w:rStyle w:val="21"/>
          <w:rFonts w:hint="eastAsia" w:ascii="宋体" w:hAnsi="宋体"/>
          <w:b/>
          <w:color w:val="auto"/>
          <w:sz w:val="24"/>
          <w:highlight w:val="none"/>
        </w:rPr>
        <w:t>合同文本</w:t>
      </w:r>
      <w:r>
        <w:rPr>
          <w:rFonts w:ascii="宋体" w:hAnsi="宋体"/>
          <w:b/>
          <w:color w:val="auto"/>
          <w:sz w:val="24"/>
          <w:highlight w:val="none"/>
        </w:rPr>
        <w:tab/>
      </w:r>
      <w:r>
        <w:rPr>
          <w:rFonts w:hint="eastAsia" w:ascii="宋体" w:hAnsi="宋体"/>
          <w:b/>
          <w:color w:val="auto"/>
          <w:sz w:val="24"/>
          <w:highlight w:val="none"/>
        </w:rPr>
        <w:t>6</w:t>
      </w:r>
      <w:r>
        <w:rPr>
          <w:rFonts w:hint="eastAsia" w:ascii="宋体" w:hAnsi="宋体"/>
          <w:b/>
          <w:color w:val="auto"/>
          <w:sz w:val="24"/>
          <w:highlight w:val="none"/>
        </w:rPr>
        <w:fldChar w:fldCharType="end"/>
      </w:r>
      <w:r>
        <w:rPr>
          <w:rFonts w:hint="eastAsia" w:ascii="宋体" w:hAnsi="宋体"/>
          <w:b/>
          <w:color w:val="auto"/>
          <w:sz w:val="24"/>
          <w:highlight w:val="none"/>
        </w:rPr>
        <w:t>6</w:t>
      </w:r>
    </w:p>
    <w:p>
      <w:pPr>
        <w:pStyle w:val="16"/>
        <w:tabs>
          <w:tab w:val="right" w:leader="dot" w:pos="8931"/>
          <w:tab w:val="clear" w:pos="8296"/>
        </w:tabs>
        <w:snapToGrid w:val="0"/>
        <w:spacing w:line="500" w:lineRule="atLeast"/>
        <w:ind w:left="0" w:leftChars="0"/>
        <w:rPr>
          <w:rFonts w:ascii="宋体" w:hAnsi="宋体"/>
          <w:b/>
          <w:color w:val="auto"/>
          <w:sz w:val="24"/>
          <w:highlight w:val="none"/>
        </w:rPr>
      </w:pPr>
      <w:r>
        <w:rPr>
          <w:rFonts w:ascii="宋体" w:hAnsi="宋体"/>
          <w:b/>
          <w:color w:val="auto"/>
          <w:sz w:val="24"/>
          <w:highlight w:val="none"/>
        </w:rPr>
        <w:fldChar w:fldCharType="end"/>
      </w:r>
    </w:p>
    <w:p>
      <w:pPr>
        <w:spacing w:line="400" w:lineRule="exact"/>
        <w:jc w:val="left"/>
        <w:rPr>
          <w:rFonts w:ascii="宋体" w:hAnsi="宋体"/>
          <w:b/>
          <w:color w:val="auto"/>
          <w:sz w:val="32"/>
          <w:szCs w:val="32"/>
          <w:highlight w:val="none"/>
        </w:rPr>
      </w:pPr>
    </w:p>
    <w:p>
      <w:pPr>
        <w:spacing w:line="400" w:lineRule="exact"/>
        <w:jc w:val="center"/>
        <w:rPr>
          <w:rFonts w:ascii="宋体" w:hAnsi="宋体"/>
          <w:b/>
          <w:color w:val="auto"/>
          <w:sz w:val="32"/>
          <w:szCs w:val="32"/>
          <w:highlight w:val="none"/>
        </w:rPr>
      </w:pPr>
    </w:p>
    <w:p>
      <w:pPr>
        <w:spacing w:line="400" w:lineRule="exact"/>
        <w:jc w:val="center"/>
        <w:rPr>
          <w:rFonts w:ascii="宋体" w:hAnsi="宋体"/>
          <w:b/>
          <w:color w:val="auto"/>
          <w:sz w:val="32"/>
          <w:szCs w:val="32"/>
          <w:highlight w:val="none"/>
        </w:rPr>
      </w:pPr>
    </w:p>
    <w:p>
      <w:pPr>
        <w:spacing w:line="400" w:lineRule="exact"/>
        <w:jc w:val="center"/>
        <w:rPr>
          <w:rFonts w:ascii="宋体" w:hAnsi="宋体"/>
          <w:b/>
          <w:color w:val="auto"/>
          <w:sz w:val="32"/>
          <w:szCs w:val="32"/>
          <w:highlight w:val="none"/>
        </w:rPr>
      </w:pPr>
    </w:p>
    <w:p>
      <w:pPr>
        <w:spacing w:line="400" w:lineRule="exact"/>
        <w:jc w:val="center"/>
        <w:rPr>
          <w:rFonts w:ascii="宋体" w:hAnsi="宋体"/>
          <w:b/>
          <w:color w:val="auto"/>
          <w:sz w:val="32"/>
          <w:szCs w:val="32"/>
          <w:highlight w:val="none"/>
        </w:rPr>
      </w:pPr>
    </w:p>
    <w:p>
      <w:pPr>
        <w:spacing w:line="400" w:lineRule="exact"/>
        <w:rPr>
          <w:rFonts w:ascii="宋体" w:hAnsi="宋体"/>
          <w:b/>
          <w:color w:val="auto"/>
          <w:sz w:val="32"/>
          <w:szCs w:val="32"/>
          <w:highlight w:val="none"/>
        </w:rPr>
        <w:sectPr>
          <w:headerReference r:id="rId4" w:type="first"/>
          <w:footerReference r:id="rId6" w:type="first"/>
          <w:headerReference r:id="rId3" w:type="default"/>
          <w:footerReference r:id="rId5" w:type="default"/>
          <w:pgSz w:w="11906" w:h="16838"/>
          <w:pgMar w:top="1440" w:right="1440" w:bottom="1440" w:left="1587" w:header="851" w:footer="992" w:gutter="0"/>
          <w:pgNumType w:start="0"/>
          <w:cols w:space="720" w:num="1"/>
          <w:titlePg/>
          <w:docGrid w:type="lines" w:linePitch="312" w:charSpace="0"/>
        </w:sectPr>
      </w:pPr>
    </w:p>
    <w:p>
      <w:pPr>
        <w:pStyle w:val="3"/>
        <w:spacing w:line="360" w:lineRule="auto"/>
        <w:jc w:val="center"/>
        <w:rPr>
          <w:rFonts w:ascii="宋体" w:hAnsi="宋体"/>
          <w:b w:val="0"/>
          <w:bCs w:val="0"/>
          <w:color w:val="auto"/>
          <w:sz w:val="32"/>
          <w:szCs w:val="32"/>
          <w:highlight w:val="none"/>
        </w:rPr>
      </w:pPr>
      <w:bookmarkStart w:id="3" w:name="_Toc74323456"/>
      <w:r>
        <w:rPr>
          <w:rFonts w:hint="eastAsia"/>
          <w:color w:val="auto"/>
          <w:highlight w:val="none"/>
        </w:rPr>
        <w:t>第一章 竞争性磋商公告</w:t>
      </w:r>
      <w:bookmarkEnd w:id="3"/>
    </w:p>
    <w:p>
      <w:pPr>
        <w:pStyle w:val="12"/>
        <w:jc w:val="center"/>
        <w:rPr>
          <w:b/>
          <w:color w:val="auto"/>
          <w:sz w:val="36"/>
          <w:szCs w:val="36"/>
          <w:highlight w:val="none"/>
        </w:rPr>
      </w:pPr>
      <w:r>
        <w:rPr>
          <w:rFonts w:hint="eastAsia"/>
          <w:b/>
          <w:color w:val="auto"/>
          <w:sz w:val="36"/>
          <w:szCs w:val="36"/>
          <w:highlight w:val="none"/>
        </w:rPr>
        <w:t>广西科文招标有限公司</w:t>
      </w:r>
    </w:p>
    <w:p>
      <w:pPr>
        <w:jc w:val="center"/>
        <w:rPr>
          <w:rFonts w:ascii="宋体" w:hAnsi="Courier New"/>
          <w:b/>
          <w:color w:val="auto"/>
          <w:kern w:val="0"/>
          <w:sz w:val="36"/>
          <w:szCs w:val="36"/>
          <w:highlight w:val="none"/>
        </w:rPr>
      </w:pPr>
      <w:r>
        <w:rPr>
          <w:rFonts w:hint="eastAsia" w:ascii="宋体" w:hAnsi="Courier New"/>
          <w:b/>
          <w:color w:val="auto"/>
          <w:sz w:val="36"/>
          <w:szCs w:val="36"/>
          <w:highlight w:val="none"/>
        </w:rPr>
        <w:t>2022年第三方运维服务项目（GXZC2022-C3-000629-KWZB）</w:t>
      </w:r>
      <w:r>
        <w:rPr>
          <w:rFonts w:hint="eastAsia" w:ascii="宋体" w:hAnsi="Courier New"/>
          <w:b/>
          <w:color w:val="auto"/>
          <w:kern w:val="0"/>
          <w:sz w:val="36"/>
          <w:szCs w:val="36"/>
          <w:highlight w:val="none"/>
        </w:rPr>
        <w:t>竞争性磋商公告</w:t>
      </w:r>
    </w:p>
    <w:p>
      <w:pPr>
        <w:spacing w:line="360" w:lineRule="auto"/>
        <w:jc w:val="center"/>
        <w:rPr>
          <w:rFonts w:ascii="宋体" w:hAnsi="宋体"/>
          <w:color w:val="auto"/>
          <w:szCs w:val="21"/>
          <w:highlight w:val="none"/>
        </w:rPr>
      </w:pP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auto"/>
          <w:szCs w:val="21"/>
          <w:highlight w:val="none"/>
        </w:rPr>
      </w:pPr>
      <w:bookmarkStart w:id="4" w:name="_Hlk37430271"/>
      <w:r>
        <w:rPr>
          <w:rFonts w:hint="eastAsia" w:ascii="宋体" w:hAnsi="宋体"/>
          <w:color w:val="auto"/>
          <w:szCs w:val="21"/>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2022年第三方运维服务项目采购项目的潜在供应商应在政采云平台（https://www.zcygov.cn/）获取（下载）竞争性磋商文件，并于2022年4月</w:t>
      </w:r>
      <w:r>
        <w:rPr>
          <w:rFonts w:hint="eastAsia" w:ascii="宋体" w:hAnsi="宋体"/>
          <w:color w:val="auto"/>
          <w:szCs w:val="21"/>
          <w:highlight w:val="none"/>
          <w:lang w:val="en-US" w:eastAsia="zh-CN"/>
        </w:rPr>
        <w:t>26</w:t>
      </w:r>
      <w:r>
        <w:rPr>
          <w:rFonts w:hint="eastAsia" w:ascii="宋体" w:hAnsi="宋体"/>
          <w:color w:val="auto"/>
          <w:szCs w:val="21"/>
          <w:highlight w:val="none"/>
        </w:rPr>
        <w:t>日</w:t>
      </w:r>
      <w:r>
        <w:rPr>
          <w:rFonts w:hint="eastAsia" w:ascii="宋体" w:hAnsi="宋体"/>
          <w:color w:val="auto"/>
          <w:szCs w:val="21"/>
          <w:highlight w:val="none"/>
          <w:lang w:val="en-US" w:eastAsia="zh-CN"/>
        </w:rPr>
        <w:t>15</w:t>
      </w:r>
      <w:r>
        <w:rPr>
          <w:rFonts w:hint="eastAsia" w:ascii="宋体" w:hAnsi="宋体"/>
          <w:color w:val="auto"/>
          <w:szCs w:val="21"/>
          <w:highlight w:val="none"/>
        </w:rPr>
        <w:t>时00分</w:t>
      </w:r>
      <w:r>
        <w:rPr>
          <w:rFonts w:hint="eastAsia" w:ascii="宋体" w:hAnsi="宋体"/>
          <w:bCs/>
          <w:color w:val="auto"/>
          <w:szCs w:val="21"/>
          <w:highlight w:val="none"/>
        </w:rPr>
        <w:t>（北京时间）前提交响应</w:t>
      </w:r>
      <w:r>
        <w:rPr>
          <w:rFonts w:ascii="宋体" w:hAnsi="宋体"/>
          <w:bCs/>
          <w:color w:val="auto"/>
          <w:szCs w:val="21"/>
          <w:highlight w:val="none"/>
        </w:rPr>
        <w:t>文件</w:t>
      </w:r>
      <w:r>
        <w:rPr>
          <w:rFonts w:hint="eastAsia" w:ascii="宋体" w:hAnsi="宋体"/>
          <w:color w:val="auto"/>
          <w:szCs w:val="21"/>
          <w:highlight w:val="none"/>
        </w:rPr>
        <w:t>。</w:t>
      </w:r>
    </w:p>
    <w:p>
      <w:pPr>
        <w:spacing w:line="360" w:lineRule="auto"/>
        <w:ind w:firstLine="354" w:firstLineChars="147"/>
        <w:rPr>
          <w:rFonts w:ascii="黑体" w:hAnsi="黑体" w:eastAsia="黑体"/>
          <w:b/>
          <w:color w:val="auto"/>
          <w:sz w:val="24"/>
          <w:highlight w:val="none"/>
        </w:rPr>
      </w:pPr>
      <w:bookmarkStart w:id="5" w:name="_Toc71365905"/>
      <w:bookmarkStart w:id="6" w:name="_Toc44229878"/>
      <w:bookmarkStart w:id="7" w:name="_Toc28359012"/>
      <w:bookmarkStart w:id="8" w:name="_Toc35393798"/>
      <w:bookmarkStart w:id="9" w:name="_Toc35393629"/>
      <w:bookmarkStart w:id="10" w:name="_Toc28359089"/>
    </w:p>
    <w:bookmarkEnd w:id="5"/>
    <w:bookmarkEnd w:id="6"/>
    <w:bookmarkEnd w:id="7"/>
    <w:bookmarkEnd w:id="8"/>
    <w:bookmarkEnd w:id="9"/>
    <w:bookmarkEnd w:id="10"/>
    <w:p>
      <w:pPr>
        <w:spacing w:line="360" w:lineRule="auto"/>
        <w:ind w:firstLine="354" w:firstLineChars="147"/>
        <w:rPr>
          <w:rFonts w:ascii="黑体" w:hAnsi="黑体" w:eastAsia="黑体"/>
          <w:b/>
          <w:color w:val="auto"/>
          <w:sz w:val="24"/>
          <w:highlight w:val="none"/>
        </w:rPr>
      </w:pPr>
      <w:bookmarkStart w:id="11" w:name="_Hlk37429674"/>
      <w:bookmarkStart w:id="12" w:name="_Toc44229885"/>
      <w:bookmarkStart w:id="13" w:name="_Toc35393636"/>
      <w:bookmarkStart w:id="14" w:name="_Toc28359095"/>
      <w:bookmarkStart w:id="15" w:name="_Toc35393805"/>
      <w:bookmarkStart w:id="16" w:name="_Toc28359018"/>
      <w:r>
        <w:rPr>
          <w:rFonts w:hint="eastAsia" w:ascii="黑体" w:hAnsi="黑体" w:eastAsia="黑体"/>
          <w:b/>
          <w:color w:val="auto"/>
          <w:sz w:val="24"/>
          <w:highlight w:val="none"/>
        </w:rPr>
        <w:t>一、项目基本情况</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项目编号：GXZC2022-C3-000629-KWZB</w:t>
      </w:r>
    </w:p>
    <w:p>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项目名称：2022年第三方运维服务项目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采购方式：竞争性磋商</w:t>
      </w:r>
    </w:p>
    <w:p>
      <w:pPr>
        <w:spacing w:line="360" w:lineRule="auto"/>
        <w:ind w:firstLine="420" w:firstLineChars="200"/>
        <w:rPr>
          <w:rFonts w:ascii="宋体" w:hAnsi="宋体"/>
          <w:color w:val="auto"/>
          <w:szCs w:val="21"/>
          <w:highlight w:val="none"/>
        </w:rPr>
      </w:pPr>
      <w:r>
        <w:rPr>
          <w:rFonts w:hint="eastAsia" w:ascii="宋体" w:hAnsi="宋体"/>
          <w:color w:val="auto"/>
          <w:highlight w:val="none"/>
        </w:rPr>
        <w:t>预算总金额：132万元，其中包1：90万元，包2：42万元</w:t>
      </w:r>
      <w:r>
        <w:rPr>
          <w:rFonts w:hint="eastAsia" w:ascii="宋体" w:hAnsi="宋体"/>
          <w:color w:val="auto"/>
          <w:szCs w:val="21"/>
          <w:highlight w:val="none"/>
        </w:rPr>
        <w:t>。</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最高限价：</w:t>
      </w:r>
      <w:r>
        <w:rPr>
          <w:rFonts w:hint="eastAsia" w:ascii="宋体" w:hAnsi="宋体"/>
          <w:color w:val="auto"/>
          <w:highlight w:val="none"/>
        </w:rPr>
        <w:t>与预算金额一致</w:t>
      </w:r>
      <w:r>
        <w:rPr>
          <w:rFonts w:hint="eastAsia" w:ascii="宋体" w:hAnsi="宋体"/>
          <w:color w:val="auto"/>
          <w:szCs w:val="21"/>
          <w:highlight w:val="none"/>
        </w:rPr>
        <w:t>。</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采购需求：包1：挥发性有机物监测系统、颗粒物组分网第三方运维服务，大气颗粒物组分网手工监测服务；</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包2：功能区噪声自动监测站第三方运维服务，空气质量流动监测车第三方运维服务，国控清洁对照点、区控空气自动站第三方运维服务。</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合同履行期限：合同签订之日起一年</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本项目（是</w:t>
      </w:r>
      <w:r>
        <w:rPr>
          <w:rFonts w:ascii="宋体" w:hAnsi="宋体"/>
          <w:color w:val="auto"/>
          <w:szCs w:val="21"/>
          <w:highlight w:val="none"/>
        </w:rPr>
        <w:t>/否</w:t>
      </w:r>
      <w:r>
        <w:rPr>
          <w:rFonts w:hint="eastAsia" w:ascii="宋体" w:hAnsi="宋体"/>
          <w:color w:val="auto"/>
          <w:szCs w:val="21"/>
          <w:highlight w:val="none"/>
        </w:rPr>
        <w:t>）接受联合体：不接受</w:t>
      </w:r>
    </w:p>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二、申请人的资格条件：</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1、满足《中华人民共和国政府采购法》第二十二条规定；</w:t>
      </w:r>
    </w:p>
    <w:p>
      <w:pPr>
        <w:spacing w:line="360" w:lineRule="auto"/>
        <w:ind w:firstLine="420" w:firstLineChars="200"/>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、落实政府采购政策需满足的资格要求：</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包1：</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□专门面向中小企业采购的项目（供应商应为中小微企业或监狱企业或残疾人福利性单位)</w:t>
      </w:r>
    </w:p>
    <w:p>
      <w:pPr>
        <w:spacing w:line="360" w:lineRule="auto"/>
        <w:ind w:firstLine="420" w:firstLineChars="200"/>
        <w:rPr>
          <w:rFonts w:ascii="宋体" w:hAnsi="宋体"/>
          <w:color w:val="auto"/>
          <w:szCs w:val="21"/>
          <w:highlight w:val="none"/>
          <w:u w:val="single"/>
        </w:rPr>
      </w:pPr>
      <w:r>
        <w:rPr>
          <w:rFonts w:hint="eastAsia" w:ascii="MS Mincho" w:hAnsi="MS Mincho" w:cs="MS Mincho"/>
          <w:color w:val="auto"/>
          <w:szCs w:val="21"/>
          <w:highlight w:val="none"/>
        </w:rPr>
        <w:t>☑</w:t>
      </w:r>
      <w:r>
        <w:rPr>
          <w:rFonts w:hint="eastAsia" w:ascii="宋体" w:hAnsi="宋体"/>
          <w:color w:val="auto"/>
          <w:szCs w:val="21"/>
          <w:highlight w:val="none"/>
        </w:rPr>
        <w:t>非专门面向中小企业采购的项目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包2：</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☑专门面向中小企业采购的项目（供应商应为中小微企业或监狱企业或残疾人福利性单位)</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□非专门面向中小企业采购的项目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3、本项目的特定资格要求：无</w:t>
      </w:r>
    </w:p>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三、获取竞争性磋商文件</w:t>
      </w:r>
    </w:p>
    <w:p>
      <w:pPr>
        <w:spacing w:line="360" w:lineRule="auto"/>
        <w:ind w:firstLine="420" w:firstLineChars="200"/>
        <w:rPr>
          <w:rFonts w:ascii="宋体" w:hAnsi="宋体" w:cs="宋体"/>
          <w:bCs/>
          <w:color w:val="auto"/>
          <w:kern w:val="0"/>
          <w:szCs w:val="21"/>
          <w:highlight w:val="none"/>
        </w:rPr>
      </w:pPr>
      <w:r>
        <w:rPr>
          <w:rFonts w:hint="eastAsia" w:ascii="宋体" w:hAnsi="宋体" w:cs="宋体"/>
          <w:bCs/>
          <w:color w:val="auto"/>
          <w:kern w:val="0"/>
          <w:szCs w:val="21"/>
          <w:highlight w:val="none"/>
        </w:rPr>
        <w:t>时间：</w:t>
      </w:r>
      <w:r>
        <w:rPr>
          <w:rFonts w:hint="eastAsia" w:ascii="宋体" w:hAnsi="宋体" w:cs="Arial"/>
          <w:color w:val="auto"/>
          <w:highlight w:val="none"/>
        </w:rPr>
        <w:t>2022年4月</w:t>
      </w:r>
      <w:r>
        <w:rPr>
          <w:rFonts w:hint="eastAsia" w:ascii="宋体" w:hAnsi="宋体" w:cs="Arial"/>
          <w:color w:val="auto"/>
          <w:highlight w:val="none"/>
          <w:lang w:val="en-US" w:eastAsia="zh-CN"/>
        </w:rPr>
        <w:t>15</w:t>
      </w:r>
      <w:r>
        <w:rPr>
          <w:rFonts w:hint="eastAsia" w:ascii="宋体" w:hAnsi="宋体" w:cs="Arial"/>
          <w:color w:val="auto"/>
          <w:highlight w:val="none"/>
        </w:rPr>
        <w:t>日</w:t>
      </w:r>
      <w:r>
        <w:rPr>
          <w:rFonts w:hint="eastAsia" w:ascii="宋体" w:hAnsi="宋体" w:cs="Arial"/>
          <w:color w:val="auto"/>
          <w:szCs w:val="21"/>
          <w:highlight w:val="none"/>
        </w:rPr>
        <w:t>至</w:t>
      </w:r>
      <w:r>
        <w:rPr>
          <w:rFonts w:hint="eastAsia" w:ascii="宋体" w:hAnsi="宋体" w:cs="Arial"/>
          <w:color w:val="auto"/>
          <w:highlight w:val="none"/>
        </w:rPr>
        <w:t>2022年4月</w:t>
      </w:r>
      <w:r>
        <w:rPr>
          <w:rFonts w:hint="eastAsia" w:ascii="宋体" w:hAnsi="宋体" w:cs="Arial"/>
          <w:color w:val="auto"/>
          <w:highlight w:val="none"/>
          <w:lang w:val="en-US" w:eastAsia="zh-CN"/>
        </w:rPr>
        <w:t>22</w:t>
      </w:r>
      <w:r>
        <w:rPr>
          <w:rFonts w:hint="eastAsia" w:ascii="宋体" w:hAnsi="宋体" w:cs="Arial"/>
          <w:color w:val="auto"/>
          <w:highlight w:val="none"/>
        </w:rPr>
        <w:t>日</w:t>
      </w:r>
      <w:r>
        <w:rPr>
          <w:rFonts w:hint="eastAsia" w:ascii="宋体" w:hAnsi="宋体" w:cs="Arial"/>
          <w:color w:val="auto"/>
          <w:szCs w:val="21"/>
          <w:highlight w:val="none"/>
        </w:rPr>
        <w:t>，每天上午00:00-12:00；下午1</w:t>
      </w:r>
      <w:r>
        <w:rPr>
          <w:rFonts w:hint="eastAsia" w:ascii="宋体" w:hAnsi="宋体" w:cs="Arial"/>
          <w:color w:val="auto"/>
          <w:highlight w:val="none"/>
        </w:rPr>
        <w:t>2</w:t>
      </w:r>
      <w:r>
        <w:rPr>
          <w:rFonts w:hint="eastAsia" w:ascii="宋体" w:hAnsi="宋体" w:cs="Arial"/>
          <w:color w:val="auto"/>
          <w:szCs w:val="21"/>
          <w:highlight w:val="none"/>
        </w:rPr>
        <w:t>:</w:t>
      </w:r>
      <w:r>
        <w:rPr>
          <w:rFonts w:hint="eastAsia" w:ascii="宋体" w:hAnsi="宋体" w:cs="Arial"/>
          <w:color w:val="auto"/>
          <w:highlight w:val="none"/>
        </w:rPr>
        <w:t>00</w:t>
      </w:r>
      <w:r>
        <w:rPr>
          <w:rFonts w:hint="eastAsia" w:ascii="宋体" w:hAnsi="宋体" w:cs="Arial"/>
          <w:color w:val="auto"/>
          <w:szCs w:val="21"/>
          <w:highlight w:val="none"/>
        </w:rPr>
        <w:t>-23:</w:t>
      </w:r>
      <w:r>
        <w:rPr>
          <w:rFonts w:hint="eastAsia" w:ascii="宋体" w:hAnsi="宋体" w:cs="Arial"/>
          <w:color w:val="auto"/>
          <w:highlight w:val="none"/>
        </w:rPr>
        <w:t>59</w:t>
      </w:r>
      <w:r>
        <w:rPr>
          <w:rFonts w:hint="eastAsia" w:ascii="宋体" w:hAnsi="宋体" w:cs="Arial"/>
          <w:color w:val="auto"/>
          <w:szCs w:val="21"/>
          <w:highlight w:val="none"/>
        </w:rPr>
        <w:t>（北京时间，</w:t>
      </w:r>
      <w:r>
        <w:rPr>
          <w:rFonts w:ascii="宋体" w:hAnsi="宋体" w:cs="Arial"/>
          <w:color w:val="auto"/>
          <w:szCs w:val="21"/>
          <w:highlight w:val="none"/>
        </w:rPr>
        <w:t>法定节假日</w:t>
      </w:r>
      <w:r>
        <w:rPr>
          <w:rFonts w:hint="eastAsia" w:ascii="宋体" w:hAnsi="宋体" w:cs="Arial"/>
          <w:color w:val="auto"/>
          <w:szCs w:val="21"/>
          <w:highlight w:val="none"/>
        </w:rPr>
        <w:t>除外）</w:t>
      </w:r>
      <w:r>
        <w:rPr>
          <w:rFonts w:hint="eastAsia" w:ascii="宋体" w:hAnsi="宋体" w:cs="宋体"/>
          <w:bCs/>
          <w:color w:val="auto"/>
          <w:kern w:val="0"/>
          <w:szCs w:val="21"/>
          <w:highlight w:val="none"/>
        </w:rPr>
        <w:t>。</w:t>
      </w:r>
    </w:p>
    <w:p>
      <w:pPr>
        <w:spacing w:line="360" w:lineRule="auto"/>
        <w:ind w:firstLine="420" w:firstLineChars="200"/>
        <w:rPr>
          <w:rFonts w:ascii="宋体" w:hAnsi="宋体" w:cs="宋体"/>
          <w:bCs/>
          <w:color w:val="auto"/>
          <w:kern w:val="0"/>
          <w:szCs w:val="21"/>
          <w:highlight w:val="none"/>
        </w:rPr>
      </w:pPr>
      <w:r>
        <w:rPr>
          <w:rFonts w:hint="eastAsia" w:ascii="宋体" w:hAnsi="宋体" w:cs="宋体"/>
          <w:bCs/>
          <w:color w:val="auto"/>
          <w:kern w:val="0"/>
          <w:szCs w:val="21"/>
          <w:highlight w:val="none"/>
        </w:rPr>
        <w:t>地点：“政采云”平台（http：//www.zcygov.cn）</w:t>
      </w:r>
    </w:p>
    <w:p>
      <w:pPr>
        <w:spacing w:line="360" w:lineRule="auto"/>
        <w:ind w:firstLine="420" w:firstLineChars="200"/>
        <w:rPr>
          <w:rFonts w:ascii="宋体" w:hAnsi="宋体" w:cs="宋体"/>
          <w:bCs/>
          <w:color w:val="auto"/>
          <w:kern w:val="0"/>
          <w:szCs w:val="21"/>
          <w:highlight w:val="none"/>
        </w:rPr>
      </w:pPr>
      <w:r>
        <w:rPr>
          <w:rFonts w:hint="eastAsia" w:ascii="宋体" w:hAnsi="宋体" w:cs="宋体"/>
          <w:bCs/>
          <w:color w:val="auto"/>
          <w:kern w:val="0"/>
          <w:szCs w:val="21"/>
          <w:highlight w:val="none"/>
        </w:rPr>
        <w:t>方式：网上下载。本项目不发放纸质文件，供应商应自行在</w:t>
      </w:r>
      <w:r>
        <w:rPr>
          <w:color w:val="auto"/>
          <w:highlight w:val="none"/>
        </w:rPr>
        <w:fldChar w:fldCharType="begin"/>
      </w:r>
      <w:r>
        <w:rPr>
          <w:color w:val="auto"/>
          <w:highlight w:val="none"/>
        </w:rPr>
        <w:instrText xml:space="preserve"> HYPERLINK </w:instrText>
      </w:r>
      <w:r>
        <w:rPr>
          <w:color w:val="auto"/>
          <w:highlight w:val="none"/>
        </w:rPr>
        <w:fldChar w:fldCharType="separate"/>
      </w:r>
      <w:r>
        <w:rPr>
          <w:color w:val="auto"/>
          <w:highlight w:val="none"/>
        </w:rPr>
        <w:fldChar w:fldCharType="end"/>
      </w:r>
      <w:r>
        <w:rPr>
          <w:rFonts w:hint="eastAsia" w:ascii="宋体" w:hAnsi="宋体" w:cs="宋体"/>
          <w:bCs/>
          <w:color w:val="auto"/>
          <w:kern w:val="0"/>
          <w:szCs w:val="21"/>
          <w:highlight w:val="none"/>
        </w:rPr>
        <w:t>“政采云”平台（http：//www.zcygov.cn）下载竞争性磋商文件（操作路径：登录“政采云”平台-项目采购-获取采购文件-找到本项目-点击“申请获取采购文件”），电子响应文件制作需要基于“政采云”平台获取的竞争性磋商文件编制。</w:t>
      </w:r>
    </w:p>
    <w:p>
      <w:pPr>
        <w:spacing w:line="360" w:lineRule="auto"/>
        <w:ind w:firstLine="420" w:firstLineChars="200"/>
        <w:rPr>
          <w:rFonts w:ascii="宋体" w:hAnsi="宋体" w:cs="宋体"/>
          <w:color w:val="auto"/>
          <w:szCs w:val="21"/>
          <w:highlight w:val="none"/>
        </w:rPr>
      </w:pPr>
      <w:r>
        <w:rPr>
          <w:rFonts w:hint="eastAsia" w:ascii="宋体" w:hAnsi="宋体" w:cs="宋体"/>
          <w:bCs/>
          <w:color w:val="auto"/>
          <w:kern w:val="0"/>
          <w:szCs w:val="21"/>
          <w:highlight w:val="none"/>
        </w:rPr>
        <w:t>售价：0元。</w:t>
      </w:r>
    </w:p>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四、响应文件提交</w:t>
      </w:r>
    </w:p>
    <w:p>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1、首次响应文件提交截止时间</w:t>
      </w:r>
      <w:r>
        <w:rPr>
          <w:rFonts w:hint="eastAsia" w:ascii="宋体" w:hAnsi="宋体"/>
          <w:color w:val="auto"/>
          <w:szCs w:val="21"/>
          <w:highlight w:val="none"/>
        </w:rPr>
        <w:t>：</w:t>
      </w:r>
      <w:r>
        <w:rPr>
          <w:rFonts w:hint="eastAsia" w:ascii="宋体" w:hAnsi="宋体" w:cs="宋体"/>
          <w:bCs/>
          <w:color w:val="auto"/>
          <w:kern w:val="0"/>
          <w:szCs w:val="21"/>
          <w:highlight w:val="none"/>
        </w:rPr>
        <w:t>2022年4月</w:t>
      </w:r>
      <w:r>
        <w:rPr>
          <w:rFonts w:hint="eastAsia" w:ascii="宋体" w:hAnsi="宋体" w:cs="宋体"/>
          <w:bCs/>
          <w:color w:val="auto"/>
          <w:kern w:val="0"/>
          <w:szCs w:val="21"/>
          <w:highlight w:val="none"/>
          <w:lang w:val="en-US" w:eastAsia="zh-CN"/>
        </w:rPr>
        <w:t>26</w:t>
      </w:r>
      <w:r>
        <w:rPr>
          <w:rFonts w:hint="eastAsia" w:ascii="宋体" w:hAnsi="宋体" w:cs="宋体"/>
          <w:bCs/>
          <w:color w:val="auto"/>
          <w:kern w:val="0"/>
          <w:szCs w:val="21"/>
          <w:highlight w:val="none"/>
        </w:rPr>
        <w:t>日</w:t>
      </w:r>
      <w:r>
        <w:rPr>
          <w:rFonts w:hint="eastAsia" w:ascii="宋体" w:hAnsi="宋体" w:cs="宋体"/>
          <w:bCs/>
          <w:color w:val="auto"/>
          <w:kern w:val="0"/>
          <w:szCs w:val="21"/>
          <w:highlight w:val="none"/>
          <w:lang w:val="en-US" w:eastAsia="zh-CN"/>
        </w:rPr>
        <w:t>15</w:t>
      </w:r>
      <w:r>
        <w:rPr>
          <w:rFonts w:hint="eastAsia" w:ascii="宋体" w:hAnsi="宋体" w:cs="宋体"/>
          <w:bCs/>
          <w:color w:val="auto"/>
          <w:kern w:val="0"/>
          <w:szCs w:val="21"/>
          <w:highlight w:val="none"/>
        </w:rPr>
        <w:t>时00分（北京时间）</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2、地点：</w:t>
      </w:r>
      <w:r>
        <w:rPr>
          <w:rFonts w:hint="eastAsia" w:ascii="宋体" w:hAnsi="宋体" w:cs="宋体"/>
          <w:color w:val="auto"/>
          <w:szCs w:val="21"/>
          <w:highlight w:val="none"/>
          <w:lang w:bidi="ar"/>
        </w:rPr>
        <w:t>通过“政采云”平台在线提交。</w:t>
      </w:r>
    </w:p>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五、开启</w:t>
      </w:r>
    </w:p>
    <w:p>
      <w:pPr>
        <w:spacing w:line="360" w:lineRule="auto"/>
        <w:ind w:firstLine="420" w:firstLineChars="200"/>
        <w:rPr>
          <w:rFonts w:ascii="宋体" w:hAnsi="宋体"/>
          <w:bCs/>
          <w:color w:val="auto"/>
          <w:szCs w:val="21"/>
          <w:highlight w:val="none"/>
          <w:u w:val="single"/>
        </w:rPr>
      </w:pPr>
      <w:r>
        <w:rPr>
          <w:rFonts w:hint="eastAsia" w:ascii="宋体" w:hAnsi="宋体"/>
          <w:color w:val="auto"/>
          <w:szCs w:val="21"/>
          <w:highlight w:val="none"/>
        </w:rPr>
        <w:t>1、首次响应文件开启时间：</w:t>
      </w:r>
      <w:r>
        <w:rPr>
          <w:rFonts w:hint="eastAsia" w:ascii="宋体" w:hAnsi="宋体" w:cs="宋体"/>
          <w:bCs/>
          <w:color w:val="auto"/>
          <w:kern w:val="0"/>
          <w:szCs w:val="21"/>
          <w:highlight w:val="none"/>
        </w:rPr>
        <w:t>2022年4月</w:t>
      </w:r>
      <w:r>
        <w:rPr>
          <w:rFonts w:hint="eastAsia" w:ascii="宋体" w:hAnsi="宋体" w:cs="宋体"/>
          <w:bCs/>
          <w:color w:val="auto"/>
          <w:kern w:val="0"/>
          <w:szCs w:val="21"/>
          <w:highlight w:val="none"/>
          <w:lang w:val="en-US" w:eastAsia="zh-CN"/>
        </w:rPr>
        <w:t>26</w:t>
      </w:r>
      <w:r>
        <w:rPr>
          <w:rFonts w:hint="eastAsia" w:ascii="宋体" w:hAnsi="宋体" w:cs="宋体"/>
          <w:bCs/>
          <w:color w:val="auto"/>
          <w:kern w:val="0"/>
          <w:szCs w:val="21"/>
          <w:highlight w:val="none"/>
        </w:rPr>
        <w:t>日</w:t>
      </w:r>
      <w:r>
        <w:rPr>
          <w:rFonts w:hint="eastAsia" w:ascii="宋体" w:hAnsi="宋体" w:cs="宋体"/>
          <w:bCs/>
          <w:color w:val="auto"/>
          <w:kern w:val="0"/>
          <w:szCs w:val="21"/>
          <w:highlight w:val="none"/>
          <w:lang w:val="en-US" w:eastAsia="zh-CN"/>
        </w:rPr>
        <w:t>15</w:t>
      </w:r>
      <w:r>
        <w:rPr>
          <w:rFonts w:hint="eastAsia" w:ascii="宋体" w:hAnsi="宋体" w:cs="宋体"/>
          <w:bCs/>
          <w:color w:val="auto"/>
          <w:kern w:val="0"/>
          <w:szCs w:val="21"/>
          <w:highlight w:val="none"/>
        </w:rPr>
        <w:t>时00分（北京时间）</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2、地点：</w:t>
      </w:r>
      <w:r>
        <w:rPr>
          <w:rFonts w:hint="eastAsia" w:ascii="宋体" w:hAnsi="宋体" w:cs="宋体"/>
          <w:color w:val="auto"/>
          <w:szCs w:val="21"/>
          <w:highlight w:val="none"/>
          <w:lang w:bidi="ar"/>
        </w:rPr>
        <w:t>本项目将在“政采云”平台电子开标大厅解密、开启。</w:t>
      </w:r>
    </w:p>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六、公告期限</w:t>
      </w:r>
    </w:p>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自本公告发布之日起3个工作日。</w:t>
      </w:r>
    </w:p>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七、其他补充事宜</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1、磋商保证金（人民币）：</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包1：0.9万元整，包2：0.42万元整。</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2、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3、根据财政部《关于在政府采购活动中查询及使用信用记录有关问题的通知》（财库〔2016〕125号）的规定，对在“信用中国”网站(www.creditchina.gov.cn)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4、网上查询地址：中国政府采购网（www.ccgp.gov.cn）、广西政府采购网（zfcg.gxzf.gov.cn）。</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5、本项目需要落实的政府采购政策：</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（1）政府采购促进中小企业发展。</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（2）政府采购支持采用本国产品的政策。</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（3）强制采购节能产品；优先采购节能产品、环境标志产品。</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（4）政府采购促进残疾人就业政策。</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（5）政府采购支持监狱企业发展。</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（6）扶持不发达地区和少数民族地区政策</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6、磋商注意事项：</w:t>
      </w:r>
    </w:p>
    <w:p>
      <w:pPr>
        <w:widowControl/>
        <w:spacing w:line="360" w:lineRule="auto"/>
        <w:ind w:firstLine="420" w:firstLineChars="200"/>
        <w:rPr>
          <w:rFonts w:ascii="宋体" w:hAnsi="宋体" w:cs="宋体"/>
          <w:bCs/>
          <w:color w:val="auto"/>
          <w:szCs w:val="21"/>
          <w:highlight w:val="none"/>
        </w:rPr>
      </w:pPr>
      <w:r>
        <w:rPr>
          <w:rFonts w:hint="eastAsia" w:ascii="宋体" w:hAnsi="宋体" w:cs="宋体"/>
          <w:color w:val="auto"/>
          <w:szCs w:val="21"/>
          <w:highlight w:val="none"/>
          <w:lang w:bidi="ar"/>
        </w:rPr>
        <w:t>（1）</w:t>
      </w:r>
      <w:r>
        <w:rPr>
          <w:rFonts w:hint="eastAsia" w:ascii="宋体" w:hAnsi="宋体" w:cs="宋体"/>
          <w:color w:val="auto"/>
          <w:szCs w:val="21"/>
          <w:highlight w:val="none"/>
        </w:rPr>
        <w:t>响应文件</w:t>
      </w:r>
      <w:r>
        <w:rPr>
          <w:rFonts w:hint="eastAsia" w:ascii="宋体" w:hAnsi="宋体" w:cs="宋体"/>
          <w:color w:val="auto"/>
          <w:szCs w:val="21"/>
          <w:highlight w:val="none"/>
          <w:lang w:bidi="ar"/>
        </w:rPr>
        <w:t>提交方式：本项目为全流程电子化政府采购项目，通过“政采云”平台（http：//www.zcygov.cn）实行在线电子磋商采购，供应商应先安装“政采云电子交易客户端”（请自行前往“政采云”平台进行下载），并按照本项目竞争性磋商文件和“政采云”平台的要求编制、加密后在</w:t>
      </w:r>
      <w:r>
        <w:rPr>
          <w:rFonts w:hint="eastAsia" w:ascii="宋体" w:hAnsi="宋体" w:cs="宋体"/>
          <w:color w:val="auto"/>
          <w:szCs w:val="21"/>
          <w:highlight w:val="none"/>
        </w:rPr>
        <w:t>首次响应文件提交截止时间</w:t>
      </w:r>
      <w:r>
        <w:rPr>
          <w:rFonts w:hint="eastAsia" w:ascii="宋体" w:hAnsi="宋体" w:cs="宋体"/>
          <w:color w:val="auto"/>
          <w:szCs w:val="21"/>
          <w:highlight w:val="none"/>
          <w:lang w:bidi="ar"/>
        </w:rPr>
        <w:t>前通过网络上传至“政采云”平台，</w:t>
      </w:r>
      <w:r>
        <w:rPr>
          <w:rFonts w:hint="eastAsia" w:ascii="宋体" w:hAnsi="宋体" w:cs="宋体"/>
          <w:b/>
          <w:color w:val="auto"/>
          <w:szCs w:val="21"/>
          <w:highlight w:val="none"/>
          <w:lang w:bidi="ar"/>
        </w:rPr>
        <w:t>供应商在“政采云”平台提交电子版响应文件时，请填写参加远程开标活动经办人联系方式。</w:t>
      </w:r>
    </w:p>
    <w:p>
      <w:pPr>
        <w:widowControl/>
        <w:spacing w:line="360" w:lineRule="auto"/>
        <w:ind w:firstLine="420" w:firstLineChars="200"/>
        <w:rPr>
          <w:rFonts w:ascii="宋体" w:hAnsi="宋体" w:cs="宋体"/>
          <w:color w:val="auto"/>
          <w:szCs w:val="21"/>
          <w:highlight w:val="none"/>
          <w:lang w:bidi="ar"/>
        </w:rPr>
      </w:pPr>
      <w:r>
        <w:rPr>
          <w:rFonts w:hint="eastAsia" w:ascii="宋体" w:hAnsi="宋体" w:cs="宋体"/>
          <w:color w:val="auto"/>
          <w:szCs w:val="21"/>
          <w:highlight w:val="none"/>
          <w:lang w:bidi="ar"/>
        </w:rPr>
        <w:t>（2）</w:t>
      </w:r>
      <w:r>
        <w:rPr>
          <w:rFonts w:ascii="宋体" w:hAnsi="宋体" w:cs="宋体"/>
          <w:color w:val="auto"/>
          <w:szCs w:val="21"/>
          <w:highlight w:val="none"/>
          <w:lang w:bidi="ar"/>
        </w:rPr>
        <w:t>供应商应及时熟悉掌握电子</w:t>
      </w:r>
      <w:r>
        <w:rPr>
          <w:rFonts w:hint="eastAsia" w:ascii="宋体" w:hAnsi="宋体" w:cs="宋体"/>
          <w:color w:val="auto"/>
          <w:szCs w:val="21"/>
          <w:highlight w:val="none"/>
          <w:lang w:bidi="ar"/>
        </w:rPr>
        <w:t>竞</w:t>
      </w:r>
      <w:r>
        <w:rPr>
          <w:rFonts w:ascii="宋体" w:hAnsi="宋体" w:cs="宋体"/>
          <w:color w:val="auto"/>
          <w:szCs w:val="21"/>
          <w:highlight w:val="none"/>
          <w:lang w:bidi="ar"/>
        </w:rPr>
        <w:t>标系统操作指南（见政采云电子卖场首页右上角—服务中心—帮助文档—项目采购）：</w:t>
      </w:r>
      <w:r>
        <w:rPr>
          <w:color w:val="auto"/>
          <w:highlight w:val="none"/>
        </w:rPr>
        <w:fldChar w:fldCharType="begin"/>
      </w:r>
      <w:r>
        <w:rPr>
          <w:color w:val="auto"/>
          <w:highlight w:val="none"/>
        </w:rPr>
        <w:instrText xml:space="preserve"> HYPERLINK "https://service.zcygov.cn/#/knowledges/tree?tag=AG1DtGwBFdiHxlNdhY0r" </w:instrText>
      </w:r>
      <w:r>
        <w:rPr>
          <w:color w:val="auto"/>
          <w:highlight w:val="none"/>
        </w:rPr>
        <w:fldChar w:fldCharType="separate"/>
      </w:r>
      <w:r>
        <w:rPr>
          <w:color w:val="auto"/>
          <w:highlight w:val="none"/>
          <w:lang w:bidi="ar"/>
        </w:rPr>
        <w:t>https://service.zcygov.cn/#/knowledges/tree?tag=AG1DtGwBFdiHxlNdhY0r</w:t>
      </w:r>
      <w:r>
        <w:rPr>
          <w:color w:val="auto"/>
          <w:highlight w:val="none"/>
          <w:lang w:bidi="ar"/>
        </w:rPr>
        <w:fldChar w:fldCharType="end"/>
      </w:r>
      <w:r>
        <w:rPr>
          <w:rFonts w:hint="eastAsia" w:ascii="宋体" w:hAnsi="宋体" w:cs="宋体"/>
          <w:color w:val="auto"/>
          <w:szCs w:val="21"/>
          <w:highlight w:val="none"/>
          <w:lang w:bidi="ar"/>
        </w:rPr>
        <w:t>；</w:t>
      </w:r>
      <w:r>
        <w:rPr>
          <w:rFonts w:ascii="宋体" w:hAnsi="宋体" w:cs="宋体"/>
          <w:color w:val="auto"/>
          <w:szCs w:val="21"/>
          <w:highlight w:val="none"/>
          <w:lang w:bidi="ar"/>
        </w:rPr>
        <w:t>及时完成CA申领和绑定（见广西壮族自治区政府采购网—办事服务—下载专区-政采云CA证书办理操作指南）。</w:t>
      </w:r>
    </w:p>
    <w:p>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bidi="ar"/>
        </w:rPr>
        <w:t>（3）未进行网上注册并办理数字证书（CA认证）的供应商将无法参与本项目政府采购活动，潜在供应商应当在</w:t>
      </w:r>
      <w:r>
        <w:rPr>
          <w:rFonts w:hint="eastAsia" w:ascii="宋体" w:hAnsi="宋体" w:cs="宋体"/>
          <w:color w:val="auto"/>
          <w:szCs w:val="21"/>
          <w:highlight w:val="none"/>
        </w:rPr>
        <w:t>首次响应文件提交截止时间</w:t>
      </w:r>
      <w:r>
        <w:rPr>
          <w:rFonts w:hint="eastAsia" w:ascii="宋体" w:hAnsi="宋体" w:cs="宋体"/>
          <w:color w:val="auto"/>
          <w:szCs w:val="21"/>
          <w:highlight w:val="none"/>
          <w:lang w:bidi="ar"/>
        </w:rPr>
        <w:t>前，完成电子交易平台上的CA数字证书办理及响应文件的提交。完成CA数字证书办理预计7日左右，供应商只需办理其中一家CA数字证书及签章，建议各供应商抓紧时间办理。</w:t>
      </w:r>
    </w:p>
    <w:p>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bidi="ar"/>
        </w:rPr>
        <w:t>（4）为确保网上操作合法、有效和安全，请供应商确保在电子竞标过程中能够对相关数据电文进行加密和使用电子签章，妥善保管CA数字证书并使用有效的CA数字证书参与整个采购活动。</w:t>
      </w:r>
    </w:p>
    <w:p>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lang w:bidi="ar"/>
        </w:rPr>
        <w:t>注：供应商应当在首次响应文件提交截止时间前完成电子响应文件的上传、递交，</w:t>
      </w:r>
      <w:r>
        <w:rPr>
          <w:rFonts w:hint="eastAsia" w:ascii="宋体" w:hAnsi="宋体" w:cs="宋体"/>
          <w:b/>
          <w:color w:val="auto"/>
          <w:szCs w:val="21"/>
          <w:highlight w:val="none"/>
        </w:rPr>
        <w:t>首次响应文件提交截止时间</w:t>
      </w:r>
      <w:r>
        <w:rPr>
          <w:rFonts w:hint="eastAsia" w:ascii="宋体" w:hAnsi="宋体" w:cs="宋体"/>
          <w:b/>
          <w:bCs/>
          <w:color w:val="auto"/>
          <w:szCs w:val="21"/>
          <w:highlight w:val="none"/>
          <w:lang w:bidi="ar"/>
        </w:rPr>
        <w:t>前可以补充、修改或者撤回响应文件。补充或者修改响应文件的，应当先行撤回原文件，补充、修改后重新上传、递交。</w:t>
      </w:r>
      <w:r>
        <w:rPr>
          <w:rFonts w:hint="eastAsia" w:ascii="宋体" w:hAnsi="宋体" w:cs="宋体"/>
          <w:b/>
          <w:color w:val="auto"/>
          <w:szCs w:val="21"/>
          <w:highlight w:val="none"/>
        </w:rPr>
        <w:t>首次响应文件提交截止时间</w:t>
      </w:r>
      <w:r>
        <w:rPr>
          <w:rFonts w:hint="eastAsia" w:ascii="宋体" w:hAnsi="宋体" w:cs="宋体"/>
          <w:b/>
          <w:bCs/>
          <w:color w:val="auto"/>
          <w:szCs w:val="21"/>
          <w:highlight w:val="none"/>
          <w:lang w:bidi="ar"/>
        </w:rPr>
        <w:t>前未完成上传、递交的，视为撤回响应文件。</w:t>
      </w:r>
      <w:r>
        <w:rPr>
          <w:rFonts w:hint="eastAsia" w:ascii="宋体" w:hAnsi="宋体" w:cs="宋体"/>
          <w:b/>
          <w:color w:val="auto"/>
          <w:szCs w:val="21"/>
          <w:highlight w:val="none"/>
        </w:rPr>
        <w:t>首次响应文件提交截止时间</w:t>
      </w:r>
      <w:r>
        <w:rPr>
          <w:rFonts w:hint="eastAsia" w:ascii="宋体" w:hAnsi="宋体" w:cs="宋体"/>
          <w:b/>
          <w:bCs/>
          <w:color w:val="auto"/>
          <w:szCs w:val="21"/>
          <w:highlight w:val="none"/>
          <w:lang w:bidi="ar"/>
        </w:rPr>
        <w:t>以后上传递交的响应文件，“政采云”平台将予以拒收。</w:t>
      </w:r>
    </w:p>
    <w:p>
      <w:pPr>
        <w:widowControl/>
        <w:spacing w:line="360" w:lineRule="auto"/>
        <w:ind w:firstLine="420" w:firstLineChars="200"/>
        <w:rPr>
          <w:rFonts w:ascii="宋体" w:hAnsi="宋体" w:cs="宋体"/>
          <w:b/>
          <w:bCs/>
          <w:color w:val="auto"/>
          <w:szCs w:val="21"/>
          <w:highlight w:val="none"/>
        </w:rPr>
      </w:pPr>
      <w:r>
        <w:rPr>
          <w:rFonts w:hint="eastAsia" w:ascii="宋体" w:hAnsi="宋体" w:cs="宋体"/>
          <w:color w:val="auto"/>
          <w:kern w:val="0"/>
          <w:szCs w:val="21"/>
          <w:highlight w:val="none"/>
          <w:lang w:bidi="ar"/>
        </w:rPr>
        <w:t>7、</w:t>
      </w:r>
      <w:r>
        <w:rPr>
          <w:rFonts w:hint="eastAsia" w:ascii="宋体" w:hAnsi="宋体" w:cs="宋体"/>
          <w:color w:val="auto"/>
          <w:szCs w:val="21"/>
          <w:highlight w:val="none"/>
          <w:lang w:bidi="ar"/>
        </w:rPr>
        <w:t>CA证书在线解密：首次响应文件开启时，须要供应商携带制作响应文件时用来加密的有效数字证书（CA认证）登录“政采云”平台电子开标大厅现场按规定时间对加密的响应文件进行解密，否则后果自负。</w:t>
      </w:r>
    </w:p>
    <w:p>
      <w:pPr>
        <w:widowControl/>
        <w:spacing w:line="360" w:lineRule="auto"/>
        <w:ind w:firstLine="420" w:firstLineChars="200"/>
        <w:rPr>
          <w:rFonts w:ascii="宋体" w:hAnsi="宋体" w:cs="宋体"/>
          <w:color w:val="auto"/>
          <w:kern w:val="0"/>
          <w:szCs w:val="21"/>
          <w:highlight w:val="none"/>
        </w:rPr>
      </w:pPr>
      <w:r>
        <w:rPr>
          <w:rFonts w:hint="eastAsia" w:ascii="宋体" w:hAnsi="宋体" w:cs="宋体"/>
          <w:color w:val="auto"/>
          <w:szCs w:val="21"/>
          <w:highlight w:val="none"/>
          <w:lang w:bidi="ar"/>
        </w:rPr>
        <w:t>8、供应商需要在具备有摄像头及语音功能且互联网网络状况良好的电脑登录“政采云”平台远程开标大厅参与本次磋商，否则后果自负。</w:t>
      </w:r>
    </w:p>
    <w:p>
      <w:pPr>
        <w:widowControl/>
        <w:spacing w:line="360" w:lineRule="auto"/>
        <w:ind w:firstLine="420" w:firstLineChars="200"/>
        <w:rPr>
          <w:rFonts w:ascii="宋体" w:hAnsi="宋体" w:cs="宋体"/>
          <w:color w:val="auto"/>
          <w:kern w:val="0"/>
          <w:szCs w:val="21"/>
          <w:highlight w:val="none"/>
        </w:rPr>
      </w:pPr>
      <w:r>
        <w:rPr>
          <w:rFonts w:hint="eastAsia" w:ascii="宋体" w:hAnsi="宋体" w:cs="宋体"/>
          <w:color w:val="auto"/>
          <w:szCs w:val="21"/>
          <w:highlight w:val="none"/>
          <w:lang w:bidi="ar"/>
        </w:rPr>
        <w:t>9、若对项目采购电子交易系统操作有疑问，可登录“政采云”平台（https://www.zcygov.cn/），点击右侧咨询小采，获取采小蜜智能服务管家帮助，或拨打政采云服务热线400-881-7190获取热线服务帮助。</w:t>
      </w:r>
    </w:p>
    <w:bookmarkEnd w:id="11"/>
    <w:p>
      <w:pPr>
        <w:spacing w:line="360" w:lineRule="auto"/>
        <w:ind w:firstLine="354" w:firstLineChars="147"/>
        <w:rPr>
          <w:rFonts w:ascii="黑体" w:hAnsi="黑体" w:eastAsia="黑体"/>
          <w:b/>
          <w:color w:val="auto"/>
          <w:sz w:val="24"/>
          <w:highlight w:val="none"/>
        </w:rPr>
      </w:pPr>
      <w:r>
        <w:rPr>
          <w:rFonts w:hint="eastAsia" w:ascii="黑体" w:hAnsi="黑体" w:eastAsia="黑体"/>
          <w:b/>
          <w:color w:val="auto"/>
          <w:sz w:val="24"/>
          <w:highlight w:val="none"/>
        </w:rPr>
        <w:t>八、凡对本次采购提出询问，请按</w:t>
      </w:r>
      <w:r>
        <w:rPr>
          <w:rFonts w:ascii="黑体" w:hAnsi="黑体" w:eastAsia="黑体"/>
          <w:b/>
          <w:color w:val="auto"/>
          <w:sz w:val="24"/>
          <w:highlight w:val="none"/>
        </w:rPr>
        <w:t>以下方式</w:t>
      </w:r>
      <w:r>
        <w:rPr>
          <w:rFonts w:hint="eastAsia" w:ascii="黑体" w:hAnsi="黑体" w:eastAsia="黑体"/>
          <w:b/>
          <w:color w:val="auto"/>
          <w:sz w:val="24"/>
          <w:highlight w:val="none"/>
        </w:rPr>
        <w:t>联系。</w:t>
      </w:r>
      <w:bookmarkEnd w:id="12"/>
      <w:bookmarkEnd w:id="13"/>
      <w:bookmarkEnd w:id="14"/>
      <w:bookmarkEnd w:id="15"/>
      <w:bookmarkEnd w:id="16"/>
    </w:p>
    <w:p>
      <w:pPr>
        <w:spacing w:line="360" w:lineRule="auto"/>
        <w:ind w:firstLine="567" w:firstLineChars="270"/>
        <w:jc w:val="left"/>
        <w:rPr>
          <w:rFonts w:ascii="宋体" w:hAnsi="宋体" w:cs="宋体"/>
          <w:color w:val="auto"/>
          <w:szCs w:val="21"/>
          <w:highlight w:val="none"/>
        </w:rPr>
      </w:pPr>
      <w:bookmarkStart w:id="17" w:name="_Toc28359096"/>
      <w:bookmarkStart w:id="18" w:name="_Toc35393637"/>
      <w:bookmarkStart w:id="19" w:name="_Toc35393806"/>
      <w:bookmarkStart w:id="20" w:name="_Toc28359019"/>
      <w:r>
        <w:rPr>
          <w:rFonts w:hint="eastAsia" w:ascii="宋体" w:hAnsi="宋体" w:cs="宋体"/>
          <w:color w:val="auto"/>
          <w:szCs w:val="21"/>
          <w:highlight w:val="none"/>
        </w:rPr>
        <w:t>1.采购人信息</w:t>
      </w:r>
    </w:p>
    <w:p>
      <w:pPr>
        <w:spacing w:line="360" w:lineRule="auto"/>
        <w:ind w:firstLine="567" w:firstLineChars="270"/>
        <w:jc w:val="left"/>
        <w:rPr>
          <w:rFonts w:ascii="宋体" w:hAnsi="宋体"/>
          <w:color w:val="auto"/>
          <w:szCs w:val="21"/>
          <w:highlight w:val="none"/>
        </w:rPr>
      </w:pPr>
      <w:r>
        <w:rPr>
          <w:rFonts w:hint="eastAsia" w:ascii="宋体" w:hAnsi="宋体"/>
          <w:color w:val="auto"/>
          <w:szCs w:val="21"/>
          <w:highlight w:val="none"/>
        </w:rPr>
        <w:t>名 称：</w:t>
      </w:r>
      <w:r>
        <w:rPr>
          <w:rFonts w:hint="eastAsia" w:ascii="宋体" w:hAnsi="宋体" w:cs="Arial"/>
          <w:color w:val="auto"/>
          <w:highlight w:val="none"/>
        </w:rPr>
        <w:t>广西壮族自治区南宁生态环境监测中心</w:t>
      </w:r>
    </w:p>
    <w:p>
      <w:pPr>
        <w:spacing w:line="360" w:lineRule="auto"/>
        <w:ind w:firstLine="567" w:firstLineChars="270"/>
        <w:jc w:val="left"/>
        <w:rPr>
          <w:rFonts w:ascii="宋体" w:hAnsi="宋体"/>
          <w:color w:val="auto"/>
          <w:szCs w:val="21"/>
          <w:highlight w:val="none"/>
        </w:rPr>
      </w:pPr>
      <w:r>
        <w:rPr>
          <w:rFonts w:hint="eastAsia" w:ascii="宋体" w:hAnsi="宋体"/>
          <w:color w:val="auto"/>
          <w:szCs w:val="21"/>
          <w:highlight w:val="none"/>
        </w:rPr>
        <w:t>地址：南宁市民主路45号</w:t>
      </w:r>
    </w:p>
    <w:p>
      <w:pPr>
        <w:spacing w:line="360" w:lineRule="auto"/>
        <w:ind w:firstLine="567" w:firstLineChars="270"/>
        <w:jc w:val="left"/>
        <w:rPr>
          <w:rFonts w:ascii="宋体" w:hAnsi="宋体"/>
          <w:color w:val="auto"/>
          <w:szCs w:val="21"/>
          <w:highlight w:val="none"/>
        </w:rPr>
      </w:pPr>
      <w:r>
        <w:rPr>
          <w:rFonts w:hint="eastAsia" w:ascii="宋体" w:hAnsi="宋体"/>
          <w:color w:val="auto"/>
          <w:szCs w:val="21"/>
          <w:highlight w:val="none"/>
        </w:rPr>
        <w:t>联系方式：0771-2620380　</w:t>
      </w:r>
      <w:bookmarkStart w:id="21" w:name="_Toc28359086"/>
      <w:bookmarkStart w:id="22" w:name="_Toc28359009"/>
    </w:p>
    <w:p>
      <w:pPr>
        <w:spacing w:line="360" w:lineRule="auto"/>
        <w:ind w:firstLine="567" w:firstLineChars="270"/>
        <w:jc w:val="left"/>
        <w:rPr>
          <w:rFonts w:ascii="宋体" w:hAnsi="宋体"/>
          <w:color w:val="auto"/>
          <w:szCs w:val="21"/>
          <w:highlight w:val="none"/>
        </w:rPr>
      </w:pPr>
      <w:r>
        <w:rPr>
          <w:rFonts w:hint="eastAsia" w:ascii="宋体" w:hAnsi="宋体"/>
          <w:color w:val="auto"/>
          <w:szCs w:val="21"/>
          <w:highlight w:val="none"/>
        </w:rPr>
        <w:t>项目采购联系人：雅净</w:t>
      </w:r>
    </w:p>
    <w:p>
      <w:pPr>
        <w:spacing w:line="360" w:lineRule="auto"/>
        <w:ind w:firstLine="567" w:firstLineChars="270"/>
        <w:jc w:val="left"/>
        <w:rPr>
          <w:rFonts w:ascii="宋体" w:hAnsi="宋体"/>
          <w:color w:val="auto"/>
          <w:szCs w:val="21"/>
          <w:highlight w:val="none"/>
        </w:rPr>
      </w:pPr>
      <w:r>
        <w:rPr>
          <w:rFonts w:hint="eastAsia" w:ascii="宋体" w:hAnsi="宋体"/>
          <w:color w:val="auto"/>
          <w:szCs w:val="21"/>
          <w:highlight w:val="none"/>
        </w:rPr>
        <w:t>2.采购代理机构信息</w:t>
      </w:r>
      <w:bookmarkEnd w:id="21"/>
      <w:bookmarkEnd w:id="22"/>
    </w:p>
    <w:p>
      <w:pPr>
        <w:spacing w:line="360" w:lineRule="auto"/>
        <w:ind w:firstLine="567" w:firstLineChars="270"/>
        <w:rPr>
          <w:rFonts w:ascii="宋体" w:hAnsi="宋体"/>
          <w:color w:val="auto"/>
          <w:szCs w:val="21"/>
          <w:highlight w:val="none"/>
        </w:rPr>
      </w:pPr>
      <w:r>
        <w:rPr>
          <w:rFonts w:hint="eastAsia" w:ascii="宋体" w:hAnsi="宋体"/>
          <w:color w:val="auto"/>
          <w:szCs w:val="21"/>
          <w:highlight w:val="none"/>
        </w:rPr>
        <w:t>名 称：</w:t>
      </w:r>
      <w:r>
        <w:rPr>
          <w:rFonts w:hint="eastAsia" w:ascii="宋体" w:hAnsi="宋体" w:cs="Arial"/>
          <w:color w:val="auto"/>
          <w:szCs w:val="21"/>
          <w:highlight w:val="none"/>
        </w:rPr>
        <w:t>广西科文招标有限公司</w:t>
      </w:r>
    </w:p>
    <w:p>
      <w:pPr>
        <w:spacing w:line="360" w:lineRule="auto"/>
        <w:ind w:firstLine="567" w:firstLineChars="270"/>
        <w:rPr>
          <w:rFonts w:ascii="宋体" w:hAnsi="宋体"/>
          <w:color w:val="auto"/>
          <w:szCs w:val="21"/>
          <w:highlight w:val="none"/>
        </w:rPr>
      </w:pPr>
      <w:r>
        <w:rPr>
          <w:rFonts w:hint="eastAsia" w:ascii="宋体" w:hAnsi="宋体"/>
          <w:color w:val="auto"/>
          <w:szCs w:val="21"/>
          <w:highlight w:val="none"/>
        </w:rPr>
        <w:t>地　址：</w:t>
      </w:r>
      <w:r>
        <w:rPr>
          <w:rFonts w:hint="eastAsia" w:ascii="宋体" w:hAnsi="宋体" w:cs="Arial"/>
          <w:color w:val="auto"/>
          <w:szCs w:val="21"/>
          <w:highlight w:val="none"/>
        </w:rPr>
        <w:t>广西南宁市民族大道141号中鼎万象东方D区五层</w:t>
      </w:r>
    </w:p>
    <w:p>
      <w:pPr>
        <w:spacing w:line="360" w:lineRule="auto"/>
        <w:ind w:firstLine="567" w:firstLineChars="270"/>
        <w:rPr>
          <w:rFonts w:ascii="宋体" w:hAnsi="宋体"/>
          <w:color w:val="auto"/>
          <w:szCs w:val="21"/>
          <w:highlight w:val="none"/>
        </w:rPr>
      </w:pPr>
      <w:r>
        <w:rPr>
          <w:rFonts w:hint="eastAsia" w:ascii="宋体" w:hAnsi="宋体"/>
          <w:color w:val="auto"/>
          <w:szCs w:val="21"/>
          <w:highlight w:val="none"/>
        </w:rPr>
        <w:t>联系方式：</w:t>
      </w:r>
      <w:bookmarkStart w:id="23" w:name="_Toc28359087"/>
      <w:bookmarkStart w:id="24" w:name="_Toc28359010"/>
      <w:r>
        <w:rPr>
          <w:rFonts w:hint="eastAsia" w:ascii="宋体" w:hAnsi="宋体"/>
          <w:color w:val="auto"/>
          <w:szCs w:val="21"/>
          <w:highlight w:val="none"/>
          <w:u w:val="single"/>
        </w:rPr>
        <w:t>0771-2023873</w:t>
      </w:r>
    </w:p>
    <w:p>
      <w:pPr>
        <w:spacing w:line="360" w:lineRule="auto"/>
        <w:ind w:firstLine="567" w:firstLineChars="270"/>
        <w:rPr>
          <w:rFonts w:ascii="宋体" w:hAnsi="宋体"/>
          <w:color w:val="auto"/>
          <w:szCs w:val="21"/>
          <w:highlight w:val="none"/>
          <w:u w:val="single"/>
        </w:rPr>
      </w:pPr>
      <w:r>
        <w:rPr>
          <w:rFonts w:hint="eastAsia" w:ascii="宋体" w:hAnsi="宋体" w:cs="宋体"/>
          <w:color w:val="auto"/>
          <w:szCs w:val="21"/>
          <w:highlight w:val="none"/>
        </w:rPr>
        <w:t>3.项目</w:t>
      </w:r>
      <w:r>
        <w:rPr>
          <w:rFonts w:ascii="宋体" w:hAnsi="宋体" w:cs="宋体"/>
          <w:color w:val="auto"/>
          <w:szCs w:val="21"/>
          <w:highlight w:val="none"/>
        </w:rPr>
        <w:t>联系方式</w:t>
      </w:r>
      <w:bookmarkEnd w:id="23"/>
      <w:bookmarkEnd w:id="24"/>
    </w:p>
    <w:p>
      <w:pPr>
        <w:pStyle w:val="12"/>
        <w:spacing w:line="360" w:lineRule="auto"/>
        <w:ind w:firstLine="567" w:firstLineChars="270"/>
        <w:rPr>
          <w:rFonts w:hAnsi="宋体"/>
          <w:color w:val="auto"/>
          <w:sz w:val="21"/>
          <w:highlight w:val="none"/>
        </w:rPr>
      </w:pPr>
      <w:r>
        <w:rPr>
          <w:rFonts w:hint="eastAsia" w:hAnsi="宋体"/>
          <w:color w:val="auto"/>
          <w:sz w:val="21"/>
          <w:highlight w:val="none"/>
        </w:rPr>
        <w:t>项目联系人：</w:t>
      </w:r>
      <w:r>
        <w:rPr>
          <w:rFonts w:hint="eastAsia" w:hAnsi="宋体"/>
          <w:color w:val="auto"/>
          <w:sz w:val="21"/>
          <w:highlight w:val="none"/>
          <w:u w:val="single"/>
        </w:rPr>
        <w:t>银晓云、银睿</w:t>
      </w:r>
      <w:r>
        <w:rPr>
          <w:rFonts w:hAnsi="宋体"/>
          <w:color w:val="auto"/>
          <w:sz w:val="21"/>
          <w:highlight w:val="none"/>
          <w:u w:val="single"/>
        </w:rPr>
        <w:t xml:space="preserve"> </w:t>
      </w:r>
    </w:p>
    <w:p>
      <w:pPr>
        <w:spacing w:line="360" w:lineRule="auto"/>
        <w:ind w:firstLine="567" w:firstLineChars="270"/>
        <w:rPr>
          <w:rFonts w:ascii="宋体" w:hAnsi="宋体"/>
          <w:color w:val="auto"/>
          <w:szCs w:val="21"/>
          <w:highlight w:val="none"/>
          <w:u w:val="single"/>
        </w:rPr>
      </w:pPr>
      <w:r>
        <w:rPr>
          <w:rFonts w:hint="eastAsia" w:ascii="宋体" w:hAnsi="宋体"/>
          <w:color w:val="auto"/>
          <w:szCs w:val="21"/>
          <w:highlight w:val="none"/>
        </w:rPr>
        <w:t>电　话：</w:t>
      </w:r>
      <w:r>
        <w:rPr>
          <w:rFonts w:hint="eastAsia" w:ascii="宋体" w:hAnsi="宋体"/>
          <w:color w:val="auto"/>
          <w:szCs w:val="21"/>
          <w:highlight w:val="none"/>
          <w:u w:val="single"/>
        </w:rPr>
        <w:t>0771-2023873</w:t>
      </w:r>
    </w:p>
    <w:p>
      <w:pPr>
        <w:spacing w:line="380" w:lineRule="exact"/>
        <w:ind w:firstLine="6195" w:firstLineChars="2950"/>
        <w:rPr>
          <w:rFonts w:ascii="宋体" w:hAnsi="宋体" w:cs="Arial"/>
          <w:color w:val="auto"/>
          <w:szCs w:val="21"/>
          <w:highlight w:val="none"/>
        </w:rPr>
      </w:pPr>
    </w:p>
    <w:p>
      <w:pPr>
        <w:spacing w:line="380" w:lineRule="exact"/>
        <w:ind w:firstLine="6195" w:firstLineChars="2950"/>
        <w:rPr>
          <w:rFonts w:ascii="宋体" w:hAnsi="宋体" w:cs="Arial"/>
          <w:color w:val="auto"/>
          <w:szCs w:val="21"/>
          <w:highlight w:val="none"/>
        </w:rPr>
      </w:pPr>
    </w:p>
    <w:p>
      <w:pPr>
        <w:spacing w:line="380" w:lineRule="exact"/>
        <w:ind w:firstLine="6405" w:firstLineChars="3050"/>
        <w:rPr>
          <w:rFonts w:ascii="宋体" w:hAnsi="宋体"/>
          <w:color w:val="auto"/>
          <w:szCs w:val="21"/>
          <w:highlight w:val="none"/>
        </w:rPr>
      </w:pPr>
      <w:r>
        <w:rPr>
          <w:rFonts w:hint="eastAsia" w:ascii="宋体" w:hAnsi="宋体" w:cs="Arial"/>
          <w:color w:val="auto"/>
          <w:szCs w:val="21"/>
          <w:highlight w:val="none"/>
        </w:rPr>
        <w:t>广西科文招标有限公司</w:t>
      </w:r>
    </w:p>
    <w:p>
      <w:pPr>
        <w:snapToGrid w:val="0"/>
        <w:spacing w:line="380" w:lineRule="exact"/>
        <w:ind w:left="238"/>
        <w:jc w:val="center"/>
        <w:rPr>
          <w:rFonts w:ascii="宋体" w:hAnsi="宋体"/>
          <w:b/>
          <w:bCs/>
          <w:color w:val="auto"/>
          <w:sz w:val="32"/>
          <w:szCs w:val="32"/>
          <w:highlight w:val="none"/>
        </w:rPr>
      </w:pPr>
      <w:r>
        <w:rPr>
          <w:rFonts w:hint="eastAsia" w:ascii="宋体" w:hAnsi="宋体"/>
          <w:color w:val="auto"/>
          <w:highlight w:val="none"/>
        </w:rPr>
        <w:t xml:space="preserve">                                                   2022年4月</w:t>
      </w:r>
      <w:r>
        <w:rPr>
          <w:rFonts w:hint="eastAsia" w:ascii="宋体" w:hAnsi="宋体"/>
          <w:color w:val="auto"/>
          <w:highlight w:val="none"/>
          <w:lang w:val="en-US" w:eastAsia="zh-CN"/>
        </w:rPr>
        <w:t>15</w:t>
      </w:r>
      <w:r>
        <w:rPr>
          <w:rFonts w:hint="eastAsia" w:ascii="宋体" w:hAnsi="宋体"/>
          <w:color w:val="auto"/>
          <w:highlight w:val="none"/>
        </w:rPr>
        <w:t>日</w:t>
      </w:r>
      <w:bookmarkEnd w:id="4"/>
      <w:bookmarkEnd w:id="17"/>
      <w:bookmarkEnd w:id="18"/>
      <w:bookmarkEnd w:id="19"/>
      <w:bookmarkEnd w:id="20"/>
      <w:r>
        <w:rPr>
          <w:rFonts w:ascii="宋体" w:hAnsi="宋体"/>
          <w:b/>
          <w:bCs/>
          <w:color w:val="auto"/>
          <w:sz w:val="32"/>
          <w:szCs w:val="32"/>
          <w:highlight w:val="none"/>
        </w:rPr>
        <w:br w:type="page"/>
      </w:r>
    </w:p>
    <w:p>
      <w:pPr>
        <w:pStyle w:val="3"/>
        <w:jc w:val="center"/>
        <w:rPr>
          <w:color w:val="auto"/>
          <w:highlight w:val="none"/>
        </w:rPr>
      </w:pPr>
      <w:bookmarkStart w:id="25" w:name="_Toc74323457"/>
      <w:r>
        <w:rPr>
          <w:rFonts w:hint="eastAsia"/>
          <w:color w:val="auto"/>
          <w:highlight w:val="none"/>
        </w:rPr>
        <w:t>第二章 供应商须知</w:t>
      </w:r>
      <w:bookmarkEnd w:id="25"/>
    </w:p>
    <w:p>
      <w:pPr>
        <w:spacing w:line="400" w:lineRule="exact"/>
        <w:jc w:val="center"/>
        <w:rPr>
          <w:rFonts w:ascii="宋体" w:hAnsi="宋体"/>
          <w:b/>
          <w:color w:val="auto"/>
          <w:sz w:val="32"/>
          <w:szCs w:val="32"/>
          <w:highlight w:val="none"/>
        </w:rPr>
      </w:pPr>
      <w:r>
        <w:rPr>
          <w:rFonts w:hint="eastAsia" w:ascii="宋体" w:hAnsi="宋体"/>
          <w:b/>
          <w:color w:val="auto"/>
          <w:sz w:val="32"/>
          <w:szCs w:val="32"/>
          <w:highlight w:val="none"/>
        </w:rPr>
        <w:t>供应商须知前附表</w:t>
      </w:r>
    </w:p>
    <w:p>
      <w:pPr>
        <w:spacing w:line="400" w:lineRule="exact"/>
        <w:jc w:val="center"/>
        <w:rPr>
          <w:rFonts w:ascii="宋体" w:hAnsi="宋体"/>
          <w:b/>
          <w:color w:val="auto"/>
          <w:sz w:val="32"/>
          <w:szCs w:val="32"/>
          <w:highlight w:val="none"/>
        </w:rPr>
      </w:pPr>
    </w:p>
    <w:tbl>
      <w:tblPr>
        <w:tblStyle w:val="18"/>
        <w:tblW w:w="96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2"/>
        <w:gridCol w:w="86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tcPr>
          <w:p>
            <w:pPr>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条款号</w:t>
            </w:r>
          </w:p>
        </w:tc>
        <w:tc>
          <w:tcPr>
            <w:tcW w:w="8627" w:type="dxa"/>
          </w:tcPr>
          <w:p>
            <w:pPr>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p>
        </w:tc>
        <w:tc>
          <w:tcPr>
            <w:tcW w:w="8627" w:type="dxa"/>
            <w:vAlign w:val="center"/>
          </w:tcPr>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供应商的资格条件</w:t>
            </w:r>
            <w:r>
              <w:rPr>
                <w:rFonts w:hint="eastAsia" w:asciiTheme="minorEastAsia" w:hAnsiTheme="minorEastAsia" w:eastAsiaTheme="minorEastAsia" w:cstheme="minorEastAsia"/>
                <w:color w:val="auto"/>
                <w:szCs w:val="21"/>
                <w:highlight w:val="none"/>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5.1</w:t>
            </w:r>
          </w:p>
        </w:tc>
        <w:tc>
          <w:tcPr>
            <w:tcW w:w="8627" w:type="dxa"/>
            <w:vAlign w:val="center"/>
          </w:tcPr>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是否接受联合体竞标：详见竞争性磋商公告（不接受）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6.2</w:t>
            </w:r>
          </w:p>
        </w:tc>
        <w:tc>
          <w:tcPr>
            <w:tcW w:w="8627" w:type="dxa"/>
            <w:vAlign w:val="center"/>
          </w:tcPr>
          <w:p>
            <w:pPr>
              <w:pStyle w:val="7"/>
              <w:spacing w:line="400" w:lineRule="exac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本项目不允许分包。</w:t>
            </w:r>
          </w:p>
          <w:p>
            <w:pPr>
              <w:pStyle w:val="7"/>
              <w:spacing w:line="400" w:lineRule="exact"/>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分包内容：</w:t>
            </w:r>
            <w:r>
              <w:rPr>
                <w:rFonts w:hint="eastAsia" w:asciiTheme="minorEastAsia" w:hAnsiTheme="minorEastAsia" w:eastAsiaTheme="minorEastAsia" w:cstheme="minorEastAsia"/>
                <w:color w:val="auto"/>
                <w:szCs w:val="21"/>
                <w:highlight w:val="none"/>
                <w:u w:val="single"/>
              </w:rPr>
              <w:t>无。</w:t>
            </w:r>
          </w:p>
          <w:p>
            <w:pPr>
              <w:pStyle w:val="7"/>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分包金额或者比例：</w:t>
            </w:r>
            <w:r>
              <w:rPr>
                <w:rFonts w:hint="eastAsia" w:asciiTheme="minorEastAsia" w:hAnsiTheme="minorEastAsia" w:eastAsiaTheme="minorEastAsia" w:cstheme="minorEastAsia"/>
                <w:color w:val="auto"/>
                <w:szCs w:val="21"/>
                <w:highlight w:val="none"/>
                <w:u w:val="singl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12.1.1</w:t>
            </w:r>
          </w:p>
        </w:tc>
        <w:tc>
          <w:tcPr>
            <w:tcW w:w="8627" w:type="dxa"/>
            <w:vAlign w:val="center"/>
          </w:tcPr>
          <w:p>
            <w:pPr>
              <w:snapToGrid w:val="0"/>
              <w:spacing w:line="360" w:lineRule="auto"/>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资格证明文件</w:t>
            </w:r>
          </w:p>
          <w:p>
            <w:pPr>
              <w:pStyle w:val="7"/>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1、供应商为法人或者其他组织的，证明文件为其营业执照复印件（如营业执照或者事业单位法人证书或者执业许可证等）；供应商为自然人的，证明文件为其身份证复印件；（</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contextualSpacing/>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2、供应商依法缴纳税收的相关材料（</w:t>
            </w:r>
            <w:r>
              <w:rPr>
                <w:rFonts w:hint="eastAsia" w:asciiTheme="minorEastAsia" w:hAnsiTheme="minorEastAsia" w:eastAsiaTheme="minorEastAsia" w:cstheme="minorEastAsia"/>
                <w:color w:val="auto"/>
                <w:szCs w:val="21"/>
                <w:highlight w:val="none"/>
                <w:u w:val="single"/>
              </w:rPr>
              <w:t>2021</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10</w:t>
            </w:r>
            <w:r>
              <w:rPr>
                <w:rFonts w:hint="eastAsia" w:asciiTheme="minorEastAsia" w:hAnsiTheme="minorEastAsia" w:eastAsiaTheme="minorEastAsia" w:cstheme="minorEastAsia"/>
                <w:color w:val="auto"/>
                <w:szCs w:val="21"/>
                <w:highlight w:val="none"/>
              </w:rPr>
              <w:t>月以来任意连续</w:t>
            </w:r>
            <w:r>
              <w:rPr>
                <w:rFonts w:hint="eastAsia" w:asciiTheme="minorEastAsia" w:hAnsiTheme="minorEastAsia" w:eastAsiaTheme="minorEastAsia" w:cstheme="minorEastAsia"/>
                <w:color w:val="auto"/>
                <w:szCs w:val="21"/>
                <w:highlight w:val="none"/>
                <w:u w:val="single"/>
              </w:rPr>
              <w:t xml:space="preserve"> 3</w:t>
            </w:r>
            <w:r>
              <w:rPr>
                <w:rFonts w:hint="eastAsia" w:asciiTheme="minorEastAsia" w:hAnsiTheme="minorEastAsia" w:eastAsiaTheme="minorEastAsia" w:cstheme="minorEastAsia"/>
                <w:color w:val="auto"/>
                <w:szCs w:val="21"/>
                <w:highlight w:val="none"/>
              </w:rPr>
              <w:t>个月依法缴纳税收的凭据复印件；依法免税的，必须提供相应文件证明其依法免税。从成立之日起到响应文件提交截止时间止不足要求月数的，只需提供从成立之日起的依法缴纳税收相应证明文件）；（</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contextualSpacing/>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3、供应商依法缴纳社会保障资金的相关材料[</w:t>
            </w:r>
            <w:r>
              <w:rPr>
                <w:rFonts w:hint="eastAsia" w:asciiTheme="minorEastAsia" w:hAnsiTheme="minorEastAsia" w:eastAsiaTheme="minorEastAsia" w:cstheme="minorEastAsia"/>
                <w:color w:val="auto"/>
                <w:szCs w:val="21"/>
                <w:highlight w:val="none"/>
                <w:u w:val="single"/>
              </w:rPr>
              <w:t>2021</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u w:val="single"/>
              </w:rPr>
              <w:t>10</w:t>
            </w:r>
            <w:r>
              <w:rPr>
                <w:rFonts w:hint="eastAsia" w:asciiTheme="minorEastAsia" w:hAnsiTheme="minorEastAsia" w:eastAsiaTheme="minorEastAsia" w:cstheme="minorEastAsia"/>
                <w:color w:val="auto"/>
                <w:szCs w:val="21"/>
                <w:highlight w:val="none"/>
              </w:rPr>
              <w:t>月以来任意连续</w:t>
            </w:r>
            <w:r>
              <w:rPr>
                <w:rFonts w:hint="eastAsia" w:asciiTheme="minorEastAsia" w:hAnsiTheme="minorEastAsia" w:eastAsiaTheme="minorEastAsia" w:cstheme="minorEastAsia"/>
                <w:color w:val="auto"/>
                <w:szCs w:val="21"/>
                <w:highlight w:val="none"/>
                <w:u w:val="single"/>
              </w:rPr>
              <w:t xml:space="preserve"> 3</w:t>
            </w:r>
            <w:r>
              <w:rPr>
                <w:rFonts w:hint="eastAsia" w:asciiTheme="minorEastAsia" w:hAnsiTheme="minorEastAsia" w:eastAsiaTheme="minorEastAsia" w:cstheme="minorEastAsia"/>
                <w:color w:val="auto"/>
                <w:szCs w:val="21"/>
                <w:highlight w:val="none"/>
              </w:rPr>
              <w:t>个月依法缴纳社会保障资金的缴费凭证（专用收据或者社会保险缴纳清单）复印件；依法不需要缴纳社会保障资金的，必须提供相应文件证明不需要缴纳社会保障资金。从成立之日起到响应文件提交截止时间止不足要求月数的只需提供从成立之日起的依法缴纳社会保障资金的相应证明文件]；（</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contextualSpacing/>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4、供应商财务状况报告（</w:t>
            </w:r>
            <w:r>
              <w:rPr>
                <w:rFonts w:hint="eastAsia" w:asciiTheme="minorEastAsia" w:hAnsiTheme="minorEastAsia" w:eastAsiaTheme="minorEastAsia" w:cstheme="minorEastAsia"/>
                <w:color w:val="auto"/>
                <w:szCs w:val="21"/>
                <w:highlight w:val="none"/>
                <w:u w:val="single"/>
              </w:rPr>
              <w:t xml:space="preserve"> 2020或2021</w:t>
            </w:r>
            <w:r>
              <w:rPr>
                <w:rFonts w:hint="eastAsia" w:asciiTheme="minorEastAsia" w:hAnsiTheme="minorEastAsia" w:eastAsiaTheme="minorEastAsia" w:cstheme="minorEastAsia"/>
                <w:color w:val="auto"/>
                <w:szCs w:val="21"/>
                <w:highlight w:val="none"/>
              </w:rPr>
              <w:t>年度财务报表复印件或者银行出具的资信证明；供应商属于成立时间</w:t>
            </w:r>
            <w:r>
              <w:rPr>
                <w:rFonts w:hint="eastAsia" w:asciiTheme="minorEastAsia" w:hAnsiTheme="minorEastAsia" w:eastAsiaTheme="minorEastAsia" w:cstheme="minorEastAsia"/>
                <w:color w:val="auto"/>
                <w:kern w:val="0"/>
                <w:szCs w:val="21"/>
                <w:highlight w:val="none"/>
              </w:rPr>
              <w:t>在规定年度之后</w:t>
            </w:r>
            <w:r>
              <w:rPr>
                <w:rFonts w:hint="eastAsia" w:asciiTheme="minorEastAsia" w:hAnsiTheme="minorEastAsia" w:eastAsiaTheme="minorEastAsia" w:cstheme="minorEastAsia"/>
                <w:color w:val="auto"/>
                <w:szCs w:val="21"/>
                <w:highlight w:val="none"/>
              </w:rPr>
              <w:t>的法人或其他组织，需提供成立之日起至响应文件提交截止时间前的月报表或银行出具的资信证明；资信证明应在有效期内，未注明有效期的，银行出具时间至响应文件提交截止时间不超过一年）；</w:t>
            </w:r>
            <w:r>
              <w:rPr>
                <w:rFonts w:hint="eastAsia" w:asciiTheme="minorEastAsia" w:hAnsiTheme="minorEastAsia" w:eastAsiaTheme="minorEastAsia" w:cstheme="minorEastAsia"/>
                <w:bCs/>
                <w:color w:val="auto"/>
                <w:szCs w:val="21"/>
                <w:highlight w:val="none"/>
              </w:rPr>
              <w:t>（</w:t>
            </w:r>
            <w:r>
              <w:rPr>
                <w:rFonts w:hint="eastAsia" w:asciiTheme="minorEastAsia" w:hAnsiTheme="minorEastAsia" w:eastAsiaTheme="minorEastAsia" w:cstheme="minorEastAsia"/>
                <w:b/>
                <w:color w:val="auto"/>
                <w:szCs w:val="21"/>
                <w:highlight w:val="none"/>
              </w:rPr>
              <w:t>除自然人外必须提供，否则响应文件按无效响应处理</w:t>
            </w:r>
            <w:r>
              <w:rPr>
                <w:rFonts w:hint="eastAsia" w:asciiTheme="minorEastAsia" w:hAnsiTheme="minorEastAsia" w:eastAsiaTheme="minorEastAsia" w:cstheme="minorEastAsia"/>
                <w:bCs/>
                <w:color w:val="auto"/>
                <w:szCs w:val="21"/>
                <w:highlight w:val="none"/>
              </w:rPr>
              <w:t>）</w:t>
            </w:r>
          </w:p>
          <w:p>
            <w:pPr>
              <w:snapToGrid w:val="0"/>
              <w:spacing w:line="360" w:lineRule="auto"/>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5、供应商直接控股、管理关系信息表（格式后附）；（</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napToGrid w:val="0"/>
              <w:spacing w:line="360" w:lineRule="auto"/>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6、竞标声明（格式后附）；（</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napToGrid w:val="0"/>
              <w:spacing w:line="360" w:lineRule="auto"/>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7、中小企业声明函（服务）或残疾人福利性单位声明函或监狱企业证明文件；（</w:t>
            </w:r>
            <w:r>
              <w:rPr>
                <w:rFonts w:hint="eastAsia" w:asciiTheme="minorEastAsia" w:hAnsiTheme="minorEastAsia" w:eastAsiaTheme="minorEastAsia" w:cstheme="minorEastAsia"/>
                <w:b/>
                <w:bCs/>
                <w:color w:val="auto"/>
                <w:szCs w:val="21"/>
                <w:highlight w:val="none"/>
                <w:u w:val="single"/>
              </w:rPr>
              <w:t>包2</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napToGrid w:val="0"/>
              <w:spacing w:line="360" w:lineRule="auto"/>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8、除磋商文件规定必须提供以外，供应商认为需要提供的其他证明材料；</w:t>
            </w:r>
          </w:p>
          <w:p>
            <w:pPr>
              <w:snapToGrid w:val="0"/>
              <w:spacing w:line="360" w:lineRule="auto"/>
              <w:ind w:firstLine="422" w:firstLineChars="200"/>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注：</w:t>
            </w:r>
          </w:p>
          <w:p>
            <w:pPr>
              <w:snapToGrid w:val="0"/>
              <w:spacing w:line="360" w:lineRule="auto"/>
              <w:ind w:firstLine="413" w:firstLineChars="196"/>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1、以上标明“必须提供”的材料属于复印件的，必须加盖供应商公章，否则响应文件按无效响应处理。</w:t>
            </w:r>
          </w:p>
          <w:p>
            <w:pPr>
              <w:snapToGrid w:val="0"/>
              <w:spacing w:line="360" w:lineRule="auto"/>
              <w:ind w:firstLine="422" w:firstLineChars="200"/>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2、竞标声明必须由法定代表人在规定签章处签字并加盖供应商公章，否则响应文件按无效响应处理。</w:t>
            </w:r>
          </w:p>
          <w:p>
            <w:pPr>
              <w:snapToGrid w:val="0"/>
              <w:spacing w:line="360" w:lineRule="auto"/>
              <w:ind w:firstLine="422" w:firstLineChars="20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szCs w:val="21"/>
                <w:highlight w:val="none"/>
              </w:rPr>
              <w:t>3、供应商直接控股、管理关系信息表必须由法定代表人或者委托代理人在规定签章处签字并加盖供应商公章，否则响应文件按无效响应处理。</w:t>
            </w:r>
          </w:p>
          <w:p>
            <w:pPr>
              <w:pStyle w:val="7"/>
              <w:spacing w:line="360" w:lineRule="auto"/>
              <w:ind w:firstLine="422" w:firstLineChars="200"/>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bCs/>
                <w:color w:val="auto"/>
                <w:szCs w:val="21"/>
                <w:highlight w:val="none"/>
              </w:rPr>
              <w:t>4、分公司参加竞标的，应当取得总公司授权</w:t>
            </w:r>
            <w:r>
              <w:rPr>
                <w:rFonts w:hint="eastAsia" w:asciiTheme="minorEastAsia" w:hAnsiTheme="minorEastAsia" w:eastAsiaTheme="minorEastAsia" w:cstheme="minorEastAsia"/>
                <w:b/>
                <w:color w:val="auto"/>
                <w:szCs w:val="21"/>
                <w:highlight w:val="none"/>
              </w:rPr>
              <w:t>，否则响应文件按无效响应处理。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12.1.2</w:t>
            </w:r>
          </w:p>
        </w:tc>
        <w:tc>
          <w:tcPr>
            <w:tcW w:w="8627" w:type="dxa"/>
            <w:vAlign w:val="center"/>
          </w:tcPr>
          <w:p>
            <w:pPr>
              <w:spacing w:line="360" w:lineRule="auto"/>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报价商务技术文件</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1、无串通竞标行为的承诺函（格式后附）；（</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2、竞标报价表（格式后附）；（</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napToGrid w:val="0"/>
              <w:spacing w:line="360" w:lineRule="auto"/>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3、法定代表人身份证明及法定代表人有效身份证正反面复印件（格式后附）；（</w:t>
            </w:r>
            <w:r>
              <w:rPr>
                <w:rFonts w:hint="eastAsia" w:asciiTheme="minorEastAsia" w:hAnsiTheme="minorEastAsia" w:eastAsiaTheme="minorEastAsia" w:cstheme="minorEastAsia"/>
                <w:b/>
                <w:bCs/>
                <w:color w:val="auto"/>
                <w:szCs w:val="21"/>
                <w:highlight w:val="none"/>
              </w:rPr>
              <w:t>除自然人竞标外</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4、授权委托书及委托代理人有效身份证正反面复印件，委托代理时，被授权人提供在供应商本单位所缴纳社保证明文件（格式后附）；（</w:t>
            </w:r>
            <w:r>
              <w:rPr>
                <w:rFonts w:hint="eastAsia" w:asciiTheme="minorEastAsia" w:hAnsiTheme="minorEastAsia" w:eastAsiaTheme="minorEastAsia" w:cstheme="minorEastAsia"/>
                <w:b/>
                <w:color w:val="auto"/>
                <w:szCs w:val="21"/>
                <w:highlight w:val="none"/>
              </w:rPr>
              <w:t>委托时必须提供，否则响应文件按无效响应处理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5、磋商保证金提交凭证；（</w:t>
            </w:r>
            <w:r>
              <w:rPr>
                <w:rFonts w:hint="eastAsia" w:asciiTheme="minorEastAsia" w:hAnsiTheme="minorEastAsia" w:eastAsiaTheme="minorEastAsia" w:cstheme="minorEastAsia"/>
                <w:b/>
                <w:bCs/>
                <w:color w:val="auto"/>
                <w:szCs w:val="21"/>
                <w:highlight w:val="none"/>
              </w:rPr>
              <w:t>如要求提交磋商保证金的则必须提供</w:t>
            </w:r>
            <w:r>
              <w:rPr>
                <w:rFonts w:hint="eastAsia" w:asciiTheme="minorEastAsia" w:hAnsiTheme="minorEastAsia" w:eastAsiaTheme="minorEastAsia" w:cstheme="minorEastAsia"/>
                <w:b/>
                <w:color w:val="auto"/>
                <w:szCs w:val="21"/>
                <w:highlight w:val="none"/>
              </w:rPr>
              <w:t>，否则响应文件按无效响应处理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6、商务要求偏离表（格式后附）；（</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7、服务方案（格式自拟）；（</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8、技术要求偏离表（格式后附）；（</w:t>
            </w:r>
            <w:r>
              <w:rPr>
                <w:rFonts w:hint="eastAsia" w:asciiTheme="minorEastAsia" w:hAnsiTheme="minorEastAsia" w:eastAsiaTheme="minorEastAsia" w:cstheme="minorEastAsia"/>
                <w:b/>
                <w:color w:val="auto"/>
                <w:szCs w:val="21"/>
                <w:highlight w:val="none"/>
              </w:rPr>
              <w:t>必须提供，否则响应文件按无效响应处理</w:t>
            </w:r>
            <w:r>
              <w:rPr>
                <w:rFonts w:hint="eastAsia" w:asciiTheme="minorEastAsia" w:hAnsiTheme="minorEastAsia" w:eastAsiaTheme="minorEastAsia" w:cstheme="minorEastAsia"/>
                <w:color w:val="auto"/>
                <w:szCs w:val="21"/>
                <w:highlight w:val="none"/>
              </w:rPr>
              <w:t>）</w:t>
            </w:r>
          </w:p>
          <w:p>
            <w:pPr>
              <w:spacing w:line="360" w:lineRule="auto"/>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color w:val="auto"/>
                <w:szCs w:val="21"/>
                <w:highlight w:val="none"/>
              </w:rPr>
              <w:t>9、项目实施人员一览表及投标人为项目实施人员所缴纳社保证明文件；</w:t>
            </w:r>
            <w:r>
              <w:rPr>
                <w:rFonts w:hint="eastAsia" w:asciiTheme="minorEastAsia" w:hAnsiTheme="minorEastAsia" w:eastAsiaTheme="minorEastAsia" w:cstheme="minorEastAsia"/>
                <w:b/>
                <w:bCs/>
                <w:color w:val="auto"/>
                <w:szCs w:val="21"/>
                <w:highlight w:val="none"/>
              </w:rPr>
              <w:t xml:space="preserve">（必须提供，否则响应文件按无效响应处理） </w:t>
            </w:r>
          </w:p>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10、对应采购需求的技术要求、商务要求提供的其他文件资料（格式自拟）；</w:t>
            </w:r>
          </w:p>
          <w:p>
            <w:pPr>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11、供应商认为需要提供的其他有关资料。</w:t>
            </w:r>
          </w:p>
          <w:p>
            <w:pPr>
              <w:snapToGrid w:val="0"/>
              <w:spacing w:line="360" w:lineRule="auto"/>
              <w:ind w:firstLine="422" w:firstLineChars="200"/>
              <w:jc w:val="left"/>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注：以上标明“必须提供”的材料属于复印件的，必须加盖供应商公章，否则响应文件按无效响应处理。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15.2</w:t>
            </w:r>
          </w:p>
        </w:tc>
        <w:tc>
          <w:tcPr>
            <w:tcW w:w="8627" w:type="dxa"/>
            <w:vAlign w:val="center"/>
          </w:tcPr>
          <w:p>
            <w:pPr>
              <w:snapToGrid w:val="0"/>
              <w:spacing w:line="360" w:lineRule="auto"/>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竞标报价是履行合同的最终价格，即满足全部采购需求所应提供的服务的价格；包括竞标服务的成本、运输（含保险）（如有）、技术服务、培训、税费等所有费用。</w:t>
            </w:r>
            <w:r>
              <w:rPr>
                <w:rFonts w:hint="eastAsia" w:asciiTheme="minorEastAsia" w:hAnsiTheme="minorEastAsia" w:eastAsiaTheme="minorEastAsia" w:cstheme="minorEastAsia"/>
                <w:b/>
                <w:color w:val="auto"/>
                <w:szCs w:val="21"/>
                <w:highlight w:val="none"/>
              </w:rPr>
              <w:t>（采购需求另有约定的，从其约定。）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16.2</w:t>
            </w:r>
          </w:p>
        </w:tc>
        <w:tc>
          <w:tcPr>
            <w:tcW w:w="8627" w:type="dxa"/>
            <w:vAlign w:val="center"/>
          </w:tcPr>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竞标有效期：首次响应文件提交截止之日起60天内。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17.1</w:t>
            </w:r>
          </w:p>
        </w:tc>
        <w:tc>
          <w:tcPr>
            <w:tcW w:w="8627" w:type="dxa"/>
            <w:vAlign w:val="center"/>
          </w:tcPr>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本项目收取磋商保证金，具体规定如下：</w:t>
            </w:r>
          </w:p>
          <w:p>
            <w:pPr>
              <w:spacing w:line="360" w:lineRule="auto"/>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磋商保证金：</w:t>
            </w:r>
          </w:p>
          <w:p>
            <w:pPr>
              <w:spacing w:line="360" w:lineRule="auto"/>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包1磋商保证金人民币0.9万元整，包2磋商保证金人民币0.42万元整；</w:t>
            </w:r>
          </w:p>
          <w:p>
            <w:pPr>
              <w:snapToGrid w:val="0"/>
              <w:spacing w:line="360" w:lineRule="auto"/>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磋商保证金的交纳方式：银行转账、支票、汇票、本票或者金融、担保金融、担保机构出具的保函，禁止采用现钞方式。采用银行转账方式的，在响应文件提交截止时间前交至指定账户并且到账（</w:t>
            </w:r>
            <w:r>
              <w:rPr>
                <w:rFonts w:hint="eastAsia" w:asciiTheme="minorEastAsia" w:hAnsiTheme="minorEastAsia" w:eastAsiaTheme="minorEastAsia" w:cstheme="minorEastAsia"/>
                <w:color w:val="auto"/>
                <w:szCs w:val="21"/>
                <w:highlight w:val="none"/>
              </w:rPr>
              <w:t>开户名称：广西科文招标有限公司，开户银行：广西北部湾银行南宁分行营业部，银行账号：0101012090615689</w:t>
            </w:r>
            <w:r>
              <w:rPr>
                <w:rFonts w:hint="eastAsia" w:asciiTheme="minorEastAsia" w:hAnsiTheme="minorEastAsia" w:eastAsiaTheme="minorEastAsia" w:cstheme="minorEastAsia"/>
                <w:color w:val="auto"/>
                <w:kern w:val="0"/>
                <w:szCs w:val="21"/>
                <w:highlight w:val="none"/>
              </w:rPr>
              <w:t>）；采用支票、汇票、本票或者保函等方式的，在响应文件提交截止时间前，供应商必须提交支票、汇票、本票或者保函原件。否则视为无效磋商保证金。</w:t>
            </w:r>
          </w:p>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相关要求：</w:t>
            </w:r>
          </w:p>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1、磋商保证金采用银行转账交纳方式的，在响应文件提交截止时间前交至指定账户并且到账，供应商应将银行转账底单的复印件作为磋商保证金提交凭证，放置于报价商务技术文件中，</w:t>
            </w:r>
            <w:r>
              <w:rPr>
                <w:rFonts w:hint="eastAsia" w:asciiTheme="minorEastAsia" w:hAnsiTheme="minorEastAsia" w:eastAsiaTheme="minorEastAsia" w:cstheme="minorEastAsia"/>
                <w:b/>
                <w:color w:val="auto"/>
                <w:szCs w:val="21"/>
                <w:highlight w:val="none"/>
              </w:rPr>
              <w:t>否则响应文件按无效响应处理</w:t>
            </w:r>
            <w:r>
              <w:rPr>
                <w:rFonts w:hint="eastAsia" w:asciiTheme="minorEastAsia" w:hAnsiTheme="minorEastAsia" w:eastAsiaTheme="minorEastAsia" w:cstheme="minorEastAsia"/>
                <w:color w:val="auto"/>
                <w:szCs w:val="21"/>
                <w:highlight w:val="none"/>
              </w:rPr>
              <w:t>。</w:t>
            </w:r>
          </w:p>
          <w:p>
            <w:pPr>
              <w:snapToGrid w:val="0"/>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2、磋商保证金采用支票、汇票、本票或者金融、担保机构出具的保函交纳方式的，供应商应将支票、汇票、本票或者金融、担保机构出具的保函的复印件作为磋商保证金提交凭证，放置于报价商务技术文件中，</w:t>
            </w:r>
            <w:r>
              <w:rPr>
                <w:rFonts w:hint="eastAsia" w:asciiTheme="minorEastAsia" w:hAnsiTheme="minorEastAsia" w:eastAsiaTheme="minorEastAsia" w:cstheme="minorEastAsia"/>
                <w:b/>
                <w:color w:val="auto"/>
                <w:szCs w:val="21"/>
                <w:highlight w:val="none"/>
              </w:rPr>
              <w:t>否则响应文件按无效响应处理</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b/>
                <w:color w:val="auto"/>
                <w:szCs w:val="21"/>
                <w:highlight w:val="none"/>
              </w:rPr>
              <w:t>供应商必须在首次响应文件提交截止时间前将支票、汇票、本票或者金融、担保机构出具的保函原件提交给采购代理机构，由采购代理机构向供应商出具回执，并妥善保管。</w:t>
            </w:r>
          </w:p>
          <w:p>
            <w:pPr>
              <w:rPr>
                <w:rFonts w:asciiTheme="minorEastAsia" w:hAnsiTheme="minorEastAsia" w:eastAsiaTheme="minorEastAsia" w:cstheme="minorEastAsia"/>
                <w:color w:val="auto"/>
                <w:szCs w:val="21"/>
                <w:highlight w:val="none"/>
              </w:rPr>
            </w:pPr>
          </w:p>
          <w:p>
            <w:pPr>
              <w:snapToGrid w:val="0"/>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 xml:space="preserve">备注： </w:t>
            </w:r>
          </w:p>
          <w:p>
            <w:pPr>
              <w:snapToGrid w:val="0"/>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1、磋商保证金在响应文件提交截止时间后提交的，或者不按规定交纳方式交纳的，或者未足额交纳的（包含保函额度不足的），视为无效磋商保证金。</w:t>
            </w:r>
          </w:p>
          <w:p>
            <w:pPr>
              <w:snapToGrid w:val="0"/>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2、供应商采用现钞方式或者从个人账户（自然人竞标除外）转出的磋商保证金，视为无效磋商保证金。</w:t>
            </w:r>
          </w:p>
          <w:p>
            <w:pPr>
              <w:snapToGrid w:val="0"/>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3、支票、汇票或者本票出现无效或者背书情形的，视为无效磋商保证金。</w:t>
            </w:r>
          </w:p>
          <w:p>
            <w:pPr>
              <w:snapToGrid w:val="0"/>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4、保函有效期低于竞标有效期的，视为无效磋商保证金。</w:t>
            </w:r>
          </w:p>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szCs w:val="21"/>
                <w:highlight w:val="none"/>
              </w:rPr>
              <w:t>5、采用金融、担保机构出具保函的，必须为无条件保函，否则视为无效磋商保证金。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9" w:hRule="atLeast"/>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18.2</w:t>
            </w:r>
          </w:p>
        </w:tc>
        <w:tc>
          <w:tcPr>
            <w:tcW w:w="8627" w:type="dxa"/>
            <w:vAlign w:val="center"/>
          </w:tcPr>
          <w:p>
            <w:pPr>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响应文件应按资格证明文件、报价商务技术文件分别编制，</w:t>
            </w:r>
            <w:r>
              <w:rPr>
                <w:rFonts w:hint="eastAsia" w:asciiTheme="minorEastAsia" w:hAnsiTheme="minorEastAsia" w:eastAsiaTheme="minorEastAsia" w:cstheme="minorEastAsia"/>
                <w:color w:val="auto"/>
                <w:szCs w:val="21"/>
                <w:highlight w:val="none"/>
                <w:lang w:bidi="ar"/>
              </w:rPr>
              <w:t>并按“政采云”平台的要求编制、加密、上传。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20.1</w:t>
            </w:r>
          </w:p>
        </w:tc>
        <w:tc>
          <w:tcPr>
            <w:tcW w:w="8627" w:type="dxa"/>
            <w:vAlign w:val="center"/>
          </w:tcPr>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首次响应文件提交截止时间：详见竞争性磋商公告。</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首次响应文件提交地点：详见竞争性磋商公告。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24.1</w:t>
            </w:r>
          </w:p>
        </w:tc>
        <w:tc>
          <w:tcPr>
            <w:tcW w:w="8627" w:type="dxa"/>
            <w:vAlign w:val="center"/>
          </w:tcPr>
          <w:p>
            <w:pPr>
              <w:snapToGrid w:val="0"/>
              <w:spacing w:line="360" w:lineRule="auto"/>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磋商小组的人数：3人。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25.2</w:t>
            </w:r>
          </w:p>
        </w:tc>
        <w:tc>
          <w:tcPr>
            <w:tcW w:w="8627" w:type="dxa"/>
            <w:vAlign w:val="center"/>
          </w:tcPr>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采购代理机构将依托电子交易平台发起开始解密指令，</w:t>
            </w:r>
            <w:r>
              <w:rPr>
                <w:rFonts w:hint="eastAsia" w:asciiTheme="minorEastAsia" w:hAnsiTheme="minorEastAsia" w:eastAsiaTheme="minorEastAsia" w:cstheme="minorEastAsia"/>
                <w:b/>
                <w:color w:val="auto"/>
                <w:szCs w:val="21"/>
                <w:highlight w:val="none"/>
              </w:rPr>
              <w:t>供应商的法定代表人或其委托代理人须携带加密时所用的CA锁按平台提示和采购文件的规定登录到“政采云”平台电子开标大厅签到并在发起解密指令之时起30分钟内完成对电子响应文件在线解密。</w:t>
            </w:r>
            <w:r>
              <w:rPr>
                <w:rFonts w:hint="eastAsia" w:asciiTheme="minorEastAsia" w:hAnsiTheme="minorEastAsia" w:eastAsiaTheme="minorEastAsia" w:cstheme="minorEastAsia"/>
                <w:b/>
                <w:bCs/>
                <w:color w:val="auto"/>
                <w:szCs w:val="21"/>
                <w:highlight w:val="none"/>
              </w:rPr>
              <w:t>响应文件未按时解密的，</w:t>
            </w:r>
            <w:r>
              <w:rPr>
                <w:rFonts w:hint="eastAsia" w:asciiTheme="minorEastAsia" w:hAnsiTheme="minorEastAsia" w:eastAsiaTheme="minorEastAsia" w:cstheme="minorEastAsia"/>
                <w:b/>
                <w:color w:val="auto"/>
                <w:szCs w:val="21"/>
                <w:highlight w:val="none"/>
              </w:rPr>
              <w:t>视为响应</w:t>
            </w:r>
            <w:r>
              <w:rPr>
                <w:rFonts w:hint="eastAsia" w:asciiTheme="minorEastAsia" w:hAnsiTheme="minorEastAsia" w:eastAsiaTheme="minorEastAsia" w:cstheme="minorEastAsia"/>
                <w:b/>
                <w:bCs/>
                <w:color w:val="auto"/>
                <w:szCs w:val="21"/>
                <w:highlight w:val="none"/>
              </w:rPr>
              <w:t>文件无效。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992" w:type="dxa"/>
            <w:vMerge w:val="restart"/>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26</w:t>
            </w:r>
          </w:p>
        </w:tc>
        <w:tc>
          <w:tcPr>
            <w:tcW w:w="8627" w:type="dxa"/>
            <w:vAlign w:val="center"/>
          </w:tcPr>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商务要求评审中允许负偏离的条款数为</w:t>
            </w:r>
            <w:r>
              <w:rPr>
                <w:rFonts w:hint="eastAsia" w:asciiTheme="minorEastAsia" w:hAnsiTheme="minorEastAsia" w:eastAsiaTheme="minorEastAsia" w:cstheme="minorEastAsia"/>
                <w:color w:val="auto"/>
                <w:szCs w:val="21"/>
                <w:highlight w:val="none"/>
                <w:u w:val="single"/>
              </w:rPr>
              <w:t xml:space="preserve"> 1 </w:t>
            </w:r>
            <w:r>
              <w:rPr>
                <w:rFonts w:hint="eastAsia" w:asciiTheme="minorEastAsia" w:hAnsiTheme="minorEastAsia" w:eastAsiaTheme="minorEastAsia" w:cstheme="minorEastAsia"/>
                <w:color w:val="auto"/>
                <w:szCs w:val="21"/>
                <w:highlight w:val="none"/>
              </w:rPr>
              <w:t>项。</w:t>
            </w:r>
          </w:p>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技术要求评审中允许负偏离的条款数为</w:t>
            </w:r>
            <w:r>
              <w:rPr>
                <w:rFonts w:hint="eastAsia" w:asciiTheme="minorEastAsia" w:hAnsiTheme="minorEastAsia" w:eastAsiaTheme="minorEastAsia" w:cstheme="minorEastAsia"/>
                <w:color w:val="auto"/>
                <w:szCs w:val="21"/>
                <w:highlight w:val="none"/>
                <w:u w:val="single"/>
              </w:rPr>
              <w:t xml:space="preserve"> 1 </w:t>
            </w:r>
            <w:r>
              <w:rPr>
                <w:rFonts w:hint="eastAsia" w:asciiTheme="minorEastAsia" w:hAnsiTheme="minorEastAsia" w:eastAsiaTheme="minorEastAsia" w:cstheme="minorEastAsia"/>
                <w:color w:val="auto"/>
                <w:szCs w:val="21"/>
                <w:highlight w:val="none"/>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31" w:hRule="atLeast"/>
          <w:jc w:val="center"/>
        </w:trPr>
        <w:tc>
          <w:tcPr>
            <w:tcW w:w="992" w:type="dxa"/>
            <w:vMerge w:val="continue"/>
            <w:vAlign w:val="center"/>
          </w:tcPr>
          <w:p>
            <w:pPr>
              <w:spacing w:line="360" w:lineRule="auto"/>
              <w:jc w:val="center"/>
              <w:rPr>
                <w:rFonts w:asciiTheme="minorEastAsia" w:hAnsiTheme="minorEastAsia" w:eastAsiaTheme="minorEastAsia" w:cstheme="minorEastAsia"/>
                <w:color w:val="auto"/>
                <w:szCs w:val="21"/>
                <w:highlight w:val="none"/>
              </w:rPr>
            </w:pPr>
          </w:p>
        </w:tc>
        <w:tc>
          <w:tcPr>
            <w:tcW w:w="8627" w:type="dxa"/>
            <w:vAlign w:val="center"/>
          </w:tcPr>
          <w:p>
            <w:pPr>
              <w:pStyle w:val="7"/>
              <w:spacing w:line="320" w:lineRule="exact"/>
              <w:jc w:val="both"/>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磋商的顺序：按“政采云”系统的编号顺序。</w:t>
            </w:r>
          </w:p>
          <w:p>
            <w:pPr>
              <w:pStyle w:val="7"/>
              <w:spacing w:line="360" w:lineRule="auto"/>
              <w:jc w:val="both"/>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符合磋商资格的供应商必须在接到磋商通知后规定时间内参加磋商，未在规定时间内参加磋商的视同放弃参加磋商权利，其响应文件按无效响应处理。</w:t>
            </w:r>
          </w:p>
          <w:p>
            <w:pPr>
              <w:pStyle w:val="7"/>
              <w:spacing w:line="360" w:lineRule="auto"/>
              <w:jc w:val="both"/>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注：参与磋商前，供应商法定代表人或者委托代理人向磋商小组出示本人有效证件原件[有效证件可以是身份证（含临时身份证明）或者护照的其中一项]。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28.1</w:t>
            </w:r>
          </w:p>
        </w:tc>
        <w:tc>
          <w:tcPr>
            <w:tcW w:w="8627" w:type="dxa"/>
            <w:vAlign w:val="center"/>
          </w:tcPr>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w:t>
            </w:r>
            <w:r>
              <w:rPr>
                <w:rFonts w:hint="eastAsia" w:asciiTheme="minorEastAsia" w:hAnsiTheme="minorEastAsia" w:eastAsiaTheme="minorEastAsia" w:cstheme="minorEastAsia"/>
                <w:color w:val="auto"/>
                <w:szCs w:val="21"/>
                <w:highlight w:val="none"/>
                <w:lang w:eastAsia="zh-CN"/>
              </w:rPr>
              <w:t>不</w:t>
            </w:r>
            <w:r>
              <w:rPr>
                <w:rFonts w:hint="eastAsia" w:asciiTheme="minorEastAsia" w:hAnsiTheme="minorEastAsia" w:eastAsiaTheme="minorEastAsia" w:cstheme="minorEastAsia"/>
                <w:b/>
                <w:bCs/>
                <w:color w:val="auto"/>
                <w:szCs w:val="21"/>
                <w:highlight w:val="none"/>
              </w:rPr>
              <w:t>收取履约保证金</w:t>
            </w:r>
            <w:r>
              <w:rPr>
                <w:rFonts w:hint="eastAsia" w:asciiTheme="minorEastAsia" w:hAnsiTheme="minorEastAsia" w:eastAsiaTheme="minorEastAsia" w:cstheme="minorEastAsia"/>
                <w:color w:val="auto"/>
                <w:szCs w:val="21"/>
                <w:highlight w:val="none"/>
              </w:rPr>
              <w:t>。</w:t>
            </w:r>
          </w:p>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履约保证金如需缴纳，具体规定如下：</w:t>
            </w:r>
          </w:p>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包1履约保证金金额：不收取</w:t>
            </w:r>
          </w:p>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包2履约保证金金额：不收取</w:t>
            </w:r>
            <w:r>
              <w:rPr>
                <w:rFonts w:hint="eastAsia" w:asciiTheme="minorEastAsia" w:hAnsiTheme="minorEastAsia" w:eastAsiaTheme="minorEastAsia" w:cstheme="minorEastAsia"/>
                <w:color w:val="auto"/>
                <w:szCs w:val="21"/>
                <w:highlight w:val="none"/>
              </w:rPr>
              <w:t>。</w:t>
            </w:r>
          </w:p>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履约保证金提交方式：银行转账、支票、汇票、本票或者金融、担保机构出具的保函等非现金方式（参照磋商保证金）。</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履约保证金退付方式、时间及条件：</w:t>
            </w:r>
            <w:r>
              <w:rPr>
                <w:rFonts w:hint="eastAsia"/>
                <w:color w:val="auto"/>
                <w:highlight w:val="none"/>
                <w:u w:val="single"/>
              </w:rPr>
              <w:t>/</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履约保证金指定账户：/</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开户名称：</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开户银行：</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银行账号：</w:t>
            </w:r>
          </w:p>
          <w:p>
            <w:pPr>
              <w:spacing w:line="360" w:lineRule="auto"/>
              <w:contextualSpacing/>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备注：</w:t>
            </w:r>
            <w:r>
              <w:rPr>
                <w:rFonts w:hint="eastAsia" w:asciiTheme="minorEastAsia" w:hAnsiTheme="minorEastAsia" w:eastAsiaTheme="minorEastAsia" w:cstheme="minorEastAsia"/>
                <w:color w:val="auto"/>
                <w:szCs w:val="21"/>
                <w:highlight w:val="none"/>
              </w:rPr>
              <w:br w:type="textWrapping"/>
            </w:r>
            <w:r>
              <w:rPr>
                <w:rFonts w:hint="eastAsia" w:asciiTheme="minorEastAsia" w:hAnsiTheme="minorEastAsia" w:eastAsiaTheme="minorEastAsia" w:cstheme="minorEastAsia"/>
                <w:b/>
                <w:color w:val="auto"/>
                <w:szCs w:val="21"/>
                <w:highlight w:val="none"/>
              </w:rPr>
              <w:t>1</w:t>
            </w:r>
            <w:bookmarkStart w:id="26" w:name="_Hlk54170335"/>
            <w:r>
              <w:rPr>
                <w:rFonts w:hint="eastAsia" w:asciiTheme="minorEastAsia" w:hAnsiTheme="minorEastAsia" w:eastAsiaTheme="minorEastAsia" w:cstheme="minorEastAsia"/>
                <w:b/>
                <w:color w:val="auto"/>
                <w:szCs w:val="21"/>
                <w:highlight w:val="none"/>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26"/>
            <w:r>
              <w:rPr>
                <w:rFonts w:hint="eastAsia" w:asciiTheme="minorEastAsia" w:hAnsiTheme="minorEastAsia" w:eastAsiaTheme="minorEastAsia" w:cstheme="minorEastAsia"/>
                <w:b/>
                <w:color w:val="auto"/>
                <w:szCs w:val="21"/>
                <w:highlight w:val="none"/>
              </w:rPr>
              <w:br w:type="textWrapping"/>
            </w:r>
            <w:r>
              <w:rPr>
                <w:rFonts w:hint="eastAsia" w:asciiTheme="minorEastAsia" w:hAnsiTheme="minorEastAsia" w:eastAsiaTheme="minorEastAsia" w:cstheme="minorEastAsia"/>
                <w:b/>
                <w:color w:val="auto"/>
                <w:szCs w:val="21"/>
                <w:highlight w:val="none"/>
              </w:rPr>
              <w:t>2、履约保证金不足额缴纳的（包含保函额度不足的），或者不按规定提交方式提交的，或者保函有效期低于合同履行期限（即合同中规定的当事人履行自己的义务，如交付标的物、价款或者报酬，履行劳务、完成工作的时间界限）的，不予签订合同。</w:t>
            </w:r>
            <w:r>
              <w:rPr>
                <w:rFonts w:hint="eastAsia" w:asciiTheme="minorEastAsia" w:hAnsiTheme="minorEastAsia" w:eastAsiaTheme="minorEastAsia" w:cstheme="minorEastAsia"/>
                <w:b/>
                <w:color w:val="auto"/>
                <w:szCs w:val="21"/>
                <w:highlight w:val="none"/>
              </w:rPr>
              <w:br w:type="textWrapping"/>
            </w:r>
            <w:r>
              <w:rPr>
                <w:rFonts w:hint="eastAsia" w:asciiTheme="minorEastAsia" w:hAnsiTheme="minorEastAsia" w:eastAsiaTheme="minorEastAsia" w:cstheme="minorEastAsia"/>
                <w:b/>
                <w:color w:val="auto"/>
                <w:szCs w:val="21"/>
                <w:highlight w:val="none"/>
              </w:rPr>
              <w:t>3、采用金融、担保机构出具的保函的，必须为无条件保函，否则不予签订合同。</w:t>
            </w:r>
          </w:p>
          <w:p>
            <w:pPr>
              <w:spacing w:line="360" w:lineRule="auto"/>
              <w:contextualSpacing/>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szCs w:val="21"/>
                <w:highlight w:val="none"/>
              </w:rPr>
              <w:t>4、投标人为联合体的，由联合体其中一方按规定提交的履约保证金，视为有效履约保证金。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29.1</w:t>
            </w:r>
          </w:p>
        </w:tc>
        <w:tc>
          <w:tcPr>
            <w:tcW w:w="8627" w:type="dxa"/>
            <w:vAlign w:val="center"/>
          </w:tcPr>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签订合同携带的证明材料： </w:t>
            </w:r>
          </w:p>
          <w:p>
            <w:pPr>
              <w:autoSpaceDE w:val="0"/>
              <w:autoSpaceDN w:val="0"/>
              <w:snapToGrid w:val="0"/>
              <w:spacing w:line="360" w:lineRule="auto"/>
              <w:textAlignment w:val="bottom"/>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1、委托代理人负责签订合同的，须携带授权委托书及委托代理人身份证原件等其他资格证件。</w:t>
            </w:r>
          </w:p>
          <w:p>
            <w:pP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2、法定代表人负责签订合同的，须携带法定代表人身份证明原件及身份证原件等其他证明材料。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31.2</w:t>
            </w:r>
          </w:p>
        </w:tc>
        <w:tc>
          <w:tcPr>
            <w:tcW w:w="8627" w:type="dxa"/>
            <w:vAlign w:val="center"/>
          </w:tcPr>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接收质疑函方式：以纸质书面形式。</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质疑联系部门及联系方式：广西科文招标有限公司，质疑联系人：梁壮贤     负责人：银晓云、银睿     联系电话：0771-2023873，通讯地址：广西南宁市民族大道141号中鼎万象东方D区五层</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现场提交质疑办理业务时间：工作日，上午8:00-12:00；下午15:00-18:00（北京时间）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28" w:hRule="atLeast"/>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32.1</w:t>
            </w:r>
          </w:p>
        </w:tc>
        <w:tc>
          <w:tcPr>
            <w:tcW w:w="8627" w:type="dxa"/>
            <w:vAlign w:val="center"/>
          </w:tcPr>
          <w:p>
            <w:pPr>
              <w:pStyle w:val="12"/>
              <w:snapToGrid w:val="0"/>
              <w:spacing w:line="400" w:lineRule="exact"/>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采购代理服务费支付方式：本项目的招标代理服务费按以下收费标准向成交供应商收取，领取成交通知书前，成交供应商应向采购代理机构一次付清招标代理服务费，否则采购代理机构有权不予以办理后续相关手续。</w:t>
            </w:r>
          </w:p>
          <w:p>
            <w:pPr>
              <w:pStyle w:val="12"/>
              <w:snapToGrid w:val="0"/>
              <w:spacing w:line="400" w:lineRule="exact"/>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2、采购代理服务费收取标准：</w:t>
            </w:r>
          </w:p>
          <w:p>
            <w:pPr>
              <w:pStyle w:val="12"/>
              <w:snapToGrid w:val="0"/>
              <w:spacing w:line="400" w:lineRule="exact"/>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以项目（采购预算）为计费额，按本须知正文第30.2条规定的收费计算标准（服务类）采用差额定率累进法计算出收费基准价格，采购代理服务费收费以（收费基准价格）收取。</w:t>
            </w:r>
          </w:p>
          <w:p>
            <w:pPr>
              <w:pStyle w:val="12"/>
              <w:snapToGrid w:val="0"/>
              <w:spacing w:line="400" w:lineRule="exact"/>
              <w:rPr>
                <w:rFonts w:asciiTheme="minorEastAsia" w:hAnsiTheme="minorEastAsia" w:eastAsiaTheme="minorEastAsia" w:cstheme="minorEastAsia"/>
                <w:color w:val="auto"/>
                <w:sz w:val="21"/>
                <w:highlight w:val="none"/>
                <w:u w:val="single"/>
              </w:rPr>
            </w:pP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广西科文招标有限公司服务费银行账户：</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开户名称：广西科文招标有限公司南宁六分公司</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开户银行：广西北部湾银行股份有限公司南宁市云景支行</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银行</w:t>
            </w:r>
            <w:r>
              <w:rPr>
                <w:rFonts w:hint="eastAsia" w:asciiTheme="minorEastAsia" w:hAnsiTheme="minorEastAsia" w:eastAsiaTheme="minorEastAsia" w:cstheme="minorEastAsia"/>
                <w:color w:val="auto"/>
                <w:sz w:val="21"/>
                <w:highlight w:val="none"/>
                <w:lang w:eastAsia="zh-Hans"/>
              </w:rPr>
              <w:t>账</w:t>
            </w:r>
            <w:r>
              <w:rPr>
                <w:rFonts w:hint="eastAsia" w:asciiTheme="minorEastAsia" w:hAnsiTheme="minorEastAsia" w:eastAsiaTheme="minorEastAsia" w:cstheme="minorEastAsia"/>
                <w:color w:val="auto"/>
                <w:sz w:val="21"/>
                <w:highlight w:val="none"/>
              </w:rPr>
              <w:t>号：8050 3274 93 00001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33.1</w:t>
            </w:r>
          </w:p>
        </w:tc>
        <w:tc>
          <w:tcPr>
            <w:tcW w:w="8627" w:type="dxa"/>
            <w:vAlign w:val="center"/>
          </w:tcPr>
          <w:p>
            <w:pPr>
              <w:pStyle w:val="12"/>
              <w:snapToGrid w:val="0"/>
              <w:spacing w:line="360" w:lineRule="auto"/>
              <w:rPr>
                <w:rFonts w:asciiTheme="minorEastAsia" w:hAnsiTheme="minorEastAsia" w:eastAsiaTheme="minorEastAsia" w:cstheme="minorEastAsia"/>
                <w:color w:val="auto"/>
                <w:kern w:val="2"/>
                <w:sz w:val="21"/>
                <w:highlight w:val="none"/>
              </w:rPr>
            </w:pPr>
            <w:r>
              <w:rPr>
                <w:rFonts w:hint="eastAsia" w:asciiTheme="minorEastAsia" w:hAnsiTheme="minorEastAsia" w:eastAsiaTheme="minorEastAsia" w:cstheme="minorEastAsia"/>
                <w:color w:val="auto"/>
                <w:sz w:val="21"/>
                <w:highlight w:val="none"/>
              </w:rPr>
              <w:t>解释：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告（澄清公告）与同步更新的磋商文件不一致时以更正公告（澄清公告）为准。按本款前述规定仍不能形成结论的，由采购人或者采购代理机构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2" w:type="dxa"/>
            <w:vAlign w:val="center"/>
          </w:tcPr>
          <w:p>
            <w:pPr>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33.2</w:t>
            </w:r>
          </w:p>
        </w:tc>
        <w:tc>
          <w:tcPr>
            <w:tcW w:w="8627" w:type="dxa"/>
            <w:vAlign w:val="center"/>
          </w:tcPr>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1、本磋商文件中描述供应商的“公章”是指根据我国对公章的管理规定，用供应商法定主体行为名称制作的印章（含电子印章），除本磋商文件有特殊规定外，供应商的财务章、部门章、分公司章、工会章、合同章、竞标/投标专用章、业务专用章及银行的转账章、现金收讫章、现金付讫章等其他形式印章均不能代替公章。</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2、供应商为其他组织或者自然人时，本磋商文件规定的法定代表人指负责人或者自然人。本磋商文件所称负责人是指参加竞标的其他组织</w:t>
            </w:r>
            <w:r>
              <w:rPr>
                <w:rFonts w:hint="eastAsia" w:asciiTheme="minorEastAsia" w:hAnsiTheme="minorEastAsia" w:eastAsiaTheme="minorEastAsia" w:cstheme="minorEastAsia"/>
                <w:bCs/>
                <w:color w:val="auto"/>
                <w:sz w:val="21"/>
                <w:highlight w:val="none"/>
              </w:rPr>
              <w:t>营业执照或者执业许可证等证照上的</w:t>
            </w:r>
            <w:r>
              <w:rPr>
                <w:rFonts w:hint="eastAsia" w:asciiTheme="minorEastAsia" w:hAnsiTheme="minorEastAsia" w:eastAsiaTheme="minorEastAsia" w:cstheme="minorEastAsia"/>
                <w:color w:val="auto"/>
                <w:sz w:val="21"/>
                <w:highlight w:val="none"/>
              </w:rPr>
              <w:t>负责人，本磋商文件所称自然人指参与竞标的自然人本人，</w:t>
            </w:r>
            <w:r>
              <w:rPr>
                <w:rFonts w:hint="eastAsia" w:asciiTheme="minorEastAsia" w:hAnsiTheme="minorEastAsia" w:eastAsiaTheme="minorEastAsia" w:cstheme="minorEastAsia"/>
                <w:bCs/>
                <w:color w:val="auto"/>
                <w:sz w:val="21"/>
                <w:highlight w:val="none"/>
              </w:rPr>
              <w:t>且应具备独立承担民事责任能力，自然人应当为年满18岁以上成年人（十六周岁以上的未成年人，以自己的劳动收入为主要生活来源的，视为完全民事行为能力人）。</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3、本磋商文件中描述供应商的“签字”是指供应商的法定代表人或者委托代理人在文件规定签署处签名（含电子签名）的行为，私章、印鉴等其他形式均不能代替签字。</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4、自然人竞标的，磋商文件规定盖公章处由自然人摁手指指印。</w:t>
            </w:r>
          </w:p>
          <w:p>
            <w:pPr>
              <w:pStyle w:val="12"/>
              <w:snapToGrid w:val="0"/>
              <w:spacing w:line="360" w:lineRule="auto"/>
              <w:rPr>
                <w:rFonts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sz w:val="21"/>
                <w:highlight w:val="none"/>
              </w:rPr>
              <w:t>5、本磋商文件所称的“以上”“以下”“以内”“届满”，包括本数；所称的“不满”“超过”“以外”，不包括本数。</w:t>
            </w:r>
          </w:p>
        </w:tc>
      </w:tr>
    </w:tbl>
    <w:p>
      <w:pPr>
        <w:spacing w:line="400" w:lineRule="exact"/>
        <w:jc w:val="center"/>
        <w:rPr>
          <w:rFonts w:ascii="宋体" w:hAnsi="宋体"/>
          <w:b/>
          <w:color w:val="auto"/>
          <w:sz w:val="32"/>
          <w:szCs w:val="32"/>
          <w:highlight w:val="none"/>
        </w:rPr>
      </w:pPr>
      <w:r>
        <w:rPr>
          <w:rFonts w:ascii="宋体" w:hAnsi="宋体"/>
          <w:b/>
          <w:color w:val="auto"/>
          <w:sz w:val="32"/>
          <w:szCs w:val="32"/>
          <w:highlight w:val="none"/>
        </w:rPr>
        <w:br w:type="page"/>
      </w:r>
      <w:r>
        <w:rPr>
          <w:rFonts w:hint="eastAsia" w:ascii="宋体" w:hAnsi="宋体"/>
          <w:b/>
          <w:color w:val="auto"/>
          <w:sz w:val="32"/>
          <w:szCs w:val="32"/>
          <w:highlight w:val="none"/>
        </w:rPr>
        <w:t>供应商须知正文</w:t>
      </w:r>
    </w:p>
    <w:p>
      <w:pPr>
        <w:spacing w:line="400" w:lineRule="exact"/>
        <w:jc w:val="center"/>
        <w:rPr>
          <w:rFonts w:ascii="宋体" w:hAnsi="宋体"/>
          <w:b/>
          <w:color w:val="auto"/>
          <w:sz w:val="32"/>
          <w:szCs w:val="32"/>
          <w:highlight w:val="none"/>
        </w:rPr>
      </w:pPr>
    </w:p>
    <w:p>
      <w:pPr>
        <w:spacing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rPr>
        <w:t>一、总则</w:t>
      </w:r>
    </w:p>
    <w:p>
      <w:pPr>
        <w:spacing w:line="400" w:lineRule="exact"/>
        <w:rPr>
          <w:rFonts w:ascii="宋体" w:hAnsi="宋体"/>
          <w:color w:val="auto"/>
          <w:szCs w:val="21"/>
          <w:highlight w:val="none"/>
        </w:rPr>
      </w:pP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1.适用范围</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1.1本项目采购人、采购代理机构、供应商、磋商小组的相关行为均受《中华人民共和国政府采购法》《中华人民共和国政府采购法实施条例》</w:t>
      </w:r>
      <w:r>
        <w:rPr>
          <w:rFonts w:hint="eastAsia" w:ascii="宋体" w:hAnsi="宋体"/>
          <w:color w:val="auto"/>
          <w:szCs w:val="21"/>
          <w:highlight w:val="none"/>
        </w:rPr>
        <w:t>《政府采购竞争性磋商采购方式管理暂行办法》《财政部关于政府采购竞争性磋商采购方式管理暂行办法有关问题的补充通知》</w:t>
      </w:r>
      <w:r>
        <w:rPr>
          <w:rFonts w:hint="eastAsia" w:ascii="宋体" w:hAnsi="宋体" w:cs="宋体"/>
          <w:color w:val="auto"/>
          <w:szCs w:val="21"/>
          <w:highlight w:val="none"/>
        </w:rPr>
        <w:t>及本项目本级和上级财政部门政府采购有关规定的约束和保护。</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1.2</w:t>
      </w:r>
      <w:r>
        <w:rPr>
          <w:rFonts w:hint="eastAsia" w:ascii="宋体" w:hAnsi="宋体" w:cs="宋体"/>
          <w:color w:val="auto"/>
          <w:spacing w:val="-6"/>
          <w:szCs w:val="21"/>
          <w:highlight w:val="none"/>
        </w:rPr>
        <w:t>本竞争性磋商文件（以下简称磋商文件）适用于本项目的所有采购程序和环节（法律、法规另有规定的，从其规定）。</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2.定义</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2.1“采购人”是指依法进行政府采购的国家机关、事业单位、团体组织。</w:t>
      </w:r>
    </w:p>
    <w:p>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2.2“采购代理机构”是指政府采购集中采购机构和集中采购机构以外的采购代理机构。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2.3“供应商”是指向采购人提供货物、工程或者服务的法人、其他组织或者自然人。</w:t>
      </w:r>
    </w:p>
    <w:p>
      <w:pPr>
        <w:spacing w:line="360" w:lineRule="auto"/>
        <w:ind w:firstLine="420" w:firstLineChars="200"/>
        <w:rPr>
          <w:rFonts w:ascii="宋体" w:hAnsi="宋体" w:cs="宋体"/>
          <w:color w:val="auto"/>
          <w:szCs w:val="21"/>
          <w:highlight w:val="none"/>
        </w:rPr>
      </w:pPr>
      <w:r>
        <w:rPr>
          <w:rFonts w:hint="eastAsia" w:ascii="宋体" w:hAnsi="宋体"/>
          <w:color w:val="auto"/>
          <w:szCs w:val="21"/>
          <w:highlight w:val="none"/>
        </w:rPr>
        <w:t>2.4“服务”是指除货物和工程以外的其他政府采购对象。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ascii="宋体" w:hAnsi="宋体" w:cs="宋体"/>
          <w:color w:val="auto"/>
          <w:szCs w:val="21"/>
          <w:highlight w:val="none"/>
        </w:rPr>
        <w:t>5</w:t>
      </w:r>
      <w:r>
        <w:rPr>
          <w:rFonts w:hint="eastAsia" w:ascii="宋体" w:hAnsi="宋体" w:cs="宋体"/>
          <w:color w:val="auto"/>
          <w:szCs w:val="21"/>
          <w:highlight w:val="none"/>
        </w:rPr>
        <w:t>“竞标”是指供应商按照本项目竞争性磋商公告或者邀请函规定的方式获取磋商文件、提交响应文件并希望获得标的的行为。</w:t>
      </w:r>
    </w:p>
    <w:p>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2.6“书面形式”是指合同书、信件和数据电文（包括电报、电传、传真、电子数据交换和电子邮件）等可以有形地表现所载内容的形式。</w:t>
      </w:r>
    </w:p>
    <w:p>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2.7“响应文件”</w:t>
      </w:r>
      <w:r>
        <w:rPr>
          <w:rFonts w:hint="eastAsia" w:ascii="宋体" w:hAnsi="宋体" w:cs="宋体"/>
          <w:color w:val="auto"/>
          <w:spacing w:val="-6"/>
          <w:szCs w:val="21"/>
          <w:highlight w:val="none"/>
        </w:rPr>
        <w:t>是指：供应商根据本磋商文件要求，编制包含资格证明、报价商务技术等所有内容的文件。</w:t>
      </w:r>
    </w:p>
    <w:p>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2.8“实质性要求”是指磋商文件中已经指明不满足则响应文件按无效响应处理的条款，或者不能负偏离的条款，或者采购需求中带“▲”的条款。</w:t>
      </w:r>
    </w:p>
    <w:p>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2.9“正偏离”，是指响应文件对磋商文件“采购需求”中有关条款作出的响应优于条款要求并有利于采购人的情形。</w:t>
      </w:r>
    </w:p>
    <w:p>
      <w:pPr>
        <w:spacing w:line="360" w:lineRule="auto"/>
        <w:ind w:firstLine="420" w:firstLineChars="200"/>
        <w:contextualSpacing/>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10“负偏离”，是指响应文件对磋商文件“采购需求”中有关条款作出的响应不满足条款要求，导致采购人要求不能得到满足的情形。</w:t>
      </w:r>
    </w:p>
    <w:p>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2.11“允许负偏离的条款”是指采购需求中的不属于“实质性要求”的条款。</w:t>
      </w:r>
    </w:p>
    <w:p>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w:t>
      </w:r>
      <w:r>
        <w:rPr>
          <w:rFonts w:ascii="宋体" w:hAnsi="宋体" w:cs="宋体"/>
          <w:color w:val="auto"/>
          <w:szCs w:val="21"/>
          <w:highlight w:val="none"/>
        </w:rPr>
        <w:t>1</w:t>
      </w:r>
      <w:r>
        <w:rPr>
          <w:rFonts w:hint="eastAsia" w:ascii="宋体" w:hAnsi="宋体" w:cs="宋体"/>
          <w:color w:val="auto"/>
          <w:szCs w:val="21"/>
          <w:highlight w:val="none"/>
        </w:rPr>
        <w:t>2“首次报价”是指供应商提交的首次响应文件中的报价。</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3.供应商的资格条件</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供应商的资格条件详见“供应商须知前附表”。</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4.竞标费用</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供应商应承担参与本次采购活动有关的所有费用，包括但不限于获取磋商文件、勘查现场、编制和提交响应文件、参加磋商与应答、签订合同等，不论竞标结果如何，均应自行承担。</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 xml:space="preserve">5.转包与分包             </w:t>
      </w:r>
    </w:p>
    <w:p>
      <w:pPr>
        <w:pStyle w:val="5"/>
        <w:keepNext w:val="0"/>
        <w:keepLines w:val="0"/>
        <w:spacing w:before="0" w:after="0" w:line="360" w:lineRule="auto"/>
        <w:ind w:left="420" w:leftChars="200"/>
        <w:rPr>
          <w:rFonts w:ascii="宋体" w:hAnsi="宋体"/>
          <w:b w:val="0"/>
          <w:color w:val="auto"/>
          <w:sz w:val="21"/>
          <w:szCs w:val="21"/>
          <w:highlight w:val="none"/>
        </w:rPr>
      </w:pPr>
      <w:bookmarkStart w:id="27" w:name="_Toc254970673"/>
      <w:bookmarkStart w:id="28" w:name="_Toc254970532"/>
      <w:r>
        <w:rPr>
          <w:rFonts w:hint="eastAsia" w:ascii="宋体" w:hAnsi="宋体"/>
          <w:b w:val="0"/>
          <w:color w:val="auto"/>
          <w:sz w:val="21"/>
          <w:szCs w:val="21"/>
          <w:highlight w:val="none"/>
        </w:rPr>
        <w:t>5.1本项目不允许转包。</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6.特别说明</w:t>
      </w:r>
      <w:bookmarkEnd w:id="27"/>
      <w:bookmarkEnd w:id="28"/>
    </w:p>
    <w:p>
      <w:pPr>
        <w:spacing w:line="360" w:lineRule="auto"/>
        <w:ind w:firstLine="420" w:firstLineChars="200"/>
        <w:rPr>
          <w:rFonts w:ascii="宋体" w:hAnsi="宋体" w:cs="宋体"/>
          <w:color w:val="auto"/>
          <w:szCs w:val="21"/>
          <w:highlight w:val="none"/>
        </w:rPr>
      </w:pPr>
      <w:bookmarkStart w:id="29" w:name="_8.1提供相同品牌产品且通过资格审查、符合性审查的不同投标人参加同一合"/>
      <w:bookmarkEnd w:id="29"/>
      <w:r>
        <w:rPr>
          <w:rFonts w:hint="eastAsia" w:ascii="宋体" w:hAnsi="宋体" w:cs="宋体"/>
          <w:color w:val="auto"/>
          <w:szCs w:val="21"/>
          <w:highlight w:val="none"/>
        </w:rPr>
        <w:t>6.</w:t>
      </w:r>
      <w:r>
        <w:rPr>
          <w:rFonts w:ascii="宋体" w:hAnsi="宋体" w:cs="宋体"/>
          <w:color w:val="auto"/>
          <w:szCs w:val="21"/>
          <w:highlight w:val="none"/>
        </w:rPr>
        <w:t>1</w:t>
      </w:r>
      <w:bookmarkStart w:id="30" w:name="_Hlk65832145"/>
      <w:r>
        <w:rPr>
          <w:rFonts w:hint="eastAsia" w:ascii="宋体" w:hAnsi="宋体"/>
          <w:color w:val="auto"/>
          <w:szCs w:val="21"/>
          <w:highlight w:val="none"/>
        </w:rPr>
        <w:t xml:space="preserve">如果本磋商文件要求提供供应商或制造商的资格、信誉、荣誉、业绩与企业认证等材料的，资格、信誉、荣誉、业绩与企业认证等必须为供应商或者制造商所拥有或自身获得 </w:t>
      </w:r>
      <w:r>
        <w:rPr>
          <w:rFonts w:hint="eastAsia" w:ascii="宋体" w:hAnsi="宋体" w:cs="宋体"/>
          <w:color w:val="auto"/>
          <w:szCs w:val="21"/>
          <w:highlight w:val="none"/>
        </w:rPr>
        <w:t>。</w:t>
      </w:r>
    </w:p>
    <w:bookmarkEnd w:id="30"/>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2</w:t>
      </w:r>
      <w:r>
        <w:rPr>
          <w:rFonts w:hint="eastAsia" w:ascii="宋体" w:hAnsi="宋体" w:cs="宋体"/>
          <w:color w:val="auto"/>
          <w:szCs w:val="21"/>
          <w:highlight w:val="none"/>
        </w:rPr>
        <w:t>供应商应仔细阅读磋商文件的所有内容，按照磋商文件的要求提交响应文件，并对所提供的全部资料的真实性承担法律责任。</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3</w:t>
      </w:r>
      <w:r>
        <w:rPr>
          <w:rFonts w:hint="eastAsia" w:ascii="宋体" w:hAnsi="宋体" w:cs="宋体"/>
          <w:color w:val="auto"/>
          <w:szCs w:val="21"/>
          <w:highlight w:val="none"/>
        </w:rPr>
        <w:t>供应商在竞标活动中提供任何疑似虚假材料，将报监管部门查处；签订合同后发现的，成交供应商须依法赔偿采购人，且民事赔偿并不免除违法供应商的行政与刑事责任。</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4</w:t>
      </w:r>
      <w:r>
        <w:rPr>
          <w:rFonts w:hint="eastAsia" w:ascii="宋体" w:hAnsi="宋体" w:cs="宋体"/>
          <w:color w:val="auto"/>
          <w:szCs w:val="21"/>
          <w:highlight w:val="none"/>
        </w:rPr>
        <w:t>在政府采购活动中，采购人员及相关人员与供应商有下列利害关系之一的，应当回避：</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（1）参加采购活动前3年内与供应商存在劳动关系；</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（2）参加采购活动前3年内担任供应商的董事、监事；</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（3）参加采购活动前3年内是供应商的控股股东或者实际控制人；</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（4）与供应商的法定代表人或者负责人有夫妻、直系血亲、三代以内旁系血亲或者近姻亲关系；</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（5）与供应商有其他可能影响政府采购活动公平、公正进行的关系。</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5</w:t>
      </w:r>
      <w:r>
        <w:rPr>
          <w:rFonts w:hint="eastAsia" w:ascii="宋体" w:hAnsi="宋体" w:cs="宋体"/>
          <w:color w:val="auto"/>
          <w:szCs w:val="21"/>
          <w:highlight w:val="none"/>
        </w:rPr>
        <w:t>有下列情形之一的视为供应商相互串通竞标，响应文件将被视为无效：</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（1）不同供应商的响应文件由同一单位或者个人编制； </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（2）不同供应商委托同一单位或者个人办理竞标事宜；</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（3）不同的供应商的响应文件载明的项目管理员为同一个人；</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（4）不同供应商的响应文件异常一致或者报价呈规律性差异；</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（5）不同供应商的响应文件相互混装；</w:t>
      </w:r>
    </w:p>
    <w:p>
      <w:pPr>
        <w:tabs>
          <w:tab w:val="left" w:pos="6931"/>
        </w:tabs>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（6）不同供应商的磋商保证金从同一单位或者个人账户转出。</w:t>
      </w:r>
      <w:r>
        <w:rPr>
          <w:rFonts w:ascii="宋体" w:hAnsi="宋体" w:cs="宋体"/>
          <w:color w:val="auto"/>
          <w:szCs w:val="21"/>
          <w:highlight w:val="none"/>
        </w:rPr>
        <w:tab/>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w:t>
      </w:r>
      <w:r>
        <w:rPr>
          <w:rFonts w:ascii="宋体" w:hAnsi="宋体" w:cs="宋体"/>
          <w:color w:val="auto"/>
          <w:szCs w:val="21"/>
          <w:highlight w:val="none"/>
        </w:rPr>
        <w:t>6</w:t>
      </w:r>
      <w:r>
        <w:rPr>
          <w:rFonts w:hint="eastAsia" w:ascii="宋体" w:hAnsi="宋体" w:cs="宋体"/>
          <w:color w:val="auto"/>
          <w:szCs w:val="21"/>
          <w:highlight w:val="none"/>
        </w:rPr>
        <w:t>供应商有下列情形之一的，属于恶意串通行为，将报同级监督管理部门：</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（1）供应商直接或者间接从采购人或者采购代理机构处获得其他供应商的相关信息并修改其响应文件；</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（2）供应商按照采购人或者采购代理机构的授意撤换、修改响应文件；</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（3）供应商之间协商报价、技术方案等响应文件或者响应文件的实质性内容；</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（4）属于同一集团、协会、商会等组织成员的供应商按照该组织要求协同参加政府采购活动；</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（6）供应商之间商定部分供应商放弃参加政府采购活动或者放弃成交；</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（7）供应商与采购人或者采购代理机构之间、供应商相互之间，为谋求特定供应商成交或者排斥其他供应商的其他串通行为。</w:t>
      </w:r>
    </w:p>
    <w:p>
      <w:pPr>
        <w:spacing w:line="360" w:lineRule="auto"/>
        <w:ind w:firstLine="420" w:firstLineChars="200"/>
        <w:rPr>
          <w:rFonts w:ascii="宋体" w:hAnsi="宋体" w:cs="宋体"/>
          <w:color w:val="auto"/>
          <w:szCs w:val="21"/>
          <w:highlight w:val="none"/>
        </w:rPr>
      </w:pPr>
    </w:p>
    <w:p>
      <w:pPr>
        <w:spacing w:line="360" w:lineRule="auto"/>
        <w:ind w:left="1" w:firstLine="417" w:firstLineChars="199"/>
        <w:jc w:val="center"/>
        <w:rPr>
          <w:rFonts w:ascii="宋体" w:hAnsi="宋体"/>
          <w:color w:val="auto"/>
          <w:highlight w:val="none"/>
        </w:rPr>
      </w:pPr>
      <w:bookmarkStart w:id="31" w:name="_Toc254970534"/>
      <w:bookmarkStart w:id="32" w:name="_Toc254970675"/>
    </w:p>
    <w:p>
      <w:pPr>
        <w:spacing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rPr>
        <w:t>二、磋商文件</w:t>
      </w:r>
      <w:bookmarkEnd w:id="31"/>
      <w:bookmarkEnd w:id="32"/>
    </w:p>
    <w:p>
      <w:pPr>
        <w:spacing w:line="360" w:lineRule="auto"/>
        <w:ind w:firstLine="482" w:firstLineChars="200"/>
        <w:rPr>
          <w:rFonts w:ascii="黑体" w:hAnsi="黑体" w:eastAsia="黑体" w:cs="宋体"/>
          <w:b/>
          <w:bCs/>
          <w:color w:val="auto"/>
          <w:sz w:val="24"/>
          <w:highlight w:val="none"/>
        </w:rPr>
      </w:pP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7.磋商文件的构成</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（1）竞争性磋商公告；</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 xml:space="preserve">（2）供应商须知； </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（3）采购需求；</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（4）评审程序、评审方法和评审标准；</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（5）响应文件格式；</w:t>
      </w:r>
    </w:p>
    <w:p>
      <w:pPr>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（6）合同文本。</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8.供应商的询问</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供应商应认真阅读磋商文件的采购需求，如供应商对磋商文件有疑问的，如要求采购人作出澄清或者修改的，供应商尽可能在</w:t>
      </w:r>
      <w:r>
        <w:rPr>
          <w:rFonts w:ascii="宋体" w:hAnsi="宋体"/>
          <w:color w:val="auto"/>
          <w:szCs w:val="21"/>
          <w:highlight w:val="none"/>
        </w:rPr>
        <w:t>提交首次响应文件截止之日前</w:t>
      </w:r>
      <w:r>
        <w:rPr>
          <w:rFonts w:hint="eastAsia" w:ascii="宋体" w:hAnsi="宋体"/>
          <w:color w:val="auto"/>
          <w:szCs w:val="21"/>
          <w:highlight w:val="none"/>
        </w:rPr>
        <w:t>，以纸质书面形式向</w:t>
      </w:r>
      <w:r>
        <w:rPr>
          <w:rFonts w:ascii="宋体" w:hAnsi="宋体"/>
          <w:color w:val="auto"/>
          <w:szCs w:val="21"/>
          <w:highlight w:val="none"/>
        </w:rPr>
        <w:t>采购人、采购代理机构</w:t>
      </w:r>
      <w:r>
        <w:rPr>
          <w:rFonts w:hint="eastAsia" w:ascii="宋体" w:hAnsi="宋体"/>
          <w:color w:val="auto"/>
          <w:szCs w:val="21"/>
          <w:highlight w:val="none"/>
        </w:rPr>
        <w:t>提出</w:t>
      </w:r>
      <w:r>
        <w:rPr>
          <w:rFonts w:hint="eastAsia" w:ascii="宋体" w:hAnsi="宋体" w:cs="宋体"/>
          <w:color w:val="auto"/>
          <w:szCs w:val="21"/>
          <w:highlight w:val="none"/>
        </w:rPr>
        <w:t>，否则，由此产生的后果由供应商自行负责。</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9.磋商文件的澄清和修改</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9.1提交首次响应文件截止之日前，采购人、采购代理机构或者磋商小组可以对已发出的磋商文件进行必要的澄清或者修改，澄清或者修改的内容作为磋商文件的组成部分。澄清或者修改将在原公告发布媒体上发布更正公告。澄清或者修改的内容可能影响响应文件编制的，采购人、采购代理机构应当在提交首次响应文件截止时间至少</w:t>
      </w:r>
      <w:r>
        <w:rPr>
          <w:rFonts w:ascii="宋体" w:hAnsi="宋体" w:cs="宋体"/>
          <w:color w:val="auto"/>
          <w:szCs w:val="21"/>
          <w:highlight w:val="none"/>
        </w:rPr>
        <w:t>5</w:t>
      </w:r>
      <w:r>
        <w:rPr>
          <w:rFonts w:hint="eastAsia" w:ascii="宋体" w:hAnsi="宋体" w:cs="宋体"/>
          <w:color w:val="auto"/>
          <w:szCs w:val="21"/>
          <w:highlight w:val="none"/>
        </w:rPr>
        <w:t>日前，在原公告发布媒体上发布更正公告；不足</w:t>
      </w:r>
      <w:r>
        <w:rPr>
          <w:rFonts w:ascii="宋体" w:hAnsi="宋体" w:cs="宋体"/>
          <w:color w:val="auto"/>
          <w:szCs w:val="21"/>
          <w:highlight w:val="none"/>
        </w:rPr>
        <w:t>5</w:t>
      </w:r>
      <w:r>
        <w:rPr>
          <w:rFonts w:hint="eastAsia" w:ascii="宋体" w:hAnsi="宋体" w:cs="宋体"/>
          <w:color w:val="auto"/>
          <w:szCs w:val="21"/>
          <w:highlight w:val="none"/>
        </w:rPr>
        <w:t>日的，采购人、采购代理机构应当顺延提交首次响应文件截止时间。</w:t>
      </w:r>
    </w:p>
    <w:p>
      <w:pPr>
        <w:spacing w:line="400" w:lineRule="exact"/>
        <w:ind w:firstLine="420" w:firstLineChars="200"/>
        <w:rPr>
          <w:rFonts w:ascii="宋体" w:hAnsi="宋体"/>
          <w:color w:val="auto"/>
          <w:szCs w:val="21"/>
          <w:highlight w:val="none"/>
        </w:rPr>
      </w:pPr>
      <w:r>
        <w:rPr>
          <w:rFonts w:hint="eastAsia" w:ascii="宋体" w:hAnsi="宋体" w:cs="宋体"/>
          <w:color w:val="auto"/>
          <w:highlight w:val="none"/>
        </w:rPr>
        <w:t>9.2采购人和采购代理机构可以视采购具体情况，变更</w:t>
      </w:r>
      <w:r>
        <w:rPr>
          <w:rFonts w:hint="eastAsia" w:ascii="宋体" w:hAnsi="宋体" w:cs="宋体"/>
          <w:color w:val="auto"/>
          <w:szCs w:val="21"/>
          <w:highlight w:val="none"/>
        </w:rPr>
        <w:t>首次响应文件提交截止时间和开启时间</w:t>
      </w:r>
      <w:r>
        <w:rPr>
          <w:rFonts w:hint="eastAsia" w:ascii="宋体" w:hAnsi="宋体" w:cs="宋体"/>
          <w:color w:val="auto"/>
          <w:highlight w:val="none"/>
        </w:rPr>
        <w:t>，</w:t>
      </w:r>
      <w:r>
        <w:rPr>
          <w:rFonts w:hint="eastAsia" w:ascii="宋体" w:hAnsi="宋体"/>
          <w:color w:val="auto"/>
          <w:highlight w:val="none"/>
        </w:rPr>
        <w:t>并</w:t>
      </w:r>
      <w:r>
        <w:rPr>
          <w:rFonts w:hint="eastAsia" w:ascii="宋体" w:hAnsi="宋体"/>
          <w:color w:val="auto"/>
          <w:szCs w:val="21"/>
          <w:highlight w:val="none"/>
        </w:rPr>
        <w:t>在原公告发布媒体上发布更正公告。</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9.3</w:t>
      </w:r>
      <w:r>
        <w:rPr>
          <w:rFonts w:hint="eastAsia" w:ascii="宋体" w:hAnsi="宋体" w:cs="宋体"/>
          <w:color w:val="auto"/>
          <w:szCs w:val="21"/>
          <w:highlight w:val="none"/>
        </w:rPr>
        <w:t>磋商文件</w:t>
      </w:r>
      <w:r>
        <w:rPr>
          <w:rFonts w:hint="eastAsia" w:ascii="宋体" w:hAnsi="宋体"/>
          <w:color w:val="auto"/>
          <w:szCs w:val="21"/>
          <w:highlight w:val="none"/>
        </w:rPr>
        <w:t>澄清、答复、修改、补充的内容为</w:t>
      </w:r>
      <w:r>
        <w:rPr>
          <w:rFonts w:hint="eastAsia" w:ascii="宋体" w:hAnsi="宋体" w:cs="宋体"/>
          <w:color w:val="auto"/>
          <w:szCs w:val="21"/>
          <w:highlight w:val="none"/>
        </w:rPr>
        <w:t>磋商文件</w:t>
      </w:r>
      <w:r>
        <w:rPr>
          <w:rFonts w:hint="eastAsia" w:ascii="宋体" w:hAnsi="宋体"/>
          <w:color w:val="auto"/>
          <w:szCs w:val="21"/>
          <w:highlight w:val="none"/>
        </w:rPr>
        <w:t>的组成部分。</w:t>
      </w:r>
      <w:r>
        <w:rPr>
          <w:rFonts w:hint="eastAsia" w:ascii="宋体" w:hAnsi="宋体"/>
          <w:b/>
          <w:color w:val="auto"/>
          <w:szCs w:val="21"/>
          <w:highlight w:val="none"/>
        </w:rPr>
        <w:t>当</w:t>
      </w:r>
      <w:r>
        <w:rPr>
          <w:rFonts w:hint="eastAsia" w:ascii="宋体" w:hAnsi="宋体" w:cs="宋体"/>
          <w:b/>
          <w:color w:val="auto"/>
          <w:szCs w:val="21"/>
          <w:highlight w:val="none"/>
        </w:rPr>
        <w:t>磋商文件</w:t>
      </w:r>
      <w:r>
        <w:rPr>
          <w:rFonts w:hint="eastAsia" w:ascii="宋体" w:hAnsi="宋体"/>
          <w:b/>
          <w:color w:val="auto"/>
          <w:szCs w:val="21"/>
          <w:highlight w:val="none"/>
        </w:rPr>
        <w:t>与</w:t>
      </w:r>
      <w:r>
        <w:rPr>
          <w:rFonts w:hint="eastAsia" w:ascii="宋体" w:hAnsi="宋体" w:cs="宋体"/>
          <w:b/>
          <w:color w:val="auto"/>
          <w:szCs w:val="21"/>
          <w:highlight w:val="none"/>
        </w:rPr>
        <w:t>磋商文件</w:t>
      </w:r>
      <w:r>
        <w:rPr>
          <w:rFonts w:hint="eastAsia" w:ascii="宋体" w:hAnsi="宋体"/>
          <w:b/>
          <w:color w:val="auto"/>
          <w:szCs w:val="21"/>
          <w:highlight w:val="none"/>
        </w:rPr>
        <w:t>的澄清、答复、修改、补充通知就同一内容的表述不一致时，以最后发出的文件为准。</w:t>
      </w:r>
    </w:p>
    <w:p>
      <w:pPr>
        <w:spacing w:line="400" w:lineRule="exact"/>
        <w:ind w:firstLine="422" w:firstLineChars="200"/>
        <w:rPr>
          <w:rFonts w:ascii="宋体" w:hAnsi="宋体"/>
          <w:b/>
          <w:color w:val="auto"/>
          <w:szCs w:val="21"/>
          <w:highlight w:val="none"/>
        </w:rPr>
      </w:pPr>
      <w:r>
        <w:rPr>
          <w:rFonts w:hint="eastAsia" w:ascii="宋体" w:hAnsi="宋体" w:cs="宋体"/>
          <w:b/>
          <w:color w:val="auto"/>
          <w:highlight w:val="none"/>
        </w:rPr>
        <w:t>9.4</w:t>
      </w:r>
      <w:r>
        <w:rPr>
          <w:rFonts w:hint="eastAsia" w:ascii="宋体" w:hAnsi="宋体"/>
          <w:b/>
          <w:color w:val="auto"/>
          <w:szCs w:val="21"/>
          <w:highlight w:val="none"/>
        </w:rPr>
        <w:t>响应文件未按磋商文件的澄清、修改后的内容编制的，其响应文件作无效响应处理。</w:t>
      </w:r>
    </w:p>
    <w:p>
      <w:pPr>
        <w:spacing w:line="400" w:lineRule="exact"/>
        <w:ind w:firstLine="422" w:firstLineChars="200"/>
        <w:rPr>
          <w:rFonts w:ascii="宋体" w:hAnsi="宋体"/>
          <w:b/>
          <w:color w:val="auto"/>
          <w:szCs w:val="21"/>
          <w:highlight w:val="none"/>
        </w:rPr>
      </w:pPr>
    </w:p>
    <w:p>
      <w:pPr>
        <w:spacing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rPr>
        <w:t>三、响应文件的编制</w:t>
      </w:r>
    </w:p>
    <w:p>
      <w:pPr>
        <w:spacing w:line="360" w:lineRule="auto"/>
        <w:ind w:firstLine="482" w:firstLineChars="200"/>
        <w:rPr>
          <w:rFonts w:ascii="黑体" w:hAnsi="黑体" w:eastAsia="黑体" w:cs="宋体"/>
          <w:b/>
          <w:bCs/>
          <w:color w:val="auto"/>
          <w:sz w:val="24"/>
          <w:highlight w:val="none"/>
        </w:rPr>
      </w:pP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10.响应文件的编制原则</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供应商必须按照磋商文件的要求编制响应文件，并对其提交的响应文件的真实性、合法性承担法律责任。响应文件必须对磋商文件作出实质性响应。</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11.响应文件的组成</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11.1响应文件由资格证明文件、报价商务技术文件两部分组成。</w:t>
      </w:r>
    </w:p>
    <w:p>
      <w:pPr>
        <w:spacing w:line="360" w:lineRule="auto"/>
        <w:ind w:left="840" w:leftChars="200" w:hanging="420" w:hangingChars="200"/>
        <w:rPr>
          <w:rFonts w:ascii="宋体" w:hAnsi="宋体" w:cs="宋体"/>
          <w:color w:val="auto"/>
          <w:szCs w:val="21"/>
          <w:highlight w:val="none"/>
        </w:rPr>
      </w:pPr>
      <w:r>
        <w:rPr>
          <w:rFonts w:hint="eastAsia" w:ascii="宋体" w:hAnsi="宋体" w:cs="宋体"/>
          <w:color w:val="auto"/>
          <w:szCs w:val="21"/>
          <w:highlight w:val="none"/>
        </w:rPr>
        <w:t>11</w:t>
      </w:r>
      <w:r>
        <w:rPr>
          <w:rFonts w:ascii="宋体" w:hAnsi="宋体" w:cs="宋体"/>
          <w:color w:val="auto"/>
          <w:szCs w:val="21"/>
          <w:highlight w:val="none"/>
        </w:rPr>
        <w:t>.1.1</w:t>
      </w:r>
      <w:r>
        <w:rPr>
          <w:rFonts w:hint="eastAsia" w:ascii="宋体" w:hAnsi="宋体" w:cs="宋体"/>
          <w:color w:val="auto"/>
          <w:szCs w:val="21"/>
          <w:highlight w:val="none"/>
        </w:rPr>
        <w:t>资格证明文件：详见须知前附表</w:t>
      </w:r>
    </w:p>
    <w:p>
      <w:pPr>
        <w:spacing w:line="360" w:lineRule="auto"/>
        <w:ind w:left="840" w:leftChars="200" w:hanging="420" w:hangingChars="200"/>
        <w:rPr>
          <w:rFonts w:ascii="宋体" w:hAnsi="宋体" w:cs="宋体"/>
          <w:color w:val="auto"/>
          <w:szCs w:val="21"/>
          <w:highlight w:val="none"/>
        </w:rPr>
      </w:pPr>
      <w:r>
        <w:rPr>
          <w:rFonts w:hint="eastAsia" w:ascii="宋体" w:hAnsi="宋体" w:cs="宋体"/>
          <w:color w:val="auto"/>
          <w:szCs w:val="21"/>
          <w:highlight w:val="none"/>
        </w:rPr>
        <w:t>11</w:t>
      </w:r>
      <w:r>
        <w:rPr>
          <w:rFonts w:ascii="宋体" w:hAnsi="宋体" w:cs="宋体"/>
          <w:color w:val="auto"/>
          <w:szCs w:val="21"/>
          <w:highlight w:val="none"/>
        </w:rPr>
        <w:t>.1.2</w:t>
      </w:r>
      <w:r>
        <w:rPr>
          <w:rFonts w:hint="eastAsia" w:ascii="宋体" w:hAnsi="宋体" w:cs="宋体"/>
          <w:color w:val="auto"/>
          <w:szCs w:val="21"/>
          <w:highlight w:val="none"/>
        </w:rPr>
        <w:t>报价商务技术文件：详见须知前附表</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12.计量单位</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磋商文件已有明确规定的，使用磋商文件规定的计量单位；磋商文件没有规定的，应采用中华人民共和国法定计量单位，货币种类为人民币，否则视同未响应。</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13.竞标的风险</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供应商没有按照磋商文件要求提供全部资料，或者供应商没有对磋商文件在各方面作出实质性响应可能导致其响应无效，是供应商应当考虑的风险。</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14.竞标报价</w:t>
      </w:r>
    </w:p>
    <w:p>
      <w:pPr>
        <w:tabs>
          <w:tab w:val="left" w:pos="2492"/>
        </w:tabs>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14.1竞标报价应按磋商文件中“竞标报价表”格式填写。</w:t>
      </w:r>
    </w:p>
    <w:p>
      <w:pPr>
        <w:tabs>
          <w:tab w:val="left" w:pos="2492"/>
        </w:tabs>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14.2竞标报价的内容见“供应商须知前附表”。</w:t>
      </w:r>
    </w:p>
    <w:p>
      <w:pPr>
        <w:spacing w:line="360" w:lineRule="auto"/>
        <w:ind w:left="426" w:leftChars="203"/>
        <w:rPr>
          <w:rFonts w:ascii="宋体" w:hAnsi="宋体" w:cs="宋体"/>
          <w:color w:val="auto"/>
          <w:szCs w:val="21"/>
          <w:highlight w:val="none"/>
        </w:rPr>
      </w:pPr>
      <w:r>
        <w:rPr>
          <w:rFonts w:hint="eastAsia" w:ascii="宋体" w:hAnsi="宋体" w:cs="宋体"/>
          <w:color w:val="auto"/>
          <w:szCs w:val="21"/>
          <w:highlight w:val="none"/>
        </w:rPr>
        <w:t>14.3竞标报价要求</w:t>
      </w:r>
    </w:p>
    <w:p>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14</w:t>
      </w:r>
      <w:r>
        <w:rPr>
          <w:rFonts w:ascii="宋体" w:hAnsi="宋体" w:cs="宋体"/>
          <w:b/>
          <w:color w:val="auto"/>
          <w:szCs w:val="21"/>
          <w:highlight w:val="none"/>
        </w:rPr>
        <w:t>.3.1</w:t>
      </w:r>
      <w:r>
        <w:rPr>
          <w:rFonts w:hint="eastAsia" w:ascii="宋体" w:hAnsi="宋体" w:cs="宋体"/>
          <w:b/>
          <w:color w:val="auto"/>
          <w:szCs w:val="21"/>
          <w:highlight w:val="none"/>
        </w:rPr>
        <w:t>供应商的竞标报价应符合以下要求，否则响应文件按无效响应处理：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（1）供应商必须就“采购需求”中所竞标的每个分标的全部内容分别作完整唯一总价报价，不得存在漏项报价；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2</w:t>
      </w:r>
      <w:r>
        <w:rPr>
          <w:rFonts w:hint="eastAsia" w:ascii="宋体" w:hAnsi="宋体" w:cs="宋体"/>
          <w:color w:val="auto"/>
          <w:szCs w:val="21"/>
          <w:highlight w:val="none"/>
        </w:rPr>
        <w:t>）供应商必须就所竞标的分标的单项内容作唯一报价。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14.3.</w:t>
      </w:r>
      <w:r>
        <w:rPr>
          <w:rFonts w:ascii="宋体" w:hAnsi="宋体" w:cs="宋体"/>
          <w:color w:val="auto"/>
          <w:szCs w:val="21"/>
          <w:highlight w:val="none"/>
        </w:rPr>
        <w:t>2</w:t>
      </w:r>
      <w:r>
        <w:rPr>
          <w:rFonts w:hint="eastAsia" w:ascii="宋体" w:hAnsi="宋体" w:cs="宋体"/>
          <w:color w:val="auto"/>
          <w:szCs w:val="21"/>
          <w:highlight w:val="none"/>
        </w:rPr>
        <w:t>最后报价超过所竞标分标规定的采购预算金额或者最高限价的，其响应文件将按无效响应处理。</w:t>
      </w:r>
      <w:bookmarkStart w:id="33" w:name="_Hlk42592874"/>
    </w:p>
    <w:bookmarkEnd w:id="33"/>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15.竞标有效期</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15.2 竞标有效期应由供应商按“供应商须知前附表”规定的期限作出响应。</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15.3供应商的响应文件在竞标有效期内均保持有效。</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16.磋商保证金</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16.1供应商须按“供应商须知前附表”的规定提交磋商保证金。</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16.2磋商保证金的退还</w:t>
      </w:r>
    </w:p>
    <w:p>
      <w:pPr>
        <w:spacing w:line="360" w:lineRule="auto"/>
        <w:ind w:firstLine="420" w:firstLineChars="200"/>
        <w:rPr>
          <w:rFonts w:ascii="宋体" w:hAnsi="宋体" w:cs="宋体"/>
          <w:color w:val="auto"/>
          <w:szCs w:val="21"/>
          <w:highlight w:val="none"/>
        </w:rPr>
      </w:pPr>
      <w:bookmarkStart w:id="34" w:name="_Hlk66782243"/>
      <w:r>
        <w:rPr>
          <w:rFonts w:hint="eastAsia" w:ascii="宋体" w:hAnsi="宋体" w:cs="宋体"/>
          <w:color w:val="auto"/>
          <w:szCs w:val="21"/>
          <w:highlight w:val="none"/>
        </w:rPr>
        <w:t>未</w:t>
      </w:r>
      <w:r>
        <w:rPr>
          <w:rFonts w:hint="eastAsia" w:ascii="宋体" w:hAnsi="宋体" w:cs="宋体"/>
          <w:color w:val="auto"/>
          <w:spacing w:val="-6"/>
          <w:szCs w:val="21"/>
          <w:highlight w:val="none"/>
        </w:rPr>
        <w:t>成交供应商的磋商保证金自成交通知书发出之日起5个工作日内退还；</w:t>
      </w:r>
      <w:r>
        <w:rPr>
          <w:rFonts w:hint="eastAsia" w:ascii="宋体" w:hAnsi="宋体" w:cs="宋体"/>
          <w:color w:val="auto"/>
          <w:szCs w:val="21"/>
          <w:highlight w:val="none"/>
        </w:rPr>
        <w:t>成交供应商的磋商保证金自签订合同之日起5个工作日内退还。</w:t>
      </w:r>
      <w:bookmarkEnd w:id="34"/>
      <w:r>
        <w:rPr>
          <w:rFonts w:hint="eastAsia" w:ascii="宋体" w:hAnsi="宋体" w:cs="宋体"/>
          <w:color w:val="auto"/>
          <w:szCs w:val="21"/>
          <w:highlight w:val="none"/>
        </w:rPr>
        <w:t xml:space="preserve"> </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16.3磋商保证金不计息。</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 xml:space="preserve">16.4供应商有下列情形之一的，磋商保证金将不予退还： </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（1）供应商在提交首次响应文件截止时间后撤回响应文件的；</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（2）供应商在响应文件中提供虚假材料的；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（3）除因不可抗力或者磋商文件认可的情形以外，成交供应商不与采购人签订合同的；</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（4）供应商与采购人、其他供应商或者采购代理机构恶意串通的；</w:t>
      </w:r>
    </w:p>
    <w:p>
      <w:pPr>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rPr>
        <w:t>（5）法律法规规定的其他情形。</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17.响应文件编制的要求</w:t>
      </w:r>
    </w:p>
    <w:p>
      <w:pPr>
        <w:spacing w:line="360" w:lineRule="auto"/>
        <w:ind w:firstLine="420" w:firstLineChars="200"/>
        <w:rPr>
          <w:rFonts w:ascii="宋体" w:hAnsi="宋体" w:cs="宋体"/>
          <w:color w:val="auto"/>
          <w:spacing w:val="-6"/>
          <w:szCs w:val="21"/>
          <w:highlight w:val="none"/>
        </w:rPr>
      </w:pPr>
      <w:r>
        <w:rPr>
          <w:rFonts w:hint="eastAsia" w:ascii="宋体" w:hAnsi="宋体" w:cs="宋体"/>
          <w:color w:val="auto"/>
          <w:szCs w:val="21"/>
          <w:highlight w:val="none"/>
        </w:rPr>
        <w:t>17.1供应商应按本磋商文件规定的格式和顺序编制响应文件并标注页码，响应文件内容</w:t>
      </w:r>
      <w:r>
        <w:rPr>
          <w:rFonts w:hint="eastAsia" w:ascii="宋体" w:hAnsi="宋体" w:cs="宋体"/>
          <w:color w:val="auto"/>
          <w:spacing w:val="-6"/>
          <w:szCs w:val="21"/>
          <w:highlight w:val="none"/>
        </w:rPr>
        <w:t>不完整、编排混乱导致响应文件被误读、漏读或者查找不到相关内容的，</w:t>
      </w:r>
      <w:r>
        <w:rPr>
          <w:rFonts w:hint="eastAsia" w:ascii="宋体" w:hAnsi="宋体"/>
          <w:color w:val="auto"/>
          <w:highlight w:val="none"/>
        </w:rPr>
        <w:t>由此引发的</w:t>
      </w:r>
      <w:r>
        <w:rPr>
          <w:rFonts w:hint="eastAsia" w:ascii="宋体" w:hAnsi="宋体" w:cs="宋体"/>
          <w:color w:val="auto"/>
          <w:spacing w:val="-6"/>
          <w:szCs w:val="21"/>
          <w:highlight w:val="none"/>
        </w:rPr>
        <w:t>后果由供应商承担。</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17.2响应文件应按资格证明文件、报价商务技术文件分别编制电子文件，</w:t>
      </w:r>
      <w:r>
        <w:rPr>
          <w:rFonts w:hint="eastAsia" w:ascii="宋体" w:hAnsi="宋体" w:cs="宋体"/>
          <w:color w:val="auto"/>
          <w:szCs w:val="21"/>
          <w:highlight w:val="none"/>
          <w:lang w:bidi="ar"/>
        </w:rPr>
        <w:t>并按“政采云”平台的要求编制、加密、上传。</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w:t>
      </w:r>
      <w:bookmarkStart w:id="35" w:name="_Hlk65832699"/>
      <w:r>
        <w:rPr>
          <w:rFonts w:hint="eastAsia" w:ascii="宋体" w:hAnsi="宋体" w:cs="宋体"/>
          <w:color w:val="auto"/>
          <w:szCs w:val="21"/>
          <w:highlight w:val="none"/>
        </w:rPr>
        <w:t>3</w:t>
      </w:r>
      <w:r>
        <w:rPr>
          <w:rFonts w:hint="eastAsia" w:ascii="宋体" w:hAnsi="宋体"/>
          <w:color w:val="auto"/>
          <w:szCs w:val="21"/>
          <w:highlight w:val="none"/>
        </w:rPr>
        <w:t>响应文件须由供应商在规定位置盖公章并签字</w:t>
      </w:r>
      <w:bookmarkStart w:id="36" w:name="_Hlk65832569"/>
      <w:r>
        <w:rPr>
          <w:rFonts w:hint="eastAsia" w:ascii="宋体" w:hAnsi="宋体"/>
          <w:color w:val="auto"/>
          <w:szCs w:val="21"/>
          <w:highlight w:val="none"/>
        </w:rPr>
        <w:t>（具体以供应商须知前附表或响应文件格式规定为准）</w:t>
      </w:r>
      <w:bookmarkEnd w:id="35"/>
      <w:bookmarkEnd w:id="36"/>
      <w:r>
        <w:rPr>
          <w:rFonts w:hint="eastAsia" w:ascii="宋体" w:hAnsi="宋体" w:cs="宋体"/>
          <w:color w:val="auto"/>
          <w:szCs w:val="21"/>
          <w:highlight w:val="none"/>
        </w:rPr>
        <w:t>，否则其响应文件按无效响应处理。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17.4响应文件中标注的供应商名称应与营业执照（事业单位法人证书、执业许可证、自然人身份证）及公章一致，否则其响应文件按无效响应处理。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17.5响应文件应尽量避免涂改、行间插字或者删除。如果出现上述情况，改动之处应由供应商的法定代表人或者其委托代理人签字或者加盖公章。响应文件因涂改、行间插字或者删除导致字迹潦草或者表达不清所引起的后果由供应商承担。</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18.响应文件的加密、解密</w:t>
      </w:r>
    </w:p>
    <w:p>
      <w:pPr>
        <w:spacing w:line="360" w:lineRule="auto"/>
        <w:ind w:firstLine="420" w:firstLineChars="200"/>
        <w:rPr>
          <w:rFonts w:ascii="宋体" w:hAnsi="宋体" w:cs="宋体"/>
          <w:color w:val="auto"/>
          <w:szCs w:val="21"/>
          <w:highlight w:val="none"/>
        </w:rPr>
      </w:pPr>
      <w:r>
        <w:rPr>
          <w:rFonts w:hint="eastAsia" w:ascii="宋体" w:hAnsi="宋体"/>
          <w:color w:val="auto"/>
          <w:szCs w:val="21"/>
          <w:highlight w:val="none"/>
        </w:rPr>
        <w:t>18.1电子</w:t>
      </w:r>
      <w:r>
        <w:rPr>
          <w:rFonts w:hint="eastAsia" w:ascii="宋体" w:hAnsi="宋体" w:cs="宋体"/>
          <w:color w:val="auto"/>
          <w:szCs w:val="21"/>
          <w:highlight w:val="none"/>
        </w:rPr>
        <w:t>响应文件</w:t>
      </w:r>
      <w:r>
        <w:rPr>
          <w:rFonts w:hint="eastAsia" w:ascii="宋体" w:hAnsi="宋体"/>
          <w:color w:val="auto"/>
          <w:szCs w:val="21"/>
          <w:highlight w:val="none"/>
        </w:rPr>
        <w:t>编制完成后，供应商应按“政采云”平台的要求进行加密，并在规定时间内解密，否则，由此产生的后果由供应商自行负责。</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19.响应文件的提交</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19.1供应商必须在“供应商须知前附表”规定的时间和地点提交响应文件。</w:t>
      </w:r>
    </w:p>
    <w:p>
      <w:pPr>
        <w:widowControl/>
        <w:spacing w:line="360" w:lineRule="auto"/>
        <w:ind w:firstLine="420" w:firstLineChars="200"/>
        <w:rPr>
          <w:rFonts w:ascii="宋体" w:hAnsi="宋体" w:cs="宋体"/>
          <w:b/>
          <w:color w:val="auto"/>
          <w:szCs w:val="21"/>
          <w:highlight w:val="none"/>
          <w:lang w:bidi="ar"/>
        </w:rPr>
      </w:pPr>
      <w:r>
        <w:rPr>
          <w:rFonts w:hint="eastAsia" w:ascii="宋体" w:hAnsi="宋体" w:cs="宋体"/>
          <w:color w:val="auto"/>
          <w:szCs w:val="21"/>
          <w:highlight w:val="none"/>
        </w:rPr>
        <w:t>19.2</w:t>
      </w:r>
      <w:r>
        <w:rPr>
          <w:rFonts w:hint="eastAsia" w:ascii="宋体" w:hAnsi="宋体" w:cs="宋体"/>
          <w:color w:val="auto"/>
          <w:szCs w:val="21"/>
          <w:highlight w:val="none"/>
          <w:lang w:bidi="ar"/>
        </w:rPr>
        <w:t>本项目为全流程电子化政府采购项目，通过“政采云”平台（http：//www.zcygov.cn）实行在线电子竞标，供应商应先安装“政采云电子交易客户端”（请自行前往“政采云”平台进行下载），并按照本项目竞争性磋商文件和“政采云”平台的要求编制、加密后在首次响应文件提交截止时间前通过网络上传至“政采云”平台，</w:t>
      </w:r>
      <w:r>
        <w:rPr>
          <w:rFonts w:hint="eastAsia" w:ascii="宋体" w:hAnsi="宋体" w:cs="宋体"/>
          <w:b/>
          <w:color w:val="auto"/>
          <w:szCs w:val="21"/>
          <w:highlight w:val="none"/>
          <w:lang w:bidi="ar"/>
        </w:rPr>
        <w:t>供应商在“政采云”平台提交电子版响应文件时，请填写参加远程开标活动经办人联系方式。</w:t>
      </w:r>
    </w:p>
    <w:p>
      <w:pPr>
        <w:pStyle w:val="5"/>
        <w:keepNext w:val="0"/>
        <w:keepLines w:val="0"/>
        <w:spacing w:before="0" w:after="0" w:line="360" w:lineRule="auto"/>
        <w:ind w:firstLine="420" w:firstLineChars="200"/>
        <w:jc w:val="left"/>
        <w:rPr>
          <w:rFonts w:ascii="宋体" w:hAnsi="宋体"/>
          <w:b w:val="0"/>
          <w:color w:val="auto"/>
          <w:sz w:val="21"/>
          <w:szCs w:val="21"/>
          <w:highlight w:val="none"/>
        </w:rPr>
      </w:pPr>
      <w:r>
        <w:rPr>
          <w:rFonts w:hint="eastAsia" w:ascii="宋体" w:hAnsi="宋体"/>
          <w:b w:val="0"/>
          <w:color w:val="auto"/>
          <w:sz w:val="21"/>
          <w:szCs w:val="21"/>
          <w:highlight w:val="none"/>
        </w:rPr>
        <w:t>19.3未在规定时间内上传或者未按“政采云”平台的要求编制、加密的电子响应文件，“政采云”平台将拒收。</w:t>
      </w:r>
    </w:p>
    <w:p>
      <w:pPr>
        <w:pStyle w:val="6"/>
        <w:rPr>
          <w:rFonts w:ascii="宋体" w:hAnsi="宋体" w:cs="宋体"/>
          <w:color w:val="auto"/>
          <w:szCs w:val="21"/>
          <w:highlight w:val="none"/>
        </w:rPr>
      </w:pPr>
      <w:r>
        <w:rPr>
          <w:rFonts w:hint="eastAsia" w:ascii="宋体" w:hAnsi="宋体"/>
          <w:color w:val="auto"/>
          <w:szCs w:val="21"/>
          <w:highlight w:val="none"/>
        </w:rPr>
        <w:t>19.4电子</w:t>
      </w:r>
      <w:r>
        <w:rPr>
          <w:rFonts w:hint="eastAsia" w:ascii="宋体" w:hAnsi="宋体" w:cs="宋体"/>
          <w:color w:val="auto"/>
          <w:szCs w:val="21"/>
          <w:highlight w:val="none"/>
        </w:rPr>
        <w:t>响应文件</w:t>
      </w:r>
      <w:r>
        <w:rPr>
          <w:rFonts w:hint="eastAsia" w:ascii="宋体" w:hAnsi="宋体"/>
          <w:color w:val="auto"/>
          <w:szCs w:val="21"/>
          <w:highlight w:val="none"/>
        </w:rPr>
        <w:t>提交方</w:t>
      </w:r>
      <w:r>
        <w:rPr>
          <w:rFonts w:hint="eastAsia" w:ascii="宋体" w:hAnsi="宋体"/>
          <w:bCs/>
          <w:color w:val="auto"/>
          <w:szCs w:val="21"/>
          <w:highlight w:val="none"/>
        </w:rPr>
        <w:t>式见“竞争性磋商公告”</w:t>
      </w:r>
      <w:r>
        <w:rPr>
          <w:rFonts w:hint="eastAsia" w:ascii="宋体" w:hAnsi="宋体"/>
          <w:color w:val="auto"/>
          <w:szCs w:val="21"/>
          <w:highlight w:val="none"/>
        </w:rPr>
        <w:t>中“四、响应文件提交”。</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20.首次响应文件的补充、修改与撤回</w:t>
      </w:r>
    </w:p>
    <w:p>
      <w:pPr>
        <w:spacing w:line="360" w:lineRule="auto"/>
        <w:ind w:firstLine="420" w:firstLineChars="200"/>
        <w:rPr>
          <w:rFonts w:ascii="宋体" w:hAnsi="宋体" w:cs="宋体"/>
          <w:bCs/>
          <w:color w:val="auto"/>
          <w:szCs w:val="21"/>
          <w:highlight w:val="none"/>
          <w:lang w:bidi="ar"/>
        </w:rPr>
      </w:pPr>
      <w:r>
        <w:rPr>
          <w:rFonts w:hint="eastAsia" w:ascii="宋体" w:hAnsi="宋体" w:cs="宋体"/>
          <w:bCs/>
          <w:color w:val="auto"/>
          <w:szCs w:val="21"/>
          <w:highlight w:val="none"/>
          <w:lang w:bidi="ar"/>
        </w:rPr>
        <w:t>20.1供应商应当在首次响应文件提交截止时间前完成电子响应文件的上传、递交，首次响应文件提交截止时间前可以补充、修改或者撤回响应文件。补充或者修改响应文件的，应当先行撤回原文件，补充、修改后重新上传、递交。首次响应文件提交截止时间前未完成上传、递交的，视为撤回响应文件。首次响应文件提交截止时间以后上传递交的响应文件，“政采云”平台将予以拒收。</w:t>
      </w:r>
    </w:p>
    <w:p>
      <w:pPr>
        <w:spacing w:line="360" w:lineRule="auto"/>
        <w:ind w:firstLine="482" w:firstLineChars="200"/>
        <w:rPr>
          <w:rFonts w:ascii="黑体" w:hAnsi="黑体" w:eastAsia="黑体" w:cs="宋体"/>
          <w:b/>
          <w:bCs/>
          <w:color w:val="auto"/>
          <w:sz w:val="24"/>
          <w:highlight w:val="none"/>
        </w:rPr>
      </w:pPr>
      <w:bookmarkStart w:id="37" w:name="_Hlk45702405"/>
      <w:r>
        <w:rPr>
          <w:rFonts w:hint="eastAsia" w:ascii="黑体" w:hAnsi="黑体" w:eastAsia="黑体" w:cs="宋体"/>
          <w:b/>
          <w:bCs/>
          <w:color w:val="auto"/>
          <w:sz w:val="24"/>
          <w:highlight w:val="none"/>
        </w:rPr>
        <w:t>21. 首次响应文件的退回</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21.1在首次响应文件提交截止时间提交响应文件的供应商不足3家时，</w:t>
      </w:r>
      <w:r>
        <w:rPr>
          <w:rFonts w:hint="eastAsia" w:ascii="宋体" w:hAnsi="宋体"/>
          <w:color w:val="auto"/>
          <w:szCs w:val="21"/>
          <w:highlight w:val="none"/>
        </w:rPr>
        <w:t>采购代理机构将根据“政采云”平台的操作将电子版响应文件退回，</w:t>
      </w:r>
      <w:r>
        <w:rPr>
          <w:rFonts w:hint="eastAsia" w:ascii="宋体" w:hAnsi="宋体" w:cs="宋体"/>
          <w:color w:val="auto"/>
          <w:szCs w:val="21"/>
          <w:highlight w:val="none"/>
        </w:rPr>
        <w:t>除此之外采购人和采购代理机构对已提交的电子响应文件概不退回。</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22. 截止时间后的撤回</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22.1供应商在首次响应文件提交截止时间后书面通知采购人、采购代理机构书面撤回响应文件的，将根据本须知正文16.4的规定不予退还其磋商保证金。</w:t>
      </w:r>
    </w:p>
    <w:bookmarkEnd w:id="37"/>
    <w:p>
      <w:pPr>
        <w:spacing w:line="360" w:lineRule="auto"/>
        <w:rPr>
          <w:rFonts w:ascii="宋体" w:hAnsi="宋体"/>
          <w:color w:val="auto"/>
          <w:szCs w:val="21"/>
          <w:highlight w:val="none"/>
        </w:rPr>
      </w:pPr>
    </w:p>
    <w:p>
      <w:pPr>
        <w:spacing w:line="360" w:lineRule="auto"/>
        <w:jc w:val="center"/>
        <w:rPr>
          <w:rFonts w:ascii="宋体" w:hAnsi="宋体"/>
          <w:b/>
          <w:bCs/>
          <w:color w:val="auto"/>
          <w:sz w:val="32"/>
          <w:szCs w:val="32"/>
          <w:highlight w:val="none"/>
        </w:rPr>
      </w:pPr>
      <w:r>
        <w:rPr>
          <w:rFonts w:hint="eastAsia" w:ascii="宋体" w:hAnsi="宋体"/>
          <w:b/>
          <w:bCs/>
          <w:color w:val="auto"/>
          <w:sz w:val="32"/>
          <w:szCs w:val="32"/>
          <w:highlight w:val="none"/>
        </w:rPr>
        <w:t>四、评审及磋商</w:t>
      </w:r>
    </w:p>
    <w:p>
      <w:pPr>
        <w:spacing w:line="360" w:lineRule="auto"/>
        <w:ind w:firstLine="482" w:firstLineChars="200"/>
        <w:rPr>
          <w:rFonts w:ascii="黑体" w:hAnsi="黑体" w:eastAsia="黑体" w:cs="宋体"/>
          <w:b/>
          <w:bCs/>
          <w:color w:val="auto"/>
          <w:sz w:val="24"/>
          <w:highlight w:val="none"/>
        </w:rPr>
      </w:pP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23.磋商小组成立</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23.1磋商小组由采购人代表和评审专家共3人以上单数组成，具体人数见“供应商须知前附表”，其中评审专家人数不得少于磋商小组成员总数的2/3。采购人代表不得以评审专家身份参加本部门或者本单位采购项目的评审。采购代理机构人员不得参加本机构代理的采购项目的评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23.2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2</w:t>
      </w:r>
      <w:r>
        <w:rPr>
          <w:rFonts w:hint="eastAsia" w:ascii="黑体" w:hAnsi="黑体" w:eastAsia="黑体" w:cs="宋体"/>
          <w:b/>
          <w:bCs/>
          <w:color w:val="auto"/>
          <w:sz w:val="24"/>
          <w:highlight w:val="none"/>
        </w:rPr>
        <w:t>4</w:t>
      </w:r>
      <w:r>
        <w:rPr>
          <w:rFonts w:ascii="黑体" w:hAnsi="黑体" w:eastAsia="黑体" w:cs="宋体"/>
          <w:b/>
          <w:bCs/>
          <w:color w:val="auto"/>
          <w:sz w:val="24"/>
          <w:highlight w:val="none"/>
        </w:rPr>
        <w:t>.</w:t>
      </w:r>
      <w:r>
        <w:rPr>
          <w:rFonts w:hint="eastAsia" w:ascii="黑体" w:hAnsi="黑体" w:eastAsia="黑体" w:cs="宋体"/>
          <w:b/>
          <w:bCs/>
          <w:color w:val="auto"/>
          <w:sz w:val="24"/>
          <w:highlight w:val="none"/>
        </w:rPr>
        <w:t>首次响应文件的开启</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24.1首次响应文件由磋商小组或者采购代理机构在“供应商须知前附表”规定的时间开启。</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24.2 响应文件解密：采购代理机构将在“供应商须知前附表”规定的时间通过电子交易平台组织响应文件开启，采购代理机构将依托电子交易平台发起开始解密指令，</w:t>
      </w:r>
      <w:r>
        <w:rPr>
          <w:rFonts w:hint="eastAsia" w:ascii="宋体" w:hAnsi="宋体" w:cs="宋体"/>
          <w:b/>
          <w:color w:val="auto"/>
          <w:szCs w:val="21"/>
          <w:highlight w:val="none"/>
        </w:rPr>
        <w:t>供应商的法定代表人或其委托代理人须携带加密时所用的CA锁按平台提示和采购文件的规定登录到“政采云”平台电子开标大厅签到并在发起解密指令之时起30分钟内完成对电子响应文件在线解密。</w:t>
      </w:r>
      <w:r>
        <w:rPr>
          <w:rFonts w:hint="eastAsia" w:ascii="宋体" w:hAnsi="宋体"/>
          <w:b/>
          <w:bCs/>
          <w:color w:val="auto"/>
          <w:szCs w:val="21"/>
          <w:highlight w:val="none"/>
        </w:rPr>
        <w:t>响应文件未按时解密的，</w:t>
      </w:r>
      <w:r>
        <w:rPr>
          <w:rFonts w:hint="eastAsia" w:ascii="宋体" w:hAnsi="宋体" w:cs="宋体"/>
          <w:b/>
          <w:color w:val="auto"/>
          <w:szCs w:val="21"/>
          <w:highlight w:val="none"/>
        </w:rPr>
        <w:t>视为响应</w:t>
      </w:r>
      <w:r>
        <w:rPr>
          <w:rFonts w:hint="eastAsia" w:ascii="宋体" w:hAnsi="宋体"/>
          <w:b/>
          <w:bCs/>
          <w:color w:val="auto"/>
          <w:szCs w:val="21"/>
          <w:highlight w:val="none"/>
        </w:rPr>
        <w:t>文件无效。</w:t>
      </w:r>
      <w:r>
        <w:rPr>
          <w:rFonts w:hint="eastAsia" w:ascii="宋体" w:hAnsi="宋体" w:cs="宋体"/>
          <w:color w:val="auto"/>
          <w:szCs w:val="21"/>
          <w:highlight w:val="none"/>
        </w:rPr>
        <w:t>（解密异常情况处理：详见本章25.2电子交易活动的中止。）</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24.3成功解密响应文件的供应商不足3家的，不得磋商。</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2</w:t>
      </w:r>
      <w:r>
        <w:rPr>
          <w:rFonts w:hint="eastAsia" w:ascii="黑体" w:hAnsi="黑体" w:eastAsia="黑体" w:cs="宋体"/>
          <w:b/>
          <w:bCs/>
          <w:color w:val="auto"/>
          <w:sz w:val="24"/>
          <w:highlight w:val="none"/>
        </w:rPr>
        <w:t>5.评审程序、评审方法和评审标准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5</w:t>
      </w:r>
      <w:r>
        <w:rPr>
          <w:rFonts w:ascii="宋体" w:hAnsi="宋体" w:cs="宋体"/>
          <w:color w:val="auto"/>
          <w:szCs w:val="21"/>
          <w:highlight w:val="none"/>
        </w:rPr>
        <w:t>.</w:t>
      </w:r>
      <w:r>
        <w:rPr>
          <w:rFonts w:hint="eastAsia" w:ascii="宋体" w:hAnsi="宋体" w:cs="宋体"/>
          <w:color w:val="auto"/>
          <w:szCs w:val="21"/>
          <w:highlight w:val="none"/>
        </w:rPr>
        <w:t>1磋商小组</w:t>
      </w:r>
      <w:r>
        <w:rPr>
          <w:rFonts w:ascii="宋体" w:hAnsi="宋体" w:cs="宋体"/>
          <w:color w:val="auto"/>
          <w:szCs w:val="21"/>
          <w:highlight w:val="none"/>
        </w:rPr>
        <w:t>按照</w:t>
      </w:r>
      <w:r>
        <w:rPr>
          <w:rFonts w:hint="eastAsia" w:ascii="宋体" w:hAnsi="宋体" w:cs="宋体"/>
          <w:color w:val="auto"/>
          <w:szCs w:val="21"/>
          <w:highlight w:val="none"/>
        </w:rPr>
        <w:t>“第四章 评审程序、评审方法和评审标准”</w:t>
      </w:r>
      <w:r>
        <w:rPr>
          <w:rFonts w:ascii="宋体" w:hAnsi="宋体" w:cs="宋体"/>
          <w:color w:val="auto"/>
          <w:szCs w:val="21"/>
          <w:highlight w:val="none"/>
        </w:rPr>
        <w:t>规定的方法、评审因素、标准和程序对</w:t>
      </w:r>
      <w:r>
        <w:rPr>
          <w:rFonts w:hint="eastAsia" w:ascii="宋体" w:hAnsi="宋体" w:cs="宋体"/>
          <w:color w:val="auto"/>
          <w:szCs w:val="21"/>
          <w:highlight w:val="none"/>
        </w:rPr>
        <w:t>响应</w:t>
      </w:r>
      <w:r>
        <w:rPr>
          <w:rFonts w:ascii="宋体" w:hAnsi="宋体" w:cs="宋体"/>
          <w:color w:val="auto"/>
          <w:szCs w:val="21"/>
          <w:highlight w:val="none"/>
        </w:rPr>
        <w:t>文件进行评审。</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25.2电子交易活动的中止。采购过程中出现以下情形，导致电子交易平台无法正常运行，或者无法保证电子交易的公平、公正和安全时，采购机构可中止电子交易活动：</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 xml:space="preserve">（1）电子交易平台发生故障而无法登录访问的； </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（2）电子交易平台应用或数据库出现错误，不能进行正常操作的；</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（3）电子交易平台发现严重安全漏洞，有潜在泄密危险的；</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 xml:space="preserve">（4）病毒发作导致不能进行正常操作的； </w:t>
      </w:r>
    </w:p>
    <w:p>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（4）其他无法保证电子交易的公平、公正和安全的情况。</w:t>
      </w:r>
    </w:p>
    <w:p>
      <w:pPr>
        <w:spacing w:line="400" w:lineRule="exact"/>
        <w:ind w:firstLine="420" w:firstLineChars="200"/>
        <w:rPr>
          <w:rFonts w:ascii="宋体" w:hAnsi="宋体" w:cs="宋体"/>
          <w:color w:val="auto"/>
          <w:szCs w:val="21"/>
          <w:highlight w:val="none"/>
        </w:rPr>
      </w:pPr>
      <w:r>
        <w:rPr>
          <w:rFonts w:hint="eastAsia" w:ascii="宋体" w:hAnsi="宋体" w:cs="宋体"/>
          <w:color w:val="auto"/>
          <w:highlight w:val="none"/>
        </w:rPr>
        <w:t>25.3出现以上情形，不影响采购公平、公正性的，采购代理机构可以待上述情形消除后继续组织电子交易活动；影响或可能影响采购公平、公正性的，经采购代理机构确认后，应当重新采购。</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2</w:t>
      </w:r>
      <w:r>
        <w:rPr>
          <w:rFonts w:hint="eastAsia" w:ascii="黑体" w:hAnsi="黑体" w:eastAsia="黑体" w:cs="宋体"/>
          <w:b/>
          <w:bCs/>
          <w:color w:val="auto"/>
          <w:sz w:val="24"/>
          <w:highlight w:val="none"/>
        </w:rPr>
        <w:t>6.确定成交供应商及结果公告</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6.1</w:t>
      </w:r>
      <w:r>
        <w:rPr>
          <w:rFonts w:hint="eastAsia" w:ascii="宋体" w:hAnsi="宋体" w:cs="宋体"/>
          <w:color w:val="auto"/>
          <w:kern w:val="0"/>
          <w:szCs w:val="21"/>
          <w:highlight w:val="none"/>
        </w:rPr>
        <w:t xml:space="preserve"> </w:t>
      </w:r>
      <w:r>
        <w:rPr>
          <w:rFonts w:hint="eastAsia" w:ascii="宋体" w:hAnsi="宋体" w:cs="宋体"/>
          <w:color w:val="auto"/>
          <w:szCs w:val="21"/>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6.2采购代理机构应当在</w:t>
      </w:r>
      <w:r>
        <w:rPr>
          <w:rFonts w:hint="eastAsia" w:ascii="宋体" w:hAnsi="宋体" w:cs="宋体"/>
          <w:color w:val="auto"/>
          <w:kern w:val="0"/>
          <w:szCs w:val="21"/>
          <w:highlight w:val="none"/>
        </w:rPr>
        <w:t>成交</w:t>
      </w:r>
      <w:r>
        <w:rPr>
          <w:rFonts w:hint="eastAsia" w:ascii="宋体" w:hAnsi="宋体" w:cs="宋体"/>
          <w:color w:val="auto"/>
          <w:szCs w:val="21"/>
          <w:highlight w:val="none"/>
        </w:rPr>
        <w:t>供应商确定后2个工作日内，在省级以上财政部门指定的媒体上公告成交结果，同时向成交供应商发出成交通知书。</w:t>
      </w:r>
      <w:r>
        <w:rPr>
          <w:rFonts w:hint="eastAsia" w:ascii="宋体" w:hAnsi="宋体" w:cs="宋体"/>
          <w:b/>
          <w:color w:val="auto"/>
          <w:szCs w:val="21"/>
          <w:highlight w:val="none"/>
        </w:rPr>
        <w:t>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r>
        <w:rPr>
          <w:rFonts w:hint="eastAsia" w:ascii="宋体" w:hAnsi="宋体" w:cs="宋体"/>
          <w:color w:val="auto"/>
          <w:szCs w:val="21"/>
          <w:highlight w:val="none"/>
        </w:rPr>
        <w:t>排名第二的成交候选人因上述规定的同样原因被取消成交资格的，采购人可以确定排名第三的成交候选人为成交供应商，以此类推。以上信息查询记录及相关证据与磋商文件一并保存。</w:t>
      </w:r>
      <w:bookmarkStart w:id="38" w:name="_Hlk66782294"/>
      <w:r>
        <w:rPr>
          <w:rFonts w:hint="eastAsia" w:ascii="宋体" w:hAnsi="宋体" w:cs="Courier New"/>
          <w:color w:val="auto"/>
          <w:szCs w:val="21"/>
          <w:highlight w:val="none"/>
        </w:rPr>
        <w:t>成交供应商享受</w:t>
      </w:r>
      <w:r>
        <w:rPr>
          <w:rFonts w:hint="eastAsia" w:ascii="宋体" w:hAnsi="宋体"/>
          <w:color w:val="auto"/>
          <w:szCs w:val="21"/>
          <w:highlight w:val="none"/>
        </w:rPr>
        <w:t>《政府采购促进中小企业发展管理办法》（财库〔2020〕46号）规定的中小企业扶持</w:t>
      </w:r>
      <w:r>
        <w:rPr>
          <w:rFonts w:hint="eastAsia" w:ascii="宋体" w:hAnsi="宋体" w:cs="Courier New"/>
          <w:color w:val="auto"/>
          <w:szCs w:val="21"/>
          <w:highlight w:val="none"/>
        </w:rPr>
        <w:t>政策的，采购人、采购代理机构应当随成交结果公开成交供应商的《中小企业声明函》。</w:t>
      </w:r>
      <w:bookmarkEnd w:id="38"/>
    </w:p>
    <w:p>
      <w:pPr>
        <w:spacing w:line="360" w:lineRule="auto"/>
        <w:ind w:firstLine="420" w:firstLineChars="200"/>
        <w:rPr>
          <w:rFonts w:ascii="宋体" w:hAnsi="宋体" w:cs="Courier New"/>
          <w:color w:val="auto"/>
          <w:szCs w:val="21"/>
          <w:highlight w:val="none"/>
        </w:rPr>
      </w:pPr>
      <w:r>
        <w:rPr>
          <w:rFonts w:hint="eastAsia" w:ascii="宋体" w:hAnsi="宋体" w:cs="宋体"/>
          <w:color w:val="auto"/>
          <w:szCs w:val="21"/>
          <w:highlight w:val="none"/>
        </w:rPr>
        <w:t>26</w:t>
      </w:r>
      <w:r>
        <w:rPr>
          <w:rFonts w:ascii="宋体" w:hAnsi="宋体" w:cs="宋体"/>
          <w:color w:val="auto"/>
          <w:szCs w:val="21"/>
          <w:highlight w:val="none"/>
        </w:rPr>
        <w:t>.3</w:t>
      </w:r>
      <w:r>
        <w:rPr>
          <w:rFonts w:hint="eastAsia" w:ascii="宋体" w:hAnsi="宋体" w:cs="Courier New"/>
          <w:color w:val="auto"/>
          <w:szCs w:val="21"/>
          <w:highlight w:val="none"/>
        </w:rPr>
        <w:t>成交供应商拒绝签订政府采购合同（包括但不限于放弃成交、因不可抗力不能履行合同而放弃签订合同），采购人可以按照评审报告推荐的成交候选人名单排序，确定下一候选人为成交供应商，也可以重新开展政府采购活动。</w:t>
      </w:r>
      <w:r>
        <w:rPr>
          <w:rFonts w:ascii="宋体" w:hAnsi="宋体" w:cs="Courier New"/>
          <w:color w:val="auto"/>
          <w:szCs w:val="21"/>
          <w:highlight w:val="none"/>
        </w:rPr>
        <w:t>拒绝签订政府采购合同的成交供应商不得参加对该项目重新开展的采购活动。</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2</w:t>
      </w:r>
      <w:r>
        <w:rPr>
          <w:rFonts w:hint="eastAsia" w:ascii="黑体" w:hAnsi="黑体" w:eastAsia="黑体" w:cs="宋体"/>
          <w:b/>
          <w:bCs/>
          <w:color w:val="auto"/>
          <w:sz w:val="24"/>
          <w:highlight w:val="none"/>
        </w:rPr>
        <w:t>7.签订合同</w:t>
      </w:r>
    </w:p>
    <w:p>
      <w:pPr>
        <w:spacing w:line="360" w:lineRule="auto"/>
        <w:ind w:firstLine="424" w:firstLineChars="202"/>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7</w:t>
      </w:r>
      <w:r>
        <w:rPr>
          <w:rFonts w:ascii="宋体" w:hAnsi="宋体" w:cs="宋体"/>
          <w:color w:val="auto"/>
          <w:szCs w:val="21"/>
          <w:highlight w:val="none"/>
        </w:rPr>
        <w:t>.1</w:t>
      </w:r>
      <w:r>
        <w:rPr>
          <w:rFonts w:hint="eastAsia" w:ascii="宋体" w:hAnsi="宋体" w:cs="宋体"/>
          <w:color w:val="auto"/>
          <w:szCs w:val="21"/>
          <w:highlight w:val="none"/>
        </w:rPr>
        <w:t>成交供应商在收到成交通知书</w:t>
      </w:r>
      <w:r>
        <w:rPr>
          <w:rFonts w:hint="eastAsia" w:ascii="宋体" w:hAnsi="宋体"/>
          <w:color w:val="auto"/>
          <w:szCs w:val="21"/>
          <w:highlight w:val="none"/>
        </w:rPr>
        <w:t>（书面或电子）</w:t>
      </w:r>
      <w:r>
        <w:rPr>
          <w:rFonts w:hint="eastAsia" w:ascii="宋体" w:hAnsi="宋体" w:cs="宋体"/>
          <w:color w:val="auto"/>
          <w:szCs w:val="21"/>
          <w:highlight w:val="none"/>
        </w:rPr>
        <w:t>后，应当在签订合同时向采购人出示相关证明材料，具体内容详见 “供应商须知前附表”，经采购人核验合格后方可签订合同</w:t>
      </w:r>
      <w:r>
        <w:rPr>
          <w:rFonts w:hint="eastAsia" w:ascii="宋体" w:hAnsi="宋体"/>
          <w:color w:val="auto"/>
          <w:szCs w:val="21"/>
          <w:highlight w:val="none"/>
        </w:rPr>
        <w:t>（书面或电子）</w:t>
      </w:r>
      <w:r>
        <w:rPr>
          <w:rFonts w:hint="eastAsia" w:ascii="宋体" w:hAnsi="宋体" w:cs="宋体"/>
          <w:color w:val="auto"/>
          <w:szCs w:val="21"/>
          <w:highlight w:val="none"/>
        </w:rPr>
        <w:t>。</w:t>
      </w:r>
    </w:p>
    <w:p>
      <w:pPr>
        <w:spacing w:line="360" w:lineRule="auto"/>
        <w:ind w:firstLine="424" w:firstLineChars="202"/>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7.2 签订合同时间：按成交通知书规定的时间与采购人签订政府采购合同</w:t>
      </w:r>
      <w:r>
        <w:rPr>
          <w:rFonts w:hint="eastAsia" w:ascii="宋体" w:hAnsi="宋体"/>
          <w:color w:val="auto"/>
          <w:szCs w:val="21"/>
          <w:highlight w:val="none"/>
        </w:rPr>
        <w:t>（最长不能超过25自然日）</w:t>
      </w:r>
      <w:r>
        <w:rPr>
          <w:rFonts w:hint="eastAsia" w:ascii="宋体" w:hAnsi="宋体" w:cs="宋体"/>
          <w:color w:val="auto"/>
          <w:szCs w:val="21"/>
          <w:highlight w:val="none"/>
        </w:rPr>
        <w:t>。</w:t>
      </w:r>
    </w:p>
    <w:p>
      <w:pPr>
        <w:spacing w:line="360" w:lineRule="auto"/>
        <w:ind w:firstLine="424" w:firstLineChars="202"/>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7.3</w:t>
      </w:r>
      <w:r>
        <w:rPr>
          <w:rFonts w:hint="eastAsia" w:ascii="宋体" w:hAnsi="宋体"/>
          <w:color w:val="auto"/>
          <w:szCs w:val="21"/>
          <w:highlight w:val="none"/>
        </w:rPr>
        <w:t>成交供应商拒绝与采购人签订合同的，按照本须知正文第</w:t>
      </w:r>
      <w:r>
        <w:rPr>
          <w:rFonts w:ascii="宋体" w:hAnsi="宋体"/>
          <w:color w:val="auto"/>
          <w:szCs w:val="21"/>
          <w:highlight w:val="none"/>
        </w:rPr>
        <w:t>2</w:t>
      </w:r>
      <w:r>
        <w:rPr>
          <w:rFonts w:hint="eastAsia" w:ascii="宋体" w:hAnsi="宋体"/>
          <w:color w:val="auto"/>
          <w:szCs w:val="21"/>
          <w:highlight w:val="none"/>
        </w:rPr>
        <w:t>6</w:t>
      </w: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条的规定</w:t>
      </w:r>
      <w:r>
        <w:rPr>
          <w:rFonts w:hint="eastAsia" w:ascii="宋体" w:hAnsi="宋体"/>
          <w:color w:val="auto"/>
          <w:szCs w:val="21"/>
          <w:highlight w:val="none"/>
        </w:rPr>
        <w:t>执行</w:t>
      </w:r>
      <w:r>
        <w:rPr>
          <w:rFonts w:hint="eastAsia" w:ascii="宋体" w:hAnsi="宋体" w:cs="宋体"/>
          <w:color w:val="auto"/>
          <w:szCs w:val="21"/>
          <w:highlight w:val="none"/>
        </w:rPr>
        <w:t>。</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28.政府采购合同公告</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29. 询问、质疑和投诉</w:t>
      </w:r>
    </w:p>
    <w:p>
      <w:pPr>
        <w:pStyle w:val="6"/>
        <w:spacing w:line="360" w:lineRule="auto"/>
        <w:rPr>
          <w:rFonts w:ascii="宋体" w:hAnsi="宋体"/>
          <w:color w:val="auto"/>
          <w:szCs w:val="21"/>
          <w:highlight w:val="none"/>
        </w:rPr>
      </w:pPr>
      <w:r>
        <w:rPr>
          <w:rFonts w:hint="eastAsia" w:ascii="宋体" w:hAnsi="宋体" w:cs="宋体"/>
          <w:color w:val="auto"/>
          <w:highlight w:val="none"/>
        </w:rPr>
        <w:t>29.1供应商对政府采购活动事项有疑问的，可以向采购人、采购代理机构提出询问，采购人或者采购代理机构应当在3个工作日内对供应商依法提出的询问作出答复，</w:t>
      </w:r>
      <w:r>
        <w:rPr>
          <w:rFonts w:hint="eastAsia" w:ascii="宋体" w:hAnsi="宋体"/>
          <w:color w:val="auto"/>
          <w:szCs w:val="21"/>
          <w:highlight w:val="none"/>
        </w:rPr>
        <w:t>但答复的内容不得涉及商业秘密</w:t>
      </w:r>
      <w:r>
        <w:rPr>
          <w:rFonts w:hint="eastAsia" w:ascii="宋体" w:hAnsi="宋体" w:cs="宋体"/>
          <w:color w:val="auto"/>
          <w:highlight w:val="none"/>
        </w:rPr>
        <w:t>。</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29.2供应商认为磋商文件、采购过程或者成交结果使自己的合法权益受到损害的，应当在知道或者应知其权益受到损害之日起7个工作日内，以纸质书面形式向采购人、采购代理机构提出质疑，</w:t>
      </w:r>
      <w:r>
        <w:rPr>
          <w:rFonts w:ascii="宋体" w:hAnsi="宋体" w:cs="Arial"/>
          <w:color w:val="auto"/>
          <w:highlight w:val="none"/>
          <w:shd w:val="clear" w:color="auto" w:fill="FFFFFF"/>
        </w:rPr>
        <w:t>接收质疑函的方式、联系部门、联系电话和通讯地址等信息</w:t>
      </w:r>
      <w:r>
        <w:rPr>
          <w:rFonts w:hint="eastAsia" w:ascii="宋体" w:hAnsi="宋体" w:cs="Arial"/>
          <w:color w:val="auto"/>
          <w:highlight w:val="none"/>
          <w:shd w:val="clear" w:color="auto" w:fill="FFFFFF"/>
        </w:rPr>
        <w:t>详见</w:t>
      </w:r>
      <w:r>
        <w:rPr>
          <w:rFonts w:hint="eastAsia" w:ascii="宋体" w:hAnsi="宋体" w:cs="宋体"/>
          <w:color w:val="auto"/>
          <w:szCs w:val="21"/>
          <w:highlight w:val="none"/>
        </w:rPr>
        <w:t>“供应商须知前附表”</w:t>
      </w:r>
      <w:r>
        <w:rPr>
          <w:rFonts w:hint="eastAsia" w:ascii="宋体" w:hAnsi="宋体" w:cs="宋体"/>
          <w:color w:val="auto"/>
          <w:highlight w:val="none"/>
        </w:rPr>
        <w:t>。具体质疑起算时间如下：</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（1）对可以质疑的磋商文件提出质疑的，为收到磋商文件之日或者</w:t>
      </w:r>
      <w:r>
        <w:rPr>
          <w:rFonts w:hint="eastAsia" w:ascii="宋体" w:hAnsi="宋体"/>
          <w:color w:val="auto"/>
          <w:highlight w:val="none"/>
        </w:rPr>
        <w:t>竞争性磋商公告期限届满之日</w:t>
      </w:r>
      <w:r>
        <w:rPr>
          <w:rFonts w:hint="eastAsia" w:ascii="宋体" w:hAnsi="宋体" w:cs="宋体"/>
          <w:color w:val="auto"/>
          <w:highlight w:val="none"/>
        </w:rPr>
        <w:t>；</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（2）对采购过程提出质疑的，为各采购程序环节结束之日；</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（3）对成交结果提出质疑的，为成交结果公告期限届满之日。</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29.3供应商提出的询问或者质疑超出采购人对采购代理机构委托授权范围的，采购代理机构应当告知供应商向采购人提出。政府采购评审专家应当配合采购人或者采购代理机构答复供应商的询问和质疑。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29.4 供应商提出质疑应当提交质疑函和必要的证明材料，针对同一采购程序环节的质疑必须在法定质疑期内一次性提出。质疑函应当包括下列内容</w:t>
      </w:r>
      <w:r>
        <w:rPr>
          <w:rFonts w:hint="eastAsia" w:hAnsi="宋体"/>
          <w:bCs/>
          <w:color w:val="auto"/>
          <w:highlight w:val="none"/>
        </w:rPr>
        <w:t>（质疑函格式后附）</w:t>
      </w:r>
      <w:r>
        <w:rPr>
          <w:rFonts w:hint="eastAsia" w:ascii="宋体" w:hAnsi="宋体" w:cs="宋体"/>
          <w:color w:val="auto"/>
          <w:highlight w:val="none"/>
        </w:rPr>
        <w:t>：</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（1）供应商的姓名或者名称、地址、邮编、联系人及联系电话；</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（2）质疑项目的名称、编号；</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（3）具体、明确的质疑事项和与质疑事项相关的请求；</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（4）事实依据；</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（5）必要的法律依据；</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（6）提出质疑的日期。</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29</w:t>
      </w:r>
      <w:r>
        <w:rPr>
          <w:rFonts w:ascii="宋体" w:hAnsi="宋体" w:cs="宋体"/>
          <w:color w:val="auto"/>
          <w:highlight w:val="none"/>
        </w:rPr>
        <w:t>.5</w:t>
      </w:r>
      <w:r>
        <w:rPr>
          <w:rFonts w:hint="eastAsia" w:ascii="宋体" w:hAnsi="宋体" w:cs="宋体"/>
          <w:color w:val="auto"/>
          <w:highlight w:val="none"/>
        </w:rPr>
        <w:t>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质疑答复导致成交结果改变的，采购人或者采购代理机构应当将有关情况书面报告本级财政部门。</w:t>
      </w:r>
    </w:p>
    <w:p>
      <w:pPr>
        <w:spacing w:line="360" w:lineRule="auto"/>
        <w:ind w:firstLine="420" w:firstLineChars="200"/>
        <w:rPr>
          <w:rFonts w:ascii="宋体" w:hAnsi="宋体" w:cs="宋体"/>
          <w:color w:val="auto"/>
          <w:szCs w:val="21"/>
          <w:highlight w:val="none"/>
        </w:rPr>
      </w:pPr>
      <w:r>
        <w:rPr>
          <w:rFonts w:hint="eastAsia" w:ascii="宋体" w:hAnsi="宋体" w:cs="宋体"/>
          <w:color w:val="auto"/>
          <w:highlight w:val="none"/>
        </w:rPr>
        <w:t>29.</w:t>
      </w:r>
      <w:r>
        <w:rPr>
          <w:rFonts w:ascii="宋体" w:hAnsi="宋体" w:cs="宋体"/>
          <w:color w:val="auto"/>
          <w:highlight w:val="none"/>
        </w:rPr>
        <w:t>6</w:t>
      </w:r>
      <w:r>
        <w:rPr>
          <w:rFonts w:hint="eastAsia" w:ascii="宋体" w:hAnsi="宋体" w:cs="宋体"/>
          <w:color w:val="auto"/>
          <w:highlight w:val="none"/>
        </w:rPr>
        <w:t>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3</w:t>
      </w:r>
      <w:r>
        <w:rPr>
          <w:rFonts w:hint="eastAsia" w:ascii="黑体" w:hAnsi="黑体" w:eastAsia="黑体" w:cs="宋体"/>
          <w:b/>
          <w:bCs/>
          <w:color w:val="auto"/>
          <w:sz w:val="24"/>
          <w:highlight w:val="none"/>
        </w:rPr>
        <w:t>0.其他内容</w:t>
      </w:r>
    </w:p>
    <w:p>
      <w:pPr>
        <w:tabs>
          <w:tab w:val="left" w:pos="2835"/>
        </w:tabs>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3</w:t>
      </w:r>
      <w:r>
        <w:rPr>
          <w:rFonts w:hint="eastAsia" w:ascii="宋体" w:hAnsi="宋体" w:cs="宋体"/>
          <w:color w:val="auto"/>
          <w:szCs w:val="21"/>
          <w:highlight w:val="none"/>
        </w:rPr>
        <w:t>0.1代理服务费：代理服务收取标准及缴费账户详见“供应商须知前附表”。</w:t>
      </w:r>
    </w:p>
    <w:p>
      <w:pPr>
        <w:tabs>
          <w:tab w:val="left" w:pos="2835"/>
        </w:tabs>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3</w:t>
      </w:r>
      <w:r>
        <w:rPr>
          <w:rFonts w:hint="eastAsia" w:ascii="宋体" w:hAnsi="宋体" w:cs="宋体"/>
          <w:color w:val="auto"/>
          <w:szCs w:val="21"/>
          <w:highlight w:val="none"/>
        </w:rPr>
        <w:t>0</w:t>
      </w:r>
      <w:r>
        <w:rPr>
          <w:rFonts w:ascii="宋体" w:hAnsi="宋体" w:cs="宋体"/>
          <w:color w:val="auto"/>
          <w:szCs w:val="21"/>
          <w:highlight w:val="none"/>
        </w:rPr>
        <w:t>.2</w:t>
      </w:r>
      <w:r>
        <w:rPr>
          <w:rFonts w:hint="eastAsia" w:ascii="宋体" w:hAnsi="宋体" w:cs="宋体"/>
          <w:color w:val="auto"/>
          <w:szCs w:val="21"/>
          <w:highlight w:val="none"/>
        </w:rPr>
        <w:t>代理服务费收费计算标准：</w:t>
      </w:r>
    </w:p>
    <w:tbl>
      <w:tblPr>
        <w:tblStyle w:val="18"/>
        <w:tblW w:w="8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532"/>
        <w:gridCol w:w="1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Borders>
              <w:tl2br w:val="single" w:color="auto" w:sz="4" w:space="0"/>
            </w:tcBorders>
          </w:tcPr>
          <w:p>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费率</w:t>
            </w:r>
          </w:p>
          <w:p>
            <w:pPr>
              <w:spacing w:line="360" w:lineRule="auto"/>
              <w:rPr>
                <w:rFonts w:ascii="宋体" w:hAnsi="宋体" w:cs="宋体"/>
                <w:color w:val="auto"/>
                <w:szCs w:val="21"/>
                <w:highlight w:val="none"/>
              </w:rPr>
            </w:pPr>
            <w:r>
              <w:rPr>
                <w:rFonts w:hint="eastAsia" w:ascii="宋体" w:hAnsi="宋体" w:cs="宋体"/>
                <w:color w:val="auto"/>
                <w:szCs w:val="21"/>
                <w:highlight w:val="none"/>
              </w:rPr>
              <w:t>金额</w:t>
            </w:r>
          </w:p>
        </w:tc>
        <w:tc>
          <w:tcPr>
            <w:tcW w:w="1659" w:type="dxa"/>
            <w:vAlign w:val="center"/>
          </w:tcPr>
          <w:p>
            <w:pPr>
              <w:spacing w:line="360" w:lineRule="auto"/>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货物类</w:t>
            </w:r>
          </w:p>
        </w:tc>
        <w:tc>
          <w:tcPr>
            <w:tcW w:w="1532"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服务类</w:t>
            </w:r>
          </w:p>
        </w:tc>
        <w:tc>
          <w:tcPr>
            <w:tcW w:w="1546" w:type="dxa"/>
            <w:vAlign w:val="center"/>
          </w:tcPr>
          <w:p>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100万元以下</w:t>
            </w:r>
          </w:p>
        </w:tc>
        <w:tc>
          <w:tcPr>
            <w:tcW w:w="1659" w:type="dxa"/>
          </w:tcPr>
          <w:p>
            <w:pPr>
              <w:spacing w:line="360" w:lineRule="auto"/>
              <w:rPr>
                <w:rFonts w:ascii="宋体" w:hAnsi="宋体" w:cs="宋体"/>
                <w:color w:val="auto"/>
                <w:szCs w:val="21"/>
                <w:highlight w:val="none"/>
              </w:rPr>
            </w:pPr>
            <w:r>
              <w:rPr>
                <w:rFonts w:hint="eastAsia" w:ascii="宋体" w:hAnsi="宋体" w:cs="宋体"/>
                <w:color w:val="auto"/>
                <w:kern w:val="0"/>
                <w:szCs w:val="21"/>
                <w:highlight w:val="none"/>
              </w:rPr>
              <w:t xml:space="preserve">  1.5%                </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1.5%</w:t>
            </w:r>
          </w:p>
        </w:tc>
        <w:tc>
          <w:tcPr>
            <w:tcW w:w="1546"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100～500万元</w:t>
            </w:r>
          </w:p>
        </w:tc>
        <w:tc>
          <w:tcPr>
            <w:tcW w:w="1659"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 xml:space="preserve">1.1%                 </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0.8%</w:t>
            </w:r>
          </w:p>
        </w:tc>
        <w:tc>
          <w:tcPr>
            <w:tcW w:w="1546"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500～1000万元</w:t>
            </w:r>
          </w:p>
        </w:tc>
        <w:tc>
          <w:tcPr>
            <w:tcW w:w="1659" w:type="dxa"/>
          </w:tcPr>
          <w:p>
            <w:pPr>
              <w:spacing w:line="360" w:lineRule="auto"/>
              <w:rPr>
                <w:rFonts w:ascii="宋体" w:hAnsi="宋体" w:cs="宋体"/>
                <w:color w:val="auto"/>
                <w:szCs w:val="21"/>
                <w:highlight w:val="none"/>
              </w:rPr>
            </w:pPr>
            <w:r>
              <w:rPr>
                <w:rFonts w:hint="eastAsia" w:ascii="宋体" w:hAnsi="宋体" w:cs="宋体"/>
                <w:color w:val="auto"/>
                <w:kern w:val="0"/>
                <w:szCs w:val="21"/>
                <w:highlight w:val="none"/>
              </w:rPr>
              <w:t xml:space="preserve">  0.8%                </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0.45%</w:t>
            </w:r>
          </w:p>
        </w:tc>
        <w:tc>
          <w:tcPr>
            <w:tcW w:w="1546"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1000～5000万元</w:t>
            </w:r>
          </w:p>
        </w:tc>
        <w:tc>
          <w:tcPr>
            <w:tcW w:w="1659"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 xml:space="preserve">0.5%                </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0.25%</w:t>
            </w:r>
          </w:p>
        </w:tc>
        <w:tc>
          <w:tcPr>
            <w:tcW w:w="1546"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5000万元～1亿元</w:t>
            </w:r>
          </w:p>
        </w:tc>
        <w:tc>
          <w:tcPr>
            <w:tcW w:w="1659"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 xml:space="preserve">0.25%                 </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0.1%</w:t>
            </w:r>
          </w:p>
        </w:tc>
        <w:tc>
          <w:tcPr>
            <w:tcW w:w="1546"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kern w:val="0"/>
                <w:szCs w:val="21"/>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1～5亿元</w:t>
            </w:r>
          </w:p>
        </w:tc>
        <w:tc>
          <w:tcPr>
            <w:tcW w:w="1659"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0.05%</w:t>
            </w:r>
          </w:p>
        </w:tc>
        <w:tc>
          <w:tcPr>
            <w:tcW w:w="153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0.05%</w:t>
            </w:r>
          </w:p>
        </w:tc>
        <w:tc>
          <w:tcPr>
            <w:tcW w:w="1546"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5～10亿元</w:t>
            </w:r>
          </w:p>
        </w:tc>
        <w:tc>
          <w:tcPr>
            <w:tcW w:w="1659" w:type="dxa"/>
          </w:tcPr>
          <w:p>
            <w:pPr>
              <w:spacing w:line="360" w:lineRule="auto"/>
              <w:ind w:firstLine="105" w:firstLineChars="50"/>
              <w:rPr>
                <w:rFonts w:ascii="宋体" w:hAnsi="宋体" w:cs="宋体"/>
                <w:color w:val="auto"/>
                <w:szCs w:val="21"/>
                <w:highlight w:val="none"/>
              </w:rPr>
            </w:pPr>
            <w:r>
              <w:rPr>
                <w:rFonts w:hint="eastAsia" w:ascii="宋体" w:hAnsi="宋体" w:cs="宋体"/>
                <w:color w:val="auto"/>
                <w:szCs w:val="21"/>
                <w:highlight w:val="none"/>
              </w:rPr>
              <w:t>0.035%</w:t>
            </w:r>
          </w:p>
        </w:tc>
        <w:tc>
          <w:tcPr>
            <w:tcW w:w="153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0.035%</w:t>
            </w:r>
          </w:p>
        </w:tc>
        <w:tc>
          <w:tcPr>
            <w:tcW w:w="1546" w:type="dxa"/>
          </w:tcPr>
          <w:p>
            <w:pPr>
              <w:spacing w:line="360" w:lineRule="auto"/>
              <w:ind w:firstLine="105" w:firstLineChars="50"/>
              <w:rPr>
                <w:rFonts w:ascii="宋体" w:hAnsi="宋体" w:cs="宋体"/>
                <w:color w:val="auto"/>
                <w:szCs w:val="21"/>
                <w:highlight w:val="none"/>
              </w:rPr>
            </w:pPr>
            <w:r>
              <w:rPr>
                <w:rFonts w:hint="eastAsia" w:ascii="宋体" w:hAnsi="宋体" w:cs="宋体"/>
                <w:color w:val="auto"/>
                <w:szCs w:val="21"/>
                <w:highlight w:val="none"/>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10～50亿元</w:t>
            </w:r>
          </w:p>
        </w:tc>
        <w:tc>
          <w:tcPr>
            <w:tcW w:w="1659" w:type="dxa"/>
          </w:tcPr>
          <w:p>
            <w:pPr>
              <w:spacing w:line="360" w:lineRule="auto"/>
              <w:ind w:firstLine="105" w:firstLineChars="50"/>
              <w:rPr>
                <w:rFonts w:ascii="宋体" w:hAnsi="宋体" w:cs="宋体"/>
                <w:color w:val="auto"/>
                <w:szCs w:val="21"/>
                <w:highlight w:val="none"/>
              </w:rPr>
            </w:pPr>
            <w:r>
              <w:rPr>
                <w:rFonts w:hint="eastAsia" w:ascii="宋体" w:hAnsi="宋体" w:cs="宋体"/>
                <w:color w:val="auto"/>
                <w:szCs w:val="21"/>
                <w:highlight w:val="none"/>
              </w:rPr>
              <w:t>0.008%</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0.008%</w:t>
            </w:r>
          </w:p>
        </w:tc>
        <w:tc>
          <w:tcPr>
            <w:tcW w:w="1546" w:type="dxa"/>
          </w:tcPr>
          <w:p>
            <w:pPr>
              <w:spacing w:line="360" w:lineRule="auto"/>
              <w:ind w:firstLine="105" w:firstLineChars="50"/>
              <w:rPr>
                <w:rFonts w:ascii="宋体" w:hAnsi="宋体" w:cs="宋体"/>
                <w:color w:val="auto"/>
                <w:szCs w:val="21"/>
                <w:highlight w:val="none"/>
              </w:rPr>
            </w:pPr>
            <w:r>
              <w:rPr>
                <w:rFonts w:hint="eastAsia" w:ascii="宋体" w:hAnsi="宋体" w:cs="宋体"/>
                <w:color w:val="auto"/>
                <w:szCs w:val="21"/>
                <w:highlight w:val="none"/>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50～100亿元</w:t>
            </w:r>
          </w:p>
        </w:tc>
        <w:tc>
          <w:tcPr>
            <w:tcW w:w="1659"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0.006%</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0.006%</w:t>
            </w:r>
          </w:p>
        </w:tc>
        <w:tc>
          <w:tcPr>
            <w:tcW w:w="1546" w:type="dxa"/>
          </w:tcPr>
          <w:p>
            <w:pPr>
              <w:spacing w:line="360" w:lineRule="auto"/>
              <w:ind w:firstLine="105" w:firstLineChars="50"/>
              <w:rPr>
                <w:rFonts w:ascii="宋体" w:hAnsi="宋体" w:cs="宋体"/>
                <w:color w:val="auto"/>
                <w:szCs w:val="21"/>
                <w:highlight w:val="none"/>
              </w:rPr>
            </w:pPr>
            <w:r>
              <w:rPr>
                <w:rFonts w:hint="eastAsia" w:ascii="宋体" w:hAnsi="宋体" w:cs="宋体"/>
                <w:color w:val="auto"/>
                <w:szCs w:val="21"/>
                <w:highlight w:val="none"/>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72"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100亿以上</w:t>
            </w:r>
          </w:p>
        </w:tc>
        <w:tc>
          <w:tcPr>
            <w:tcW w:w="1659" w:type="dxa"/>
          </w:tcPr>
          <w:p>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 0.004%</w:t>
            </w:r>
          </w:p>
        </w:tc>
        <w:tc>
          <w:tcPr>
            <w:tcW w:w="1532" w:type="dxa"/>
          </w:tcPr>
          <w:p>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0.004%</w:t>
            </w:r>
          </w:p>
        </w:tc>
        <w:tc>
          <w:tcPr>
            <w:tcW w:w="1546" w:type="dxa"/>
          </w:tcPr>
          <w:p>
            <w:pPr>
              <w:spacing w:line="360" w:lineRule="auto"/>
              <w:ind w:firstLine="105" w:firstLineChars="50"/>
              <w:rPr>
                <w:rFonts w:ascii="宋体" w:hAnsi="宋体" w:cs="宋体"/>
                <w:color w:val="auto"/>
                <w:szCs w:val="21"/>
                <w:highlight w:val="none"/>
              </w:rPr>
            </w:pPr>
            <w:r>
              <w:rPr>
                <w:rFonts w:hint="eastAsia" w:ascii="宋体" w:hAnsi="宋体" w:cs="宋体"/>
                <w:color w:val="auto"/>
                <w:szCs w:val="21"/>
                <w:highlight w:val="none"/>
              </w:rPr>
              <w:t>0.004%</w:t>
            </w:r>
          </w:p>
        </w:tc>
      </w:tr>
    </w:tbl>
    <w:p>
      <w:pPr>
        <w:spacing w:line="360" w:lineRule="auto"/>
        <w:ind w:firstLine="420" w:firstLineChars="200"/>
        <w:rPr>
          <w:rFonts w:ascii="宋体" w:hAnsi="宋体" w:cs="宋体"/>
          <w:color w:val="auto"/>
          <w:highlight w:val="none"/>
        </w:rPr>
      </w:pPr>
      <w:r>
        <w:rPr>
          <w:rFonts w:ascii="宋体" w:hAnsi="宋体" w:cs="宋体"/>
          <w:color w:val="auto"/>
          <w:highlight w:val="none"/>
        </w:rPr>
        <w:t>注：</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w:t>
      </w:r>
      <w:r>
        <w:rPr>
          <w:rFonts w:ascii="宋体" w:hAnsi="宋体" w:cs="宋体"/>
          <w:color w:val="auto"/>
          <w:highlight w:val="none"/>
        </w:rPr>
        <w:t>按本表费率计算的收费为</w:t>
      </w:r>
      <w:r>
        <w:rPr>
          <w:rFonts w:hint="eastAsia" w:ascii="宋体" w:hAnsi="宋体" w:cs="宋体"/>
          <w:color w:val="auto"/>
          <w:highlight w:val="none"/>
        </w:rPr>
        <w:t>采购</w:t>
      </w:r>
      <w:r>
        <w:rPr>
          <w:rFonts w:ascii="宋体" w:hAnsi="宋体" w:cs="宋体"/>
          <w:color w:val="auto"/>
          <w:highlight w:val="none"/>
        </w:rPr>
        <w:t>代理的收费基准价格</w:t>
      </w:r>
      <w:r>
        <w:rPr>
          <w:rFonts w:hint="eastAsia" w:ascii="宋体" w:hAnsi="宋体" w:cs="宋体"/>
          <w:color w:val="auto"/>
          <w:highlight w:val="none"/>
        </w:rPr>
        <w:t>；</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（2）采购</w:t>
      </w:r>
      <w:r>
        <w:rPr>
          <w:rFonts w:ascii="宋体" w:hAnsi="宋体" w:cs="宋体"/>
          <w:color w:val="auto"/>
          <w:highlight w:val="none"/>
        </w:rPr>
        <w:t>代理收费按差额定率累进法计算。</w:t>
      </w:r>
    </w:p>
    <w:p>
      <w:pPr>
        <w:spacing w:line="360" w:lineRule="auto"/>
        <w:ind w:firstLine="420" w:firstLineChars="200"/>
        <w:rPr>
          <w:rFonts w:ascii="宋体" w:hAnsi="宋体" w:cs="宋体"/>
          <w:color w:val="auto"/>
          <w:highlight w:val="none"/>
        </w:rPr>
      </w:pPr>
      <w:r>
        <w:rPr>
          <w:rFonts w:ascii="宋体" w:hAnsi="宋体" w:cs="宋体"/>
          <w:color w:val="auto"/>
          <w:highlight w:val="none"/>
        </w:rPr>
        <w:t>例如：某</w:t>
      </w:r>
      <w:r>
        <w:rPr>
          <w:rFonts w:hint="eastAsia" w:ascii="宋体" w:hAnsi="宋体" w:cs="宋体"/>
          <w:color w:val="auto"/>
          <w:highlight w:val="none"/>
        </w:rPr>
        <w:t>服务采购</w:t>
      </w:r>
      <w:r>
        <w:rPr>
          <w:rFonts w:ascii="宋体" w:hAnsi="宋体" w:cs="宋体"/>
          <w:color w:val="auto"/>
          <w:highlight w:val="none"/>
        </w:rPr>
        <w:t>代理业务</w:t>
      </w:r>
      <w:r>
        <w:rPr>
          <w:rFonts w:hint="eastAsia" w:ascii="宋体" w:hAnsi="宋体" w:cs="宋体"/>
          <w:color w:val="auto"/>
          <w:highlight w:val="none"/>
        </w:rPr>
        <w:t>成交</w:t>
      </w:r>
      <w:r>
        <w:rPr>
          <w:rFonts w:ascii="宋体" w:hAnsi="宋体" w:cs="宋体"/>
          <w:color w:val="auto"/>
          <w:highlight w:val="none"/>
        </w:rPr>
        <w:t>金额</w:t>
      </w:r>
      <w:r>
        <w:rPr>
          <w:rFonts w:hint="eastAsia" w:ascii="宋体" w:hAnsi="宋体" w:cs="宋体"/>
          <w:color w:val="auto"/>
          <w:highlight w:val="none"/>
        </w:rPr>
        <w:t>或者暂定价</w:t>
      </w:r>
      <w:r>
        <w:rPr>
          <w:rFonts w:ascii="宋体" w:hAnsi="宋体" w:cs="宋体"/>
          <w:color w:val="auto"/>
          <w:highlight w:val="none"/>
        </w:rPr>
        <w:t>为150万元，计算</w:t>
      </w:r>
      <w:r>
        <w:rPr>
          <w:rFonts w:hint="eastAsia" w:ascii="宋体" w:hAnsi="宋体" w:cs="宋体"/>
          <w:color w:val="auto"/>
          <w:highlight w:val="none"/>
        </w:rPr>
        <w:t>采购</w:t>
      </w:r>
      <w:r>
        <w:rPr>
          <w:rFonts w:ascii="宋体" w:hAnsi="宋体" w:cs="宋体"/>
          <w:color w:val="auto"/>
          <w:highlight w:val="none"/>
        </w:rPr>
        <w:t>代理收费额如下：</w:t>
      </w:r>
    </w:p>
    <w:p>
      <w:pPr>
        <w:spacing w:line="360" w:lineRule="auto"/>
        <w:ind w:firstLine="420" w:firstLineChars="200"/>
        <w:rPr>
          <w:rFonts w:ascii="宋体" w:hAnsi="宋体" w:cs="宋体"/>
          <w:color w:val="auto"/>
          <w:highlight w:val="none"/>
        </w:rPr>
      </w:pPr>
      <w:r>
        <w:rPr>
          <w:rFonts w:ascii="宋体" w:hAnsi="宋体" w:cs="宋体"/>
          <w:color w:val="auto"/>
          <w:highlight w:val="none"/>
        </w:rPr>
        <w:t>100 万元 ×l.5 %＝ 1.5 万元</w:t>
      </w:r>
    </w:p>
    <w:p>
      <w:pPr>
        <w:spacing w:line="360" w:lineRule="auto"/>
        <w:ind w:firstLine="420" w:firstLineChars="200"/>
        <w:rPr>
          <w:rFonts w:ascii="宋体" w:hAnsi="宋体" w:cs="宋体"/>
          <w:color w:val="auto"/>
          <w:highlight w:val="none"/>
        </w:rPr>
      </w:pPr>
      <w:r>
        <w:rPr>
          <w:rFonts w:ascii="宋体" w:hAnsi="宋体" w:cs="宋体"/>
          <w:color w:val="auto"/>
          <w:highlight w:val="none"/>
        </w:rPr>
        <w:t>（ 150 － 100 ）万元 ×0.8%＝ 0.4万元</w:t>
      </w:r>
    </w:p>
    <w:p>
      <w:pPr>
        <w:spacing w:line="360" w:lineRule="auto"/>
        <w:ind w:firstLine="420" w:firstLineChars="200"/>
        <w:rPr>
          <w:rFonts w:ascii="宋体" w:hAnsi="宋体" w:cs="宋体"/>
          <w:color w:val="auto"/>
          <w:highlight w:val="none"/>
        </w:rPr>
      </w:pPr>
      <w:r>
        <w:rPr>
          <w:rFonts w:ascii="宋体" w:hAnsi="宋体" w:cs="宋体"/>
          <w:color w:val="auto"/>
          <w:highlight w:val="none"/>
        </w:rPr>
        <w:t>合计收费＝ 1.5 ＋ 0.4＝ 1.9 万元</w:t>
      </w:r>
    </w:p>
    <w:p>
      <w:pPr>
        <w:spacing w:line="360" w:lineRule="auto"/>
        <w:ind w:firstLine="420" w:firstLineChars="200"/>
        <w:rPr>
          <w:rFonts w:ascii="宋体" w:hAnsi="宋体" w:cs="宋体"/>
          <w:color w:val="auto"/>
          <w:kern w:val="0"/>
          <w:szCs w:val="21"/>
          <w:highlight w:val="none"/>
        </w:rPr>
      </w:pPr>
      <w:r>
        <w:rPr>
          <w:rFonts w:ascii="宋体" w:hAnsi="宋体" w:cs="宋体"/>
          <w:color w:val="auto"/>
          <w:kern w:val="0"/>
          <w:szCs w:val="21"/>
          <w:highlight w:val="none"/>
        </w:rPr>
        <w:t>3</w:t>
      </w:r>
      <w:r>
        <w:rPr>
          <w:rFonts w:hint="eastAsia" w:ascii="宋体" w:hAnsi="宋体" w:cs="宋体"/>
          <w:color w:val="auto"/>
          <w:kern w:val="0"/>
          <w:szCs w:val="21"/>
          <w:highlight w:val="none"/>
        </w:rPr>
        <w:t>0</w:t>
      </w:r>
      <w:r>
        <w:rPr>
          <w:rFonts w:ascii="宋体" w:hAnsi="宋体" w:cs="宋体"/>
          <w:color w:val="auto"/>
          <w:kern w:val="0"/>
          <w:szCs w:val="21"/>
          <w:highlight w:val="none"/>
        </w:rPr>
        <w:t xml:space="preserve">.3 </w:t>
      </w:r>
      <w:r>
        <w:rPr>
          <w:rFonts w:hint="eastAsia" w:ascii="宋体" w:hAnsi="宋体" w:cs="宋体"/>
          <w:color w:val="auto"/>
          <w:kern w:val="0"/>
          <w:szCs w:val="21"/>
          <w:highlight w:val="none"/>
        </w:rPr>
        <w:t>代理服务费交纳</w:t>
      </w:r>
      <w:r>
        <w:rPr>
          <w:rFonts w:ascii="宋体" w:hAnsi="宋体" w:cs="宋体"/>
          <w:color w:val="auto"/>
          <w:kern w:val="0"/>
          <w:szCs w:val="21"/>
          <w:highlight w:val="none"/>
        </w:rPr>
        <w:t>银行帐号信息</w:t>
      </w:r>
    </w:p>
    <w:p>
      <w:pPr>
        <w:pStyle w:val="12"/>
        <w:snapToGrid w:val="0"/>
        <w:spacing w:line="360" w:lineRule="auto"/>
        <w:ind w:firstLine="800" w:firstLineChars="400"/>
        <w:rPr>
          <w:rFonts w:hAnsi="宋体"/>
          <w:color w:val="auto"/>
          <w:highlight w:val="none"/>
        </w:rPr>
      </w:pPr>
      <w:r>
        <w:rPr>
          <w:rFonts w:hint="eastAsia" w:hAnsi="宋体"/>
          <w:color w:val="auto"/>
          <w:highlight w:val="none"/>
        </w:rPr>
        <w:t>开户名称：广西科文招标有限公司南宁六分公司</w:t>
      </w:r>
    </w:p>
    <w:p>
      <w:pPr>
        <w:pStyle w:val="12"/>
        <w:snapToGrid w:val="0"/>
        <w:spacing w:line="360" w:lineRule="auto"/>
        <w:ind w:firstLine="800" w:firstLineChars="400"/>
        <w:rPr>
          <w:rFonts w:hAnsi="宋体"/>
          <w:color w:val="auto"/>
          <w:highlight w:val="none"/>
        </w:rPr>
      </w:pPr>
      <w:r>
        <w:rPr>
          <w:rFonts w:hint="eastAsia" w:hAnsi="宋体"/>
          <w:color w:val="auto"/>
          <w:highlight w:val="none"/>
        </w:rPr>
        <w:t>开户银行：广西北部湾银行股份有限公司南宁市云景支行</w:t>
      </w:r>
    </w:p>
    <w:p>
      <w:pPr>
        <w:spacing w:line="360" w:lineRule="auto"/>
        <w:ind w:firstLine="840" w:firstLineChars="400"/>
        <w:rPr>
          <w:rFonts w:hAnsi="宋体"/>
          <w:color w:val="auto"/>
          <w:highlight w:val="none"/>
        </w:rPr>
      </w:pPr>
      <w:r>
        <w:rPr>
          <w:rFonts w:hint="eastAsia" w:hAnsi="宋体"/>
          <w:color w:val="auto"/>
          <w:highlight w:val="none"/>
        </w:rPr>
        <w:t>银行</w:t>
      </w:r>
      <w:r>
        <w:rPr>
          <w:rFonts w:hint="eastAsia" w:hAnsi="宋体"/>
          <w:color w:val="auto"/>
          <w:highlight w:val="none"/>
          <w:lang w:eastAsia="zh-Hans"/>
        </w:rPr>
        <w:t>账</w:t>
      </w:r>
      <w:r>
        <w:rPr>
          <w:rFonts w:hint="eastAsia" w:hAnsi="宋体"/>
          <w:color w:val="auto"/>
          <w:highlight w:val="none"/>
        </w:rPr>
        <w:t>号：8050 3274 93 00001</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31</w:t>
      </w:r>
      <w:r>
        <w:rPr>
          <w:rFonts w:ascii="黑体" w:hAnsi="黑体" w:eastAsia="黑体" w:cs="宋体"/>
          <w:b/>
          <w:bCs/>
          <w:color w:val="auto"/>
          <w:sz w:val="24"/>
          <w:highlight w:val="none"/>
        </w:rPr>
        <w:t>.需要补充的其他内容</w:t>
      </w:r>
    </w:p>
    <w:p>
      <w:pPr>
        <w:pStyle w:val="12"/>
        <w:spacing w:line="360" w:lineRule="auto"/>
        <w:ind w:firstLine="420" w:firstLineChars="200"/>
        <w:textAlignment w:val="center"/>
        <w:rPr>
          <w:rFonts w:hAnsi="宋体" w:cs="宋体"/>
          <w:color w:val="auto"/>
          <w:kern w:val="2"/>
          <w:sz w:val="21"/>
          <w:highlight w:val="none"/>
        </w:rPr>
      </w:pPr>
      <w:r>
        <w:rPr>
          <w:rFonts w:hint="eastAsia" w:hAnsi="宋体" w:cs="宋体"/>
          <w:color w:val="auto"/>
          <w:kern w:val="2"/>
          <w:sz w:val="21"/>
          <w:highlight w:val="none"/>
        </w:rPr>
        <w:t>31</w:t>
      </w:r>
      <w:r>
        <w:rPr>
          <w:rFonts w:hAnsi="宋体" w:cs="宋体"/>
          <w:color w:val="auto"/>
          <w:kern w:val="2"/>
          <w:sz w:val="21"/>
          <w:highlight w:val="none"/>
        </w:rPr>
        <w:t>.1</w:t>
      </w:r>
      <w:r>
        <w:rPr>
          <w:rFonts w:hint="eastAsia" w:hAnsi="宋体" w:cs="宋体"/>
          <w:color w:val="auto"/>
          <w:kern w:val="2"/>
          <w:sz w:val="21"/>
          <w:highlight w:val="none"/>
        </w:rPr>
        <w:t>本磋商文件解释规则详见“供应商须知前附表”。</w:t>
      </w:r>
    </w:p>
    <w:p>
      <w:pPr>
        <w:pStyle w:val="12"/>
        <w:spacing w:line="360" w:lineRule="auto"/>
        <w:ind w:firstLine="420" w:firstLineChars="200"/>
        <w:textAlignment w:val="center"/>
        <w:rPr>
          <w:rFonts w:hAnsi="宋体" w:cs="宋体"/>
          <w:color w:val="auto"/>
          <w:kern w:val="2"/>
          <w:sz w:val="21"/>
          <w:highlight w:val="none"/>
        </w:rPr>
      </w:pPr>
      <w:r>
        <w:rPr>
          <w:rFonts w:hAnsi="宋体" w:cs="宋体"/>
          <w:color w:val="auto"/>
          <w:kern w:val="2"/>
          <w:sz w:val="21"/>
          <w:highlight w:val="none"/>
        </w:rPr>
        <w:t>3</w:t>
      </w:r>
      <w:r>
        <w:rPr>
          <w:rFonts w:hint="eastAsia" w:hAnsi="宋体" w:cs="宋体"/>
          <w:color w:val="auto"/>
          <w:kern w:val="2"/>
          <w:sz w:val="21"/>
          <w:highlight w:val="none"/>
        </w:rPr>
        <w:t>1</w:t>
      </w:r>
      <w:r>
        <w:rPr>
          <w:rFonts w:hAnsi="宋体" w:cs="宋体"/>
          <w:color w:val="auto"/>
          <w:kern w:val="2"/>
          <w:sz w:val="21"/>
          <w:highlight w:val="none"/>
        </w:rPr>
        <w:t>.2</w:t>
      </w:r>
      <w:r>
        <w:rPr>
          <w:rFonts w:hint="eastAsia" w:hAnsi="宋体" w:cs="宋体"/>
          <w:color w:val="auto"/>
          <w:kern w:val="2"/>
          <w:sz w:val="21"/>
          <w:highlight w:val="none"/>
        </w:rPr>
        <w:t xml:space="preserve"> 其他事项详见“供应商须知前附表”。</w:t>
      </w:r>
    </w:p>
    <w:p>
      <w:pPr>
        <w:pStyle w:val="12"/>
        <w:spacing w:line="360" w:lineRule="auto"/>
        <w:ind w:firstLine="420" w:firstLineChars="200"/>
        <w:textAlignment w:val="center"/>
        <w:rPr>
          <w:rFonts w:hAnsi="宋体" w:cs="宋体"/>
          <w:color w:val="auto"/>
          <w:kern w:val="2"/>
          <w:sz w:val="21"/>
          <w:highlight w:val="none"/>
        </w:rPr>
      </w:pPr>
      <w:r>
        <w:rPr>
          <w:rFonts w:hint="eastAsia" w:hAnsi="宋体" w:cs="宋体"/>
          <w:color w:val="auto"/>
          <w:kern w:val="2"/>
          <w:sz w:val="21"/>
          <w:highlight w:val="none"/>
        </w:rPr>
        <w:t>31</w:t>
      </w:r>
      <w:r>
        <w:rPr>
          <w:rFonts w:hAnsi="宋体" w:cs="宋体"/>
          <w:color w:val="auto"/>
          <w:kern w:val="2"/>
          <w:sz w:val="21"/>
          <w:highlight w:val="none"/>
        </w:rPr>
        <w:t>.3</w:t>
      </w:r>
      <w:r>
        <w:rPr>
          <w:rFonts w:hint="eastAsia" w:hAnsi="宋体" w:cs="宋体"/>
          <w:color w:val="auto"/>
          <w:kern w:val="2"/>
          <w:sz w:val="21"/>
          <w:highlight w:val="none"/>
        </w:rPr>
        <w:t>本磋商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pPr>
        <w:pStyle w:val="12"/>
        <w:spacing w:line="360" w:lineRule="auto"/>
        <w:ind w:firstLine="420" w:firstLineChars="200"/>
        <w:contextualSpacing/>
        <w:rPr>
          <w:rFonts w:hAnsi="宋体"/>
          <w:color w:val="auto"/>
          <w:sz w:val="21"/>
          <w:highlight w:val="none"/>
        </w:rPr>
      </w:pPr>
      <w:r>
        <w:rPr>
          <w:rFonts w:hint="eastAsia" w:hAnsi="宋体"/>
          <w:color w:val="auto"/>
          <w:sz w:val="21"/>
          <w:highlight w:val="none"/>
        </w:rPr>
        <w:t>（1）在货物采购项目中，货物由中小企业制造，即货物由中小企业生产且使用该中小企业商号或者注册商标，不对其中涉及的工程承建商和服务的承接商作出要求；</w:t>
      </w:r>
    </w:p>
    <w:p>
      <w:pPr>
        <w:pStyle w:val="12"/>
        <w:spacing w:line="360" w:lineRule="auto"/>
        <w:ind w:firstLine="420" w:firstLineChars="200"/>
        <w:contextualSpacing/>
        <w:rPr>
          <w:rFonts w:hAnsi="宋体"/>
          <w:color w:val="auto"/>
          <w:sz w:val="21"/>
          <w:highlight w:val="none"/>
        </w:rPr>
      </w:pPr>
      <w:r>
        <w:rPr>
          <w:rFonts w:hint="eastAsia" w:hAnsi="宋体"/>
          <w:color w:val="auto"/>
          <w:sz w:val="21"/>
          <w:highlight w:val="none"/>
        </w:rPr>
        <w:t>（2）在工程采购项目中，工程由中小企业承建，即工程施工单位为中小企业，不对其中涉及的货物的制造商和服务的承接商作出要求；</w:t>
      </w:r>
    </w:p>
    <w:p>
      <w:pPr>
        <w:pStyle w:val="12"/>
        <w:spacing w:line="360" w:lineRule="auto"/>
        <w:ind w:firstLine="420" w:firstLineChars="200"/>
        <w:contextualSpacing/>
        <w:rPr>
          <w:rFonts w:hAnsi="宋体"/>
          <w:color w:val="auto"/>
          <w:sz w:val="21"/>
          <w:highlight w:val="none"/>
        </w:rPr>
      </w:pPr>
      <w:r>
        <w:rPr>
          <w:rFonts w:hint="eastAsia" w:hAnsi="宋体"/>
          <w:color w:val="auto"/>
          <w:sz w:val="21"/>
          <w:highlight w:val="none"/>
        </w:rPr>
        <w:t>（3）在服务采购项目中，服务由中小企业承接，即提供服务的人员为中小企业依照《中华人民共和国劳动合同法》订立劳动合同的从业人员，不对其中涉及的货物的制造商和工程承建商作出要求。</w:t>
      </w:r>
    </w:p>
    <w:p>
      <w:pPr>
        <w:pStyle w:val="12"/>
        <w:spacing w:line="360" w:lineRule="auto"/>
        <w:ind w:firstLine="420" w:firstLineChars="200"/>
        <w:textAlignment w:val="center"/>
        <w:rPr>
          <w:rFonts w:hAnsi="宋体" w:cs="宋体"/>
          <w:color w:val="auto"/>
          <w:kern w:val="2"/>
          <w:sz w:val="21"/>
          <w:highlight w:val="none"/>
        </w:rPr>
      </w:pPr>
      <w:r>
        <w:rPr>
          <w:rFonts w:hint="eastAsia" w:hAnsi="宋体" w:cs="宋体"/>
          <w:color w:val="auto"/>
          <w:kern w:val="2"/>
          <w:sz w:val="21"/>
          <w:highlight w:val="none"/>
        </w:rPr>
        <w:t>在货物采购项目中，供应商提供的货物既有中小企业制造货物，也有大型企业制造货物的，不享受本磋商文件规定的中小企业扶持政策。</w:t>
      </w:r>
    </w:p>
    <w:p>
      <w:pPr>
        <w:jc w:val="left"/>
        <w:rPr>
          <w:rFonts w:hAnsi="宋体"/>
          <w:b/>
          <w:color w:val="auto"/>
          <w:sz w:val="32"/>
          <w:szCs w:val="32"/>
          <w:highlight w:val="none"/>
        </w:rPr>
      </w:pPr>
    </w:p>
    <w:p>
      <w:pPr>
        <w:pStyle w:val="3"/>
        <w:spacing w:line="360" w:lineRule="auto"/>
        <w:jc w:val="center"/>
        <w:rPr>
          <w:color w:val="auto"/>
          <w:highlight w:val="none"/>
        </w:rPr>
      </w:pPr>
      <w:r>
        <w:rPr>
          <w:color w:val="auto"/>
          <w:highlight w:val="none"/>
        </w:rPr>
        <w:br w:type="page"/>
      </w:r>
      <w:r>
        <w:rPr>
          <w:rFonts w:hint="eastAsia"/>
          <w:color w:val="auto"/>
          <w:highlight w:val="none"/>
        </w:rPr>
        <w:t>第三章 采购需求</w:t>
      </w:r>
    </w:p>
    <w:p>
      <w:pPr>
        <w:spacing w:line="440" w:lineRule="exact"/>
        <w:jc w:val="center"/>
        <w:rPr>
          <w:rFonts w:ascii="宋体" w:hAnsi="宋体"/>
          <w:b/>
          <w:color w:val="auto"/>
          <w:sz w:val="32"/>
          <w:szCs w:val="32"/>
          <w:highlight w:val="none"/>
        </w:rPr>
      </w:pPr>
    </w:p>
    <w:p>
      <w:pPr>
        <w:spacing w:line="360" w:lineRule="auto"/>
        <w:jc w:val="left"/>
        <w:rPr>
          <w:rFonts w:ascii="宋体" w:hAnsi="宋体" w:cs="宋体"/>
          <w:b/>
          <w:color w:val="auto"/>
          <w:szCs w:val="21"/>
          <w:highlight w:val="none"/>
        </w:rPr>
      </w:pPr>
      <w:r>
        <w:rPr>
          <w:rFonts w:hint="eastAsia" w:ascii="宋体" w:hAnsi="宋体" w:cs="宋体"/>
          <w:b/>
          <w:color w:val="auto"/>
          <w:szCs w:val="21"/>
          <w:highlight w:val="none"/>
        </w:rPr>
        <w:t>说明：</w:t>
      </w:r>
    </w:p>
    <w:p>
      <w:pPr>
        <w:spacing w:line="360" w:lineRule="exact"/>
        <w:ind w:left="-10" w:leftChars="-5" w:right="2" w:rightChars="1" w:firstLine="422" w:firstLineChars="200"/>
        <w:rPr>
          <w:rFonts w:hAnsi="宋体"/>
          <w:b/>
          <w:bCs/>
          <w:color w:val="auto"/>
          <w:highlight w:val="none"/>
        </w:rPr>
      </w:pPr>
      <w:r>
        <w:rPr>
          <w:rFonts w:hint="eastAsia" w:hAnsi="宋体"/>
          <w:b/>
          <w:bCs/>
          <w:color w:val="auto"/>
          <w:highlight w:val="none"/>
        </w:rPr>
        <w:t>1、采购需求中如出现品牌、型号或者生产厂家等均仅起参考作用，不属于指定品牌、型号或者生产厂家的情形，供应商可参照或者选用其他相当的品牌、型号或者生产供应商替代。但供应商的产品实质上应相当于或优于本需求</w:t>
      </w:r>
      <w:r>
        <w:rPr>
          <w:rFonts w:hAnsi="宋体"/>
          <w:b/>
          <w:bCs/>
          <w:color w:val="auto"/>
          <w:highlight w:val="none"/>
        </w:rPr>
        <w:t>中</w:t>
      </w:r>
      <w:r>
        <w:rPr>
          <w:rFonts w:hint="eastAsia" w:hAnsi="宋体"/>
          <w:b/>
          <w:bCs/>
          <w:color w:val="auto"/>
          <w:highlight w:val="none"/>
        </w:rPr>
        <w:t>的技术要求。</w:t>
      </w:r>
    </w:p>
    <w:p>
      <w:pPr>
        <w:spacing w:line="360" w:lineRule="exact"/>
        <w:ind w:left="-10" w:leftChars="-5" w:right="2" w:rightChars="1" w:firstLine="422" w:firstLineChars="200"/>
        <w:rPr>
          <w:rFonts w:hAnsi="宋体"/>
          <w:b/>
          <w:bCs/>
          <w:color w:val="auto"/>
          <w:highlight w:val="none"/>
        </w:rPr>
      </w:pPr>
      <w:r>
        <w:rPr>
          <w:rFonts w:hint="eastAsia" w:hAnsi="宋体"/>
          <w:b/>
          <w:bCs/>
          <w:color w:val="auto"/>
          <w:highlight w:val="none"/>
        </w:rPr>
        <w:t>2、</w:t>
      </w:r>
      <w:r>
        <w:rPr>
          <w:rFonts w:hAnsi="宋体"/>
          <w:b/>
          <w:bCs/>
          <w:color w:val="auto"/>
          <w:highlight w:val="none"/>
        </w:rPr>
        <w:t>根据《财政部 发展改革委 生态环境部 市场监管总局关于调整优化节能产品、环境标志产品政府采购执行机制的通知》（财库〔2019〕9 号）和《关于印发节能产品政府采购品目清单的通知》（财库〔2019〕19 号）的规定，采购需求</w:t>
      </w:r>
      <w:r>
        <w:rPr>
          <w:rFonts w:hint="eastAsia" w:hAnsi="宋体"/>
          <w:b/>
          <w:bCs/>
          <w:color w:val="auto"/>
          <w:highlight w:val="none"/>
        </w:rPr>
        <w:t>中如有货物产品，且货物</w:t>
      </w:r>
      <w:r>
        <w:rPr>
          <w:rFonts w:hAnsi="宋体"/>
          <w:b/>
          <w:bCs/>
          <w:color w:val="auto"/>
          <w:highlight w:val="none"/>
        </w:rPr>
        <w:t>产品属于节能产品政府采购品目清单内标注“★”的（详见本章后附的节能产品政府采购品目清单），供应商的竞标货物必须使用政府强制采购的节能产品，否则响应文件作无效响应处理。</w:t>
      </w:r>
    </w:p>
    <w:p>
      <w:pPr>
        <w:spacing w:line="360" w:lineRule="exact"/>
        <w:ind w:left="-10" w:leftChars="-5" w:right="2" w:rightChars="1" w:firstLine="422" w:firstLineChars="200"/>
        <w:rPr>
          <w:rFonts w:hAnsi="宋体"/>
          <w:b/>
          <w:bCs/>
          <w:color w:val="auto"/>
          <w:highlight w:val="none"/>
        </w:rPr>
      </w:pPr>
      <w:r>
        <w:rPr>
          <w:rFonts w:hint="eastAsia" w:hAnsi="宋体"/>
          <w:b/>
          <w:bCs/>
          <w:color w:val="auto"/>
          <w:highlight w:val="none"/>
        </w:rPr>
        <w:t>3、如供应商竞标产品存在侵犯他人的知识产权或者专利成果行为的，由供应商自行承担相应法律责任。</w:t>
      </w:r>
    </w:p>
    <w:p>
      <w:pPr>
        <w:spacing w:line="360" w:lineRule="exact"/>
        <w:ind w:left="-10" w:leftChars="-5" w:right="2" w:rightChars="1" w:firstLine="422" w:firstLineChars="200"/>
        <w:rPr>
          <w:rFonts w:hAnsi="宋体"/>
          <w:b/>
          <w:bCs/>
          <w:color w:val="auto"/>
          <w:highlight w:val="none"/>
        </w:rPr>
      </w:pPr>
      <w:r>
        <w:rPr>
          <w:rFonts w:hint="eastAsia" w:hAnsi="宋体"/>
          <w:b/>
          <w:bCs/>
          <w:color w:val="auto"/>
          <w:highlight w:val="none"/>
        </w:rPr>
        <w:t>4、“实质性要求”是指竞争性磋商文件中已经指明不满足则响应无效的条款，或者不能负偏离的条款，或者采购需求中带“▲”的条款。</w:t>
      </w:r>
    </w:p>
    <w:p>
      <w:pPr>
        <w:spacing w:line="360" w:lineRule="exact"/>
        <w:ind w:left="-10" w:leftChars="-5" w:right="2" w:rightChars="1" w:firstLine="422" w:firstLineChars="200"/>
        <w:rPr>
          <w:rFonts w:hAnsi="宋体"/>
          <w:b/>
          <w:bCs/>
          <w:color w:val="auto"/>
          <w:highlight w:val="none"/>
        </w:rPr>
      </w:pPr>
      <w:r>
        <w:rPr>
          <w:rFonts w:hint="eastAsia" w:hAnsi="宋体"/>
          <w:b/>
          <w:bCs/>
          <w:color w:val="auto"/>
          <w:highlight w:val="none"/>
        </w:rPr>
        <w:t>5、供应商应根据自身实际情况如实响应竞争性磋商文件，不得仅将竞争性磋商文件内容简单复制粘贴作为竞标响应，否则将作无效响应处理（定制采购不适用本条款）。</w:t>
      </w:r>
    </w:p>
    <w:p>
      <w:pPr>
        <w:spacing w:line="360" w:lineRule="auto"/>
        <w:jc w:val="left"/>
        <w:rPr>
          <w:rFonts w:ascii="宋体" w:hAnsi="宋体" w:cs="Arial"/>
          <w:bCs/>
          <w:color w:val="auto"/>
          <w:szCs w:val="21"/>
          <w:highlight w:val="none"/>
          <w:u w:val="single"/>
        </w:rPr>
      </w:pPr>
    </w:p>
    <w:p>
      <w:pPr>
        <w:spacing w:line="360" w:lineRule="auto"/>
        <w:ind w:firstLine="310" w:firstLineChars="147"/>
        <w:jc w:val="left"/>
        <w:rPr>
          <w:rFonts w:ascii="宋体" w:hAnsi="宋体" w:cs="Arial"/>
          <w:bCs/>
          <w:color w:val="auto"/>
          <w:szCs w:val="21"/>
          <w:highlight w:val="none"/>
          <w:u w:val="single"/>
        </w:rPr>
      </w:pPr>
      <w:bookmarkStart w:id="39" w:name="_Toc74323459"/>
      <w:r>
        <w:rPr>
          <w:rFonts w:hint="eastAsia" w:ascii="宋体" w:hAnsi="宋体"/>
          <w:b/>
          <w:color w:val="auto"/>
          <w:szCs w:val="21"/>
          <w:highlight w:val="none"/>
        </w:rPr>
        <w:t>包1采购预算：90万元</w:t>
      </w:r>
    </w:p>
    <w:tbl>
      <w:tblPr>
        <w:tblStyle w:val="18"/>
        <w:tblW w:w="98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5"/>
        <w:gridCol w:w="1499"/>
        <w:gridCol w:w="900"/>
        <w:gridCol w:w="750"/>
        <w:gridCol w:w="6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655"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499"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标的名称</w:t>
            </w:r>
          </w:p>
        </w:tc>
        <w:tc>
          <w:tcPr>
            <w:tcW w:w="900"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数量及单位</w:t>
            </w:r>
          </w:p>
        </w:tc>
        <w:tc>
          <w:tcPr>
            <w:tcW w:w="750"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所属</w:t>
            </w:r>
          </w:p>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行业</w:t>
            </w:r>
          </w:p>
        </w:tc>
        <w:tc>
          <w:tcPr>
            <w:tcW w:w="6025"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1499" w:type="dxa"/>
            <w:vAlign w:val="center"/>
          </w:tcPr>
          <w:p>
            <w:pPr>
              <w:spacing w:line="260" w:lineRule="exact"/>
              <w:jc w:val="center"/>
              <w:rPr>
                <w:rFonts w:ascii="宋体" w:hAnsi="宋体" w:cs="宋体"/>
                <w:color w:val="auto"/>
                <w:szCs w:val="21"/>
                <w:highlight w:val="none"/>
              </w:rPr>
            </w:pPr>
            <w:r>
              <w:rPr>
                <w:rFonts w:hint="eastAsia" w:ascii="宋体" w:hAnsi="宋体" w:cs="宋体"/>
                <w:color w:val="auto"/>
                <w:highlight w:val="none"/>
              </w:rPr>
              <w:t>挥发性有机物监测系统、颗粒物组分网第三方运维服务</w:t>
            </w:r>
          </w:p>
        </w:tc>
        <w:tc>
          <w:tcPr>
            <w:tcW w:w="900" w:type="dxa"/>
            <w:vAlign w:val="center"/>
          </w:tcPr>
          <w:p>
            <w:pPr>
              <w:spacing w:line="260" w:lineRule="exact"/>
              <w:jc w:val="center"/>
              <w:rPr>
                <w:rFonts w:ascii="宋体" w:hAnsi="宋体" w:cs="宋体"/>
                <w:color w:val="auto"/>
                <w:szCs w:val="21"/>
                <w:highlight w:val="none"/>
              </w:rPr>
            </w:pPr>
            <w:r>
              <w:rPr>
                <w:rFonts w:hint="eastAsia" w:ascii="宋体" w:hAnsi="宋体" w:cs="宋体"/>
                <w:color w:val="auto"/>
                <w:szCs w:val="21"/>
                <w:highlight w:val="none"/>
              </w:rPr>
              <w:t>1个自动站(系统)</w:t>
            </w:r>
          </w:p>
        </w:tc>
        <w:tc>
          <w:tcPr>
            <w:tcW w:w="750" w:type="dxa"/>
            <w:vAlign w:val="center"/>
          </w:tcPr>
          <w:p>
            <w:pPr>
              <w:spacing w:line="260" w:lineRule="exact"/>
              <w:jc w:val="center"/>
              <w:rPr>
                <w:rFonts w:ascii="宋体" w:hAnsi="宋体" w:cs="宋体"/>
                <w:color w:val="auto"/>
                <w:szCs w:val="21"/>
                <w:highlight w:val="none"/>
              </w:rPr>
            </w:pPr>
            <w:r>
              <w:rPr>
                <w:color w:val="auto"/>
                <w:highlight w:val="none"/>
              </w:rPr>
              <w:t>其他未列明行业。</w:t>
            </w:r>
          </w:p>
        </w:tc>
        <w:tc>
          <w:tcPr>
            <w:tcW w:w="6025" w:type="dxa"/>
            <w:vAlign w:val="center"/>
          </w:tcPr>
          <w:p>
            <w:pPr>
              <w:snapToGrid w:val="0"/>
              <w:rPr>
                <w:rFonts w:ascii="宋体" w:hAnsi="宋体" w:cs="宋体"/>
                <w:b/>
                <w:bCs/>
                <w:color w:val="auto"/>
                <w:szCs w:val="21"/>
                <w:highlight w:val="none"/>
              </w:rPr>
            </w:pPr>
            <w:r>
              <w:rPr>
                <w:rFonts w:hint="eastAsia" w:ascii="宋体" w:hAnsi="宋体" w:cs="宋体"/>
                <w:b/>
                <w:bCs/>
                <w:color w:val="auto"/>
                <w:szCs w:val="21"/>
                <w:highlight w:val="none"/>
              </w:rPr>
              <w:t>1、项目概述</w:t>
            </w:r>
          </w:p>
          <w:p>
            <w:pPr>
              <w:widowControl/>
              <w:adjustRightInd w:val="0"/>
              <w:snapToGrid w:val="0"/>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1.1大气颗粒物组分自动监测及</w:t>
            </w:r>
            <w:r>
              <w:rPr>
                <w:rFonts w:hint="eastAsia" w:ascii="宋体" w:hAnsi="宋体" w:cs="宋体"/>
                <w:b/>
                <w:bCs/>
                <w:color w:val="auto"/>
                <w:kern w:val="0"/>
                <w:sz w:val="22"/>
                <w:highlight w:val="none"/>
                <w:lang w:bidi="ar"/>
              </w:rPr>
              <w:t>挥发性有机物</w:t>
            </w:r>
            <w:r>
              <w:rPr>
                <w:rFonts w:hint="eastAsia" w:ascii="宋体" w:hAnsi="宋体" w:cs="宋体"/>
                <w:b/>
                <w:bCs/>
                <w:color w:val="auto"/>
                <w:kern w:val="0"/>
                <w:sz w:val="22"/>
                <w:highlight w:val="none"/>
                <w:lang w:bidi="ar"/>
              </w:rPr>
              <w:t>在线自动监测</w:t>
            </w:r>
            <w:r>
              <w:rPr>
                <w:rFonts w:hint="eastAsia" w:ascii="宋体" w:hAnsi="宋体" w:cs="宋体"/>
                <w:b/>
                <w:color w:val="auto"/>
                <w:szCs w:val="21"/>
                <w:highlight w:val="none"/>
              </w:rPr>
              <w:t>基本概况</w:t>
            </w:r>
          </w:p>
          <w:p>
            <w:pPr>
              <w:widowControl/>
              <w:adjustRightInd w:val="0"/>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大气颗粒物组分</w:t>
            </w:r>
            <w:r>
              <w:rPr>
                <w:rFonts w:hint="eastAsia" w:ascii="宋体" w:hAnsi="宋体" w:cs="宋体"/>
                <w:bCs/>
                <w:color w:val="auto"/>
                <w:szCs w:val="21"/>
                <w:highlight w:val="none"/>
              </w:rPr>
              <w:t>自动监测</w:t>
            </w:r>
            <w:r>
              <w:rPr>
                <w:rFonts w:hint="eastAsia" w:ascii="宋体" w:hAnsi="宋体" w:cs="宋体"/>
                <w:color w:val="auto"/>
                <w:szCs w:val="21"/>
                <w:highlight w:val="none"/>
              </w:rPr>
              <w:t>和挥发性有机物在线自动监测均为环境空气自动监测，其中大气颗粒物组分自动监测主要监测项目为四部分，分别为：PM2.5颗粒物质量浓度、PM2.5中的水溶性离子、PM2.5中的有机碳/元素碳、PM2.5中的无机元素；挥发性有机物在线自动监测主要监测项目为大气中57种非甲烷烃类（PAMS物质）监测；以及紫外辐射强度等监测。</w:t>
            </w:r>
          </w:p>
          <w:p>
            <w:pPr>
              <w:widowControl/>
              <w:adjustRightInd w:val="0"/>
              <w:snapToGrid w:val="0"/>
              <w:ind w:firstLine="420" w:firstLineChars="200"/>
              <w:jc w:val="left"/>
              <w:rPr>
                <w:rFonts w:ascii="宋体" w:hAnsi="宋体" w:cs="宋体"/>
                <w:bCs/>
                <w:color w:val="auto"/>
                <w:szCs w:val="21"/>
                <w:highlight w:val="none"/>
              </w:rPr>
            </w:pPr>
            <w:r>
              <w:rPr>
                <w:rFonts w:hint="eastAsia" w:ascii="宋体" w:hAnsi="宋体" w:cs="宋体"/>
                <w:color w:val="auto"/>
                <w:szCs w:val="21"/>
                <w:highlight w:val="none"/>
              </w:rPr>
              <w:t>所有仪器设备位于广西南宁市佛子岭路16号广西壮族自治区生态环境厅5楼楼顶。</w:t>
            </w:r>
          </w:p>
          <w:p>
            <w:pPr>
              <w:adjustRightInd w:val="0"/>
              <w:snapToGrid w:val="0"/>
              <w:ind w:firstLine="390" w:firstLineChars="200"/>
              <w:rPr>
                <w:rFonts w:ascii="宋体" w:hAnsi="宋体" w:cs="宋体"/>
                <w:b/>
                <w:color w:val="auto"/>
                <w:spacing w:val="-8"/>
                <w:szCs w:val="21"/>
                <w:highlight w:val="none"/>
              </w:rPr>
            </w:pPr>
            <w:r>
              <w:rPr>
                <w:rFonts w:hint="eastAsia" w:ascii="宋体" w:hAnsi="宋体" w:cs="宋体"/>
                <w:b/>
                <w:color w:val="auto"/>
                <w:spacing w:val="-8"/>
                <w:szCs w:val="21"/>
                <w:highlight w:val="none"/>
              </w:rPr>
              <w:t>1.2运维服务内容概述</w:t>
            </w:r>
          </w:p>
          <w:p>
            <w:pPr>
              <w:widowControl/>
              <w:adjustRightInd w:val="0"/>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主要对1台</w:t>
            </w:r>
            <w:r>
              <w:rPr>
                <w:color w:val="auto"/>
                <w:highlight w:val="none"/>
              </w:rPr>
              <w:t>水溶性离子自动监测仪</w:t>
            </w:r>
            <w:r>
              <w:rPr>
                <w:rFonts w:hint="eastAsia" w:ascii="宋体" w:hAnsi="宋体" w:cs="宋体"/>
                <w:color w:val="auto"/>
                <w:szCs w:val="21"/>
                <w:highlight w:val="none"/>
              </w:rPr>
              <w:t>、1台</w:t>
            </w:r>
            <w:r>
              <w:rPr>
                <w:color w:val="auto"/>
                <w:highlight w:val="none"/>
              </w:rPr>
              <w:t>无机元素自动监测仪</w:t>
            </w:r>
            <w:r>
              <w:rPr>
                <w:rFonts w:hint="eastAsia" w:ascii="宋体" w:hAnsi="宋体" w:cs="宋体"/>
                <w:color w:val="auto"/>
                <w:szCs w:val="21"/>
                <w:highlight w:val="none"/>
              </w:rPr>
              <w:t>、1台</w:t>
            </w:r>
            <w:r>
              <w:rPr>
                <w:color w:val="auto"/>
                <w:highlight w:val="none"/>
              </w:rPr>
              <w:t>有机碳/元素碳自动监测仪</w:t>
            </w:r>
            <w:r>
              <w:rPr>
                <w:rFonts w:hint="eastAsia" w:ascii="宋体" w:hAnsi="宋体" w:cs="宋体"/>
                <w:color w:val="auto"/>
                <w:szCs w:val="21"/>
                <w:highlight w:val="none"/>
              </w:rPr>
              <w:t>、1台</w:t>
            </w:r>
            <w:r>
              <w:rPr>
                <w:color w:val="auto"/>
                <w:highlight w:val="none"/>
              </w:rPr>
              <w:t>PM2.5在线分析仪</w:t>
            </w:r>
            <w:r>
              <w:rPr>
                <w:rFonts w:hint="eastAsia" w:ascii="宋体" w:hAnsi="宋体" w:cs="宋体"/>
                <w:color w:val="auto"/>
                <w:szCs w:val="21"/>
                <w:highlight w:val="none"/>
              </w:rPr>
              <w:t>、1台挥发性有机物在线分析仪、</w:t>
            </w:r>
            <w:r>
              <w:rPr>
                <w:rFonts w:ascii="宋体" w:hAnsi="宋体" w:cs="宋体"/>
                <w:color w:val="auto"/>
                <w:szCs w:val="21"/>
                <w:highlight w:val="none"/>
              </w:rPr>
              <w:t>2</w:t>
            </w:r>
            <w:r>
              <w:rPr>
                <w:rFonts w:hint="eastAsia" w:ascii="宋体" w:hAnsi="宋体" w:cs="宋体"/>
                <w:color w:val="auto"/>
                <w:szCs w:val="21"/>
                <w:highlight w:val="none"/>
              </w:rPr>
              <w:t>台紫外光辐射计日常运行维护（仪器具体型号详见表1），包括监测仪器、辅助设备，其中监测仪器包括分析仪、零气发生器、动态气体校准仪等，辅助设备包括工控机、样品采集系统、数据传输系统、钢瓶气、UPS及供电系统、安全设施等，要求保证各仪器设备正常运行，确保各仪器设备24小时正常运转；</w:t>
            </w:r>
            <w:r>
              <w:rPr>
                <w:rFonts w:hint="eastAsia" w:ascii="宋体" w:hAnsi="宋体" w:cs="宋体"/>
                <w:color w:val="auto"/>
                <w:szCs w:val="21"/>
                <w:highlight w:val="none"/>
              </w:rPr>
              <w:t>对站点的传输网络、</w:t>
            </w:r>
            <w:r>
              <w:rPr>
                <w:color w:val="auto"/>
                <w:highlight w:val="none"/>
              </w:rPr>
              <w:t>数据采集及传输系统</w:t>
            </w:r>
            <w:r>
              <w:rPr>
                <w:rFonts w:hint="eastAsia"/>
                <w:color w:val="auto"/>
                <w:highlight w:val="none"/>
              </w:rPr>
              <w:t>等</w:t>
            </w:r>
            <w:r>
              <w:rPr>
                <w:color w:val="auto"/>
                <w:highlight w:val="none"/>
              </w:rPr>
              <w:t>维护及维修，</w:t>
            </w:r>
            <w:r>
              <w:rPr>
                <w:rFonts w:hint="eastAsia"/>
                <w:color w:val="auto"/>
                <w:highlight w:val="none"/>
              </w:rPr>
              <w:t>保障通讯正常</w:t>
            </w:r>
            <w:r>
              <w:rPr>
                <w:rFonts w:hint="eastAsia" w:ascii="宋体" w:hAnsi="宋体" w:cs="宋体"/>
                <w:color w:val="auto"/>
                <w:szCs w:val="21"/>
                <w:highlight w:val="none"/>
              </w:rPr>
              <w:t>。根据国家、</w:t>
            </w:r>
            <w:r>
              <w:rPr>
                <w:rFonts w:hint="eastAsia" w:ascii="宋体" w:hAnsi="宋体" w:cs="宋体"/>
                <w:color w:val="auto"/>
                <w:szCs w:val="21"/>
                <w:highlight w:val="none"/>
              </w:rPr>
              <w:t>自治区相关要求进行监测数据的日常审核与上报。</w:t>
            </w:r>
          </w:p>
          <w:p>
            <w:pPr>
              <w:adjustRightInd w:val="0"/>
              <w:snapToGrid w:val="0"/>
              <w:ind w:firstLine="420" w:firstLineChars="200"/>
              <w:rPr>
                <w:rFonts w:ascii="宋体" w:hAnsi="宋体" w:cs="宋体"/>
                <w:bCs/>
                <w:color w:val="auto"/>
                <w:szCs w:val="21"/>
                <w:highlight w:val="none"/>
              </w:rPr>
            </w:pPr>
            <w:r>
              <w:rPr>
                <w:rFonts w:hint="eastAsia" w:ascii="宋体" w:hAnsi="宋体" w:cs="宋体"/>
                <w:color w:val="auto"/>
                <w:szCs w:val="21"/>
                <w:highlight w:val="none"/>
              </w:rPr>
              <w:t>运维服务</w:t>
            </w:r>
            <w:r>
              <w:rPr>
                <w:rFonts w:hint="eastAsia" w:ascii="宋体" w:hAnsi="宋体" w:cs="宋体"/>
                <w:bCs/>
                <w:color w:val="auto"/>
                <w:szCs w:val="21"/>
                <w:highlight w:val="none"/>
              </w:rPr>
              <w:t>时间:详见附件1。</w:t>
            </w:r>
          </w:p>
          <w:p>
            <w:pPr>
              <w:widowControl/>
              <w:adjustRightInd w:val="0"/>
              <w:snapToGrid w:val="0"/>
              <w:ind w:firstLine="422" w:firstLineChars="200"/>
              <w:jc w:val="left"/>
              <w:rPr>
                <w:rFonts w:ascii="宋体" w:hAnsi="宋体" w:cs="宋体"/>
                <w:b/>
                <w:bCs/>
                <w:color w:val="auto"/>
                <w:szCs w:val="21"/>
                <w:highlight w:val="none"/>
              </w:rPr>
            </w:pPr>
            <w:r>
              <w:rPr>
                <w:rFonts w:hint="eastAsia" w:ascii="宋体" w:hAnsi="宋体" w:cs="宋体"/>
                <w:b/>
                <w:color w:val="auto"/>
                <w:szCs w:val="21"/>
                <w:highlight w:val="none"/>
              </w:rPr>
              <w:t>▲</w:t>
            </w:r>
            <w:r>
              <w:rPr>
                <w:rFonts w:hint="eastAsia" w:ascii="宋体" w:hAnsi="宋体" w:cs="宋体"/>
                <w:b/>
                <w:bCs/>
                <w:color w:val="auto"/>
                <w:szCs w:val="21"/>
                <w:highlight w:val="none"/>
              </w:rPr>
              <w:t>1.3人员配置要求</w:t>
            </w:r>
          </w:p>
          <w:p>
            <w:pPr>
              <w:widowControl/>
              <w:adjustRightInd w:val="0"/>
              <w:snapToGrid w:val="0"/>
              <w:ind w:firstLine="420" w:firstLineChars="200"/>
              <w:jc w:val="left"/>
              <w:rPr>
                <w:rFonts w:ascii="宋体" w:hAnsi="宋体" w:cs="宋体"/>
                <w:b/>
                <w:bCs/>
                <w:color w:val="auto"/>
                <w:szCs w:val="21"/>
                <w:highlight w:val="none"/>
              </w:rPr>
            </w:pPr>
            <w:r>
              <w:rPr>
                <w:rFonts w:hint="eastAsia" w:ascii="宋体" w:hAnsi="宋体" w:cs="宋体"/>
                <w:color w:val="auto"/>
                <w:szCs w:val="21"/>
                <w:highlight w:val="none"/>
              </w:rPr>
              <w:t>配置技术主管至少1名，现场技术人员至少1名专职进行运维，按时进行监测数据的日常审核与上报。其中现场技术人员需要有一年及以上相关工作经验。 供应商应根据自动监测系统和运维任务对参与运维的人员进行必要的理论和实操培训，使其能够熟练地掌握自动监测系统的运维和质控操作，掌握耗材备件更换及简单的维修工作，并熟练使用数据平台，能够及时判断系统的运行异常并进行相应的重积分和异常数据标识等，建立相应的人员档案，保存人员的培训和考核记录。</w:t>
            </w:r>
          </w:p>
          <w:p>
            <w:pPr>
              <w:widowControl/>
              <w:adjustRightInd w:val="0"/>
              <w:snapToGrid w:val="0"/>
              <w:jc w:val="left"/>
              <w:rPr>
                <w:rFonts w:ascii="宋体" w:hAnsi="宋体" w:cs="宋体"/>
                <w:b/>
                <w:color w:val="auto"/>
                <w:szCs w:val="21"/>
                <w:highlight w:val="none"/>
              </w:rPr>
            </w:pPr>
            <w:r>
              <w:rPr>
                <w:rFonts w:hint="eastAsia" w:ascii="宋体" w:hAnsi="宋体" w:cs="宋体"/>
                <w:b/>
                <w:bCs/>
                <w:color w:val="auto"/>
                <w:szCs w:val="21"/>
                <w:highlight w:val="none"/>
              </w:rPr>
              <w:t>2、运维服务具体内容</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w:t>
            </w:r>
            <w:r>
              <w:rPr>
                <w:rFonts w:hint="eastAsia" w:ascii="宋体" w:hAnsi="宋体" w:cs="宋体"/>
                <w:color w:val="auto"/>
                <w:szCs w:val="21"/>
                <w:highlight w:val="none"/>
              </w:rPr>
              <w:t>大气颗粒物组分</w:t>
            </w:r>
            <w:r>
              <w:rPr>
                <w:rFonts w:hint="eastAsia" w:ascii="宋体" w:hAnsi="宋体" w:cs="宋体"/>
                <w:bCs/>
                <w:color w:val="auto"/>
                <w:szCs w:val="21"/>
                <w:highlight w:val="none"/>
              </w:rPr>
              <w:t>自动监测</w:t>
            </w:r>
            <w:r>
              <w:rPr>
                <w:rFonts w:hint="eastAsia" w:ascii="宋体" w:hAnsi="宋体" w:cs="宋体"/>
                <w:color w:val="auto"/>
                <w:szCs w:val="21"/>
                <w:highlight w:val="none"/>
              </w:rPr>
              <w:t>和挥发性有机物在线自动监测系统的运维管理内容</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2.1.1</w:t>
            </w:r>
            <w:r>
              <w:rPr>
                <w:rFonts w:hint="eastAsia" w:ascii="宋体" w:hAnsi="宋体" w:cs="宋体"/>
                <w:color w:val="auto"/>
                <w:szCs w:val="21"/>
                <w:highlight w:val="none"/>
              </w:rPr>
              <w:t>定期更换仪表所需耗材。</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2.1.2</w:t>
            </w:r>
            <w:r>
              <w:rPr>
                <w:rFonts w:hint="eastAsia" w:ascii="宋体" w:hAnsi="宋体" w:cs="宋体"/>
                <w:color w:val="auto"/>
                <w:szCs w:val="21"/>
                <w:highlight w:val="none"/>
              </w:rPr>
              <w:t>定期更换系统和仪表所需备品备件。</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2.1.3</w:t>
            </w:r>
            <w:r>
              <w:rPr>
                <w:rFonts w:hint="eastAsia" w:ascii="宋体" w:hAnsi="宋体" w:cs="宋体"/>
                <w:color w:val="auto"/>
                <w:szCs w:val="21"/>
                <w:highlight w:val="none"/>
              </w:rPr>
              <w:t xml:space="preserve"> 对系统和仪表进行定期检修、保养。</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2.1.4</w:t>
            </w:r>
            <w:r>
              <w:rPr>
                <w:rFonts w:hint="eastAsia" w:ascii="宋体" w:hAnsi="宋体" w:cs="宋体"/>
                <w:color w:val="auto"/>
                <w:szCs w:val="21"/>
                <w:highlight w:val="none"/>
              </w:rPr>
              <w:t xml:space="preserve"> 及时排除系统和仪表出现的故障。</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2.1.5</w:t>
            </w:r>
            <w:r>
              <w:rPr>
                <w:rFonts w:hint="eastAsia" w:ascii="宋体" w:hAnsi="宋体" w:cs="宋体"/>
                <w:color w:val="auto"/>
                <w:szCs w:val="21"/>
                <w:highlight w:val="none"/>
              </w:rPr>
              <w:t xml:space="preserve"> 对仪表进行定期校准、性能测试。</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2.1.6</w:t>
            </w:r>
            <w:r>
              <w:rPr>
                <w:rFonts w:hint="eastAsia" w:ascii="宋体" w:hAnsi="宋体" w:cs="宋体"/>
                <w:color w:val="auto"/>
                <w:szCs w:val="21"/>
                <w:highlight w:val="none"/>
              </w:rPr>
              <w:t xml:space="preserve"> 配合采购人进行仪器设备的质量保证和质量质控工作。</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w:t>
            </w:r>
            <w:r>
              <w:rPr>
                <w:rFonts w:ascii="宋体" w:hAnsi="宋体" w:cs="宋体"/>
                <w:b/>
                <w:color w:val="auto"/>
                <w:szCs w:val="21"/>
                <w:highlight w:val="none"/>
              </w:rPr>
              <w:t>7</w:t>
            </w:r>
            <w:r>
              <w:rPr>
                <w:rFonts w:hint="eastAsia" w:ascii="宋体" w:hAnsi="宋体" w:cs="宋体"/>
                <w:color w:val="auto"/>
                <w:szCs w:val="21"/>
                <w:highlight w:val="none"/>
              </w:rPr>
              <w:t>对站点</w:t>
            </w:r>
            <w:r>
              <w:rPr>
                <w:color w:val="auto"/>
                <w:highlight w:val="none"/>
              </w:rPr>
              <w:t>数据采集及传输系统的维护及维修，保障通讯正常</w:t>
            </w:r>
            <w:r>
              <w:rPr>
                <w:rFonts w:hint="eastAsia" w:ascii="宋体" w:hAnsi="宋体" w:cs="宋体"/>
                <w:color w:val="auto"/>
                <w:szCs w:val="21"/>
                <w:highlight w:val="none"/>
              </w:rPr>
              <w:t>。</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w:t>
            </w:r>
            <w:r>
              <w:rPr>
                <w:rFonts w:ascii="宋体" w:hAnsi="宋体" w:cs="宋体"/>
                <w:b/>
                <w:color w:val="auto"/>
                <w:szCs w:val="21"/>
                <w:highlight w:val="none"/>
              </w:rPr>
              <w:t>8</w:t>
            </w:r>
            <w:r>
              <w:rPr>
                <w:rFonts w:hint="eastAsia" w:ascii="宋体" w:hAnsi="宋体" w:cs="宋体"/>
                <w:color w:val="auto"/>
                <w:szCs w:val="21"/>
                <w:highlight w:val="none"/>
              </w:rPr>
              <w:t xml:space="preserve"> 随时接受采购人的工作考核及质量考核。</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w:t>
            </w:r>
            <w:r>
              <w:rPr>
                <w:rFonts w:ascii="宋体" w:hAnsi="宋体" w:cs="宋体"/>
                <w:b/>
                <w:color w:val="auto"/>
                <w:szCs w:val="21"/>
                <w:highlight w:val="none"/>
              </w:rPr>
              <w:t>9</w:t>
            </w:r>
            <w:r>
              <w:rPr>
                <w:rFonts w:hint="eastAsia" w:ascii="宋体" w:hAnsi="宋体" w:cs="宋体"/>
                <w:color w:val="auto"/>
                <w:szCs w:val="21"/>
                <w:highlight w:val="none"/>
              </w:rPr>
              <w:t xml:space="preserve"> 保证站房内外清洁，整齐。</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2.1.</w:t>
            </w:r>
            <w:r>
              <w:rPr>
                <w:rFonts w:ascii="宋体" w:hAnsi="宋体" w:cs="宋体"/>
                <w:b/>
                <w:color w:val="auto"/>
                <w:szCs w:val="21"/>
                <w:highlight w:val="none"/>
              </w:rPr>
              <w:t>10</w:t>
            </w:r>
            <w:r>
              <w:rPr>
                <w:rFonts w:hint="eastAsia" w:ascii="宋体" w:hAnsi="宋体" w:cs="宋体"/>
                <w:color w:val="auto"/>
                <w:szCs w:val="21"/>
                <w:highlight w:val="none"/>
              </w:rPr>
              <w:t>所有记录原始表由供应商提供，供应商认真、及时做好维护记录，汇总维护记录，每月15日前将上月所有记录报采购人，作为运行维护考核依据之一，具体包括：</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（1）仪器设备现场维护记录、质控记录等。</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（2）仪器设备故障及排除情况登记表、仪器维修后性能审核记录。</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（3）仪器设备每月运行情况报告。</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（4）仪器设备备品备件使用管理登记表。</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（5）季度运维工作报告。</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 xml:space="preserve">2.2 </w:t>
            </w:r>
            <w:r>
              <w:rPr>
                <w:rFonts w:hint="eastAsia" w:ascii="宋体" w:hAnsi="宋体" w:cs="宋体"/>
                <w:color w:val="auto"/>
                <w:szCs w:val="21"/>
                <w:highlight w:val="none"/>
              </w:rPr>
              <w:t>在运营维护及管理期间，供应商必须遵守国家的有关法律、法规及其他规定，本着为采购人负责的精神，依照规范，科学管理，使监测监控系统运行达到国家及行业颁布的技术标准和采购人要求的考核指标要求；使大气颗粒物组分</w:t>
            </w:r>
            <w:r>
              <w:rPr>
                <w:rFonts w:hint="eastAsia" w:ascii="宋体" w:hAnsi="宋体" w:cs="宋体"/>
                <w:bCs/>
                <w:color w:val="auto"/>
                <w:szCs w:val="21"/>
                <w:highlight w:val="none"/>
              </w:rPr>
              <w:t>自动监测</w:t>
            </w:r>
            <w:r>
              <w:rPr>
                <w:rFonts w:hint="eastAsia" w:ascii="宋体" w:hAnsi="宋体" w:cs="宋体"/>
                <w:color w:val="auto"/>
                <w:szCs w:val="21"/>
                <w:highlight w:val="none"/>
              </w:rPr>
              <w:t>和挥发性有机物在线自动监测系统运行真正发挥其效能和作用。</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kern w:val="36"/>
                <w:szCs w:val="21"/>
                <w:highlight w:val="none"/>
              </w:rPr>
              <w:t>2.3</w:t>
            </w:r>
            <w:r>
              <w:rPr>
                <w:rFonts w:hint="eastAsia" w:ascii="宋体" w:hAnsi="宋体" w:cs="宋体"/>
                <w:color w:val="auto"/>
                <w:kern w:val="36"/>
                <w:szCs w:val="21"/>
                <w:highlight w:val="none"/>
              </w:rPr>
              <w:t xml:space="preserve"> 财产保护：委托运营维护及管理的全部资产（包括全部产权、设备、软件、配套设施、</w:t>
            </w:r>
            <w:r>
              <w:rPr>
                <w:rFonts w:hint="eastAsia" w:ascii="宋体" w:hAnsi="宋体" w:cs="宋体"/>
                <w:color w:val="auto"/>
                <w:szCs w:val="21"/>
                <w:highlight w:val="none"/>
              </w:rPr>
              <w:t>大气颗粒物组分和挥发性有机物在线自动监测</w:t>
            </w:r>
            <w:r>
              <w:rPr>
                <w:rFonts w:hint="eastAsia" w:ascii="宋体" w:hAnsi="宋体" w:cs="宋体"/>
                <w:color w:val="auto"/>
                <w:kern w:val="36"/>
                <w:szCs w:val="21"/>
                <w:highlight w:val="none"/>
              </w:rPr>
              <w:t>系统产生的各类数据信息及相关文档资料）属采购人</w:t>
            </w:r>
            <w:r>
              <w:rPr>
                <w:rFonts w:hint="eastAsia" w:ascii="宋体" w:hAnsi="宋体" w:cs="宋体"/>
                <w:color w:val="auto"/>
                <w:szCs w:val="21"/>
                <w:highlight w:val="none"/>
              </w:rPr>
              <w:t>所有。未经采购人同意，供应商不得以任何方式对各类财产进行出售、抵押或转移。</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2.4</w:t>
            </w:r>
            <w:r>
              <w:rPr>
                <w:rFonts w:hint="eastAsia" w:ascii="宋体" w:hAnsi="宋体" w:cs="宋体"/>
                <w:color w:val="auto"/>
                <w:szCs w:val="21"/>
                <w:highlight w:val="none"/>
              </w:rPr>
              <w:t>做好大气颗粒物组分</w:t>
            </w:r>
            <w:r>
              <w:rPr>
                <w:rFonts w:hint="eastAsia" w:ascii="宋体" w:hAnsi="宋体" w:cs="宋体"/>
                <w:bCs/>
                <w:color w:val="auto"/>
                <w:szCs w:val="21"/>
                <w:highlight w:val="none"/>
              </w:rPr>
              <w:t>自动监测</w:t>
            </w:r>
            <w:r>
              <w:rPr>
                <w:rFonts w:hint="eastAsia" w:ascii="宋体" w:hAnsi="宋体" w:cs="宋体"/>
                <w:color w:val="auto"/>
                <w:szCs w:val="21"/>
                <w:highlight w:val="none"/>
              </w:rPr>
              <w:t>和挥发性有机物在线自动监测系统固定资产的管理、备品配件的登记等工作。</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 xml:space="preserve">2.5 </w:t>
            </w:r>
            <w:r>
              <w:rPr>
                <w:rFonts w:hint="eastAsia" w:ascii="宋体" w:hAnsi="宋体" w:cs="宋体"/>
                <w:color w:val="auto"/>
                <w:szCs w:val="21"/>
                <w:highlight w:val="none"/>
              </w:rPr>
              <w:t>积极参加各类相关技术培训班，加强业务学习，不断提高业务能力和水平；接受采购人的工作考核和质控考核。</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2.6</w:t>
            </w:r>
            <w:r>
              <w:rPr>
                <w:rFonts w:hint="eastAsia" w:ascii="宋体" w:hAnsi="宋体" w:cs="宋体"/>
                <w:color w:val="auto"/>
                <w:szCs w:val="21"/>
                <w:highlight w:val="none"/>
              </w:rPr>
              <w:t>按照国家、自治区大气颗粒物组分监测和挥发性有机物在线自动监测系统相关运维管理要求、仪器操作手册及其他相关技术规范要求对相关仪器设备进行管理。如在合同期间国家或自治区出台新技术规范，按新技术规范要求进行维护管理。</w:t>
            </w:r>
          </w:p>
          <w:p>
            <w:pPr>
              <w:ind w:firstLine="422" w:firstLineChars="200"/>
              <w:rPr>
                <w:rFonts w:ascii="宋体" w:hAnsi="宋体" w:cs="宋体"/>
                <w:color w:val="auto"/>
                <w:szCs w:val="21"/>
                <w:highlight w:val="none"/>
              </w:rPr>
            </w:pPr>
            <w:r>
              <w:rPr>
                <w:rFonts w:hint="eastAsia" w:ascii="宋体" w:hAnsi="宋体" w:cs="宋体"/>
                <w:b/>
                <w:color w:val="auto"/>
                <w:szCs w:val="21"/>
                <w:highlight w:val="none"/>
              </w:rPr>
              <w:t>2.7</w:t>
            </w:r>
            <w:r>
              <w:rPr>
                <w:rFonts w:hint="eastAsia" w:ascii="宋体" w:hAnsi="宋体" w:cs="宋体"/>
                <w:color w:val="auto"/>
                <w:szCs w:val="21"/>
                <w:highlight w:val="none"/>
              </w:rPr>
              <w:t>制定及实施工作计划及质量保证措施。</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b/>
                <w:color w:val="auto"/>
                <w:highlight w:val="none"/>
              </w:rPr>
              <w:t>大气</w:t>
            </w:r>
            <w:r>
              <w:rPr>
                <w:rFonts w:hint="eastAsia" w:ascii="宋体" w:hAnsi="宋体" w:cs="宋体"/>
                <w:b/>
                <w:color w:val="auto"/>
                <w:szCs w:val="21"/>
                <w:highlight w:val="none"/>
              </w:rPr>
              <w:t>颗粒物组分自动监测和挥发性有机物在线自动监测系统及仪表维护内容</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依据国家及自治区相关监测技术规范，开展大气颗粒物组分自动监测和挥发性有机物在线自动监测系统运维。相关技术规范包括但不限于：</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（1）环境空气颗粒物（PM10 和 PM2.5）连续自动监测系统运行和质控技术规范（HJ817-2018）（部分代替HJ-T193-2005）</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（2）《环境空气颗粒物（PM10和PM2.5）连续自动监测系统技术要求及检测方法》(HJ 653-2013)</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（3）《环境空气颗粒物（PM10和PM2.5）采样器技术要求及检测方法》(HJ93-2013)</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（4）《大气颗粒物组分自动监测质量保证与质量控制技术规定（第一版）》（总站气字〔2019〕424号）</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5</w:t>
            </w:r>
            <w:r>
              <w:rPr>
                <w:rFonts w:hint="eastAsia" w:ascii="宋体" w:hAnsi="宋体" w:cs="宋体"/>
                <w:color w:val="auto"/>
                <w:szCs w:val="21"/>
                <w:highlight w:val="none"/>
              </w:rPr>
              <w:t>）《国家环境空气监测网环境空气挥发性有机物连续自动监测质量控制技术规定（试行）》（总站气函〔2019〕785号）</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6</w:t>
            </w:r>
            <w:r>
              <w:rPr>
                <w:rFonts w:hint="eastAsia" w:ascii="宋体" w:hAnsi="宋体" w:cs="宋体"/>
                <w:color w:val="auto"/>
                <w:szCs w:val="21"/>
                <w:highlight w:val="none"/>
              </w:rPr>
              <w:t>）《环境空气挥发性有机物自动监测质控检查方案（试行）》（环办监测函〔2020〕335号）</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（7）关于印发《国家大气颗粒物组分监测网自动监测运维与质控技术要求》的通知（总站气字〔2021〕436号）</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（8）关于印发《环境空气颗粒物有机碳、元素碳连续自动监测技术规定》等3项技术规定的通知（总站气字〔2021〕</w:t>
            </w:r>
            <w:r>
              <w:rPr>
                <w:rFonts w:ascii="宋体" w:hAnsi="宋体" w:cs="宋体"/>
                <w:color w:val="auto"/>
                <w:szCs w:val="21"/>
                <w:highlight w:val="none"/>
              </w:rPr>
              <w:t>558</w:t>
            </w:r>
            <w:r>
              <w:rPr>
                <w:rFonts w:hint="eastAsia" w:ascii="宋体" w:hAnsi="宋体" w:cs="宋体"/>
                <w:color w:val="auto"/>
                <w:szCs w:val="21"/>
                <w:highlight w:val="none"/>
              </w:rPr>
              <w:t>号）</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如国家、自治区出台新的规范或要求，按新规范或要求执行。</w:t>
            </w:r>
          </w:p>
          <w:p>
            <w:pPr>
              <w:adjustRightInd w:val="0"/>
              <w:snapToGrid w:val="0"/>
              <w:ind w:firstLine="422" w:firstLineChars="200"/>
              <w:rPr>
                <w:b/>
                <w:color w:val="auto"/>
                <w:highlight w:val="none"/>
              </w:rPr>
            </w:pPr>
            <w:r>
              <w:rPr>
                <w:rFonts w:hint="eastAsia"/>
                <w:b/>
                <w:color w:val="auto"/>
                <w:highlight w:val="none"/>
              </w:rPr>
              <w:t>3.1</w:t>
            </w:r>
            <w:r>
              <w:rPr>
                <w:b/>
                <w:color w:val="auto"/>
                <w:highlight w:val="none"/>
              </w:rPr>
              <w:t>运行维护要求</w:t>
            </w:r>
          </w:p>
          <w:p>
            <w:pPr>
              <w:adjustRightInd w:val="0"/>
              <w:snapToGrid w:val="0"/>
              <w:ind w:firstLine="420"/>
              <w:rPr>
                <w:rFonts w:ascii="宋体" w:hAnsi="宋体" w:cs="宋体"/>
                <w:color w:val="auto"/>
                <w:szCs w:val="21"/>
                <w:highlight w:val="none"/>
              </w:rPr>
            </w:pPr>
            <w:r>
              <w:rPr>
                <w:rFonts w:hint="eastAsia"/>
                <w:color w:val="auto"/>
                <w:highlight w:val="none"/>
              </w:rPr>
              <w:t>根据</w:t>
            </w:r>
            <w:r>
              <w:rPr>
                <w:rFonts w:hint="eastAsia" w:ascii="宋体" w:hAnsi="宋体" w:cs="宋体"/>
                <w:color w:val="auto"/>
                <w:szCs w:val="21"/>
                <w:highlight w:val="none"/>
              </w:rPr>
              <w:t>《国家大气颗粒物组分监测网自动监测运维与质控技术要求》和《国家环境空气监测网环境空气挥发性有机物连续自动监测质量控制技术规定（试行）》要求开展运行维护。如国家、自治区出台新的规范或要求，按新规范或要求执行。</w:t>
            </w:r>
          </w:p>
          <w:p>
            <w:pPr>
              <w:adjustRightInd w:val="0"/>
              <w:snapToGrid w:val="0"/>
              <w:ind w:firstLine="422" w:firstLineChars="200"/>
              <w:rPr>
                <w:b/>
                <w:color w:val="auto"/>
                <w:highlight w:val="none"/>
              </w:rPr>
            </w:pPr>
            <w:r>
              <w:rPr>
                <w:rFonts w:hint="eastAsia"/>
                <w:b/>
                <w:color w:val="auto"/>
                <w:highlight w:val="none"/>
              </w:rPr>
              <w:t>3</w:t>
            </w:r>
            <w:r>
              <w:rPr>
                <w:b/>
                <w:color w:val="auto"/>
                <w:highlight w:val="none"/>
              </w:rPr>
              <w:t>.1.1水溶性离子自动监测仪日常维护</w:t>
            </w:r>
          </w:p>
          <w:p>
            <w:pPr>
              <w:adjustRightInd w:val="0"/>
              <w:snapToGrid w:val="0"/>
              <w:ind w:firstLine="422" w:firstLineChars="200"/>
              <w:rPr>
                <w:rFonts w:ascii="宋体" w:hAnsi="宋体" w:cs="宋体"/>
                <w:color w:val="auto"/>
                <w:szCs w:val="21"/>
                <w:highlight w:val="none"/>
              </w:rPr>
            </w:pPr>
            <w:r>
              <w:rPr>
                <w:b/>
                <w:color w:val="auto"/>
                <w:highlight w:val="none"/>
              </w:rPr>
              <w:t>3.1.1.1每日监控内容</w:t>
            </w:r>
            <w:r>
              <w:rPr>
                <w:rFonts w:hint="eastAsia"/>
                <w:b/>
                <w:color w:val="auto"/>
                <w:highlight w:val="none"/>
              </w:rPr>
              <w:t>：</w:t>
            </w:r>
            <w:r>
              <w:rPr>
                <w:color w:val="auto"/>
                <w:highlight w:val="none"/>
              </w:rPr>
              <w:t>检查仪器运行状况</w:t>
            </w:r>
            <w:r>
              <w:rPr>
                <w:rFonts w:hint="eastAsia"/>
                <w:color w:val="auto"/>
                <w:highlight w:val="none"/>
              </w:rPr>
              <w:t>，</w:t>
            </w:r>
            <w:r>
              <w:rPr>
                <w:color w:val="auto"/>
                <w:highlight w:val="none"/>
              </w:rPr>
              <w:t>查看仪器采集软件、分析软件</w:t>
            </w:r>
            <w:r>
              <w:rPr>
                <w:rFonts w:hint="eastAsia"/>
                <w:color w:val="auto"/>
                <w:highlight w:val="none"/>
              </w:rPr>
              <w:t>、</w:t>
            </w:r>
            <w:r>
              <w:rPr>
                <w:color w:val="auto"/>
                <w:highlight w:val="none"/>
              </w:rPr>
              <w:t>采集数据</w:t>
            </w:r>
            <w:r>
              <w:rPr>
                <w:rFonts w:hint="eastAsia"/>
                <w:color w:val="auto"/>
                <w:highlight w:val="none"/>
              </w:rPr>
              <w:t>、</w:t>
            </w:r>
            <w:r>
              <w:rPr>
                <w:color w:val="auto"/>
                <w:highlight w:val="none"/>
              </w:rPr>
              <w:t>运行序列</w:t>
            </w:r>
            <w:r>
              <w:rPr>
                <w:rFonts w:hint="eastAsia"/>
                <w:color w:val="auto"/>
                <w:highlight w:val="none"/>
              </w:rPr>
              <w:t>、</w:t>
            </w:r>
            <w:r>
              <w:rPr>
                <w:color w:val="auto"/>
                <w:highlight w:val="none"/>
              </w:rPr>
              <w:t>离子色谱基线</w:t>
            </w:r>
            <w:r>
              <w:rPr>
                <w:rFonts w:hint="eastAsia"/>
                <w:color w:val="auto"/>
                <w:highlight w:val="none"/>
              </w:rPr>
              <w:t>、</w:t>
            </w:r>
            <w:r>
              <w:rPr>
                <w:color w:val="auto"/>
                <w:highlight w:val="none"/>
              </w:rPr>
              <w:t>原始谱图</w:t>
            </w:r>
            <w:r>
              <w:rPr>
                <w:rFonts w:hint="eastAsia"/>
                <w:color w:val="auto"/>
                <w:highlight w:val="none"/>
              </w:rPr>
              <w:t>等是否正常并处理异常情况。</w:t>
            </w:r>
          </w:p>
          <w:p>
            <w:pPr>
              <w:adjustRightInd w:val="0"/>
              <w:snapToGrid w:val="0"/>
              <w:ind w:firstLine="422" w:firstLineChars="200"/>
              <w:rPr>
                <w:color w:val="auto"/>
                <w:highlight w:val="none"/>
              </w:rPr>
            </w:pPr>
            <w:r>
              <w:rPr>
                <w:b/>
                <w:color w:val="auto"/>
                <w:highlight w:val="none"/>
              </w:rPr>
              <w:t>3.1.1.2每周维护内容</w:t>
            </w:r>
            <w:r>
              <w:rPr>
                <w:rFonts w:hint="eastAsia"/>
                <w:b/>
                <w:color w:val="auto"/>
                <w:highlight w:val="none"/>
              </w:rPr>
              <w:t>：</w:t>
            </w:r>
            <w:r>
              <w:rPr>
                <w:color w:val="auto"/>
                <w:highlight w:val="none"/>
              </w:rPr>
              <w:t>现场巡检仪器运行状态</w:t>
            </w:r>
            <w:r>
              <w:rPr>
                <w:rFonts w:hint="eastAsia"/>
                <w:color w:val="auto"/>
                <w:highlight w:val="none"/>
              </w:rPr>
              <w:t>、</w:t>
            </w:r>
            <w:r>
              <w:rPr>
                <w:color w:val="auto"/>
                <w:highlight w:val="none"/>
              </w:rPr>
              <w:t>户外滤水杯</w:t>
            </w:r>
            <w:r>
              <w:rPr>
                <w:rFonts w:hint="eastAsia"/>
                <w:color w:val="auto"/>
                <w:highlight w:val="none"/>
              </w:rPr>
              <w:t>、</w:t>
            </w:r>
            <w:r>
              <w:rPr>
                <w:color w:val="auto"/>
                <w:highlight w:val="none"/>
              </w:rPr>
              <w:t>蒸汽发生器</w:t>
            </w:r>
            <w:r>
              <w:rPr>
                <w:rFonts w:hint="eastAsia"/>
                <w:color w:val="auto"/>
                <w:highlight w:val="none"/>
              </w:rPr>
              <w:t>、</w:t>
            </w:r>
            <w:r>
              <w:rPr>
                <w:color w:val="auto"/>
                <w:highlight w:val="none"/>
              </w:rPr>
              <w:t>样品注射器</w:t>
            </w:r>
            <w:r>
              <w:rPr>
                <w:rFonts w:hint="eastAsia"/>
                <w:color w:val="auto"/>
                <w:highlight w:val="none"/>
              </w:rPr>
              <w:t>、</w:t>
            </w:r>
            <w:r>
              <w:rPr>
                <w:color w:val="auto"/>
                <w:highlight w:val="none"/>
              </w:rPr>
              <w:t>管路</w:t>
            </w:r>
            <w:r>
              <w:rPr>
                <w:rFonts w:hint="eastAsia"/>
                <w:color w:val="auto"/>
                <w:highlight w:val="none"/>
              </w:rPr>
              <w:t>、</w:t>
            </w:r>
            <w:r>
              <w:rPr>
                <w:color w:val="auto"/>
                <w:highlight w:val="none"/>
              </w:rPr>
              <w:t>溶蚀器</w:t>
            </w:r>
            <w:r>
              <w:rPr>
                <w:rFonts w:hint="eastAsia"/>
                <w:color w:val="auto"/>
                <w:highlight w:val="none"/>
              </w:rPr>
              <w:t>、</w:t>
            </w:r>
            <w:r>
              <w:rPr>
                <w:color w:val="auto"/>
                <w:highlight w:val="none"/>
              </w:rPr>
              <w:t>过滤头</w:t>
            </w:r>
            <w:r>
              <w:rPr>
                <w:rFonts w:hint="eastAsia"/>
                <w:color w:val="auto"/>
                <w:highlight w:val="none"/>
              </w:rPr>
              <w:t>、</w:t>
            </w:r>
            <w:r>
              <w:rPr>
                <w:color w:val="auto"/>
                <w:highlight w:val="none"/>
              </w:rPr>
              <w:t>采样泵</w:t>
            </w:r>
            <w:r>
              <w:rPr>
                <w:rFonts w:hint="eastAsia"/>
                <w:color w:val="auto"/>
                <w:highlight w:val="none"/>
              </w:rPr>
              <w:t>、</w:t>
            </w:r>
            <w:r>
              <w:rPr>
                <w:color w:val="auto"/>
                <w:highlight w:val="none"/>
              </w:rPr>
              <w:t>采样和排气管路</w:t>
            </w:r>
            <w:r>
              <w:rPr>
                <w:rFonts w:hint="eastAsia"/>
                <w:color w:val="auto"/>
                <w:highlight w:val="none"/>
              </w:rPr>
              <w:t>、</w:t>
            </w:r>
            <w:r>
              <w:rPr>
                <w:color w:val="auto"/>
                <w:highlight w:val="none"/>
              </w:rPr>
              <w:t>淋洗液液位</w:t>
            </w:r>
            <w:r>
              <w:rPr>
                <w:rFonts w:hint="eastAsia"/>
                <w:color w:val="auto"/>
                <w:highlight w:val="none"/>
              </w:rPr>
              <w:t>、</w:t>
            </w:r>
            <w:r>
              <w:rPr>
                <w:color w:val="auto"/>
                <w:highlight w:val="none"/>
              </w:rPr>
              <w:t>吸收液液位</w:t>
            </w:r>
            <w:r>
              <w:rPr>
                <w:rFonts w:hint="eastAsia"/>
                <w:color w:val="auto"/>
                <w:highlight w:val="none"/>
              </w:rPr>
              <w:t>、</w:t>
            </w:r>
            <w:r>
              <w:rPr>
                <w:color w:val="auto"/>
                <w:highlight w:val="none"/>
              </w:rPr>
              <w:t>废液桶</w:t>
            </w:r>
            <w:r>
              <w:rPr>
                <w:rFonts w:hint="eastAsia"/>
                <w:color w:val="auto"/>
                <w:highlight w:val="none"/>
              </w:rPr>
              <w:t>等是否正常并处理异常情况。</w:t>
            </w:r>
          </w:p>
          <w:p>
            <w:pPr>
              <w:adjustRightInd w:val="0"/>
              <w:snapToGrid w:val="0"/>
              <w:ind w:firstLine="420" w:firstLineChars="200"/>
              <w:rPr>
                <w:color w:val="auto"/>
                <w:highlight w:val="none"/>
              </w:rPr>
            </w:pPr>
            <w:r>
              <w:rPr>
                <w:color w:val="auto"/>
                <w:highlight w:val="none"/>
              </w:rPr>
              <w:t>每周至少更换一次气溶胶过滤头，每两周更换一次气态过滤头</w:t>
            </w:r>
            <w:r>
              <w:rPr>
                <w:rFonts w:hint="eastAsia"/>
                <w:color w:val="auto"/>
                <w:highlight w:val="none"/>
              </w:rPr>
              <w:t>。</w:t>
            </w:r>
          </w:p>
          <w:p>
            <w:pPr>
              <w:adjustRightInd w:val="0"/>
              <w:snapToGrid w:val="0"/>
              <w:ind w:firstLine="422" w:firstLineChars="200"/>
              <w:rPr>
                <w:color w:val="auto"/>
                <w:highlight w:val="none"/>
              </w:rPr>
            </w:pPr>
            <w:r>
              <w:rPr>
                <w:b/>
                <w:color w:val="auto"/>
                <w:highlight w:val="none"/>
              </w:rPr>
              <w:t>3.1.1.3每</w:t>
            </w:r>
            <w:r>
              <w:rPr>
                <w:rFonts w:hint="eastAsia"/>
                <w:b/>
                <w:color w:val="auto"/>
                <w:highlight w:val="none"/>
              </w:rPr>
              <w:t>月</w:t>
            </w:r>
            <w:r>
              <w:rPr>
                <w:b/>
                <w:color w:val="auto"/>
                <w:highlight w:val="none"/>
              </w:rPr>
              <w:t>维护内容</w:t>
            </w:r>
            <w:r>
              <w:rPr>
                <w:rFonts w:hint="eastAsia"/>
                <w:b/>
                <w:color w:val="auto"/>
                <w:highlight w:val="none"/>
              </w:rPr>
              <w:t>：</w:t>
            </w:r>
            <w:r>
              <w:rPr>
                <w:color w:val="auto"/>
                <w:highlight w:val="none"/>
              </w:rPr>
              <w:t>至少清洁一次采样头</w:t>
            </w:r>
            <w:r>
              <w:rPr>
                <w:rFonts w:hint="eastAsia"/>
                <w:color w:val="auto"/>
                <w:highlight w:val="none"/>
              </w:rPr>
              <w:t>、</w:t>
            </w:r>
            <w:r>
              <w:rPr>
                <w:color w:val="auto"/>
                <w:highlight w:val="none"/>
              </w:rPr>
              <w:t>至少进行一次仪器原始数据备份</w:t>
            </w:r>
            <w:r>
              <w:rPr>
                <w:rFonts w:hint="eastAsia"/>
                <w:color w:val="auto"/>
                <w:highlight w:val="none"/>
              </w:rPr>
              <w:t>、</w:t>
            </w:r>
            <w:r>
              <w:rPr>
                <w:color w:val="auto"/>
                <w:highlight w:val="none"/>
              </w:rPr>
              <w:t>根据仪器说明书的要求更换耗材、试剂与配件</w:t>
            </w:r>
            <w:r>
              <w:rPr>
                <w:rFonts w:hint="eastAsia"/>
                <w:color w:val="auto"/>
                <w:highlight w:val="none"/>
              </w:rPr>
              <w:t>。</w:t>
            </w:r>
          </w:p>
          <w:p>
            <w:pPr>
              <w:adjustRightInd w:val="0"/>
              <w:snapToGrid w:val="0"/>
              <w:ind w:firstLine="422" w:firstLineChars="200"/>
              <w:rPr>
                <w:color w:val="auto"/>
                <w:highlight w:val="none"/>
              </w:rPr>
            </w:pPr>
            <w:r>
              <w:rPr>
                <w:b/>
                <w:color w:val="auto"/>
                <w:highlight w:val="none"/>
              </w:rPr>
              <w:t>3.1.1.4每</w:t>
            </w:r>
            <w:r>
              <w:rPr>
                <w:rFonts w:hint="eastAsia"/>
                <w:b/>
                <w:color w:val="auto"/>
                <w:highlight w:val="none"/>
              </w:rPr>
              <w:t>季</w:t>
            </w:r>
            <w:r>
              <w:rPr>
                <w:b/>
                <w:color w:val="auto"/>
                <w:highlight w:val="none"/>
              </w:rPr>
              <w:t>维护内容</w:t>
            </w:r>
            <w:r>
              <w:rPr>
                <w:rFonts w:hint="eastAsia"/>
                <w:b/>
                <w:color w:val="auto"/>
                <w:highlight w:val="none"/>
              </w:rPr>
              <w:t>：</w:t>
            </w:r>
            <w:r>
              <w:rPr>
                <w:color w:val="auto"/>
                <w:highlight w:val="none"/>
              </w:rPr>
              <w:t>采用溶蚀器滤膜的仪器，至少每季度更换一次滤膜。至少清洗一次溶蚀器、蒸汽发生器及前处理内部管路</w:t>
            </w:r>
            <w:r>
              <w:rPr>
                <w:rFonts w:hint="eastAsia"/>
                <w:color w:val="auto"/>
                <w:highlight w:val="none"/>
              </w:rPr>
              <w:t>。</w:t>
            </w:r>
            <w:r>
              <w:rPr>
                <w:color w:val="auto"/>
                <w:highlight w:val="none"/>
              </w:rPr>
              <w:t>根据仪器说明书的要求更换耗材、试剂与配件，如保护柱、 色谱柱过滤片。</w:t>
            </w:r>
          </w:p>
          <w:p>
            <w:pPr>
              <w:adjustRightInd w:val="0"/>
              <w:snapToGrid w:val="0"/>
              <w:ind w:firstLine="422" w:firstLineChars="200"/>
              <w:rPr>
                <w:color w:val="auto"/>
                <w:highlight w:val="none"/>
              </w:rPr>
            </w:pPr>
            <w:r>
              <w:rPr>
                <w:b/>
                <w:color w:val="auto"/>
                <w:highlight w:val="none"/>
              </w:rPr>
              <w:t>3.1.1.5每</w:t>
            </w:r>
            <w:r>
              <w:rPr>
                <w:rFonts w:hint="eastAsia"/>
                <w:b/>
                <w:color w:val="auto"/>
                <w:highlight w:val="none"/>
              </w:rPr>
              <w:t>半年</w:t>
            </w:r>
            <w:r>
              <w:rPr>
                <w:b/>
                <w:color w:val="auto"/>
                <w:highlight w:val="none"/>
              </w:rPr>
              <w:t>维护内容</w:t>
            </w:r>
            <w:r>
              <w:rPr>
                <w:rFonts w:hint="eastAsia"/>
                <w:b/>
                <w:color w:val="auto"/>
                <w:highlight w:val="none"/>
              </w:rPr>
              <w:t>：</w:t>
            </w:r>
            <w:r>
              <w:rPr>
                <w:color w:val="auto"/>
                <w:highlight w:val="none"/>
              </w:rPr>
              <w:t>阴、阳离子保护柱至少每半年更换一次</w:t>
            </w:r>
            <w:r>
              <w:rPr>
                <w:rFonts w:hint="eastAsia"/>
                <w:color w:val="auto"/>
                <w:highlight w:val="none"/>
              </w:rPr>
              <w:t>。</w:t>
            </w:r>
            <w:r>
              <w:rPr>
                <w:color w:val="auto"/>
                <w:highlight w:val="none"/>
              </w:rPr>
              <w:t>更换蠕动泵管和采样泵过滤器。</w:t>
            </w:r>
          </w:p>
          <w:p>
            <w:pPr>
              <w:adjustRightInd w:val="0"/>
              <w:snapToGrid w:val="0"/>
              <w:ind w:firstLine="422" w:firstLineChars="200"/>
              <w:rPr>
                <w:color w:val="auto"/>
                <w:highlight w:val="none"/>
              </w:rPr>
            </w:pPr>
            <w:r>
              <w:rPr>
                <w:b/>
                <w:color w:val="auto"/>
                <w:highlight w:val="none"/>
              </w:rPr>
              <w:t>3.1.1.6</w:t>
            </w:r>
            <w:r>
              <w:rPr>
                <w:rFonts w:hint="eastAsia" w:ascii="宋体" w:hAnsi="宋体" w:cs="宋体"/>
                <w:b/>
                <w:color w:val="auto"/>
                <w:szCs w:val="21"/>
                <w:highlight w:val="none"/>
              </w:rPr>
              <w:t>每年</w:t>
            </w:r>
            <w:r>
              <w:rPr>
                <w:b/>
                <w:color w:val="auto"/>
                <w:highlight w:val="none"/>
              </w:rPr>
              <w:t>维护内容</w:t>
            </w:r>
            <w:r>
              <w:rPr>
                <w:rFonts w:hint="eastAsia"/>
                <w:b/>
                <w:color w:val="auto"/>
                <w:highlight w:val="none"/>
              </w:rPr>
              <w:t>：</w:t>
            </w:r>
            <w:r>
              <w:rPr>
                <w:color w:val="auto"/>
                <w:highlight w:val="none"/>
              </w:rPr>
              <w:t>对仪器进行一次预防性维护，更换整机管路，包括前处理部分和分析主机部分；对采样系统、分析系统进行检查与清洁，更换必 要的耗材与配件。保养后，应对仪器进行全面校准与检查，包括多点核查、重复性、稳定性，以确保仪器在维护前后数据的准确性和可比性。</w:t>
            </w:r>
          </w:p>
          <w:p>
            <w:pPr>
              <w:adjustRightInd w:val="0"/>
              <w:snapToGrid w:val="0"/>
              <w:ind w:firstLine="422" w:firstLineChars="200"/>
              <w:rPr>
                <w:rFonts w:ascii="宋体" w:hAnsi="宋体" w:cs="宋体"/>
                <w:b/>
                <w:color w:val="auto"/>
                <w:szCs w:val="21"/>
                <w:highlight w:val="none"/>
              </w:rPr>
            </w:pPr>
            <w:r>
              <w:rPr>
                <w:rFonts w:hint="eastAsia"/>
                <w:b/>
                <w:color w:val="auto"/>
                <w:highlight w:val="none"/>
              </w:rPr>
              <w:t>3</w:t>
            </w:r>
            <w:r>
              <w:rPr>
                <w:b/>
                <w:color w:val="auto"/>
                <w:highlight w:val="none"/>
              </w:rPr>
              <w:t>.1.2有机碳/元素碳自动监测仪日常维护</w:t>
            </w:r>
          </w:p>
          <w:p>
            <w:pPr>
              <w:adjustRightInd w:val="0"/>
              <w:snapToGrid w:val="0"/>
              <w:ind w:firstLine="422" w:firstLineChars="200"/>
              <w:rPr>
                <w:rFonts w:ascii="宋体" w:hAnsi="宋体" w:cs="宋体"/>
                <w:color w:val="auto"/>
                <w:szCs w:val="21"/>
                <w:highlight w:val="none"/>
              </w:rPr>
            </w:pPr>
            <w:r>
              <w:rPr>
                <w:rFonts w:hint="eastAsia"/>
                <w:b/>
                <w:color w:val="auto"/>
                <w:highlight w:val="none"/>
              </w:rPr>
              <w:t>3</w:t>
            </w:r>
            <w:r>
              <w:rPr>
                <w:b/>
                <w:color w:val="auto"/>
                <w:highlight w:val="none"/>
              </w:rPr>
              <w:t>.1.2.1每日监控内容</w:t>
            </w:r>
            <w:r>
              <w:rPr>
                <w:rFonts w:hint="eastAsia"/>
                <w:b/>
                <w:color w:val="auto"/>
                <w:highlight w:val="none"/>
              </w:rPr>
              <w:t>：</w:t>
            </w:r>
            <w:r>
              <w:rPr>
                <w:color w:val="auto"/>
                <w:highlight w:val="none"/>
              </w:rPr>
              <w:t>检查仪器运行状况</w:t>
            </w:r>
            <w:r>
              <w:rPr>
                <w:rFonts w:hint="eastAsia"/>
                <w:color w:val="auto"/>
                <w:highlight w:val="none"/>
              </w:rPr>
              <w:t>，</w:t>
            </w:r>
            <w:r>
              <w:rPr>
                <w:color w:val="auto"/>
                <w:highlight w:val="none"/>
              </w:rPr>
              <w:t>查看仪器采集软件、分析软件</w:t>
            </w:r>
            <w:r>
              <w:rPr>
                <w:rFonts w:hint="eastAsia"/>
                <w:color w:val="auto"/>
                <w:highlight w:val="none"/>
              </w:rPr>
              <w:t>、</w:t>
            </w:r>
            <w:r>
              <w:rPr>
                <w:color w:val="auto"/>
                <w:highlight w:val="none"/>
              </w:rPr>
              <w:t>采集数据</w:t>
            </w:r>
            <w:r>
              <w:rPr>
                <w:rFonts w:hint="eastAsia"/>
                <w:color w:val="auto"/>
                <w:highlight w:val="none"/>
              </w:rPr>
              <w:t>、分析结果、自动空白结果等是否正常并处理异常情况。</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.1.2.1每周维护内容</w:t>
            </w:r>
            <w:r>
              <w:rPr>
                <w:rFonts w:hint="eastAsia"/>
                <w:b/>
                <w:color w:val="auto"/>
                <w:highlight w:val="none"/>
              </w:rPr>
              <w:t>：</w:t>
            </w:r>
            <w:r>
              <w:rPr>
                <w:color w:val="auto"/>
                <w:highlight w:val="none"/>
              </w:rPr>
              <w:t>现场巡检仪器运行状态</w:t>
            </w:r>
            <w:r>
              <w:rPr>
                <w:rFonts w:hint="eastAsia"/>
                <w:color w:val="auto"/>
                <w:highlight w:val="none"/>
              </w:rPr>
              <w:t>，</w:t>
            </w:r>
            <w:r>
              <w:rPr>
                <w:color w:val="auto"/>
                <w:highlight w:val="none"/>
              </w:rPr>
              <w:t>检查氦气、氦甲烷、氦氧钢瓶</w:t>
            </w:r>
            <w:r>
              <w:rPr>
                <w:rFonts w:hint="eastAsia"/>
                <w:color w:val="auto"/>
                <w:highlight w:val="none"/>
              </w:rPr>
              <w:t>、</w:t>
            </w:r>
            <w:r>
              <w:rPr>
                <w:color w:val="auto"/>
                <w:highlight w:val="none"/>
              </w:rPr>
              <w:t>采样泵</w:t>
            </w:r>
            <w:r>
              <w:rPr>
                <w:rFonts w:hint="eastAsia"/>
                <w:color w:val="auto"/>
                <w:highlight w:val="none"/>
              </w:rPr>
              <w:t>、</w:t>
            </w:r>
            <w:r>
              <w:rPr>
                <w:color w:val="auto"/>
                <w:highlight w:val="none"/>
              </w:rPr>
              <w:t>采样管路、石英炉</w:t>
            </w:r>
            <w:r>
              <w:rPr>
                <w:rFonts w:hint="eastAsia"/>
                <w:color w:val="auto"/>
                <w:highlight w:val="none"/>
              </w:rPr>
              <w:t>、</w:t>
            </w:r>
            <w:r>
              <w:rPr>
                <w:color w:val="auto"/>
                <w:highlight w:val="none"/>
              </w:rPr>
              <w:t>溶蚀器</w:t>
            </w:r>
            <w:r>
              <w:rPr>
                <w:rFonts w:hint="eastAsia"/>
                <w:color w:val="auto"/>
                <w:highlight w:val="none"/>
              </w:rPr>
              <w:t>等是否正常并处理异常情况。</w:t>
            </w:r>
          </w:p>
          <w:p>
            <w:pPr>
              <w:adjustRightInd w:val="0"/>
              <w:snapToGrid w:val="0"/>
              <w:ind w:firstLine="420" w:firstLineChars="200"/>
              <w:rPr>
                <w:color w:val="auto"/>
                <w:highlight w:val="none"/>
              </w:rPr>
            </w:pPr>
            <w:r>
              <w:rPr>
                <w:color w:val="auto"/>
                <w:highlight w:val="none"/>
              </w:rPr>
              <w:t>至少每周更换一次滤膜</w:t>
            </w:r>
            <w:r>
              <w:rPr>
                <w:rFonts w:hint="eastAsia"/>
                <w:color w:val="auto"/>
                <w:highlight w:val="none"/>
              </w:rPr>
              <w:t>。</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.1.2.2每</w:t>
            </w:r>
            <w:r>
              <w:rPr>
                <w:rFonts w:hint="eastAsia"/>
                <w:b/>
                <w:color w:val="auto"/>
                <w:highlight w:val="none"/>
              </w:rPr>
              <w:t>月</w:t>
            </w:r>
            <w:r>
              <w:rPr>
                <w:b/>
                <w:color w:val="auto"/>
                <w:highlight w:val="none"/>
              </w:rPr>
              <w:t>维护内容</w:t>
            </w:r>
            <w:r>
              <w:rPr>
                <w:rFonts w:hint="eastAsia"/>
                <w:b/>
                <w:color w:val="auto"/>
                <w:highlight w:val="none"/>
              </w:rPr>
              <w:t>：</w:t>
            </w:r>
            <w:r>
              <w:rPr>
                <w:color w:val="auto"/>
                <w:highlight w:val="none"/>
              </w:rPr>
              <w:t>至少清洁一次采样头</w:t>
            </w:r>
            <w:r>
              <w:rPr>
                <w:rFonts w:hint="eastAsia"/>
                <w:color w:val="auto"/>
                <w:highlight w:val="none"/>
              </w:rPr>
              <w:t>、</w:t>
            </w:r>
            <w:r>
              <w:rPr>
                <w:color w:val="auto"/>
                <w:highlight w:val="none"/>
              </w:rPr>
              <w:t>至少进行一次仪器原始数据备份</w:t>
            </w:r>
            <w:r>
              <w:rPr>
                <w:rFonts w:hint="eastAsia"/>
                <w:color w:val="auto"/>
                <w:highlight w:val="none"/>
              </w:rPr>
              <w:t>、</w:t>
            </w:r>
            <w:r>
              <w:rPr>
                <w:color w:val="auto"/>
                <w:highlight w:val="none"/>
              </w:rPr>
              <w:t>根据仪器说明书的要求更换耗材、试剂与配件</w:t>
            </w:r>
            <w:r>
              <w:rPr>
                <w:rFonts w:hint="eastAsia"/>
                <w:color w:val="auto"/>
                <w:highlight w:val="none"/>
              </w:rPr>
              <w:t>。</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.1.2.3每</w:t>
            </w:r>
            <w:r>
              <w:rPr>
                <w:rFonts w:hint="eastAsia"/>
                <w:b/>
                <w:color w:val="auto"/>
                <w:highlight w:val="none"/>
              </w:rPr>
              <w:t>季</w:t>
            </w:r>
            <w:r>
              <w:rPr>
                <w:b/>
                <w:color w:val="auto"/>
                <w:highlight w:val="none"/>
              </w:rPr>
              <w:t>维护内容</w:t>
            </w:r>
            <w:r>
              <w:rPr>
                <w:rFonts w:hint="eastAsia"/>
                <w:b/>
                <w:color w:val="auto"/>
                <w:highlight w:val="none"/>
              </w:rPr>
              <w:t>：</w:t>
            </w:r>
            <w:r>
              <w:rPr>
                <w:color w:val="auto"/>
                <w:highlight w:val="none"/>
              </w:rPr>
              <w:t>至少进行一次溶蚀器和采样管路的清洗</w:t>
            </w:r>
            <w:r>
              <w:rPr>
                <w:rFonts w:hint="eastAsia"/>
                <w:color w:val="auto"/>
                <w:highlight w:val="none"/>
              </w:rPr>
              <w:t>，</w:t>
            </w:r>
            <w:r>
              <w:rPr>
                <w:color w:val="auto"/>
                <w:highlight w:val="none"/>
              </w:rPr>
              <w:t>至少更换一次溶蚀器滤膜等配件耗材。</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.1.2.4每</w:t>
            </w:r>
            <w:r>
              <w:rPr>
                <w:rFonts w:hint="eastAsia"/>
                <w:b/>
                <w:color w:val="auto"/>
                <w:highlight w:val="none"/>
              </w:rPr>
              <w:t>半年</w:t>
            </w:r>
            <w:r>
              <w:rPr>
                <w:b/>
                <w:color w:val="auto"/>
                <w:highlight w:val="none"/>
              </w:rPr>
              <w:t>维护内容</w:t>
            </w:r>
            <w:r>
              <w:rPr>
                <w:rFonts w:hint="eastAsia"/>
                <w:b/>
                <w:color w:val="auto"/>
                <w:highlight w:val="none"/>
              </w:rPr>
              <w:t>：</w:t>
            </w:r>
            <w:r>
              <w:rPr>
                <w:color w:val="auto"/>
                <w:highlight w:val="none"/>
              </w:rPr>
              <w:t>每半年清洁氦气、氦氧、氦甲烷和样气电磁阀。</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.1.2.5</w:t>
            </w:r>
            <w:r>
              <w:rPr>
                <w:rFonts w:hint="eastAsia" w:ascii="宋体" w:hAnsi="宋体" w:cs="宋体"/>
                <w:b/>
                <w:color w:val="auto"/>
                <w:szCs w:val="21"/>
                <w:highlight w:val="none"/>
              </w:rPr>
              <w:t>每年</w:t>
            </w:r>
            <w:r>
              <w:rPr>
                <w:b/>
                <w:color w:val="auto"/>
                <w:highlight w:val="none"/>
              </w:rPr>
              <w:t>维护内容</w:t>
            </w:r>
            <w:r>
              <w:rPr>
                <w:rFonts w:hint="eastAsia"/>
                <w:b/>
                <w:color w:val="auto"/>
                <w:highlight w:val="none"/>
              </w:rPr>
              <w:t>：</w:t>
            </w:r>
            <w:r>
              <w:rPr>
                <w:color w:val="auto"/>
                <w:highlight w:val="none"/>
              </w:rPr>
              <w:t>对仪器进行一次预防性维护，对采样系统、分析系统（特别是石英炉）进行检查与清洁，更换石英衬管及必要的耗材与配件。保养后，应对仪器进行全面校准与检查，包括多点核查、重复性、稳定性，以确保仪器在维护前后数据的准确性和可比性。</w:t>
            </w:r>
          </w:p>
          <w:p>
            <w:pPr>
              <w:adjustRightInd w:val="0"/>
              <w:snapToGrid w:val="0"/>
              <w:ind w:firstLine="422" w:firstLineChars="200"/>
              <w:rPr>
                <w:rFonts w:ascii="宋体" w:hAnsi="宋体" w:cs="宋体"/>
                <w:b/>
                <w:color w:val="auto"/>
                <w:szCs w:val="21"/>
                <w:highlight w:val="none"/>
              </w:rPr>
            </w:pPr>
            <w:r>
              <w:rPr>
                <w:rFonts w:hint="eastAsia"/>
                <w:b/>
                <w:color w:val="auto"/>
                <w:highlight w:val="none"/>
              </w:rPr>
              <w:t>3</w:t>
            </w:r>
            <w:r>
              <w:rPr>
                <w:b/>
                <w:color w:val="auto"/>
                <w:highlight w:val="none"/>
              </w:rPr>
              <w:t>.1.3无机元素自动监测仪日常维护</w:t>
            </w:r>
          </w:p>
          <w:p>
            <w:pPr>
              <w:adjustRightInd w:val="0"/>
              <w:snapToGrid w:val="0"/>
              <w:ind w:firstLine="422" w:firstLineChars="200"/>
              <w:rPr>
                <w:rFonts w:ascii="宋体" w:hAnsi="宋体" w:cs="宋体"/>
                <w:color w:val="auto"/>
                <w:szCs w:val="21"/>
                <w:highlight w:val="none"/>
              </w:rPr>
            </w:pPr>
            <w:r>
              <w:rPr>
                <w:rFonts w:hint="eastAsia"/>
                <w:b/>
                <w:color w:val="auto"/>
                <w:highlight w:val="none"/>
              </w:rPr>
              <w:t>3</w:t>
            </w:r>
            <w:r>
              <w:rPr>
                <w:b/>
                <w:color w:val="auto"/>
                <w:highlight w:val="none"/>
              </w:rPr>
              <w:t>.1.3.1每日监控内容</w:t>
            </w:r>
            <w:r>
              <w:rPr>
                <w:rFonts w:hint="eastAsia"/>
                <w:b/>
                <w:color w:val="auto"/>
                <w:highlight w:val="none"/>
              </w:rPr>
              <w:t>：</w:t>
            </w:r>
            <w:r>
              <w:rPr>
                <w:color w:val="auto"/>
                <w:highlight w:val="none"/>
              </w:rPr>
              <w:t>检查仪器运行状况</w:t>
            </w:r>
            <w:r>
              <w:rPr>
                <w:rFonts w:hint="eastAsia"/>
                <w:color w:val="auto"/>
                <w:highlight w:val="none"/>
              </w:rPr>
              <w:t>，</w:t>
            </w:r>
            <w:r>
              <w:rPr>
                <w:color w:val="auto"/>
                <w:highlight w:val="none"/>
              </w:rPr>
              <w:t>查看仪器采集软件、分析软件</w:t>
            </w:r>
            <w:r>
              <w:rPr>
                <w:rFonts w:hint="eastAsia"/>
                <w:color w:val="auto"/>
                <w:highlight w:val="none"/>
              </w:rPr>
              <w:t>、</w:t>
            </w:r>
            <w:r>
              <w:rPr>
                <w:color w:val="auto"/>
                <w:highlight w:val="none"/>
              </w:rPr>
              <w:t>采集数据</w:t>
            </w:r>
            <w:r>
              <w:rPr>
                <w:rFonts w:hint="eastAsia"/>
                <w:color w:val="auto"/>
                <w:highlight w:val="none"/>
              </w:rPr>
              <w:t>、</w:t>
            </w:r>
            <w:r>
              <w:rPr>
                <w:color w:val="auto"/>
                <w:highlight w:val="none"/>
              </w:rPr>
              <w:t>自动质控结果</w:t>
            </w:r>
            <w:r>
              <w:rPr>
                <w:rFonts w:hint="eastAsia"/>
                <w:color w:val="auto"/>
                <w:highlight w:val="none"/>
              </w:rPr>
              <w:t>等是否正常并处理异常情况。</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.1.3.2每周维护内容</w:t>
            </w:r>
            <w:r>
              <w:rPr>
                <w:rFonts w:hint="eastAsia"/>
                <w:b/>
                <w:color w:val="auto"/>
                <w:highlight w:val="none"/>
              </w:rPr>
              <w:t>：</w:t>
            </w:r>
            <w:r>
              <w:rPr>
                <w:color w:val="auto"/>
                <w:highlight w:val="none"/>
              </w:rPr>
              <w:t>现场巡检</w:t>
            </w:r>
            <w:r>
              <w:rPr>
                <w:rFonts w:hint="eastAsia"/>
                <w:color w:val="auto"/>
                <w:highlight w:val="none"/>
              </w:rPr>
              <w:t>，检查</w:t>
            </w:r>
            <w:r>
              <w:rPr>
                <w:color w:val="auto"/>
                <w:highlight w:val="none"/>
              </w:rPr>
              <w:t>仪器运行状态</w:t>
            </w:r>
            <w:r>
              <w:rPr>
                <w:rFonts w:hint="eastAsia"/>
                <w:color w:val="auto"/>
                <w:highlight w:val="none"/>
              </w:rPr>
              <w:t>，</w:t>
            </w:r>
            <w:r>
              <w:rPr>
                <w:color w:val="auto"/>
                <w:highlight w:val="none"/>
              </w:rPr>
              <w:t>检查纸带</w:t>
            </w:r>
            <w:r>
              <w:rPr>
                <w:rFonts w:hint="eastAsia"/>
                <w:color w:val="auto"/>
                <w:highlight w:val="none"/>
              </w:rPr>
              <w:t>、</w:t>
            </w:r>
            <w:r>
              <w:rPr>
                <w:color w:val="auto"/>
                <w:highlight w:val="none"/>
              </w:rPr>
              <w:t>采样斑点</w:t>
            </w:r>
            <w:r>
              <w:rPr>
                <w:rFonts w:hint="eastAsia"/>
                <w:color w:val="auto"/>
                <w:highlight w:val="none"/>
              </w:rPr>
              <w:t>、</w:t>
            </w:r>
            <w:r>
              <w:rPr>
                <w:color w:val="auto"/>
                <w:highlight w:val="none"/>
              </w:rPr>
              <w:t>PM10采样头滤水杯</w:t>
            </w:r>
            <w:r>
              <w:rPr>
                <w:rFonts w:hint="eastAsia"/>
                <w:color w:val="auto"/>
                <w:highlight w:val="none"/>
              </w:rPr>
              <w:t>、</w:t>
            </w:r>
            <w:r>
              <w:rPr>
                <w:color w:val="auto"/>
                <w:highlight w:val="none"/>
              </w:rPr>
              <w:t>风扇滤网</w:t>
            </w:r>
            <w:r>
              <w:rPr>
                <w:rFonts w:hint="eastAsia"/>
                <w:color w:val="auto"/>
                <w:highlight w:val="none"/>
              </w:rPr>
              <w:t>、</w:t>
            </w:r>
            <w:r>
              <w:rPr>
                <w:color w:val="auto"/>
                <w:highlight w:val="none"/>
              </w:rPr>
              <w:t>采样管加热器</w:t>
            </w:r>
            <w:r>
              <w:rPr>
                <w:rFonts w:hint="eastAsia"/>
                <w:color w:val="auto"/>
                <w:highlight w:val="none"/>
              </w:rPr>
              <w:t>、</w:t>
            </w:r>
            <w:r>
              <w:rPr>
                <w:color w:val="auto"/>
                <w:highlight w:val="none"/>
              </w:rPr>
              <w:t>采样泵</w:t>
            </w:r>
            <w:r>
              <w:rPr>
                <w:rFonts w:hint="eastAsia"/>
                <w:color w:val="auto"/>
                <w:highlight w:val="none"/>
              </w:rPr>
              <w:t>等是否正常并处理异常情况。</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.1.3.3每</w:t>
            </w:r>
            <w:r>
              <w:rPr>
                <w:rFonts w:hint="eastAsia"/>
                <w:b/>
                <w:color w:val="auto"/>
                <w:highlight w:val="none"/>
              </w:rPr>
              <w:t>月</w:t>
            </w:r>
            <w:r>
              <w:rPr>
                <w:b/>
                <w:color w:val="auto"/>
                <w:highlight w:val="none"/>
              </w:rPr>
              <w:t>维护内容</w:t>
            </w:r>
            <w:r>
              <w:rPr>
                <w:rFonts w:hint="eastAsia"/>
                <w:b/>
                <w:color w:val="auto"/>
                <w:highlight w:val="none"/>
              </w:rPr>
              <w:t>：</w:t>
            </w:r>
            <w:r>
              <w:rPr>
                <w:color w:val="auto"/>
                <w:highlight w:val="none"/>
              </w:rPr>
              <w:t>清洁仪器散热风扇过滤网</w:t>
            </w:r>
            <w:r>
              <w:rPr>
                <w:rFonts w:hint="eastAsia"/>
                <w:color w:val="auto"/>
                <w:highlight w:val="none"/>
              </w:rPr>
              <w:t>、</w:t>
            </w:r>
            <w:r>
              <w:rPr>
                <w:color w:val="auto"/>
                <w:highlight w:val="none"/>
              </w:rPr>
              <w:t>PM10采样头</w:t>
            </w:r>
            <w:r>
              <w:rPr>
                <w:rFonts w:hint="eastAsia"/>
                <w:color w:val="auto"/>
                <w:highlight w:val="none"/>
              </w:rPr>
              <w:t>、</w:t>
            </w:r>
            <w:r>
              <w:rPr>
                <w:color w:val="auto"/>
                <w:highlight w:val="none"/>
              </w:rPr>
              <w:t>PM2.5旋风分离器</w:t>
            </w:r>
            <w:r>
              <w:rPr>
                <w:rFonts w:hint="eastAsia"/>
                <w:color w:val="auto"/>
                <w:highlight w:val="none"/>
              </w:rPr>
              <w:t>，</w:t>
            </w:r>
            <w:r>
              <w:rPr>
                <w:color w:val="auto"/>
                <w:highlight w:val="none"/>
              </w:rPr>
              <w:t>检查排风管</w:t>
            </w:r>
            <w:r>
              <w:rPr>
                <w:rFonts w:hint="eastAsia"/>
                <w:color w:val="auto"/>
                <w:highlight w:val="none"/>
              </w:rPr>
              <w:t>、</w:t>
            </w:r>
            <w:r>
              <w:rPr>
                <w:color w:val="auto"/>
                <w:highlight w:val="none"/>
              </w:rPr>
              <w:t>过滤器防止堵塞</w:t>
            </w:r>
            <w:r>
              <w:rPr>
                <w:rFonts w:hint="eastAsia"/>
                <w:color w:val="auto"/>
                <w:highlight w:val="none"/>
              </w:rPr>
              <w:t>。</w:t>
            </w:r>
          </w:p>
          <w:p>
            <w:pPr>
              <w:adjustRightInd w:val="0"/>
              <w:snapToGrid w:val="0"/>
              <w:ind w:firstLine="420" w:firstLineChars="200"/>
              <w:rPr>
                <w:color w:val="auto"/>
                <w:highlight w:val="none"/>
              </w:rPr>
            </w:pPr>
            <w:r>
              <w:rPr>
                <w:color w:val="auto"/>
                <w:highlight w:val="none"/>
              </w:rPr>
              <w:t>至少进行一次仪器原始数据备份</w:t>
            </w:r>
            <w:r>
              <w:rPr>
                <w:rFonts w:hint="eastAsia"/>
                <w:color w:val="auto"/>
                <w:highlight w:val="none"/>
              </w:rPr>
              <w:t>，</w:t>
            </w:r>
            <w:r>
              <w:rPr>
                <w:color w:val="auto"/>
                <w:highlight w:val="none"/>
              </w:rPr>
              <w:t>根据仪器说明书的要求更换耗材、试剂与配件</w:t>
            </w:r>
            <w:r>
              <w:rPr>
                <w:rFonts w:hint="eastAsia"/>
                <w:color w:val="auto"/>
                <w:highlight w:val="none"/>
              </w:rPr>
              <w:t>。</w:t>
            </w:r>
          </w:p>
          <w:p>
            <w:pPr>
              <w:adjustRightInd w:val="0"/>
              <w:snapToGrid w:val="0"/>
              <w:ind w:firstLine="422" w:firstLineChars="200"/>
              <w:rPr>
                <w:rFonts w:ascii="宋体" w:hAnsi="宋体" w:cs="宋体"/>
                <w:color w:val="auto"/>
                <w:szCs w:val="21"/>
                <w:highlight w:val="none"/>
              </w:rPr>
            </w:pPr>
            <w:r>
              <w:rPr>
                <w:rFonts w:hint="eastAsia"/>
                <w:b/>
                <w:color w:val="auto"/>
                <w:highlight w:val="none"/>
              </w:rPr>
              <w:t>3</w:t>
            </w:r>
            <w:r>
              <w:rPr>
                <w:b/>
                <w:color w:val="auto"/>
                <w:highlight w:val="none"/>
              </w:rPr>
              <w:t>.1.3.4</w:t>
            </w:r>
            <w:r>
              <w:rPr>
                <w:rFonts w:hint="eastAsia" w:ascii="宋体" w:hAnsi="宋体" w:cs="宋体"/>
                <w:b/>
                <w:color w:val="auto"/>
                <w:szCs w:val="21"/>
                <w:highlight w:val="none"/>
              </w:rPr>
              <w:t>每年</w:t>
            </w:r>
            <w:r>
              <w:rPr>
                <w:b/>
                <w:color w:val="auto"/>
                <w:highlight w:val="none"/>
              </w:rPr>
              <w:t>维护内容</w:t>
            </w:r>
            <w:r>
              <w:rPr>
                <w:rFonts w:hint="eastAsia"/>
                <w:b/>
                <w:color w:val="auto"/>
                <w:highlight w:val="none"/>
              </w:rPr>
              <w:t>：</w:t>
            </w:r>
            <w:r>
              <w:rPr>
                <w:color w:val="auto"/>
                <w:highlight w:val="none"/>
              </w:rPr>
              <w:t>每年对仪器进行一次预防性维护，对采样系统、测量系统进行检查与清洁，更换必要的耗材与配件。保养后，应对仪器进行全面校准与检查，包括膜片核查、重复性、稳定性，以确保仪器在维护前后数据的准确性和可比性。</w:t>
            </w:r>
          </w:p>
          <w:p>
            <w:pPr>
              <w:adjustRightInd w:val="0"/>
              <w:snapToGrid w:val="0"/>
              <w:ind w:firstLine="422" w:firstLineChars="200"/>
              <w:rPr>
                <w:rFonts w:ascii="宋体" w:hAnsi="宋体" w:cs="宋体"/>
                <w:b/>
                <w:color w:val="auto"/>
                <w:szCs w:val="21"/>
                <w:highlight w:val="none"/>
              </w:rPr>
            </w:pPr>
            <w:r>
              <w:rPr>
                <w:rFonts w:hint="eastAsia"/>
                <w:b/>
                <w:color w:val="auto"/>
                <w:highlight w:val="none"/>
              </w:rPr>
              <w:t>3</w:t>
            </w:r>
            <w:r>
              <w:rPr>
                <w:b/>
                <w:color w:val="auto"/>
                <w:highlight w:val="none"/>
              </w:rPr>
              <w:t>.1.4 PM2.5在线分析仪日常维护</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.1.4.1每日监控内容</w:t>
            </w:r>
            <w:r>
              <w:rPr>
                <w:rFonts w:hint="eastAsia"/>
                <w:b/>
                <w:color w:val="auto"/>
                <w:highlight w:val="none"/>
              </w:rPr>
              <w:t>：</w:t>
            </w:r>
            <w:r>
              <w:rPr>
                <w:color w:val="auto"/>
                <w:highlight w:val="none"/>
              </w:rPr>
              <w:t>检查仪器运行状况</w:t>
            </w:r>
            <w:r>
              <w:rPr>
                <w:rFonts w:hint="eastAsia"/>
                <w:color w:val="auto"/>
                <w:highlight w:val="none"/>
              </w:rPr>
              <w:t>，</w:t>
            </w:r>
            <w:r>
              <w:rPr>
                <w:color w:val="auto"/>
                <w:highlight w:val="none"/>
              </w:rPr>
              <w:t>查看仪器采集软件</w:t>
            </w:r>
            <w:r>
              <w:rPr>
                <w:rFonts w:hint="eastAsia"/>
                <w:color w:val="auto"/>
                <w:highlight w:val="none"/>
              </w:rPr>
              <w:t>、</w:t>
            </w:r>
            <w:r>
              <w:rPr>
                <w:color w:val="auto"/>
                <w:highlight w:val="none"/>
              </w:rPr>
              <w:t>采集数据</w:t>
            </w:r>
            <w:r>
              <w:rPr>
                <w:rFonts w:hint="eastAsia"/>
                <w:color w:val="auto"/>
                <w:highlight w:val="none"/>
              </w:rPr>
              <w:t>等是否正常并处理异常情况。</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.1.4.1每周维护内容</w:t>
            </w:r>
            <w:r>
              <w:rPr>
                <w:rFonts w:hint="eastAsia"/>
                <w:b/>
                <w:color w:val="auto"/>
                <w:highlight w:val="none"/>
              </w:rPr>
              <w:t>：</w:t>
            </w:r>
            <w:r>
              <w:rPr>
                <w:color w:val="auto"/>
                <w:highlight w:val="none"/>
              </w:rPr>
              <w:t>现场巡检</w:t>
            </w:r>
            <w:r>
              <w:rPr>
                <w:rFonts w:hint="eastAsia"/>
                <w:color w:val="auto"/>
                <w:highlight w:val="none"/>
              </w:rPr>
              <w:t>，检查</w:t>
            </w:r>
            <w:r>
              <w:rPr>
                <w:color w:val="auto"/>
                <w:highlight w:val="none"/>
              </w:rPr>
              <w:t>仪器运行状态</w:t>
            </w:r>
            <w:r>
              <w:rPr>
                <w:rFonts w:hint="eastAsia"/>
                <w:color w:val="auto"/>
                <w:highlight w:val="none"/>
              </w:rPr>
              <w:t>，</w:t>
            </w:r>
            <w:r>
              <w:rPr>
                <w:color w:val="auto"/>
                <w:highlight w:val="none"/>
              </w:rPr>
              <w:t>检查纸带</w:t>
            </w:r>
            <w:r>
              <w:rPr>
                <w:rFonts w:hint="eastAsia"/>
                <w:color w:val="auto"/>
                <w:highlight w:val="none"/>
              </w:rPr>
              <w:t>、</w:t>
            </w:r>
            <w:r>
              <w:rPr>
                <w:color w:val="auto"/>
                <w:highlight w:val="none"/>
              </w:rPr>
              <w:t>采样斑点</w:t>
            </w:r>
            <w:r>
              <w:rPr>
                <w:rFonts w:hint="eastAsia"/>
                <w:color w:val="auto"/>
                <w:highlight w:val="none"/>
              </w:rPr>
              <w:t>、</w:t>
            </w:r>
            <w:r>
              <w:rPr>
                <w:color w:val="auto"/>
                <w:highlight w:val="none"/>
              </w:rPr>
              <w:t>PM10采样头滤水杯</w:t>
            </w:r>
            <w:r>
              <w:rPr>
                <w:rFonts w:hint="eastAsia"/>
                <w:color w:val="auto"/>
                <w:highlight w:val="none"/>
              </w:rPr>
              <w:t>、</w:t>
            </w:r>
            <w:r>
              <w:rPr>
                <w:color w:val="auto"/>
                <w:highlight w:val="none"/>
              </w:rPr>
              <w:t>风扇滤网</w:t>
            </w:r>
            <w:r>
              <w:rPr>
                <w:rFonts w:hint="eastAsia"/>
                <w:color w:val="auto"/>
                <w:highlight w:val="none"/>
              </w:rPr>
              <w:t>、</w:t>
            </w:r>
            <w:r>
              <w:rPr>
                <w:color w:val="auto"/>
                <w:highlight w:val="none"/>
              </w:rPr>
              <w:t>采样管加热器</w:t>
            </w:r>
            <w:r>
              <w:rPr>
                <w:rFonts w:hint="eastAsia"/>
                <w:color w:val="auto"/>
                <w:highlight w:val="none"/>
              </w:rPr>
              <w:t>、</w:t>
            </w:r>
            <w:r>
              <w:rPr>
                <w:color w:val="auto"/>
                <w:highlight w:val="none"/>
              </w:rPr>
              <w:t>采样泵</w:t>
            </w:r>
            <w:r>
              <w:rPr>
                <w:rFonts w:hint="eastAsia"/>
                <w:color w:val="auto"/>
                <w:highlight w:val="none"/>
              </w:rPr>
              <w:t>等是否正常并处理异常情况。</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.1.4.2每</w:t>
            </w:r>
            <w:r>
              <w:rPr>
                <w:rFonts w:hint="eastAsia"/>
                <w:b/>
                <w:color w:val="auto"/>
                <w:highlight w:val="none"/>
              </w:rPr>
              <w:t>月</w:t>
            </w:r>
            <w:r>
              <w:rPr>
                <w:b/>
                <w:color w:val="auto"/>
                <w:highlight w:val="none"/>
              </w:rPr>
              <w:t>维护内容</w:t>
            </w:r>
            <w:r>
              <w:rPr>
                <w:rFonts w:hint="eastAsia"/>
                <w:b/>
                <w:color w:val="auto"/>
                <w:highlight w:val="none"/>
              </w:rPr>
              <w:t>：</w:t>
            </w:r>
            <w:r>
              <w:rPr>
                <w:color w:val="auto"/>
                <w:highlight w:val="none"/>
              </w:rPr>
              <w:t>清洁仪器散热风扇过滤网</w:t>
            </w:r>
            <w:r>
              <w:rPr>
                <w:rFonts w:hint="eastAsia"/>
                <w:color w:val="auto"/>
                <w:highlight w:val="none"/>
              </w:rPr>
              <w:t>、</w:t>
            </w:r>
            <w:r>
              <w:rPr>
                <w:color w:val="auto"/>
                <w:highlight w:val="none"/>
              </w:rPr>
              <w:t>PM10采样头</w:t>
            </w:r>
            <w:r>
              <w:rPr>
                <w:rFonts w:hint="eastAsia"/>
                <w:color w:val="auto"/>
                <w:highlight w:val="none"/>
              </w:rPr>
              <w:t>、</w:t>
            </w:r>
            <w:r>
              <w:rPr>
                <w:color w:val="auto"/>
                <w:highlight w:val="none"/>
              </w:rPr>
              <w:t>PM2.5旋风分离器</w:t>
            </w:r>
            <w:r>
              <w:rPr>
                <w:rFonts w:hint="eastAsia"/>
                <w:color w:val="auto"/>
                <w:highlight w:val="none"/>
              </w:rPr>
              <w:t>、</w:t>
            </w:r>
            <w:r>
              <w:rPr>
                <w:color w:val="auto"/>
                <w:highlight w:val="none"/>
              </w:rPr>
              <w:t>喷嘴、压环</w:t>
            </w:r>
            <w:r>
              <w:rPr>
                <w:rFonts w:hint="eastAsia"/>
                <w:color w:val="auto"/>
                <w:highlight w:val="none"/>
              </w:rPr>
              <w:t>，检查</w:t>
            </w:r>
            <w:r>
              <w:rPr>
                <w:color w:val="auto"/>
                <w:highlight w:val="none"/>
              </w:rPr>
              <w:t>仪器时钟</w:t>
            </w:r>
            <w:r>
              <w:rPr>
                <w:rFonts w:hint="eastAsia"/>
                <w:color w:val="auto"/>
                <w:highlight w:val="none"/>
              </w:rPr>
              <w:t>、</w:t>
            </w:r>
            <w:r>
              <w:rPr>
                <w:color w:val="auto"/>
                <w:highlight w:val="none"/>
              </w:rPr>
              <w:t>数据</w:t>
            </w:r>
            <w:r>
              <w:rPr>
                <w:rFonts w:hint="eastAsia"/>
                <w:color w:val="auto"/>
                <w:highlight w:val="none"/>
              </w:rPr>
              <w:t>和</w:t>
            </w:r>
            <w:r>
              <w:rPr>
                <w:color w:val="auto"/>
                <w:highlight w:val="none"/>
              </w:rPr>
              <w:t>数据采集仪时钟</w:t>
            </w:r>
            <w:r>
              <w:rPr>
                <w:rFonts w:hint="eastAsia"/>
                <w:color w:val="auto"/>
                <w:highlight w:val="none"/>
              </w:rPr>
              <w:t>、</w:t>
            </w:r>
            <w:r>
              <w:rPr>
                <w:color w:val="auto"/>
                <w:highlight w:val="none"/>
              </w:rPr>
              <w:t>数据</w:t>
            </w:r>
            <w:r>
              <w:rPr>
                <w:rFonts w:hint="eastAsia"/>
                <w:color w:val="auto"/>
                <w:highlight w:val="none"/>
              </w:rPr>
              <w:t>是否一致；</w:t>
            </w:r>
          </w:p>
          <w:p>
            <w:pPr>
              <w:adjustRightInd w:val="0"/>
              <w:snapToGrid w:val="0"/>
              <w:ind w:firstLine="420" w:firstLineChars="200"/>
              <w:rPr>
                <w:color w:val="auto"/>
                <w:highlight w:val="none"/>
              </w:rPr>
            </w:pPr>
            <w:r>
              <w:rPr>
                <w:color w:val="auto"/>
                <w:highlight w:val="none"/>
              </w:rPr>
              <w:t>气路检漏和流量检查</w:t>
            </w:r>
            <w:r>
              <w:rPr>
                <w:rFonts w:hint="eastAsia"/>
                <w:color w:val="auto"/>
                <w:highlight w:val="none"/>
              </w:rPr>
              <w:t>。</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.1.4.3每季度维护内容</w:t>
            </w:r>
            <w:r>
              <w:rPr>
                <w:rFonts w:hint="eastAsia"/>
                <w:b/>
                <w:color w:val="auto"/>
                <w:highlight w:val="none"/>
              </w:rPr>
              <w:t>：</w:t>
            </w:r>
            <w:r>
              <w:rPr>
                <w:color w:val="auto"/>
                <w:highlight w:val="none"/>
              </w:rPr>
              <w:t>检查并清洁内部气体湿度传感器，如有异常，及时进行更换。</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.1.4.4</w:t>
            </w:r>
            <w:r>
              <w:rPr>
                <w:rFonts w:hint="eastAsia" w:ascii="宋体" w:hAnsi="宋体" w:cs="宋体"/>
                <w:b/>
                <w:color w:val="auto"/>
                <w:szCs w:val="21"/>
                <w:highlight w:val="none"/>
              </w:rPr>
              <w:t>每年</w:t>
            </w:r>
            <w:r>
              <w:rPr>
                <w:b/>
                <w:color w:val="auto"/>
                <w:highlight w:val="none"/>
              </w:rPr>
              <w:t>维护内容</w:t>
            </w:r>
            <w:r>
              <w:rPr>
                <w:rFonts w:hint="eastAsia"/>
                <w:b/>
                <w:color w:val="auto"/>
                <w:highlight w:val="none"/>
              </w:rPr>
              <w:t>：</w:t>
            </w:r>
            <w:r>
              <w:rPr>
                <w:color w:val="auto"/>
                <w:highlight w:val="none"/>
              </w:rPr>
              <w:t>每年对仪器进行一次预防性维护，对采样系统、测量系统进行检查与清洁，更换必要的耗材与配件。保养后，应对仪器进行全面校准与检查，包括质量膜片核查、重复性、稳定性，以确保仪器在维护前后数据的准确性和可比性。</w:t>
            </w:r>
          </w:p>
          <w:p>
            <w:pPr>
              <w:adjustRightInd w:val="0"/>
              <w:snapToGrid w:val="0"/>
              <w:ind w:firstLine="422" w:firstLineChars="200"/>
              <w:rPr>
                <w:color w:val="auto"/>
                <w:highlight w:val="none"/>
              </w:rPr>
            </w:pPr>
            <w:r>
              <w:rPr>
                <w:rFonts w:hint="eastAsia"/>
                <w:b/>
                <w:color w:val="auto"/>
                <w:highlight w:val="none"/>
              </w:rPr>
              <w:t>3</w:t>
            </w:r>
            <w:r>
              <w:rPr>
                <w:b/>
                <w:color w:val="auto"/>
                <w:highlight w:val="none"/>
              </w:rPr>
              <w:t xml:space="preserve">.1.5 </w:t>
            </w:r>
            <w:r>
              <w:rPr>
                <w:rFonts w:hint="eastAsia" w:ascii="宋体" w:hAnsi="宋体" w:cs="宋体"/>
                <w:b/>
                <w:color w:val="auto"/>
                <w:szCs w:val="21"/>
                <w:highlight w:val="none"/>
              </w:rPr>
              <w:t>挥发性有机物在线分析仪</w:t>
            </w:r>
          </w:p>
          <w:p>
            <w:pPr>
              <w:adjustRightInd w:val="0"/>
              <w:snapToGrid w:val="0"/>
              <w:ind w:firstLine="422" w:firstLineChars="200"/>
              <w:rPr>
                <w:rFonts w:ascii="宋体" w:hAnsi="宋体" w:cs="宋体"/>
                <w:color w:val="auto"/>
                <w:szCs w:val="21"/>
                <w:highlight w:val="none"/>
              </w:rPr>
            </w:pPr>
            <w:r>
              <w:rPr>
                <w:rFonts w:hint="eastAsia"/>
                <w:b/>
                <w:color w:val="auto"/>
                <w:highlight w:val="none"/>
              </w:rPr>
              <w:t>3</w:t>
            </w:r>
            <w:r>
              <w:rPr>
                <w:b/>
                <w:color w:val="auto"/>
                <w:highlight w:val="none"/>
              </w:rPr>
              <w:t>.1.5.</w:t>
            </w:r>
            <w:r>
              <w:rPr>
                <w:rFonts w:hint="eastAsia"/>
                <w:b/>
                <w:color w:val="auto"/>
                <w:highlight w:val="none"/>
              </w:rPr>
              <w:t>1</w:t>
            </w:r>
            <w:r>
              <w:rPr>
                <w:rFonts w:hint="eastAsia" w:ascii="宋体" w:hAnsi="宋体" w:cs="宋体"/>
                <w:b/>
                <w:color w:val="auto"/>
                <w:szCs w:val="21"/>
                <w:highlight w:val="none"/>
              </w:rPr>
              <w:t>每日维护内容：</w:t>
            </w:r>
            <w:r>
              <w:rPr>
                <w:rFonts w:hint="eastAsia" w:ascii="宋体" w:hAnsi="宋体" w:cs="宋体"/>
                <w:color w:val="auto"/>
                <w:szCs w:val="21"/>
                <w:highlight w:val="none"/>
              </w:rPr>
              <w:t>开展系统状态检查、基线检查、保留时间漂移、质谱检测器内标响应检查、数据标识与重积分、数据审核</w:t>
            </w:r>
            <w:r>
              <w:rPr>
                <w:rFonts w:hint="eastAsia"/>
                <w:color w:val="auto"/>
                <w:highlight w:val="none"/>
              </w:rPr>
              <w:t>等是否正常并处理异常情况。</w:t>
            </w:r>
          </w:p>
          <w:p>
            <w:pPr>
              <w:adjustRightInd w:val="0"/>
              <w:snapToGrid w:val="0"/>
              <w:ind w:firstLine="422" w:firstLineChars="200"/>
              <w:rPr>
                <w:rFonts w:ascii="宋体" w:hAnsi="宋体" w:cs="宋体"/>
                <w:b/>
                <w:color w:val="auto"/>
                <w:szCs w:val="21"/>
                <w:highlight w:val="none"/>
              </w:rPr>
            </w:pPr>
            <w:r>
              <w:rPr>
                <w:rFonts w:hint="eastAsia"/>
                <w:b/>
                <w:color w:val="auto"/>
                <w:highlight w:val="none"/>
              </w:rPr>
              <w:t>3</w:t>
            </w:r>
            <w:r>
              <w:rPr>
                <w:b/>
                <w:color w:val="auto"/>
                <w:highlight w:val="none"/>
              </w:rPr>
              <w:t>.1.5.2</w:t>
            </w:r>
            <w:r>
              <w:rPr>
                <w:rFonts w:hint="eastAsia" w:ascii="宋体" w:hAnsi="宋体" w:cs="宋体"/>
                <w:b/>
                <w:color w:val="auto"/>
                <w:szCs w:val="21"/>
                <w:highlight w:val="none"/>
              </w:rPr>
              <w:t>每周巡检内容：</w:t>
            </w:r>
            <w:r>
              <w:rPr>
                <w:rFonts w:hint="eastAsia" w:ascii="宋体" w:hAnsi="宋体" w:cs="宋体"/>
                <w:color w:val="auto"/>
                <w:szCs w:val="21"/>
                <w:highlight w:val="none"/>
              </w:rPr>
              <w:t>监测站房及辅助设备周巡检，自动监测系统周巡检（包括富集/解析模块参数设置检查，富集/解析模块运行情况检查，气相色谱、检测器参数设置检查，气相色谱、检测器运行情况检查。）</w:t>
            </w:r>
          </w:p>
          <w:p>
            <w:pPr>
              <w:adjustRightInd w:val="0"/>
              <w:snapToGrid w:val="0"/>
              <w:ind w:firstLine="422" w:firstLineChars="200"/>
              <w:rPr>
                <w:b/>
                <w:color w:val="auto"/>
                <w:highlight w:val="none"/>
              </w:rPr>
            </w:pPr>
            <w:r>
              <w:rPr>
                <w:rFonts w:hint="eastAsia"/>
                <w:b/>
                <w:color w:val="auto"/>
                <w:highlight w:val="none"/>
              </w:rPr>
              <w:t>3</w:t>
            </w:r>
            <w:r>
              <w:rPr>
                <w:b/>
                <w:color w:val="auto"/>
                <w:highlight w:val="none"/>
              </w:rPr>
              <w:t>.1.5.3</w:t>
            </w:r>
            <w:r>
              <w:rPr>
                <w:rFonts w:hint="eastAsia"/>
                <w:b/>
                <w:color w:val="auto"/>
                <w:highlight w:val="none"/>
              </w:rPr>
              <w:t>其他维护内容</w:t>
            </w:r>
            <w:r>
              <w:rPr>
                <w:rFonts w:hint="eastAsia"/>
                <w:color w:val="auto"/>
                <w:highlight w:val="none"/>
              </w:rPr>
              <w:t>：按照系统说明书或作业指导书要求定期更换吸附管或捕集柱、阀膜、色谱柱、质谱离子源等重要耗材。</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按照系统说明书或作业指导书要求做好周期性维护，及时清洁气动阀阀芯、散热风扇、火焰离子化检测器、质谱离子源等重要部件，并定期对质谱进行调谐，对检测器进行清理维护、维修、调谐后，应重新建立标准曲线。</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如运行维护涉及对气路上的关键硬件部分进行拆卸、打开，维护操作完成后,应按照系统说明书、作业指导书等要求对系统进行验漏。</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.1.6</w:t>
            </w:r>
            <w:r>
              <w:rPr>
                <w:rFonts w:hint="eastAsia" w:ascii="宋体" w:hAnsi="宋体" w:cs="宋体"/>
                <w:b/>
                <w:color w:val="auto"/>
                <w:szCs w:val="21"/>
                <w:highlight w:val="none"/>
              </w:rPr>
              <w:t>紫外光辐射计</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.1.6.1</w:t>
            </w:r>
            <w:r>
              <w:rPr>
                <w:rFonts w:hint="eastAsia" w:ascii="宋体" w:hAnsi="宋体" w:cs="宋体"/>
                <w:b/>
                <w:color w:val="auto"/>
                <w:szCs w:val="21"/>
                <w:highlight w:val="none"/>
              </w:rPr>
              <w:t>每日维护内容：</w:t>
            </w:r>
          </w:p>
          <w:p>
            <w:pPr>
              <w:adjustRightInd w:val="0"/>
              <w:snapToGrid w:val="0"/>
              <w:ind w:firstLine="420" w:firstLineChars="200"/>
              <w:rPr>
                <w:color w:val="auto"/>
                <w:highlight w:val="none"/>
              </w:rPr>
            </w:pPr>
            <w:r>
              <w:rPr>
                <w:color w:val="auto"/>
                <w:highlight w:val="none"/>
              </w:rPr>
              <w:t>检查仪器运行状况</w:t>
            </w:r>
            <w:r>
              <w:rPr>
                <w:rFonts w:hint="eastAsia"/>
                <w:color w:val="auto"/>
                <w:highlight w:val="none"/>
              </w:rPr>
              <w:t>，</w:t>
            </w:r>
            <w:r>
              <w:rPr>
                <w:color w:val="auto"/>
                <w:highlight w:val="none"/>
              </w:rPr>
              <w:t>查看仪器采集软件</w:t>
            </w:r>
            <w:r>
              <w:rPr>
                <w:rFonts w:hint="eastAsia"/>
                <w:color w:val="auto"/>
                <w:highlight w:val="none"/>
              </w:rPr>
              <w:t>、</w:t>
            </w:r>
            <w:r>
              <w:rPr>
                <w:color w:val="auto"/>
                <w:highlight w:val="none"/>
              </w:rPr>
              <w:t>采集数据</w:t>
            </w:r>
            <w:r>
              <w:rPr>
                <w:rFonts w:hint="eastAsia"/>
                <w:color w:val="auto"/>
                <w:highlight w:val="none"/>
              </w:rPr>
              <w:t>等是否正常并处理异常情况。</w:t>
            </w:r>
          </w:p>
          <w:p>
            <w:pPr>
              <w:adjustRightInd w:val="0"/>
              <w:snapToGrid w:val="0"/>
              <w:ind w:firstLine="420" w:firstLineChars="200"/>
              <w:rPr>
                <w:color w:val="auto"/>
                <w:highlight w:val="none"/>
              </w:rPr>
            </w:pPr>
            <w:r>
              <w:rPr>
                <w:rFonts w:hint="eastAsia"/>
                <w:color w:val="auto"/>
                <w:highlight w:val="none"/>
              </w:rPr>
              <w:t>每天早上进行辐射计圆顶清洁，保持圆顶上没有留下污迹或沉积物。</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.1.6.2</w:t>
            </w:r>
            <w:r>
              <w:rPr>
                <w:rFonts w:hint="eastAsia" w:ascii="宋体" w:hAnsi="宋体" w:cs="宋体"/>
                <w:b/>
                <w:color w:val="auto"/>
                <w:szCs w:val="21"/>
                <w:highlight w:val="none"/>
              </w:rPr>
              <w:t>每周维护内容：</w:t>
            </w:r>
          </w:p>
          <w:p>
            <w:pPr>
              <w:adjustRightInd w:val="0"/>
              <w:snapToGrid w:val="0"/>
              <w:ind w:firstLine="420" w:firstLineChars="200"/>
              <w:rPr>
                <w:color w:val="auto"/>
                <w:highlight w:val="none"/>
              </w:rPr>
            </w:pPr>
            <w:r>
              <w:rPr>
                <w:color w:val="auto"/>
                <w:highlight w:val="none"/>
              </w:rPr>
              <w:t>检查仪器运行状况</w:t>
            </w:r>
            <w:r>
              <w:rPr>
                <w:rFonts w:hint="eastAsia"/>
                <w:color w:val="auto"/>
                <w:highlight w:val="none"/>
              </w:rPr>
              <w:t>，</w:t>
            </w:r>
            <w:r>
              <w:rPr>
                <w:color w:val="auto"/>
                <w:highlight w:val="none"/>
              </w:rPr>
              <w:t>查看仪器采集软件</w:t>
            </w:r>
            <w:r>
              <w:rPr>
                <w:rFonts w:hint="eastAsia"/>
                <w:color w:val="auto"/>
                <w:highlight w:val="none"/>
              </w:rPr>
              <w:t>、</w:t>
            </w:r>
            <w:r>
              <w:rPr>
                <w:color w:val="auto"/>
                <w:highlight w:val="none"/>
              </w:rPr>
              <w:t>采集数据</w:t>
            </w:r>
            <w:r>
              <w:rPr>
                <w:rFonts w:hint="eastAsia"/>
                <w:color w:val="auto"/>
                <w:highlight w:val="none"/>
              </w:rPr>
              <w:t>等是否正常并处理异常情况。</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.1.6.3</w:t>
            </w:r>
            <w:r>
              <w:rPr>
                <w:rFonts w:hint="eastAsia" w:ascii="宋体" w:hAnsi="宋体" w:cs="宋体"/>
                <w:b/>
                <w:color w:val="auto"/>
                <w:szCs w:val="21"/>
                <w:highlight w:val="none"/>
              </w:rPr>
              <w:t>每月巡检内容：</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检查辐射计是否水平，并在必要时进行调整。</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检查遮阳板是否牢固地夹在上。</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.1.6.4</w:t>
            </w:r>
            <w:r>
              <w:rPr>
                <w:rFonts w:hint="eastAsia" w:ascii="宋体" w:hAnsi="宋体" w:cs="宋体"/>
                <w:b/>
                <w:color w:val="auto"/>
                <w:szCs w:val="21"/>
                <w:highlight w:val="none"/>
              </w:rPr>
              <w:t>每年维护内容：</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检查所有电气连接。拧下插头，必要时清洁，然后重新连接。</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检查电缆是否因事故或啮齿动物造成的损坏。</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检查仪器安装件是否牢固。</w:t>
            </w:r>
          </w:p>
          <w:p>
            <w:pPr>
              <w:adjustRightInd w:val="0"/>
              <w:snapToGrid w:val="0"/>
              <w:ind w:firstLine="422" w:firstLineChars="200"/>
              <w:rPr>
                <w:rFonts w:ascii="宋体" w:hAnsi="宋体" w:cs="宋体"/>
                <w:b/>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.1.6.5</w:t>
            </w:r>
            <w:r>
              <w:rPr>
                <w:rFonts w:hint="eastAsia"/>
                <w:b/>
                <w:color w:val="auto"/>
                <w:highlight w:val="none"/>
              </w:rPr>
              <w:t>其他维护内容</w:t>
            </w:r>
            <w:r>
              <w:rPr>
                <w:rFonts w:hint="eastAsia"/>
                <w:color w:val="auto"/>
                <w:highlight w:val="none"/>
              </w:rPr>
              <w:t>：按照说明书或作业指导书要求进行校准、维修等。</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3.1.</w:t>
            </w:r>
            <w:r>
              <w:rPr>
                <w:rFonts w:ascii="宋体" w:hAnsi="宋体" w:cs="宋体"/>
                <w:b/>
                <w:color w:val="auto"/>
                <w:szCs w:val="21"/>
                <w:highlight w:val="none"/>
              </w:rPr>
              <w:t>7</w:t>
            </w:r>
            <w:r>
              <w:rPr>
                <w:rFonts w:hint="eastAsia" w:ascii="宋体" w:hAnsi="宋体" w:cs="宋体"/>
                <w:color w:val="auto"/>
                <w:szCs w:val="21"/>
                <w:highlight w:val="none"/>
              </w:rPr>
              <w:t>每年刻录一张监测数据备份光盘。</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3.1.</w:t>
            </w:r>
            <w:r>
              <w:rPr>
                <w:rFonts w:ascii="宋体" w:hAnsi="宋体" w:cs="宋体"/>
                <w:b/>
                <w:color w:val="auto"/>
                <w:szCs w:val="21"/>
                <w:highlight w:val="none"/>
              </w:rPr>
              <w:t>8</w:t>
            </w:r>
            <w:r>
              <w:rPr>
                <w:rFonts w:hint="eastAsia" w:ascii="宋体" w:hAnsi="宋体" w:cs="宋体"/>
                <w:color w:val="auto"/>
                <w:szCs w:val="21"/>
                <w:highlight w:val="none"/>
              </w:rPr>
              <w:t xml:space="preserve"> 维护计划</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投标单位每月给出下月具体的维护计划、维护时间安排。</w:t>
            </w:r>
          </w:p>
          <w:p>
            <w:pPr>
              <w:adjustRightInd w:val="0"/>
              <w:snapToGrid w:val="0"/>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3.2质量保证与质量控制要求</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3.2.1水溶性离子自动监测仪</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3.2.1.1每周质控：</w:t>
            </w:r>
            <w:r>
              <w:rPr>
                <w:rFonts w:hint="eastAsia" w:ascii="宋体" w:hAnsi="宋体" w:cs="宋体"/>
                <w:color w:val="auto"/>
                <w:szCs w:val="21"/>
                <w:highlight w:val="none"/>
              </w:rPr>
              <w:t>每2周使用去离子水（≥18 MΩ.cm）检查仪器基线与空白响应情况；每周进行一次标准曲线中间浓度点核查。</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3.2.1.2每月质控：</w:t>
            </w:r>
            <w:r>
              <w:rPr>
                <w:rFonts w:hint="eastAsia" w:ascii="宋体" w:hAnsi="宋体" w:cs="宋体"/>
                <w:color w:val="auto"/>
                <w:szCs w:val="21"/>
                <w:highlight w:val="none"/>
              </w:rPr>
              <w:t>至少进行一次采样流量核查，标准曲线校准，环境温度检查或校准，环境气压检查或校准。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3.2.1.3每季度质控：</w:t>
            </w:r>
            <w:r>
              <w:rPr>
                <w:rFonts w:hint="eastAsia" w:ascii="宋体" w:hAnsi="宋体" w:cs="宋体"/>
                <w:color w:val="auto"/>
                <w:szCs w:val="21"/>
                <w:highlight w:val="none"/>
              </w:rPr>
              <w:t>至少进行一次方法检出限测试。</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3.2.2有机碳/元素碳自动监测仪</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3.2.2.1每月质控：</w:t>
            </w:r>
            <w:r>
              <w:rPr>
                <w:rFonts w:hint="eastAsia" w:ascii="宋体" w:hAnsi="宋体" w:cs="宋体"/>
                <w:color w:val="auto"/>
                <w:szCs w:val="21"/>
                <w:highlight w:val="none"/>
              </w:rPr>
              <w:t>每 2 周进行单点核查，至少进行一次采样流量核查，环境温度检查或校准，环境气压检查或校准。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3.2.2.</w:t>
            </w:r>
            <w:r>
              <w:rPr>
                <w:rFonts w:ascii="宋体" w:hAnsi="宋体" w:cs="宋体"/>
                <w:b/>
                <w:color w:val="auto"/>
                <w:szCs w:val="21"/>
                <w:highlight w:val="none"/>
              </w:rPr>
              <w:t>2</w:t>
            </w:r>
            <w:r>
              <w:rPr>
                <w:rFonts w:hint="eastAsia" w:ascii="宋体" w:hAnsi="宋体" w:cs="宋体"/>
                <w:b/>
                <w:color w:val="auto"/>
                <w:szCs w:val="21"/>
                <w:highlight w:val="none"/>
              </w:rPr>
              <w:t>每季度质控：</w:t>
            </w:r>
            <w:r>
              <w:rPr>
                <w:rFonts w:hint="eastAsia" w:ascii="宋体" w:hAnsi="宋体" w:cs="宋体"/>
                <w:color w:val="auto"/>
                <w:szCs w:val="21"/>
                <w:highlight w:val="none"/>
              </w:rPr>
              <w:t>标准曲线校准，全流程空白。</w:t>
            </w:r>
          </w:p>
          <w:p>
            <w:pPr>
              <w:adjustRightInd w:val="0"/>
              <w:snapToGrid w:val="0"/>
              <w:ind w:firstLine="422" w:firstLineChars="200"/>
              <w:rPr>
                <w:color w:val="auto"/>
                <w:highlight w:val="none"/>
              </w:rPr>
            </w:pPr>
            <w:r>
              <w:rPr>
                <w:rFonts w:hint="eastAsia" w:ascii="宋体" w:hAnsi="宋体" w:cs="宋体"/>
                <w:b/>
                <w:color w:val="auto"/>
                <w:szCs w:val="21"/>
                <w:highlight w:val="none"/>
              </w:rPr>
              <w:t>3.2.2.</w:t>
            </w:r>
            <w:r>
              <w:rPr>
                <w:rFonts w:ascii="宋体" w:hAnsi="宋体" w:cs="宋体"/>
                <w:b/>
                <w:color w:val="auto"/>
                <w:szCs w:val="21"/>
                <w:highlight w:val="none"/>
              </w:rPr>
              <w:t>3</w:t>
            </w:r>
            <w:r>
              <w:rPr>
                <w:rFonts w:hint="eastAsia" w:ascii="宋体" w:hAnsi="宋体" w:cs="宋体"/>
                <w:b/>
                <w:color w:val="auto"/>
                <w:szCs w:val="21"/>
                <w:highlight w:val="none"/>
              </w:rPr>
              <w:t>每半年质控</w:t>
            </w:r>
            <w:r>
              <w:rPr>
                <w:rFonts w:hint="eastAsia" w:ascii="宋体" w:hAnsi="宋体" w:cs="宋体"/>
                <w:color w:val="auto"/>
                <w:szCs w:val="21"/>
                <w:highlight w:val="none"/>
              </w:rPr>
              <w:t>：对氦甲烷通道流量进行单点核查；使用参比滤膜分析，检查仪器有机碳 和元素碳的</w:t>
            </w:r>
            <w:r>
              <w:rPr>
                <w:color w:val="auto"/>
                <w:highlight w:val="none"/>
              </w:rPr>
              <w:t>准确度，准确度≤10%。</w:t>
            </w:r>
            <w:r>
              <w:rPr>
                <w:rFonts w:hint="eastAsia"/>
                <w:color w:val="auto"/>
                <w:highlight w:val="none"/>
              </w:rPr>
              <w:t>（</w:t>
            </w:r>
            <w:r>
              <w:rPr>
                <w:color w:val="auto"/>
                <w:highlight w:val="none"/>
              </w:rPr>
              <w:t>如条件许可</w:t>
            </w:r>
            <w:r>
              <w:rPr>
                <w:rFonts w:hint="eastAsia"/>
                <w:color w:val="auto"/>
                <w:highlight w:val="none"/>
              </w:rPr>
              <w:t>）</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3.2.2.</w:t>
            </w:r>
            <w:r>
              <w:rPr>
                <w:rFonts w:ascii="宋体" w:hAnsi="宋体" w:cs="宋体"/>
                <w:b/>
                <w:color w:val="auto"/>
                <w:szCs w:val="21"/>
                <w:highlight w:val="none"/>
              </w:rPr>
              <w:t>4</w:t>
            </w:r>
            <w:r>
              <w:rPr>
                <w:rFonts w:hint="eastAsia" w:ascii="宋体" w:hAnsi="宋体" w:cs="宋体"/>
                <w:b/>
                <w:color w:val="auto"/>
                <w:szCs w:val="21"/>
                <w:highlight w:val="none"/>
              </w:rPr>
              <w:t>每年质控：</w:t>
            </w:r>
            <w:r>
              <w:rPr>
                <w:rFonts w:hint="eastAsia" w:ascii="宋体" w:hAnsi="宋体" w:cs="宋体"/>
                <w:color w:val="auto"/>
                <w:szCs w:val="21"/>
                <w:highlight w:val="none"/>
              </w:rPr>
              <w:t>对氦气、氦甲烷、氦氧通道流量进行多点校准，流量曲线相关系数 R≥0.990。</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3.2.3无机元素自动监测仪</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3.2.3.1每月质控</w:t>
            </w:r>
            <w:r>
              <w:rPr>
                <w:rFonts w:hint="eastAsia" w:ascii="宋体" w:hAnsi="宋体" w:cs="宋体"/>
                <w:color w:val="auto"/>
                <w:szCs w:val="21"/>
                <w:highlight w:val="none"/>
              </w:rPr>
              <w:t>：气路检漏、采样流量核查、环境温度检查或校准、环境气压检查或校准。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3.2.3.2每季度质控</w:t>
            </w:r>
            <w:r>
              <w:rPr>
                <w:rFonts w:hint="eastAsia" w:ascii="宋体" w:hAnsi="宋体" w:cs="宋体"/>
                <w:color w:val="auto"/>
                <w:szCs w:val="21"/>
                <w:highlight w:val="none"/>
              </w:rPr>
              <w:t>：标准膜片检查、线性检查。</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3.2.3.</w:t>
            </w:r>
            <w:r>
              <w:rPr>
                <w:rFonts w:ascii="宋体" w:hAnsi="宋体" w:cs="宋体"/>
                <w:b/>
                <w:color w:val="auto"/>
                <w:szCs w:val="21"/>
                <w:highlight w:val="none"/>
              </w:rPr>
              <w:t>3</w:t>
            </w:r>
            <w:r>
              <w:rPr>
                <w:rFonts w:hint="eastAsia" w:ascii="宋体" w:hAnsi="宋体" w:cs="宋体"/>
                <w:b/>
                <w:color w:val="auto"/>
                <w:szCs w:val="21"/>
                <w:highlight w:val="none"/>
              </w:rPr>
              <w:t>每年质控</w:t>
            </w:r>
            <w:r>
              <w:rPr>
                <w:rFonts w:hint="eastAsia" w:ascii="宋体" w:hAnsi="宋体" w:cs="宋体"/>
                <w:color w:val="auto"/>
                <w:szCs w:val="21"/>
                <w:highlight w:val="none"/>
              </w:rPr>
              <w:t>：至少进行一次全部元素标准膜片核查，测量值与标准值的相对误差应在±10%范围内。</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3.2.4</w:t>
            </w:r>
            <w:r>
              <w:rPr>
                <w:rFonts w:ascii="宋体" w:hAnsi="宋体" w:cs="宋体"/>
                <w:color w:val="auto"/>
                <w:szCs w:val="21"/>
                <w:highlight w:val="none"/>
              </w:rPr>
              <w:t xml:space="preserve"> </w:t>
            </w:r>
            <w:r>
              <w:rPr>
                <w:rFonts w:hint="eastAsia" w:ascii="宋体" w:hAnsi="宋体" w:cs="宋体"/>
                <w:b/>
                <w:color w:val="auto"/>
                <w:szCs w:val="21"/>
                <w:highlight w:val="none"/>
              </w:rPr>
              <w:t>PM2.5在线分析仪</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3.2.4.1每周质控</w:t>
            </w:r>
            <w:r>
              <w:rPr>
                <w:rFonts w:hint="eastAsia" w:ascii="宋体" w:hAnsi="宋体" w:cs="宋体"/>
                <w:color w:val="auto"/>
                <w:szCs w:val="21"/>
                <w:highlight w:val="none"/>
              </w:rPr>
              <w:t>：环境温度检查或校准、环境气压检查或校准。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3.2.4.2每月质控</w:t>
            </w:r>
            <w:r>
              <w:rPr>
                <w:rFonts w:hint="eastAsia" w:ascii="宋体" w:hAnsi="宋体" w:cs="宋体"/>
                <w:color w:val="auto"/>
                <w:szCs w:val="21"/>
                <w:highlight w:val="none"/>
              </w:rPr>
              <w:t>：气路检漏、采样流量核查。</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3.2.4.3每季度质控</w:t>
            </w:r>
            <w:r>
              <w:rPr>
                <w:rFonts w:hint="eastAsia" w:ascii="宋体" w:hAnsi="宋体" w:cs="宋体"/>
                <w:color w:val="auto"/>
                <w:szCs w:val="21"/>
                <w:highlight w:val="none"/>
              </w:rPr>
              <w:t>：进行一次标准膜测试，测量值与标准值的相对误差应在±2%范围内。</w:t>
            </w:r>
          </w:p>
          <w:p>
            <w:pPr>
              <w:adjustRightInd w:val="0"/>
              <w:snapToGrid w:val="0"/>
              <w:ind w:firstLine="420" w:firstLineChars="200"/>
              <w:rPr>
                <w:color w:val="auto"/>
                <w:highlight w:val="none"/>
              </w:rPr>
            </w:pPr>
            <w:r>
              <w:rPr>
                <w:rFonts w:hint="eastAsia" w:ascii="宋体" w:hAnsi="宋体" w:cs="宋体"/>
                <w:color w:val="auto"/>
                <w:szCs w:val="21"/>
                <w:highlight w:val="none"/>
              </w:rPr>
              <w:t>进行一次空白膜测试，测</w:t>
            </w:r>
            <w:r>
              <w:rPr>
                <w:color w:val="auto"/>
                <w:highlight w:val="none"/>
              </w:rPr>
              <w:t>量值与标准值的相对误差应在 ±2%范围内。</w:t>
            </w:r>
          </w:p>
          <w:p>
            <w:pPr>
              <w:adjustRightInd w:val="0"/>
              <w:snapToGrid w:val="0"/>
              <w:ind w:firstLine="422" w:firstLineChars="200"/>
              <w:rPr>
                <w:color w:val="auto"/>
                <w:highlight w:val="none"/>
              </w:rPr>
            </w:pPr>
            <w:r>
              <w:rPr>
                <w:rFonts w:hint="eastAsia" w:ascii="宋体" w:hAnsi="宋体" w:cs="宋体"/>
                <w:b/>
                <w:color w:val="auto"/>
                <w:szCs w:val="21"/>
                <w:highlight w:val="none"/>
              </w:rPr>
              <w:t>3.2.5</w:t>
            </w:r>
            <w:r>
              <w:rPr>
                <w:rFonts w:ascii="宋体" w:hAnsi="宋体" w:cs="宋体"/>
                <w:b/>
                <w:color w:val="auto"/>
                <w:szCs w:val="21"/>
                <w:highlight w:val="none"/>
              </w:rPr>
              <w:t xml:space="preserve"> </w:t>
            </w:r>
            <w:r>
              <w:rPr>
                <w:rFonts w:hint="eastAsia"/>
                <w:b/>
                <w:color w:val="auto"/>
                <w:highlight w:val="none"/>
              </w:rPr>
              <w:t>挥发性有机物自动监测仪器</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3.2.5.1每周质控</w:t>
            </w:r>
            <w:r>
              <w:rPr>
                <w:rFonts w:hint="eastAsia" w:ascii="宋体" w:hAnsi="宋体" w:cs="宋体"/>
                <w:color w:val="auto"/>
                <w:szCs w:val="21"/>
                <w:highlight w:val="none"/>
              </w:rPr>
              <w:t>：每周不低于一次零气空白检查、单点质控检查。</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3.2.5.2每月质控</w:t>
            </w:r>
            <w:r>
              <w:rPr>
                <w:rFonts w:hint="eastAsia" w:ascii="宋体" w:hAnsi="宋体" w:cs="宋体"/>
                <w:color w:val="auto"/>
                <w:szCs w:val="21"/>
                <w:highlight w:val="none"/>
              </w:rPr>
              <w:t>：每月不低于一次采样流量检查</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3.2.5.3每季度质控</w:t>
            </w:r>
            <w:r>
              <w:rPr>
                <w:rFonts w:hint="eastAsia" w:ascii="宋体" w:hAnsi="宋体" w:cs="宋体"/>
                <w:color w:val="auto"/>
                <w:szCs w:val="21"/>
                <w:highlight w:val="none"/>
              </w:rPr>
              <w:t>：标准曲线绘制、验漏检查、温度、压力传感器检查。</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3.2.5.4每年质控</w:t>
            </w:r>
            <w:r>
              <w:rPr>
                <w:rFonts w:hint="eastAsia" w:ascii="宋体" w:hAnsi="宋体" w:cs="宋体"/>
                <w:color w:val="auto"/>
                <w:szCs w:val="21"/>
                <w:highlight w:val="none"/>
              </w:rPr>
              <w:t>：每年对系统、辅助设备、校准或配气设备等开展预防性维护，对关键零部件进行拆卸清洁和保养，必要时进行更换。预防性维护后系统应进行全面质控检查。</w:t>
            </w:r>
          </w:p>
          <w:p>
            <w:pPr>
              <w:adjustRightInd w:val="0"/>
              <w:snapToGrid w:val="0"/>
              <w:ind w:firstLine="420" w:firstLineChars="200"/>
              <w:rPr>
                <w:rFonts w:ascii="宋体" w:hAnsi="宋体" w:cs="宋体"/>
                <w:color w:val="auto"/>
                <w:szCs w:val="21"/>
                <w:highlight w:val="none"/>
              </w:rPr>
            </w:pPr>
            <w:r>
              <w:rPr>
                <w:rFonts w:ascii="宋体" w:hAnsi="宋体" w:cs="宋体"/>
                <w:color w:val="auto"/>
                <w:szCs w:val="21"/>
                <w:highlight w:val="none"/>
              </w:rPr>
              <w:t>每年进行一次目标化合物测试</w:t>
            </w:r>
            <w:r>
              <w:rPr>
                <w:rFonts w:hint="eastAsia" w:ascii="宋体" w:hAnsi="宋体" w:cs="宋体"/>
                <w:color w:val="auto"/>
                <w:szCs w:val="21"/>
                <w:highlight w:val="none"/>
              </w:rPr>
              <w:t>，</w:t>
            </w:r>
            <w:r>
              <w:rPr>
                <w:rFonts w:ascii="宋体" w:hAnsi="宋体" w:cs="宋体"/>
                <w:color w:val="auto"/>
                <w:szCs w:val="21"/>
                <w:highlight w:val="none"/>
              </w:rPr>
              <w:t>目标化合物名录测试考核指标主要包括空白检查、标准曲线、方法检出限和测定下限、分离度、期间精密度和准确度等。</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3.3 运行状态监控</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▲3.3.1</w:t>
            </w:r>
            <w:r>
              <w:rPr>
                <w:rFonts w:hint="eastAsia" w:ascii="宋体" w:hAnsi="宋体" w:cs="宋体"/>
                <w:color w:val="auto"/>
                <w:szCs w:val="21"/>
                <w:highlight w:val="none"/>
              </w:rPr>
              <w:t xml:space="preserve"> 早上8:00—晚上23:00，专人负责通过数据平台对监测仪器状态实施监控。监控时段内仪器故障发现时间不得超过2小时，非监控时段内仪器故障发现时间不得晚于次日8:30。</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3.3.2</w:t>
            </w:r>
            <w:r>
              <w:rPr>
                <w:rFonts w:hint="eastAsia" w:ascii="宋体" w:hAnsi="宋体" w:cs="宋体"/>
                <w:color w:val="auto"/>
                <w:szCs w:val="21"/>
                <w:highlight w:val="none"/>
              </w:rPr>
              <w:t xml:space="preserve"> 发现数据异常、仪器故障后须及时通知立即派人现场处理。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w:t>
            </w:r>
            <w:r>
              <w:rPr>
                <w:rFonts w:ascii="宋体" w:hAnsi="宋体" w:cs="宋体"/>
                <w:b/>
                <w:color w:val="auto"/>
                <w:szCs w:val="21"/>
                <w:highlight w:val="none"/>
              </w:rPr>
              <w:t>.</w:t>
            </w:r>
            <w:r>
              <w:rPr>
                <w:rFonts w:hint="eastAsia" w:ascii="宋体" w:hAnsi="宋体" w:cs="宋体"/>
                <w:b/>
                <w:color w:val="auto"/>
                <w:szCs w:val="21"/>
                <w:highlight w:val="none"/>
              </w:rPr>
              <w:t>3</w:t>
            </w:r>
            <w:r>
              <w:rPr>
                <w:rFonts w:ascii="宋体" w:hAnsi="宋体" w:cs="宋体"/>
                <w:b/>
                <w:color w:val="auto"/>
                <w:szCs w:val="21"/>
                <w:highlight w:val="none"/>
              </w:rPr>
              <w:t>.3</w:t>
            </w:r>
            <w:r>
              <w:rPr>
                <w:rFonts w:ascii="宋体" w:hAnsi="宋体" w:cs="宋体"/>
                <w:color w:val="auto"/>
                <w:szCs w:val="21"/>
                <w:highlight w:val="none"/>
              </w:rPr>
              <w:t xml:space="preserve"> </w:t>
            </w:r>
            <w:r>
              <w:rPr>
                <w:rFonts w:hint="eastAsia" w:ascii="宋体" w:hAnsi="宋体" w:cs="宋体"/>
                <w:color w:val="auto"/>
                <w:szCs w:val="21"/>
                <w:highlight w:val="none"/>
              </w:rPr>
              <w:t>负责监测设备与区中心及总站数据联网；根据国家及自治区要求，按时对监测数据审核，并完成报告编写及数据报送工作。</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w:t>
            </w:r>
            <w:r>
              <w:rPr>
                <w:rFonts w:hint="eastAsia" w:ascii="宋体" w:hAnsi="宋体" w:cs="宋体"/>
                <w:color w:val="auto"/>
                <w:szCs w:val="21"/>
                <w:highlight w:val="none"/>
              </w:rPr>
              <w:t xml:space="preserve"> </w:t>
            </w:r>
            <w:r>
              <w:rPr>
                <w:rFonts w:hint="eastAsia" w:ascii="宋体" w:hAnsi="宋体" w:cs="宋体"/>
                <w:b/>
                <w:color w:val="auto"/>
                <w:szCs w:val="21"/>
                <w:highlight w:val="none"/>
              </w:rPr>
              <w:t>系统故障维修</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▲3.4.1</w:t>
            </w:r>
            <w:r>
              <w:rPr>
                <w:rFonts w:hint="eastAsia" w:ascii="宋体" w:hAnsi="宋体" w:cs="宋体"/>
                <w:color w:val="auto"/>
                <w:szCs w:val="21"/>
                <w:highlight w:val="none"/>
              </w:rPr>
              <w:t>仪器、设备出现故障，必须获得故障通知后1小时内到现场对故障进行处理。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3.4.2</w:t>
            </w:r>
            <w:r>
              <w:rPr>
                <w:rFonts w:hint="eastAsia" w:ascii="宋体" w:hAnsi="宋体" w:cs="宋体"/>
                <w:color w:val="auto"/>
                <w:szCs w:val="21"/>
                <w:highlight w:val="none"/>
              </w:rPr>
              <w:t>重大、系统性故障无法修复，确需对系统或构成系统的某台或几台仪器、设备进行整体更换才能恢复系统正常运行时，供应商须及时报告，提出解决方案并形成书面材料呈报采购人。</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3.4.3</w:t>
            </w:r>
            <w:r>
              <w:rPr>
                <w:rFonts w:hint="eastAsia" w:ascii="宋体" w:hAnsi="宋体" w:cs="宋体"/>
                <w:color w:val="auto"/>
                <w:szCs w:val="21"/>
                <w:highlight w:val="none"/>
              </w:rPr>
              <w:t>维修、更换主要部件或者清洗过光学平台的监测仪器须进行准确度检查和精密度检查确认正常后才能恢复报数使用。</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3.4.4</w:t>
            </w:r>
            <w:r>
              <w:rPr>
                <w:rFonts w:hint="eastAsia" w:ascii="宋体" w:hAnsi="宋体" w:cs="宋体"/>
                <w:color w:val="auto"/>
                <w:szCs w:val="21"/>
                <w:highlight w:val="none"/>
              </w:rPr>
              <w:t>仪器、设备故障维修按照最有利于系统正常运行原则，供应商负责仪器维修；对造成故障的零配件、部件需要更换的，所涉及配件费用由供应商负责。</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3.4.5</w:t>
            </w:r>
            <w:r>
              <w:rPr>
                <w:rFonts w:hint="eastAsia" w:ascii="宋体" w:hAnsi="宋体" w:cs="宋体"/>
                <w:color w:val="auto"/>
                <w:szCs w:val="21"/>
                <w:highlight w:val="none"/>
              </w:rPr>
              <w:t>如故障严重供应商无法维修的，应在出现故障五日内书面报告采购方并返厂维修。</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3.4.6</w:t>
            </w:r>
            <w:r>
              <w:rPr>
                <w:rFonts w:hint="eastAsia" w:ascii="宋体" w:hAnsi="宋体" w:cs="宋体"/>
                <w:color w:val="auto"/>
                <w:szCs w:val="21"/>
                <w:highlight w:val="none"/>
              </w:rPr>
              <w:t>供应商应配备上网卡，保障各仪器数据传输正常。</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3.5</w:t>
            </w:r>
            <w:r>
              <w:rPr>
                <w:rFonts w:hint="eastAsia" w:ascii="宋体" w:hAnsi="宋体" w:cs="宋体"/>
                <w:color w:val="auto"/>
                <w:szCs w:val="21"/>
                <w:highlight w:val="none"/>
              </w:rPr>
              <w:t xml:space="preserve"> </w:t>
            </w:r>
            <w:r>
              <w:rPr>
                <w:rFonts w:hint="eastAsia" w:ascii="宋体" w:hAnsi="宋体" w:cs="宋体"/>
                <w:b/>
                <w:color w:val="auto"/>
                <w:szCs w:val="21"/>
                <w:highlight w:val="none"/>
              </w:rPr>
              <w:t>系统耗材更换</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3.5.1</w:t>
            </w:r>
            <w:r>
              <w:rPr>
                <w:rFonts w:hint="eastAsia" w:ascii="宋体" w:hAnsi="宋体" w:cs="宋体"/>
                <w:color w:val="auto"/>
                <w:szCs w:val="21"/>
                <w:highlight w:val="none"/>
              </w:rPr>
              <w:t>系统耗材由供应商自行采购并更换，供应商提前做好耗材更换计划，并定期检查耗材配件库存情况。</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3.5.2</w:t>
            </w:r>
            <w:r>
              <w:rPr>
                <w:rFonts w:hint="eastAsia" w:ascii="宋体" w:hAnsi="宋体" w:cs="宋体"/>
                <w:color w:val="auto"/>
                <w:szCs w:val="21"/>
                <w:highlight w:val="none"/>
              </w:rPr>
              <w:t>系统耗材更换的项目严格按仪器使用说明书及国家相关规定进行，做好耗材使用记录。</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3.6 内部管理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3.6.1</w:t>
            </w:r>
            <w:r>
              <w:rPr>
                <w:rFonts w:hint="eastAsia" w:ascii="宋体" w:hAnsi="宋体" w:cs="宋体"/>
                <w:color w:val="auto"/>
                <w:szCs w:val="21"/>
                <w:highlight w:val="none"/>
              </w:rPr>
              <w:t xml:space="preserve"> 供应商须严格按照国家、自治区相关要求制订系统维护管理、维修的操作规范和内部管理的规章制度，规范系统现场运行维护和仪器、设备维修操作及供应商的内部管理。</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3.6.2</w:t>
            </w:r>
            <w:r>
              <w:rPr>
                <w:rFonts w:hint="eastAsia" w:ascii="宋体" w:hAnsi="宋体" w:cs="宋体"/>
                <w:color w:val="auto"/>
                <w:szCs w:val="21"/>
                <w:highlight w:val="none"/>
              </w:rPr>
              <w:t>供应商须对大气颗粒物组分自动监测和挥发性有机物在线自动监测系统建立专人负责制，按照有关要求建立QA/QC 保证体系，制定日常维护、保养、维修规程，建立日常运行记录和设备台帐，接受采购人的监督、检查和考核。</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3.6.3</w:t>
            </w:r>
            <w:r>
              <w:rPr>
                <w:rFonts w:hint="eastAsia" w:ascii="宋体" w:hAnsi="宋体" w:cs="宋体"/>
                <w:color w:val="auto"/>
                <w:szCs w:val="21"/>
                <w:highlight w:val="none"/>
              </w:rPr>
              <w:t xml:space="preserve"> 供应商须根据系统仪器、设备的构成情况配备技术人员，确保仪器、设备具备高水平维护管理和维修人员。</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3.6.4</w:t>
            </w:r>
            <w:r>
              <w:rPr>
                <w:rFonts w:hint="eastAsia" w:ascii="宋体" w:hAnsi="宋体" w:cs="宋体"/>
                <w:color w:val="auto"/>
                <w:szCs w:val="21"/>
                <w:highlight w:val="none"/>
              </w:rPr>
              <w:t xml:space="preserve"> 供应商须对系统维护管理及维修人员配备专用维护维修工具和通讯调试工具，确保现场维护管理及维修的顺利实施。</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3.7工作记录与报告</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3.7.1</w:t>
            </w:r>
            <w:r>
              <w:rPr>
                <w:rFonts w:hint="eastAsia" w:ascii="宋体" w:hAnsi="宋体" w:cs="宋体"/>
                <w:color w:val="auto"/>
                <w:szCs w:val="21"/>
                <w:highlight w:val="none"/>
              </w:rPr>
              <w:t xml:space="preserve"> 供应商在系统维护管理及仪器、设备的维修过程中，须按照相关规范和采购人的要求填写巡检记录、质控记录、仪器设备维护、维修记录、自检等原始记录，并经现场技术人员签字认可。</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 xml:space="preserve">3.7.2 </w:t>
            </w:r>
            <w:r>
              <w:rPr>
                <w:rFonts w:hint="eastAsia" w:ascii="宋体" w:hAnsi="宋体" w:cs="宋体"/>
                <w:color w:val="auto"/>
                <w:szCs w:val="21"/>
                <w:highlight w:val="none"/>
              </w:rPr>
              <w:t>每月10日前编写上月度维护总结，与所有的现场记录一并移交给采购人存档备案。</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 xml:space="preserve">3.7.3 </w:t>
            </w:r>
            <w:r>
              <w:rPr>
                <w:rFonts w:hint="eastAsia" w:ascii="宋体" w:hAnsi="宋体" w:cs="宋体"/>
                <w:color w:val="auto"/>
                <w:szCs w:val="21"/>
                <w:highlight w:val="none"/>
              </w:rPr>
              <w:t>每次仪器、设备维修后一周内向采购人提交一份维修报告及维修后性能核查报告。</w:t>
            </w:r>
          </w:p>
          <w:p>
            <w:pPr>
              <w:adjustRightInd w:val="0"/>
              <w:snapToGrid w:val="0"/>
              <w:ind w:firstLine="422" w:firstLineChars="200"/>
              <w:rPr>
                <w:rFonts w:ascii="宋体" w:hAnsi="宋体" w:cs="宋体"/>
                <w:color w:val="auto"/>
                <w:szCs w:val="21"/>
                <w:highlight w:val="none"/>
              </w:rPr>
            </w:pPr>
            <w:r>
              <w:rPr>
                <w:rFonts w:hint="eastAsia" w:ascii="宋体" w:hAnsi="宋体" w:cs="宋体"/>
                <w:b/>
                <w:color w:val="auto"/>
                <w:szCs w:val="21"/>
                <w:highlight w:val="none"/>
              </w:rPr>
              <w:t>3.8</w:t>
            </w:r>
            <w:r>
              <w:rPr>
                <w:rFonts w:hint="eastAsia" w:ascii="宋体" w:hAnsi="宋体" w:cs="宋体"/>
                <w:color w:val="auto"/>
                <w:szCs w:val="21"/>
                <w:highlight w:val="none"/>
              </w:rPr>
              <w:t xml:space="preserve"> </w:t>
            </w:r>
            <w:r>
              <w:rPr>
                <w:rFonts w:hint="eastAsia" w:ascii="宋体" w:hAnsi="宋体" w:cs="宋体"/>
                <w:b/>
                <w:color w:val="auto"/>
                <w:szCs w:val="21"/>
                <w:highlight w:val="none"/>
              </w:rPr>
              <w:t>监督与考核</w:t>
            </w:r>
          </w:p>
          <w:p>
            <w:pPr>
              <w:adjustRightInd w:val="0"/>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供应商必须接受采购方考核； 仪器稳定性、准确性指标及质量控制满足国家、自治区相关要求。</w:t>
            </w:r>
            <w:r>
              <w:rPr>
                <w:rFonts w:hint="eastAsia" w:ascii="宋体" w:hAnsi="宋体" w:cs="宋体"/>
                <w:color w:val="auto"/>
                <w:szCs w:val="21"/>
                <w:highlight w:val="none"/>
              </w:rPr>
              <w:t>考核与惩罚办法详见</w:t>
            </w:r>
            <w:r>
              <w:rPr>
                <w:rFonts w:hint="eastAsia" w:ascii="宋体" w:hAnsi="宋体" w:cs="宋体"/>
                <w:color w:val="auto"/>
                <w:szCs w:val="21"/>
                <w:highlight w:val="none"/>
              </w:rPr>
              <w:t>附件2。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1499" w:type="dxa"/>
            <w:vAlign w:val="center"/>
          </w:tcPr>
          <w:p>
            <w:pPr>
              <w:spacing w:line="260" w:lineRule="exact"/>
              <w:jc w:val="center"/>
              <w:rPr>
                <w:rFonts w:ascii="宋体" w:hAnsi="宋体" w:cs="宋体"/>
                <w:color w:val="auto"/>
                <w:szCs w:val="21"/>
                <w:highlight w:val="none"/>
              </w:rPr>
            </w:pPr>
            <w:r>
              <w:rPr>
                <w:rFonts w:hint="eastAsia" w:ascii="宋体" w:hAnsi="宋体" w:cs="宋体"/>
                <w:color w:val="auto"/>
                <w:szCs w:val="21"/>
                <w:highlight w:val="none"/>
              </w:rPr>
              <w:t>大气颗粒物组分网手工监测</w:t>
            </w:r>
          </w:p>
        </w:tc>
        <w:tc>
          <w:tcPr>
            <w:tcW w:w="900" w:type="dxa"/>
            <w:vAlign w:val="center"/>
          </w:tcPr>
          <w:p>
            <w:pPr>
              <w:spacing w:line="260" w:lineRule="exact"/>
              <w:jc w:val="center"/>
              <w:rPr>
                <w:rFonts w:ascii="宋体" w:hAnsi="宋体" w:cs="宋体"/>
                <w:color w:val="auto"/>
                <w:szCs w:val="21"/>
                <w:highlight w:val="none"/>
              </w:rPr>
            </w:pPr>
            <w:r>
              <w:rPr>
                <w:rFonts w:hint="eastAsia" w:ascii="宋体" w:hAnsi="宋体" w:cs="宋体"/>
                <w:color w:val="auto"/>
                <w:szCs w:val="21"/>
                <w:highlight w:val="none"/>
              </w:rPr>
              <w:t>1项</w:t>
            </w:r>
          </w:p>
        </w:tc>
        <w:tc>
          <w:tcPr>
            <w:tcW w:w="750" w:type="dxa"/>
            <w:vAlign w:val="center"/>
          </w:tcPr>
          <w:p>
            <w:pPr>
              <w:spacing w:line="260" w:lineRule="exact"/>
              <w:jc w:val="center"/>
              <w:rPr>
                <w:rFonts w:ascii="宋体" w:hAnsi="宋体" w:cs="宋体"/>
                <w:color w:val="auto"/>
                <w:szCs w:val="21"/>
                <w:highlight w:val="none"/>
              </w:rPr>
            </w:pPr>
            <w:r>
              <w:rPr>
                <w:color w:val="auto"/>
                <w:highlight w:val="none"/>
              </w:rPr>
              <w:t>其他未列明行业。</w:t>
            </w:r>
          </w:p>
        </w:tc>
        <w:tc>
          <w:tcPr>
            <w:tcW w:w="6025" w:type="dxa"/>
            <w:vAlign w:val="center"/>
          </w:tcPr>
          <w:p>
            <w:pPr>
              <w:snapToGrid w:val="0"/>
              <w:rPr>
                <w:rFonts w:ascii="宋体" w:hAnsi="宋体" w:cs="宋体"/>
                <w:b/>
                <w:bCs/>
                <w:color w:val="auto"/>
                <w:szCs w:val="21"/>
                <w:highlight w:val="none"/>
              </w:rPr>
            </w:pPr>
            <w:r>
              <w:rPr>
                <w:rFonts w:hint="eastAsia" w:ascii="宋体" w:hAnsi="宋体" w:cs="宋体"/>
                <w:b/>
                <w:bCs/>
                <w:color w:val="auto"/>
                <w:szCs w:val="21"/>
                <w:highlight w:val="none"/>
              </w:rPr>
              <w:t>1、项目概述</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大气颗粒物组分网手工监测使用聚光PMS-200M多通道采样器进行采样监测。仪器设备位于广西南宁市佛子岭路16号广西壮族自治区生态环境厅5楼楼顶。</w:t>
            </w:r>
          </w:p>
          <w:p>
            <w:pPr>
              <w:adjustRightInd w:val="0"/>
              <w:snapToGrid w:val="0"/>
              <w:rPr>
                <w:rFonts w:ascii="宋体" w:hAnsi="宋体" w:cs="宋体"/>
                <w:b/>
                <w:color w:val="auto"/>
                <w:szCs w:val="21"/>
                <w:highlight w:val="none"/>
              </w:rPr>
            </w:pPr>
            <w:r>
              <w:rPr>
                <w:rFonts w:ascii="宋体" w:hAnsi="宋体" w:cs="宋体"/>
                <w:b/>
                <w:color w:val="auto"/>
                <w:szCs w:val="21"/>
                <w:highlight w:val="none"/>
              </w:rPr>
              <w:t>2</w:t>
            </w:r>
            <w:r>
              <w:rPr>
                <w:rFonts w:hint="eastAsia" w:ascii="宋体" w:hAnsi="宋体" w:cs="宋体"/>
                <w:b/>
                <w:color w:val="auto"/>
                <w:szCs w:val="21"/>
                <w:highlight w:val="none"/>
              </w:rPr>
              <w:t>、相关规范</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1</w:t>
            </w:r>
            <w:r>
              <w:rPr>
                <w:rFonts w:hint="eastAsia" w:ascii="宋体" w:hAnsi="宋体" w:cs="宋体"/>
                <w:color w:val="auto"/>
                <w:szCs w:val="21"/>
                <w:highlight w:val="none"/>
              </w:rPr>
              <w:t>）《大气颗粒物组分手工监测质量保证与质量控制规定（第一版）》（总站气字〔2019〕42</w:t>
            </w:r>
            <w:r>
              <w:rPr>
                <w:rFonts w:ascii="宋体" w:hAnsi="宋体" w:cs="宋体"/>
                <w:color w:val="auto"/>
                <w:szCs w:val="21"/>
                <w:highlight w:val="none"/>
              </w:rPr>
              <w:t>5</w:t>
            </w:r>
            <w:r>
              <w:rPr>
                <w:rFonts w:hint="eastAsia" w:ascii="宋体" w:hAnsi="宋体" w:cs="宋体"/>
                <w:color w:val="auto"/>
                <w:szCs w:val="21"/>
                <w:highlight w:val="none"/>
              </w:rPr>
              <w:t>号）</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2</w:t>
            </w:r>
            <w:r>
              <w:rPr>
                <w:rFonts w:hint="eastAsia" w:ascii="宋体" w:hAnsi="宋体" w:cs="宋体"/>
                <w:color w:val="auto"/>
                <w:szCs w:val="21"/>
                <w:highlight w:val="none"/>
              </w:rPr>
              <w:t>）国家环境监测网环境空气颗粒物（P</w:t>
            </w:r>
            <w:r>
              <w:rPr>
                <w:rFonts w:ascii="宋体" w:hAnsi="宋体" w:cs="宋体"/>
                <w:color w:val="auto"/>
                <w:szCs w:val="21"/>
                <w:highlight w:val="none"/>
              </w:rPr>
              <w:t>M10</w:t>
            </w:r>
            <w:r>
              <w:rPr>
                <w:rFonts w:hint="eastAsia" w:ascii="宋体" w:hAnsi="宋体" w:cs="宋体"/>
                <w:color w:val="auto"/>
                <w:szCs w:val="21"/>
                <w:highlight w:val="none"/>
              </w:rPr>
              <w:t>、P</w:t>
            </w:r>
            <w:r>
              <w:rPr>
                <w:rFonts w:ascii="宋体" w:hAnsi="宋体" w:cs="宋体"/>
                <w:color w:val="auto"/>
                <w:szCs w:val="21"/>
                <w:highlight w:val="none"/>
              </w:rPr>
              <w:t>M2.5</w:t>
            </w:r>
            <w:r>
              <w:rPr>
                <w:rFonts w:hint="eastAsia" w:ascii="宋体" w:hAnsi="宋体" w:cs="宋体"/>
                <w:color w:val="auto"/>
                <w:szCs w:val="21"/>
                <w:highlight w:val="none"/>
              </w:rPr>
              <w:t>）自动监测手工比对核查技术规定（试行）</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3</w:t>
            </w:r>
            <w:r>
              <w:rPr>
                <w:rFonts w:hint="eastAsia" w:ascii="宋体" w:hAnsi="宋体" w:cs="宋体"/>
                <w:color w:val="auto"/>
                <w:szCs w:val="21"/>
                <w:highlight w:val="none"/>
              </w:rPr>
              <w:t>）《环境空气颗粒物（P</w:t>
            </w:r>
            <w:r>
              <w:rPr>
                <w:rFonts w:ascii="宋体" w:hAnsi="宋体" w:cs="宋体"/>
                <w:color w:val="auto"/>
                <w:szCs w:val="21"/>
                <w:highlight w:val="none"/>
              </w:rPr>
              <w:t>M2.5</w:t>
            </w:r>
            <w:r>
              <w:rPr>
                <w:rFonts w:hint="eastAsia" w:ascii="宋体" w:hAnsi="宋体" w:cs="宋体"/>
                <w:color w:val="auto"/>
                <w:szCs w:val="21"/>
                <w:highlight w:val="none"/>
              </w:rPr>
              <w:t>）手工监测方法（重量法）技术规范》及修改单（HJ65</w:t>
            </w:r>
            <w:r>
              <w:rPr>
                <w:rFonts w:ascii="宋体" w:hAnsi="宋体" w:cs="宋体"/>
                <w:color w:val="auto"/>
                <w:szCs w:val="21"/>
                <w:highlight w:val="none"/>
              </w:rPr>
              <w:t>6-2013</w:t>
            </w:r>
            <w:r>
              <w:rPr>
                <w:rFonts w:hint="eastAsia" w:ascii="宋体" w:hAnsi="宋体" w:cs="宋体"/>
                <w:color w:val="auto"/>
                <w:szCs w:val="21"/>
                <w:highlight w:val="none"/>
              </w:rPr>
              <w:t>）</w:t>
            </w:r>
          </w:p>
          <w:p>
            <w:pPr>
              <w:adjustRightInd w:val="0"/>
              <w:snapToGrid w:val="0"/>
              <w:ind w:firstLine="42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4</w:t>
            </w:r>
            <w:r>
              <w:rPr>
                <w:rFonts w:hint="eastAsia" w:ascii="宋体" w:hAnsi="宋体" w:cs="宋体"/>
                <w:color w:val="auto"/>
                <w:szCs w:val="21"/>
                <w:highlight w:val="none"/>
              </w:rPr>
              <w:t>）《国家大气颗粒物组分网手工监测作业指导书（第一版）》（总站气字〔20</w:t>
            </w:r>
            <w:r>
              <w:rPr>
                <w:rFonts w:ascii="宋体" w:hAnsi="宋体" w:cs="宋体"/>
                <w:color w:val="auto"/>
                <w:szCs w:val="21"/>
                <w:highlight w:val="none"/>
              </w:rPr>
              <w:t>21</w:t>
            </w:r>
            <w:r>
              <w:rPr>
                <w:rFonts w:hint="eastAsia" w:ascii="宋体" w:hAnsi="宋体" w:cs="宋体"/>
                <w:color w:val="auto"/>
                <w:szCs w:val="21"/>
                <w:highlight w:val="none"/>
              </w:rPr>
              <w:t>〕4</w:t>
            </w:r>
            <w:r>
              <w:rPr>
                <w:rFonts w:ascii="宋体" w:hAnsi="宋体" w:cs="宋体"/>
                <w:color w:val="auto"/>
                <w:szCs w:val="21"/>
                <w:highlight w:val="none"/>
              </w:rPr>
              <w:t>9</w:t>
            </w:r>
            <w:r>
              <w:rPr>
                <w:rFonts w:hint="eastAsia" w:ascii="宋体" w:hAnsi="宋体" w:cs="宋体"/>
                <w:color w:val="auto"/>
                <w:szCs w:val="21"/>
                <w:highlight w:val="none"/>
              </w:rPr>
              <w:t>号）</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如国家、自治区出台新的规范或要求，按新规范或要求执行。</w:t>
            </w:r>
          </w:p>
          <w:p>
            <w:pPr>
              <w:snapToGrid w:val="0"/>
              <w:rPr>
                <w:rFonts w:ascii="宋体" w:hAnsi="宋体" w:cs="宋体"/>
                <w:b/>
                <w:color w:val="auto"/>
                <w:szCs w:val="21"/>
                <w:highlight w:val="none"/>
              </w:rPr>
            </w:pPr>
            <w:r>
              <w:rPr>
                <w:rFonts w:ascii="宋体" w:hAnsi="宋体" w:cs="宋体"/>
                <w:b/>
                <w:color w:val="auto"/>
                <w:szCs w:val="21"/>
                <w:highlight w:val="none"/>
              </w:rPr>
              <w:t>3</w:t>
            </w:r>
            <w:r>
              <w:rPr>
                <w:rFonts w:hint="eastAsia" w:ascii="宋体" w:hAnsi="宋体" w:cs="宋体"/>
                <w:b/>
                <w:color w:val="auto"/>
                <w:szCs w:val="21"/>
                <w:highlight w:val="none"/>
              </w:rPr>
              <w:t>、服务内容:</w:t>
            </w:r>
          </w:p>
          <w:p>
            <w:pPr>
              <w:snapToGrid w:val="0"/>
              <w:ind w:firstLine="420" w:firstLineChars="200"/>
              <w:rPr>
                <w:rFonts w:ascii="宋体" w:hAnsi="宋体" w:cs="宋体"/>
                <w:bCs/>
                <w:color w:val="auto"/>
                <w:szCs w:val="21"/>
                <w:highlight w:val="none"/>
              </w:rPr>
            </w:pPr>
            <w:r>
              <w:rPr>
                <w:rFonts w:ascii="宋体" w:hAnsi="宋体" w:cs="宋体"/>
                <w:bCs/>
                <w:color w:val="auto"/>
                <w:szCs w:val="21"/>
                <w:highlight w:val="none"/>
              </w:rPr>
              <w:t>3.1</w:t>
            </w:r>
            <w:r>
              <w:rPr>
                <w:rFonts w:hint="eastAsia" w:ascii="宋体" w:hAnsi="宋体" w:cs="宋体"/>
                <w:bCs/>
                <w:color w:val="auto"/>
                <w:szCs w:val="21"/>
                <w:highlight w:val="none"/>
              </w:rPr>
              <w:t>采样频率</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2022年第四季度开展采样监测，</w:t>
            </w:r>
            <w:r>
              <w:rPr>
                <w:rFonts w:hint="eastAsia" w:ascii="宋体" w:hAnsi="宋体" w:cs="宋体"/>
                <w:color w:val="auto"/>
                <w:szCs w:val="21"/>
                <w:highlight w:val="none"/>
              </w:rPr>
              <w:t>采样频率</w:t>
            </w:r>
            <w:r>
              <w:rPr>
                <w:rFonts w:ascii="宋体" w:hAnsi="宋体" w:cs="宋体"/>
                <w:color w:val="auto"/>
                <w:szCs w:val="21"/>
                <w:highlight w:val="none"/>
              </w:rPr>
              <w:t>为1次/7天</w:t>
            </w:r>
            <w:r>
              <w:rPr>
                <w:rFonts w:hint="eastAsia"/>
                <w:color w:val="auto"/>
                <w:highlight w:val="none"/>
              </w:rPr>
              <w:t>；逢</w:t>
            </w:r>
            <w:r>
              <w:rPr>
                <w:color w:val="auto"/>
                <w:highlight w:val="none"/>
              </w:rPr>
              <w:t>PM2.5</w:t>
            </w:r>
            <w:r>
              <w:rPr>
                <w:rFonts w:hint="eastAsia"/>
                <w:color w:val="auto"/>
                <w:highlight w:val="none"/>
              </w:rPr>
              <w:t>为首要污染物的污染过程必测，不受固定频次的影响，</w:t>
            </w:r>
            <w:r>
              <w:rPr>
                <w:color w:val="auto"/>
                <w:highlight w:val="none"/>
              </w:rPr>
              <w:t>1</w:t>
            </w:r>
            <w:r>
              <w:rPr>
                <w:rFonts w:hint="eastAsia"/>
                <w:color w:val="auto"/>
                <w:highlight w:val="none"/>
              </w:rPr>
              <w:t>次</w:t>
            </w:r>
            <w:r>
              <w:rPr>
                <w:color w:val="auto"/>
                <w:highlight w:val="none"/>
              </w:rPr>
              <w:t>/3</w:t>
            </w:r>
            <w:r>
              <w:rPr>
                <w:rFonts w:hint="eastAsia"/>
                <w:color w:val="auto"/>
                <w:highlight w:val="none"/>
              </w:rPr>
              <w:t>天。</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如南宁市有重大活动保障，则根据采购方需求每天监测。</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如国家、自治区出台新的规范或要求，按新规范或要求执行。</w:t>
            </w:r>
          </w:p>
          <w:p>
            <w:pPr>
              <w:snapToGrid w:val="0"/>
              <w:ind w:firstLine="420" w:firstLineChars="200"/>
              <w:rPr>
                <w:rFonts w:ascii="宋体" w:hAnsi="宋体" w:cs="宋体"/>
                <w:bCs/>
                <w:color w:val="auto"/>
                <w:szCs w:val="21"/>
                <w:highlight w:val="none"/>
              </w:rPr>
            </w:pPr>
            <w:r>
              <w:rPr>
                <w:rFonts w:ascii="宋体" w:hAnsi="宋体" w:cs="宋体"/>
                <w:bCs/>
                <w:color w:val="auto"/>
                <w:szCs w:val="21"/>
                <w:highlight w:val="none"/>
              </w:rPr>
              <w:t>3</w:t>
            </w:r>
            <w:r>
              <w:rPr>
                <w:rFonts w:hint="eastAsia" w:ascii="宋体" w:hAnsi="宋体" w:cs="宋体"/>
                <w:bCs/>
                <w:color w:val="auto"/>
                <w:szCs w:val="21"/>
                <w:highlight w:val="none"/>
              </w:rPr>
              <w:t>.</w:t>
            </w:r>
            <w:r>
              <w:rPr>
                <w:rFonts w:ascii="宋体" w:hAnsi="宋体" w:cs="宋体"/>
                <w:bCs/>
                <w:color w:val="auto"/>
                <w:szCs w:val="21"/>
                <w:highlight w:val="none"/>
              </w:rPr>
              <w:t>2</w:t>
            </w:r>
            <w:r>
              <w:rPr>
                <w:rFonts w:hint="eastAsia" w:ascii="宋体" w:hAnsi="宋体" w:cs="宋体"/>
                <w:bCs/>
                <w:color w:val="auto"/>
                <w:szCs w:val="21"/>
                <w:highlight w:val="none"/>
              </w:rPr>
              <w:t>采样时段</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项目服务期限为1年，具体见附表1。（起止日期根据采购方需求定)。</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单次采样时长:当天10:00-次日10:00（采购方可按需求调整)。</w:t>
            </w:r>
          </w:p>
          <w:p>
            <w:pPr>
              <w:snapToGrid w:val="0"/>
              <w:ind w:firstLine="420" w:firstLineChars="200"/>
              <w:rPr>
                <w:rFonts w:ascii="宋体" w:hAnsi="宋体" w:cs="宋体"/>
                <w:bCs/>
                <w:color w:val="auto"/>
                <w:szCs w:val="21"/>
                <w:highlight w:val="none"/>
              </w:rPr>
            </w:pPr>
            <w:r>
              <w:rPr>
                <w:rFonts w:ascii="宋体" w:hAnsi="宋体" w:cs="宋体"/>
                <w:bCs/>
                <w:color w:val="auto"/>
                <w:szCs w:val="21"/>
                <w:highlight w:val="none"/>
              </w:rPr>
              <w:t>3.</w:t>
            </w:r>
            <w:r>
              <w:rPr>
                <w:rFonts w:hint="eastAsia" w:ascii="宋体" w:hAnsi="宋体" w:cs="宋体"/>
                <w:bCs/>
                <w:color w:val="auto"/>
                <w:szCs w:val="21"/>
                <w:highlight w:val="none"/>
              </w:rPr>
              <w:t>3单次采样数量</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直径(47士0.25 ) mm石英滤膜2片，(47士0.25 ) mm特氟龙滤膜或聚丙烯滤膜2片;</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全程序空白每月至少做一次，每次石英滤膜</w:t>
            </w:r>
            <w:r>
              <w:rPr>
                <w:rFonts w:ascii="宋体" w:hAnsi="宋体" w:cs="宋体"/>
                <w:color w:val="auto"/>
                <w:szCs w:val="21"/>
                <w:highlight w:val="none"/>
              </w:rPr>
              <w:t>2</w:t>
            </w:r>
            <w:r>
              <w:rPr>
                <w:rFonts w:hint="eastAsia" w:ascii="宋体" w:hAnsi="宋体" w:cs="宋体"/>
                <w:color w:val="auto"/>
                <w:szCs w:val="21"/>
                <w:highlight w:val="none"/>
              </w:rPr>
              <w:t>片、特氟龙滤膜或聚丙烯滤膜</w:t>
            </w:r>
            <w:r>
              <w:rPr>
                <w:rFonts w:ascii="宋体" w:hAnsi="宋体" w:cs="宋体"/>
                <w:color w:val="auto"/>
                <w:szCs w:val="21"/>
                <w:highlight w:val="none"/>
              </w:rPr>
              <w:t>2</w:t>
            </w:r>
            <w:r>
              <w:rPr>
                <w:rFonts w:hint="eastAsia" w:ascii="宋体" w:hAnsi="宋体" w:cs="宋体"/>
                <w:color w:val="auto"/>
                <w:szCs w:val="21"/>
                <w:highlight w:val="none"/>
              </w:rPr>
              <w:t>片。</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w:t>
            </w:r>
            <w:r>
              <w:rPr>
                <w:rFonts w:hint="eastAsia" w:ascii="宋体" w:hAnsi="宋体" w:cs="宋体"/>
                <w:b/>
                <w:color w:val="auto"/>
                <w:szCs w:val="21"/>
                <w:highlight w:val="none"/>
              </w:rPr>
              <w:t>.</w:t>
            </w:r>
            <w:r>
              <w:rPr>
                <w:rFonts w:ascii="宋体" w:hAnsi="宋体" w:cs="宋体"/>
                <w:b/>
                <w:color w:val="auto"/>
                <w:szCs w:val="21"/>
                <w:highlight w:val="none"/>
              </w:rPr>
              <w:t>4</w:t>
            </w:r>
            <w:r>
              <w:rPr>
                <w:rFonts w:hint="eastAsia" w:ascii="宋体" w:hAnsi="宋体" w:cs="宋体"/>
                <w:color w:val="auto"/>
                <w:szCs w:val="21"/>
                <w:highlight w:val="none"/>
              </w:rPr>
              <w:t>对采样前滤膜进行前处理、称量等工作，并按要求做好记录。</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w:t>
            </w:r>
            <w:r>
              <w:rPr>
                <w:rFonts w:hint="eastAsia" w:ascii="宋体" w:hAnsi="宋体" w:cs="宋体"/>
                <w:b/>
                <w:color w:val="auto"/>
                <w:szCs w:val="21"/>
                <w:highlight w:val="none"/>
              </w:rPr>
              <w:t>.</w:t>
            </w:r>
            <w:r>
              <w:rPr>
                <w:rFonts w:ascii="宋体" w:hAnsi="宋体" w:cs="宋体"/>
                <w:b/>
                <w:color w:val="auto"/>
                <w:szCs w:val="21"/>
                <w:highlight w:val="none"/>
              </w:rPr>
              <w:t>5</w:t>
            </w:r>
            <w:r>
              <w:rPr>
                <w:rFonts w:hint="eastAsia" w:ascii="宋体" w:hAnsi="宋体" w:cs="宋体"/>
                <w:color w:val="auto"/>
                <w:szCs w:val="21"/>
                <w:highlight w:val="none"/>
              </w:rPr>
              <w:t>采样后按规范要求监测1片PM2.5质量浓度，并做好记录，每月1日前将上一个月的所有记录表送广西壮族自治区南宁生态环境监测中心。</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3.6</w:t>
            </w:r>
            <w:r>
              <w:rPr>
                <w:rFonts w:hint="eastAsia" w:ascii="宋体" w:hAnsi="宋体" w:cs="宋体"/>
                <w:color w:val="auto"/>
                <w:szCs w:val="21"/>
                <w:highlight w:val="none"/>
              </w:rPr>
              <w:t>样品保存</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样品在结束采样后2小时内完成收样并放回原膜盒，收取后的样品在-18℃以下的冰箱进行保存（需称量的滤膜完成称量后保存）。</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3.7</w:t>
            </w:r>
            <w:r>
              <w:rPr>
                <w:rFonts w:hint="eastAsia" w:ascii="宋体" w:hAnsi="宋体" w:cs="宋体"/>
                <w:color w:val="auto"/>
                <w:szCs w:val="21"/>
                <w:highlight w:val="none"/>
              </w:rPr>
              <w:t>样品运输</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样品运输过程中，需使用锡箔纸包裹滤膜盒防止样品污染，采样面需保持平稳朝上，防止滤膜倒置，尽量避免剧烈振动、晃动，并注意滤膜包装的严密性，防止滤膜从膜盒中散落，并确保样品在4℃以下环境条件运输。</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w:t>
            </w:r>
            <w:r>
              <w:rPr>
                <w:rFonts w:hint="eastAsia" w:ascii="宋体" w:hAnsi="宋体" w:cs="宋体"/>
                <w:b/>
                <w:color w:val="auto"/>
                <w:szCs w:val="21"/>
                <w:highlight w:val="none"/>
              </w:rPr>
              <w:t>.</w:t>
            </w:r>
            <w:r>
              <w:rPr>
                <w:rFonts w:ascii="宋体" w:hAnsi="宋体" w:cs="宋体"/>
                <w:b/>
                <w:color w:val="auto"/>
                <w:szCs w:val="21"/>
                <w:highlight w:val="none"/>
              </w:rPr>
              <w:t>8</w:t>
            </w:r>
            <w:r>
              <w:rPr>
                <w:rFonts w:hint="eastAsia" w:ascii="宋体" w:hAnsi="宋体" w:cs="宋体"/>
                <w:color w:val="auto"/>
                <w:szCs w:val="21"/>
                <w:highlight w:val="none"/>
              </w:rPr>
              <w:t>每次采样结束当天12:</w:t>
            </w:r>
            <w:r>
              <w:rPr>
                <w:rFonts w:hint="eastAsia" w:ascii="宋体" w:hAnsi="宋体" w:cs="宋体"/>
                <w:color w:val="auto"/>
                <w:szCs w:val="21"/>
                <w:highlight w:val="none"/>
              </w:rPr>
              <w:t>00前，把 PM2.5质量浓度比对滤膜外的其他样品送至广西壮族自治区南宁生态环境监测中心，并做好交接记录。</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w:t>
            </w:r>
            <w:r>
              <w:rPr>
                <w:rFonts w:hint="eastAsia" w:ascii="宋体" w:hAnsi="宋体" w:cs="宋体"/>
                <w:b/>
                <w:color w:val="auto"/>
                <w:szCs w:val="21"/>
                <w:highlight w:val="none"/>
              </w:rPr>
              <w:t>.</w:t>
            </w:r>
            <w:r>
              <w:rPr>
                <w:rFonts w:ascii="宋体" w:hAnsi="宋体" w:cs="宋体"/>
                <w:b/>
                <w:color w:val="auto"/>
                <w:szCs w:val="21"/>
                <w:highlight w:val="none"/>
              </w:rPr>
              <w:t>9</w:t>
            </w:r>
            <w:r>
              <w:rPr>
                <w:rFonts w:hint="eastAsia" w:ascii="宋体" w:hAnsi="宋体" w:cs="宋体"/>
                <w:color w:val="auto"/>
                <w:szCs w:val="21"/>
                <w:highlight w:val="none"/>
              </w:rPr>
              <w:t>定期检查和校准采样流量及各参数</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3.9.1</w:t>
            </w:r>
            <w:r>
              <w:rPr>
                <w:rFonts w:hint="eastAsia" w:ascii="宋体" w:hAnsi="宋体" w:cs="宋体"/>
                <w:color w:val="auto"/>
                <w:szCs w:val="21"/>
                <w:highlight w:val="none"/>
              </w:rPr>
              <w:t>采样流量校准</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使用在检定有效期内的流量计检查采样流量，累计采样168 h(7天）进行一次采样流量检查，流量误差不能超过采样器设定流量的+2%，超过限值则需进行流量校准。</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3.9.2</w:t>
            </w:r>
            <w:r>
              <w:rPr>
                <w:rFonts w:hint="eastAsia" w:ascii="宋体" w:hAnsi="宋体" w:cs="宋体"/>
                <w:color w:val="auto"/>
                <w:szCs w:val="21"/>
                <w:highlight w:val="none"/>
              </w:rPr>
              <w:t>采样器环境温度检查与校准</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使用在检定有效期内温度计检查采样器的环境温度示值误差，每次采样前检查一次，误差超过+2℃，则需对采样器进行温度校准。</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3.9.3</w:t>
            </w:r>
            <w:r>
              <w:rPr>
                <w:rFonts w:hint="eastAsia" w:ascii="宋体" w:hAnsi="宋体" w:cs="宋体"/>
                <w:color w:val="auto"/>
                <w:szCs w:val="21"/>
                <w:highlight w:val="none"/>
              </w:rPr>
              <w:t>采样器环境大气压检查与校准</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使用在检定有效期内气压计检查采样器的环境大气压示值误差,每次采样前检查一次，误差超过士1kPa，则需对采样器进行压力校准。</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3.9.4</w:t>
            </w:r>
            <w:r>
              <w:rPr>
                <w:rFonts w:hint="eastAsia" w:ascii="宋体" w:hAnsi="宋体" w:cs="宋体"/>
                <w:color w:val="auto"/>
                <w:szCs w:val="21"/>
                <w:highlight w:val="none"/>
              </w:rPr>
              <w:t>气密性检查</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空气质量优、良情况下累计采样168 h(7天）检查一次气密性，如遇4个样品的平行性有显著差异,则当天需立即进行气密性检查。检查步骤参考HJ656-2013。</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3.10</w:t>
            </w:r>
            <w:r>
              <w:rPr>
                <w:rFonts w:hint="eastAsia" w:ascii="宋体" w:hAnsi="宋体" w:cs="宋体"/>
                <w:color w:val="auto"/>
                <w:szCs w:val="21"/>
                <w:highlight w:val="none"/>
              </w:rPr>
              <w:t>定期清洗切割器</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切割器应定期清洗，清洗周期视当地空气质量状况而定。一般情况下累计采样168 h应清洗一-次切割器，遇PM</w:t>
            </w:r>
            <w:r>
              <w:rPr>
                <w:rFonts w:ascii="宋体" w:hAnsi="宋体" w:cs="宋体"/>
                <w:color w:val="auto"/>
                <w:szCs w:val="21"/>
                <w:highlight w:val="none"/>
              </w:rPr>
              <w:t>2.5</w:t>
            </w:r>
            <w:r>
              <w:rPr>
                <w:rFonts w:hint="eastAsia" w:ascii="宋体" w:hAnsi="宋体" w:cs="宋体"/>
                <w:color w:val="auto"/>
                <w:szCs w:val="21"/>
                <w:highlight w:val="none"/>
              </w:rPr>
              <w:t>轻度及以上污染天气，则采样后及时清洗切割器。</w:t>
            </w:r>
          </w:p>
          <w:p>
            <w:pPr>
              <w:snapToGrid w:val="0"/>
              <w:ind w:firstLine="422" w:firstLineChars="200"/>
              <w:rPr>
                <w:rFonts w:ascii="宋体" w:hAnsi="宋体" w:cs="宋体"/>
                <w:color w:val="auto"/>
                <w:szCs w:val="21"/>
                <w:highlight w:val="none"/>
              </w:rPr>
            </w:pPr>
            <w:r>
              <w:rPr>
                <w:rFonts w:ascii="宋体" w:hAnsi="宋体" w:cs="宋体"/>
                <w:b/>
                <w:color w:val="auto"/>
                <w:szCs w:val="21"/>
                <w:highlight w:val="none"/>
              </w:rPr>
              <w:t>3</w:t>
            </w:r>
            <w:r>
              <w:rPr>
                <w:rFonts w:hint="eastAsia" w:ascii="宋体" w:hAnsi="宋体" w:cs="宋体"/>
                <w:b/>
                <w:color w:val="auto"/>
                <w:szCs w:val="21"/>
                <w:highlight w:val="none"/>
              </w:rPr>
              <w:t>.</w:t>
            </w:r>
            <w:r>
              <w:rPr>
                <w:rFonts w:ascii="宋体" w:hAnsi="宋体" w:cs="宋体"/>
                <w:b/>
                <w:color w:val="auto"/>
                <w:szCs w:val="21"/>
                <w:highlight w:val="none"/>
              </w:rPr>
              <w:t>11</w:t>
            </w:r>
            <w:r>
              <w:rPr>
                <w:rFonts w:hint="eastAsia" w:ascii="宋体" w:hAnsi="宋体" w:cs="宋体"/>
                <w:color w:val="auto"/>
                <w:szCs w:val="21"/>
                <w:highlight w:val="none"/>
              </w:rPr>
              <w:t>根据相关要求对聚光PMS-200M多通道采样器进行维护保养、校准等质控工作，保证采样器正常。</w:t>
            </w:r>
          </w:p>
          <w:p>
            <w:pPr>
              <w:snapToGrid w:val="0"/>
              <w:rPr>
                <w:rFonts w:ascii="宋体" w:hAnsi="宋体" w:cs="宋体"/>
                <w:color w:val="auto"/>
                <w:szCs w:val="21"/>
                <w:highlight w:val="none"/>
              </w:rPr>
            </w:pPr>
            <w:r>
              <w:rPr>
                <w:rFonts w:ascii="宋体" w:hAnsi="宋体" w:cs="宋体"/>
                <w:b/>
                <w:color w:val="auto"/>
                <w:szCs w:val="21"/>
                <w:highlight w:val="none"/>
              </w:rPr>
              <w:t>4</w:t>
            </w:r>
            <w:r>
              <w:rPr>
                <w:rFonts w:hint="eastAsia" w:ascii="宋体" w:hAnsi="宋体" w:cs="宋体"/>
                <w:b/>
                <w:color w:val="auto"/>
                <w:szCs w:val="21"/>
                <w:highlight w:val="none"/>
              </w:rPr>
              <w:t>、</w:t>
            </w:r>
            <w:r>
              <w:rPr>
                <w:rFonts w:hint="eastAsia" w:ascii="宋体" w:hAnsi="宋体" w:cs="宋体"/>
                <w:color w:val="auto"/>
                <w:szCs w:val="21"/>
                <w:highlight w:val="none"/>
              </w:rPr>
              <w:t>所涉及的滤膜由供应商免费提供。</w:t>
            </w:r>
          </w:p>
          <w:p>
            <w:pPr>
              <w:snapToGrid w:val="0"/>
              <w:rPr>
                <w:rFonts w:ascii="宋体" w:hAnsi="宋体" w:cs="宋体"/>
                <w:color w:val="auto"/>
                <w:szCs w:val="21"/>
                <w:highlight w:val="none"/>
              </w:rPr>
            </w:pPr>
            <w:r>
              <w:rPr>
                <w:rFonts w:ascii="宋体" w:hAnsi="宋体" w:cs="宋体"/>
                <w:b/>
                <w:color w:val="auto"/>
                <w:szCs w:val="21"/>
                <w:highlight w:val="none"/>
              </w:rPr>
              <w:t>5</w:t>
            </w:r>
            <w:r>
              <w:rPr>
                <w:rFonts w:hint="eastAsia" w:ascii="宋体" w:hAnsi="宋体" w:cs="宋体"/>
                <w:b/>
                <w:color w:val="auto"/>
                <w:szCs w:val="21"/>
                <w:highlight w:val="none"/>
              </w:rPr>
              <w:t>、</w:t>
            </w:r>
            <w:r>
              <w:rPr>
                <w:rFonts w:hint="eastAsia" w:ascii="宋体" w:hAnsi="宋体" w:cs="宋体"/>
                <w:color w:val="auto"/>
                <w:szCs w:val="21"/>
                <w:highlight w:val="none"/>
              </w:rPr>
              <w:t>工作过程中产生的其他费用由中标公司承担。</w:t>
            </w:r>
          </w:p>
          <w:p>
            <w:pPr>
              <w:snapToGrid w:val="0"/>
              <w:rPr>
                <w:rFonts w:ascii="宋体" w:hAnsi="宋体" w:cs="宋体"/>
                <w:color w:val="auto"/>
                <w:szCs w:val="21"/>
                <w:highlight w:val="none"/>
              </w:rPr>
            </w:pPr>
            <w:r>
              <w:rPr>
                <w:rFonts w:ascii="宋体" w:hAnsi="宋体" w:cs="宋体"/>
                <w:b/>
                <w:color w:val="auto"/>
                <w:szCs w:val="21"/>
                <w:highlight w:val="none"/>
              </w:rPr>
              <w:t>6</w:t>
            </w:r>
            <w:r>
              <w:rPr>
                <w:rFonts w:hint="eastAsia" w:ascii="宋体" w:hAnsi="宋体" w:cs="宋体"/>
                <w:b/>
                <w:color w:val="auto"/>
                <w:szCs w:val="21"/>
                <w:highlight w:val="none"/>
              </w:rPr>
              <w:t>、</w:t>
            </w:r>
            <w:r>
              <w:rPr>
                <w:rFonts w:hint="eastAsia" w:ascii="宋体" w:hAnsi="宋体" w:cs="宋体"/>
                <w:color w:val="auto"/>
                <w:szCs w:val="21"/>
                <w:highlight w:val="none"/>
              </w:rPr>
              <w:t>所涉及的采样、称量等工作必须符合相关规范要求。</w:t>
            </w:r>
          </w:p>
          <w:p>
            <w:pPr>
              <w:adjustRightInd w:val="0"/>
              <w:snapToGrid w:val="0"/>
              <w:rPr>
                <w:rFonts w:ascii="宋体" w:hAnsi="宋体" w:cs="宋体"/>
                <w:color w:val="auto"/>
                <w:szCs w:val="21"/>
                <w:highlight w:val="none"/>
              </w:rPr>
            </w:pPr>
            <w:r>
              <w:rPr>
                <w:rFonts w:ascii="宋体" w:hAnsi="宋体" w:cs="宋体"/>
                <w:b/>
                <w:color w:val="auto"/>
                <w:szCs w:val="21"/>
                <w:highlight w:val="none"/>
              </w:rPr>
              <w:t>7</w:t>
            </w:r>
            <w:r>
              <w:rPr>
                <w:rFonts w:hint="eastAsia" w:ascii="宋体" w:hAnsi="宋体" w:cs="宋体"/>
                <w:b/>
                <w:color w:val="auto"/>
                <w:szCs w:val="21"/>
                <w:highlight w:val="none"/>
              </w:rPr>
              <w:t>、监督与考核</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供应商必须接受采购方考核； 仪器稳定性、准确性指标及质量控制满足国家、自治区相关要求。</w:t>
            </w:r>
            <w:r>
              <w:rPr>
                <w:rFonts w:hint="eastAsia" w:ascii="宋体" w:hAnsi="宋体" w:cs="宋体"/>
                <w:color w:val="auto"/>
                <w:szCs w:val="21"/>
                <w:highlight w:val="none"/>
              </w:rPr>
              <w:t>考核与惩罚办法详见附件2。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29" w:type="dxa"/>
            <w:gridSpan w:val="5"/>
            <w:tcBorders>
              <w:top w:val="single" w:color="auto" w:sz="4" w:space="0"/>
              <w:left w:val="single" w:color="auto" w:sz="4" w:space="0"/>
              <w:bottom w:val="single" w:color="auto" w:sz="4" w:space="0"/>
              <w:right w:val="single" w:color="auto" w:sz="4" w:space="0"/>
            </w:tcBorders>
          </w:tcPr>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商务要求</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1．合同签订期：自成交通知书发出之日起</w:t>
            </w:r>
            <w:r>
              <w:rPr>
                <w:rFonts w:hint="eastAsia" w:ascii="宋体" w:hAnsi="宋体"/>
                <w:color w:val="auto"/>
                <w:kern w:val="0"/>
                <w:sz w:val="20"/>
                <w:szCs w:val="21"/>
                <w:highlight w:val="none"/>
              </w:rPr>
              <w:t>25个自然日内签订</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2．运维期限：基础运维期限为1年，详见</w:t>
            </w:r>
            <w:r>
              <w:rPr>
                <w:rFonts w:hint="eastAsia" w:ascii="宋体" w:hAnsi="宋体"/>
                <w:color w:val="auto"/>
                <w:kern w:val="0"/>
                <w:sz w:val="20"/>
                <w:szCs w:val="21"/>
                <w:highlight w:val="none"/>
              </w:rPr>
              <w:t>表1（大气颗粒物组分网自动监测、手工监测及挥发性有机物自动在线监测仪器信息表及运维时间）</w:t>
            </w:r>
            <w:r>
              <w:rPr>
                <w:rFonts w:hint="eastAsia" w:ascii="宋体" w:hAnsi="Courier New"/>
                <w:color w:val="auto"/>
                <w:kern w:val="0"/>
                <w:sz w:val="20"/>
                <w:szCs w:val="21"/>
                <w:highlight w:val="none"/>
              </w:rPr>
              <w:t>。采购方可根据实际要求调整起止时间，</w:t>
            </w:r>
            <w:r>
              <w:rPr>
                <w:rFonts w:hint="eastAsia" w:ascii="宋体" w:hAnsi="宋体"/>
                <w:color w:val="auto"/>
                <w:kern w:val="0"/>
                <w:sz w:val="20"/>
                <w:szCs w:val="21"/>
                <w:highlight w:val="none"/>
              </w:rPr>
              <w:t>根据考核情况决定运维期限是否延长且无需额外支付费用。</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3．提交服务成果时间：根据考核结果定。</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4．交货地点：南宁市（采购人指定地点）</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5．售后服务要求：</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1）采购人按</w:t>
            </w:r>
            <w:r>
              <w:rPr>
                <w:rFonts w:hint="eastAsia" w:ascii="宋体" w:hAnsi="宋体"/>
                <w:color w:val="auto"/>
                <w:kern w:val="0"/>
                <w:sz w:val="20"/>
                <w:szCs w:val="21"/>
                <w:highlight w:val="none"/>
              </w:rPr>
              <w:t>附件（考核办法）</w:t>
            </w:r>
            <w:r>
              <w:rPr>
                <w:rFonts w:hint="eastAsia" w:ascii="宋体" w:hAnsi="Courier New"/>
                <w:color w:val="auto"/>
                <w:kern w:val="0"/>
                <w:sz w:val="20"/>
                <w:szCs w:val="21"/>
                <w:highlight w:val="none"/>
              </w:rPr>
              <w:t>进行考核。</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2）设有专门的用户反馈系统，方便用户问题咨询与投诉。</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6．报价必须含以下部分，包括：</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（1）服务的价格（其中人员工资不能低于南宁市最低标准）；</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（2）必要的保险费用和各项税金；</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（3）服务内容涉及的所有开支</w:t>
            </w:r>
          </w:p>
          <w:p>
            <w:pPr>
              <w:rPr>
                <w:color w:val="auto"/>
                <w:highlight w:val="none"/>
              </w:rPr>
            </w:pPr>
            <w:r>
              <w:rPr>
                <w:rFonts w:hint="eastAsia"/>
                <w:color w:val="auto"/>
                <w:highlight w:val="none"/>
              </w:rPr>
              <w:t>7．付款条件：</w:t>
            </w:r>
          </w:p>
          <w:p>
            <w:pPr>
              <w:rPr>
                <w:rFonts w:ascii="宋体" w:hAnsi="宋体"/>
                <w:color w:val="auto"/>
                <w:highlight w:val="none"/>
              </w:rPr>
            </w:pPr>
            <w:r>
              <w:rPr>
                <w:rFonts w:hint="eastAsia" w:ascii="宋体" w:hAnsi="宋体"/>
                <w:color w:val="auto"/>
                <w:highlight w:val="none"/>
              </w:rPr>
              <w:t>（1）合同签订后</w:t>
            </w:r>
            <w:r>
              <w:rPr>
                <w:rFonts w:ascii="宋体" w:hAnsi="宋体"/>
                <w:color w:val="auto"/>
                <w:highlight w:val="none"/>
              </w:rPr>
              <w:t>30</w:t>
            </w:r>
            <w:r>
              <w:rPr>
                <w:rFonts w:hint="eastAsia" w:ascii="宋体" w:hAnsi="宋体"/>
                <w:color w:val="auto"/>
                <w:highlight w:val="none"/>
              </w:rPr>
              <w:t>个自然日内，支付合同总额10%预付款。</w:t>
            </w:r>
          </w:p>
          <w:p>
            <w:pPr>
              <w:rPr>
                <w:rFonts w:ascii="宋体" w:hAnsi="宋体"/>
                <w:color w:val="auto"/>
                <w:highlight w:val="none"/>
              </w:rPr>
            </w:pPr>
            <w:r>
              <w:rPr>
                <w:rFonts w:hint="eastAsia" w:ascii="宋体" w:hAnsi="宋体"/>
                <w:color w:val="auto"/>
                <w:highlight w:val="none"/>
              </w:rPr>
              <w:t>（2）根据运维开始后第一个月考核情况，支付合同总额30%合同款。</w:t>
            </w:r>
          </w:p>
          <w:p>
            <w:pPr>
              <w:rPr>
                <w:rFonts w:ascii="宋体" w:hAnsi="宋体"/>
                <w:color w:val="auto"/>
                <w:highlight w:val="none"/>
              </w:rPr>
            </w:pPr>
            <w:r>
              <w:rPr>
                <w:rFonts w:hint="eastAsia" w:ascii="宋体" w:hAnsi="宋体"/>
                <w:color w:val="auto"/>
                <w:highlight w:val="none"/>
              </w:rPr>
              <w:t>（3）2022年11月30日前，由中标人开具合同总额60%预付款保函（有效期至少覆盖本合同履行期限），再支付剩余合同款。</w:t>
            </w:r>
          </w:p>
          <w:p>
            <w:pPr>
              <w:rPr>
                <w:rFonts w:ascii="宋体" w:hAnsi="宋体"/>
                <w:color w:val="auto"/>
                <w:highlight w:val="none"/>
              </w:rPr>
            </w:pPr>
            <w:r>
              <w:rPr>
                <w:rFonts w:hint="eastAsia" w:ascii="宋体" w:hAnsi="宋体"/>
                <w:color w:val="auto"/>
                <w:highlight w:val="none"/>
              </w:rPr>
              <w:t>每次付款前，中标方应提供正规发票和请款函。合同期满，经双方验收合格后，采购方在收到中标方申请后办理预付款保函退还手续。</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8．投标人如需实地进行勘察，请自行前往，勘察费用自理。</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9．不得转包给第三者，也不能给第三者挂靠。</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10．运维服务不接受投标人联合体投标，不允许转包。</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11.▲合同履行：供应商投标文件中必须就合同履行要求作出承诺，并提供合同履约承诺函。否则视投标文件无效。</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12.▲其他说明：一、供应商须在投标文件中提供详细的服务技术方案，中标之后须严格按照方案及承诺提供服务。服务技术方案包含但不限于以下内容：</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13.服务实施计划方案。</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（1）提出针对本项目要求和实际情况的项目执行方案；</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（2）列明承诺参与本项目的主要专业人员情况；</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（3）对各项工作内容明确针对性解决方案；</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（4）整体服务质量承诺书。</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14.服务质量保证措施。应包括主要技术方法、技术路线、技术规范，机构内部质量控制办法、业务管理制度等。</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15.服务进度保证措施。应包括资金及时间安排、各项工作进度计划、业务管理及内部服务等。</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16.投入项目实施人员配置方案、设备配置方案。</w:t>
            </w:r>
          </w:p>
          <w:p>
            <w:pPr>
              <w:widowControl/>
              <w:snapToGrid w:val="0"/>
              <w:spacing w:line="300" w:lineRule="exact"/>
              <w:jc w:val="left"/>
              <w:rPr>
                <w:rFonts w:ascii="宋体" w:hAnsi="Courier New"/>
                <w:color w:val="auto"/>
                <w:kern w:val="0"/>
                <w:sz w:val="20"/>
                <w:szCs w:val="21"/>
                <w:highlight w:val="none"/>
              </w:rPr>
            </w:pPr>
            <w:r>
              <w:rPr>
                <w:rFonts w:hint="eastAsia" w:ascii="宋体" w:hAnsi="Courier New"/>
                <w:color w:val="auto"/>
                <w:kern w:val="0"/>
                <w:sz w:val="20"/>
                <w:szCs w:val="21"/>
                <w:highlight w:val="none"/>
              </w:rPr>
              <w:t>17.本项目采购标的需执行的国家相关标准、行业标准、地方标准或其他强制性标准、规范等要求：按照项目任务开展所涉及到现行有效的相关监测技术规范进行执行。</w:t>
            </w:r>
          </w:p>
        </w:tc>
      </w:tr>
    </w:tbl>
    <w:p>
      <w:pPr>
        <w:widowControl/>
        <w:snapToGrid w:val="0"/>
        <w:spacing w:line="300" w:lineRule="exact"/>
        <w:jc w:val="left"/>
        <w:rPr>
          <w:rFonts w:ascii="宋体" w:hAnsi="Courier New"/>
          <w:color w:val="auto"/>
          <w:kern w:val="0"/>
          <w:sz w:val="20"/>
          <w:szCs w:val="21"/>
          <w:highlight w:val="none"/>
        </w:rPr>
      </w:pPr>
    </w:p>
    <w:p>
      <w:pPr>
        <w:tabs>
          <w:tab w:val="center" w:pos="4153"/>
          <w:tab w:val="right" w:pos="8306"/>
        </w:tabs>
        <w:snapToGrid w:val="0"/>
        <w:jc w:val="left"/>
        <w:rPr>
          <w:rFonts w:ascii="宋体" w:hAnsi="Courier New"/>
          <w:color w:val="auto"/>
          <w:kern w:val="0"/>
          <w:sz w:val="20"/>
          <w:szCs w:val="21"/>
          <w:highlight w:val="none"/>
        </w:rPr>
      </w:pPr>
      <w:r>
        <w:rPr>
          <w:color w:val="auto"/>
          <w:sz w:val="18"/>
          <w:szCs w:val="18"/>
          <w:highlight w:val="none"/>
        </w:rPr>
        <w:br w:type="page"/>
      </w:r>
    </w:p>
    <w:p>
      <w:pPr>
        <w:keepNext/>
        <w:keepLines/>
        <w:jc w:val="left"/>
        <w:outlineLvl w:val="0"/>
        <w:rPr>
          <w:b/>
          <w:bCs/>
          <w:color w:val="auto"/>
          <w:kern w:val="44"/>
          <w:sz w:val="30"/>
          <w:szCs w:val="30"/>
          <w:highlight w:val="none"/>
        </w:rPr>
      </w:pPr>
      <w:r>
        <w:rPr>
          <w:rFonts w:hint="eastAsia"/>
          <w:b/>
          <w:bCs/>
          <w:color w:val="auto"/>
          <w:kern w:val="44"/>
          <w:sz w:val="30"/>
          <w:szCs w:val="30"/>
          <w:highlight w:val="none"/>
        </w:rPr>
        <w:t>附件1：</w:t>
      </w:r>
    </w:p>
    <w:p>
      <w:pPr>
        <w:jc w:val="center"/>
        <w:rPr>
          <w:rFonts w:ascii="宋体" w:hAnsi="宋体" w:cs="宋体"/>
          <w:color w:val="auto"/>
          <w:highlight w:val="none"/>
        </w:rPr>
      </w:pPr>
      <w:r>
        <w:rPr>
          <w:rFonts w:hint="eastAsia" w:ascii="宋体" w:hAnsi="宋体" w:cs="宋体"/>
          <w:color w:val="auto"/>
          <w:highlight w:val="none"/>
        </w:rPr>
        <w:t>表1</w:t>
      </w:r>
      <w:r>
        <w:rPr>
          <w:rFonts w:ascii="宋体" w:hAnsi="宋体" w:cs="宋体"/>
          <w:color w:val="auto"/>
          <w:highlight w:val="none"/>
        </w:rPr>
        <w:t xml:space="preserve"> </w:t>
      </w:r>
      <w:r>
        <w:rPr>
          <w:rFonts w:hint="eastAsia" w:ascii="宋体" w:hAnsi="宋体" w:cs="宋体"/>
          <w:color w:val="auto"/>
          <w:highlight w:val="none"/>
        </w:rPr>
        <w:t>大气颗粒物组分网自动监测、手工监测及挥发性有机物自动在线监测仪器信息表及运维时间</w:t>
      </w:r>
    </w:p>
    <w:tbl>
      <w:tblPr>
        <w:tblStyle w:val="18"/>
        <w:tblW w:w="9418" w:type="dxa"/>
        <w:jc w:val="center"/>
        <w:tblLayout w:type="fixed"/>
        <w:tblCellMar>
          <w:top w:w="0" w:type="dxa"/>
          <w:left w:w="0" w:type="dxa"/>
          <w:bottom w:w="0" w:type="dxa"/>
          <w:right w:w="0" w:type="dxa"/>
        </w:tblCellMar>
      </w:tblPr>
      <w:tblGrid>
        <w:gridCol w:w="572"/>
        <w:gridCol w:w="2331"/>
        <w:gridCol w:w="1615"/>
        <w:gridCol w:w="762"/>
        <w:gridCol w:w="1707"/>
        <w:gridCol w:w="2431"/>
      </w:tblGrid>
      <w:tr>
        <w:tblPrEx>
          <w:tblCellMar>
            <w:top w:w="0" w:type="dxa"/>
            <w:left w:w="0" w:type="dxa"/>
            <w:bottom w:w="0" w:type="dxa"/>
            <w:right w:w="0" w:type="dxa"/>
          </w:tblCellMar>
        </w:tblPrEx>
        <w:trPr>
          <w:trHeight w:val="698"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序号</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设备名称</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设备型号</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b/>
                <w:bCs/>
                <w:color w:val="auto"/>
                <w:sz w:val="18"/>
                <w:szCs w:val="18"/>
                <w:highlight w:val="none"/>
              </w:rPr>
            </w:pPr>
            <w:r>
              <w:rPr>
                <w:rFonts w:hint="eastAsia" w:ascii="宋体" w:hAnsi="宋体" w:cs="宋体"/>
                <w:b/>
                <w:bCs/>
                <w:color w:val="auto"/>
                <w:kern w:val="0"/>
                <w:sz w:val="18"/>
                <w:szCs w:val="18"/>
                <w:highlight w:val="none"/>
                <w:lang w:bidi="ar"/>
              </w:rPr>
              <w:t>数量</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b/>
                <w:bCs/>
                <w:color w:val="auto"/>
                <w:kern w:val="0"/>
                <w:sz w:val="18"/>
                <w:szCs w:val="18"/>
                <w:highlight w:val="none"/>
                <w:lang w:bidi="ar"/>
              </w:rPr>
            </w:pPr>
            <w:r>
              <w:rPr>
                <w:rFonts w:hint="eastAsia" w:ascii="宋体" w:hAnsi="宋体" w:cs="宋体"/>
                <w:b/>
                <w:bCs/>
                <w:color w:val="auto"/>
                <w:kern w:val="0"/>
                <w:sz w:val="18"/>
                <w:szCs w:val="18"/>
                <w:highlight w:val="none"/>
                <w:lang w:bidi="ar"/>
              </w:rPr>
              <w:t>运维开始时间</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b/>
                <w:bCs/>
                <w:color w:val="auto"/>
                <w:kern w:val="0"/>
                <w:sz w:val="18"/>
                <w:szCs w:val="18"/>
                <w:highlight w:val="none"/>
                <w:lang w:bidi="ar"/>
              </w:rPr>
            </w:pPr>
            <w:r>
              <w:rPr>
                <w:rFonts w:hint="eastAsia" w:ascii="宋体" w:hAnsi="宋体" w:cs="宋体"/>
                <w:b/>
                <w:bCs/>
                <w:color w:val="auto"/>
                <w:kern w:val="0"/>
                <w:sz w:val="18"/>
                <w:szCs w:val="18"/>
                <w:highlight w:val="none"/>
                <w:lang w:bidi="ar"/>
              </w:rPr>
              <w:t>运维结束时间</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sz w:val="18"/>
                <w:szCs w:val="18"/>
                <w:highlight w:val="none"/>
              </w:rPr>
              <w:t>1</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PM2.5在线分析仪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BAM-1020</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r>
        <w:tblPrEx>
          <w:tblCellMar>
            <w:top w:w="0" w:type="dxa"/>
            <w:left w:w="0" w:type="dxa"/>
            <w:bottom w:w="0" w:type="dxa"/>
            <w:right w:w="0" w:type="dxa"/>
          </w:tblCellMar>
        </w:tblPrEx>
        <w:trPr>
          <w:trHeight w:val="345"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水溶性离子自动监测仪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cs="宋体"/>
                <w:color w:val="auto"/>
                <w:sz w:val="18"/>
                <w:szCs w:val="18"/>
                <w:highlight w:val="none"/>
              </w:rPr>
            </w:pPr>
            <w:r>
              <w:rPr>
                <w:rFonts w:hint="eastAsia" w:ascii="宋体" w:hAnsi="宋体" w:cs="宋体"/>
                <w:color w:val="auto"/>
                <w:sz w:val="18"/>
                <w:szCs w:val="18"/>
                <w:highlight w:val="none"/>
              </w:rPr>
              <w:t>URG-9000</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无机元素自动监测仪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XACT-625</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4</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有机碳/元素碳自动监测仪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OCEC-100</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r>
        <w:tblPrEx>
          <w:tblCellMar>
            <w:top w:w="0" w:type="dxa"/>
            <w:left w:w="0" w:type="dxa"/>
            <w:bottom w:w="0" w:type="dxa"/>
            <w:right w:w="0" w:type="dxa"/>
          </w:tblCellMar>
        </w:tblPrEx>
        <w:trPr>
          <w:trHeight w:val="380"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挥发性有机物在线分析仪</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cs="宋体"/>
                <w:color w:val="auto"/>
                <w:sz w:val="18"/>
                <w:szCs w:val="18"/>
                <w:highlight w:val="none"/>
              </w:rPr>
            </w:pPr>
            <w:r>
              <w:rPr>
                <w:rFonts w:hint="eastAsia" w:ascii="宋体" w:hAnsi="宋体" w:cs="宋体"/>
                <w:color w:val="auto"/>
                <w:sz w:val="18"/>
                <w:szCs w:val="18"/>
                <w:highlight w:val="none"/>
              </w:rPr>
              <w:t>Synspec</w:t>
            </w:r>
          </w:p>
          <w:p>
            <w:pPr>
              <w:jc w:val="center"/>
              <w:rPr>
                <w:rFonts w:ascii="宋体" w:hAnsi="宋体" w:cs="宋体"/>
                <w:color w:val="auto"/>
                <w:sz w:val="18"/>
                <w:szCs w:val="18"/>
                <w:highlight w:val="none"/>
              </w:rPr>
            </w:pPr>
            <w:r>
              <w:rPr>
                <w:rFonts w:hint="eastAsia" w:ascii="宋体" w:hAnsi="宋体" w:cs="宋体"/>
                <w:color w:val="auto"/>
                <w:sz w:val="18"/>
                <w:szCs w:val="18"/>
                <w:highlight w:val="none"/>
              </w:rPr>
              <w:t xml:space="preserve"> GC955-611/811</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r>
        <w:tblPrEx>
          <w:tblCellMar>
            <w:top w:w="0" w:type="dxa"/>
            <w:left w:w="0" w:type="dxa"/>
            <w:bottom w:w="0" w:type="dxa"/>
            <w:right w:w="0" w:type="dxa"/>
          </w:tblCellMar>
        </w:tblPrEx>
        <w:trPr>
          <w:trHeight w:val="426"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6</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紫外光辐射计</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S</w:t>
            </w:r>
            <w:r>
              <w:rPr>
                <w:rFonts w:ascii="宋体" w:hAnsi="宋体" w:cs="宋体"/>
                <w:color w:val="auto"/>
                <w:kern w:val="0"/>
                <w:sz w:val="18"/>
                <w:szCs w:val="18"/>
                <w:highlight w:val="none"/>
                <w:lang w:bidi="ar"/>
              </w:rPr>
              <w:t>UV-A</w:t>
            </w:r>
            <w:r>
              <w:rPr>
                <w:rFonts w:hint="eastAsia" w:ascii="宋体" w:hAnsi="宋体" w:cs="宋体"/>
                <w:color w:val="auto"/>
                <w:kern w:val="0"/>
                <w:sz w:val="18"/>
                <w:szCs w:val="18"/>
                <w:highlight w:val="none"/>
                <w:lang w:bidi="ar"/>
              </w:rPr>
              <w:t>、</w:t>
            </w:r>
            <w:r>
              <w:rPr>
                <w:rFonts w:ascii="宋体" w:hAnsi="宋体" w:cs="宋体"/>
                <w:color w:val="auto"/>
                <w:kern w:val="0"/>
                <w:sz w:val="18"/>
                <w:szCs w:val="18"/>
                <w:highlight w:val="none"/>
                <w:lang w:bidi="ar"/>
              </w:rPr>
              <w:t>SUV-B</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2</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r>
        <w:tblPrEx>
          <w:tblCellMar>
            <w:top w:w="0" w:type="dxa"/>
            <w:left w:w="0" w:type="dxa"/>
            <w:bottom w:w="0" w:type="dxa"/>
            <w:right w:w="0" w:type="dxa"/>
          </w:tblCellMar>
        </w:tblPrEx>
        <w:trPr>
          <w:trHeight w:val="564" w:hRule="atLeast"/>
          <w:jc w:val="center"/>
        </w:trPr>
        <w:tc>
          <w:tcPr>
            <w:tcW w:w="57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7</w:t>
            </w:r>
          </w:p>
        </w:tc>
        <w:tc>
          <w:tcPr>
            <w:tcW w:w="23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left"/>
              <w:textAlignment w:val="center"/>
              <w:rPr>
                <w:rFonts w:ascii="宋体" w:hAnsi="宋体" w:cs="宋体"/>
                <w:color w:val="auto"/>
                <w:kern w:val="0"/>
                <w:sz w:val="18"/>
                <w:szCs w:val="18"/>
                <w:highlight w:val="none"/>
                <w:lang w:bidi="ar"/>
              </w:rPr>
            </w:pPr>
            <w:r>
              <w:rPr>
                <w:rFonts w:ascii="宋体" w:hAnsi="宋体" w:cs="宋体"/>
                <w:color w:val="auto"/>
                <w:kern w:val="0"/>
                <w:sz w:val="18"/>
                <w:szCs w:val="18"/>
                <w:highlight w:val="none"/>
                <w:lang w:bidi="ar"/>
              </w:rPr>
              <w:t>多通道颗粒物采样器</w:t>
            </w:r>
          </w:p>
        </w:tc>
        <w:tc>
          <w:tcPr>
            <w:tcW w:w="161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P</w:t>
            </w:r>
            <w:r>
              <w:rPr>
                <w:rFonts w:ascii="宋体" w:hAnsi="宋体" w:cs="宋体"/>
                <w:color w:val="auto"/>
                <w:kern w:val="0"/>
                <w:sz w:val="18"/>
                <w:szCs w:val="18"/>
                <w:highlight w:val="none"/>
                <w:lang w:bidi="ar"/>
              </w:rPr>
              <w:t>MS-200M</w:t>
            </w:r>
          </w:p>
        </w:tc>
        <w:tc>
          <w:tcPr>
            <w:tcW w:w="76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1</w:t>
            </w:r>
          </w:p>
        </w:tc>
        <w:tc>
          <w:tcPr>
            <w:tcW w:w="170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022</w:t>
            </w:r>
            <w:r>
              <w:rPr>
                <w:rFonts w:hint="eastAsia" w:ascii="宋体" w:hAnsi="宋体" w:cs="宋体"/>
                <w:color w:val="auto"/>
                <w:kern w:val="0"/>
                <w:sz w:val="18"/>
                <w:szCs w:val="18"/>
                <w:highlight w:val="none"/>
                <w:lang w:bidi="ar"/>
              </w:rPr>
              <w:t>年1</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月1日</w:t>
            </w:r>
          </w:p>
        </w:tc>
        <w:tc>
          <w:tcPr>
            <w:tcW w:w="243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tcPr>
          <w:p>
            <w:pPr>
              <w:jc w:val="center"/>
              <w:rPr>
                <w:color w:val="auto"/>
                <w:highlight w:val="none"/>
              </w:rPr>
            </w:pPr>
            <w:r>
              <w:rPr>
                <w:rFonts w:hint="eastAsia" w:ascii="宋体" w:hAnsi="宋体" w:cs="宋体"/>
                <w:color w:val="auto"/>
                <w:kern w:val="0"/>
                <w:sz w:val="18"/>
                <w:szCs w:val="18"/>
                <w:highlight w:val="none"/>
                <w:lang w:bidi="ar"/>
              </w:rPr>
              <w:t>2</w:t>
            </w:r>
            <w:r>
              <w:rPr>
                <w:rFonts w:ascii="宋体" w:hAnsi="宋体" w:cs="宋体"/>
                <w:color w:val="auto"/>
                <w:kern w:val="0"/>
                <w:sz w:val="18"/>
                <w:szCs w:val="18"/>
                <w:highlight w:val="none"/>
                <w:lang w:bidi="ar"/>
              </w:rPr>
              <w:t>023</w:t>
            </w:r>
            <w:r>
              <w:rPr>
                <w:rFonts w:hint="eastAsia" w:ascii="宋体" w:hAnsi="宋体" w:cs="宋体"/>
                <w:color w:val="auto"/>
                <w:kern w:val="0"/>
                <w:sz w:val="18"/>
                <w:szCs w:val="18"/>
                <w:highlight w:val="none"/>
                <w:lang w:bidi="ar"/>
              </w:rPr>
              <w:t>年9月3</w:t>
            </w:r>
            <w:r>
              <w:rPr>
                <w:rFonts w:ascii="宋体" w:hAnsi="宋体" w:cs="宋体"/>
                <w:color w:val="auto"/>
                <w:kern w:val="0"/>
                <w:sz w:val="18"/>
                <w:szCs w:val="18"/>
                <w:highlight w:val="none"/>
                <w:lang w:bidi="ar"/>
              </w:rPr>
              <w:t>0</w:t>
            </w:r>
            <w:r>
              <w:rPr>
                <w:rFonts w:hint="eastAsia" w:ascii="宋体" w:hAnsi="宋体" w:cs="宋体"/>
                <w:color w:val="auto"/>
                <w:kern w:val="0"/>
                <w:sz w:val="18"/>
                <w:szCs w:val="18"/>
                <w:highlight w:val="none"/>
                <w:lang w:bidi="ar"/>
              </w:rPr>
              <w:t>日</w:t>
            </w:r>
          </w:p>
        </w:tc>
      </w:tr>
    </w:tbl>
    <w:p>
      <w:pPr>
        <w:rPr>
          <w:rFonts w:hint="eastAsia" w:ascii="宋体" w:hAnsi="宋体" w:cs="宋体"/>
          <w:color w:val="auto"/>
          <w:highlight w:val="none"/>
        </w:rPr>
      </w:pPr>
      <w:r>
        <w:rPr>
          <w:rFonts w:hint="eastAsia" w:ascii="宋体" w:hAnsi="宋体" w:cs="宋体"/>
          <w:color w:val="auto"/>
          <w:highlight w:val="none"/>
        </w:rPr>
        <w:t>注：采购方可根据实际需求调整运维开始时间，</w:t>
      </w:r>
      <w:r>
        <w:rPr>
          <w:rFonts w:hint="eastAsia" w:ascii="宋体" w:hAnsi="宋体" w:cs="宋体"/>
          <w:color w:val="auto"/>
          <w:highlight w:val="none"/>
        </w:rPr>
        <w:t>若考核通过，</w:t>
      </w:r>
      <w:r>
        <w:rPr>
          <w:rFonts w:hint="eastAsia" w:ascii="宋体" w:hAnsi="宋体" w:cs="宋体"/>
          <w:color w:val="auto"/>
          <w:highlight w:val="none"/>
        </w:rPr>
        <w:t>运维时长不变。</w:t>
      </w:r>
    </w:p>
    <w:p>
      <w:pPr>
        <w:widowControl/>
        <w:jc w:val="left"/>
        <w:rPr>
          <w:rFonts w:ascii="宋体" w:hAnsi="宋体" w:cs="宋体"/>
          <w:b/>
          <w:color w:val="auto"/>
          <w:sz w:val="30"/>
          <w:szCs w:val="30"/>
          <w:highlight w:val="none"/>
        </w:rPr>
      </w:pPr>
      <w:r>
        <w:rPr>
          <w:rFonts w:ascii="宋体" w:hAnsi="宋体" w:cs="宋体"/>
          <w:b/>
          <w:color w:val="auto"/>
          <w:sz w:val="30"/>
          <w:szCs w:val="30"/>
          <w:highlight w:val="none"/>
        </w:rPr>
        <w:br w:type="page"/>
      </w:r>
    </w:p>
    <w:p>
      <w:pPr>
        <w:rPr>
          <w:rFonts w:ascii="宋体" w:hAnsi="宋体" w:cs="宋体"/>
          <w:b/>
          <w:color w:val="auto"/>
          <w:sz w:val="30"/>
          <w:szCs w:val="30"/>
          <w:highlight w:val="none"/>
        </w:rPr>
      </w:pPr>
      <w:r>
        <w:rPr>
          <w:rFonts w:hint="eastAsia" w:ascii="宋体" w:hAnsi="宋体" w:cs="宋体"/>
          <w:b/>
          <w:color w:val="auto"/>
          <w:sz w:val="30"/>
          <w:szCs w:val="30"/>
          <w:highlight w:val="none"/>
        </w:rPr>
        <w:t xml:space="preserve">附件2 </w:t>
      </w:r>
    </w:p>
    <w:p>
      <w:pPr>
        <w:jc w:val="center"/>
        <w:rPr>
          <w:rFonts w:ascii="宋体" w:hAnsi="宋体" w:cs="宋体"/>
          <w:b/>
          <w:color w:val="auto"/>
          <w:sz w:val="30"/>
          <w:szCs w:val="30"/>
          <w:highlight w:val="none"/>
        </w:rPr>
      </w:pPr>
      <w:r>
        <w:rPr>
          <w:rFonts w:hint="eastAsia" w:ascii="宋体" w:hAnsi="宋体" w:cs="宋体"/>
          <w:b/>
          <w:color w:val="auto"/>
          <w:sz w:val="30"/>
          <w:szCs w:val="30"/>
          <w:highlight w:val="none"/>
        </w:rPr>
        <w:t>第三方运维管理服务质量考核办法（包1）</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 xml:space="preserve">一、 考核周期 </w:t>
      </w:r>
    </w:p>
    <w:p>
      <w:pPr>
        <w:adjustRightInd w:val="0"/>
        <w:snapToGrid w:val="0"/>
        <w:spacing w:line="400" w:lineRule="exact"/>
        <w:ind w:firstLine="420" w:firstLineChars="200"/>
        <w:rPr>
          <w:rFonts w:ascii="宋体" w:hAnsi="宋体" w:cs="宋体"/>
          <w:color w:val="auto"/>
          <w:szCs w:val="21"/>
          <w:highlight w:val="none"/>
        </w:rPr>
      </w:pPr>
      <w:r>
        <w:rPr>
          <w:rFonts w:hint="eastAsia" w:ascii="宋体" w:hAnsi="宋体" w:cs="宋体"/>
          <w:color w:val="auto"/>
          <w:highlight w:val="none"/>
        </w:rPr>
        <w:t>采购方组织对运维单位运营绩效，运维期间组织不定期考核（运维期内至少</w:t>
      </w:r>
      <w:r>
        <w:rPr>
          <w:rFonts w:hint="eastAsia" w:ascii="宋体" w:hAnsi="宋体" w:cs="宋体"/>
          <w:b/>
          <w:color w:val="auto"/>
          <w:highlight w:val="none"/>
        </w:rPr>
        <w:t>每季度一次</w:t>
      </w:r>
      <w:r>
        <w:rPr>
          <w:rFonts w:hint="eastAsia" w:ascii="宋体" w:hAnsi="宋体" w:cs="宋体"/>
          <w:color w:val="auto"/>
          <w:highlight w:val="none"/>
        </w:rPr>
        <w:t xml:space="preserve">），如考核不通过，视情况延长运维时间。 </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二、考核办法</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（一）大气颗粒物组分网自动监测及挥发性有机物自动在线监测系统</w:t>
      </w:r>
    </w:p>
    <w:p>
      <w:pPr>
        <w:adjustRightInd w:val="0"/>
        <w:snapToGrid w:val="0"/>
        <w:spacing w:line="400" w:lineRule="exact"/>
        <w:ind w:firstLine="422" w:firstLineChars="200"/>
        <w:rPr>
          <w:b/>
          <w:color w:val="auto"/>
          <w:highlight w:val="none"/>
        </w:rPr>
      </w:pPr>
      <w:r>
        <w:rPr>
          <w:rFonts w:hint="eastAsia"/>
          <w:b/>
          <w:color w:val="auto"/>
          <w:highlight w:val="none"/>
        </w:rPr>
        <w:t>1、</w:t>
      </w:r>
      <w:r>
        <w:rPr>
          <w:b/>
          <w:color w:val="auto"/>
          <w:highlight w:val="none"/>
        </w:rPr>
        <w:t>运维基本目标</w:t>
      </w:r>
      <w:r>
        <w:rPr>
          <w:rFonts w:hint="eastAsia"/>
          <w:b/>
          <w:color w:val="auto"/>
          <w:highlight w:val="none"/>
        </w:rPr>
        <w:t>和考核指标</w:t>
      </w:r>
    </w:p>
    <w:p>
      <w:pPr>
        <w:adjustRightInd w:val="0"/>
        <w:snapToGrid w:val="0"/>
        <w:spacing w:line="400" w:lineRule="exact"/>
        <w:ind w:firstLine="420" w:firstLineChars="200"/>
        <w:rPr>
          <w:color w:val="auto"/>
          <w:highlight w:val="none"/>
        </w:rPr>
      </w:pPr>
      <w:r>
        <w:rPr>
          <w:color w:val="auto"/>
          <w:highlight w:val="none"/>
        </w:rPr>
        <w:t xml:space="preserve"> 运维机构必须建立完善的内部运行维护工作规范与质量管理体系，确保提供及时、准确、有效的监测数据，组分站的运行质量应达到以下指标：</w:t>
      </w:r>
    </w:p>
    <w:p>
      <w:pPr>
        <w:adjustRightInd w:val="0"/>
        <w:snapToGrid w:val="0"/>
        <w:spacing w:line="400" w:lineRule="exact"/>
        <w:ind w:firstLine="420" w:firstLineChars="200"/>
        <w:rPr>
          <w:color w:val="auto"/>
          <w:highlight w:val="none"/>
        </w:rPr>
      </w:pPr>
      <w:r>
        <w:rPr>
          <w:color w:val="auto"/>
          <w:highlight w:val="none"/>
        </w:rPr>
        <w:t xml:space="preserve">（1）组分站各项指标的有效监测数据参照《环境空气质量标准》 （GB 3095-2012）中规定的常规污染物浓度数据有效性要求。 </w:t>
      </w:r>
    </w:p>
    <w:p>
      <w:pPr>
        <w:adjustRightInd w:val="0"/>
        <w:snapToGrid w:val="0"/>
        <w:spacing w:line="400" w:lineRule="exact"/>
        <w:ind w:firstLine="420" w:firstLineChars="200"/>
        <w:rPr>
          <w:color w:val="auto"/>
          <w:highlight w:val="none"/>
        </w:rPr>
      </w:pPr>
      <w:r>
        <w:rPr>
          <w:color w:val="auto"/>
          <w:highlight w:val="none"/>
        </w:rPr>
        <w:t>（2）</w:t>
      </w:r>
      <w:r>
        <w:rPr>
          <w:rFonts w:hint="eastAsia"/>
          <w:color w:val="auto"/>
          <w:highlight w:val="none"/>
        </w:rPr>
        <w:t>组分网自动监测</w:t>
      </w:r>
      <w:r>
        <w:rPr>
          <w:color w:val="auto"/>
          <w:highlight w:val="none"/>
        </w:rPr>
        <w:t>数据捕获率达到 90%（以小时值计）以上</w:t>
      </w:r>
      <w:r>
        <w:rPr>
          <w:rFonts w:hint="eastAsia"/>
          <w:color w:val="auto"/>
          <w:highlight w:val="none"/>
        </w:rPr>
        <w:t>；挥发性有机物在线自动监测有效数据率不低于8</w:t>
      </w:r>
      <w:r>
        <w:rPr>
          <w:color w:val="auto"/>
          <w:highlight w:val="none"/>
        </w:rPr>
        <w:t>0</w:t>
      </w:r>
      <w:r>
        <w:rPr>
          <w:rFonts w:hint="eastAsia"/>
          <w:color w:val="auto"/>
          <w:highlight w:val="none"/>
        </w:rPr>
        <w:t>%。</w:t>
      </w:r>
    </w:p>
    <w:p>
      <w:pPr>
        <w:adjustRightInd w:val="0"/>
        <w:snapToGrid w:val="0"/>
        <w:spacing w:line="400" w:lineRule="exact"/>
        <w:ind w:firstLine="420" w:firstLineChars="200"/>
        <w:rPr>
          <w:color w:val="auto"/>
          <w:highlight w:val="none"/>
        </w:rPr>
      </w:pPr>
      <w:r>
        <w:rPr>
          <w:color w:val="auto"/>
          <w:highlight w:val="none"/>
        </w:rPr>
        <w:t>（3）</w:t>
      </w:r>
      <w:r>
        <w:rPr>
          <w:rFonts w:hint="eastAsia"/>
          <w:color w:val="auto"/>
          <w:highlight w:val="none"/>
        </w:rPr>
        <w:t>组分网自动监测、挥发性有机物在线自动监测</w:t>
      </w:r>
      <w:r>
        <w:rPr>
          <w:color w:val="auto"/>
          <w:highlight w:val="none"/>
        </w:rPr>
        <w:t>数据质控合格率达到 75%（以小时值计）以上。</w:t>
      </w:r>
    </w:p>
    <w:p>
      <w:pPr>
        <w:adjustRightInd w:val="0"/>
        <w:snapToGrid w:val="0"/>
        <w:spacing w:line="400" w:lineRule="exact"/>
        <w:ind w:firstLine="420" w:firstLineChars="200"/>
        <w:rPr>
          <w:color w:val="auto"/>
          <w:highlight w:val="none"/>
        </w:rPr>
      </w:pPr>
      <w:r>
        <w:rPr>
          <w:color w:val="auto"/>
          <w:highlight w:val="none"/>
        </w:rPr>
        <w:t>（4）</w:t>
      </w:r>
      <w:r>
        <w:rPr>
          <w:rFonts w:hint="eastAsia"/>
          <w:color w:val="auto"/>
          <w:highlight w:val="none"/>
        </w:rPr>
        <w:t>组分网自动监测</w:t>
      </w:r>
      <w:r>
        <w:rPr>
          <w:color w:val="auto"/>
          <w:highlight w:val="none"/>
        </w:rPr>
        <w:t>重污染过程期间数据捕获率大于 90%，数据有效率 大于 80%。</w:t>
      </w:r>
    </w:p>
    <w:p>
      <w:pPr>
        <w:adjustRightInd w:val="0"/>
        <w:snapToGrid w:val="0"/>
        <w:spacing w:line="400" w:lineRule="exact"/>
        <w:ind w:firstLine="420" w:firstLineChars="200"/>
        <w:rPr>
          <w:color w:val="auto"/>
          <w:highlight w:val="none"/>
        </w:rPr>
      </w:pPr>
      <w:r>
        <w:rPr>
          <w:rFonts w:hint="eastAsia"/>
          <w:color w:val="auto"/>
          <w:highlight w:val="none"/>
        </w:rPr>
        <w:t>（5）挥发性有机物在线自动监测</w:t>
      </w:r>
      <w:r>
        <w:rPr>
          <w:color w:val="auto"/>
          <w:highlight w:val="none"/>
        </w:rPr>
        <w:t>重污染过程期间</w:t>
      </w:r>
      <w:r>
        <w:rPr>
          <w:rFonts w:hint="eastAsia"/>
          <w:color w:val="auto"/>
          <w:highlight w:val="none"/>
        </w:rPr>
        <w:t>有</w:t>
      </w:r>
      <w:r>
        <w:rPr>
          <w:rFonts w:hint="eastAsia"/>
          <w:color w:val="auto"/>
          <w:highlight w:val="none"/>
        </w:rPr>
        <w:t>效数据率不低</w:t>
      </w:r>
      <w:r>
        <w:rPr>
          <w:rFonts w:hint="eastAsia"/>
          <w:color w:val="auto"/>
          <w:highlight w:val="none"/>
        </w:rPr>
        <w:t>于</w:t>
      </w:r>
      <w:r>
        <w:rPr>
          <w:color w:val="auto"/>
          <w:highlight w:val="none"/>
        </w:rPr>
        <w:t xml:space="preserve"> 85%</w:t>
      </w:r>
      <w:r>
        <w:rPr>
          <w:color w:val="auto"/>
          <w:highlight w:val="none"/>
        </w:rPr>
        <w:t>。</w:t>
      </w:r>
    </w:p>
    <w:p>
      <w:pPr>
        <w:adjustRightInd w:val="0"/>
        <w:snapToGrid w:val="0"/>
        <w:spacing w:line="400" w:lineRule="exact"/>
        <w:ind w:firstLine="420" w:firstLineChars="200"/>
        <w:rPr>
          <w:color w:val="auto"/>
          <w:highlight w:val="none"/>
        </w:rPr>
      </w:pPr>
      <w:r>
        <w:rPr>
          <w:color w:val="auto"/>
          <w:highlight w:val="none"/>
        </w:rPr>
        <w:t xml:space="preserve">（6） 所有运维任务完成率 100%。 </w:t>
      </w:r>
    </w:p>
    <w:p>
      <w:pPr>
        <w:adjustRightInd w:val="0"/>
        <w:snapToGrid w:val="0"/>
        <w:spacing w:line="400" w:lineRule="exact"/>
        <w:ind w:firstLine="420" w:firstLineChars="200"/>
        <w:rPr>
          <w:color w:val="auto"/>
          <w:highlight w:val="none"/>
        </w:rPr>
      </w:pPr>
      <w:r>
        <w:rPr>
          <w:color w:val="auto"/>
          <w:highlight w:val="none"/>
        </w:rPr>
        <w:t>（7） 所有异常情况处理率 100%。</w:t>
      </w:r>
    </w:p>
    <w:p>
      <w:pPr>
        <w:adjustRightInd w:val="0"/>
        <w:snapToGrid w:val="0"/>
        <w:spacing w:line="400" w:lineRule="exact"/>
        <w:ind w:firstLine="420" w:firstLineChars="200"/>
        <w:rPr>
          <w:color w:val="auto"/>
          <w:highlight w:val="none"/>
        </w:rPr>
      </w:pPr>
      <w:r>
        <w:rPr>
          <w:color w:val="auto"/>
          <w:highlight w:val="none"/>
        </w:rPr>
        <w:t>依据运维合同要求，</w:t>
      </w:r>
      <w:r>
        <w:rPr>
          <w:rFonts w:hint="eastAsia"/>
          <w:color w:val="auto"/>
          <w:highlight w:val="none"/>
        </w:rPr>
        <w:t>采购方</w:t>
      </w:r>
      <w:r>
        <w:rPr>
          <w:color w:val="auto"/>
          <w:highlight w:val="none"/>
        </w:rPr>
        <w:t>对运维机构</w:t>
      </w:r>
      <w:r>
        <w:rPr>
          <w:color w:val="auto"/>
          <w:highlight w:val="none"/>
        </w:rPr>
        <w:t>每季度</w:t>
      </w:r>
      <w:r>
        <w:rPr>
          <w:rFonts w:hint="eastAsia"/>
          <w:color w:val="auto"/>
          <w:highlight w:val="none"/>
        </w:rPr>
        <w:t>至少</w:t>
      </w:r>
      <w:r>
        <w:rPr>
          <w:color w:val="auto"/>
          <w:highlight w:val="none"/>
        </w:rPr>
        <w:t>进行一次绩效考核</w:t>
      </w:r>
      <w:r>
        <w:rPr>
          <w:color w:val="auto"/>
          <w:highlight w:val="none"/>
        </w:rPr>
        <w:t>，考核采取百分制、</w:t>
      </w:r>
      <w:r>
        <w:rPr>
          <w:rFonts w:hint="eastAsia"/>
          <w:color w:val="auto"/>
          <w:highlight w:val="none"/>
        </w:rPr>
        <w:t>组分网自动监测、挥发性有机物在线自动监测分别</w:t>
      </w:r>
      <w:r>
        <w:rPr>
          <w:color w:val="auto"/>
          <w:highlight w:val="none"/>
        </w:rPr>
        <w:t>考核的方式，</w:t>
      </w:r>
      <w:r>
        <w:rPr>
          <w:rFonts w:hint="eastAsia"/>
          <w:color w:val="auto"/>
          <w:highlight w:val="none"/>
        </w:rPr>
        <w:t>其中，组分网考核</w:t>
      </w:r>
      <w:r>
        <w:rPr>
          <w:color w:val="auto"/>
          <w:highlight w:val="none"/>
        </w:rPr>
        <w:t>主要包括监测数据捕获率、数据质控合格率以及运行维护工作完成情况</w:t>
      </w:r>
      <w:r>
        <w:rPr>
          <w:rFonts w:hint="eastAsia"/>
          <w:color w:val="auto"/>
          <w:highlight w:val="none"/>
        </w:rPr>
        <w:t>；挥发性有机物</w:t>
      </w:r>
      <w:r>
        <w:rPr>
          <w:rFonts w:hint="eastAsia"/>
          <w:color w:val="auto"/>
          <w:highlight w:val="none"/>
        </w:rPr>
        <w:t>在线自动监测考核</w:t>
      </w:r>
      <w:r>
        <w:rPr>
          <w:color w:val="auto"/>
          <w:highlight w:val="none"/>
        </w:rPr>
        <w:t>主要包括</w:t>
      </w:r>
      <w:r>
        <w:rPr>
          <w:rFonts w:hint="eastAsia"/>
          <w:color w:val="auto"/>
          <w:highlight w:val="none"/>
        </w:rPr>
        <w:t>有效数据率、</w:t>
      </w:r>
      <w:r>
        <w:rPr>
          <w:color w:val="auto"/>
          <w:highlight w:val="none"/>
        </w:rPr>
        <w:t>数据质控合格率以及运行维护工作完成情况</w:t>
      </w:r>
      <w:r>
        <w:rPr>
          <w:rFonts w:hint="eastAsia"/>
          <w:color w:val="auto"/>
          <w:highlight w:val="none"/>
        </w:rPr>
        <w:t>。</w:t>
      </w:r>
      <w:r>
        <w:rPr>
          <w:color w:val="auto"/>
          <w:highlight w:val="none"/>
        </w:rPr>
        <w:t>对达不到运维要求或违规操作的</w:t>
      </w:r>
      <w:r>
        <w:rPr>
          <w:color w:val="auto"/>
          <w:highlight w:val="none"/>
        </w:rPr>
        <w:t>，</w:t>
      </w:r>
      <w:r>
        <w:rPr>
          <w:rFonts w:hint="eastAsia"/>
          <w:color w:val="auto"/>
          <w:highlight w:val="none"/>
        </w:rPr>
        <w:t>采购方</w:t>
      </w:r>
      <w:r>
        <w:rPr>
          <w:color w:val="auto"/>
          <w:highlight w:val="none"/>
        </w:rPr>
        <w:t>根据合同要求扣减相应的运维费</w:t>
      </w:r>
      <w:r>
        <w:rPr>
          <w:rFonts w:hint="eastAsia"/>
          <w:color w:val="auto"/>
          <w:highlight w:val="none"/>
        </w:rPr>
        <w:t>或延长运维时间</w:t>
      </w:r>
      <w:r>
        <w:rPr>
          <w:color w:val="auto"/>
          <w:highlight w:val="none"/>
        </w:rPr>
        <w:t>。</w:t>
      </w:r>
      <w:r>
        <w:rPr>
          <w:rFonts w:hint="eastAsia"/>
          <w:color w:val="auto"/>
          <w:highlight w:val="none"/>
        </w:rPr>
        <w:t>采购方</w:t>
      </w:r>
      <w:r>
        <w:rPr>
          <w:color w:val="auto"/>
          <w:highlight w:val="none"/>
        </w:rPr>
        <w:t xml:space="preserve">对考核结果拥有最终解释权。 </w:t>
      </w:r>
    </w:p>
    <w:p>
      <w:pPr>
        <w:adjustRightInd w:val="0"/>
        <w:snapToGrid w:val="0"/>
        <w:spacing w:line="400" w:lineRule="exact"/>
        <w:ind w:firstLine="420" w:firstLineChars="200"/>
        <w:rPr>
          <w:color w:val="auto"/>
          <w:highlight w:val="none"/>
        </w:rPr>
      </w:pPr>
      <w:r>
        <w:rPr>
          <w:color w:val="auto"/>
          <w:highlight w:val="none"/>
        </w:rPr>
        <w:t>数据捕获率=考核时段内各监测项目实际获取的小时值监测数据量总和</w:t>
      </w:r>
      <w:r>
        <w:rPr>
          <w:rFonts w:hint="eastAsia"/>
          <w:color w:val="auto"/>
          <w:highlight w:val="none"/>
        </w:rPr>
        <w:t>/</w:t>
      </w:r>
      <w:r>
        <w:rPr>
          <w:color w:val="auto"/>
          <w:highlight w:val="none"/>
        </w:rPr>
        <w:t xml:space="preserve">应获得的小时值数据量总和 </w:t>
      </w:r>
    </w:p>
    <w:p>
      <w:pPr>
        <w:adjustRightInd w:val="0"/>
        <w:snapToGrid w:val="0"/>
        <w:spacing w:line="400" w:lineRule="exact"/>
        <w:ind w:firstLine="420" w:firstLineChars="200"/>
        <w:rPr>
          <w:color w:val="auto"/>
          <w:highlight w:val="none"/>
        </w:rPr>
      </w:pPr>
      <w:r>
        <w:rPr>
          <w:color w:val="auto"/>
          <w:highlight w:val="none"/>
        </w:rPr>
        <w:t xml:space="preserve">数据质控合格率=考核时段内各监测项目实际获取的质控合格的小时值监测数据量总和/应获得的小时值数据量总和 </w:t>
      </w:r>
    </w:p>
    <w:p>
      <w:pPr>
        <w:adjustRightInd w:val="0"/>
        <w:snapToGrid w:val="0"/>
        <w:spacing w:line="400" w:lineRule="exact"/>
        <w:ind w:firstLine="420" w:firstLineChars="200"/>
        <w:rPr>
          <w:color w:val="auto"/>
          <w:highlight w:val="none"/>
        </w:rPr>
      </w:pPr>
      <w:r>
        <w:rPr>
          <w:rFonts w:hint="eastAsia"/>
          <w:color w:val="auto"/>
          <w:highlight w:val="none"/>
        </w:rPr>
        <w:t>有效数据率=</w:t>
      </w:r>
      <w:r>
        <w:rPr>
          <w:color w:val="auto"/>
          <w:highlight w:val="none"/>
        </w:rPr>
        <w:t>考核时段内各监测项目</w:t>
      </w:r>
      <w:r>
        <w:rPr>
          <w:rFonts w:hint="eastAsia"/>
          <w:color w:val="auto"/>
          <w:highlight w:val="none"/>
        </w:rPr>
        <w:t>的有效小时数/应有小时数）×100%</w:t>
      </w:r>
    </w:p>
    <w:p>
      <w:pPr>
        <w:adjustRightInd w:val="0"/>
        <w:snapToGrid w:val="0"/>
        <w:spacing w:line="400" w:lineRule="exact"/>
        <w:ind w:firstLine="420" w:firstLineChars="200"/>
        <w:rPr>
          <w:color w:val="auto"/>
          <w:highlight w:val="none"/>
        </w:rPr>
      </w:pPr>
      <w:r>
        <w:rPr>
          <w:color w:val="auto"/>
          <w:highlight w:val="none"/>
        </w:rPr>
        <w:t>每日各项目应获得小时值数据量均按 24 个计（每小时 1 个）， 考核时段天数按考核时段内日历天数计。计算应获得小时值数据量时，应扣除因不可抗力造成的停止监测的小时数（如停电、疫情影响 等造成的停机等）。</w:t>
      </w:r>
    </w:p>
    <w:p>
      <w:pPr>
        <w:adjustRightInd w:val="0"/>
        <w:snapToGrid w:val="0"/>
        <w:spacing w:line="400" w:lineRule="exact"/>
        <w:ind w:firstLine="420" w:firstLineChars="200"/>
        <w:rPr>
          <w:color w:val="auto"/>
          <w:highlight w:val="none"/>
        </w:rPr>
      </w:pPr>
      <w:r>
        <w:rPr>
          <w:color w:val="auto"/>
          <w:highlight w:val="none"/>
        </w:rPr>
        <w:t xml:space="preserve"> 自动运维每季度考核包括两率及运行维护工作完成情况： </w:t>
      </w:r>
    </w:p>
    <w:p>
      <w:pPr>
        <w:adjustRightInd w:val="0"/>
        <w:snapToGrid w:val="0"/>
        <w:spacing w:line="400" w:lineRule="exact"/>
        <w:ind w:firstLine="420" w:firstLineChars="200"/>
        <w:rPr>
          <w:color w:val="auto"/>
          <w:highlight w:val="none"/>
        </w:rPr>
      </w:pPr>
      <w:r>
        <w:rPr>
          <w:rFonts w:hint="eastAsia"/>
          <w:color w:val="auto"/>
          <w:highlight w:val="none"/>
        </w:rPr>
        <w:t>（1）</w:t>
      </w:r>
      <w:r>
        <w:rPr>
          <w:color w:val="auto"/>
          <w:highlight w:val="none"/>
        </w:rPr>
        <w:t>两率部分(70分)</w:t>
      </w:r>
    </w:p>
    <w:p>
      <w:pPr>
        <w:adjustRightInd w:val="0"/>
        <w:snapToGrid w:val="0"/>
        <w:spacing w:line="400" w:lineRule="exact"/>
        <w:ind w:firstLine="420" w:firstLineChars="200"/>
        <w:rPr>
          <w:color w:val="auto"/>
          <w:highlight w:val="none"/>
        </w:rPr>
      </w:pPr>
      <w:r>
        <w:rPr>
          <w:color w:val="auto"/>
          <w:highlight w:val="none"/>
        </w:rPr>
        <w:t xml:space="preserve"> </w:t>
      </w:r>
      <w:r>
        <w:rPr>
          <w:rFonts w:hint="eastAsia"/>
          <w:color w:val="auto"/>
          <w:highlight w:val="none"/>
        </w:rPr>
        <w:t>组分网自动监测</w:t>
      </w:r>
      <w:r>
        <w:rPr>
          <w:color w:val="auto"/>
          <w:highlight w:val="none"/>
        </w:rPr>
        <w:t>数据</w:t>
      </w:r>
      <w:r>
        <w:rPr>
          <w:rFonts w:hint="eastAsia"/>
          <w:color w:val="auto"/>
          <w:highlight w:val="none"/>
        </w:rPr>
        <w:t>捕获率</w:t>
      </w:r>
      <w:r>
        <w:rPr>
          <w:color w:val="auto"/>
          <w:highlight w:val="none"/>
        </w:rPr>
        <w:t>大于90%、质控合格率大于 75%，两率得分为 70 分×质控合格率。</w:t>
      </w:r>
    </w:p>
    <w:p>
      <w:pPr>
        <w:adjustRightInd w:val="0"/>
        <w:snapToGrid w:val="0"/>
        <w:spacing w:line="400" w:lineRule="exact"/>
        <w:ind w:firstLine="420" w:firstLineChars="200"/>
        <w:rPr>
          <w:color w:val="auto"/>
          <w:highlight w:val="none"/>
        </w:rPr>
      </w:pPr>
      <w:r>
        <w:rPr>
          <w:color w:val="auto"/>
          <w:highlight w:val="none"/>
        </w:rPr>
        <w:t xml:space="preserve"> </w:t>
      </w:r>
      <w:r>
        <w:rPr>
          <w:rFonts w:hint="eastAsia"/>
          <w:color w:val="auto"/>
          <w:highlight w:val="none"/>
        </w:rPr>
        <w:t>组分网</w:t>
      </w:r>
      <w:r>
        <w:rPr>
          <w:rFonts w:hint="eastAsia"/>
          <w:color w:val="auto"/>
          <w:highlight w:val="none"/>
        </w:rPr>
        <w:t>自动监测</w:t>
      </w:r>
      <w:r>
        <w:rPr>
          <w:color w:val="auto"/>
          <w:highlight w:val="none"/>
        </w:rPr>
        <w:t>数据</w:t>
      </w:r>
      <w:r>
        <w:rPr>
          <w:rFonts w:hint="eastAsia"/>
          <w:color w:val="auto"/>
          <w:highlight w:val="none"/>
        </w:rPr>
        <w:t>捕获率</w:t>
      </w:r>
      <w:r>
        <w:rPr>
          <w:color w:val="auto"/>
          <w:highlight w:val="none"/>
        </w:rPr>
        <w:t xml:space="preserve">必须高于 90%（含），否则考核总分以 0 分计。单站点设备数据质控合格率必须高于 75%（含），否则考核总分以 0 分计。 </w:t>
      </w:r>
    </w:p>
    <w:p>
      <w:pPr>
        <w:adjustRightInd w:val="0"/>
        <w:snapToGrid w:val="0"/>
        <w:spacing w:line="400" w:lineRule="exact"/>
        <w:ind w:firstLine="420" w:firstLineChars="200"/>
        <w:rPr>
          <w:color w:val="auto"/>
          <w:highlight w:val="none"/>
        </w:rPr>
      </w:pPr>
      <w:r>
        <w:rPr>
          <w:color w:val="auto"/>
          <w:highlight w:val="none"/>
        </w:rPr>
        <w:t>挥发性有机物</w:t>
      </w:r>
      <w:r>
        <w:rPr>
          <w:rFonts w:hint="eastAsia"/>
          <w:color w:val="auto"/>
          <w:highlight w:val="none"/>
        </w:rPr>
        <w:t>在线自动监测有效数据率不低于</w:t>
      </w:r>
      <w:r>
        <w:rPr>
          <w:color w:val="auto"/>
          <w:highlight w:val="none"/>
        </w:rPr>
        <w:t>80%</w:t>
      </w:r>
      <w:r>
        <w:rPr>
          <w:rFonts w:hint="eastAsia"/>
          <w:color w:val="auto"/>
          <w:highlight w:val="none"/>
        </w:rPr>
        <w:t>、质控合格率大于</w:t>
      </w:r>
      <w:r>
        <w:rPr>
          <w:color w:val="auto"/>
          <w:highlight w:val="none"/>
        </w:rPr>
        <w:t xml:space="preserve"> 75%</w:t>
      </w:r>
      <w:r>
        <w:rPr>
          <w:rFonts w:hint="eastAsia"/>
          <w:color w:val="auto"/>
          <w:highlight w:val="none"/>
        </w:rPr>
        <w:t>，两率得分为</w:t>
      </w:r>
      <w:r>
        <w:rPr>
          <w:color w:val="auto"/>
          <w:highlight w:val="none"/>
        </w:rPr>
        <w:t xml:space="preserve"> 70 </w:t>
      </w:r>
      <w:r>
        <w:rPr>
          <w:rFonts w:hint="eastAsia"/>
          <w:color w:val="auto"/>
          <w:highlight w:val="none"/>
        </w:rPr>
        <w:t>分×质控合格率。</w:t>
      </w:r>
    </w:p>
    <w:p>
      <w:pPr>
        <w:adjustRightInd w:val="0"/>
        <w:snapToGrid w:val="0"/>
        <w:spacing w:line="400" w:lineRule="exact"/>
        <w:ind w:firstLine="420" w:firstLineChars="200"/>
        <w:rPr>
          <w:color w:val="auto"/>
          <w:highlight w:val="none"/>
        </w:rPr>
      </w:pPr>
      <w:r>
        <w:rPr>
          <w:color w:val="auto"/>
          <w:highlight w:val="none"/>
        </w:rPr>
        <w:t>挥发性有机物</w:t>
      </w:r>
      <w:r>
        <w:rPr>
          <w:rFonts w:hint="eastAsia"/>
          <w:color w:val="auto"/>
          <w:highlight w:val="none"/>
        </w:rPr>
        <w:t>在线自动监测</w:t>
      </w:r>
      <w:r>
        <w:rPr>
          <w:rFonts w:hint="eastAsia"/>
          <w:color w:val="auto"/>
          <w:highlight w:val="none"/>
        </w:rPr>
        <w:t>有效数据率必须高于</w:t>
      </w:r>
      <w:r>
        <w:rPr>
          <w:color w:val="auto"/>
          <w:highlight w:val="none"/>
        </w:rPr>
        <w:t>80%</w:t>
      </w:r>
      <w:r>
        <w:rPr>
          <w:rFonts w:hint="eastAsia"/>
          <w:color w:val="auto"/>
          <w:highlight w:val="none"/>
        </w:rPr>
        <w:t>，否则考核总分以</w:t>
      </w:r>
      <w:r>
        <w:rPr>
          <w:color w:val="auto"/>
          <w:highlight w:val="none"/>
        </w:rPr>
        <w:t xml:space="preserve">0 </w:t>
      </w:r>
      <w:r>
        <w:rPr>
          <w:rFonts w:hint="eastAsia"/>
          <w:color w:val="auto"/>
          <w:highlight w:val="none"/>
        </w:rPr>
        <w:t>分计。</w:t>
      </w:r>
      <w:r>
        <w:rPr>
          <w:rFonts w:hint="eastAsia"/>
          <w:color w:val="auto"/>
          <w:highlight w:val="none"/>
        </w:rPr>
        <w:t>数据</w:t>
      </w:r>
      <w:r>
        <w:rPr>
          <w:rFonts w:hint="eastAsia"/>
          <w:color w:val="auto"/>
          <w:highlight w:val="none"/>
        </w:rPr>
        <w:t>质控合格率必须高于</w:t>
      </w:r>
      <w:r>
        <w:rPr>
          <w:color w:val="auto"/>
          <w:highlight w:val="none"/>
        </w:rPr>
        <w:t xml:space="preserve"> 75%</w:t>
      </w:r>
      <w:r>
        <w:rPr>
          <w:rFonts w:hint="eastAsia"/>
          <w:color w:val="auto"/>
          <w:highlight w:val="none"/>
        </w:rPr>
        <w:t>（含），否则考核总分以</w:t>
      </w:r>
      <w:r>
        <w:rPr>
          <w:color w:val="auto"/>
          <w:highlight w:val="none"/>
        </w:rPr>
        <w:t xml:space="preserve"> 0 </w:t>
      </w:r>
      <w:r>
        <w:rPr>
          <w:rFonts w:hint="eastAsia"/>
          <w:color w:val="auto"/>
          <w:highlight w:val="none"/>
        </w:rPr>
        <w:t>分计。</w:t>
      </w:r>
    </w:p>
    <w:p>
      <w:pPr>
        <w:adjustRightInd w:val="0"/>
        <w:snapToGrid w:val="0"/>
        <w:spacing w:line="400" w:lineRule="exact"/>
        <w:ind w:firstLine="420" w:firstLineChars="200"/>
        <w:rPr>
          <w:color w:val="auto"/>
          <w:highlight w:val="none"/>
        </w:rPr>
      </w:pPr>
      <w:r>
        <w:rPr>
          <w:rFonts w:hint="eastAsia"/>
          <w:color w:val="auto"/>
          <w:highlight w:val="none"/>
        </w:rPr>
        <w:t>（2）</w:t>
      </w:r>
      <w:r>
        <w:rPr>
          <w:color w:val="auto"/>
          <w:highlight w:val="none"/>
        </w:rPr>
        <w:t>运行维护部分（30 分）</w:t>
      </w:r>
    </w:p>
    <w:p>
      <w:pPr>
        <w:adjustRightInd w:val="0"/>
        <w:snapToGrid w:val="0"/>
        <w:spacing w:line="400" w:lineRule="exact"/>
        <w:ind w:firstLine="420" w:firstLineChars="200"/>
        <w:rPr>
          <w:color w:val="auto"/>
          <w:highlight w:val="none"/>
        </w:rPr>
      </w:pPr>
      <w:r>
        <w:rPr>
          <w:color w:val="auto"/>
          <w:highlight w:val="none"/>
        </w:rPr>
        <w:t xml:space="preserve"> 运行维护部分每季度由</w:t>
      </w:r>
      <w:r>
        <w:rPr>
          <w:rFonts w:hint="eastAsia"/>
          <w:color w:val="auto"/>
          <w:highlight w:val="none"/>
        </w:rPr>
        <w:t>采购方</w:t>
      </w:r>
      <w:r>
        <w:rPr>
          <w:color w:val="auto"/>
          <w:highlight w:val="none"/>
        </w:rPr>
        <w:t>组织检查核实，核查内容包括日常运维任务完成情况、异常情况处理情况、站房环境保障效果、采样系统维护效果、仪器日常维护效果、质量控制效果、通讯系统维护效果（数据上传发布情况）、人员与档案记录管理情况</w:t>
      </w:r>
      <w:r>
        <w:rPr>
          <w:rFonts w:hint="eastAsia"/>
          <w:color w:val="auto"/>
          <w:highlight w:val="none"/>
        </w:rPr>
        <w:t>等，具体见附表1、2。</w:t>
      </w:r>
    </w:p>
    <w:p>
      <w:pPr>
        <w:adjustRightInd w:val="0"/>
        <w:snapToGrid w:val="0"/>
        <w:spacing w:line="400" w:lineRule="exact"/>
        <w:rPr>
          <w:b/>
          <w:color w:val="auto"/>
          <w:highlight w:val="none"/>
        </w:rPr>
      </w:pPr>
      <w:r>
        <w:rPr>
          <w:b/>
          <w:color w:val="auto"/>
          <w:highlight w:val="none"/>
        </w:rPr>
        <w:t>2</w:t>
      </w:r>
      <w:r>
        <w:rPr>
          <w:rFonts w:hint="eastAsia"/>
          <w:b/>
          <w:color w:val="auto"/>
          <w:highlight w:val="none"/>
        </w:rPr>
        <w:t>、</w:t>
      </w:r>
      <w:r>
        <w:rPr>
          <w:b/>
          <w:color w:val="auto"/>
          <w:highlight w:val="none"/>
        </w:rPr>
        <w:t>考核总分</w:t>
      </w:r>
      <w:r>
        <w:rPr>
          <w:rFonts w:hint="eastAsia" w:ascii="宋体" w:hAnsi="宋体" w:cs="宋体"/>
          <w:b/>
          <w:color w:val="auto"/>
          <w:szCs w:val="21"/>
          <w:highlight w:val="none"/>
        </w:rPr>
        <w:t>（满分 100 分）</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 xml:space="preserve">考核总分= 两率部分得分+ </w:t>
      </w:r>
      <w:r>
        <w:rPr>
          <w:color w:val="auto"/>
          <w:highlight w:val="none"/>
        </w:rPr>
        <w:t>运行维护部分</w:t>
      </w:r>
      <w:r>
        <w:rPr>
          <w:rFonts w:hint="eastAsia" w:ascii="宋体" w:hAnsi="宋体" w:cs="宋体"/>
          <w:color w:val="auto"/>
          <w:highlight w:val="none"/>
        </w:rPr>
        <w:t>得分</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运维</w:t>
      </w:r>
      <w:r>
        <w:rPr>
          <w:color w:val="auto"/>
          <w:highlight w:val="none"/>
        </w:rPr>
        <w:t>维护部分</w:t>
      </w:r>
      <w:r>
        <w:rPr>
          <w:rFonts w:hint="eastAsia" w:ascii="宋体" w:hAnsi="宋体" w:cs="宋体"/>
          <w:color w:val="auto"/>
          <w:highlight w:val="none"/>
        </w:rPr>
        <w:t>得分=（大气颗粒物组分网自动监测现场检查得分+挥发性有机物在线监测现场检查得分）/</w:t>
      </w:r>
      <w:r>
        <w:rPr>
          <w:rFonts w:ascii="宋体" w:hAnsi="宋体" w:cs="宋体"/>
          <w:color w:val="auto"/>
          <w:highlight w:val="none"/>
        </w:rPr>
        <w:t>2</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（二）大气颗粒物组分网手工监测</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1、考核指标</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考核指标包括：</w:t>
      </w:r>
      <w:r>
        <w:rPr>
          <w:rFonts w:hint="eastAsia" w:ascii="宋体" w:hAnsi="宋体" w:cs="宋体"/>
          <w:color w:val="auto"/>
          <w:highlight w:val="none"/>
        </w:rPr>
        <w:t>采样前准备、</w:t>
      </w:r>
      <w:r>
        <w:rPr>
          <w:rFonts w:hint="eastAsia" w:ascii="宋体" w:hAnsi="宋体" w:cs="宋体"/>
          <w:color w:val="auto"/>
          <w:szCs w:val="21"/>
          <w:highlight w:val="none"/>
        </w:rPr>
        <w:t>采样频率与时长、</w:t>
      </w:r>
      <w:r>
        <w:rPr>
          <w:rFonts w:hint="eastAsia" w:ascii="宋体" w:hAnsi="宋体" w:cs="宋体"/>
          <w:color w:val="auto"/>
          <w:highlight w:val="none"/>
        </w:rPr>
        <w:t>样品称重/保存/运输</w:t>
      </w:r>
      <w:r>
        <w:rPr>
          <w:rFonts w:hint="eastAsia" w:ascii="宋体" w:hAnsi="宋体" w:cs="宋体"/>
          <w:color w:val="auto"/>
          <w:szCs w:val="21"/>
          <w:highlight w:val="none"/>
        </w:rPr>
        <w:t>得分、仪器维护保养</w:t>
      </w:r>
      <w:r>
        <w:rPr>
          <w:rFonts w:hint="eastAsia"/>
          <w:color w:val="auto"/>
          <w:highlight w:val="none"/>
        </w:rPr>
        <w:t>等</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采样前准备（分值</w:t>
      </w:r>
      <w:r>
        <w:rPr>
          <w:rFonts w:ascii="宋体" w:hAnsi="宋体" w:cs="宋体"/>
          <w:color w:val="auto"/>
          <w:highlight w:val="none"/>
        </w:rPr>
        <w:t>20</w:t>
      </w:r>
      <w:r>
        <w:rPr>
          <w:rFonts w:hint="eastAsia" w:ascii="宋体" w:hAnsi="宋体" w:cs="宋体"/>
          <w:color w:val="auto"/>
          <w:highlight w:val="none"/>
        </w:rPr>
        <w:t>分）：包括滤膜前处理准备、采样仪器检查等。</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szCs w:val="21"/>
          <w:highlight w:val="none"/>
        </w:rPr>
        <w:t>采样频率与时长</w:t>
      </w:r>
      <w:r>
        <w:rPr>
          <w:rFonts w:hint="eastAsia" w:ascii="宋体" w:hAnsi="宋体" w:cs="宋体"/>
          <w:color w:val="auto"/>
          <w:highlight w:val="none"/>
        </w:rPr>
        <w:t>（分值</w:t>
      </w:r>
      <w:r>
        <w:rPr>
          <w:rFonts w:ascii="宋体" w:hAnsi="宋体" w:cs="宋体"/>
          <w:color w:val="auto"/>
          <w:highlight w:val="none"/>
        </w:rPr>
        <w:t>50</w:t>
      </w:r>
      <w:r>
        <w:rPr>
          <w:rFonts w:hint="eastAsia" w:ascii="宋体" w:hAnsi="宋体" w:cs="宋体"/>
          <w:color w:val="auto"/>
          <w:highlight w:val="none"/>
        </w:rPr>
        <w:t>分）</w:t>
      </w:r>
      <w:r>
        <w:rPr>
          <w:rFonts w:hint="eastAsia" w:ascii="宋体" w:hAnsi="宋体" w:cs="宋体"/>
          <w:color w:val="auto"/>
          <w:szCs w:val="21"/>
          <w:highlight w:val="none"/>
        </w:rPr>
        <w:t>：按合同要求完成采样频率、时段、数量任务。</w:t>
      </w:r>
    </w:p>
    <w:p>
      <w:pPr>
        <w:adjustRightInd w:val="0"/>
        <w:snapToGrid w:val="0"/>
        <w:spacing w:line="400" w:lineRule="exact"/>
        <w:ind w:firstLine="420" w:firstLineChars="200"/>
        <w:rPr>
          <w:rFonts w:ascii="宋体" w:hAnsi="宋体" w:cs="宋体"/>
          <w:color w:val="auto"/>
          <w:szCs w:val="21"/>
          <w:highlight w:val="none"/>
        </w:rPr>
      </w:pPr>
      <w:r>
        <w:rPr>
          <w:rFonts w:hint="eastAsia" w:ascii="宋体" w:hAnsi="宋体" w:cs="宋体"/>
          <w:color w:val="auto"/>
          <w:highlight w:val="none"/>
        </w:rPr>
        <w:t>样品称重/保存/运输</w:t>
      </w:r>
      <w:r>
        <w:rPr>
          <w:rFonts w:hint="eastAsia" w:ascii="宋体" w:hAnsi="宋体" w:cs="宋体"/>
          <w:color w:val="auto"/>
          <w:szCs w:val="21"/>
          <w:highlight w:val="none"/>
        </w:rPr>
        <w:t>得分（分值</w:t>
      </w:r>
      <w:r>
        <w:rPr>
          <w:rFonts w:ascii="宋体" w:hAnsi="宋体" w:cs="宋体"/>
          <w:color w:val="auto"/>
          <w:szCs w:val="21"/>
          <w:highlight w:val="none"/>
        </w:rPr>
        <w:t>25</w:t>
      </w:r>
      <w:r>
        <w:rPr>
          <w:rFonts w:hint="eastAsia" w:ascii="宋体" w:hAnsi="宋体" w:cs="宋体"/>
          <w:color w:val="auto"/>
          <w:szCs w:val="21"/>
          <w:highlight w:val="none"/>
        </w:rPr>
        <w:t>分）：</w:t>
      </w:r>
      <w:r>
        <w:rPr>
          <w:rFonts w:hint="eastAsia" w:ascii="宋体" w:hAnsi="宋体" w:cs="宋体"/>
          <w:color w:val="auto"/>
          <w:highlight w:val="none"/>
        </w:rPr>
        <w:t>包括</w:t>
      </w:r>
      <w:r>
        <w:rPr>
          <w:rFonts w:hint="eastAsia" w:ascii="宋体" w:hAnsi="宋体" w:cs="宋体"/>
          <w:color w:val="auto"/>
          <w:kern w:val="0"/>
          <w:szCs w:val="21"/>
          <w:highlight w:val="none"/>
        </w:rPr>
        <w:t>滤膜称重、</w:t>
      </w:r>
      <w:r>
        <w:rPr>
          <w:rFonts w:hint="eastAsia" w:ascii="宋体" w:hAnsi="宋体" w:cs="宋体"/>
          <w:color w:val="auto"/>
          <w:szCs w:val="21"/>
          <w:highlight w:val="none"/>
        </w:rPr>
        <w:t>样品保存、样品运输等</w:t>
      </w:r>
      <w:r>
        <w:rPr>
          <w:rFonts w:hint="eastAsia" w:ascii="宋体" w:hAnsi="宋体" w:cs="宋体"/>
          <w:color w:val="auto"/>
          <w:szCs w:val="21"/>
          <w:highlight w:val="none"/>
        </w:rPr>
        <w:t>。</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szCs w:val="21"/>
          <w:highlight w:val="none"/>
        </w:rPr>
        <w:t>仪器维护保养</w:t>
      </w:r>
      <w:r>
        <w:rPr>
          <w:rFonts w:hint="eastAsia"/>
          <w:color w:val="auto"/>
          <w:highlight w:val="none"/>
        </w:rPr>
        <w:t>（分值</w:t>
      </w:r>
      <w:r>
        <w:rPr>
          <w:color w:val="auto"/>
          <w:highlight w:val="none"/>
        </w:rPr>
        <w:t>5</w:t>
      </w:r>
      <w:r>
        <w:rPr>
          <w:rFonts w:hint="eastAsia"/>
          <w:color w:val="auto"/>
          <w:highlight w:val="none"/>
        </w:rPr>
        <w:t>分）：按要求进行采样仪器检查校准等。</w:t>
      </w:r>
    </w:p>
    <w:p>
      <w:pPr>
        <w:adjustRightIn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因停电、不可抗力导致采样频率、时段、</w:t>
      </w:r>
      <w:r>
        <w:rPr>
          <w:rFonts w:hint="eastAsia" w:ascii="宋体" w:hAnsi="宋体" w:cs="宋体"/>
          <w:color w:val="auto"/>
          <w:szCs w:val="21"/>
          <w:highlight w:val="none"/>
        </w:rPr>
        <w:t>数量任务未能如期完成的，根据采购方要求进行调整</w:t>
      </w:r>
      <w:r>
        <w:rPr>
          <w:rFonts w:hint="eastAsia" w:ascii="宋体" w:hAnsi="宋体" w:cs="宋体"/>
          <w:color w:val="auto"/>
          <w:highlight w:val="none"/>
        </w:rPr>
        <w:t>。</w:t>
      </w:r>
    </w:p>
    <w:p>
      <w:pPr>
        <w:adjustRightInd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相关考核指标见附表</w:t>
      </w:r>
      <w:r>
        <w:rPr>
          <w:rFonts w:ascii="宋体" w:hAnsi="宋体" w:cs="宋体"/>
          <w:color w:val="auto"/>
          <w:szCs w:val="21"/>
          <w:highlight w:val="none"/>
        </w:rPr>
        <w:t>3</w:t>
      </w:r>
      <w:r>
        <w:rPr>
          <w:rFonts w:hint="eastAsia" w:ascii="宋体" w:hAnsi="宋体" w:cs="宋体"/>
          <w:color w:val="auto"/>
          <w:szCs w:val="21"/>
          <w:highlight w:val="none"/>
        </w:rPr>
        <w:t>。</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 xml:space="preserve">2、考核总分（满分 100 分） </w:t>
      </w:r>
    </w:p>
    <w:p>
      <w:pPr>
        <w:adjustRightInd w:val="0"/>
        <w:snapToGrid w:val="0"/>
        <w:spacing w:line="400" w:lineRule="exact"/>
        <w:ind w:firstLine="420" w:firstLineChars="200"/>
        <w:rPr>
          <w:color w:val="auto"/>
          <w:highlight w:val="none"/>
        </w:rPr>
      </w:pPr>
      <w:r>
        <w:rPr>
          <w:rFonts w:hint="eastAsia" w:ascii="宋体" w:hAnsi="宋体" w:cs="宋体"/>
          <w:color w:val="auto"/>
          <w:highlight w:val="none"/>
        </w:rPr>
        <w:t xml:space="preserve">考核总分= </w:t>
      </w:r>
      <w:r>
        <w:rPr>
          <w:rFonts w:hint="eastAsia" w:ascii="宋体" w:hAnsi="宋体" w:cs="宋体"/>
          <w:color w:val="auto"/>
          <w:highlight w:val="none"/>
        </w:rPr>
        <w:t>采样前准备</w:t>
      </w:r>
      <w:r>
        <w:rPr>
          <w:rFonts w:hint="eastAsia" w:ascii="宋体" w:hAnsi="宋体" w:cs="宋体"/>
          <w:color w:val="auto"/>
          <w:highlight w:val="none"/>
        </w:rPr>
        <w:t>+</w:t>
      </w:r>
      <w:r>
        <w:rPr>
          <w:rFonts w:hint="eastAsia" w:ascii="宋体" w:hAnsi="宋体" w:cs="宋体"/>
          <w:color w:val="auto"/>
          <w:szCs w:val="21"/>
          <w:highlight w:val="none"/>
        </w:rPr>
        <w:t>采样频率与时长</w:t>
      </w:r>
      <w:r>
        <w:rPr>
          <w:rFonts w:hint="eastAsia" w:ascii="宋体" w:hAnsi="宋体" w:cs="宋体"/>
          <w:color w:val="auto"/>
          <w:highlight w:val="none"/>
        </w:rPr>
        <w:t>得分 +样品称重/保存/运输</w:t>
      </w:r>
      <w:r>
        <w:rPr>
          <w:rFonts w:hint="eastAsia" w:ascii="宋体" w:hAnsi="宋体" w:cs="宋体"/>
          <w:color w:val="auto"/>
          <w:szCs w:val="21"/>
          <w:highlight w:val="none"/>
        </w:rPr>
        <w:t>得分+</w:t>
      </w:r>
      <w:r>
        <w:rPr>
          <w:rFonts w:hint="eastAsia" w:ascii="宋体" w:hAnsi="宋体" w:cs="宋体"/>
          <w:color w:val="auto"/>
          <w:szCs w:val="21"/>
          <w:highlight w:val="none"/>
        </w:rPr>
        <w:t>仪器维护保养</w:t>
      </w:r>
      <w:r>
        <w:rPr>
          <w:rFonts w:hint="eastAsia"/>
          <w:color w:val="auto"/>
          <w:highlight w:val="none"/>
        </w:rPr>
        <w:t>得分（</w:t>
      </w:r>
      <w:r>
        <w:rPr>
          <w:rFonts w:hint="eastAsia" w:ascii="宋体" w:hAnsi="宋体" w:cs="宋体"/>
          <w:color w:val="auto"/>
          <w:highlight w:val="none"/>
        </w:rPr>
        <w:t>具体见附表</w:t>
      </w:r>
      <w:r>
        <w:rPr>
          <w:rFonts w:ascii="宋体" w:hAnsi="宋体" w:cs="宋体"/>
          <w:color w:val="auto"/>
          <w:highlight w:val="none"/>
        </w:rPr>
        <w:t>3</w:t>
      </w:r>
      <w:r>
        <w:rPr>
          <w:rFonts w:hint="eastAsia"/>
          <w:color w:val="auto"/>
          <w:highlight w:val="none"/>
        </w:rPr>
        <w:t>）</w:t>
      </w:r>
    </w:p>
    <w:p>
      <w:pPr>
        <w:adjustRightInd w:val="0"/>
        <w:snapToGrid w:val="0"/>
        <w:spacing w:line="400" w:lineRule="exact"/>
        <w:ind w:firstLine="422" w:firstLineChars="200"/>
        <w:rPr>
          <w:rFonts w:ascii="宋体" w:hAnsi="宋体" w:cs="宋体"/>
          <w:b/>
          <w:color w:val="auto"/>
          <w:highlight w:val="none"/>
        </w:rPr>
      </w:pPr>
      <w:r>
        <w:rPr>
          <w:rFonts w:hint="eastAsia"/>
          <w:b/>
          <w:color w:val="auto"/>
          <w:highlight w:val="none"/>
        </w:rPr>
        <w:t>三、考核评分</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由采购方组织检查核实，包括日常巡检维护情况、服务态度、现场考核等。</w:t>
      </w:r>
    </w:p>
    <w:p>
      <w:pPr>
        <w:adjustRightInd w:val="0"/>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 xml:space="preserve">四、惩罚机制 </w:t>
      </w:r>
    </w:p>
    <w:p>
      <w:pPr>
        <w:adjustRightInd w:val="0"/>
        <w:snapToGrid w:val="0"/>
        <w:spacing w:line="400" w:lineRule="exact"/>
        <w:ind w:firstLine="420" w:firstLineChars="200"/>
        <w:rPr>
          <w:rFonts w:ascii="宋体" w:hAnsi="宋体" w:cs="宋体"/>
          <w:color w:val="auto"/>
          <w:highlight w:val="none"/>
        </w:rPr>
      </w:pPr>
      <w:r>
        <w:rPr>
          <w:rFonts w:hint="eastAsia" w:ascii="宋体" w:hAnsi="宋体" w:cs="宋体"/>
          <w:color w:val="auto"/>
          <w:highlight w:val="none"/>
        </w:rPr>
        <w:t>单次考核达不到要求的，按以下规定延长一次运维服务。</w:t>
      </w:r>
    </w:p>
    <w:p>
      <w:pPr>
        <w:tabs>
          <w:tab w:val="center" w:pos="4153"/>
          <w:tab w:val="right" w:pos="8306"/>
        </w:tabs>
        <w:snapToGrid w:val="0"/>
        <w:jc w:val="left"/>
        <w:rPr>
          <w:rFonts w:ascii="宋体" w:hAnsi="宋体" w:cs="宋体"/>
          <w:color w:val="auto"/>
          <w:sz w:val="18"/>
          <w:szCs w:val="18"/>
          <w:highlight w:val="none"/>
        </w:rPr>
      </w:pPr>
    </w:p>
    <w:p>
      <w:pPr>
        <w:rPr>
          <w:rFonts w:ascii="宋体" w:hAnsi="宋体" w:cs="宋体"/>
          <w:color w:val="auto"/>
          <w:highlight w:val="none"/>
        </w:rPr>
      </w:pPr>
    </w:p>
    <w:p>
      <w:pPr>
        <w:tabs>
          <w:tab w:val="center" w:pos="4153"/>
          <w:tab w:val="right" w:pos="8306"/>
        </w:tabs>
        <w:snapToGrid w:val="0"/>
        <w:jc w:val="left"/>
        <w:rPr>
          <w:color w:val="auto"/>
          <w:sz w:val="18"/>
          <w:szCs w:val="18"/>
          <w:highlight w:val="none"/>
        </w:rPr>
      </w:pPr>
    </w:p>
    <w:p>
      <w:pPr>
        <w:snapToGrid w:val="0"/>
        <w:ind w:firstLine="420" w:firstLineChars="200"/>
        <w:rPr>
          <w:rFonts w:ascii="宋体" w:hAnsi="宋体" w:cs="宋体"/>
          <w:color w:val="auto"/>
          <w:szCs w:val="21"/>
          <w:highlight w:val="none"/>
        </w:rPr>
      </w:pPr>
    </w:p>
    <w:tbl>
      <w:tblPr>
        <w:tblStyle w:val="18"/>
        <w:tblW w:w="91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1"/>
        <w:gridCol w:w="2905"/>
        <w:gridCol w:w="49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ascii="宋体" w:hAnsi="宋体" w:cs="宋体"/>
                <w:color w:val="auto"/>
                <w:sz w:val="22"/>
                <w:szCs w:val="21"/>
                <w:highlight w:val="none"/>
              </w:rPr>
            </w:pPr>
            <w:r>
              <w:rPr>
                <w:rFonts w:hint="eastAsia" w:ascii="宋体" w:hAnsi="宋体" w:cs="宋体"/>
                <w:color w:val="auto"/>
                <w:sz w:val="22"/>
                <w:szCs w:val="21"/>
                <w:highlight w:val="none"/>
              </w:rPr>
              <w:t>序号</w:t>
            </w:r>
          </w:p>
        </w:tc>
        <w:tc>
          <w:tcPr>
            <w:tcW w:w="2905" w:type="dxa"/>
            <w:vAlign w:val="center"/>
          </w:tcPr>
          <w:p>
            <w:pPr>
              <w:snapToGrid w:val="0"/>
              <w:jc w:val="center"/>
              <w:rPr>
                <w:rFonts w:ascii="宋体" w:hAnsi="宋体" w:cs="宋体"/>
                <w:color w:val="auto"/>
                <w:sz w:val="22"/>
                <w:szCs w:val="21"/>
                <w:highlight w:val="none"/>
              </w:rPr>
            </w:pPr>
            <w:r>
              <w:rPr>
                <w:rFonts w:hint="eastAsia" w:ascii="宋体" w:hAnsi="宋体" w:cs="宋体"/>
                <w:color w:val="auto"/>
                <w:sz w:val="22"/>
                <w:szCs w:val="21"/>
                <w:highlight w:val="none"/>
              </w:rPr>
              <w:t>考核总分范围</w:t>
            </w:r>
          </w:p>
        </w:tc>
        <w:tc>
          <w:tcPr>
            <w:tcW w:w="4941" w:type="dxa"/>
            <w:vAlign w:val="center"/>
          </w:tcPr>
          <w:p>
            <w:pPr>
              <w:snapToGrid w:val="0"/>
              <w:jc w:val="center"/>
              <w:rPr>
                <w:rFonts w:ascii="宋体" w:hAnsi="宋体" w:cs="宋体"/>
                <w:color w:val="auto"/>
                <w:sz w:val="22"/>
                <w:szCs w:val="21"/>
                <w:highlight w:val="none"/>
              </w:rPr>
            </w:pPr>
            <w:r>
              <w:rPr>
                <w:rFonts w:hint="eastAsia" w:ascii="宋体" w:hAnsi="宋体" w:cs="宋体"/>
                <w:color w:val="auto"/>
                <w:sz w:val="22"/>
                <w:szCs w:val="21"/>
                <w:highlight w:val="none"/>
              </w:rPr>
              <w:t>延长运维服务时间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1</w:t>
            </w:r>
          </w:p>
        </w:tc>
        <w:tc>
          <w:tcPr>
            <w:tcW w:w="2905" w:type="dxa"/>
            <w:vAlign w:val="center"/>
          </w:tcPr>
          <w:p>
            <w:pPr>
              <w:snapToGrid w:val="0"/>
              <w:jc w:val="center"/>
              <w:rPr>
                <w:rFonts w:ascii="宋体" w:hAnsi="宋体" w:cs="宋体"/>
                <w:color w:val="auto"/>
                <w:szCs w:val="21"/>
                <w:highlight w:val="none"/>
              </w:rPr>
            </w:pPr>
            <w:r>
              <w:rPr>
                <w:rFonts w:hint="eastAsia" w:ascii="宋体" w:hAnsi="宋体" w:cs="宋体"/>
                <w:color w:val="auto"/>
                <w:sz w:val="22"/>
                <w:szCs w:val="21"/>
                <w:highlight w:val="none"/>
              </w:rPr>
              <w:t>≥</w:t>
            </w:r>
            <w:r>
              <w:rPr>
                <w:rFonts w:hint="eastAsia" w:ascii="宋体" w:hAnsi="宋体" w:cs="宋体"/>
                <w:color w:val="auto"/>
                <w:szCs w:val="21"/>
                <w:highlight w:val="none"/>
              </w:rPr>
              <w:t>8</w:t>
            </w:r>
            <w:r>
              <w:rPr>
                <w:rFonts w:ascii="宋体" w:hAnsi="宋体" w:cs="宋体"/>
                <w:color w:val="auto"/>
                <w:szCs w:val="21"/>
                <w:highlight w:val="none"/>
              </w:rPr>
              <w:t>0</w:t>
            </w:r>
          </w:p>
        </w:tc>
        <w:tc>
          <w:tcPr>
            <w:tcW w:w="494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按合同时间结束服务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2</w:t>
            </w:r>
          </w:p>
        </w:tc>
        <w:tc>
          <w:tcPr>
            <w:tcW w:w="2905"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70≤</w:t>
            </w:r>
            <w:r>
              <w:rPr>
                <w:rFonts w:hint="eastAsia" w:ascii="宋体" w:hAnsi="宋体" w:cs="宋体"/>
                <w:color w:val="auto"/>
                <w:sz w:val="22"/>
                <w:szCs w:val="21"/>
                <w:highlight w:val="none"/>
              </w:rPr>
              <w:t>考核总分</w:t>
            </w:r>
            <w:r>
              <w:rPr>
                <w:rFonts w:hint="eastAsia" w:ascii="宋体" w:hAnsi="宋体" w:cs="宋体"/>
                <w:color w:val="auto"/>
                <w:szCs w:val="21"/>
                <w:highlight w:val="none"/>
              </w:rPr>
              <w:t>＜</w:t>
            </w:r>
            <w:r>
              <w:rPr>
                <w:rFonts w:ascii="宋体" w:hAnsi="宋体" w:cs="宋体"/>
                <w:color w:val="auto"/>
                <w:szCs w:val="21"/>
                <w:highlight w:val="none"/>
              </w:rPr>
              <w:t>80</w:t>
            </w:r>
          </w:p>
        </w:tc>
        <w:tc>
          <w:tcPr>
            <w:tcW w:w="494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延长运维服务时间1个月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3</w:t>
            </w:r>
          </w:p>
        </w:tc>
        <w:tc>
          <w:tcPr>
            <w:tcW w:w="2905"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60≤</w:t>
            </w:r>
            <w:r>
              <w:rPr>
                <w:rFonts w:hint="eastAsia" w:ascii="宋体" w:hAnsi="宋体" w:cs="宋体"/>
                <w:color w:val="auto"/>
                <w:sz w:val="22"/>
                <w:szCs w:val="21"/>
                <w:highlight w:val="none"/>
              </w:rPr>
              <w:t>考核总分</w:t>
            </w:r>
            <w:r>
              <w:rPr>
                <w:rFonts w:hint="eastAsia" w:ascii="宋体" w:hAnsi="宋体" w:cs="宋体"/>
                <w:color w:val="auto"/>
                <w:szCs w:val="21"/>
                <w:highlight w:val="none"/>
              </w:rPr>
              <w:t>＜70</w:t>
            </w:r>
          </w:p>
        </w:tc>
        <w:tc>
          <w:tcPr>
            <w:tcW w:w="494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延长运维服务时间2个月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4</w:t>
            </w:r>
          </w:p>
        </w:tc>
        <w:tc>
          <w:tcPr>
            <w:tcW w:w="2905" w:type="dxa"/>
            <w:vAlign w:val="center"/>
          </w:tcPr>
          <w:p>
            <w:pPr>
              <w:snapToGrid w:val="0"/>
              <w:jc w:val="center"/>
              <w:rPr>
                <w:rFonts w:ascii="宋体" w:hAnsi="宋体" w:cs="宋体"/>
                <w:color w:val="auto"/>
                <w:szCs w:val="21"/>
                <w:highlight w:val="none"/>
              </w:rPr>
            </w:pPr>
            <w:r>
              <w:rPr>
                <w:rFonts w:hint="eastAsia" w:ascii="宋体" w:hAnsi="宋体" w:cs="宋体"/>
                <w:color w:val="auto"/>
                <w:sz w:val="22"/>
                <w:szCs w:val="21"/>
                <w:highlight w:val="none"/>
              </w:rPr>
              <w:t>考核总分</w:t>
            </w:r>
            <w:r>
              <w:rPr>
                <w:rFonts w:hint="eastAsia" w:ascii="宋体" w:hAnsi="宋体" w:cs="宋体"/>
                <w:color w:val="auto"/>
                <w:szCs w:val="21"/>
                <w:highlight w:val="none"/>
              </w:rPr>
              <w:t>＜60</w:t>
            </w:r>
          </w:p>
        </w:tc>
        <w:tc>
          <w:tcPr>
            <w:tcW w:w="4941" w:type="dxa"/>
            <w:vAlign w:val="center"/>
          </w:tcPr>
          <w:p>
            <w:pPr>
              <w:snapToGrid w:val="0"/>
              <w:jc w:val="center"/>
              <w:rPr>
                <w:rFonts w:ascii="宋体" w:hAnsi="宋体" w:cs="宋体"/>
                <w:color w:val="auto"/>
                <w:szCs w:val="21"/>
                <w:highlight w:val="none"/>
              </w:rPr>
            </w:pPr>
            <w:r>
              <w:rPr>
                <w:rFonts w:hint="eastAsia" w:ascii="宋体" w:hAnsi="宋体" w:cs="宋体"/>
                <w:color w:val="auto"/>
                <w:szCs w:val="21"/>
                <w:highlight w:val="none"/>
              </w:rPr>
              <w:t>延长运维服务时间3个月</w:t>
            </w:r>
          </w:p>
        </w:tc>
      </w:tr>
    </w:tbl>
    <w:p>
      <w:pPr>
        <w:snapToGrid w:val="0"/>
        <w:ind w:firstLine="316" w:firstLineChars="150"/>
        <w:rPr>
          <w:rFonts w:ascii="宋体" w:hAnsi="宋体" w:cs="宋体"/>
          <w:b/>
          <w:color w:val="auto"/>
          <w:szCs w:val="21"/>
          <w:highlight w:val="none"/>
        </w:rPr>
      </w:pPr>
    </w:p>
    <w:p>
      <w:pPr>
        <w:snapToGrid w:val="0"/>
        <w:ind w:firstLine="316" w:firstLineChars="150"/>
        <w:rPr>
          <w:rFonts w:ascii="宋体" w:hAnsi="宋体" w:cs="宋体"/>
          <w:b/>
          <w:color w:val="auto"/>
          <w:szCs w:val="21"/>
          <w:highlight w:val="none"/>
        </w:rPr>
        <w:sectPr>
          <w:headerReference r:id="rId7" w:type="default"/>
          <w:footerReference r:id="rId8" w:type="default"/>
          <w:pgSz w:w="11906" w:h="16838"/>
          <w:pgMar w:top="1440" w:right="1474" w:bottom="1191" w:left="1531" w:header="709" w:footer="709" w:gutter="0"/>
          <w:cols w:space="720" w:num="1"/>
          <w:docGrid w:type="lines" w:linePitch="360" w:charSpace="0"/>
        </w:sectPr>
      </w:pPr>
      <w:r>
        <w:rPr>
          <w:rFonts w:hint="eastAsia" w:ascii="宋体" w:hAnsi="宋体" w:cs="宋体"/>
          <w:b/>
          <w:color w:val="auto"/>
          <w:szCs w:val="21"/>
          <w:highlight w:val="none"/>
        </w:rPr>
        <w:t>五、本考核办法解释权归采购人所有。</w:t>
      </w:r>
    </w:p>
    <w:p>
      <w:pPr>
        <w:rPr>
          <w:rFonts w:ascii="宋体" w:hAnsi="宋体" w:cs="宋体"/>
          <w:color w:val="auto"/>
          <w:sz w:val="32"/>
          <w:szCs w:val="32"/>
          <w:highlight w:val="none"/>
        </w:rPr>
      </w:pPr>
      <w:r>
        <w:rPr>
          <w:rFonts w:hint="eastAsia" w:ascii="宋体" w:hAnsi="宋体" w:cs="宋体"/>
          <w:color w:val="auto"/>
          <w:sz w:val="32"/>
          <w:szCs w:val="32"/>
          <w:highlight w:val="none"/>
        </w:rPr>
        <w:t>附表1</w:t>
      </w:r>
      <w:r>
        <w:rPr>
          <w:rFonts w:ascii="宋体" w:hAnsi="宋体" w:cs="宋体"/>
          <w:color w:val="auto"/>
          <w:sz w:val="32"/>
          <w:szCs w:val="32"/>
          <w:highlight w:val="none"/>
        </w:rPr>
        <w:t xml:space="preserve"> </w:t>
      </w:r>
    </w:p>
    <w:p>
      <w:pPr>
        <w:jc w:val="center"/>
        <w:rPr>
          <w:rFonts w:ascii="宋体" w:hAnsi="宋体" w:cs="宋体"/>
          <w:color w:val="auto"/>
          <w:sz w:val="32"/>
          <w:szCs w:val="32"/>
          <w:highlight w:val="none"/>
        </w:rPr>
      </w:pPr>
      <w:r>
        <w:rPr>
          <w:rFonts w:hint="eastAsia" w:ascii="宋体" w:hAnsi="宋体" w:cs="宋体"/>
          <w:color w:val="auto"/>
          <w:sz w:val="32"/>
          <w:szCs w:val="32"/>
          <w:highlight w:val="none"/>
        </w:rPr>
        <w:t>大气颗粒物组分网自动监测现场检查表格</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站点名称：                     天气情况：                          站房温/湿度：</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%RH   </w:t>
      </w:r>
    </w:p>
    <w:tbl>
      <w:tblPr>
        <w:tblStyle w:val="18"/>
        <w:tblW w:w="14360" w:type="dxa"/>
        <w:jc w:val="center"/>
        <w:tblLayout w:type="fixed"/>
        <w:tblCellMar>
          <w:top w:w="0" w:type="dxa"/>
          <w:left w:w="108" w:type="dxa"/>
          <w:bottom w:w="0" w:type="dxa"/>
          <w:right w:w="108" w:type="dxa"/>
        </w:tblCellMar>
      </w:tblPr>
      <w:tblGrid>
        <w:gridCol w:w="730"/>
        <w:gridCol w:w="1298"/>
        <w:gridCol w:w="1298"/>
        <w:gridCol w:w="4607"/>
        <w:gridCol w:w="709"/>
        <w:gridCol w:w="709"/>
        <w:gridCol w:w="3544"/>
        <w:gridCol w:w="1465"/>
      </w:tblGrid>
      <w:tr>
        <w:tblPrEx>
          <w:tblCellMar>
            <w:top w:w="0" w:type="dxa"/>
            <w:left w:w="108" w:type="dxa"/>
            <w:bottom w:w="0" w:type="dxa"/>
            <w:right w:w="108" w:type="dxa"/>
          </w:tblCellMar>
        </w:tblPrEx>
        <w:trPr>
          <w:cantSplit/>
          <w:trHeight w:val="730" w:hRule="atLeast"/>
          <w:tblHeader/>
          <w:jc w:val="center"/>
        </w:trPr>
        <w:tc>
          <w:tcPr>
            <w:tcW w:w="730"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序号</w:t>
            </w:r>
          </w:p>
        </w:tc>
        <w:tc>
          <w:tcPr>
            <w:tcW w:w="1298"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检查内容</w:t>
            </w:r>
          </w:p>
        </w:tc>
        <w:tc>
          <w:tcPr>
            <w:tcW w:w="1298"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检查项目</w:t>
            </w:r>
          </w:p>
        </w:tc>
        <w:tc>
          <w:tcPr>
            <w:tcW w:w="4607"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检查要点</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单项</w:t>
            </w:r>
          </w:p>
          <w:p>
            <w:pPr>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分值</w:t>
            </w:r>
          </w:p>
        </w:tc>
        <w:tc>
          <w:tcPr>
            <w:tcW w:w="709"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得分</w:t>
            </w:r>
          </w:p>
        </w:tc>
        <w:tc>
          <w:tcPr>
            <w:tcW w:w="354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评分说明</w:t>
            </w:r>
          </w:p>
        </w:tc>
        <w:tc>
          <w:tcPr>
            <w:tcW w:w="1465"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扣分说明</w:t>
            </w:r>
          </w:p>
        </w:tc>
      </w:tr>
      <w:tr>
        <w:tblPrEx>
          <w:tblCellMar>
            <w:top w:w="0" w:type="dxa"/>
            <w:left w:w="108" w:type="dxa"/>
            <w:bottom w:w="0" w:type="dxa"/>
            <w:right w:w="108" w:type="dxa"/>
          </w:tblCellMar>
        </w:tblPrEx>
        <w:trPr>
          <w:cantSplit/>
          <w:trHeight w:val="524"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1</w:t>
            </w:r>
          </w:p>
        </w:tc>
        <w:tc>
          <w:tcPr>
            <w:tcW w:w="1298"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运维人员资质</w:t>
            </w:r>
            <w:r>
              <w:rPr>
                <w:rFonts w:hint="eastAsia" w:ascii="宋体" w:hAnsi="宋体" w:cs="宋体"/>
                <w:color w:val="auto"/>
                <w:kern w:val="0"/>
                <w:szCs w:val="21"/>
                <w:highlight w:val="none"/>
              </w:rPr>
              <w:t>（</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tc>
        <w:tc>
          <w:tcPr>
            <w:tcW w:w="1298"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上岗证</w:t>
            </w:r>
          </w:p>
        </w:tc>
        <w:tc>
          <w:tcPr>
            <w:tcW w:w="4607" w:type="dxa"/>
            <w:tcBorders>
              <w:top w:val="single" w:color="auto" w:sz="4" w:space="0"/>
              <w:left w:val="single" w:color="auto" w:sz="4" w:space="0"/>
              <w:bottom w:val="single" w:color="auto" w:sz="4" w:space="0"/>
              <w:right w:val="single" w:color="auto" w:sz="4" w:space="0"/>
            </w:tcBorders>
            <w:vAlign w:val="center"/>
          </w:tcPr>
          <w:p>
            <w:pPr>
              <w:widowControl/>
              <w:snapToGrid w:val="0"/>
              <w:rPr>
                <w:rFonts w:ascii="宋体" w:hAnsi="宋体" w:cs="宋体"/>
                <w:bCs/>
                <w:color w:val="auto"/>
                <w:kern w:val="0"/>
                <w:szCs w:val="21"/>
                <w:highlight w:val="none"/>
              </w:rPr>
            </w:pPr>
            <w:r>
              <w:rPr>
                <w:rFonts w:hint="eastAsia" w:ascii="宋体" w:hAnsi="宋体" w:cs="宋体"/>
                <w:color w:val="auto"/>
                <w:kern w:val="0"/>
                <w:szCs w:val="21"/>
                <w:highlight w:val="none"/>
              </w:rPr>
              <w:t>a)运维人员是否持证上岗</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r>
              <w:rPr>
                <w:rFonts w:ascii="宋体" w:hAnsi="宋体" w:cs="宋体"/>
                <w:color w:val="auto"/>
                <w:kern w:val="0"/>
                <w:szCs w:val="21"/>
                <w:highlight w:val="none"/>
              </w:rPr>
              <w:t>0.6</w:t>
            </w:r>
          </w:p>
        </w:tc>
        <w:tc>
          <w:tcPr>
            <w:tcW w:w="709"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p>
        </w:tc>
        <w:tc>
          <w:tcPr>
            <w:tcW w:w="3544"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r>
              <w:rPr>
                <w:rFonts w:hint="eastAsia" w:ascii="宋体" w:hAnsi="宋体" w:cs="宋体"/>
                <w:color w:val="auto"/>
                <w:kern w:val="0"/>
                <w:szCs w:val="21"/>
                <w:highlight w:val="none"/>
              </w:rPr>
              <w:t>运维人员未持有上岗证，扣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tc>
        <w:tc>
          <w:tcPr>
            <w:tcW w:w="1465"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Cs/>
                <w:color w:val="auto"/>
                <w:kern w:val="0"/>
                <w:szCs w:val="21"/>
                <w:highlight w:val="none"/>
              </w:rPr>
            </w:pPr>
          </w:p>
        </w:tc>
      </w:tr>
      <w:tr>
        <w:tblPrEx>
          <w:tblCellMar>
            <w:top w:w="0" w:type="dxa"/>
            <w:left w:w="108" w:type="dxa"/>
            <w:bottom w:w="0" w:type="dxa"/>
            <w:right w:w="108" w:type="dxa"/>
          </w:tblCellMar>
        </w:tblPrEx>
        <w:trPr>
          <w:cantSplit/>
          <w:trHeight w:val="1200" w:hRule="atLeast"/>
          <w:jc w:val="center"/>
        </w:trPr>
        <w:tc>
          <w:tcPr>
            <w:tcW w:w="730"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采样设备与设施合规性检查（</w:t>
            </w:r>
            <w:r>
              <w:rPr>
                <w:rFonts w:ascii="宋体" w:hAnsi="宋体" w:cs="宋体"/>
                <w:color w:val="auto"/>
                <w:kern w:val="0"/>
                <w:szCs w:val="21"/>
                <w:highlight w:val="none"/>
              </w:rPr>
              <w:t>4.2</w:t>
            </w:r>
            <w:r>
              <w:rPr>
                <w:rFonts w:hint="eastAsia" w:ascii="宋体" w:hAnsi="宋体" w:cs="宋体"/>
                <w:color w:val="auto"/>
                <w:kern w:val="0"/>
                <w:szCs w:val="21"/>
                <w:highlight w:val="none"/>
              </w:rPr>
              <w:t>分）</w:t>
            </w:r>
          </w:p>
        </w:tc>
        <w:tc>
          <w:tcPr>
            <w:tcW w:w="129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采样口</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设置</w:t>
            </w: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szCs w:val="21"/>
                <w:highlight w:val="none"/>
              </w:rPr>
            </w:pPr>
            <w:r>
              <w:rPr>
                <w:rFonts w:hint="eastAsia" w:ascii="宋体" w:hAnsi="宋体" w:cs="宋体"/>
                <w:color w:val="auto"/>
                <w:kern w:val="0"/>
                <w:szCs w:val="21"/>
                <w:highlight w:val="none"/>
              </w:rPr>
              <w:t>a)采样口周围水平面是否有270°以上的捕集空间；如果采样口一边靠近建筑物，采样口周围水平面应有180°以上的自由空间；50m范围内无明显污染源。</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bCs/>
                <w:color w:val="auto"/>
                <w:szCs w:val="21"/>
                <w:highlight w:val="none"/>
              </w:rPr>
              <w:t>0.9</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任意一项不满足要求，且在检查之前中标公司无相关报告的，扣</w:t>
            </w:r>
            <w:r>
              <w:rPr>
                <w:rFonts w:ascii="宋体" w:hAnsi="宋体" w:cs="宋体"/>
                <w:color w:val="auto"/>
                <w:kern w:val="0"/>
                <w:szCs w:val="21"/>
                <w:highlight w:val="none"/>
              </w:rPr>
              <w:t>0.9</w:t>
            </w:r>
            <w:r>
              <w:rPr>
                <w:rFonts w:hint="eastAsia" w:ascii="宋体" w:hAnsi="宋体" w:cs="宋体"/>
                <w:color w:val="auto"/>
                <w:kern w:val="0"/>
                <w:szCs w:val="21"/>
                <w:highlight w:val="none"/>
              </w:rPr>
              <w:t>分，扣完为止。</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76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采样单元</w:t>
            </w: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szCs w:val="21"/>
                <w:highlight w:val="none"/>
              </w:rPr>
            </w:pPr>
            <w:r>
              <w:rPr>
                <w:rFonts w:hint="eastAsia" w:ascii="宋体" w:hAnsi="宋体" w:cs="宋体"/>
                <w:color w:val="auto"/>
                <w:kern w:val="0"/>
                <w:szCs w:val="21"/>
                <w:highlight w:val="none"/>
              </w:rPr>
              <w:t>a)检查采样系统清洁程度：切割头、采样管道是否清洁，有无积灰、积水或障碍物</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bCs/>
                <w:color w:val="auto"/>
                <w:szCs w:val="21"/>
                <w:highlight w:val="none"/>
              </w:rPr>
              <w:t>1.5</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PM10切割头、PM2.5切割器、采样管任一部件有明显积灰、积水或障碍物的，扣</w:t>
            </w:r>
            <w:r>
              <w:rPr>
                <w:rFonts w:ascii="宋体" w:hAnsi="宋体" w:cs="宋体"/>
                <w:color w:val="auto"/>
                <w:kern w:val="0"/>
                <w:szCs w:val="21"/>
                <w:highlight w:val="none"/>
              </w:rPr>
              <w:t>1.5</w:t>
            </w:r>
            <w:r>
              <w:rPr>
                <w:rFonts w:hint="eastAsia" w:ascii="宋体" w:hAnsi="宋体" w:cs="宋体"/>
                <w:color w:val="auto"/>
                <w:kern w:val="0"/>
                <w:szCs w:val="21"/>
                <w:highlight w:val="none"/>
              </w:rPr>
              <w:t>分</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53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szCs w:val="21"/>
                <w:highlight w:val="none"/>
              </w:rPr>
            </w:pPr>
            <w:r>
              <w:rPr>
                <w:rFonts w:hint="eastAsia" w:ascii="宋体" w:hAnsi="宋体" w:cs="宋体"/>
                <w:color w:val="auto"/>
                <w:kern w:val="0"/>
                <w:szCs w:val="21"/>
                <w:highlight w:val="none"/>
              </w:rPr>
              <w:t>b)室外传感器百叶罩洁净度</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bCs/>
                <w:color w:val="auto"/>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室外传感器百叶罩脏污，扣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76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szCs w:val="21"/>
                <w:highlight w:val="none"/>
              </w:rPr>
            </w:pPr>
            <w:r>
              <w:rPr>
                <w:rFonts w:hint="eastAsia" w:ascii="宋体" w:hAnsi="宋体" w:cs="宋体"/>
                <w:color w:val="auto"/>
                <w:kern w:val="0"/>
                <w:szCs w:val="21"/>
                <w:highlight w:val="none"/>
              </w:rPr>
              <w:t>c)采样管是否竖直安装，采样口到站房顶部垂直距离是否大于1m，与其他采样口之间的水平距离是否大于1m，满足规范要求。</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bCs/>
                <w:color w:val="auto"/>
                <w:szCs w:val="21"/>
                <w:highlight w:val="none"/>
              </w:rPr>
              <w:t>1.2</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任意一项不满足要求，且在检查之前中标公司无相关报告的，扣</w:t>
            </w:r>
            <w:r>
              <w:rPr>
                <w:rFonts w:ascii="宋体" w:hAnsi="宋体" w:cs="宋体"/>
                <w:color w:val="auto"/>
                <w:kern w:val="0"/>
                <w:szCs w:val="21"/>
                <w:highlight w:val="none"/>
              </w:rPr>
              <w:t>0.6</w:t>
            </w:r>
            <w:r>
              <w:rPr>
                <w:rFonts w:hint="eastAsia" w:ascii="宋体" w:hAnsi="宋体" w:cs="宋体"/>
                <w:color w:val="auto"/>
                <w:kern w:val="0"/>
                <w:szCs w:val="21"/>
                <w:highlight w:val="none"/>
              </w:rPr>
              <w:t>分，扣完为止。</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975" w:hRule="atLeast"/>
          <w:jc w:val="center"/>
        </w:trPr>
        <w:tc>
          <w:tcPr>
            <w:tcW w:w="730"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测量准确性检查（</w:t>
            </w:r>
            <w:r>
              <w:rPr>
                <w:rFonts w:ascii="宋体" w:hAnsi="宋体" w:cs="宋体"/>
                <w:color w:val="auto"/>
                <w:kern w:val="0"/>
                <w:szCs w:val="21"/>
                <w:highlight w:val="none"/>
              </w:rPr>
              <w:t>16.5</w:t>
            </w:r>
            <w:r>
              <w:rPr>
                <w:rFonts w:hint="eastAsia" w:ascii="宋体" w:hAnsi="宋体" w:cs="宋体"/>
                <w:color w:val="auto"/>
                <w:kern w:val="0"/>
                <w:szCs w:val="21"/>
                <w:highlight w:val="none"/>
              </w:rPr>
              <w:t>分）</w:t>
            </w:r>
          </w:p>
          <w:p>
            <w:pPr>
              <w:widowControl/>
              <w:snapToGrid w:val="0"/>
              <w:jc w:val="center"/>
              <w:rPr>
                <w:rFonts w:ascii="宋体" w:hAnsi="宋体" w:cs="宋体"/>
                <w:color w:val="auto"/>
                <w:kern w:val="0"/>
                <w:szCs w:val="21"/>
                <w:highlight w:val="none"/>
              </w:rPr>
            </w:pPr>
          </w:p>
        </w:tc>
        <w:tc>
          <w:tcPr>
            <w:tcW w:w="1298" w:type="dxa"/>
            <w:vMerge w:val="restart"/>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仪器状态</w:t>
            </w:r>
          </w:p>
        </w:tc>
        <w:tc>
          <w:tcPr>
            <w:tcW w:w="4607"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a)现场检查仪器是否有报警信息</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现场检查时仪器有报警现象，扣</w:t>
            </w:r>
            <w:r>
              <w:rPr>
                <w:rFonts w:ascii="宋体" w:hAnsi="宋体" w:cs="宋体"/>
                <w:color w:val="auto"/>
                <w:kern w:val="0"/>
                <w:szCs w:val="21"/>
                <w:highlight w:val="none"/>
              </w:rPr>
              <w:t>0.6</w:t>
            </w:r>
            <w:r>
              <w:rPr>
                <w:rFonts w:hint="eastAsia" w:ascii="宋体" w:hAnsi="宋体" w:cs="宋体"/>
                <w:color w:val="auto"/>
                <w:kern w:val="0"/>
                <w:szCs w:val="21"/>
                <w:highlight w:val="none"/>
              </w:rPr>
              <w:t>分（若是停电重启的报警，不扣分）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b)采样管加热装置工作是否正常</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（1）采样管加热装置未正常工作，扣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（2）加热装置参数设置不符合要求（RH%≥45%时启动加热），扣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（3）采样管路空调直吹，扣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c)采样纸带是否正常，是否及时更换</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spacing w:line="2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（1）现场检查纸带用完未及时更换纸带，扣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p>
            <w:pPr>
              <w:spacing w:line="28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（2）纸带被穿透或其他异常情况，扣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173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d)设备存放台面是否清洁，是否符合检查要求：</w:t>
            </w:r>
          </w:p>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（1）台面清洁，无明显灰尘；</w:t>
            </w:r>
          </w:p>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（2）相关耗材、物品摆放整齐；</w:t>
            </w:r>
          </w:p>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（3）无明显异味；</w:t>
            </w:r>
          </w:p>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（4）仪器电源线路、气体线路规整；</w:t>
            </w:r>
          </w:p>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（5）设备外观清洁，无污</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kern w:val="0"/>
                <w:szCs w:val="21"/>
                <w:highlight w:val="none"/>
              </w:rPr>
            </w:pPr>
            <w:r>
              <w:rPr>
                <w:rFonts w:hint="eastAsia" w:ascii="宋体" w:hAnsi="宋体" w:cs="宋体"/>
                <w:color w:val="auto"/>
                <w:szCs w:val="21"/>
                <w:highlight w:val="none"/>
              </w:rPr>
              <w:t>有一项不满足要求，扣</w:t>
            </w:r>
            <w:r>
              <w:rPr>
                <w:rFonts w:ascii="宋体" w:hAnsi="宋体" w:cs="宋体"/>
                <w:color w:val="auto"/>
                <w:szCs w:val="21"/>
                <w:highlight w:val="none"/>
              </w:rPr>
              <w:t>0.3</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1077"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e)使用检查小组所带的温湿度仪、大气压力计对仪器环境温度和环境气压进行核查：环境温度≤±2℃;环境气压≤±10hpa</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（1）环境温度比对超出±2℃，扣</w:t>
            </w:r>
            <w:r>
              <w:rPr>
                <w:rFonts w:ascii="宋体" w:hAnsi="宋体" w:cs="宋体"/>
                <w:color w:val="auto"/>
                <w:szCs w:val="21"/>
                <w:highlight w:val="none"/>
              </w:rPr>
              <w:t>0.6</w:t>
            </w:r>
            <w:r>
              <w:rPr>
                <w:rFonts w:hint="eastAsia" w:ascii="宋体" w:hAnsi="宋体" w:cs="宋体"/>
                <w:color w:val="auto"/>
                <w:szCs w:val="21"/>
                <w:highlight w:val="none"/>
              </w:rPr>
              <w:t>分；</w:t>
            </w:r>
          </w:p>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（2）环境气压比对超出±10hpa，扣</w:t>
            </w:r>
            <w:r>
              <w:rPr>
                <w:rFonts w:ascii="宋体" w:hAnsi="宋体" w:cs="宋体"/>
                <w:color w:val="auto"/>
                <w:szCs w:val="21"/>
                <w:highlight w:val="none"/>
              </w:rPr>
              <w:t>0.6</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384"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f)对仪器进行采样流量测试：相对误差≤±5%</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1.5</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采样流量误差超出±5%的，扣</w:t>
            </w:r>
            <w:r>
              <w:rPr>
                <w:rFonts w:ascii="宋体" w:hAnsi="宋体" w:cs="宋体"/>
                <w:color w:val="auto"/>
                <w:szCs w:val="21"/>
                <w:highlight w:val="none"/>
              </w:rPr>
              <w:t>1.5</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694"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g)运维人员质控操作规范性检查</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任何一个质控操作不规范，扣</w:t>
            </w:r>
            <w:r>
              <w:rPr>
                <w:rFonts w:ascii="宋体" w:hAnsi="宋体" w:cs="宋体"/>
                <w:color w:val="auto"/>
                <w:szCs w:val="21"/>
                <w:highlight w:val="none"/>
              </w:rPr>
              <w:t>0.15</w:t>
            </w:r>
            <w:r>
              <w:rPr>
                <w:rFonts w:hint="eastAsia" w:ascii="宋体" w:hAnsi="宋体" w:cs="宋体"/>
                <w:color w:val="auto"/>
                <w:szCs w:val="21"/>
                <w:highlight w:val="none"/>
              </w:rPr>
              <w:t>分，扣完为止。</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529"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restart"/>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仪器状态(离子色谱)</w:t>
            </w:r>
          </w:p>
        </w:tc>
        <w:tc>
          <w:tcPr>
            <w:tcW w:w="4607"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a)</w:t>
            </w:r>
            <w:r>
              <w:rPr>
                <w:color w:val="auto"/>
                <w:highlight w:val="none"/>
              </w:rPr>
              <w:t>离</w:t>
            </w:r>
            <w:r>
              <w:rPr>
                <w:rFonts w:ascii="宋体" w:hAnsi="宋体" w:cs="宋体"/>
                <w:color w:val="auto"/>
                <w:kern w:val="0"/>
                <w:szCs w:val="21"/>
                <w:highlight w:val="none"/>
              </w:rPr>
              <w:t>子色谱基线波动</w:t>
            </w:r>
            <w:r>
              <w:rPr>
                <w:rFonts w:hint="eastAsia" w:ascii="宋体" w:hAnsi="宋体" w:cs="宋体"/>
                <w:color w:val="auto"/>
                <w:kern w:val="0"/>
                <w:szCs w:val="21"/>
                <w:highlight w:val="none"/>
              </w:rPr>
              <w:t>≤</w:t>
            </w:r>
            <w:r>
              <w:rPr>
                <w:rFonts w:hint="eastAsia" w:ascii="宋体" w:hAnsi="宋体" w:cs="宋体"/>
                <w:color w:val="auto"/>
                <w:kern w:val="0"/>
                <w:szCs w:val="21"/>
                <w:highlight w:val="none"/>
              </w:rPr>
              <w:t>0.2μS/cm</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kern w:val="0"/>
                <w:szCs w:val="21"/>
                <w:highlight w:val="none"/>
              </w:rPr>
            </w:pPr>
            <w:r>
              <w:rPr>
                <w:color w:val="auto"/>
                <w:highlight w:val="none"/>
              </w:rPr>
              <w:t>离</w:t>
            </w:r>
            <w:r>
              <w:rPr>
                <w:rFonts w:ascii="宋体" w:hAnsi="宋体" w:cs="宋体"/>
                <w:color w:val="auto"/>
                <w:kern w:val="0"/>
                <w:szCs w:val="21"/>
                <w:highlight w:val="none"/>
              </w:rPr>
              <w:t>子色谱基线波动</w:t>
            </w:r>
            <w:r>
              <w:rPr>
                <w:rFonts w:hint="eastAsia" w:ascii="宋体" w:hAnsi="宋体" w:cs="宋体"/>
                <w:color w:val="auto"/>
                <w:szCs w:val="21"/>
                <w:highlight w:val="none"/>
              </w:rPr>
              <w:t>不满足要求，扣</w:t>
            </w:r>
            <w:r>
              <w:rPr>
                <w:rFonts w:ascii="宋体" w:hAnsi="宋体" w:cs="宋体"/>
                <w:color w:val="auto"/>
                <w:szCs w:val="21"/>
                <w:highlight w:val="none"/>
              </w:rPr>
              <w:t>0.6</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b）检查超纯水剩余量是否在1/5容器体积以上、淋洗液剩余量是否在1/5容器体积以上、吸收液剩余量是否在1/5容器体积上，且容器材料应为无干扰待测成分的特氟龙或PP材料</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任何一项不满足要求，扣</w:t>
            </w:r>
            <w:r>
              <w:rPr>
                <w:rFonts w:ascii="宋体" w:hAnsi="宋体" w:cs="宋体"/>
                <w:color w:val="auto"/>
                <w:szCs w:val="21"/>
                <w:highlight w:val="none"/>
              </w:rPr>
              <w:t>0.15</w:t>
            </w:r>
            <w:r>
              <w:rPr>
                <w:rFonts w:hint="eastAsia" w:ascii="宋体" w:hAnsi="宋体" w:cs="宋体"/>
                <w:color w:val="auto"/>
                <w:szCs w:val="21"/>
                <w:highlight w:val="none"/>
              </w:rPr>
              <w:t>分，</w:t>
            </w:r>
            <w:r>
              <w:rPr>
                <w:rFonts w:hint="eastAsia" w:ascii="宋体" w:hAnsi="宋体" w:cs="宋体"/>
                <w:color w:val="auto"/>
                <w:kern w:val="0"/>
                <w:szCs w:val="21"/>
                <w:highlight w:val="none"/>
              </w:rPr>
              <w:t>上述</w:t>
            </w:r>
            <w:r>
              <w:rPr>
                <w:rFonts w:hint="eastAsia" w:ascii="宋体" w:hAnsi="宋体" w:cs="宋体"/>
                <w:color w:val="auto"/>
                <w:szCs w:val="21"/>
                <w:highlight w:val="none"/>
              </w:rPr>
              <w:t>扣完为止。</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85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c)检查六通阀、蠕动泵管、电磁阀、抑制器、泵等部分是否存在液滴泄漏是否漏液；废液流路是否畅通</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（1）如存在漏液，扣</w:t>
            </w:r>
            <w:r>
              <w:rPr>
                <w:rFonts w:ascii="宋体" w:hAnsi="宋体" w:cs="宋体"/>
                <w:color w:val="auto"/>
                <w:szCs w:val="21"/>
                <w:highlight w:val="none"/>
              </w:rPr>
              <w:t>0.6</w:t>
            </w:r>
            <w:r>
              <w:rPr>
                <w:rFonts w:hint="eastAsia" w:ascii="宋体" w:hAnsi="宋体" w:cs="宋体"/>
                <w:color w:val="auto"/>
                <w:szCs w:val="21"/>
                <w:highlight w:val="none"/>
              </w:rPr>
              <w:t>分；</w:t>
            </w:r>
          </w:p>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（2）如存在废液回流，或泄漏情况，扣</w:t>
            </w:r>
            <w:r>
              <w:rPr>
                <w:rFonts w:ascii="宋体" w:hAnsi="宋体" w:cs="宋体"/>
                <w:color w:val="auto"/>
                <w:szCs w:val="21"/>
                <w:highlight w:val="none"/>
              </w:rPr>
              <w:t>0.6</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e)检查样品序列是否保持1周或以上的样品量</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如样品序列中的样品数少于1周的量，扣1分（对于无需人工建立序列的仪器，此项直接得</w:t>
            </w:r>
            <w:r>
              <w:rPr>
                <w:rFonts w:ascii="宋体" w:hAnsi="宋体" w:cs="宋体"/>
                <w:color w:val="auto"/>
                <w:szCs w:val="21"/>
                <w:highlight w:val="none"/>
              </w:rPr>
              <w:t>0.6</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706"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f)检查蒸汽发生器是否正常产生蒸汽</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如蒸汽发生器玻璃体中间内壁无水雾，或者玻璃体下方冷凝管无液体持续冷凝，扣</w:t>
            </w:r>
            <w:r>
              <w:rPr>
                <w:rFonts w:ascii="宋体" w:hAnsi="宋体" w:cs="宋体"/>
                <w:color w:val="auto"/>
                <w:szCs w:val="21"/>
                <w:highlight w:val="none"/>
              </w:rPr>
              <w:t>0.6</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703"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restart"/>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r>
              <w:rPr>
                <w:rFonts w:hint="eastAsia" w:ascii="宋体" w:hAnsi="宋体" w:cs="宋体"/>
                <w:color w:val="auto"/>
                <w:szCs w:val="21"/>
                <w:highlight w:val="none"/>
              </w:rPr>
              <w:t>仪器性能（离子色谱）</w:t>
            </w: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a)检查近一周气溶胶各物种峰漂移≤0.5min</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0.9</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一周内物种峰偏移超过0.5min，扣</w:t>
            </w:r>
            <w:r>
              <w:rPr>
                <w:rFonts w:ascii="宋体" w:hAnsi="宋体" w:cs="宋体"/>
                <w:color w:val="auto"/>
                <w:szCs w:val="21"/>
                <w:highlight w:val="none"/>
              </w:rPr>
              <w:t>0.9</w:t>
            </w:r>
            <w:r>
              <w:rPr>
                <w:rFonts w:hint="eastAsia" w:ascii="宋体" w:hAnsi="宋体" w:cs="宋体"/>
                <w:color w:val="auto"/>
                <w:szCs w:val="21"/>
                <w:highlight w:val="none"/>
              </w:rPr>
              <w:t>分（阳离子以Mg+计，阴离子以NO3-根计）</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67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b)最新工作曲线相关系数≥0.99</w:t>
            </w:r>
            <w:r>
              <w:rPr>
                <w:rFonts w:ascii="宋体" w:hAnsi="宋体" w:cs="宋体"/>
                <w:color w:val="auto"/>
                <w:szCs w:val="21"/>
                <w:highlight w:val="none"/>
              </w:rPr>
              <w:t>5</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1.5</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任一物种相关系数不满足要求的，扣</w:t>
            </w:r>
            <w:r>
              <w:rPr>
                <w:rFonts w:ascii="宋体" w:hAnsi="宋体" w:cs="宋体"/>
                <w:color w:val="auto"/>
                <w:szCs w:val="21"/>
                <w:highlight w:val="none"/>
              </w:rPr>
              <w:t>0.3</w:t>
            </w:r>
            <w:r>
              <w:rPr>
                <w:rFonts w:hint="eastAsia" w:ascii="宋体" w:hAnsi="宋体" w:cs="宋体"/>
                <w:color w:val="auto"/>
                <w:szCs w:val="21"/>
                <w:highlight w:val="none"/>
              </w:rPr>
              <w:t>分，</w:t>
            </w:r>
            <w:r>
              <w:rPr>
                <w:rFonts w:hint="eastAsia" w:ascii="宋体" w:hAnsi="宋体" w:cs="宋体"/>
                <w:color w:val="auto"/>
                <w:kern w:val="0"/>
                <w:szCs w:val="21"/>
                <w:highlight w:val="none"/>
              </w:rPr>
              <w:t>上述</w:t>
            </w:r>
            <w:r>
              <w:rPr>
                <w:rFonts w:hint="eastAsia" w:ascii="宋体" w:hAnsi="宋体" w:cs="宋体"/>
                <w:color w:val="auto"/>
                <w:szCs w:val="21"/>
                <w:highlight w:val="none"/>
              </w:rPr>
              <w:t>扣完为止。</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975"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c)检查色谱图是否正常，峰形是否出现明显拖尾或色谱峰缺失</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1.5</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当拖尾因子超过0.7-2.5</w:t>
            </w:r>
            <w:r>
              <w:rPr>
                <w:rFonts w:hint="eastAsia" w:ascii="宋体" w:hAnsi="宋体" w:cs="宋体"/>
                <w:color w:val="auto"/>
                <w:highlight w:val="none"/>
              </w:rPr>
              <w:t xml:space="preserve"> </w:t>
            </w:r>
            <w:r>
              <w:rPr>
                <w:rFonts w:hint="eastAsia" w:ascii="宋体" w:hAnsi="宋体" w:cs="宋体"/>
                <w:color w:val="auto"/>
                <w:szCs w:val="21"/>
                <w:highlight w:val="none"/>
              </w:rPr>
              <w:t>min范围视为严重拖尾（阳离子以Mg+计，阴离子以NO3-根计），扣</w:t>
            </w:r>
            <w:r>
              <w:rPr>
                <w:rFonts w:ascii="宋体" w:hAnsi="宋体" w:cs="宋体"/>
                <w:color w:val="auto"/>
                <w:szCs w:val="21"/>
                <w:highlight w:val="none"/>
              </w:rPr>
              <w:t>1.5</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restart"/>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szCs w:val="21"/>
                <w:highlight w:val="none"/>
              </w:rPr>
              <w:t>现场测试（碳组分）</w:t>
            </w: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a)T</w:t>
            </w:r>
            <w:r>
              <w:rPr>
                <w:rFonts w:ascii="宋体" w:hAnsi="宋体" w:cs="宋体"/>
                <w:color w:val="auto"/>
                <w:szCs w:val="21"/>
                <w:highlight w:val="none"/>
              </w:rPr>
              <w:t>C</w:t>
            </w:r>
            <w:r>
              <w:rPr>
                <w:rFonts w:hint="eastAsia" w:ascii="宋体" w:hAnsi="宋体" w:cs="宋体"/>
                <w:color w:val="auto"/>
                <w:szCs w:val="21"/>
                <w:highlight w:val="none"/>
              </w:rPr>
              <w:t>仪器空白≤0.3ug；TC系统空白≤</w:t>
            </w:r>
            <w:r>
              <w:rPr>
                <w:rFonts w:ascii="宋体" w:hAnsi="宋体" w:cs="宋体"/>
                <w:color w:val="auto"/>
                <w:szCs w:val="21"/>
                <w:highlight w:val="none"/>
              </w:rPr>
              <w:t>1.0</w:t>
            </w:r>
            <w:r>
              <w:rPr>
                <w:rFonts w:hint="eastAsia" w:ascii="宋体" w:hAnsi="宋体" w:cs="宋体"/>
                <w:color w:val="auto"/>
                <w:szCs w:val="21"/>
                <w:highlight w:val="none"/>
              </w:rPr>
              <w:t>μg</w:t>
            </w:r>
            <w:r>
              <w:rPr>
                <w:rFonts w:ascii="宋体" w:hAnsi="宋体" w:cs="宋体"/>
                <w:color w:val="auto"/>
                <w:szCs w:val="21"/>
                <w:highlight w:val="none"/>
              </w:rPr>
              <w:t>/</w:t>
            </w:r>
            <w:r>
              <w:rPr>
                <w:rFonts w:hint="eastAsia" w:ascii="宋体" w:hAnsi="宋体" w:cs="宋体"/>
                <w:color w:val="auto"/>
                <w:szCs w:val="21"/>
                <w:highlight w:val="none"/>
              </w:rPr>
              <w:t>m</w:t>
            </w:r>
            <w:r>
              <w:rPr>
                <w:rFonts w:ascii="宋体" w:hAnsi="宋体" w:cs="宋体"/>
                <w:color w:val="auto"/>
                <w:szCs w:val="21"/>
                <w:highlight w:val="none"/>
                <w:vertAlign w:val="superscript"/>
              </w:rPr>
              <w:t>3</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jc w:val="left"/>
              <w:rPr>
                <w:rFonts w:ascii="宋体" w:hAnsi="宋体" w:cs="宋体"/>
                <w:color w:val="auto"/>
                <w:szCs w:val="21"/>
                <w:highlight w:val="none"/>
              </w:rPr>
            </w:pPr>
            <w:r>
              <w:rPr>
                <w:rFonts w:hint="eastAsia" w:ascii="宋体" w:hAnsi="宋体" w:cs="宋体"/>
                <w:color w:val="auto"/>
                <w:szCs w:val="21"/>
                <w:highlight w:val="none"/>
              </w:rPr>
              <w:t>每种空白超出要求，扣</w:t>
            </w:r>
            <w:r>
              <w:rPr>
                <w:rFonts w:ascii="宋体" w:hAnsi="宋体" w:cs="宋体"/>
                <w:color w:val="auto"/>
                <w:szCs w:val="21"/>
                <w:highlight w:val="none"/>
              </w:rPr>
              <w:t>0.3</w:t>
            </w:r>
            <w:r>
              <w:rPr>
                <w:rFonts w:hint="eastAsia" w:ascii="宋体" w:hAnsi="宋体" w:cs="宋体"/>
                <w:color w:val="auto"/>
                <w:szCs w:val="21"/>
                <w:highlight w:val="none"/>
              </w:rPr>
              <w:t>分，</w:t>
            </w:r>
            <w:r>
              <w:rPr>
                <w:rFonts w:hint="eastAsia" w:ascii="宋体" w:hAnsi="宋体" w:cs="宋体"/>
                <w:color w:val="auto"/>
                <w:kern w:val="0"/>
                <w:szCs w:val="21"/>
                <w:highlight w:val="none"/>
              </w:rPr>
              <w:t>上述</w:t>
            </w:r>
            <w:r>
              <w:rPr>
                <w:rFonts w:hint="eastAsia" w:ascii="宋体" w:hAnsi="宋体" w:cs="宋体"/>
                <w:color w:val="auto"/>
                <w:szCs w:val="21"/>
                <w:highlight w:val="none"/>
              </w:rPr>
              <w:t>扣完为止。</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b)正确度±</w:t>
            </w:r>
            <w:r>
              <w:rPr>
                <w:rFonts w:ascii="宋体" w:hAnsi="宋体" w:cs="宋体"/>
                <w:color w:val="auto"/>
                <w:szCs w:val="21"/>
                <w:highlight w:val="none"/>
              </w:rPr>
              <w:t>10</w:t>
            </w:r>
            <w:r>
              <w:rPr>
                <w:rFonts w:hint="eastAsia" w:ascii="宋体" w:hAnsi="宋体" w:cs="宋体"/>
                <w:color w:val="auto"/>
                <w:szCs w:val="21"/>
                <w:highlight w:val="none"/>
              </w:rPr>
              <w:t>%范围内,精密度≤</w:t>
            </w:r>
            <w:r>
              <w:rPr>
                <w:rFonts w:ascii="宋体" w:hAnsi="宋体" w:cs="宋体"/>
                <w:color w:val="auto"/>
                <w:szCs w:val="21"/>
                <w:highlight w:val="none"/>
              </w:rPr>
              <w:t>5</w:t>
            </w:r>
            <w:r>
              <w:rPr>
                <w:rFonts w:hint="eastAsia" w:ascii="宋体" w:hAnsi="宋体" w:cs="宋体"/>
                <w:color w:val="auto"/>
                <w:szCs w:val="21"/>
                <w:highlight w:val="none"/>
              </w:rPr>
              <w:t>%</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szCs w:val="21"/>
                <w:highlight w:val="none"/>
              </w:rPr>
            </w:pPr>
            <w:r>
              <w:rPr>
                <w:rFonts w:ascii="宋体" w:hAnsi="宋体" w:cs="宋体"/>
                <w:color w:val="auto"/>
                <w:szCs w:val="21"/>
                <w:highlight w:val="none"/>
              </w:rPr>
              <w:t>0.6</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spacing w:line="280" w:lineRule="exact"/>
              <w:rPr>
                <w:rFonts w:ascii="宋体" w:hAnsi="宋体" w:cs="宋体"/>
                <w:color w:val="auto"/>
                <w:szCs w:val="21"/>
                <w:highlight w:val="none"/>
              </w:rPr>
            </w:pPr>
            <w:r>
              <w:rPr>
                <w:rFonts w:hint="eastAsia" w:ascii="宋体" w:hAnsi="宋体" w:cs="宋体"/>
                <w:color w:val="auto"/>
                <w:szCs w:val="21"/>
                <w:highlight w:val="none"/>
              </w:rPr>
              <w:t>（1）准确度超出要求，扣</w:t>
            </w:r>
            <w:r>
              <w:rPr>
                <w:rFonts w:ascii="宋体" w:hAnsi="宋体" w:cs="宋体"/>
                <w:color w:val="auto"/>
                <w:szCs w:val="21"/>
                <w:highlight w:val="none"/>
              </w:rPr>
              <w:t>0.3</w:t>
            </w:r>
            <w:r>
              <w:rPr>
                <w:rFonts w:hint="eastAsia" w:ascii="宋体" w:hAnsi="宋体" w:cs="宋体"/>
                <w:color w:val="auto"/>
                <w:szCs w:val="21"/>
                <w:highlight w:val="none"/>
              </w:rPr>
              <w:t>分；</w:t>
            </w:r>
          </w:p>
          <w:p>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（2）精密度超出要求，扣</w:t>
            </w:r>
            <w:r>
              <w:rPr>
                <w:rFonts w:ascii="宋体" w:hAnsi="宋体" w:cs="宋体"/>
                <w:color w:val="auto"/>
                <w:szCs w:val="21"/>
                <w:highlight w:val="none"/>
              </w:rPr>
              <w:t>0.3</w:t>
            </w:r>
            <w:r>
              <w:rPr>
                <w:rFonts w:hint="eastAsia" w:ascii="宋体" w:hAnsi="宋体" w:cs="宋体"/>
                <w:color w:val="auto"/>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现场测试(无机</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元素)</w:t>
            </w: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a)</w:t>
            </w:r>
            <w:r>
              <w:rPr>
                <w:rFonts w:hint="eastAsia" w:ascii="宋体" w:hAnsi="宋体" w:cs="宋体"/>
                <w:color w:val="auto"/>
                <w:szCs w:val="21"/>
                <w:highlight w:val="none"/>
              </w:rPr>
              <w:t xml:space="preserve"> 系统空白≤方法检出限。</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0.9</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空白超出最低检测限的，每种扣</w:t>
            </w:r>
            <w:r>
              <w:rPr>
                <w:rFonts w:ascii="宋体" w:hAnsi="宋体" w:cs="宋体"/>
                <w:color w:val="auto"/>
                <w:kern w:val="0"/>
                <w:szCs w:val="21"/>
                <w:highlight w:val="none"/>
              </w:rPr>
              <w:t>0.3</w:t>
            </w:r>
            <w:r>
              <w:rPr>
                <w:rFonts w:hint="eastAsia" w:ascii="宋体" w:hAnsi="宋体" w:cs="宋体"/>
                <w:color w:val="auto"/>
                <w:kern w:val="0"/>
                <w:szCs w:val="21"/>
                <w:highlight w:val="none"/>
              </w:rPr>
              <w:t>分，上述扣完为止。</w:t>
            </w:r>
          </w:p>
        </w:tc>
        <w:tc>
          <w:tcPr>
            <w:tcW w:w="1465" w:type="dxa"/>
            <w:tcBorders>
              <w:top w:val="single" w:color="auto" w:sz="4" w:space="0"/>
              <w:left w:val="nil"/>
              <w:bottom w:val="nil"/>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b)</w:t>
            </w:r>
            <w:r>
              <w:rPr>
                <w:rFonts w:hint="eastAsia" w:ascii="宋体" w:hAnsi="宋体" w:cs="宋体"/>
                <w:color w:val="auto"/>
                <w:szCs w:val="21"/>
                <w:highlight w:val="none"/>
              </w:rPr>
              <w:t xml:space="preserve"> 正确度±</w:t>
            </w:r>
            <w:r>
              <w:rPr>
                <w:rFonts w:ascii="宋体" w:hAnsi="宋体" w:cs="宋体"/>
                <w:color w:val="auto"/>
                <w:szCs w:val="21"/>
                <w:highlight w:val="none"/>
              </w:rPr>
              <w:t>10</w:t>
            </w:r>
            <w:r>
              <w:rPr>
                <w:rFonts w:hint="eastAsia" w:ascii="宋体" w:hAnsi="宋体" w:cs="宋体"/>
                <w:color w:val="auto"/>
                <w:szCs w:val="21"/>
                <w:highlight w:val="none"/>
              </w:rPr>
              <w:t>%范围内,精密度满足《环境空气颗粒物无机元素连续自动监测技术规定》表2要求</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vAlign w:val="center"/>
          </w:tcPr>
          <w:p>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（1）准确度超出要求，扣</w:t>
            </w:r>
            <w:r>
              <w:rPr>
                <w:rFonts w:ascii="宋体" w:hAnsi="宋体" w:cs="宋体"/>
                <w:color w:val="auto"/>
                <w:szCs w:val="21"/>
                <w:highlight w:val="none"/>
              </w:rPr>
              <w:t>0.3</w:t>
            </w:r>
            <w:r>
              <w:rPr>
                <w:rFonts w:hint="eastAsia" w:ascii="宋体" w:hAnsi="宋体" w:cs="宋体"/>
                <w:color w:val="auto"/>
                <w:szCs w:val="21"/>
                <w:highlight w:val="none"/>
              </w:rPr>
              <w:t>分；</w:t>
            </w:r>
          </w:p>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（2）每种元素精密度超出要求，扣</w:t>
            </w:r>
            <w:r>
              <w:rPr>
                <w:rFonts w:ascii="宋体" w:hAnsi="宋体" w:cs="宋体"/>
                <w:color w:val="auto"/>
                <w:szCs w:val="21"/>
                <w:highlight w:val="none"/>
              </w:rPr>
              <w:t>0.1</w:t>
            </w:r>
            <w:r>
              <w:rPr>
                <w:rFonts w:hint="eastAsia" w:ascii="宋体" w:hAnsi="宋体" w:cs="宋体"/>
                <w:color w:val="auto"/>
                <w:szCs w:val="21"/>
                <w:highlight w:val="none"/>
              </w:rPr>
              <w:t>分；</w:t>
            </w:r>
            <w:r>
              <w:rPr>
                <w:rFonts w:hint="eastAsia" w:ascii="宋体" w:hAnsi="宋体" w:cs="宋体"/>
                <w:color w:val="auto"/>
                <w:kern w:val="0"/>
                <w:szCs w:val="21"/>
                <w:highlight w:val="none"/>
              </w:rPr>
              <w:t>扣完为止</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现场测试(离子</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色谱)</w:t>
            </w:r>
          </w:p>
          <w:p>
            <w:pPr>
              <w:widowControl/>
              <w:snapToGrid w:val="0"/>
              <w:jc w:val="left"/>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rPr>
                <w:rFonts w:ascii="宋体" w:hAnsi="宋体" w:cs="宋体"/>
                <w:color w:val="auto"/>
                <w:kern w:val="0"/>
                <w:szCs w:val="21"/>
                <w:highlight w:val="none"/>
              </w:rPr>
            </w:pPr>
            <w:r>
              <w:rPr>
                <w:rFonts w:hint="eastAsia" w:ascii="宋体" w:hAnsi="宋体" w:cs="宋体"/>
                <w:color w:val="auto"/>
                <w:szCs w:val="21"/>
                <w:highlight w:val="none"/>
              </w:rPr>
              <w:t>a) 仪器空白≤仪器检出限；系统空白≤方法检出限。</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r>
              <w:rPr>
                <w:rFonts w:ascii="宋体" w:hAnsi="宋体" w:cs="宋体"/>
                <w:color w:val="auto"/>
                <w:szCs w:val="21"/>
                <w:highlight w:val="none"/>
              </w:rPr>
              <w:t>0.9</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任何一个物种空白审核不通过，扣</w:t>
            </w:r>
            <w:r>
              <w:rPr>
                <w:rFonts w:ascii="宋体" w:hAnsi="宋体" w:cs="宋体"/>
                <w:color w:val="auto"/>
                <w:szCs w:val="21"/>
                <w:highlight w:val="none"/>
              </w:rPr>
              <w:t>0.45</w:t>
            </w:r>
            <w:r>
              <w:rPr>
                <w:rFonts w:hint="eastAsia" w:ascii="宋体" w:hAnsi="宋体" w:cs="宋体"/>
                <w:color w:val="auto"/>
                <w:szCs w:val="21"/>
                <w:highlight w:val="none"/>
              </w:rPr>
              <w:t>分，</w:t>
            </w:r>
            <w:r>
              <w:rPr>
                <w:rFonts w:hint="eastAsia" w:ascii="宋体" w:hAnsi="宋体" w:cs="宋体"/>
                <w:color w:val="auto"/>
                <w:kern w:val="0"/>
                <w:szCs w:val="21"/>
                <w:highlight w:val="none"/>
              </w:rPr>
              <w:t>上述</w:t>
            </w:r>
            <w:r>
              <w:rPr>
                <w:rFonts w:hint="eastAsia" w:ascii="宋体" w:hAnsi="宋体" w:cs="宋体"/>
                <w:color w:val="auto"/>
                <w:szCs w:val="21"/>
                <w:highlight w:val="none"/>
              </w:rPr>
              <w:t>扣完为止。</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rPr>
                <w:rFonts w:ascii="宋体" w:hAnsi="宋体" w:cs="宋体"/>
                <w:color w:val="auto"/>
                <w:kern w:val="0"/>
                <w:szCs w:val="21"/>
                <w:highlight w:val="none"/>
              </w:rPr>
            </w:pPr>
            <w:r>
              <w:rPr>
                <w:rFonts w:hint="eastAsia" w:ascii="宋体" w:hAnsi="宋体" w:cs="宋体"/>
                <w:color w:val="auto"/>
                <w:szCs w:val="21"/>
                <w:highlight w:val="none"/>
              </w:rPr>
              <w:t>b)水溶性离子的正确度在±</w:t>
            </w:r>
            <w:r>
              <w:rPr>
                <w:rFonts w:ascii="宋体" w:hAnsi="宋体" w:cs="宋体"/>
                <w:color w:val="auto"/>
                <w:szCs w:val="21"/>
                <w:highlight w:val="none"/>
              </w:rPr>
              <w:t>10</w:t>
            </w:r>
            <w:r>
              <w:rPr>
                <w:rFonts w:hint="eastAsia" w:ascii="宋体" w:hAnsi="宋体" w:cs="宋体"/>
                <w:color w:val="auto"/>
                <w:szCs w:val="21"/>
                <w:highlight w:val="none"/>
              </w:rPr>
              <w:t>%范围内；精密度（中、高浓度）应≤</w:t>
            </w:r>
            <w:r>
              <w:rPr>
                <w:rFonts w:ascii="宋体" w:hAnsi="宋体" w:cs="宋体"/>
                <w:color w:val="auto"/>
                <w:szCs w:val="21"/>
                <w:highlight w:val="none"/>
              </w:rPr>
              <w:t>5</w:t>
            </w:r>
            <w:r>
              <w:rPr>
                <w:rFonts w:hint="eastAsia" w:ascii="宋体" w:hAnsi="宋体" w:cs="宋体"/>
                <w:color w:val="auto"/>
                <w:szCs w:val="21"/>
                <w:highlight w:val="none"/>
              </w:rPr>
              <w:t>%，（低浓度）≤</w:t>
            </w:r>
            <w:r>
              <w:rPr>
                <w:rFonts w:ascii="宋体" w:hAnsi="宋体" w:cs="宋体"/>
                <w:color w:val="auto"/>
                <w:szCs w:val="21"/>
                <w:highlight w:val="none"/>
              </w:rPr>
              <w:t>10</w:t>
            </w:r>
            <w:r>
              <w:rPr>
                <w:rFonts w:hint="eastAsia" w:ascii="宋体" w:hAnsi="宋体" w:cs="宋体"/>
                <w:color w:val="auto"/>
                <w:szCs w:val="21"/>
                <w:highlight w:val="none"/>
              </w:rPr>
              <w:t>%。</w:t>
            </w:r>
          </w:p>
        </w:tc>
        <w:tc>
          <w:tcPr>
            <w:tcW w:w="709" w:type="dxa"/>
            <w:tcBorders>
              <w:top w:val="single" w:color="auto" w:sz="4" w:space="0"/>
              <w:left w:val="nil"/>
              <w:bottom w:val="single" w:color="auto" w:sz="4" w:space="0"/>
              <w:right w:val="single" w:color="auto" w:sz="4" w:space="0"/>
            </w:tcBorders>
          </w:tcPr>
          <w:p>
            <w:pPr>
              <w:widowControl/>
              <w:snapToGrid w:val="0"/>
              <w:jc w:val="center"/>
              <w:rPr>
                <w:rFonts w:ascii="宋体" w:hAnsi="宋体" w:cs="宋体"/>
                <w:color w:val="auto"/>
                <w:kern w:val="0"/>
                <w:szCs w:val="21"/>
                <w:highlight w:val="none"/>
              </w:rPr>
            </w:pPr>
            <w:r>
              <w:rPr>
                <w:rFonts w:ascii="宋体" w:hAnsi="宋体" w:cs="宋体"/>
                <w:color w:val="auto"/>
                <w:szCs w:val="21"/>
                <w:highlight w:val="none"/>
              </w:rPr>
              <w:t>0.9</w:t>
            </w:r>
          </w:p>
        </w:tc>
        <w:tc>
          <w:tcPr>
            <w:tcW w:w="709"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3544" w:type="dxa"/>
            <w:tcBorders>
              <w:top w:val="single" w:color="auto" w:sz="4" w:space="0"/>
              <w:left w:val="nil"/>
              <w:bottom w:val="single" w:color="auto" w:sz="4" w:space="0"/>
              <w:right w:val="single" w:color="auto" w:sz="4" w:space="0"/>
            </w:tcBorders>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1）准确度超出要求，扣</w:t>
            </w:r>
            <w:r>
              <w:rPr>
                <w:rFonts w:ascii="宋体" w:hAnsi="宋体" w:cs="宋体"/>
                <w:color w:val="auto"/>
                <w:kern w:val="0"/>
                <w:szCs w:val="21"/>
                <w:highlight w:val="none"/>
              </w:rPr>
              <w:t>0.45</w:t>
            </w:r>
            <w:r>
              <w:rPr>
                <w:rFonts w:hint="eastAsia" w:ascii="宋体" w:hAnsi="宋体" w:cs="宋体"/>
                <w:color w:val="auto"/>
                <w:kern w:val="0"/>
                <w:szCs w:val="21"/>
                <w:highlight w:val="none"/>
              </w:rPr>
              <w:t>分；</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2）任一浓度值精密度超出要求，扣</w:t>
            </w:r>
            <w:r>
              <w:rPr>
                <w:rFonts w:ascii="宋体" w:hAnsi="宋体" w:cs="宋体"/>
                <w:color w:val="auto"/>
                <w:kern w:val="0"/>
                <w:szCs w:val="21"/>
                <w:highlight w:val="none"/>
              </w:rPr>
              <w:t>0.45</w:t>
            </w:r>
            <w:r>
              <w:rPr>
                <w:rFonts w:hint="eastAsia" w:ascii="宋体" w:hAnsi="宋体" w:cs="宋体"/>
                <w:color w:val="auto"/>
                <w:kern w:val="0"/>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监测档案完整性检查(</w:t>
            </w:r>
            <w:r>
              <w:rPr>
                <w:rFonts w:ascii="宋体" w:hAnsi="宋体" w:cs="宋体"/>
                <w:color w:val="auto"/>
                <w:kern w:val="0"/>
                <w:szCs w:val="21"/>
                <w:highlight w:val="none"/>
              </w:rPr>
              <w:t>8.7</w:t>
            </w:r>
            <w:r>
              <w:rPr>
                <w:rFonts w:hint="eastAsia" w:ascii="宋体" w:hAnsi="宋体" w:cs="宋体"/>
                <w:color w:val="auto"/>
                <w:kern w:val="0"/>
                <w:szCs w:val="21"/>
                <w:highlight w:val="none"/>
              </w:rPr>
              <w:t>分)</w:t>
            </w: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记录完整性</w:t>
            </w: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a)检查运维平台例行维护记录填写情况；检查遇到重污染或沙尘天气结束后，是否及时清洗采样头</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bCs/>
                <w:color w:val="auto"/>
                <w:szCs w:val="21"/>
                <w:highlight w:val="none"/>
              </w:rPr>
            </w:pPr>
            <w:r>
              <w:rPr>
                <w:rFonts w:ascii="宋体" w:hAnsi="宋体" w:cs="宋体"/>
                <w:bCs/>
                <w:color w:val="auto"/>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（1）当月例行维护记录缺失或与仪器本地数据不相符的，扣</w:t>
            </w:r>
            <w:r>
              <w:rPr>
                <w:rFonts w:ascii="宋体" w:hAnsi="宋体" w:cs="宋体"/>
                <w:color w:val="auto"/>
                <w:kern w:val="0"/>
                <w:szCs w:val="21"/>
                <w:highlight w:val="none"/>
              </w:rPr>
              <w:t>0.3</w:t>
            </w:r>
            <w:r>
              <w:rPr>
                <w:rFonts w:hint="eastAsia" w:ascii="宋体" w:hAnsi="宋体" w:cs="宋体"/>
                <w:color w:val="auto"/>
                <w:kern w:val="0"/>
                <w:szCs w:val="21"/>
                <w:highlight w:val="none"/>
              </w:rPr>
              <w:t>分；</w:t>
            </w:r>
          </w:p>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（2）重污染或沙尘天气结束后次日未有清洗采样头记录，扣</w:t>
            </w:r>
            <w:r>
              <w:rPr>
                <w:rFonts w:ascii="宋体" w:hAnsi="宋体" w:cs="宋体"/>
                <w:color w:val="auto"/>
                <w:kern w:val="0"/>
                <w:szCs w:val="21"/>
                <w:highlight w:val="none"/>
              </w:rPr>
              <w:t>0.3</w:t>
            </w:r>
            <w:r>
              <w:rPr>
                <w:rFonts w:hint="eastAsia" w:ascii="宋体" w:hAnsi="宋体" w:cs="宋体"/>
                <w:color w:val="auto"/>
                <w:kern w:val="0"/>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b) 检查质控记录填写情况，质控频率应满足：</w:t>
            </w:r>
          </w:p>
          <w:p>
            <w:pPr>
              <w:widowControl/>
              <w:snapToGrid w:val="0"/>
              <w:rPr>
                <w:rFonts w:ascii="宋体" w:hAnsi="宋体" w:cs="宋体"/>
                <w:color w:val="auto"/>
                <w:kern w:val="0"/>
                <w:szCs w:val="21"/>
                <w:highlight w:val="none"/>
              </w:rPr>
            </w:pPr>
            <w:r>
              <w:rPr>
                <w:rFonts w:hint="eastAsia" w:ascii="宋体" w:hAnsi="宋体" w:cs="宋体"/>
                <w:b/>
                <w:bCs/>
                <w:color w:val="auto"/>
                <w:kern w:val="0"/>
                <w:szCs w:val="21"/>
                <w:highlight w:val="none"/>
              </w:rPr>
              <w:t>无机元素</w:t>
            </w:r>
            <w:r>
              <w:rPr>
                <w:rFonts w:hint="eastAsia" w:ascii="宋体" w:hAnsi="宋体" w:cs="宋体"/>
                <w:color w:val="auto"/>
                <w:kern w:val="0"/>
                <w:szCs w:val="21"/>
                <w:highlight w:val="none"/>
              </w:rPr>
              <w:t>：</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（1）每次更换纸带测试纸带空白；</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（2）每月气温和气压测量检查、流量检查或校准；</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（3）每季度对不同能级选择至少2种元素标准膜片进行检查；对Pb元素选取不少于3种不同浓度的标准膜进行线性检查；</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（4）每年开展全膜片检查。</w:t>
            </w:r>
          </w:p>
          <w:p>
            <w:pPr>
              <w:widowControl/>
              <w:snapToGrid w:val="0"/>
              <w:rPr>
                <w:rFonts w:ascii="宋体" w:hAnsi="宋体" w:cs="宋体"/>
                <w:b/>
                <w:bCs/>
                <w:color w:val="auto"/>
                <w:kern w:val="0"/>
                <w:szCs w:val="21"/>
                <w:highlight w:val="none"/>
              </w:rPr>
            </w:pPr>
            <w:r>
              <w:rPr>
                <w:rFonts w:hint="eastAsia" w:ascii="宋体" w:hAnsi="宋体" w:cs="宋体"/>
                <w:b/>
                <w:bCs/>
                <w:color w:val="auto"/>
                <w:kern w:val="0"/>
                <w:szCs w:val="21"/>
                <w:highlight w:val="none"/>
              </w:rPr>
              <w:t>碳组分：</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（1）每次更换滤膜后进行1次零点检查/校准；</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（2）CH4标气更换进行蔗糖溶液标定；</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）每2周单点核查；</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）每月气温和气压测量检查、流量检查或校准；</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）每季度绘制一次校准曲线；全流程空白；</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6</w:t>
            </w:r>
            <w:r>
              <w:rPr>
                <w:rFonts w:hint="eastAsia" w:ascii="宋体" w:hAnsi="宋体" w:cs="宋体"/>
                <w:color w:val="auto"/>
                <w:kern w:val="0"/>
                <w:szCs w:val="21"/>
                <w:highlight w:val="none"/>
              </w:rPr>
              <w:t>）每半年氦甲烷通道流量单点核查；</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7</w:t>
            </w:r>
            <w:r>
              <w:rPr>
                <w:rFonts w:hint="eastAsia" w:ascii="宋体" w:hAnsi="宋体" w:cs="宋体"/>
                <w:color w:val="auto"/>
                <w:kern w:val="0"/>
                <w:szCs w:val="21"/>
                <w:highlight w:val="none"/>
              </w:rPr>
              <w:t>）每年对氦气、氦甲烷、氦氧通道流量进行多点校准。</w:t>
            </w:r>
          </w:p>
          <w:p>
            <w:pPr>
              <w:widowControl/>
              <w:snapToGrid w:val="0"/>
              <w:rPr>
                <w:rFonts w:ascii="宋体" w:hAnsi="宋体" w:cs="宋体"/>
                <w:b/>
                <w:bCs/>
                <w:color w:val="auto"/>
                <w:kern w:val="0"/>
                <w:szCs w:val="21"/>
                <w:highlight w:val="none"/>
              </w:rPr>
            </w:pPr>
            <w:r>
              <w:rPr>
                <w:rFonts w:hint="eastAsia" w:ascii="宋体" w:hAnsi="宋体" w:cs="宋体"/>
                <w:b/>
                <w:bCs/>
                <w:color w:val="auto"/>
                <w:kern w:val="0"/>
                <w:szCs w:val="21"/>
                <w:highlight w:val="none"/>
              </w:rPr>
              <w:t>离子色谱：</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(1)每周进行标准曲线中间点核查；</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每2周仪器基线与空白响应情况检查；</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 xml:space="preserve">)每月气温和压力测量检查、流量检查或校准； </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)每月更新校准曲线；</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每季度</w:t>
            </w:r>
            <w:r>
              <w:rPr>
                <w:rFonts w:hint="eastAsia"/>
                <w:color w:val="auto"/>
                <w:highlight w:val="none"/>
              </w:rPr>
              <w:t xml:space="preserve"> </w:t>
            </w:r>
            <w:r>
              <w:rPr>
                <w:rFonts w:hint="eastAsia" w:ascii="宋体" w:hAnsi="宋体" w:cs="宋体"/>
                <w:color w:val="auto"/>
                <w:kern w:val="0"/>
                <w:szCs w:val="21"/>
                <w:highlight w:val="none"/>
              </w:rPr>
              <w:t>方法检出限测试。</w:t>
            </w:r>
          </w:p>
          <w:p>
            <w:pPr>
              <w:widowControl/>
              <w:snapToGrid w:val="0"/>
              <w:rPr>
                <w:rFonts w:ascii="宋体" w:hAnsi="宋体" w:cs="宋体"/>
                <w:b/>
                <w:color w:val="auto"/>
                <w:kern w:val="0"/>
                <w:szCs w:val="21"/>
                <w:highlight w:val="none"/>
              </w:rPr>
            </w:pPr>
            <w:r>
              <w:rPr>
                <w:rFonts w:hint="eastAsia" w:ascii="宋体" w:hAnsi="宋体" w:cs="宋体"/>
                <w:b/>
                <w:color w:val="auto"/>
                <w:kern w:val="0"/>
                <w:szCs w:val="21"/>
                <w:highlight w:val="none"/>
              </w:rPr>
              <w:t>P</w:t>
            </w:r>
            <w:r>
              <w:rPr>
                <w:rFonts w:ascii="宋体" w:hAnsi="宋体" w:cs="宋体"/>
                <w:b/>
                <w:color w:val="auto"/>
                <w:kern w:val="0"/>
                <w:szCs w:val="21"/>
                <w:highlight w:val="none"/>
              </w:rPr>
              <w:t>M2.5</w:t>
            </w:r>
            <w:r>
              <w:rPr>
                <w:rFonts w:hint="eastAsia" w:ascii="宋体" w:hAnsi="宋体" w:cs="宋体"/>
                <w:b/>
                <w:color w:val="auto"/>
                <w:kern w:val="0"/>
                <w:szCs w:val="21"/>
                <w:highlight w:val="none"/>
              </w:rPr>
              <w:t>：</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(1)每周环境温度、气压检查或校准；</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每月气路检漏，采样流量核查；</w:t>
            </w:r>
          </w:p>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)每季度标准膜检查、空白膜测试。</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color w:val="auto"/>
                <w:kern w:val="0"/>
                <w:szCs w:val="21"/>
                <w:highlight w:val="none"/>
              </w:rPr>
            </w:pPr>
            <w:r>
              <w:rPr>
                <w:rFonts w:ascii="宋体" w:hAnsi="宋体" w:cs="宋体"/>
                <w:color w:val="auto"/>
                <w:kern w:val="0"/>
                <w:szCs w:val="21"/>
                <w:highlight w:val="none"/>
              </w:rPr>
              <w:t>4.5</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未能提供质控记录或质控记录与仪器本地数据不相符的，每次扣</w:t>
            </w:r>
            <w:r>
              <w:rPr>
                <w:rFonts w:ascii="宋体" w:hAnsi="宋体" w:cs="宋体"/>
                <w:color w:val="auto"/>
                <w:kern w:val="0"/>
                <w:szCs w:val="21"/>
                <w:highlight w:val="none"/>
              </w:rPr>
              <w:t>0.15</w:t>
            </w:r>
            <w:r>
              <w:rPr>
                <w:rFonts w:hint="eastAsia" w:ascii="宋体" w:hAnsi="宋体" w:cs="宋体"/>
                <w:color w:val="auto"/>
                <w:kern w:val="0"/>
                <w:szCs w:val="21"/>
                <w:highlight w:val="none"/>
              </w:rPr>
              <w:t>分,上述扣完为止。</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67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c)检查仪器维修/应急记录填写情况</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color w:val="auto"/>
                <w:kern w:val="0"/>
                <w:szCs w:val="21"/>
                <w:highlight w:val="none"/>
              </w:rPr>
            </w:pPr>
            <w:r>
              <w:rPr>
                <w:rFonts w:ascii="宋体" w:hAnsi="宋体" w:cs="宋体"/>
                <w:color w:val="auto"/>
                <w:kern w:val="0"/>
                <w:szCs w:val="21"/>
                <w:highlight w:val="none"/>
              </w:rPr>
              <w:t>0.3</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当月仪器有维修或应急，未能提供相应记录的或与仪器本地数据不相符的，扣</w:t>
            </w:r>
            <w:r>
              <w:rPr>
                <w:rFonts w:ascii="宋体" w:hAnsi="宋体" w:cs="宋体"/>
                <w:color w:val="auto"/>
                <w:kern w:val="0"/>
                <w:szCs w:val="21"/>
                <w:highlight w:val="none"/>
              </w:rPr>
              <w:t>0.3</w:t>
            </w:r>
            <w:r>
              <w:rPr>
                <w:rFonts w:hint="eastAsia" w:ascii="宋体" w:hAnsi="宋体" w:cs="宋体"/>
                <w:color w:val="auto"/>
                <w:kern w:val="0"/>
                <w:szCs w:val="21"/>
                <w:highlight w:val="none"/>
              </w:rPr>
              <w:t>分</w:t>
            </w:r>
          </w:p>
        </w:tc>
        <w:tc>
          <w:tcPr>
            <w:tcW w:w="146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1162"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量值溯源</w:t>
            </w: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a)无机元素：标准膜片的溯源与保存方式</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bCs/>
                <w:color w:val="auto"/>
                <w:szCs w:val="21"/>
                <w:highlight w:val="none"/>
              </w:rPr>
            </w:pPr>
            <w:r>
              <w:rPr>
                <w:rFonts w:ascii="宋体" w:hAnsi="宋体" w:cs="宋体"/>
                <w:bCs/>
                <w:color w:val="auto"/>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（1）未能提供标准膜片来源证明，扣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（2）标准膜片未在室温环境下保存在干燥箱中，扣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tcPr>
          <w:p>
            <w:pPr>
              <w:widowControl/>
              <w:snapToGrid w:val="0"/>
              <w:rPr>
                <w:rFonts w:ascii="宋体" w:hAnsi="宋体" w:cs="宋体"/>
                <w:color w:val="auto"/>
                <w:szCs w:val="21"/>
                <w:highlight w:val="none"/>
              </w:rPr>
            </w:pPr>
            <w:r>
              <w:rPr>
                <w:rFonts w:hint="eastAsia" w:ascii="宋体" w:hAnsi="宋体" w:cs="宋体"/>
                <w:color w:val="auto"/>
                <w:szCs w:val="21"/>
                <w:highlight w:val="none"/>
              </w:rPr>
              <w:t>b）碳组分、离子色谱：</w:t>
            </w:r>
          </w:p>
          <w:p>
            <w:pPr>
              <w:widowControl/>
              <w:snapToGrid w:val="0"/>
              <w:rPr>
                <w:rFonts w:ascii="宋体" w:hAnsi="宋体" w:cs="宋体"/>
                <w:color w:val="auto"/>
                <w:kern w:val="0"/>
                <w:szCs w:val="21"/>
                <w:highlight w:val="none"/>
              </w:rPr>
            </w:pPr>
            <w:r>
              <w:rPr>
                <w:rFonts w:hint="eastAsia" w:ascii="宋体" w:hAnsi="宋体" w:cs="宋体"/>
                <w:color w:val="auto"/>
                <w:szCs w:val="21"/>
                <w:highlight w:val="none"/>
              </w:rPr>
              <w:t>钢瓶气、标准物质及所配置试剂的标准来源、存储与有效期检查</w:t>
            </w:r>
          </w:p>
        </w:tc>
        <w:tc>
          <w:tcPr>
            <w:tcW w:w="709" w:type="dxa"/>
            <w:tcBorders>
              <w:top w:val="single" w:color="auto" w:sz="4" w:space="0"/>
              <w:left w:val="nil"/>
              <w:bottom w:val="single" w:color="auto" w:sz="4" w:space="0"/>
              <w:right w:val="single" w:color="auto" w:sz="4" w:space="0"/>
            </w:tcBorders>
          </w:tcPr>
          <w:p>
            <w:pPr>
              <w:snapToGrid w:val="0"/>
              <w:jc w:val="center"/>
              <w:rPr>
                <w:rFonts w:ascii="宋体" w:hAnsi="宋体" w:cs="宋体"/>
                <w:bCs/>
                <w:color w:val="auto"/>
                <w:szCs w:val="21"/>
                <w:highlight w:val="none"/>
              </w:rPr>
            </w:pPr>
            <w:r>
              <w:rPr>
                <w:rFonts w:ascii="宋体" w:hAnsi="宋体" w:cs="宋体"/>
                <w:color w:val="auto"/>
                <w:szCs w:val="21"/>
                <w:highlight w:val="none"/>
              </w:rPr>
              <w:t>1.2</w:t>
            </w:r>
          </w:p>
        </w:tc>
        <w:tc>
          <w:tcPr>
            <w:tcW w:w="709" w:type="dxa"/>
            <w:tcBorders>
              <w:top w:val="single" w:color="auto" w:sz="4" w:space="0"/>
              <w:left w:val="nil"/>
              <w:bottom w:val="single" w:color="auto" w:sz="4" w:space="0"/>
              <w:right w:val="single" w:color="auto" w:sz="4" w:space="0"/>
            </w:tcBorders>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tcPr>
          <w:p>
            <w:pPr>
              <w:snapToGrid w:val="0"/>
              <w:rPr>
                <w:rFonts w:ascii="宋体" w:hAnsi="宋体" w:cs="宋体"/>
                <w:color w:val="auto"/>
                <w:kern w:val="0"/>
                <w:szCs w:val="21"/>
                <w:highlight w:val="none"/>
              </w:rPr>
            </w:pPr>
            <w:r>
              <w:rPr>
                <w:rFonts w:hint="eastAsia" w:ascii="宋体" w:hAnsi="宋体" w:cs="宋体"/>
                <w:color w:val="auto"/>
                <w:szCs w:val="21"/>
                <w:highlight w:val="none"/>
              </w:rPr>
              <w:t>未能提供钢瓶气、标准物质或所配置试剂来源证明或失效仍在使用，扣</w:t>
            </w:r>
            <w:r>
              <w:rPr>
                <w:rFonts w:ascii="宋体" w:hAnsi="宋体" w:cs="宋体"/>
                <w:color w:val="auto"/>
                <w:szCs w:val="21"/>
                <w:highlight w:val="none"/>
              </w:rPr>
              <w:t>1.2</w:t>
            </w:r>
            <w:r>
              <w:rPr>
                <w:rFonts w:hint="eastAsia" w:ascii="宋体" w:hAnsi="宋体" w:cs="宋体"/>
                <w:color w:val="auto"/>
                <w:szCs w:val="21"/>
                <w:highlight w:val="none"/>
              </w:rPr>
              <w:t>分</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c)用于定量的器具，包括流量计、温度计、大气压计等，是否每年通过计量检定并在有效期内使用</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bCs/>
                <w:color w:val="auto"/>
                <w:szCs w:val="21"/>
                <w:highlight w:val="none"/>
              </w:rPr>
            </w:pPr>
            <w:r>
              <w:rPr>
                <w:rFonts w:ascii="宋体" w:hAnsi="宋体" w:cs="宋体"/>
                <w:bCs/>
                <w:color w:val="auto"/>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（1）未能提供有效期内定量器具计量证书，每缺一份扣</w:t>
            </w:r>
            <w:r>
              <w:rPr>
                <w:rFonts w:ascii="宋体" w:hAnsi="宋体" w:cs="宋体"/>
                <w:color w:val="auto"/>
                <w:kern w:val="0"/>
                <w:szCs w:val="21"/>
                <w:highlight w:val="none"/>
              </w:rPr>
              <w:t>0.3</w:t>
            </w:r>
            <w:r>
              <w:rPr>
                <w:rFonts w:hint="eastAsia" w:ascii="宋体" w:hAnsi="宋体" w:cs="宋体"/>
                <w:color w:val="auto"/>
                <w:kern w:val="0"/>
                <w:szCs w:val="21"/>
                <w:highlight w:val="none"/>
              </w:rPr>
              <w:t>分；</w:t>
            </w:r>
          </w:p>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（2）未配置定量器具，直接扣</w:t>
            </w:r>
            <w:r>
              <w:rPr>
                <w:rFonts w:ascii="宋体" w:hAnsi="宋体" w:cs="宋体"/>
                <w:color w:val="auto"/>
                <w:kern w:val="0"/>
                <w:szCs w:val="21"/>
                <w:highlight w:val="none"/>
              </w:rPr>
              <w:t>0.6</w:t>
            </w:r>
            <w:r>
              <w:rPr>
                <w:rFonts w:hint="eastAsia" w:ascii="宋体" w:hAnsi="宋体" w:cs="宋体"/>
                <w:color w:val="auto"/>
                <w:kern w:val="0"/>
                <w:szCs w:val="21"/>
                <w:highlight w:val="none"/>
              </w:rPr>
              <w:t>分；</w:t>
            </w:r>
          </w:p>
          <w:p>
            <w:pPr>
              <w:snapToGrid w:val="0"/>
              <w:rPr>
                <w:rFonts w:ascii="宋体" w:hAnsi="宋体" w:cs="宋体"/>
                <w:color w:val="auto"/>
                <w:kern w:val="0"/>
                <w:szCs w:val="21"/>
                <w:highlight w:val="none"/>
              </w:rPr>
            </w:pPr>
            <w:r>
              <w:rPr>
                <w:rFonts w:hint="eastAsia" w:ascii="宋体" w:hAnsi="宋体" w:cs="宋体"/>
                <w:color w:val="auto"/>
                <w:kern w:val="0"/>
                <w:szCs w:val="21"/>
                <w:highlight w:val="none"/>
              </w:rPr>
              <w:t>（3）上述扣完为止</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
                <w:bCs/>
                <w:color w:val="auto"/>
                <w:szCs w:val="21"/>
                <w:highlight w:val="none"/>
              </w:rPr>
            </w:pPr>
            <w:r>
              <w:rPr>
                <w:rFonts w:hint="eastAsia" w:ascii="宋体" w:hAnsi="宋体" w:cs="宋体"/>
                <w:color w:val="auto"/>
                <w:kern w:val="0"/>
                <w:szCs w:val="21"/>
                <w:highlight w:val="none"/>
              </w:rPr>
              <w:t>数据符合性</w:t>
            </w: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bCs/>
                <w:color w:val="auto"/>
                <w:szCs w:val="21"/>
                <w:highlight w:val="none"/>
              </w:rPr>
              <w:t>a)检查数据采集系统是否正常采集数据并上报</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bCs/>
                <w:color w:val="auto"/>
                <w:szCs w:val="21"/>
                <w:highlight w:val="none"/>
              </w:rPr>
            </w:pPr>
            <w:r>
              <w:rPr>
                <w:rFonts w:ascii="宋体" w:hAnsi="宋体" w:cs="宋体"/>
                <w:bCs/>
                <w:color w:val="auto"/>
                <w:szCs w:val="21"/>
                <w:highlight w:val="none"/>
              </w:rPr>
              <w:t>0.3</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rPr>
                <w:rFonts w:ascii="宋体" w:hAnsi="宋体" w:cs="宋体"/>
                <w:bCs/>
                <w:color w:val="auto"/>
                <w:szCs w:val="21"/>
                <w:highlight w:val="none"/>
              </w:rPr>
            </w:pPr>
            <w:r>
              <w:rPr>
                <w:rFonts w:hint="eastAsia" w:ascii="宋体" w:hAnsi="宋体" w:cs="宋体"/>
                <w:bCs/>
                <w:color w:val="auto"/>
                <w:szCs w:val="21"/>
                <w:highlight w:val="none"/>
              </w:rPr>
              <w:t>无法正常采集或无法正常上传，扣</w:t>
            </w:r>
            <w:r>
              <w:rPr>
                <w:rFonts w:ascii="宋体" w:hAnsi="宋体" w:cs="宋体"/>
                <w:bCs/>
                <w:color w:val="auto"/>
                <w:szCs w:val="21"/>
                <w:highlight w:val="none"/>
              </w:rPr>
              <w:t>0.3</w:t>
            </w:r>
            <w:r>
              <w:rPr>
                <w:rFonts w:hint="eastAsia" w:ascii="宋体" w:hAnsi="宋体" w:cs="宋体"/>
                <w:bCs/>
                <w:color w:val="auto"/>
                <w:szCs w:val="21"/>
                <w:highlight w:val="none"/>
              </w:rPr>
              <w:t>分</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20" w:hRule="atLeast"/>
          <w:jc w:val="center"/>
        </w:trPr>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98" w:type="dxa"/>
            <w:vMerge w:val="continue"/>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kern w:val="0"/>
                <w:szCs w:val="21"/>
                <w:highlight w:val="none"/>
              </w:rPr>
            </w:pPr>
          </w:p>
        </w:tc>
        <w:tc>
          <w:tcPr>
            <w:tcW w:w="4607" w:type="dxa"/>
            <w:tcBorders>
              <w:top w:val="single" w:color="auto" w:sz="4" w:space="0"/>
              <w:left w:val="nil"/>
              <w:bottom w:val="single" w:color="auto" w:sz="4" w:space="0"/>
              <w:right w:val="single" w:color="auto" w:sz="4" w:space="0"/>
            </w:tcBorders>
            <w:vAlign w:val="center"/>
          </w:tcPr>
          <w:p>
            <w:pPr>
              <w:widowControl/>
              <w:snapToGrid w:val="0"/>
              <w:rPr>
                <w:rFonts w:ascii="宋体" w:hAnsi="宋体" w:cs="宋体"/>
                <w:bCs/>
                <w:color w:val="auto"/>
                <w:szCs w:val="21"/>
                <w:highlight w:val="none"/>
              </w:rPr>
            </w:pPr>
            <w:r>
              <w:rPr>
                <w:rFonts w:hint="eastAsia" w:ascii="宋体" w:hAnsi="宋体" w:cs="宋体"/>
                <w:bCs/>
                <w:color w:val="auto"/>
                <w:szCs w:val="21"/>
                <w:highlight w:val="none"/>
              </w:rPr>
              <w:t>b)无机元素、碳组分、PM2.5：随机抽查当月10个空气样品分结果是否与上报数据平台一致。</w:t>
            </w:r>
          </w:p>
          <w:p>
            <w:pPr>
              <w:widowControl/>
              <w:snapToGrid w:val="0"/>
              <w:rPr>
                <w:rFonts w:ascii="宋体" w:hAnsi="宋体" w:cs="宋体"/>
                <w:bCs/>
                <w:color w:val="auto"/>
                <w:szCs w:val="21"/>
                <w:highlight w:val="none"/>
              </w:rPr>
            </w:pPr>
            <w:r>
              <w:rPr>
                <w:rFonts w:hint="eastAsia" w:ascii="宋体" w:hAnsi="宋体" w:cs="宋体"/>
                <w:bCs/>
                <w:color w:val="auto"/>
                <w:szCs w:val="21"/>
                <w:highlight w:val="none"/>
              </w:rPr>
              <w:t>离子色谱：</w:t>
            </w:r>
          </w:p>
          <w:p>
            <w:pPr>
              <w:widowControl/>
              <w:snapToGrid w:val="0"/>
              <w:rPr>
                <w:rFonts w:ascii="宋体" w:hAnsi="宋体" w:cs="宋体"/>
                <w:bCs/>
                <w:color w:val="auto"/>
                <w:szCs w:val="21"/>
                <w:highlight w:val="none"/>
              </w:rPr>
            </w:pPr>
            <w:r>
              <w:rPr>
                <w:rFonts w:hint="eastAsia" w:ascii="宋体" w:hAnsi="宋体" w:cs="宋体"/>
                <w:bCs/>
                <w:color w:val="auto"/>
                <w:szCs w:val="21"/>
                <w:highlight w:val="none"/>
              </w:rPr>
              <w:t>随机抽查当月10个环境样品图谱积分结果是否与上报数据平台一致</w:t>
            </w:r>
          </w:p>
        </w:tc>
        <w:tc>
          <w:tcPr>
            <w:tcW w:w="709" w:type="dxa"/>
            <w:tcBorders>
              <w:top w:val="single" w:color="auto" w:sz="4" w:space="0"/>
              <w:left w:val="nil"/>
              <w:bottom w:val="single" w:color="auto" w:sz="4" w:space="0"/>
              <w:right w:val="single" w:color="auto" w:sz="4" w:space="0"/>
            </w:tcBorders>
            <w:vAlign w:val="center"/>
          </w:tcPr>
          <w:p>
            <w:pPr>
              <w:snapToGrid w:val="0"/>
              <w:jc w:val="center"/>
              <w:rPr>
                <w:rFonts w:ascii="宋体" w:hAnsi="宋体" w:cs="宋体"/>
                <w:bCs/>
                <w:color w:val="auto"/>
                <w:szCs w:val="21"/>
                <w:highlight w:val="none"/>
              </w:rPr>
            </w:pPr>
            <w:r>
              <w:rPr>
                <w:rFonts w:ascii="宋体" w:hAnsi="宋体" w:cs="宋体"/>
                <w:bCs/>
                <w:color w:val="auto"/>
                <w:szCs w:val="21"/>
                <w:highlight w:val="none"/>
              </w:rPr>
              <w:t>0.6</w:t>
            </w:r>
          </w:p>
        </w:tc>
        <w:tc>
          <w:tcPr>
            <w:tcW w:w="709" w:type="dxa"/>
            <w:tcBorders>
              <w:top w:val="single" w:color="auto" w:sz="4" w:space="0"/>
              <w:left w:val="nil"/>
              <w:bottom w:val="single" w:color="auto" w:sz="4" w:space="0"/>
              <w:right w:val="single" w:color="auto" w:sz="4" w:space="0"/>
            </w:tcBorders>
            <w:vAlign w:val="center"/>
          </w:tcPr>
          <w:p>
            <w:pPr>
              <w:snapToGrid w:val="0"/>
              <w:rPr>
                <w:rFonts w:ascii="宋体" w:hAnsi="宋体" w:cs="宋体"/>
                <w:b/>
                <w:bCs/>
                <w:color w:val="auto"/>
                <w:szCs w:val="21"/>
                <w:highlight w:val="none"/>
              </w:rPr>
            </w:pPr>
          </w:p>
        </w:tc>
        <w:tc>
          <w:tcPr>
            <w:tcW w:w="3544" w:type="dxa"/>
            <w:tcBorders>
              <w:top w:val="single" w:color="auto" w:sz="4" w:space="0"/>
              <w:left w:val="nil"/>
              <w:bottom w:val="single" w:color="auto" w:sz="4" w:space="0"/>
              <w:right w:val="single" w:color="auto" w:sz="4" w:space="0"/>
            </w:tcBorders>
            <w:vAlign w:val="center"/>
          </w:tcPr>
          <w:p>
            <w:pPr>
              <w:snapToGrid w:val="0"/>
              <w:rPr>
                <w:rFonts w:ascii="宋体" w:hAnsi="宋体" w:cs="宋体"/>
                <w:bCs/>
                <w:color w:val="auto"/>
                <w:szCs w:val="21"/>
                <w:highlight w:val="none"/>
              </w:rPr>
            </w:pPr>
            <w:r>
              <w:rPr>
                <w:rFonts w:hint="eastAsia" w:ascii="宋体" w:hAnsi="宋体" w:cs="宋体"/>
                <w:bCs/>
                <w:color w:val="auto"/>
                <w:szCs w:val="21"/>
                <w:highlight w:val="none"/>
              </w:rPr>
              <w:t>按小时结果计算，出现1笔数据不一致，扣0.</w:t>
            </w:r>
            <w:r>
              <w:rPr>
                <w:rFonts w:ascii="宋体" w:hAnsi="宋体" w:cs="宋体"/>
                <w:bCs/>
                <w:color w:val="auto"/>
                <w:szCs w:val="21"/>
                <w:highlight w:val="none"/>
              </w:rPr>
              <w:t>06</w:t>
            </w:r>
            <w:r>
              <w:rPr>
                <w:rFonts w:hint="eastAsia" w:ascii="宋体" w:hAnsi="宋体" w:cs="宋体"/>
                <w:bCs/>
                <w:color w:val="auto"/>
                <w:szCs w:val="21"/>
                <w:highlight w:val="none"/>
              </w:rPr>
              <w:t>分，累计扣分，扣完为止</w:t>
            </w:r>
          </w:p>
        </w:tc>
        <w:tc>
          <w:tcPr>
            <w:tcW w:w="1465" w:type="dxa"/>
            <w:tcBorders>
              <w:top w:val="nil"/>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cantSplit/>
          <w:trHeight w:val="300" w:hRule="atLeast"/>
          <w:jc w:val="center"/>
        </w:trPr>
        <w:tc>
          <w:tcPr>
            <w:tcW w:w="7933" w:type="dxa"/>
            <w:gridSpan w:val="4"/>
            <w:tcBorders>
              <w:top w:val="single" w:color="auto" w:sz="4" w:space="0"/>
              <w:left w:val="single" w:color="auto" w:sz="4" w:space="0"/>
              <w:bottom w:val="single" w:color="auto" w:sz="4" w:space="0"/>
              <w:right w:val="single" w:color="auto" w:sz="4" w:space="0"/>
            </w:tcBorders>
            <w:vAlign w:val="center"/>
          </w:tcPr>
          <w:p>
            <w:pPr>
              <w:wordWrap w:val="0"/>
              <w:snapToGrid w:val="0"/>
              <w:jc w:val="right"/>
              <w:rPr>
                <w:rFonts w:ascii="宋体" w:hAnsi="宋体" w:cs="宋体"/>
                <w:b/>
                <w:bCs/>
                <w:color w:val="auto"/>
                <w:szCs w:val="21"/>
                <w:highlight w:val="none"/>
              </w:rPr>
            </w:pPr>
            <w:r>
              <w:rPr>
                <w:rFonts w:hint="eastAsia" w:ascii="宋体" w:hAnsi="宋体" w:cs="宋体"/>
                <w:b/>
                <w:bCs/>
                <w:color w:val="auto"/>
                <w:szCs w:val="21"/>
                <w:highlight w:val="none"/>
              </w:rPr>
              <w:t>总分</w:t>
            </w:r>
          </w:p>
        </w:tc>
        <w:tc>
          <w:tcPr>
            <w:tcW w:w="70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bCs/>
                <w:color w:val="auto"/>
                <w:szCs w:val="21"/>
                <w:highlight w:val="none"/>
              </w:rPr>
            </w:pPr>
            <w:r>
              <w:rPr>
                <w:rFonts w:ascii="宋体" w:hAnsi="宋体" w:cs="宋体"/>
                <w:bCs/>
                <w:color w:val="auto"/>
                <w:szCs w:val="21"/>
                <w:highlight w:val="none"/>
              </w:rPr>
              <w:t>30</w:t>
            </w:r>
          </w:p>
        </w:tc>
        <w:tc>
          <w:tcPr>
            <w:tcW w:w="5718" w:type="dxa"/>
            <w:gridSpan w:val="3"/>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bl>
    <w:p>
      <w:pPr>
        <w:rPr>
          <w:rFonts w:ascii="宋体" w:hAnsi="宋体" w:cs="宋体"/>
          <w:color w:val="auto"/>
          <w:sz w:val="24"/>
          <w:highlight w:val="none"/>
        </w:rPr>
      </w:pPr>
      <w:r>
        <w:rPr>
          <w:rFonts w:hint="eastAsia" w:ascii="宋体" w:hAnsi="宋体" w:cs="宋体"/>
          <w:color w:val="auto"/>
          <w:sz w:val="24"/>
          <w:highlight w:val="none"/>
        </w:rPr>
        <w:t xml:space="preserve">检查人员:                      </w:t>
      </w:r>
      <w:r>
        <w:rPr>
          <w:rFonts w:ascii="宋体" w:hAnsi="宋体" w:cs="宋体"/>
          <w:color w:val="auto"/>
          <w:sz w:val="24"/>
          <w:highlight w:val="none"/>
        </w:rPr>
        <w:t xml:space="preserve">  </w:t>
      </w:r>
      <w:r>
        <w:rPr>
          <w:rFonts w:hint="eastAsia" w:ascii="宋体" w:hAnsi="宋体" w:cs="宋体"/>
          <w:color w:val="auto"/>
          <w:sz w:val="24"/>
          <w:highlight w:val="none"/>
        </w:rPr>
        <w:t xml:space="preserve"> 运维人员：                                            检查时间:</w:t>
      </w:r>
    </w:p>
    <w:p>
      <w:pPr>
        <w:widowControl/>
        <w:jc w:val="left"/>
        <w:rPr>
          <w:rFonts w:ascii="宋体" w:hAnsi="宋体" w:cs="宋体"/>
          <w:color w:val="auto"/>
          <w:sz w:val="32"/>
          <w:szCs w:val="32"/>
          <w:highlight w:val="none"/>
        </w:rPr>
      </w:pPr>
      <w:r>
        <w:rPr>
          <w:rFonts w:ascii="宋体" w:hAnsi="宋体" w:cs="宋体"/>
          <w:color w:val="auto"/>
          <w:sz w:val="32"/>
          <w:szCs w:val="32"/>
          <w:highlight w:val="none"/>
        </w:rPr>
        <w:br w:type="page"/>
      </w:r>
    </w:p>
    <w:p>
      <w:pPr>
        <w:jc w:val="left"/>
        <w:rPr>
          <w:rFonts w:ascii="宋体" w:hAnsi="宋体" w:cs="宋体"/>
          <w:color w:val="auto"/>
          <w:sz w:val="32"/>
          <w:szCs w:val="32"/>
          <w:highlight w:val="none"/>
        </w:rPr>
      </w:pPr>
      <w:r>
        <w:rPr>
          <w:rFonts w:hint="eastAsia" w:ascii="宋体" w:hAnsi="宋体" w:cs="宋体"/>
          <w:color w:val="auto"/>
          <w:sz w:val="32"/>
          <w:szCs w:val="32"/>
          <w:highlight w:val="none"/>
        </w:rPr>
        <w:t>附表2</w:t>
      </w:r>
    </w:p>
    <w:p>
      <w:pPr>
        <w:jc w:val="center"/>
        <w:rPr>
          <w:rFonts w:ascii="宋体" w:hAnsi="宋体" w:cs="宋体"/>
          <w:color w:val="auto"/>
          <w:sz w:val="32"/>
          <w:szCs w:val="32"/>
          <w:highlight w:val="none"/>
        </w:rPr>
      </w:pPr>
      <w:r>
        <w:rPr>
          <w:rFonts w:hint="eastAsia" w:ascii="宋体" w:hAnsi="宋体" w:cs="宋体"/>
          <w:color w:val="auto"/>
          <w:sz w:val="32"/>
          <w:szCs w:val="32"/>
          <w:highlight w:val="none"/>
        </w:rPr>
        <w:t>挥发性有机物在线监测现场检查表格</w:t>
      </w:r>
    </w:p>
    <w:p>
      <w:pPr>
        <w:jc w:val="left"/>
        <w:rPr>
          <w:rFonts w:ascii="宋体" w:hAnsi="宋体" w:cs="宋体"/>
          <w:color w:val="auto"/>
          <w:sz w:val="24"/>
          <w:highlight w:val="none"/>
        </w:rPr>
      </w:pPr>
      <w:r>
        <w:rPr>
          <w:rFonts w:hint="eastAsia" w:ascii="宋体" w:hAnsi="宋体" w:cs="宋体"/>
          <w:color w:val="auto"/>
          <w:sz w:val="24"/>
          <w:highlight w:val="none"/>
        </w:rPr>
        <w:t>站点名称:</w:t>
      </w:r>
    </w:p>
    <w:tbl>
      <w:tblPr>
        <w:tblStyle w:val="18"/>
        <w:tblW w:w="14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324"/>
        <w:gridCol w:w="1226"/>
        <w:gridCol w:w="3756"/>
        <w:gridCol w:w="736"/>
        <w:gridCol w:w="880"/>
        <w:gridCol w:w="4532"/>
        <w:gridCol w:w="12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blHeader/>
          <w:jc w:val="center"/>
        </w:trPr>
        <w:tc>
          <w:tcPr>
            <w:tcW w:w="724"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24"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检查内容</w:t>
            </w:r>
          </w:p>
        </w:tc>
        <w:tc>
          <w:tcPr>
            <w:tcW w:w="1226"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检查项目</w:t>
            </w:r>
          </w:p>
        </w:tc>
        <w:tc>
          <w:tcPr>
            <w:tcW w:w="3756"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检查要点</w:t>
            </w:r>
          </w:p>
        </w:tc>
        <w:tc>
          <w:tcPr>
            <w:tcW w:w="736"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单项分值</w:t>
            </w:r>
          </w:p>
        </w:tc>
        <w:tc>
          <w:tcPr>
            <w:tcW w:w="880"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得分</w:t>
            </w:r>
          </w:p>
        </w:tc>
        <w:tc>
          <w:tcPr>
            <w:tcW w:w="4532"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评分说明</w:t>
            </w:r>
          </w:p>
        </w:tc>
        <w:tc>
          <w:tcPr>
            <w:tcW w:w="1245" w:type="dxa"/>
            <w:tcBorders>
              <w:top w:val="single" w:color="auto" w:sz="4" w:space="0"/>
            </w:tcBorders>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扣分说明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724" w:type="dxa"/>
            <w:vMerge w:val="restart"/>
            <w:vAlign w:val="center"/>
          </w:tcPr>
          <w:p>
            <w:pPr>
              <w:jc w:val="center"/>
              <w:rPr>
                <w:rFonts w:ascii="宋体" w:hAnsi="宋体" w:cs="宋体"/>
                <w:color w:val="auto"/>
                <w:highlight w:val="none"/>
              </w:rPr>
            </w:pPr>
            <w:r>
              <w:rPr>
                <w:rFonts w:hint="eastAsia" w:ascii="宋体" w:hAnsi="宋体" w:cs="宋体"/>
                <w:color w:val="auto"/>
                <w:highlight w:val="none"/>
              </w:rPr>
              <w:t>1</w:t>
            </w:r>
          </w:p>
        </w:tc>
        <w:tc>
          <w:tcPr>
            <w:tcW w:w="1324" w:type="dxa"/>
            <w:vMerge w:val="restart"/>
            <w:vAlign w:val="center"/>
          </w:tcPr>
          <w:p>
            <w:pPr>
              <w:rPr>
                <w:rFonts w:ascii="宋体" w:hAnsi="宋体" w:cs="宋体"/>
                <w:color w:val="auto"/>
                <w:highlight w:val="none"/>
              </w:rPr>
            </w:pPr>
            <w:r>
              <w:rPr>
                <w:rFonts w:hint="eastAsia" w:ascii="宋体" w:hAnsi="宋体" w:cs="宋体"/>
                <w:color w:val="auto"/>
                <w:highlight w:val="none"/>
              </w:rPr>
              <w:t>运维体系执行情况检查(</w:t>
            </w:r>
            <w:r>
              <w:rPr>
                <w:rFonts w:ascii="宋体" w:hAnsi="宋体" w:cs="宋体"/>
                <w:color w:val="auto"/>
                <w:highlight w:val="none"/>
              </w:rPr>
              <w:t>10.5</w:t>
            </w:r>
            <w:r>
              <w:rPr>
                <w:rFonts w:hint="eastAsia" w:ascii="宋体" w:hAnsi="宋体" w:cs="宋体"/>
                <w:color w:val="auto"/>
                <w:highlight w:val="none"/>
              </w:rPr>
              <w:t>分)</w:t>
            </w: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站房环境保障效果</w:t>
            </w:r>
          </w:p>
        </w:tc>
        <w:tc>
          <w:tcPr>
            <w:tcW w:w="3756" w:type="dxa"/>
            <w:vAlign w:val="center"/>
          </w:tcPr>
          <w:p>
            <w:pPr>
              <w:numPr>
                <w:ilvl w:val="0"/>
                <w:numId w:val="1"/>
              </w:numPr>
              <w:ind w:left="359"/>
              <w:rPr>
                <w:rFonts w:ascii="宋体" w:hAnsi="宋体" w:cs="宋体"/>
                <w:color w:val="auto"/>
                <w:highlight w:val="none"/>
              </w:rPr>
            </w:pPr>
            <w:r>
              <w:rPr>
                <w:rFonts w:hint="eastAsia" w:ascii="宋体" w:hAnsi="宋体" w:cs="宋体"/>
                <w:color w:val="auto"/>
                <w:highlight w:val="none"/>
              </w:rPr>
              <w:t>检查站房卫生是否整洁；</w:t>
            </w:r>
          </w:p>
          <w:p>
            <w:pPr>
              <w:numPr>
                <w:ilvl w:val="0"/>
                <w:numId w:val="1"/>
              </w:numPr>
              <w:ind w:left="359"/>
              <w:rPr>
                <w:rFonts w:ascii="宋体" w:hAnsi="宋体" w:cs="宋体"/>
                <w:color w:val="auto"/>
                <w:highlight w:val="none"/>
              </w:rPr>
            </w:pPr>
            <w:r>
              <w:rPr>
                <w:rFonts w:hint="eastAsia" w:ascii="宋体" w:hAnsi="宋体" w:cs="宋体"/>
                <w:color w:val="auto"/>
                <w:highlight w:val="none"/>
              </w:rPr>
              <w:t>检查站房保温情况；</w:t>
            </w:r>
          </w:p>
          <w:p>
            <w:pPr>
              <w:numPr>
                <w:ilvl w:val="0"/>
                <w:numId w:val="1"/>
              </w:numPr>
              <w:ind w:left="359"/>
              <w:rPr>
                <w:rFonts w:ascii="宋体" w:hAnsi="宋体" w:cs="宋体"/>
                <w:color w:val="auto"/>
                <w:highlight w:val="none"/>
              </w:rPr>
            </w:pPr>
            <w:r>
              <w:rPr>
                <w:rFonts w:hint="eastAsia" w:ascii="宋体" w:hAnsi="宋体" w:cs="宋体"/>
                <w:color w:val="auto"/>
                <w:highlight w:val="none"/>
              </w:rPr>
              <w:t>检查站房防水情况；</w:t>
            </w:r>
          </w:p>
          <w:p>
            <w:pPr>
              <w:numPr>
                <w:ilvl w:val="0"/>
                <w:numId w:val="1"/>
              </w:numPr>
              <w:ind w:left="359"/>
              <w:rPr>
                <w:rFonts w:ascii="宋体" w:hAnsi="宋体" w:cs="宋体"/>
                <w:color w:val="auto"/>
                <w:highlight w:val="none"/>
              </w:rPr>
            </w:pPr>
            <w:r>
              <w:rPr>
                <w:rFonts w:hint="eastAsia" w:ascii="宋体" w:hAnsi="宋体" w:cs="宋体"/>
                <w:color w:val="auto"/>
                <w:highlight w:val="none"/>
              </w:rPr>
              <w:t>检查空调是否正常运行，站房温湿度是否符合要求；</w:t>
            </w:r>
          </w:p>
          <w:p>
            <w:pPr>
              <w:numPr>
                <w:ilvl w:val="0"/>
                <w:numId w:val="1"/>
              </w:numPr>
              <w:ind w:left="359"/>
              <w:rPr>
                <w:rFonts w:ascii="宋体" w:hAnsi="宋体" w:cs="宋体"/>
                <w:color w:val="auto"/>
                <w:highlight w:val="none"/>
              </w:rPr>
            </w:pPr>
            <w:r>
              <w:rPr>
                <w:rFonts w:hint="eastAsia" w:ascii="宋体" w:hAnsi="宋体" w:cs="宋体"/>
                <w:color w:val="auto"/>
                <w:highlight w:val="none"/>
              </w:rPr>
              <w:t>检查电源供应是否符合要求；</w:t>
            </w:r>
          </w:p>
          <w:p>
            <w:pPr>
              <w:numPr>
                <w:ilvl w:val="0"/>
                <w:numId w:val="1"/>
              </w:numPr>
              <w:ind w:left="359"/>
              <w:rPr>
                <w:rFonts w:ascii="宋体" w:hAnsi="宋体" w:cs="宋体"/>
                <w:color w:val="auto"/>
                <w:highlight w:val="none"/>
              </w:rPr>
            </w:pPr>
            <w:r>
              <w:rPr>
                <w:rFonts w:hint="eastAsia" w:ascii="宋体" w:hAnsi="宋体" w:cs="宋体"/>
                <w:color w:val="auto"/>
                <w:highlight w:val="none"/>
              </w:rPr>
              <w:t>检查气瓶是否有固定措施；</w:t>
            </w:r>
          </w:p>
          <w:p>
            <w:pPr>
              <w:numPr>
                <w:ilvl w:val="0"/>
                <w:numId w:val="1"/>
              </w:numPr>
              <w:ind w:left="359"/>
              <w:rPr>
                <w:rFonts w:ascii="宋体" w:hAnsi="宋体" w:cs="宋体"/>
                <w:color w:val="auto"/>
                <w:highlight w:val="none"/>
              </w:rPr>
            </w:pPr>
            <w:r>
              <w:rPr>
                <w:rFonts w:hint="eastAsia" w:ascii="宋体" w:hAnsi="宋体" w:cs="宋体"/>
                <w:color w:val="auto"/>
                <w:highlight w:val="none"/>
              </w:rPr>
              <w:t>采样口周围水平面是否有270°以上的捕集空间；</w:t>
            </w:r>
          </w:p>
          <w:p>
            <w:pPr>
              <w:numPr>
                <w:ilvl w:val="0"/>
                <w:numId w:val="1"/>
              </w:numPr>
              <w:ind w:left="359"/>
              <w:rPr>
                <w:rFonts w:ascii="宋体" w:hAnsi="宋体" w:cs="宋体"/>
                <w:color w:val="auto"/>
                <w:highlight w:val="none"/>
              </w:rPr>
            </w:pPr>
            <w:r>
              <w:rPr>
                <w:rFonts w:hint="eastAsia" w:ascii="宋体" w:hAnsi="宋体" w:cs="宋体"/>
                <w:color w:val="auto"/>
                <w:highlight w:val="none"/>
              </w:rPr>
              <w:t>如果采样口一边靠近建筑物，采样口周围水平面应有180°以上的自由空间。</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2"/>
              </w:numPr>
              <w:rPr>
                <w:rFonts w:ascii="宋体" w:hAnsi="宋体" w:cs="宋体"/>
                <w:color w:val="auto"/>
                <w:highlight w:val="none"/>
              </w:rPr>
            </w:pPr>
            <w:r>
              <w:rPr>
                <w:rFonts w:hint="eastAsia" w:ascii="宋体" w:hAnsi="宋体" w:cs="宋体"/>
                <w:color w:val="auto"/>
                <w:highlight w:val="none"/>
              </w:rPr>
              <w:t>站房卫生条件差，扣</w:t>
            </w:r>
            <w:r>
              <w:rPr>
                <w:rFonts w:ascii="宋体" w:hAnsi="宋体" w:cs="宋体"/>
                <w:color w:val="auto"/>
                <w:highlight w:val="none"/>
              </w:rPr>
              <w:t>0.3</w:t>
            </w:r>
            <w:r>
              <w:rPr>
                <w:rFonts w:hint="eastAsia" w:ascii="宋体" w:hAnsi="宋体" w:cs="宋体"/>
                <w:color w:val="auto"/>
                <w:highlight w:val="none"/>
              </w:rPr>
              <w:t>分；</w:t>
            </w:r>
          </w:p>
          <w:p>
            <w:pPr>
              <w:numPr>
                <w:ilvl w:val="0"/>
                <w:numId w:val="2"/>
              </w:numPr>
              <w:rPr>
                <w:rFonts w:ascii="宋体" w:hAnsi="宋体" w:cs="宋体"/>
                <w:color w:val="auto"/>
                <w:highlight w:val="none"/>
              </w:rPr>
            </w:pPr>
            <w:r>
              <w:rPr>
                <w:rFonts w:hint="eastAsia" w:ascii="宋体" w:hAnsi="宋体" w:cs="宋体"/>
                <w:color w:val="auto"/>
                <w:highlight w:val="none"/>
              </w:rPr>
              <w:t>站房内部出现雨漏痕迹，扣</w:t>
            </w:r>
            <w:r>
              <w:rPr>
                <w:rFonts w:ascii="宋体" w:hAnsi="宋体" w:cs="宋体"/>
                <w:color w:val="auto"/>
                <w:highlight w:val="none"/>
              </w:rPr>
              <w:t>0.3</w:t>
            </w:r>
            <w:r>
              <w:rPr>
                <w:rFonts w:hint="eastAsia" w:ascii="宋体" w:hAnsi="宋体" w:cs="宋体"/>
                <w:color w:val="auto"/>
                <w:highlight w:val="none"/>
              </w:rPr>
              <w:t>分；</w:t>
            </w:r>
          </w:p>
          <w:p>
            <w:pPr>
              <w:numPr>
                <w:ilvl w:val="0"/>
                <w:numId w:val="2"/>
              </w:numPr>
              <w:rPr>
                <w:rFonts w:ascii="宋体" w:hAnsi="宋体" w:cs="宋体"/>
                <w:color w:val="auto"/>
                <w:highlight w:val="none"/>
              </w:rPr>
            </w:pPr>
            <w:r>
              <w:rPr>
                <w:rFonts w:hint="eastAsia" w:ascii="宋体" w:hAnsi="宋体" w:cs="宋体"/>
                <w:color w:val="auto"/>
                <w:highlight w:val="none"/>
              </w:rPr>
              <w:t>如站房温度不满足25±</w:t>
            </w:r>
            <w:r>
              <w:rPr>
                <w:rFonts w:ascii="宋体" w:hAnsi="宋体" w:cs="宋体"/>
                <w:color w:val="auto"/>
                <w:highlight w:val="none"/>
              </w:rPr>
              <w:t>5</w:t>
            </w:r>
            <w:r>
              <w:rPr>
                <w:rFonts w:hint="eastAsia" w:ascii="宋体" w:hAnsi="宋体" w:cs="宋体"/>
                <w:color w:val="auto"/>
                <w:highlight w:val="none"/>
              </w:rPr>
              <w:t>℃，扣</w:t>
            </w:r>
            <w:r>
              <w:rPr>
                <w:rFonts w:ascii="宋体" w:hAnsi="宋体" w:cs="宋体"/>
                <w:color w:val="auto"/>
                <w:highlight w:val="none"/>
              </w:rPr>
              <w:t>0.3</w:t>
            </w:r>
            <w:r>
              <w:rPr>
                <w:rFonts w:hint="eastAsia" w:ascii="宋体" w:hAnsi="宋体" w:cs="宋体"/>
                <w:color w:val="auto"/>
                <w:highlight w:val="none"/>
              </w:rPr>
              <w:t>分；</w:t>
            </w:r>
          </w:p>
          <w:p>
            <w:pPr>
              <w:numPr>
                <w:ilvl w:val="0"/>
                <w:numId w:val="2"/>
              </w:numPr>
              <w:rPr>
                <w:rFonts w:ascii="宋体" w:hAnsi="宋体" w:cs="宋体"/>
                <w:color w:val="auto"/>
                <w:highlight w:val="none"/>
              </w:rPr>
            </w:pPr>
            <w:r>
              <w:rPr>
                <w:rFonts w:hint="eastAsia" w:ascii="宋体" w:hAnsi="宋体" w:cs="宋体"/>
                <w:color w:val="auto"/>
                <w:highlight w:val="none"/>
              </w:rPr>
              <w:t>如站房湿度不满足≤8</w:t>
            </w:r>
            <w:r>
              <w:rPr>
                <w:rFonts w:ascii="宋体" w:hAnsi="宋体" w:cs="宋体"/>
                <w:color w:val="auto"/>
                <w:highlight w:val="none"/>
              </w:rPr>
              <w:t>5</w:t>
            </w:r>
            <w:r>
              <w:rPr>
                <w:rFonts w:hint="eastAsia" w:ascii="宋体" w:hAnsi="宋体" w:cs="宋体"/>
                <w:color w:val="auto"/>
                <w:highlight w:val="none"/>
              </w:rPr>
              <w:t>%，扣</w:t>
            </w:r>
            <w:r>
              <w:rPr>
                <w:rFonts w:ascii="宋体" w:hAnsi="宋体" w:cs="宋体"/>
                <w:color w:val="auto"/>
                <w:highlight w:val="none"/>
              </w:rPr>
              <w:t>0.3</w:t>
            </w:r>
            <w:r>
              <w:rPr>
                <w:rFonts w:hint="eastAsia" w:ascii="宋体" w:hAnsi="宋体" w:cs="宋体"/>
                <w:color w:val="auto"/>
                <w:highlight w:val="none"/>
              </w:rPr>
              <w:t>分；</w:t>
            </w:r>
          </w:p>
          <w:p>
            <w:pPr>
              <w:numPr>
                <w:ilvl w:val="0"/>
                <w:numId w:val="2"/>
              </w:numPr>
              <w:rPr>
                <w:rFonts w:ascii="宋体" w:hAnsi="宋体" w:cs="宋体"/>
                <w:color w:val="auto"/>
                <w:highlight w:val="none"/>
              </w:rPr>
            </w:pPr>
            <w:r>
              <w:rPr>
                <w:rFonts w:hint="eastAsia" w:ascii="宋体" w:hAnsi="宋体" w:cs="宋体"/>
                <w:color w:val="auto"/>
                <w:highlight w:val="none"/>
              </w:rPr>
              <w:t>如输出电压不满足220±</w:t>
            </w:r>
            <w:r>
              <w:rPr>
                <w:rFonts w:ascii="宋体" w:hAnsi="宋体" w:cs="宋体"/>
                <w:color w:val="auto"/>
                <w:highlight w:val="none"/>
              </w:rPr>
              <w:t>22</w:t>
            </w:r>
            <w:r>
              <w:rPr>
                <w:rFonts w:hint="eastAsia" w:ascii="宋体" w:hAnsi="宋体" w:cs="宋体"/>
                <w:color w:val="auto"/>
                <w:highlight w:val="none"/>
              </w:rPr>
              <w:t>V（5</w:t>
            </w:r>
            <w:r>
              <w:rPr>
                <w:rFonts w:ascii="宋体" w:hAnsi="宋体" w:cs="宋体"/>
                <w:color w:val="auto"/>
                <w:highlight w:val="none"/>
              </w:rPr>
              <w:t>0</w:t>
            </w:r>
            <w:r>
              <w:rPr>
                <w:rFonts w:hint="eastAsia" w:ascii="宋体" w:hAnsi="宋体" w:cs="宋体"/>
                <w:color w:val="auto"/>
                <w:highlight w:val="none"/>
              </w:rPr>
              <w:t>±1）Hz或未配置稳压器或UPS扣</w:t>
            </w:r>
            <w:r>
              <w:rPr>
                <w:rFonts w:ascii="宋体" w:hAnsi="宋体" w:cs="宋体"/>
                <w:color w:val="auto"/>
                <w:highlight w:val="none"/>
              </w:rPr>
              <w:t>0.3</w:t>
            </w:r>
            <w:r>
              <w:rPr>
                <w:rFonts w:hint="eastAsia" w:ascii="宋体" w:hAnsi="宋体" w:cs="宋体"/>
                <w:color w:val="auto"/>
                <w:highlight w:val="none"/>
              </w:rPr>
              <w:t>分；</w:t>
            </w:r>
          </w:p>
          <w:p>
            <w:pPr>
              <w:ind w:left="-143" w:leftChars="-68" w:firstLine="210" w:firstLineChars="100"/>
              <w:rPr>
                <w:rFonts w:ascii="宋体" w:hAnsi="宋体" w:cs="宋体"/>
                <w:color w:val="auto"/>
                <w:highlight w:val="none"/>
              </w:rPr>
            </w:pPr>
            <w:r>
              <w:rPr>
                <w:rFonts w:hint="eastAsia" w:ascii="宋体" w:hAnsi="宋体" w:cs="宋体"/>
                <w:color w:val="auto"/>
                <w:highlight w:val="none"/>
              </w:rPr>
              <w:t>6）大于8L体积的气瓶未做安全固定防护，扣</w:t>
            </w:r>
            <w:r>
              <w:rPr>
                <w:rFonts w:ascii="宋体" w:hAnsi="宋体" w:cs="宋体"/>
                <w:color w:val="auto"/>
                <w:highlight w:val="none"/>
              </w:rPr>
              <w:t>0.3</w:t>
            </w:r>
            <w:r>
              <w:rPr>
                <w:rFonts w:hint="eastAsia" w:ascii="宋体" w:hAnsi="宋体" w:cs="宋体"/>
                <w:color w:val="auto"/>
                <w:highlight w:val="none"/>
              </w:rPr>
              <w:t>分；</w:t>
            </w:r>
          </w:p>
          <w:p>
            <w:pPr>
              <w:numPr>
                <w:ilvl w:val="0"/>
                <w:numId w:val="3"/>
              </w:numPr>
              <w:rPr>
                <w:rFonts w:ascii="宋体" w:hAnsi="宋体" w:cs="宋体"/>
                <w:color w:val="auto"/>
                <w:highlight w:val="none"/>
              </w:rPr>
            </w:pPr>
            <w:r>
              <w:rPr>
                <w:rFonts w:hint="eastAsia" w:ascii="宋体" w:hAnsi="宋体" w:cs="宋体"/>
                <w:color w:val="auto"/>
                <w:highlight w:val="none"/>
              </w:rPr>
              <w:t>采样口不满足270°以上的捕集空间要求或180°以上的自由空间的，扣</w:t>
            </w:r>
            <w:r>
              <w:rPr>
                <w:rFonts w:ascii="宋体" w:hAnsi="宋体" w:cs="宋体"/>
                <w:color w:val="auto"/>
                <w:highlight w:val="none"/>
              </w:rPr>
              <w:t>0.3</w:t>
            </w:r>
            <w:r>
              <w:rPr>
                <w:rFonts w:hint="eastAsia" w:ascii="宋体" w:hAnsi="宋体" w:cs="宋体"/>
                <w:color w:val="auto"/>
                <w:highlight w:val="none"/>
              </w:rPr>
              <w:t>分；</w:t>
            </w:r>
          </w:p>
          <w:p>
            <w:pPr>
              <w:numPr>
                <w:ilvl w:val="0"/>
                <w:numId w:val="3"/>
              </w:numPr>
              <w:rPr>
                <w:rFonts w:ascii="宋体" w:hAnsi="宋体" w:cs="宋体"/>
                <w:color w:val="auto"/>
                <w:highlight w:val="none"/>
              </w:rPr>
            </w:pPr>
            <w:r>
              <w:rPr>
                <w:rFonts w:hint="eastAsia" w:ascii="宋体" w:hAnsi="宋体" w:cs="宋体"/>
                <w:color w:val="auto"/>
                <w:highlight w:val="none"/>
              </w:rPr>
              <w:t>上述分数扣完为止。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日常运维任务完成情况</w:t>
            </w:r>
          </w:p>
        </w:tc>
        <w:tc>
          <w:tcPr>
            <w:tcW w:w="3756" w:type="dxa"/>
            <w:vAlign w:val="center"/>
          </w:tcPr>
          <w:p>
            <w:pPr>
              <w:numPr>
                <w:ilvl w:val="0"/>
                <w:numId w:val="4"/>
              </w:numPr>
              <w:rPr>
                <w:rFonts w:ascii="宋体" w:hAnsi="宋体" w:cs="宋体"/>
                <w:color w:val="auto"/>
                <w:highlight w:val="none"/>
              </w:rPr>
            </w:pPr>
            <w:r>
              <w:rPr>
                <w:rFonts w:hint="eastAsia" w:ascii="宋体" w:hAnsi="宋体" w:cs="宋体"/>
                <w:color w:val="auto"/>
                <w:highlight w:val="none"/>
              </w:rPr>
              <w:t>检查最近一次维护、质控完成情况；</w:t>
            </w:r>
          </w:p>
          <w:p>
            <w:pPr>
              <w:numPr>
                <w:ilvl w:val="0"/>
                <w:numId w:val="4"/>
              </w:numPr>
              <w:rPr>
                <w:rFonts w:ascii="宋体" w:hAnsi="宋体" w:cs="宋体"/>
                <w:color w:val="auto"/>
                <w:highlight w:val="none"/>
              </w:rPr>
            </w:pPr>
            <w:r>
              <w:rPr>
                <w:rFonts w:hint="eastAsia" w:ascii="宋体" w:hAnsi="宋体" w:cs="宋体"/>
                <w:color w:val="auto"/>
                <w:highlight w:val="none"/>
              </w:rPr>
              <w:t>检查最新核查、空白、工作曲线或方法检测限的结果。</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5"/>
              </w:numPr>
              <w:rPr>
                <w:rFonts w:ascii="宋体" w:hAnsi="宋体" w:cs="宋体"/>
                <w:color w:val="auto"/>
                <w:highlight w:val="none"/>
              </w:rPr>
            </w:pPr>
            <w:r>
              <w:rPr>
                <w:rFonts w:hint="eastAsia" w:ascii="宋体" w:hAnsi="宋体" w:cs="宋体"/>
                <w:color w:val="auto"/>
                <w:highlight w:val="none"/>
              </w:rPr>
              <w:t>近一个季度仪器维护、质控未完成的，扣</w:t>
            </w:r>
            <w:r>
              <w:rPr>
                <w:rFonts w:ascii="宋体" w:hAnsi="宋体" w:cs="宋体"/>
                <w:color w:val="auto"/>
                <w:highlight w:val="none"/>
              </w:rPr>
              <w:t>0.3</w:t>
            </w:r>
            <w:r>
              <w:rPr>
                <w:rFonts w:hint="eastAsia" w:ascii="宋体" w:hAnsi="宋体" w:cs="宋体"/>
                <w:color w:val="auto"/>
                <w:highlight w:val="none"/>
              </w:rPr>
              <w:t>分；</w:t>
            </w:r>
          </w:p>
          <w:p>
            <w:pPr>
              <w:numPr>
                <w:ilvl w:val="0"/>
                <w:numId w:val="5"/>
              </w:numPr>
              <w:rPr>
                <w:rFonts w:ascii="宋体" w:hAnsi="宋体" w:cs="宋体"/>
                <w:color w:val="auto"/>
                <w:highlight w:val="none"/>
              </w:rPr>
            </w:pPr>
            <w:r>
              <w:rPr>
                <w:rFonts w:hint="eastAsia" w:ascii="宋体" w:hAnsi="宋体" w:cs="宋体"/>
                <w:color w:val="auto"/>
                <w:highlight w:val="none"/>
              </w:rPr>
              <w:t>检查最新核查、空白、工作曲线或方法检测限的结果，任何一项不满足规范要求的，扣</w:t>
            </w:r>
            <w:r>
              <w:rPr>
                <w:rFonts w:ascii="宋体" w:hAnsi="宋体" w:cs="宋体"/>
                <w:color w:val="auto"/>
                <w:highlight w:val="none"/>
              </w:rPr>
              <w:t>0.6</w:t>
            </w:r>
            <w:r>
              <w:rPr>
                <w:rFonts w:hint="eastAsia" w:ascii="宋体" w:hAnsi="宋体" w:cs="宋体"/>
                <w:color w:val="auto"/>
                <w:highlight w:val="none"/>
              </w:rPr>
              <w:t>分；</w:t>
            </w:r>
          </w:p>
          <w:p>
            <w:pPr>
              <w:numPr>
                <w:ilvl w:val="0"/>
                <w:numId w:val="5"/>
              </w:numPr>
              <w:rPr>
                <w:rFonts w:ascii="宋体" w:hAnsi="宋体" w:cs="宋体"/>
                <w:color w:val="auto"/>
                <w:highlight w:val="none"/>
              </w:rPr>
            </w:pPr>
            <w:r>
              <w:rPr>
                <w:rFonts w:hint="eastAsia" w:ascii="宋体" w:hAnsi="宋体" w:cs="宋体"/>
                <w:color w:val="auto"/>
                <w:highlight w:val="none"/>
              </w:rPr>
              <w:t>上述分数扣完为止。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异常处理情况</w:t>
            </w:r>
          </w:p>
        </w:tc>
        <w:tc>
          <w:tcPr>
            <w:tcW w:w="3756" w:type="dxa"/>
            <w:vAlign w:val="center"/>
          </w:tcPr>
          <w:p>
            <w:pPr>
              <w:numPr>
                <w:ilvl w:val="0"/>
                <w:numId w:val="6"/>
              </w:numPr>
              <w:rPr>
                <w:rFonts w:ascii="宋体" w:hAnsi="宋体" w:cs="宋体"/>
                <w:color w:val="auto"/>
                <w:highlight w:val="none"/>
              </w:rPr>
            </w:pPr>
            <w:r>
              <w:rPr>
                <w:rFonts w:hint="eastAsia" w:ascii="宋体" w:hAnsi="宋体" w:cs="宋体"/>
                <w:color w:val="auto"/>
                <w:highlight w:val="none"/>
              </w:rPr>
              <w:t>检查最近异常处理过程记录是否齐全</w:t>
            </w:r>
          </w:p>
          <w:p>
            <w:pPr>
              <w:numPr>
                <w:ilvl w:val="0"/>
                <w:numId w:val="6"/>
              </w:numPr>
              <w:rPr>
                <w:rFonts w:ascii="宋体" w:hAnsi="宋体" w:cs="宋体"/>
                <w:color w:val="auto"/>
                <w:highlight w:val="none"/>
              </w:rPr>
            </w:pPr>
            <w:r>
              <w:rPr>
                <w:rFonts w:hint="eastAsia" w:ascii="宋体" w:hAnsi="宋体" w:cs="宋体"/>
                <w:color w:val="auto"/>
                <w:highlight w:val="none"/>
              </w:rPr>
              <w:t>检查异常处理后是否应当校准但未执行</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7"/>
              </w:numPr>
              <w:rPr>
                <w:rFonts w:ascii="宋体" w:hAnsi="宋体" w:cs="宋体"/>
                <w:color w:val="auto"/>
                <w:highlight w:val="none"/>
              </w:rPr>
            </w:pPr>
            <w:r>
              <w:rPr>
                <w:rFonts w:hint="eastAsia" w:ascii="宋体" w:hAnsi="宋体" w:cs="宋体"/>
                <w:color w:val="auto"/>
                <w:highlight w:val="none"/>
              </w:rPr>
              <w:t>近一个季度仪器异常处理过程记录缺少一项，扣</w:t>
            </w:r>
            <w:r>
              <w:rPr>
                <w:rFonts w:ascii="宋体" w:hAnsi="宋体" w:cs="宋体"/>
                <w:color w:val="auto"/>
                <w:highlight w:val="none"/>
              </w:rPr>
              <w:t>0.2</w:t>
            </w:r>
            <w:r>
              <w:rPr>
                <w:rFonts w:hint="eastAsia" w:ascii="宋体" w:hAnsi="宋体" w:cs="宋体"/>
                <w:color w:val="auto"/>
                <w:highlight w:val="none"/>
              </w:rPr>
              <w:t>分；</w:t>
            </w:r>
          </w:p>
          <w:p>
            <w:pPr>
              <w:numPr>
                <w:ilvl w:val="0"/>
                <w:numId w:val="7"/>
              </w:numPr>
              <w:rPr>
                <w:rFonts w:ascii="宋体" w:hAnsi="宋体" w:cs="宋体"/>
                <w:color w:val="auto"/>
                <w:highlight w:val="none"/>
              </w:rPr>
            </w:pPr>
            <w:r>
              <w:rPr>
                <w:rFonts w:hint="eastAsia" w:ascii="宋体" w:hAnsi="宋体" w:cs="宋体"/>
                <w:color w:val="auto"/>
                <w:highlight w:val="none"/>
              </w:rPr>
              <w:t>近一个季度仪器异常处理后应当校准但未执行的，扣</w:t>
            </w:r>
            <w:r>
              <w:rPr>
                <w:rFonts w:ascii="宋体" w:hAnsi="宋体" w:cs="宋体"/>
                <w:color w:val="auto"/>
                <w:highlight w:val="none"/>
              </w:rPr>
              <w:t>0.2</w:t>
            </w:r>
            <w:r>
              <w:rPr>
                <w:rFonts w:hint="eastAsia" w:ascii="宋体" w:hAnsi="宋体" w:cs="宋体"/>
                <w:color w:val="auto"/>
                <w:highlight w:val="none"/>
              </w:rPr>
              <w:t>分</w:t>
            </w:r>
          </w:p>
          <w:p>
            <w:pPr>
              <w:numPr>
                <w:ilvl w:val="0"/>
                <w:numId w:val="7"/>
              </w:numPr>
              <w:rPr>
                <w:rFonts w:ascii="宋体" w:hAnsi="宋体" w:cs="宋体"/>
                <w:color w:val="auto"/>
                <w:highlight w:val="none"/>
              </w:rPr>
            </w:pPr>
            <w:r>
              <w:rPr>
                <w:rFonts w:hint="eastAsia" w:ascii="宋体" w:hAnsi="宋体" w:cs="宋体"/>
                <w:color w:val="auto"/>
                <w:highlight w:val="none"/>
              </w:rPr>
              <w:t>上述分数扣完为止。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采样系统维护效果</w:t>
            </w:r>
          </w:p>
        </w:tc>
        <w:tc>
          <w:tcPr>
            <w:tcW w:w="3756" w:type="dxa"/>
            <w:vAlign w:val="center"/>
          </w:tcPr>
          <w:p>
            <w:pPr>
              <w:numPr>
                <w:ilvl w:val="0"/>
                <w:numId w:val="8"/>
              </w:numPr>
              <w:rPr>
                <w:rFonts w:ascii="宋体" w:hAnsi="宋体" w:cs="宋体"/>
                <w:color w:val="auto"/>
                <w:highlight w:val="none"/>
              </w:rPr>
            </w:pPr>
            <w:r>
              <w:rPr>
                <w:rFonts w:hint="eastAsia" w:ascii="宋体" w:hAnsi="宋体" w:cs="宋体"/>
                <w:color w:val="auto"/>
                <w:highlight w:val="none"/>
              </w:rPr>
              <w:t>采样管防水、清洁和保温检查；</w:t>
            </w:r>
          </w:p>
          <w:p>
            <w:pPr>
              <w:numPr>
                <w:ilvl w:val="0"/>
                <w:numId w:val="8"/>
              </w:numPr>
              <w:rPr>
                <w:rFonts w:ascii="宋体" w:hAnsi="宋体" w:cs="宋体"/>
                <w:color w:val="auto"/>
                <w:highlight w:val="none"/>
              </w:rPr>
            </w:pPr>
            <w:r>
              <w:rPr>
                <w:rFonts w:hint="eastAsia" w:ascii="宋体" w:hAnsi="宋体" w:cs="宋体"/>
                <w:color w:val="auto"/>
                <w:highlight w:val="none"/>
              </w:rPr>
              <w:t>采样风机或采样泵工作情况检查；</w:t>
            </w:r>
          </w:p>
          <w:p>
            <w:pPr>
              <w:numPr>
                <w:ilvl w:val="0"/>
                <w:numId w:val="8"/>
              </w:numPr>
              <w:rPr>
                <w:rFonts w:ascii="宋体" w:hAnsi="宋体" w:cs="宋体"/>
                <w:color w:val="auto"/>
                <w:highlight w:val="none"/>
              </w:rPr>
            </w:pPr>
            <w:r>
              <w:rPr>
                <w:rFonts w:hint="eastAsia" w:ascii="宋体" w:hAnsi="宋体" w:cs="宋体"/>
                <w:color w:val="auto"/>
                <w:highlight w:val="none"/>
              </w:rPr>
              <w:t>采样管路保温或加热效果检查。</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9"/>
              </w:numPr>
              <w:rPr>
                <w:rFonts w:ascii="宋体" w:hAnsi="宋体" w:cs="宋体"/>
                <w:color w:val="auto"/>
                <w:highlight w:val="none"/>
              </w:rPr>
            </w:pPr>
            <w:r>
              <w:rPr>
                <w:rFonts w:hint="eastAsia" w:ascii="宋体" w:hAnsi="宋体" w:cs="宋体"/>
                <w:color w:val="auto"/>
                <w:highlight w:val="none"/>
              </w:rPr>
              <w:t>采样管未做防水措施或防水措施失效，扣</w:t>
            </w:r>
            <w:r>
              <w:rPr>
                <w:rFonts w:ascii="宋体" w:hAnsi="宋体" w:cs="宋体"/>
                <w:color w:val="auto"/>
                <w:highlight w:val="none"/>
              </w:rPr>
              <w:t>0.2</w:t>
            </w:r>
            <w:r>
              <w:rPr>
                <w:rFonts w:hint="eastAsia" w:ascii="宋体" w:hAnsi="宋体" w:cs="宋体"/>
                <w:color w:val="auto"/>
                <w:highlight w:val="none"/>
              </w:rPr>
              <w:t>分；</w:t>
            </w:r>
          </w:p>
          <w:p>
            <w:pPr>
              <w:numPr>
                <w:ilvl w:val="0"/>
                <w:numId w:val="9"/>
              </w:numPr>
              <w:rPr>
                <w:rFonts w:ascii="宋体" w:hAnsi="宋体" w:cs="宋体"/>
                <w:color w:val="auto"/>
                <w:highlight w:val="none"/>
              </w:rPr>
            </w:pPr>
            <w:r>
              <w:rPr>
                <w:rFonts w:hint="eastAsia" w:ascii="宋体" w:hAnsi="宋体" w:cs="宋体"/>
                <w:color w:val="auto"/>
                <w:highlight w:val="none"/>
              </w:rPr>
              <w:t>采样总管或采样管路脏污，扣</w:t>
            </w:r>
            <w:r>
              <w:rPr>
                <w:rFonts w:ascii="宋体" w:hAnsi="宋体" w:cs="宋体"/>
                <w:color w:val="auto"/>
                <w:highlight w:val="none"/>
              </w:rPr>
              <w:t>0.2</w:t>
            </w:r>
            <w:r>
              <w:rPr>
                <w:rFonts w:hint="eastAsia" w:ascii="宋体" w:hAnsi="宋体" w:cs="宋体"/>
                <w:color w:val="auto"/>
                <w:highlight w:val="none"/>
              </w:rPr>
              <w:t>分；</w:t>
            </w:r>
          </w:p>
          <w:p>
            <w:pPr>
              <w:numPr>
                <w:ilvl w:val="0"/>
                <w:numId w:val="9"/>
              </w:numPr>
              <w:rPr>
                <w:rFonts w:ascii="宋体" w:hAnsi="宋体" w:cs="宋体"/>
                <w:color w:val="auto"/>
                <w:highlight w:val="none"/>
              </w:rPr>
            </w:pPr>
            <w:r>
              <w:rPr>
                <w:rFonts w:hint="eastAsia" w:ascii="宋体" w:hAnsi="宋体" w:cs="宋体"/>
                <w:color w:val="auto"/>
                <w:highlight w:val="none"/>
              </w:rPr>
              <w:t>采样风机或采样泵工作异常，扣</w:t>
            </w:r>
            <w:r>
              <w:rPr>
                <w:rFonts w:ascii="宋体" w:hAnsi="宋体" w:cs="宋体"/>
                <w:color w:val="auto"/>
                <w:highlight w:val="none"/>
              </w:rPr>
              <w:t>0.2</w:t>
            </w:r>
            <w:r>
              <w:rPr>
                <w:rFonts w:hint="eastAsia" w:ascii="宋体" w:hAnsi="宋体" w:cs="宋体"/>
                <w:color w:val="auto"/>
                <w:highlight w:val="none"/>
              </w:rPr>
              <w:t>分；</w:t>
            </w:r>
          </w:p>
          <w:p>
            <w:pPr>
              <w:numPr>
                <w:ilvl w:val="0"/>
                <w:numId w:val="9"/>
              </w:numPr>
              <w:rPr>
                <w:rFonts w:ascii="宋体" w:hAnsi="宋体" w:cs="宋体"/>
                <w:color w:val="auto"/>
                <w:highlight w:val="none"/>
              </w:rPr>
            </w:pPr>
            <w:r>
              <w:rPr>
                <w:rFonts w:hint="eastAsia" w:ascii="宋体" w:hAnsi="宋体" w:cs="宋体"/>
                <w:color w:val="auto"/>
                <w:highlight w:val="none"/>
              </w:rPr>
              <w:t>采样管路未做保温措施或加热异常，扣</w:t>
            </w:r>
            <w:r>
              <w:rPr>
                <w:rFonts w:ascii="宋体" w:hAnsi="宋体" w:cs="宋体"/>
                <w:color w:val="auto"/>
                <w:highlight w:val="none"/>
              </w:rPr>
              <w:t>0.2</w:t>
            </w:r>
            <w:r>
              <w:rPr>
                <w:rFonts w:hint="eastAsia" w:ascii="宋体" w:hAnsi="宋体" w:cs="宋体"/>
                <w:color w:val="auto"/>
                <w:highlight w:val="none"/>
              </w:rPr>
              <w:t>分。</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仪器日常维护效果</w:t>
            </w:r>
          </w:p>
        </w:tc>
        <w:tc>
          <w:tcPr>
            <w:tcW w:w="3756" w:type="dxa"/>
            <w:vAlign w:val="center"/>
          </w:tcPr>
          <w:p>
            <w:pPr>
              <w:numPr>
                <w:ilvl w:val="0"/>
                <w:numId w:val="10"/>
              </w:numPr>
              <w:rPr>
                <w:rFonts w:ascii="宋体" w:hAnsi="宋体" w:cs="宋体"/>
                <w:color w:val="auto"/>
                <w:highlight w:val="none"/>
              </w:rPr>
            </w:pPr>
            <w:r>
              <w:rPr>
                <w:rFonts w:hint="eastAsia" w:ascii="宋体" w:hAnsi="宋体" w:cs="宋体"/>
                <w:color w:val="auto"/>
                <w:highlight w:val="none"/>
              </w:rPr>
              <w:t>检查仪器是否具有报警与故障信息；</w:t>
            </w:r>
          </w:p>
          <w:p>
            <w:pPr>
              <w:numPr>
                <w:ilvl w:val="0"/>
                <w:numId w:val="10"/>
              </w:numPr>
              <w:rPr>
                <w:rFonts w:ascii="宋体" w:hAnsi="宋体" w:cs="宋体"/>
                <w:color w:val="auto"/>
                <w:highlight w:val="none"/>
              </w:rPr>
            </w:pPr>
            <w:r>
              <w:rPr>
                <w:rFonts w:hint="eastAsia" w:ascii="宋体" w:hAnsi="宋体" w:cs="宋体"/>
                <w:color w:val="auto"/>
                <w:highlight w:val="none"/>
              </w:rPr>
              <w:t>检查仪器洁净度。</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.9</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11"/>
              </w:numPr>
              <w:rPr>
                <w:rFonts w:ascii="宋体" w:hAnsi="宋体" w:cs="宋体"/>
                <w:color w:val="auto"/>
                <w:highlight w:val="none"/>
              </w:rPr>
            </w:pPr>
            <w:r>
              <w:rPr>
                <w:rFonts w:hint="eastAsia" w:ascii="宋体" w:hAnsi="宋体" w:cs="宋体"/>
                <w:color w:val="auto"/>
                <w:highlight w:val="none"/>
              </w:rPr>
              <w:t>现场检查时如仪器报警或故障，扣</w:t>
            </w:r>
            <w:r>
              <w:rPr>
                <w:rFonts w:ascii="宋体" w:hAnsi="宋体" w:cs="宋体"/>
                <w:color w:val="auto"/>
                <w:highlight w:val="none"/>
              </w:rPr>
              <w:t>0.6</w:t>
            </w:r>
            <w:r>
              <w:rPr>
                <w:rFonts w:hint="eastAsia" w:ascii="宋体" w:hAnsi="宋体" w:cs="宋体"/>
                <w:color w:val="auto"/>
                <w:highlight w:val="none"/>
              </w:rPr>
              <w:t>分；</w:t>
            </w:r>
          </w:p>
          <w:p>
            <w:pPr>
              <w:numPr>
                <w:ilvl w:val="0"/>
                <w:numId w:val="11"/>
              </w:numPr>
              <w:rPr>
                <w:rFonts w:ascii="宋体" w:hAnsi="宋体" w:cs="宋体"/>
                <w:color w:val="auto"/>
                <w:highlight w:val="none"/>
              </w:rPr>
            </w:pPr>
            <w:r>
              <w:rPr>
                <w:rFonts w:hint="eastAsia" w:ascii="宋体" w:hAnsi="宋体" w:cs="宋体"/>
                <w:color w:val="auto"/>
                <w:highlight w:val="none"/>
              </w:rPr>
              <w:t>仪器表面或内部灰明显，扣</w:t>
            </w:r>
            <w:r>
              <w:rPr>
                <w:rFonts w:ascii="宋体" w:hAnsi="宋体" w:cs="宋体"/>
                <w:color w:val="auto"/>
                <w:highlight w:val="none"/>
              </w:rPr>
              <w:t>0.3</w:t>
            </w:r>
            <w:r>
              <w:rPr>
                <w:rFonts w:hint="eastAsia" w:ascii="宋体" w:hAnsi="宋体" w:cs="宋体"/>
                <w:color w:val="auto"/>
                <w:highlight w:val="none"/>
              </w:rPr>
              <w:t>分。</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数据采集及通讯情况</w:t>
            </w:r>
          </w:p>
        </w:tc>
        <w:tc>
          <w:tcPr>
            <w:tcW w:w="3756" w:type="dxa"/>
            <w:vAlign w:val="center"/>
          </w:tcPr>
          <w:p>
            <w:pPr>
              <w:numPr>
                <w:ilvl w:val="0"/>
                <w:numId w:val="12"/>
              </w:numPr>
              <w:rPr>
                <w:rFonts w:ascii="宋体" w:hAnsi="宋体" w:cs="宋体"/>
                <w:color w:val="auto"/>
                <w:highlight w:val="none"/>
              </w:rPr>
            </w:pPr>
            <w:r>
              <w:rPr>
                <w:rFonts w:hint="eastAsia" w:ascii="宋体" w:hAnsi="宋体" w:cs="宋体"/>
                <w:color w:val="auto"/>
                <w:highlight w:val="none"/>
              </w:rPr>
              <w:t>检查数据采集与上传通讯情况；</w:t>
            </w:r>
          </w:p>
          <w:p>
            <w:pPr>
              <w:numPr>
                <w:ilvl w:val="0"/>
                <w:numId w:val="12"/>
              </w:numPr>
              <w:rPr>
                <w:rFonts w:ascii="宋体" w:hAnsi="宋体" w:cs="宋体"/>
                <w:color w:val="auto"/>
                <w:highlight w:val="none"/>
              </w:rPr>
            </w:pPr>
            <w:r>
              <w:rPr>
                <w:rFonts w:hint="eastAsia" w:ascii="宋体" w:hAnsi="宋体" w:cs="宋体"/>
                <w:color w:val="auto"/>
                <w:highlight w:val="none"/>
              </w:rPr>
              <w:t>检查采集数据与仪器内部数据是否一致性。</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.3</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13"/>
              </w:numPr>
              <w:rPr>
                <w:rFonts w:ascii="宋体" w:hAnsi="宋体" w:cs="宋体"/>
                <w:color w:val="auto"/>
                <w:highlight w:val="none"/>
              </w:rPr>
            </w:pPr>
            <w:r>
              <w:rPr>
                <w:rFonts w:hint="eastAsia" w:ascii="宋体" w:hAnsi="宋体" w:cs="宋体"/>
                <w:color w:val="auto"/>
                <w:highlight w:val="none"/>
              </w:rPr>
              <w:t>通过检查数据采集软件数据上传日志，查看自检查当日之前7天内的数据上传情况，如有缺失时段，每笔数据扣0.</w:t>
            </w:r>
            <w:r>
              <w:rPr>
                <w:rFonts w:ascii="宋体" w:hAnsi="宋体" w:cs="宋体"/>
                <w:color w:val="auto"/>
                <w:highlight w:val="none"/>
              </w:rPr>
              <w:t>03</w:t>
            </w:r>
            <w:r>
              <w:rPr>
                <w:rFonts w:hint="eastAsia" w:ascii="宋体" w:hAnsi="宋体" w:cs="宋体"/>
                <w:color w:val="auto"/>
                <w:highlight w:val="none"/>
              </w:rPr>
              <w:t>分，停电除外；</w:t>
            </w:r>
          </w:p>
          <w:p>
            <w:pPr>
              <w:numPr>
                <w:ilvl w:val="0"/>
                <w:numId w:val="13"/>
              </w:numPr>
              <w:rPr>
                <w:rFonts w:ascii="宋体" w:hAnsi="宋体" w:cs="宋体"/>
                <w:color w:val="auto"/>
                <w:highlight w:val="none"/>
              </w:rPr>
            </w:pPr>
            <w:r>
              <w:rPr>
                <w:rFonts w:hint="eastAsia" w:ascii="宋体" w:hAnsi="宋体" w:cs="宋体"/>
                <w:color w:val="auto"/>
                <w:highlight w:val="none"/>
              </w:rPr>
              <w:t>采集数据与仪器内部数据不一致，每笔数据扣0.</w:t>
            </w:r>
            <w:r>
              <w:rPr>
                <w:rFonts w:ascii="宋体" w:hAnsi="宋体" w:cs="宋体"/>
                <w:color w:val="auto"/>
                <w:highlight w:val="none"/>
              </w:rPr>
              <w:t>03</w:t>
            </w:r>
            <w:r>
              <w:rPr>
                <w:rFonts w:hint="eastAsia" w:ascii="宋体" w:hAnsi="宋体" w:cs="宋体"/>
                <w:color w:val="auto"/>
                <w:highlight w:val="none"/>
              </w:rPr>
              <w:t>分；</w:t>
            </w:r>
          </w:p>
          <w:p>
            <w:pPr>
              <w:numPr>
                <w:ilvl w:val="0"/>
                <w:numId w:val="13"/>
              </w:numPr>
              <w:rPr>
                <w:rFonts w:ascii="宋体" w:hAnsi="宋体" w:cs="宋体"/>
                <w:color w:val="auto"/>
                <w:highlight w:val="none"/>
              </w:rPr>
            </w:pPr>
            <w:r>
              <w:rPr>
                <w:rFonts w:hint="eastAsia" w:ascii="宋体" w:hAnsi="宋体" w:cs="宋体"/>
                <w:color w:val="auto"/>
                <w:highlight w:val="none"/>
              </w:rPr>
              <w:t>上述分数扣完为止。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运维人员情况</w:t>
            </w:r>
          </w:p>
        </w:tc>
        <w:tc>
          <w:tcPr>
            <w:tcW w:w="3756" w:type="dxa"/>
            <w:vAlign w:val="center"/>
          </w:tcPr>
          <w:p>
            <w:pPr>
              <w:numPr>
                <w:ilvl w:val="0"/>
                <w:numId w:val="14"/>
              </w:numPr>
              <w:rPr>
                <w:rFonts w:ascii="宋体" w:hAnsi="宋体" w:cs="宋体"/>
                <w:color w:val="auto"/>
                <w:highlight w:val="none"/>
              </w:rPr>
            </w:pPr>
            <w:r>
              <w:rPr>
                <w:rFonts w:hint="eastAsia" w:ascii="宋体" w:hAnsi="宋体" w:cs="宋体"/>
                <w:color w:val="auto"/>
                <w:highlight w:val="none"/>
              </w:rPr>
              <w:t>运维人员是否接受过仪器操作维护培训；</w:t>
            </w:r>
          </w:p>
          <w:p>
            <w:pPr>
              <w:numPr>
                <w:ilvl w:val="0"/>
                <w:numId w:val="14"/>
              </w:numPr>
              <w:rPr>
                <w:rFonts w:ascii="宋体" w:hAnsi="宋体" w:cs="宋体"/>
                <w:color w:val="auto"/>
                <w:highlight w:val="none"/>
              </w:rPr>
            </w:pPr>
            <w:r>
              <w:rPr>
                <w:rFonts w:hint="eastAsia" w:ascii="宋体" w:hAnsi="宋体" w:cs="宋体"/>
                <w:color w:val="auto"/>
                <w:highlight w:val="none"/>
              </w:rPr>
              <w:t>运维人员对所维护仪器设备操作的熟练性</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15"/>
              </w:numPr>
              <w:rPr>
                <w:rFonts w:ascii="宋体" w:hAnsi="宋体" w:cs="宋体"/>
                <w:color w:val="auto"/>
                <w:highlight w:val="none"/>
              </w:rPr>
            </w:pPr>
            <w:r>
              <w:rPr>
                <w:rFonts w:hint="eastAsia" w:ascii="宋体" w:hAnsi="宋体" w:cs="宋体"/>
                <w:color w:val="auto"/>
                <w:highlight w:val="none"/>
              </w:rPr>
              <w:t>无接受过培训扣</w:t>
            </w:r>
            <w:r>
              <w:rPr>
                <w:rFonts w:ascii="宋体" w:hAnsi="宋体" w:cs="宋体"/>
                <w:color w:val="auto"/>
                <w:highlight w:val="none"/>
              </w:rPr>
              <w:t>0.3</w:t>
            </w:r>
            <w:r>
              <w:rPr>
                <w:rFonts w:hint="eastAsia" w:ascii="宋体" w:hAnsi="宋体" w:cs="宋体"/>
                <w:color w:val="auto"/>
                <w:highlight w:val="none"/>
              </w:rPr>
              <w:t>分；</w:t>
            </w:r>
          </w:p>
          <w:p>
            <w:pPr>
              <w:numPr>
                <w:ilvl w:val="0"/>
                <w:numId w:val="15"/>
              </w:numPr>
              <w:rPr>
                <w:rFonts w:ascii="宋体" w:hAnsi="宋体" w:cs="宋体"/>
                <w:color w:val="auto"/>
                <w:highlight w:val="none"/>
              </w:rPr>
            </w:pPr>
            <w:r>
              <w:rPr>
                <w:rFonts w:hint="eastAsia" w:ascii="宋体" w:hAnsi="宋体" w:cs="宋体"/>
                <w:color w:val="auto"/>
                <w:highlight w:val="none"/>
              </w:rPr>
              <w:t>操作维护不熟练，扣</w:t>
            </w:r>
            <w:r>
              <w:rPr>
                <w:rFonts w:ascii="宋体" w:hAnsi="宋体" w:cs="宋体"/>
                <w:color w:val="auto"/>
                <w:highlight w:val="none"/>
              </w:rPr>
              <w:t>0.3</w:t>
            </w:r>
            <w:r>
              <w:rPr>
                <w:rFonts w:hint="eastAsia" w:ascii="宋体" w:hAnsi="宋体" w:cs="宋体"/>
                <w:color w:val="auto"/>
                <w:highlight w:val="none"/>
              </w:rPr>
              <w:t>分。</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档案管理情况</w:t>
            </w:r>
          </w:p>
        </w:tc>
        <w:tc>
          <w:tcPr>
            <w:tcW w:w="3756" w:type="dxa"/>
            <w:vAlign w:val="center"/>
          </w:tcPr>
          <w:p>
            <w:pPr>
              <w:numPr>
                <w:ilvl w:val="0"/>
                <w:numId w:val="16"/>
              </w:numPr>
              <w:rPr>
                <w:rFonts w:ascii="宋体" w:hAnsi="宋体" w:cs="宋体"/>
                <w:color w:val="auto"/>
                <w:highlight w:val="none"/>
              </w:rPr>
            </w:pPr>
            <w:r>
              <w:rPr>
                <w:rFonts w:hint="eastAsia" w:ascii="宋体" w:hAnsi="宋体" w:cs="宋体"/>
                <w:color w:val="auto"/>
                <w:highlight w:val="none"/>
              </w:rPr>
              <w:t>检查例行维护记录是否齐全；</w:t>
            </w:r>
          </w:p>
          <w:p>
            <w:pPr>
              <w:numPr>
                <w:ilvl w:val="0"/>
                <w:numId w:val="16"/>
              </w:numPr>
              <w:rPr>
                <w:rFonts w:ascii="宋体" w:hAnsi="宋体" w:cs="宋体"/>
                <w:color w:val="auto"/>
                <w:highlight w:val="none"/>
              </w:rPr>
            </w:pPr>
            <w:r>
              <w:rPr>
                <w:rFonts w:hint="eastAsia" w:ascii="宋体" w:hAnsi="宋体" w:cs="宋体"/>
                <w:color w:val="auto"/>
                <w:highlight w:val="none"/>
              </w:rPr>
              <w:t>标气来源配置记录、存储情况、有效期检查；</w:t>
            </w:r>
          </w:p>
          <w:p>
            <w:pPr>
              <w:numPr>
                <w:ilvl w:val="0"/>
                <w:numId w:val="16"/>
              </w:numPr>
              <w:rPr>
                <w:rFonts w:ascii="宋体" w:hAnsi="宋体" w:cs="宋体"/>
                <w:color w:val="auto"/>
                <w:highlight w:val="none"/>
              </w:rPr>
            </w:pPr>
            <w:r>
              <w:rPr>
                <w:rFonts w:hint="eastAsia" w:ascii="宋体" w:hAnsi="宋体" w:cs="宋体"/>
                <w:color w:val="auto"/>
                <w:highlight w:val="none"/>
              </w:rPr>
              <w:t>检查维修维护记录/应急维护记录是否齐全；</w:t>
            </w:r>
          </w:p>
          <w:p>
            <w:pPr>
              <w:numPr>
                <w:ilvl w:val="0"/>
                <w:numId w:val="16"/>
              </w:numPr>
              <w:rPr>
                <w:rFonts w:ascii="宋体" w:hAnsi="宋体" w:cs="宋体"/>
                <w:color w:val="auto"/>
                <w:highlight w:val="none"/>
              </w:rPr>
            </w:pPr>
            <w:r>
              <w:rPr>
                <w:rFonts w:hint="eastAsia" w:ascii="宋体" w:hAnsi="宋体" w:cs="宋体"/>
                <w:color w:val="auto"/>
                <w:highlight w:val="none"/>
              </w:rPr>
              <w:t>检查质控记录/报表是否齐全</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1</w:t>
            </w:r>
            <w:r>
              <w:rPr>
                <w:rFonts w:ascii="宋体" w:hAnsi="宋体" w:cs="宋体"/>
                <w:color w:val="auto"/>
                <w:highlight w:val="none"/>
              </w:rPr>
              <w:t>.5</w:t>
            </w:r>
          </w:p>
        </w:tc>
        <w:tc>
          <w:tcPr>
            <w:tcW w:w="880" w:type="dxa"/>
            <w:vAlign w:val="center"/>
          </w:tcPr>
          <w:p>
            <w:pPr>
              <w:jc w:val="center"/>
              <w:rPr>
                <w:rFonts w:ascii="宋体" w:hAnsi="宋体" w:cs="宋体"/>
                <w:color w:val="auto"/>
                <w:highlight w:val="none"/>
              </w:rPr>
            </w:pPr>
          </w:p>
        </w:tc>
        <w:tc>
          <w:tcPr>
            <w:tcW w:w="4532" w:type="dxa"/>
            <w:vAlign w:val="center"/>
          </w:tcPr>
          <w:p>
            <w:pPr>
              <w:numPr>
                <w:ilvl w:val="0"/>
                <w:numId w:val="17"/>
              </w:numPr>
              <w:rPr>
                <w:rFonts w:ascii="宋体" w:hAnsi="宋体" w:cs="宋体"/>
                <w:color w:val="auto"/>
                <w:highlight w:val="none"/>
              </w:rPr>
            </w:pPr>
            <w:r>
              <w:rPr>
                <w:rFonts w:hint="eastAsia" w:ascii="宋体" w:hAnsi="宋体" w:cs="宋体"/>
                <w:color w:val="auto"/>
                <w:highlight w:val="none"/>
              </w:rPr>
              <w:t>近一个季度例行维护记录缺少1项，扣</w:t>
            </w:r>
            <w:r>
              <w:rPr>
                <w:rFonts w:ascii="宋体" w:hAnsi="宋体" w:cs="宋体"/>
                <w:color w:val="auto"/>
                <w:highlight w:val="none"/>
              </w:rPr>
              <w:t>0.3</w:t>
            </w:r>
            <w:r>
              <w:rPr>
                <w:rFonts w:hint="eastAsia" w:ascii="宋体" w:hAnsi="宋体" w:cs="宋体"/>
                <w:color w:val="auto"/>
                <w:highlight w:val="none"/>
              </w:rPr>
              <w:t>分；</w:t>
            </w:r>
          </w:p>
          <w:p>
            <w:pPr>
              <w:numPr>
                <w:ilvl w:val="0"/>
                <w:numId w:val="17"/>
              </w:numPr>
              <w:rPr>
                <w:rFonts w:ascii="宋体" w:hAnsi="宋体" w:cs="宋体"/>
                <w:color w:val="auto"/>
                <w:highlight w:val="none"/>
              </w:rPr>
            </w:pPr>
            <w:r>
              <w:rPr>
                <w:rFonts w:hint="eastAsia" w:ascii="宋体" w:hAnsi="宋体" w:cs="宋体"/>
                <w:color w:val="auto"/>
                <w:highlight w:val="none"/>
              </w:rPr>
              <w:t>无标气证书或配置记录扣</w:t>
            </w:r>
            <w:r>
              <w:rPr>
                <w:rFonts w:ascii="宋体" w:hAnsi="宋体" w:cs="宋体"/>
                <w:color w:val="auto"/>
                <w:highlight w:val="none"/>
              </w:rPr>
              <w:t>0.3</w:t>
            </w:r>
            <w:r>
              <w:rPr>
                <w:rFonts w:hint="eastAsia" w:ascii="宋体" w:hAnsi="宋体" w:cs="宋体"/>
                <w:color w:val="auto"/>
                <w:highlight w:val="none"/>
              </w:rPr>
              <w:t>分；</w:t>
            </w:r>
          </w:p>
          <w:p>
            <w:pPr>
              <w:numPr>
                <w:ilvl w:val="0"/>
                <w:numId w:val="17"/>
              </w:numPr>
              <w:rPr>
                <w:rFonts w:ascii="宋体" w:hAnsi="宋体" w:cs="宋体"/>
                <w:color w:val="auto"/>
                <w:highlight w:val="none"/>
              </w:rPr>
            </w:pPr>
            <w:r>
              <w:rPr>
                <w:rFonts w:hint="eastAsia" w:ascii="宋体" w:hAnsi="宋体" w:cs="宋体"/>
                <w:color w:val="auto"/>
                <w:highlight w:val="none"/>
              </w:rPr>
              <w:t>标气过期扣</w:t>
            </w:r>
            <w:r>
              <w:rPr>
                <w:rFonts w:ascii="宋体" w:hAnsi="宋体" w:cs="宋体"/>
                <w:color w:val="auto"/>
                <w:highlight w:val="none"/>
              </w:rPr>
              <w:t>0.3</w:t>
            </w:r>
            <w:r>
              <w:rPr>
                <w:rFonts w:hint="eastAsia" w:ascii="宋体" w:hAnsi="宋体" w:cs="宋体"/>
                <w:color w:val="auto"/>
                <w:highlight w:val="none"/>
              </w:rPr>
              <w:t>分；</w:t>
            </w:r>
          </w:p>
          <w:p>
            <w:pPr>
              <w:numPr>
                <w:ilvl w:val="0"/>
                <w:numId w:val="17"/>
              </w:numPr>
              <w:rPr>
                <w:rFonts w:ascii="宋体" w:hAnsi="宋体" w:cs="宋体"/>
                <w:color w:val="auto"/>
                <w:highlight w:val="none"/>
              </w:rPr>
            </w:pPr>
            <w:r>
              <w:rPr>
                <w:rFonts w:hint="eastAsia" w:ascii="宋体" w:hAnsi="宋体" w:cs="宋体"/>
                <w:color w:val="auto"/>
                <w:highlight w:val="none"/>
              </w:rPr>
              <w:t>近一个季度维修维护记录/应急维护记录缺少1项，扣</w:t>
            </w:r>
            <w:r>
              <w:rPr>
                <w:rFonts w:ascii="宋体" w:hAnsi="宋体" w:cs="宋体"/>
                <w:color w:val="auto"/>
                <w:highlight w:val="none"/>
              </w:rPr>
              <w:t>0.3</w:t>
            </w:r>
            <w:r>
              <w:rPr>
                <w:rFonts w:hint="eastAsia" w:ascii="宋体" w:hAnsi="宋体" w:cs="宋体"/>
                <w:color w:val="auto"/>
                <w:highlight w:val="none"/>
              </w:rPr>
              <w:t>分；</w:t>
            </w:r>
          </w:p>
          <w:p>
            <w:pPr>
              <w:numPr>
                <w:ilvl w:val="0"/>
                <w:numId w:val="17"/>
              </w:numPr>
              <w:rPr>
                <w:rFonts w:ascii="宋体" w:hAnsi="宋体" w:cs="宋体"/>
                <w:color w:val="auto"/>
                <w:highlight w:val="none"/>
              </w:rPr>
            </w:pPr>
            <w:r>
              <w:rPr>
                <w:rFonts w:hint="eastAsia" w:ascii="宋体" w:hAnsi="宋体" w:cs="宋体"/>
                <w:color w:val="auto"/>
                <w:highlight w:val="none"/>
              </w:rPr>
              <w:t>近一个季度质控记录/报表缺少1项，扣</w:t>
            </w:r>
            <w:r>
              <w:rPr>
                <w:rFonts w:ascii="宋体" w:hAnsi="宋体" w:cs="宋体"/>
                <w:color w:val="auto"/>
                <w:highlight w:val="none"/>
              </w:rPr>
              <w:t>0.3</w:t>
            </w:r>
            <w:r>
              <w:rPr>
                <w:rFonts w:hint="eastAsia" w:ascii="宋体" w:hAnsi="宋体" w:cs="宋体"/>
                <w:color w:val="auto"/>
                <w:highlight w:val="none"/>
              </w:rPr>
              <w:t>分</w:t>
            </w:r>
          </w:p>
          <w:p>
            <w:pPr>
              <w:numPr>
                <w:ilvl w:val="0"/>
                <w:numId w:val="17"/>
              </w:numPr>
              <w:rPr>
                <w:rFonts w:ascii="宋体" w:hAnsi="宋体" w:cs="宋体"/>
                <w:color w:val="auto"/>
                <w:highlight w:val="none"/>
              </w:rPr>
            </w:pPr>
            <w:r>
              <w:rPr>
                <w:rFonts w:hint="eastAsia" w:ascii="宋体" w:hAnsi="宋体" w:cs="宋体"/>
                <w:color w:val="auto"/>
                <w:highlight w:val="none"/>
              </w:rPr>
              <w:t>上述分数扣完为止。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restart"/>
            <w:vAlign w:val="center"/>
          </w:tcPr>
          <w:p>
            <w:pPr>
              <w:jc w:val="center"/>
              <w:rPr>
                <w:rFonts w:ascii="宋体" w:hAnsi="宋体" w:cs="宋体"/>
                <w:color w:val="auto"/>
                <w:highlight w:val="none"/>
              </w:rPr>
            </w:pPr>
            <w:r>
              <w:rPr>
                <w:rFonts w:hint="eastAsia" w:ascii="宋体" w:hAnsi="宋体" w:cs="宋体"/>
                <w:color w:val="auto"/>
                <w:highlight w:val="none"/>
              </w:rPr>
              <w:t>2</w:t>
            </w:r>
          </w:p>
        </w:tc>
        <w:tc>
          <w:tcPr>
            <w:tcW w:w="1324" w:type="dxa"/>
            <w:vMerge w:val="restart"/>
            <w:vAlign w:val="center"/>
          </w:tcPr>
          <w:p>
            <w:pPr>
              <w:rPr>
                <w:rFonts w:ascii="宋体" w:hAnsi="宋体" w:cs="宋体"/>
                <w:color w:val="auto"/>
                <w:highlight w:val="none"/>
              </w:rPr>
            </w:pPr>
            <w:r>
              <w:rPr>
                <w:rFonts w:hint="eastAsia" w:ascii="宋体" w:hAnsi="宋体" w:cs="宋体"/>
                <w:color w:val="auto"/>
                <w:highlight w:val="none"/>
              </w:rPr>
              <w:t>自动监测设备质控检查</w:t>
            </w:r>
          </w:p>
          <w:p>
            <w:pPr>
              <w:rPr>
                <w:rFonts w:ascii="宋体" w:hAnsi="宋体" w:cs="宋体"/>
                <w:color w:val="auto"/>
                <w:highlight w:val="none"/>
              </w:rPr>
            </w:pPr>
            <w:r>
              <w:rPr>
                <w:rFonts w:hint="eastAsia" w:ascii="宋体" w:hAnsi="宋体" w:cs="宋体"/>
                <w:color w:val="auto"/>
                <w:highlight w:val="none"/>
              </w:rPr>
              <w:t>(</w:t>
            </w:r>
            <w:r>
              <w:rPr>
                <w:rFonts w:ascii="宋体" w:hAnsi="宋体" w:cs="宋体"/>
                <w:color w:val="auto"/>
                <w:highlight w:val="none"/>
              </w:rPr>
              <w:t>18</w:t>
            </w:r>
            <w:r>
              <w:rPr>
                <w:rFonts w:hint="eastAsia" w:ascii="宋体" w:hAnsi="宋体" w:cs="宋体"/>
                <w:color w:val="auto"/>
                <w:highlight w:val="none"/>
              </w:rPr>
              <w:t>分)</w:t>
            </w: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气密性</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检查仪器气密性</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气密性检查显示采样流量不为零或自带气密性检查功能显示不通过，扣</w:t>
            </w:r>
            <w:r>
              <w:rPr>
                <w:rFonts w:ascii="宋体" w:hAnsi="宋体" w:cs="宋体"/>
                <w:color w:val="auto"/>
                <w:highlight w:val="none"/>
              </w:rPr>
              <w:t>0.6</w:t>
            </w:r>
            <w:r>
              <w:rPr>
                <w:rFonts w:hint="eastAsia" w:ascii="宋体" w:hAnsi="宋体" w:cs="宋体"/>
                <w:color w:val="auto"/>
                <w:highlight w:val="none"/>
              </w:rPr>
              <w:t>分。</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采样流量</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检查采样流量偏差（警告界限±5%，控制界限±10%）</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流量偏差超出警告界限±5%但小于控制限±10%，扣</w:t>
            </w:r>
            <w:r>
              <w:rPr>
                <w:rFonts w:ascii="宋体" w:hAnsi="宋体" w:cs="宋体"/>
                <w:color w:val="auto"/>
                <w:highlight w:val="none"/>
              </w:rPr>
              <w:t>0.3</w:t>
            </w:r>
            <w:r>
              <w:rPr>
                <w:rFonts w:hint="eastAsia" w:ascii="宋体" w:hAnsi="宋体" w:cs="宋体"/>
                <w:color w:val="auto"/>
                <w:highlight w:val="none"/>
              </w:rPr>
              <w:t>分；超出控制限±10%，扣</w:t>
            </w:r>
            <w:r>
              <w:rPr>
                <w:rFonts w:ascii="宋体" w:hAnsi="宋体" w:cs="宋体"/>
                <w:color w:val="auto"/>
                <w:highlight w:val="none"/>
              </w:rPr>
              <w:t>0.6</w:t>
            </w:r>
            <w:r>
              <w:rPr>
                <w:rFonts w:hint="eastAsia" w:ascii="宋体" w:hAnsi="宋体" w:cs="宋体"/>
                <w:color w:val="auto"/>
                <w:highlight w:val="none"/>
              </w:rPr>
              <w:t>分。</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单点质控</w:t>
            </w:r>
          </w:p>
        </w:tc>
        <w:tc>
          <w:tcPr>
            <w:tcW w:w="3756" w:type="dxa"/>
            <w:vAlign w:val="center"/>
          </w:tcPr>
          <w:p>
            <w:pPr>
              <w:rPr>
                <w:rFonts w:ascii="宋体" w:hAnsi="宋体" w:cs="宋体"/>
                <w:color w:val="auto"/>
                <w:highlight w:val="none"/>
              </w:rPr>
            </w:pPr>
            <w:r>
              <w:rPr>
                <w:color w:val="auto"/>
                <w:highlight w:val="none"/>
              </w:rPr>
              <w:t>各化合物浓度与标准气体的相对误差</w:t>
            </w:r>
            <w:r>
              <w:rPr>
                <w:rFonts w:hint="eastAsia"/>
                <w:color w:val="auto"/>
                <w:highlight w:val="none"/>
              </w:rPr>
              <w:t>不超过</w:t>
            </w:r>
            <w:r>
              <w:rPr>
                <w:color w:val="auto"/>
                <w:highlight w:val="none"/>
              </w:rPr>
              <w:t>20% (质谱检测器放宽至30%)。</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1</w:t>
            </w:r>
            <w:r>
              <w:rPr>
                <w:rFonts w:ascii="宋体" w:hAnsi="宋体" w:cs="宋体"/>
                <w:color w:val="auto"/>
                <w:highlight w:val="none"/>
              </w:rPr>
              <w:t>.2</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一个物种超出指标要求扣</w:t>
            </w:r>
            <w:r>
              <w:rPr>
                <w:rFonts w:ascii="宋体" w:hAnsi="宋体" w:cs="宋体"/>
                <w:color w:val="auto"/>
                <w:highlight w:val="none"/>
              </w:rPr>
              <w:t>0.3</w:t>
            </w:r>
            <w:r>
              <w:rPr>
                <w:rFonts w:hint="eastAsia" w:ascii="宋体" w:hAnsi="宋体" w:cs="宋体"/>
                <w:color w:val="auto"/>
                <w:highlight w:val="none"/>
              </w:rPr>
              <w:t>分。上述扣完为止。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系统空白</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上报物种清单中80%以上的目标化合物或臭氧生成潜势较高的重点挥发性有机物（苯系物等）系统空白≤0.1ppb同时满足检出限以下</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一个物种超出指标要求扣</w:t>
            </w:r>
            <w:r>
              <w:rPr>
                <w:rFonts w:ascii="宋体" w:hAnsi="宋体" w:cs="宋体"/>
                <w:color w:val="auto"/>
                <w:highlight w:val="none"/>
              </w:rPr>
              <w:t>0.3</w:t>
            </w:r>
            <w:r>
              <w:rPr>
                <w:rFonts w:hint="eastAsia" w:ascii="宋体" w:hAnsi="宋体" w:cs="宋体"/>
                <w:color w:val="auto"/>
                <w:highlight w:val="none"/>
              </w:rPr>
              <w:t>分。上述扣完为止。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日常残留</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上报物种清单中日常残留≤0.1ppb同时满足检出限以下</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一个物种超出指标要求扣</w:t>
            </w:r>
            <w:r>
              <w:rPr>
                <w:rFonts w:ascii="宋体" w:hAnsi="宋体" w:cs="宋体"/>
                <w:color w:val="auto"/>
                <w:highlight w:val="none"/>
              </w:rPr>
              <w:t>0.3</w:t>
            </w:r>
            <w:r>
              <w:rPr>
                <w:rFonts w:hint="eastAsia" w:ascii="宋体" w:hAnsi="宋体" w:cs="宋体"/>
                <w:color w:val="auto"/>
                <w:highlight w:val="none"/>
              </w:rPr>
              <w:t>分。上述扣完为止。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准确度</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各浓度点期间准确度≤20%</w:t>
            </w:r>
          </w:p>
        </w:tc>
        <w:tc>
          <w:tcPr>
            <w:tcW w:w="736" w:type="dxa"/>
            <w:vAlign w:val="center"/>
          </w:tcPr>
          <w:p>
            <w:pPr>
              <w:jc w:val="center"/>
              <w:rPr>
                <w:rFonts w:ascii="宋体" w:hAnsi="宋体" w:cs="宋体"/>
                <w:color w:val="auto"/>
                <w:highlight w:val="none"/>
              </w:rPr>
            </w:pPr>
            <w:r>
              <w:rPr>
                <w:rFonts w:ascii="宋体" w:hAnsi="宋体" w:cs="宋体"/>
                <w:color w:val="auto"/>
                <w:highlight w:val="none"/>
              </w:rPr>
              <w:t>4.8</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一个物种超出指标要求扣</w:t>
            </w:r>
            <w:r>
              <w:rPr>
                <w:rFonts w:ascii="宋体" w:hAnsi="宋体" w:cs="宋体"/>
                <w:color w:val="auto"/>
                <w:highlight w:val="none"/>
              </w:rPr>
              <w:t>0.3</w:t>
            </w:r>
            <w:r>
              <w:rPr>
                <w:rFonts w:hint="eastAsia" w:ascii="宋体" w:hAnsi="宋体" w:cs="宋体"/>
                <w:color w:val="auto"/>
                <w:highlight w:val="none"/>
              </w:rPr>
              <w:t>分。上述扣完为止。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精密度</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各浓度点期间精密度≤</w:t>
            </w:r>
            <w:r>
              <w:rPr>
                <w:rFonts w:ascii="宋体" w:hAnsi="宋体" w:cs="宋体"/>
                <w:color w:val="auto"/>
                <w:highlight w:val="none"/>
              </w:rPr>
              <w:t>2</w:t>
            </w:r>
            <w:r>
              <w:rPr>
                <w:rFonts w:hint="eastAsia" w:ascii="宋体" w:hAnsi="宋体" w:cs="宋体"/>
                <w:color w:val="auto"/>
                <w:highlight w:val="none"/>
              </w:rPr>
              <w:t>0%（</w:t>
            </w:r>
            <w:r>
              <w:rPr>
                <w:color w:val="auto"/>
                <w:highlight w:val="none"/>
              </w:rPr>
              <w:t>(质谱检测器放宽至30%)</w:t>
            </w:r>
            <w:r>
              <w:rPr>
                <w:rFonts w:hint="eastAsia" w:ascii="宋体" w:hAnsi="宋体" w:cs="宋体"/>
                <w:color w:val="auto"/>
                <w:highlight w:val="none"/>
              </w:rPr>
              <w:t>）</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4</w:t>
            </w:r>
            <w:r>
              <w:rPr>
                <w:rFonts w:ascii="宋体" w:hAnsi="宋体" w:cs="宋体"/>
                <w:color w:val="auto"/>
                <w:highlight w:val="none"/>
              </w:rPr>
              <w:t>.8</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一个物种超出指标要求扣</w:t>
            </w:r>
            <w:r>
              <w:rPr>
                <w:rFonts w:ascii="宋体" w:hAnsi="宋体" w:cs="宋体"/>
                <w:color w:val="auto"/>
                <w:highlight w:val="none"/>
              </w:rPr>
              <w:t>0.3</w:t>
            </w:r>
            <w:r>
              <w:rPr>
                <w:rFonts w:hint="eastAsia" w:ascii="宋体" w:hAnsi="宋体" w:cs="宋体"/>
                <w:color w:val="auto"/>
                <w:highlight w:val="none"/>
              </w:rPr>
              <w:t>分。上述扣完为止。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restart"/>
            <w:vAlign w:val="center"/>
          </w:tcPr>
          <w:p>
            <w:pPr>
              <w:jc w:val="center"/>
              <w:rPr>
                <w:rFonts w:ascii="宋体" w:hAnsi="宋体" w:cs="宋体"/>
                <w:color w:val="auto"/>
                <w:highlight w:val="none"/>
              </w:rPr>
            </w:pPr>
            <w:r>
              <w:rPr>
                <w:rFonts w:hint="eastAsia" w:ascii="宋体" w:hAnsi="宋体" w:cs="宋体"/>
                <w:color w:val="auto"/>
                <w:highlight w:val="none"/>
              </w:rPr>
              <w:t>3</w:t>
            </w:r>
          </w:p>
        </w:tc>
        <w:tc>
          <w:tcPr>
            <w:tcW w:w="1324" w:type="dxa"/>
            <w:vMerge w:val="restart"/>
            <w:vAlign w:val="center"/>
          </w:tcPr>
          <w:p>
            <w:pPr>
              <w:rPr>
                <w:rFonts w:ascii="宋体" w:hAnsi="宋体" w:cs="宋体"/>
                <w:color w:val="auto"/>
                <w:highlight w:val="none"/>
              </w:rPr>
            </w:pPr>
            <w:r>
              <w:rPr>
                <w:rFonts w:hint="eastAsia" w:ascii="宋体" w:hAnsi="宋体" w:cs="宋体"/>
                <w:color w:val="auto"/>
                <w:highlight w:val="none"/>
              </w:rPr>
              <w:t>自动监测数据处理检查(</w:t>
            </w:r>
            <w:r>
              <w:rPr>
                <w:rFonts w:ascii="宋体" w:hAnsi="宋体" w:cs="宋体"/>
                <w:color w:val="auto"/>
                <w:highlight w:val="none"/>
              </w:rPr>
              <w:t>1.5</w:t>
            </w:r>
            <w:r>
              <w:rPr>
                <w:rFonts w:hint="eastAsia" w:ascii="宋体" w:hAnsi="宋体" w:cs="宋体"/>
                <w:color w:val="auto"/>
                <w:highlight w:val="none"/>
              </w:rPr>
              <w:t>分)</w:t>
            </w: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监测数据与本地图谱一致性</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检查环境样图谱积分结果定性定量是否准确，并与上报结果一致</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随机抽查当月10个环境样品的图谱积分结果是否与上报结果一致，如果有一笔数据错误，扣</w:t>
            </w:r>
            <w:r>
              <w:rPr>
                <w:rFonts w:ascii="宋体" w:hAnsi="宋体" w:cs="宋体"/>
                <w:color w:val="auto"/>
                <w:highlight w:val="none"/>
              </w:rPr>
              <w:t>0.2</w:t>
            </w:r>
            <w:r>
              <w:rPr>
                <w:rFonts w:hint="eastAsia" w:ascii="宋体" w:hAnsi="宋体" w:cs="宋体"/>
                <w:color w:val="auto"/>
                <w:highlight w:val="none"/>
              </w:rPr>
              <w:t>分，扣完为止。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质控结果与本地图谱一致性</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检查质控样图谱积分结果定性定量是否准确，并与上报结果一致</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.6</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结合仪器本地图谱检查最新一次通标核查和校准记录，如果有一笔数据错误，扣</w:t>
            </w:r>
            <w:r>
              <w:rPr>
                <w:rFonts w:ascii="宋体" w:hAnsi="宋体" w:cs="宋体"/>
                <w:color w:val="auto"/>
                <w:highlight w:val="none"/>
              </w:rPr>
              <w:t>0.2</w:t>
            </w:r>
            <w:r>
              <w:rPr>
                <w:rFonts w:hint="eastAsia" w:ascii="宋体" w:hAnsi="宋体" w:cs="宋体"/>
                <w:color w:val="auto"/>
                <w:highlight w:val="none"/>
              </w:rPr>
              <w:t>分，扣完为止。</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724" w:type="dxa"/>
            <w:vMerge w:val="continue"/>
            <w:vAlign w:val="center"/>
          </w:tcPr>
          <w:p>
            <w:pPr>
              <w:jc w:val="center"/>
              <w:rPr>
                <w:rFonts w:ascii="宋体" w:hAnsi="宋体" w:cs="宋体"/>
                <w:color w:val="auto"/>
                <w:highlight w:val="none"/>
              </w:rPr>
            </w:pPr>
          </w:p>
        </w:tc>
        <w:tc>
          <w:tcPr>
            <w:tcW w:w="1324" w:type="dxa"/>
            <w:vMerge w:val="continue"/>
            <w:vAlign w:val="center"/>
          </w:tcPr>
          <w:p>
            <w:pPr>
              <w:rPr>
                <w:rFonts w:ascii="宋体" w:hAnsi="宋体" w:cs="宋体"/>
                <w:color w:val="auto"/>
                <w:highlight w:val="none"/>
              </w:rPr>
            </w:pPr>
          </w:p>
        </w:tc>
        <w:tc>
          <w:tcPr>
            <w:tcW w:w="1226" w:type="dxa"/>
            <w:vAlign w:val="center"/>
          </w:tcPr>
          <w:p>
            <w:pPr>
              <w:jc w:val="center"/>
              <w:rPr>
                <w:rFonts w:ascii="宋体" w:hAnsi="宋体" w:cs="宋体"/>
                <w:color w:val="auto"/>
                <w:highlight w:val="none"/>
              </w:rPr>
            </w:pPr>
            <w:r>
              <w:rPr>
                <w:rFonts w:hint="eastAsia" w:ascii="宋体" w:hAnsi="宋体" w:cs="宋体"/>
                <w:color w:val="auto"/>
                <w:highlight w:val="none"/>
              </w:rPr>
              <w:t>保留时间漂移</w:t>
            </w:r>
          </w:p>
        </w:tc>
        <w:tc>
          <w:tcPr>
            <w:tcW w:w="3756" w:type="dxa"/>
            <w:vAlign w:val="center"/>
          </w:tcPr>
          <w:p>
            <w:pPr>
              <w:rPr>
                <w:rFonts w:ascii="宋体" w:hAnsi="宋体" w:cs="宋体"/>
                <w:color w:val="auto"/>
                <w:highlight w:val="none"/>
              </w:rPr>
            </w:pPr>
            <w:r>
              <w:rPr>
                <w:rFonts w:hint="eastAsia" w:ascii="宋体" w:hAnsi="宋体" w:cs="宋体"/>
                <w:color w:val="auto"/>
                <w:highlight w:val="none"/>
              </w:rPr>
              <w:t>低碳以乙烷、正丁烷为代表物种，高碳以苯为代表物种，一周内峰漂移时间≤0.5min。</w:t>
            </w:r>
          </w:p>
          <w:p>
            <w:pPr>
              <w:spacing w:line="360" w:lineRule="auto"/>
              <w:rPr>
                <w:rFonts w:ascii="宋体" w:hAnsi="宋体" w:cs="宋体"/>
                <w:color w:val="auto"/>
                <w:highlight w:val="none"/>
              </w:rPr>
            </w:pPr>
            <w:r>
              <w:rPr>
                <w:rFonts w:hint="eastAsia" w:ascii="宋体" w:hAnsi="宋体" w:cs="宋体"/>
                <w:color w:val="auto"/>
                <w:highlight w:val="none"/>
              </w:rPr>
              <w:t>乙  烷：_________min/周</w:t>
            </w:r>
          </w:p>
          <w:p>
            <w:pPr>
              <w:spacing w:line="360" w:lineRule="auto"/>
              <w:rPr>
                <w:rFonts w:ascii="宋体" w:hAnsi="宋体" w:cs="宋体"/>
                <w:color w:val="auto"/>
                <w:highlight w:val="none"/>
              </w:rPr>
            </w:pPr>
            <w:r>
              <w:rPr>
                <w:rFonts w:hint="eastAsia" w:ascii="宋体" w:hAnsi="宋体" w:cs="宋体"/>
                <w:color w:val="auto"/>
                <w:highlight w:val="none"/>
              </w:rPr>
              <w:t>正丁烷：_________min/周</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苯：_________min/周</w:t>
            </w:r>
          </w:p>
        </w:tc>
        <w:tc>
          <w:tcPr>
            <w:tcW w:w="736" w:type="dxa"/>
            <w:vAlign w:val="center"/>
          </w:tcPr>
          <w:p>
            <w:pPr>
              <w:jc w:val="center"/>
              <w:rPr>
                <w:rFonts w:ascii="宋体" w:hAnsi="宋体" w:cs="宋体"/>
                <w:color w:val="auto"/>
                <w:highlight w:val="none"/>
              </w:rPr>
            </w:pPr>
            <w:r>
              <w:rPr>
                <w:rFonts w:hint="eastAsia" w:ascii="宋体" w:hAnsi="宋体" w:cs="宋体"/>
                <w:color w:val="auto"/>
                <w:highlight w:val="none"/>
              </w:rPr>
              <w:t>0</w:t>
            </w:r>
            <w:r>
              <w:rPr>
                <w:rFonts w:ascii="宋体" w:hAnsi="宋体" w:cs="宋体"/>
                <w:color w:val="auto"/>
                <w:highlight w:val="none"/>
              </w:rPr>
              <w:t>.3</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r>
              <w:rPr>
                <w:rFonts w:hint="eastAsia" w:ascii="宋体" w:hAnsi="宋体" w:cs="宋体"/>
                <w:color w:val="auto"/>
                <w:highlight w:val="none"/>
              </w:rPr>
              <w:t>1）乙烷或正丁烷任何一个漂移时间大于规定要求，扣</w:t>
            </w:r>
            <w:r>
              <w:rPr>
                <w:rFonts w:ascii="宋体" w:hAnsi="宋体" w:cs="宋体"/>
                <w:color w:val="auto"/>
                <w:highlight w:val="none"/>
              </w:rPr>
              <w:t>0.15</w:t>
            </w:r>
            <w:r>
              <w:rPr>
                <w:rFonts w:hint="eastAsia" w:ascii="宋体" w:hAnsi="宋体" w:cs="宋体"/>
                <w:color w:val="auto"/>
                <w:highlight w:val="none"/>
              </w:rPr>
              <w:t>分；</w:t>
            </w:r>
          </w:p>
          <w:p>
            <w:pPr>
              <w:rPr>
                <w:rFonts w:ascii="宋体" w:hAnsi="宋体" w:cs="宋体"/>
                <w:color w:val="auto"/>
                <w:highlight w:val="none"/>
              </w:rPr>
            </w:pPr>
            <w:r>
              <w:rPr>
                <w:rFonts w:hint="eastAsia" w:ascii="宋体" w:hAnsi="宋体" w:cs="宋体"/>
                <w:color w:val="auto"/>
                <w:highlight w:val="none"/>
              </w:rPr>
              <w:t>2）苯漂移时间大于规定要求，扣0.</w:t>
            </w:r>
            <w:r>
              <w:rPr>
                <w:rFonts w:ascii="宋体" w:hAnsi="宋体" w:cs="宋体"/>
                <w:color w:val="auto"/>
                <w:highlight w:val="none"/>
              </w:rPr>
              <w:t>1</w:t>
            </w:r>
            <w:r>
              <w:rPr>
                <w:rFonts w:hint="eastAsia" w:ascii="宋体" w:hAnsi="宋体" w:cs="宋体"/>
                <w:color w:val="auto"/>
                <w:highlight w:val="none"/>
              </w:rPr>
              <w:t>5分。</w:t>
            </w:r>
          </w:p>
        </w:tc>
        <w:tc>
          <w:tcPr>
            <w:tcW w:w="1245" w:type="dxa"/>
            <w:vAlign w:val="center"/>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030" w:type="dxa"/>
            <w:gridSpan w:val="4"/>
            <w:vAlign w:val="center"/>
          </w:tcPr>
          <w:p>
            <w:pPr>
              <w:jc w:val="center"/>
              <w:rPr>
                <w:rFonts w:ascii="宋体" w:hAnsi="宋体" w:cs="宋体"/>
                <w:color w:val="auto"/>
                <w:highlight w:val="none"/>
              </w:rPr>
            </w:pPr>
            <w:r>
              <w:rPr>
                <w:rFonts w:hint="eastAsia" w:ascii="宋体" w:hAnsi="宋体" w:cs="宋体"/>
                <w:color w:val="auto"/>
                <w:highlight w:val="none"/>
              </w:rPr>
              <w:t>合  计</w:t>
            </w:r>
          </w:p>
        </w:tc>
        <w:tc>
          <w:tcPr>
            <w:tcW w:w="736" w:type="dxa"/>
            <w:vAlign w:val="center"/>
          </w:tcPr>
          <w:p>
            <w:pPr>
              <w:jc w:val="center"/>
              <w:rPr>
                <w:rFonts w:ascii="宋体" w:hAnsi="宋体" w:cs="宋体"/>
                <w:color w:val="auto"/>
                <w:highlight w:val="none"/>
              </w:rPr>
            </w:pPr>
            <w:r>
              <w:rPr>
                <w:rFonts w:ascii="宋体" w:hAnsi="宋体" w:cs="宋体"/>
                <w:color w:val="auto"/>
                <w:highlight w:val="none"/>
              </w:rPr>
              <w:t>30</w:t>
            </w:r>
          </w:p>
        </w:tc>
        <w:tc>
          <w:tcPr>
            <w:tcW w:w="880" w:type="dxa"/>
            <w:vAlign w:val="center"/>
          </w:tcPr>
          <w:p>
            <w:pPr>
              <w:jc w:val="center"/>
              <w:rPr>
                <w:rFonts w:ascii="宋体" w:hAnsi="宋体" w:cs="宋体"/>
                <w:color w:val="auto"/>
                <w:highlight w:val="none"/>
              </w:rPr>
            </w:pPr>
          </w:p>
        </w:tc>
        <w:tc>
          <w:tcPr>
            <w:tcW w:w="4532" w:type="dxa"/>
            <w:vAlign w:val="center"/>
          </w:tcPr>
          <w:p>
            <w:pPr>
              <w:rPr>
                <w:rFonts w:ascii="宋体" w:hAnsi="宋体" w:cs="宋体"/>
                <w:color w:val="auto"/>
                <w:highlight w:val="none"/>
              </w:rPr>
            </w:pPr>
          </w:p>
        </w:tc>
        <w:tc>
          <w:tcPr>
            <w:tcW w:w="1245" w:type="dxa"/>
            <w:vAlign w:val="center"/>
          </w:tcPr>
          <w:p>
            <w:pPr>
              <w:rPr>
                <w:rFonts w:ascii="宋体" w:hAnsi="宋体" w:cs="宋体"/>
                <w:color w:val="auto"/>
                <w:highlight w:val="none"/>
              </w:rPr>
            </w:pPr>
          </w:p>
        </w:tc>
      </w:tr>
    </w:tbl>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 xml:space="preserve">检查人员:                          </w:t>
      </w:r>
      <w:r>
        <w:rPr>
          <w:rFonts w:ascii="宋体" w:hAnsi="宋体" w:cs="宋体"/>
          <w:bCs/>
          <w:color w:val="auto"/>
          <w:sz w:val="24"/>
          <w:highlight w:val="none"/>
        </w:rPr>
        <w:t xml:space="preserve">  </w:t>
      </w:r>
      <w:r>
        <w:rPr>
          <w:rFonts w:hint="eastAsia" w:ascii="宋体" w:hAnsi="宋体" w:cs="宋体"/>
          <w:bCs/>
          <w:color w:val="auto"/>
          <w:sz w:val="24"/>
          <w:highlight w:val="none"/>
        </w:rPr>
        <w:t>运维人员：                                          检查时间:</w:t>
      </w:r>
    </w:p>
    <w:p>
      <w:pPr>
        <w:widowControl/>
        <w:jc w:val="left"/>
        <w:rPr>
          <w:rFonts w:ascii="宋体" w:hAnsi="宋体" w:cs="宋体"/>
          <w:b/>
          <w:color w:val="auto"/>
          <w:sz w:val="24"/>
          <w:highlight w:val="none"/>
        </w:rPr>
      </w:pPr>
      <w:r>
        <w:rPr>
          <w:rFonts w:ascii="宋体" w:hAnsi="宋体" w:cs="宋体"/>
          <w:b/>
          <w:color w:val="auto"/>
          <w:sz w:val="24"/>
          <w:highlight w:val="none"/>
        </w:rPr>
        <w:br w:type="page"/>
      </w:r>
    </w:p>
    <w:p>
      <w:pPr>
        <w:snapToGrid w:val="0"/>
        <w:spacing w:line="360" w:lineRule="auto"/>
        <w:rPr>
          <w:rFonts w:ascii="宋体" w:hAnsi="宋体" w:cs="宋体"/>
          <w:color w:val="auto"/>
          <w:sz w:val="32"/>
          <w:szCs w:val="32"/>
          <w:highlight w:val="none"/>
        </w:rPr>
      </w:pPr>
      <w:r>
        <w:rPr>
          <w:rFonts w:hint="eastAsia" w:ascii="宋体" w:hAnsi="宋体" w:cs="宋体"/>
          <w:color w:val="auto"/>
          <w:sz w:val="32"/>
          <w:szCs w:val="32"/>
          <w:highlight w:val="none"/>
        </w:rPr>
        <w:t>附表3</w:t>
      </w:r>
    </w:p>
    <w:p>
      <w:pPr>
        <w:jc w:val="center"/>
        <w:rPr>
          <w:rFonts w:ascii="宋体" w:hAnsi="宋体" w:cs="宋体"/>
          <w:color w:val="auto"/>
          <w:sz w:val="32"/>
          <w:szCs w:val="32"/>
          <w:highlight w:val="none"/>
        </w:rPr>
      </w:pPr>
      <w:r>
        <w:rPr>
          <w:rFonts w:hint="eastAsia" w:ascii="宋体" w:hAnsi="宋体" w:cs="宋体"/>
          <w:color w:val="auto"/>
          <w:sz w:val="32"/>
          <w:szCs w:val="32"/>
          <w:highlight w:val="none"/>
        </w:rPr>
        <w:t>大气颗粒物组分网手工监测现场检查表格</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站点名称：                     天气情况：                          站房温/湿度：</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%RH   </w:t>
      </w:r>
    </w:p>
    <w:tbl>
      <w:tblPr>
        <w:tblStyle w:val="18"/>
        <w:tblW w:w="14423" w:type="dxa"/>
        <w:jc w:val="center"/>
        <w:tblLayout w:type="fixed"/>
        <w:tblCellMar>
          <w:top w:w="0" w:type="dxa"/>
          <w:left w:w="108" w:type="dxa"/>
          <w:bottom w:w="0" w:type="dxa"/>
          <w:right w:w="108" w:type="dxa"/>
        </w:tblCellMar>
      </w:tblPr>
      <w:tblGrid>
        <w:gridCol w:w="726"/>
        <w:gridCol w:w="1301"/>
        <w:gridCol w:w="1301"/>
        <w:gridCol w:w="3433"/>
        <w:gridCol w:w="733"/>
        <w:gridCol w:w="848"/>
        <w:gridCol w:w="4836"/>
        <w:gridCol w:w="1245"/>
      </w:tblGrid>
      <w:tr>
        <w:tblPrEx>
          <w:tblCellMar>
            <w:top w:w="0" w:type="dxa"/>
            <w:left w:w="108" w:type="dxa"/>
            <w:bottom w:w="0" w:type="dxa"/>
            <w:right w:w="108" w:type="dxa"/>
          </w:tblCellMar>
        </w:tblPrEx>
        <w:trPr>
          <w:trHeight w:val="20" w:hRule="atLeast"/>
          <w:tblHeader/>
          <w:jc w:val="center"/>
        </w:trPr>
        <w:tc>
          <w:tcPr>
            <w:tcW w:w="726" w:type="dxa"/>
            <w:tcBorders>
              <w:top w:val="single" w:color="auto" w:sz="4" w:space="0"/>
              <w:left w:val="single" w:color="auto" w:sz="4" w:space="0"/>
              <w:bottom w:val="single" w:color="000000"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序号</w:t>
            </w:r>
          </w:p>
        </w:tc>
        <w:tc>
          <w:tcPr>
            <w:tcW w:w="1301"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检查内容</w:t>
            </w:r>
          </w:p>
        </w:tc>
        <w:tc>
          <w:tcPr>
            <w:tcW w:w="1301"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检查项目</w:t>
            </w:r>
          </w:p>
        </w:tc>
        <w:tc>
          <w:tcPr>
            <w:tcW w:w="3433"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检查要点</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单项</w:t>
            </w:r>
          </w:p>
          <w:p>
            <w:pPr>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分值</w:t>
            </w:r>
          </w:p>
        </w:tc>
        <w:tc>
          <w:tcPr>
            <w:tcW w:w="848"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得分</w:t>
            </w:r>
          </w:p>
        </w:tc>
        <w:tc>
          <w:tcPr>
            <w:tcW w:w="4836"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评分说明</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扣分说明</w:t>
            </w:r>
          </w:p>
        </w:tc>
      </w:tr>
      <w:tr>
        <w:tblPrEx>
          <w:tblCellMar>
            <w:top w:w="0" w:type="dxa"/>
            <w:left w:w="108" w:type="dxa"/>
            <w:bottom w:w="0" w:type="dxa"/>
            <w:right w:w="108" w:type="dxa"/>
          </w:tblCellMar>
        </w:tblPrEx>
        <w:trPr>
          <w:trHeight w:val="20" w:hRule="atLeast"/>
          <w:jc w:val="center"/>
        </w:trPr>
        <w:tc>
          <w:tcPr>
            <w:tcW w:w="726" w:type="dxa"/>
            <w:vMerge w:val="restart"/>
            <w:tcBorders>
              <w:top w:val="single" w:color="auto" w:sz="4" w:space="0"/>
              <w:left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301" w:type="dxa"/>
            <w:vMerge w:val="restart"/>
            <w:tcBorders>
              <w:top w:val="single" w:color="auto" w:sz="4" w:space="0"/>
              <w:left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采样前准备</w:t>
            </w:r>
          </w:p>
        </w:tc>
        <w:tc>
          <w:tcPr>
            <w:tcW w:w="1301"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滤膜准备</w:t>
            </w:r>
          </w:p>
        </w:tc>
        <w:tc>
          <w:tcPr>
            <w:tcW w:w="3433"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（1）检查滤膜是否平整、均匀，无毛刺、无污染、无破损等情况。</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（2）是否按要求将石英滤膜放入折好的铝箔纸中（留开口），再置于马弗炉内500℃条件下烘烤4h。</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（3）是否按规范要求进行采样前空白滤膜称量。</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10</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widowControl/>
              <w:snapToGrid w:val="0"/>
              <w:ind w:left="25"/>
              <w:jc w:val="left"/>
              <w:rPr>
                <w:rFonts w:ascii="宋体" w:hAnsi="宋体" w:cs="宋体"/>
                <w:color w:val="auto"/>
                <w:kern w:val="0"/>
                <w:szCs w:val="21"/>
                <w:highlight w:val="none"/>
              </w:rPr>
            </w:pPr>
            <w:r>
              <w:rPr>
                <w:rFonts w:hint="eastAsia" w:ascii="宋体" w:hAnsi="宋体" w:cs="宋体"/>
                <w:color w:val="auto"/>
                <w:kern w:val="0"/>
                <w:szCs w:val="21"/>
                <w:highlight w:val="none"/>
              </w:rPr>
              <w:t>（1）抽检，发现未按要求检查每张扣1分；</w:t>
            </w:r>
            <w:r>
              <w:rPr>
                <w:rFonts w:ascii="宋体" w:hAnsi="宋体" w:cs="宋体"/>
                <w:color w:val="auto"/>
                <w:kern w:val="0"/>
                <w:szCs w:val="21"/>
                <w:highlight w:val="none"/>
              </w:rPr>
              <w:t xml:space="preserve"> </w:t>
            </w:r>
          </w:p>
          <w:p>
            <w:pPr>
              <w:widowControl/>
              <w:snapToGrid w:val="0"/>
              <w:ind w:left="25"/>
              <w:jc w:val="left"/>
              <w:rPr>
                <w:rFonts w:ascii="宋体" w:hAnsi="宋体" w:cs="宋体"/>
                <w:color w:val="auto"/>
                <w:kern w:val="0"/>
                <w:szCs w:val="21"/>
                <w:highlight w:val="none"/>
              </w:rPr>
            </w:pPr>
            <w:r>
              <w:rPr>
                <w:rFonts w:hint="eastAsia" w:ascii="宋体" w:hAnsi="宋体" w:cs="宋体"/>
                <w:color w:val="auto"/>
                <w:kern w:val="0"/>
                <w:szCs w:val="21"/>
                <w:highlight w:val="none"/>
              </w:rPr>
              <w:t>（2）检查现场操作，或查看记录、图片、视频，发现未按要求处理，每批次扣</w:t>
            </w:r>
            <w:r>
              <w:rPr>
                <w:rFonts w:ascii="宋体" w:hAnsi="宋体" w:cs="宋体"/>
                <w:color w:val="auto"/>
                <w:kern w:val="0"/>
                <w:szCs w:val="21"/>
                <w:highlight w:val="none"/>
              </w:rPr>
              <w:t>5</w:t>
            </w:r>
            <w:r>
              <w:rPr>
                <w:rFonts w:hint="eastAsia" w:ascii="宋体" w:hAnsi="宋体" w:cs="宋体"/>
                <w:color w:val="auto"/>
                <w:kern w:val="0"/>
                <w:szCs w:val="21"/>
                <w:highlight w:val="none"/>
              </w:rPr>
              <w:t>分；</w:t>
            </w:r>
          </w:p>
          <w:p>
            <w:pPr>
              <w:widowControl/>
              <w:snapToGrid w:val="0"/>
              <w:ind w:left="25"/>
              <w:jc w:val="left"/>
              <w:rPr>
                <w:rFonts w:ascii="宋体" w:hAnsi="宋体" w:cs="宋体"/>
                <w:color w:val="auto"/>
                <w:kern w:val="0"/>
                <w:szCs w:val="21"/>
                <w:highlight w:val="none"/>
              </w:rPr>
            </w:pPr>
            <w:r>
              <w:rPr>
                <w:rFonts w:hint="eastAsia" w:ascii="宋体" w:hAnsi="宋体" w:cs="宋体"/>
                <w:color w:val="auto"/>
                <w:kern w:val="0"/>
                <w:szCs w:val="21"/>
                <w:highlight w:val="none"/>
              </w:rPr>
              <w:t>（3）检查记录或现场操作，未按要求进行称量，每次扣</w:t>
            </w:r>
            <w:r>
              <w:rPr>
                <w:rFonts w:ascii="宋体" w:hAnsi="宋体" w:cs="宋体"/>
                <w:color w:val="auto"/>
                <w:kern w:val="0"/>
                <w:szCs w:val="21"/>
                <w:highlight w:val="none"/>
              </w:rPr>
              <w:t>1</w:t>
            </w:r>
            <w:r>
              <w:rPr>
                <w:rFonts w:hint="eastAsia" w:ascii="宋体" w:hAnsi="宋体" w:cs="宋体"/>
                <w:color w:val="auto"/>
                <w:kern w:val="0"/>
                <w:szCs w:val="21"/>
                <w:highlight w:val="none"/>
              </w:rPr>
              <w:t>分；</w:t>
            </w:r>
          </w:p>
          <w:p>
            <w:pPr>
              <w:widowControl/>
              <w:snapToGrid w:val="0"/>
              <w:ind w:left="25"/>
              <w:jc w:val="left"/>
              <w:rPr>
                <w:rFonts w:ascii="宋体" w:hAnsi="宋体" w:cs="宋体"/>
                <w:color w:val="auto"/>
                <w:kern w:val="0"/>
                <w:szCs w:val="21"/>
                <w:highlight w:val="none"/>
              </w:rPr>
            </w:pPr>
            <w:r>
              <w:rPr>
                <w:rFonts w:hint="eastAsia" w:ascii="宋体" w:hAnsi="宋体" w:cs="宋体"/>
                <w:color w:val="auto"/>
                <w:kern w:val="0"/>
                <w:szCs w:val="21"/>
                <w:highlight w:val="none"/>
              </w:rPr>
              <w:t>（4）以上</w:t>
            </w:r>
            <w:r>
              <w:rPr>
                <w:rFonts w:hint="eastAsia" w:ascii="宋体" w:hAnsi="宋体" w:cs="宋体"/>
                <w:bCs/>
                <w:color w:val="auto"/>
                <w:szCs w:val="21"/>
                <w:highlight w:val="none"/>
              </w:rPr>
              <w:t>累计扣分，扣完为止。</w:t>
            </w: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26" w:type="dxa"/>
            <w:vMerge w:val="continue"/>
            <w:tcBorders>
              <w:left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301" w:type="dxa"/>
            <w:vMerge w:val="continue"/>
            <w:tcBorders>
              <w:left w:val="single" w:color="auto" w:sz="4" w:space="0"/>
              <w:right w:val="single" w:color="auto" w:sz="4" w:space="0"/>
            </w:tcBorders>
            <w:vAlign w:val="center"/>
          </w:tcPr>
          <w:p>
            <w:pPr>
              <w:widowControl/>
              <w:snapToGrid w:val="0"/>
              <w:rPr>
                <w:rFonts w:ascii="宋体" w:hAnsi="宋体" w:cs="宋体"/>
                <w:color w:val="auto"/>
                <w:kern w:val="0"/>
                <w:szCs w:val="21"/>
                <w:highlight w:val="none"/>
              </w:rPr>
            </w:pPr>
          </w:p>
        </w:tc>
        <w:tc>
          <w:tcPr>
            <w:tcW w:w="1301" w:type="dxa"/>
            <w:tcBorders>
              <w:top w:val="single" w:color="auto" w:sz="4" w:space="0"/>
              <w:left w:val="nil"/>
              <w:right w:val="single" w:color="auto" w:sz="4" w:space="0"/>
            </w:tcBorders>
            <w:vAlign w:val="center"/>
          </w:tcPr>
          <w:p>
            <w:pPr>
              <w:widowControl/>
              <w:snapToGrid w:val="0"/>
              <w:ind w:right="-126" w:rightChars="-60"/>
              <w:jc w:val="left"/>
              <w:rPr>
                <w:rFonts w:ascii="宋体" w:hAnsi="宋体" w:cs="宋体"/>
                <w:color w:val="auto"/>
                <w:kern w:val="0"/>
                <w:szCs w:val="21"/>
                <w:highlight w:val="none"/>
              </w:rPr>
            </w:pPr>
            <w:r>
              <w:rPr>
                <w:rFonts w:hint="eastAsia" w:ascii="宋体" w:hAnsi="宋体" w:cs="宋体"/>
                <w:color w:val="auto"/>
                <w:kern w:val="0"/>
                <w:szCs w:val="21"/>
                <w:highlight w:val="none"/>
              </w:rPr>
              <w:t>采样仪器检查</w:t>
            </w:r>
          </w:p>
        </w:tc>
        <w:tc>
          <w:tcPr>
            <w:tcW w:w="3433" w:type="dxa"/>
            <w:tcBorders>
              <w:top w:val="single" w:color="auto" w:sz="4" w:space="0"/>
              <w:left w:val="nil"/>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（1）是否按规定对采样仪器气密性、采样流量和流量稳定性等关键性能指标进行确认。</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（2）检查滤膜夹和膜托是否污染或损坏并按要求清洁。</w:t>
            </w:r>
          </w:p>
        </w:tc>
        <w:tc>
          <w:tcPr>
            <w:tcW w:w="733" w:type="dxa"/>
            <w:tcBorders>
              <w:top w:val="single" w:color="auto" w:sz="4" w:space="0"/>
              <w:left w:val="nil"/>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10</w:t>
            </w:r>
          </w:p>
        </w:tc>
        <w:tc>
          <w:tcPr>
            <w:tcW w:w="848" w:type="dxa"/>
            <w:tcBorders>
              <w:top w:val="single" w:color="auto" w:sz="4" w:space="0"/>
              <w:left w:val="nil"/>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（1）每次采样前，未对采样群气密性、采样流量和流量稳定性等关键性能指标进行确认，每项扣1分；</w:t>
            </w:r>
          </w:p>
          <w:p>
            <w:pPr>
              <w:widowControl/>
              <w:snapToGrid w:val="0"/>
              <w:ind w:left="25"/>
              <w:jc w:val="left"/>
              <w:rPr>
                <w:rFonts w:ascii="宋体" w:hAnsi="宋体" w:cs="宋体"/>
                <w:color w:val="auto"/>
                <w:kern w:val="0"/>
                <w:szCs w:val="21"/>
                <w:highlight w:val="none"/>
              </w:rPr>
            </w:pPr>
            <w:r>
              <w:rPr>
                <w:rFonts w:hint="eastAsia" w:ascii="宋体" w:hAnsi="宋体" w:cs="宋体"/>
                <w:color w:val="auto"/>
                <w:kern w:val="0"/>
                <w:szCs w:val="21"/>
                <w:highlight w:val="none"/>
              </w:rPr>
              <w:t>（2）未按要求检查或清洗滤膜夹和膜托，每次扣1分；</w:t>
            </w:r>
          </w:p>
          <w:p>
            <w:pPr>
              <w:widowControl/>
              <w:snapToGrid w:val="0"/>
              <w:ind w:left="25"/>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）以上</w:t>
            </w:r>
            <w:r>
              <w:rPr>
                <w:rFonts w:hint="eastAsia" w:ascii="宋体" w:hAnsi="宋体" w:cs="宋体"/>
                <w:bCs/>
                <w:color w:val="auto"/>
                <w:szCs w:val="21"/>
                <w:highlight w:val="none"/>
              </w:rPr>
              <w:t>累计扣分，扣完为止。</w:t>
            </w:r>
          </w:p>
        </w:tc>
        <w:tc>
          <w:tcPr>
            <w:tcW w:w="1245" w:type="dxa"/>
            <w:tcBorders>
              <w:top w:val="single" w:color="auto" w:sz="4" w:space="0"/>
              <w:left w:val="nil"/>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1301" w:type="dxa"/>
            <w:tcBorders>
              <w:top w:val="single" w:color="auto" w:sz="4" w:space="0"/>
              <w:left w:val="single" w:color="auto" w:sz="4" w:space="0"/>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采样频率与时长</w:t>
            </w:r>
          </w:p>
        </w:tc>
        <w:tc>
          <w:tcPr>
            <w:tcW w:w="1301"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采样频率与时长</w:t>
            </w:r>
          </w:p>
        </w:tc>
        <w:tc>
          <w:tcPr>
            <w:tcW w:w="3433" w:type="dxa"/>
            <w:tcBorders>
              <w:top w:val="single" w:color="auto" w:sz="4" w:space="0"/>
              <w:left w:val="nil"/>
              <w:bottom w:val="single" w:color="auto" w:sz="4" w:space="0"/>
              <w:right w:val="single" w:color="auto" w:sz="4" w:space="0"/>
            </w:tcBorders>
            <w:vAlign w:val="center"/>
          </w:tcPr>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（1）2022年第四季度开展采样监测，</w:t>
            </w:r>
            <w:r>
              <w:rPr>
                <w:rFonts w:hint="eastAsia" w:ascii="宋体" w:hAnsi="宋体" w:cs="宋体"/>
                <w:color w:val="auto"/>
                <w:szCs w:val="21"/>
                <w:highlight w:val="none"/>
              </w:rPr>
              <w:t>采样频率</w:t>
            </w:r>
            <w:r>
              <w:rPr>
                <w:rFonts w:ascii="宋体" w:hAnsi="宋体" w:cs="宋体"/>
                <w:color w:val="auto"/>
                <w:szCs w:val="21"/>
                <w:highlight w:val="none"/>
              </w:rPr>
              <w:t>为1次/7天</w:t>
            </w:r>
            <w:r>
              <w:rPr>
                <w:color w:val="auto"/>
                <w:highlight w:val="none"/>
              </w:rPr>
              <w:t>；逢PM2.5为首要污染物的污染过程必测，不受固定频次的影响，1次/3天。</w:t>
            </w:r>
            <w:r>
              <w:rPr>
                <w:rFonts w:ascii="宋体" w:hAnsi="宋体" w:cs="宋体"/>
                <w:color w:val="auto"/>
                <w:szCs w:val="21"/>
                <w:highlight w:val="none"/>
              </w:rPr>
              <w:t>。</w:t>
            </w:r>
          </w:p>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如南宁市有重大活动保障，则根据采购方需求每天监测。</w:t>
            </w:r>
          </w:p>
          <w:p>
            <w:pPr>
              <w:snapToGrid w:val="0"/>
              <w:rPr>
                <w:rFonts w:ascii="宋体" w:hAnsi="宋体" w:cs="宋体"/>
                <w:color w:val="auto"/>
                <w:szCs w:val="21"/>
                <w:highlight w:val="none"/>
              </w:rPr>
            </w:pPr>
            <w:r>
              <w:rPr>
                <w:rFonts w:hint="eastAsia" w:ascii="宋体" w:hAnsi="宋体" w:cs="宋体"/>
                <w:color w:val="auto"/>
                <w:szCs w:val="21"/>
                <w:highlight w:val="none"/>
              </w:rPr>
              <w:t>（2）单次采样时长:当天10:00-次日10:00。</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snapToGrid w:val="0"/>
              <w:rPr>
                <w:rFonts w:ascii="宋体" w:hAnsi="宋体" w:cs="宋体"/>
                <w:color w:val="auto"/>
                <w:szCs w:val="21"/>
                <w:highlight w:val="none"/>
              </w:rPr>
            </w:pPr>
            <w:r>
              <w:rPr>
                <w:rFonts w:hint="eastAsia" w:ascii="宋体" w:hAnsi="宋体" w:cs="宋体"/>
                <w:color w:val="auto"/>
                <w:szCs w:val="21"/>
                <w:highlight w:val="none"/>
              </w:rPr>
              <w:t>（1）采样频率未按要求</w:t>
            </w:r>
            <w:r>
              <w:rPr>
                <w:rFonts w:ascii="宋体" w:hAnsi="宋体" w:cs="宋体"/>
                <w:color w:val="auto"/>
                <w:szCs w:val="21"/>
                <w:highlight w:val="none"/>
              </w:rPr>
              <w:t>为1次/</w:t>
            </w:r>
            <w:r>
              <w:rPr>
                <w:rFonts w:ascii="宋体" w:hAnsi="宋体" w:cs="宋体"/>
                <w:color w:val="auto"/>
                <w:szCs w:val="21"/>
                <w:highlight w:val="none"/>
              </w:rPr>
              <w:t>7天</w:t>
            </w:r>
            <w:r>
              <w:rPr>
                <w:rFonts w:hint="eastAsia" w:ascii="宋体" w:hAnsi="宋体" w:cs="宋体"/>
                <w:color w:val="auto"/>
                <w:szCs w:val="21"/>
                <w:highlight w:val="none"/>
              </w:rPr>
              <w:t>或按采购方需求采样，一次扣1</w:t>
            </w:r>
            <w:r>
              <w:rPr>
                <w:rFonts w:ascii="宋体" w:hAnsi="宋体" w:cs="宋体"/>
                <w:color w:val="auto"/>
                <w:szCs w:val="21"/>
                <w:highlight w:val="none"/>
              </w:rPr>
              <w:t>0</w:t>
            </w:r>
            <w:r>
              <w:rPr>
                <w:rFonts w:hint="eastAsia" w:ascii="宋体" w:hAnsi="宋体" w:cs="宋体"/>
                <w:color w:val="auto"/>
                <w:szCs w:val="21"/>
                <w:highlight w:val="none"/>
              </w:rPr>
              <w:t>分。</w:t>
            </w:r>
          </w:p>
          <w:p>
            <w:pPr>
              <w:widowControl/>
              <w:snapToGrid w:val="0"/>
              <w:jc w:val="left"/>
              <w:rPr>
                <w:rFonts w:ascii="宋体" w:hAnsi="宋体" w:cs="宋体"/>
                <w:color w:val="auto"/>
                <w:szCs w:val="21"/>
                <w:highlight w:val="none"/>
              </w:rPr>
            </w:pPr>
            <w:r>
              <w:rPr>
                <w:rFonts w:hint="eastAsia" w:ascii="宋体" w:hAnsi="宋体" w:cs="宋体"/>
                <w:color w:val="auto"/>
                <w:szCs w:val="21"/>
                <w:highlight w:val="none"/>
              </w:rPr>
              <w:t>（2）单次采样时长未按合同要求，一次扣1</w:t>
            </w:r>
            <w:r>
              <w:rPr>
                <w:rFonts w:ascii="宋体" w:hAnsi="宋体" w:cs="宋体"/>
                <w:color w:val="auto"/>
                <w:szCs w:val="21"/>
                <w:highlight w:val="none"/>
              </w:rPr>
              <w:t>0</w:t>
            </w:r>
            <w:r>
              <w:rPr>
                <w:rFonts w:hint="eastAsia" w:ascii="宋体" w:hAnsi="宋体" w:cs="宋体"/>
                <w:color w:val="auto"/>
                <w:szCs w:val="21"/>
                <w:highlight w:val="none"/>
              </w:rPr>
              <w:t>分。</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）以上</w:t>
            </w:r>
            <w:r>
              <w:rPr>
                <w:rFonts w:hint="eastAsia" w:ascii="宋体" w:hAnsi="宋体" w:cs="宋体"/>
                <w:bCs/>
                <w:color w:val="auto"/>
                <w:szCs w:val="21"/>
                <w:highlight w:val="none"/>
              </w:rPr>
              <w:t>累计扣分，扣完为止。</w:t>
            </w: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26" w:type="dxa"/>
            <w:vMerge w:val="restart"/>
            <w:tcBorders>
              <w:top w:val="single" w:color="auto" w:sz="4" w:space="0"/>
              <w:left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1301" w:type="dxa"/>
            <w:vMerge w:val="restart"/>
            <w:tcBorders>
              <w:top w:val="single" w:color="auto" w:sz="4" w:space="0"/>
              <w:left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highlight w:val="none"/>
              </w:rPr>
              <w:t>样品称重/保存/运输</w:t>
            </w:r>
          </w:p>
        </w:tc>
        <w:tc>
          <w:tcPr>
            <w:tcW w:w="1301"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滤膜称重</w:t>
            </w:r>
          </w:p>
        </w:tc>
        <w:tc>
          <w:tcPr>
            <w:tcW w:w="3433"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（1）滤膜称重是否使用同一台天平（有效期内），称重过程是否按规范佩戴手套。</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（2）是否按照操作规程校准天平。</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（3）称重过程滤膜采样前后平衡条件是否一致。</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（4）称量过程中是否同时进行标准滤膜的称量。</w:t>
            </w:r>
          </w:p>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（5）全程序空白样品与同批次实际样品是否一起进行恒重、称量等操作。</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ascii="宋体" w:hAnsi="宋体" w:cs="宋体"/>
                <w:color w:val="auto"/>
                <w:kern w:val="0"/>
                <w:szCs w:val="21"/>
                <w:highlight w:val="none"/>
              </w:rPr>
              <w:t>15</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未按要求每项每次扣1分，扣完为止。</w:t>
            </w: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26" w:type="dxa"/>
            <w:vMerge w:val="continue"/>
            <w:tcBorders>
              <w:left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301" w:type="dxa"/>
            <w:vMerge w:val="continue"/>
            <w:tcBorders>
              <w:left w:val="single" w:color="auto" w:sz="4" w:space="0"/>
              <w:right w:val="single" w:color="auto" w:sz="4" w:space="0"/>
            </w:tcBorders>
            <w:vAlign w:val="center"/>
          </w:tcPr>
          <w:p>
            <w:pPr>
              <w:widowControl/>
              <w:snapToGrid w:val="0"/>
              <w:rPr>
                <w:rFonts w:ascii="宋体" w:hAnsi="宋体" w:cs="宋体"/>
                <w:color w:val="auto"/>
                <w:kern w:val="0"/>
                <w:szCs w:val="21"/>
                <w:highlight w:val="none"/>
              </w:rPr>
            </w:pPr>
          </w:p>
        </w:tc>
        <w:tc>
          <w:tcPr>
            <w:tcW w:w="1301"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szCs w:val="21"/>
                <w:highlight w:val="none"/>
              </w:rPr>
              <w:t>样品保存</w:t>
            </w:r>
          </w:p>
        </w:tc>
        <w:tc>
          <w:tcPr>
            <w:tcW w:w="3433"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采样后是否在2小时内完成收样并放回原膜盒，收取后的样品是否在-18℃以下的冰箱进行保存（需称量的滤膜完成称量后保存）。</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未按要求每项扣</w:t>
            </w:r>
            <w:r>
              <w:rPr>
                <w:rFonts w:ascii="宋体" w:hAnsi="宋体" w:cs="宋体"/>
                <w:color w:val="auto"/>
                <w:kern w:val="0"/>
                <w:szCs w:val="21"/>
                <w:highlight w:val="none"/>
              </w:rPr>
              <w:t>2.5</w:t>
            </w:r>
            <w:r>
              <w:rPr>
                <w:rFonts w:hint="eastAsia" w:ascii="宋体" w:hAnsi="宋体" w:cs="宋体"/>
                <w:color w:val="auto"/>
                <w:kern w:val="0"/>
                <w:szCs w:val="21"/>
                <w:highlight w:val="none"/>
              </w:rPr>
              <w:t>分，扣完为止。</w:t>
            </w: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26" w:type="dxa"/>
            <w:vMerge w:val="continue"/>
            <w:tcBorders>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1301" w:type="dxa"/>
            <w:vMerge w:val="continue"/>
            <w:tcBorders>
              <w:left w:val="single" w:color="auto" w:sz="4" w:space="0"/>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p>
        </w:tc>
        <w:tc>
          <w:tcPr>
            <w:tcW w:w="1301"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szCs w:val="21"/>
                <w:highlight w:val="none"/>
              </w:rPr>
              <w:t>样品运输</w:t>
            </w:r>
          </w:p>
        </w:tc>
        <w:tc>
          <w:tcPr>
            <w:tcW w:w="3433" w:type="dxa"/>
            <w:tcBorders>
              <w:top w:val="single" w:color="auto" w:sz="4" w:space="0"/>
              <w:left w:val="nil"/>
              <w:bottom w:val="single" w:color="auto" w:sz="4" w:space="0"/>
              <w:right w:val="single" w:color="auto" w:sz="4" w:space="0"/>
            </w:tcBorders>
            <w:vAlign w:val="center"/>
          </w:tcPr>
          <w:p>
            <w:pPr>
              <w:snapToGrid w:val="0"/>
              <w:ind w:firstLine="420" w:firstLineChars="200"/>
              <w:rPr>
                <w:rFonts w:ascii="宋体" w:hAnsi="宋体" w:cs="宋体"/>
                <w:color w:val="auto"/>
                <w:szCs w:val="21"/>
                <w:highlight w:val="none"/>
              </w:rPr>
            </w:pPr>
            <w:r>
              <w:rPr>
                <w:rFonts w:hint="eastAsia" w:ascii="宋体" w:hAnsi="宋体" w:cs="宋体"/>
                <w:color w:val="auto"/>
                <w:szCs w:val="21"/>
                <w:highlight w:val="none"/>
              </w:rPr>
              <w:t>样品运输过程中，是否按规定使用锡箔纸包裹滤膜盒，采样面平稳朝上， 4℃以下环境条件运输。</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未按要求每项扣</w:t>
            </w:r>
            <w:r>
              <w:rPr>
                <w:rFonts w:ascii="宋体" w:hAnsi="宋体" w:cs="宋体"/>
                <w:color w:val="auto"/>
                <w:kern w:val="0"/>
                <w:szCs w:val="21"/>
                <w:highlight w:val="none"/>
              </w:rPr>
              <w:t>2</w:t>
            </w:r>
            <w:r>
              <w:rPr>
                <w:rFonts w:hint="eastAsia" w:ascii="宋体" w:hAnsi="宋体" w:cs="宋体"/>
                <w:color w:val="auto"/>
                <w:kern w:val="0"/>
                <w:szCs w:val="21"/>
                <w:highlight w:val="none"/>
              </w:rPr>
              <w:t>分，扣完为止。</w:t>
            </w: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4</w:t>
            </w:r>
          </w:p>
        </w:tc>
        <w:tc>
          <w:tcPr>
            <w:tcW w:w="1301" w:type="dxa"/>
            <w:tcBorders>
              <w:top w:val="single" w:color="auto" w:sz="4" w:space="0"/>
              <w:left w:val="single" w:color="auto" w:sz="4" w:space="0"/>
              <w:bottom w:val="single" w:color="auto" w:sz="4" w:space="0"/>
              <w:right w:val="single" w:color="auto" w:sz="4" w:space="0"/>
            </w:tcBorders>
            <w:vAlign w:val="center"/>
          </w:tcPr>
          <w:p>
            <w:pPr>
              <w:widowControl/>
              <w:snapToGrid w:val="0"/>
              <w:rPr>
                <w:rFonts w:ascii="宋体" w:hAnsi="宋体" w:cs="宋体"/>
                <w:color w:val="auto"/>
                <w:kern w:val="0"/>
                <w:szCs w:val="21"/>
                <w:highlight w:val="none"/>
              </w:rPr>
            </w:pPr>
            <w:r>
              <w:rPr>
                <w:rFonts w:hint="eastAsia" w:ascii="宋体" w:hAnsi="宋体" w:cs="宋体"/>
                <w:color w:val="auto"/>
                <w:szCs w:val="21"/>
                <w:highlight w:val="none"/>
              </w:rPr>
              <w:t>仪器维护保养</w:t>
            </w:r>
          </w:p>
        </w:tc>
        <w:tc>
          <w:tcPr>
            <w:tcW w:w="1301"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szCs w:val="21"/>
                <w:highlight w:val="none"/>
              </w:rPr>
              <w:t>维护保养</w:t>
            </w:r>
          </w:p>
        </w:tc>
        <w:tc>
          <w:tcPr>
            <w:tcW w:w="3433"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szCs w:val="21"/>
                <w:highlight w:val="none"/>
              </w:rPr>
              <w:t>按照国家、自治区及仪器使用说明书要求对聚光PMS-200M多通道采样器进行维护保养、校准等。</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r>
              <w:rPr>
                <w:rFonts w:hint="eastAsia" w:ascii="宋体" w:hAnsi="宋体" w:cs="宋体"/>
                <w:color w:val="auto"/>
                <w:kern w:val="0"/>
                <w:szCs w:val="21"/>
                <w:highlight w:val="none"/>
              </w:rPr>
              <w:t>未按要求每项扣1分，扣完为止。</w:t>
            </w: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20" w:hRule="atLeast"/>
          <w:jc w:val="center"/>
        </w:trPr>
        <w:tc>
          <w:tcPr>
            <w:tcW w:w="6761" w:type="dxa"/>
            <w:gridSpan w:val="4"/>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ascii="宋体" w:hAnsi="宋体" w:cs="宋体"/>
                <w:color w:val="auto"/>
                <w:szCs w:val="21"/>
                <w:highlight w:val="none"/>
              </w:rPr>
            </w:pPr>
            <w:r>
              <w:rPr>
                <w:rFonts w:hint="eastAsia" w:ascii="宋体" w:hAnsi="宋体" w:cs="宋体"/>
                <w:color w:val="auto"/>
                <w:szCs w:val="21"/>
                <w:highlight w:val="none"/>
              </w:rPr>
              <w:t>合计</w:t>
            </w:r>
          </w:p>
        </w:tc>
        <w:tc>
          <w:tcPr>
            <w:tcW w:w="733"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r>
              <w:rPr>
                <w:rFonts w:ascii="宋体" w:hAnsi="宋体" w:cs="宋体"/>
                <w:color w:val="auto"/>
                <w:kern w:val="0"/>
                <w:szCs w:val="21"/>
                <w:highlight w:val="none"/>
              </w:rPr>
              <w:t>00</w:t>
            </w:r>
          </w:p>
        </w:tc>
        <w:tc>
          <w:tcPr>
            <w:tcW w:w="848"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c>
          <w:tcPr>
            <w:tcW w:w="4836" w:type="dxa"/>
            <w:tcBorders>
              <w:top w:val="single" w:color="auto" w:sz="4" w:space="0"/>
              <w:left w:val="nil"/>
              <w:bottom w:val="single" w:color="auto" w:sz="4" w:space="0"/>
              <w:right w:val="single" w:color="auto" w:sz="4" w:space="0"/>
            </w:tcBorders>
            <w:vAlign w:val="center"/>
          </w:tcPr>
          <w:p>
            <w:pPr>
              <w:widowControl/>
              <w:snapToGrid w:val="0"/>
              <w:jc w:val="left"/>
              <w:rPr>
                <w:rFonts w:ascii="宋体" w:hAnsi="宋体" w:cs="宋体"/>
                <w:color w:val="auto"/>
                <w:kern w:val="0"/>
                <w:szCs w:val="21"/>
                <w:highlight w:val="none"/>
              </w:rPr>
            </w:pPr>
          </w:p>
        </w:tc>
        <w:tc>
          <w:tcPr>
            <w:tcW w:w="1245" w:type="dxa"/>
            <w:tcBorders>
              <w:top w:val="single" w:color="auto" w:sz="4" w:space="0"/>
              <w:left w:val="nil"/>
              <w:bottom w:val="single" w:color="auto" w:sz="4" w:space="0"/>
              <w:right w:val="single" w:color="auto" w:sz="4" w:space="0"/>
            </w:tcBorders>
            <w:vAlign w:val="center"/>
          </w:tcPr>
          <w:p>
            <w:pPr>
              <w:widowControl/>
              <w:snapToGrid w:val="0"/>
              <w:jc w:val="center"/>
              <w:rPr>
                <w:rFonts w:ascii="宋体" w:hAnsi="宋体" w:cs="宋体"/>
                <w:color w:val="auto"/>
                <w:kern w:val="0"/>
                <w:szCs w:val="21"/>
                <w:highlight w:val="none"/>
              </w:rPr>
            </w:pPr>
          </w:p>
        </w:tc>
      </w:tr>
    </w:tbl>
    <w:p>
      <w:pPr>
        <w:snapToGrid w:val="0"/>
        <w:spacing w:line="360" w:lineRule="auto"/>
        <w:rPr>
          <w:rFonts w:ascii="宋体" w:hAnsi="宋体" w:cs="宋体"/>
          <w:color w:val="auto"/>
          <w:sz w:val="24"/>
          <w:highlight w:val="none"/>
        </w:rPr>
      </w:pP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 xml:space="preserve">检查人员:                          </w:t>
      </w:r>
      <w:r>
        <w:rPr>
          <w:rFonts w:ascii="宋体" w:hAnsi="宋体" w:cs="宋体"/>
          <w:bCs/>
          <w:color w:val="auto"/>
          <w:sz w:val="24"/>
          <w:highlight w:val="none"/>
        </w:rPr>
        <w:t xml:space="preserve">  </w:t>
      </w:r>
      <w:r>
        <w:rPr>
          <w:rFonts w:hint="eastAsia" w:ascii="宋体" w:hAnsi="宋体" w:cs="宋体"/>
          <w:bCs/>
          <w:color w:val="auto"/>
          <w:sz w:val="24"/>
          <w:highlight w:val="none"/>
        </w:rPr>
        <w:t>运维人员：                                          检查时间:</w:t>
      </w:r>
    </w:p>
    <w:p>
      <w:pPr>
        <w:rPr>
          <w:color w:val="auto"/>
          <w:highlight w:val="none"/>
        </w:rPr>
        <w:sectPr>
          <w:pgSz w:w="16838" w:h="11906" w:orient="landscape"/>
          <w:pgMar w:top="1800" w:right="1440" w:bottom="1800" w:left="1440" w:header="851" w:footer="992" w:gutter="0"/>
          <w:cols w:space="425" w:num="1"/>
          <w:docGrid w:type="lines" w:linePitch="312" w:charSpace="0"/>
        </w:sectPr>
      </w:pPr>
    </w:p>
    <w:p>
      <w:pPr>
        <w:spacing w:line="360" w:lineRule="auto"/>
        <w:ind w:firstLine="310" w:firstLineChars="147"/>
        <w:jc w:val="left"/>
        <w:rPr>
          <w:color w:val="auto"/>
          <w:highlight w:val="none"/>
        </w:rPr>
      </w:pPr>
      <w:r>
        <w:rPr>
          <w:rFonts w:hint="eastAsia" w:ascii="宋体" w:hAnsi="宋体"/>
          <w:b/>
          <w:color w:val="auto"/>
          <w:szCs w:val="21"/>
          <w:highlight w:val="none"/>
        </w:rPr>
        <w:t>包2采购预算：42万元</w:t>
      </w:r>
    </w:p>
    <w:tbl>
      <w:tblPr>
        <w:tblStyle w:val="18"/>
        <w:tblW w:w="98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55"/>
        <w:gridCol w:w="1499"/>
        <w:gridCol w:w="900"/>
        <w:gridCol w:w="750"/>
        <w:gridCol w:w="6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jc w:val="center"/>
        </w:trPr>
        <w:tc>
          <w:tcPr>
            <w:tcW w:w="655"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499"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标的名称</w:t>
            </w:r>
          </w:p>
        </w:tc>
        <w:tc>
          <w:tcPr>
            <w:tcW w:w="900"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数量及单位</w:t>
            </w:r>
          </w:p>
        </w:tc>
        <w:tc>
          <w:tcPr>
            <w:tcW w:w="750"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所属</w:t>
            </w:r>
          </w:p>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行业</w:t>
            </w:r>
          </w:p>
        </w:tc>
        <w:tc>
          <w:tcPr>
            <w:tcW w:w="6025" w:type="dxa"/>
            <w:vAlign w:val="center"/>
          </w:tcPr>
          <w:p>
            <w:pPr>
              <w:tabs>
                <w:tab w:val="left" w:pos="180"/>
                <w:tab w:val="left" w:pos="1620"/>
              </w:tabs>
              <w:spacing w:line="320" w:lineRule="exact"/>
              <w:jc w:val="center"/>
              <w:rPr>
                <w:rFonts w:ascii="宋体" w:hAnsi="宋体" w:cs="宋体"/>
                <w:color w:val="auto"/>
                <w:szCs w:val="21"/>
                <w:highlight w:val="none"/>
              </w:rPr>
            </w:pPr>
            <w:r>
              <w:rPr>
                <w:rFonts w:hint="eastAsia" w:ascii="宋体" w:hAnsi="宋体" w:cs="宋体"/>
                <w:color w:val="auto"/>
                <w:szCs w:val="21"/>
                <w:highlight w:val="none"/>
              </w:rPr>
              <w:t>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1499" w:type="dxa"/>
            <w:vAlign w:val="center"/>
          </w:tcPr>
          <w:p>
            <w:pPr>
              <w:spacing w:line="260" w:lineRule="exact"/>
              <w:jc w:val="center"/>
              <w:rPr>
                <w:rFonts w:ascii="宋体" w:hAnsi="宋体" w:cs="宋体"/>
                <w:color w:val="auto"/>
                <w:szCs w:val="21"/>
                <w:highlight w:val="none"/>
              </w:rPr>
            </w:pPr>
            <w:r>
              <w:rPr>
                <w:rFonts w:ascii="宋体" w:hAnsi="宋体"/>
                <w:color w:val="auto"/>
                <w:szCs w:val="21"/>
                <w:highlight w:val="none"/>
              </w:rPr>
              <w:t>功能区噪声自动监测站运维</w:t>
            </w:r>
          </w:p>
        </w:tc>
        <w:tc>
          <w:tcPr>
            <w:tcW w:w="900" w:type="dxa"/>
            <w:vAlign w:val="center"/>
          </w:tcPr>
          <w:p>
            <w:pPr>
              <w:spacing w:line="260" w:lineRule="exact"/>
              <w:jc w:val="center"/>
              <w:rPr>
                <w:rFonts w:ascii="宋体" w:hAnsi="宋体" w:cs="宋体"/>
                <w:color w:val="auto"/>
                <w:szCs w:val="21"/>
                <w:highlight w:val="none"/>
              </w:rPr>
            </w:pPr>
            <w:r>
              <w:rPr>
                <w:rFonts w:hint="eastAsia" w:ascii="宋体" w:hAnsi="宋体" w:cs="宋体"/>
                <w:color w:val="auto"/>
                <w:szCs w:val="21"/>
                <w:highlight w:val="none"/>
              </w:rPr>
              <w:t>7套</w:t>
            </w:r>
          </w:p>
        </w:tc>
        <w:tc>
          <w:tcPr>
            <w:tcW w:w="750" w:type="dxa"/>
            <w:vAlign w:val="center"/>
          </w:tcPr>
          <w:p>
            <w:pPr>
              <w:spacing w:line="260" w:lineRule="exact"/>
              <w:jc w:val="center"/>
              <w:rPr>
                <w:rFonts w:ascii="宋体" w:hAnsi="宋体" w:cs="宋体"/>
                <w:color w:val="auto"/>
                <w:szCs w:val="21"/>
                <w:highlight w:val="none"/>
              </w:rPr>
            </w:pPr>
            <w:r>
              <w:rPr>
                <w:rFonts w:ascii="宋体" w:hAnsi="宋体"/>
                <w:color w:val="auto"/>
                <w:highlight w:val="none"/>
              </w:rPr>
              <w:t>其他未列明行业。</w:t>
            </w:r>
          </w:p>
        </w:tc>
        <w:tc>
          <w:tcPr>
            <w:tcW w:w="6025" w:type="dxa"/>
            <w:vAlign w:val="center"/>
          </w:tcPr>
          <w:p>
            <w:pPr>
              <w:snapToGrid w:val="0"/>
              <w:rPr>
                <w:rFonts w:ascii="宋体" w:hAnsi="宋体"/>
                <w:b/>
                <w:bCs/>
                <w:color w:val="auto"/>
                <w:szCs w:val="21"/>
                <w:highlight w:val="none"/>
              </w:rPr>
            </w:pPr>
            <w:r>
              <w:rPr>
                <w:rFonts w:ascii="宋体" w:hAnsi="宋体"/>
                <w:b/>
                <w:bCs/>
                <w:color w:val="auto"/>
                <w:szCs w:val="21"/>
                <w:highlight w:val="none"/>
              </w:rPr>
              <w:t>1、项目概述</w:t>
            </w:r>
          </w:p>
          <w:p>
            <w:pPr>
              <w:ind w:firstLine="420" w:firstLineChars="200"/>
              <w:rPr>
                <w:rFonts w:ascii="宋体" w:hAnsi="宋体"/>
                <w:bCs/>
                <w:color w:val="auto"/>
                <w:szCs w:val="21"/>
                <w:highlight w:val="none"/>
              </w:rPr>
            </w:pPr>
            <w:r>
              <w:rPr>
                <w:rFonts w:ascii="宋体" w:hAnsi="宋体"/>
                <w:color w:val="auto"/>
                <w:szCs w:val="21"/>
                <w:highlight w:val="none"/>
              </w:rPr>
              <w:t>本项目主要对南宁市7个功能区噪声自动站（南南铝、联小、文化大院、烈士陵园、广西大学、新阳路、朝阳路）</w:t>
            </w:r>
            <w:r>
              <w:rPr>
                <w:rFonts w:ascii="宋体" w:hAnsi="宋体"/>
                <w:bCs/>
                <w:color w:val="auto"/>
                <w:szCs w:val="21"/>
                <w:highlight w:val="none"/>
              </w:rPr>
              <w:t>运行维护，运维内容包括噪声自动站内所有监测仪器、辅助设备、站点设施、显示屏及中心站服务器等。</w:t>
            </w:r>
          </w:p>
          <w:p>
            <w:pPr>
              <w:adjustRightInd w:val="0"/>
              <w:snapToGrid w:val="0"/>
              <w:rPr>
                <w:rFonts w:ascii="宋体" w:hAnsi="宋体"/>
                <w:b/>
                <w:color w:val="auto"/>
                <w:szCs w:val="21"/>
                <w:highlight w:val="none"/>
              </w:rPr>
            </w:pPr>
            <w:r>
              <w:rPr>
                <w:rFonts w:ascii="宋体" w:hAnsi="宋体"/>
                <w:b/>
                <w:color w:val="auto"/>
                <w:szCs w:val="21"/>
                <w:highlight w:val="none"/>
              </w:rPr>
              <w:t>2.具体内容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 监测点位巡检</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每周对监测点位应定期进行巡检，包括：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2.1.1检查仪器的接地线路是否可靠；</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2.1.2检查避雷设施是否可靠，户外传声器及延长电缆、风罩等是否被损坏，有问题应及时处理，保证系统能安全正常运行；</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2.1.3检查监测仪器的运行状况和工作状态参数是否正常；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2.1.4记录巡检情况。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 监控中心检查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监控中心的日常检查工作应包括：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2.2.1每日检查中心计算机与各监测点位的数据传输情况是否正常；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2.2.2出现故障立即查明原因并当天排除，如无法排除的，应书面报告采购方;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2.2.3每日应对各站的时钟和日历设置进行检查，若发现时钟和日历错误应及时调整；</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2.2.4定时自动远程检测系统，远程检查系统与各点位仪器的运行状况是否异常；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2.2.5每月定期备份系统的监测数据。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2.3 系统检修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2.3.1每天8:00—22:00不定时检查各点位监测数据，出现异常时2小时内赶往现场处理；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2.3.2对于其他不易诊断和检修的故障，应在2天内书面报告，并协助返厂维修；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2.3.3在每次检修完成后，根据检修内容和更换部件情况，对仪器进行校准，并记录检修及校准情况；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2.4. 自动监测仪器的校准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2.4.1自动监测系统除自动电校准外还应定期（至少每月一次）现场进行声校准，并做好相关记录；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2.4.2在降雨、强风过后和温湿度变化梯度较大的情况下也应进行声校准。如监测值出现急剧升高、降低或连续不变情况下，应进行系统检查，排除故障后仍需进行声校准确认；</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2.4.3记录现场校准情况。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2.5噪声自动监测站及其他相关设施产生的电费、网络费由中标方承担，中标方应及时缴清相关费用。</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2.6 根据采购方需求开展现场维护。</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2.7 每月10日前对上一月运维情况进行小结形成报告，与相关运维报表一并上交采购方。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2.8 委托有资质的单位对噪声仪器进行至少一次检定。</w:t>
            </w:r>
          </w:p>
          <w:p>
            <w:pPr>
              <w:adjustRightInd w:val="0"/>
              <w:snapToGrid w:val="0"/>
              <w:rPr>
                <w:rFonts w:ascii="宋体" w:hAnsi="宋体"/>
                <w:b/>
                <w:bCs/>
                <w:color w:val="auto"/>
                <w:szCs w:val="21"/>
                <w:highlight w:val="none"/>
              </w:rPr>
            </w:pPr>
            <w:r>
              <w:rPr>
                <w:rFonts w:ascii="宋体" w:hAnsi="宋体"/>
                <w:b/>
                <w:bCs/>
                <w:color w:val="auto"/>
                <w:szCs w:val="21"/>
                <w:highlight w:val="none"/>
              </w:rPr>
              <w:t>3、人员配备</w:t>
            </w:r>
          </w:p>
          <w:p>
            <w:pPr>
              <w:adjustRightInd w:val="0"/>
              <w:snapToGrid w:val="0"/>
              <w:ind w:firstLine="420" w:firstLineChars="200"/>
              <w:rPr>
                <w:rFonts w:ascii="宋体" w:hAnsi="宋体" w:cs="宋体"/>
                <w:color w:val="auto"/>
                <w:szCs w:val="21"/>
                <w:highlight w:val="none"/>
              </w:rPr>
            </w:pPr>
            <w:r>
              <w:rPr>
                <w:rFonts w:ascii="宋体" w:hAnsi="宋体"/>
                <w:bCs/>
                <w:color w:val="auto"/>
                <w:szCs w:val="21"/>
                <w:highlight w:val="none"/>
              </w:rPr>
              <w:t>现场技术人员至少2名。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1499" w:type="dxa"/>
            <w:vAlign w:val="center"/>
          </w:tcPr>
          <w:p>
            <w:pPr>
              <w:spacing w:line="260" w:lineRule="exact"/>
              <w:jc w:val="center"/>
              <w:rPr>
                <w:rFonts w:ascii="宋体" w:hAnsi="宋体" w:cs="宋体"/>
                <w:color w:val="auto"/>
                <w:szCs w:val="21"/>
                <w:highlight w:val="none"/>
              </w:rPr>
            </w:pPr>
            <w:r>
              <w:rPr>
                <w:rFonts w:ascii="宋体" w:hAnsi="宋体"/>
                <w:bCs/>
                <w:color w:val="auto"/>
                <w:szCs w:val="21"/>
                <w:highlight w:val="none"/>
              </w:rPr>
              <w:t>空气质量流动监测车运维</w:t>
            </w:r>
          </w:p>
        </w:tc>
        <w:tc>
          <w:tcPr>
            <w:tcW w:w="900" w:type="dxa"/>
            <w:vAlign w:val="center"/>
          </w:tcPr>
          <w:p>
            <w:pPr>
              <w:spacing w:line="260" w:lineRule="exact"/>
              <w:jc w:val="center"/>
              <w:rPr>
                <w:rFonts w:ascii="宋体" w:hAnsi="宋体" w:cs="宋体"/>
                <w:color w:val="auto"/>
                <w:szCs w:val="21"/>
                <w:highlight w:val="none"/>
              </w:rPr>
            </w:pPr>
            <w:r>
              <w:rPr>
                <w:rFonts w:ascii="宋体" w:hAnsi="宋体"/>
                <w:bCs/>
                <w:color w:val="auto"/>
                <w:szCs w:val="21"/>
                <w:highlight w:val="none"/>
              </w:rPr>
              <w:t>1台</w:t>
            </w:r>
          </w:p>
        </w:tc>
        <w:tc>
          <w:tcPr>
            <w:tcW w:w="750" w:type="dxa"/>
            <w:vAlign w:val="center"/>
          </w:tcPr>
          <w:p>
            <w:pPr>
              <w:spacing w:line="260" w:lineRule="exact"/>
              <w:jc w:val="center"/>
              <w:rPr>
                <w:rFonts w:ascii="宋体" w:hAnsi="宋体" w:cs="宋体"/>
                <w:color w:val="auto"/>
                <w:szCs w:val="21"/>
                <w:highlight w:val="none"/>
              </w:rPr>
            </w:pPr>
            <w:r>
              <w:rPr>
                <w:rFonts w:ascii="宋体" w:hAnsi="宋体"/>
                <w:color w:val="auto"/>
                <w:highlight w:val="none"/>
              </w:rPr>
              <w:t>其他未列明行业。</w:t>
            </w:r>
          </w:p>
        </w:tc>
        <w:tc>
          <w:tcPr>
            <w:tcW w:w="6025" w:type="dxa"/>
            <w:vAlign w:val="center"/>
          </w:tcPr>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1、项目概述</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1.1基本情况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环境空气流动监测车（以下简称“流动监测车”），主要监测污染物6项（分别为: SO</w:t>
            </w:r>
            <w:r>
              <w:rPr>
                <w:rFonts w:ascii="宋体" w:hAnsi="宋体"/>
                <w:bCs/>
                <w:color w:val="auto"/>
                <w:szCs w:val="21"/>
                <w:highlight w:val="none"/>
                <w:vertAlign w:val="subscript"/>
              </w:rPr>
              <w:t>2</w:t>
            </w:r>
            <w:r>
              <w:rPr>
                <w:rFonts w:ascii="宋体" w:hAnsi="宋体"/>
                <w:bCs/>
                <w:color w:val="auto"/>
                <w:szCs w:val="21"/>
                <w:highlight w:val="none"/>
              </w:rPr>
              <w:t>、NO</w:t>
            </w:r>
            <w:r>
              <w:rPr>
                <w:rFonts w:ascii="宋体" w:hAnsi="宋体"/>
                <w:bCs/>
                <w:color w:val="auto"/>
                <w:szCs w:val="21"/>
                <w:highlight w:val="none"/>
                <w:vertAlign w:val="subscript"/>
              </w:rPr>
              <w:t>2</w:t>
            </w:r>
            <w:r>
              <w:rPr>
                <w:rFonts w:ascii="宋体" w:hAnsi="宋体"/>
                <w:bCs/>
                <w:color w:val="auto"/>
                <w:szCs w:val="21"/>
                <w:highlight w:val="none"/>
              </w:rPr>
              <w:t>、PM</w:t>
            </w:r>
            <w:r>
              <w:rPr>
                <w:rFonts w:ascii="宋体" w:hAnsi="宋体"/>
                <w:bCs/>
                <w:color w:val="auto"/>
                <w:szCs w:val="21"/>
                <w:highlight w:val="none"/>
                <w:vertAlign w:val="subscript"/>
              </w:rPr>
              <w:t>10</w:t>
            </w:r>
            <w:r>
              <w:rPr>
                <w:rFonts w:ascii="宋体" w:hAnsi="宋体"/>
                <w:bCs/>
                <w:color w:val="auto"/>
                <w:szCs w:val="21"/>
                <w:highlight w:val="none"/>
              </w:rPr>
              <w:t>、PM</w:t>
            </w:r>
            <w:r>
              <w:rPr>
                <w:rFonts w:ascii="宋体" w:hAnsi="宋体"/>
                <w:bCs/>
                <w:color w:val="auto"/>
                <w:szCs w:val="21"/>
                <w:highlight w:val="none"/>
                <w:vertAlign w:val="subscript"/>
              </w:rPr>
              <w:t>2.5</w:t>
            </w:r>
            <w:r>
              <w:rPr>
                <w:rFonts w:ascii="宋体" w:hAnsi="宋体"/>
                <w:bCs/>
                <w:color w:val="auto"/>
                <w:szCs w:val="21"/>
                <w:highlight w:val="none"/>
              </w:rPr>
              <w:t>、CO、O</w:t>
            </w:r>
            <w:r>
              <w:rPr>
                <w:rFonts w:ascii="宋体" w:hAnsi="宋体"/>
                <w:bCs/>
                <w:color w:val="auto"/>
                <w:szCs w:val="21"/>
                <w:highlight w:val="none"/>
                <w:vertAlign w:val="subscript"/>
              </w:rPr>
              <w:t>3</w:t>
            </w:r>
            <w:r>
              <w:rPr>
                <w:rFonts w:ascii="宋体" w:hAnsi="宋体"/>
                <w:bCs/>
                <w:color w:val="auto"/>
                <w:szCs w:val="21"/>
                <w:highlight w:val="none"/>
              </w:rPr>
              <w:t>）；以及附设的气象监测系统（监测包括：气温、气压、风向、风速和雨量等）</w:t>
            </w:r>
            <w:r>
              <w:rPr>
                <w:rFonts w:hint="eastAsia" w:ascii="宋体" w:hAnsi="宋体"/>
                <w:bCs/>
                <w:color w:val="auto"/>
                <w:szCs w:val="21"/>
                <w:highlight w:val="none"/>
              </w:rPr>
              <w:t>、</w:t>
            </w:r>
            <w:r>
              <w:rPr>
                <w:rFonts w:ascii="宋体" w:hAnsi="宋体"/>
                <w:bCs/>
                <w:color w:val="auto"/>
                <w:szCs w:val="21"/>
                <w:highlight w:val="none"/>
              </w:rPr>
              <w:t>中心服务器</w:t>
            </w:r>
            <w:r>
              <w:rPr>
                <w:rFonts w:hint="eastAsia" w:ascii="宋体" w:hAnsi="宋体"/>
                <w:bCs/>
                <w:color w:val="auto"/>
                <w:szCs w:val="21"/>
                <w:highlight w:val="none"/>
              </w:rPr>
              <w:t>及其他辅助设施。</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1.2服务内容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确保流动监测车仪器设备正常运行，随时可执行外出监测任务。</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1.3人员配置要求</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技术人员至少1名，要求有空气自动监测站运维相关的工作经验一年以上。</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2、运维服务具体内容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2.1流动监测车的运维管理内容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流动监测车参照常规空气自动站点运维内容管理。流动监测车放置于南宁市民主路45号内。</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2.1.1 定期更换流动监测车仪表所需耗材。</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2.1.2定期更换流动监测车系统和仪表所需备品备件。</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2.1.3 对流动监测车系统和仪表进行定期检修、保养。</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2.1.4 及时排除流动监测车系统和仪表出现的故障。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2.1.5 对流动监测车仪表进行定期校准、性能测试。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2.1.6 配合采购方进行流动监测车质量控制和质量保证工作。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2.1.7 随时接受采购方的工作考核及质量考核。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2.1.8 保证车内清洁，整齐。</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2.1.9中标方须认真、及时做好维护记录，汇总流动监测车维护记录，每月15日前将上月所有记录以书面形式报采购方，书面报告作为运行维护考核依据之一，具体包括：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（1）现场维护记录。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（2）仪器设备故障及排除情况登记表、仪器维修后性能审核记录。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（3）每月运维情况总结。</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2.2水、电、通讯及财产保护： 运营期间流动监测车运行所需水电通讯所需费用由中标方负责，委托运营维护及管理的全部资产属采购方所有。未经采购方同意，中标方不得以任何方式对各类财产进行出售、抵押或转移。中标方负责运营维护及管理维护期间水、电、通讯等故障维修及费用缴存，保证其畅通。</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 流动监测车及仪表维护内容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 系统日常维护与保养</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3.1.1流动监测车设备每月至少2次巡检、质控（如流动监测车外出监测则每周一次巡检、质控）。</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3.1.1.1流动监测车及附属设施检查，包括：监测车完好情况，空调、供电系统、稳压电源、通讯系统、照明系统、灭火设备、UPS+蓄电池、门锁等维护保养。</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3.1.1.2采样及分析测试系统气路检查，包括：气密性检查，采样总管高度、位置、牢固程度、温控性能的检查，采样支路清洁及流量检查，PM10、PM2.5采样头清洗，气体过滤、干燥设施的清洗与更换等。</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3.1.1.3分析仪、校准仪、零气发生器运行状态的检查、校准，包括：仪器、设备的运行参数检查，采样泵压检查，零气发生器产生零气纯度的检查，校准仪输入、输入气体流量及校准气体配置准确性检查，分析仪稳定性（零漂、跨漂）、准确性（标准物质测试）的检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3.1.1.4分析仪光路检查与清洁。</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3.1.2每季度至少1次系统全面维护，至少1次各气态污染物的单机精密度审核。每半年一次的采样总管维护及分析仪、质控系统多点校准、颗粒物分析仪膜校准。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3.1.3 年度系统维护</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3.1.3.1每年按国家或自治区相关规范要求及仪器使用说明书要求对系统进行一次预防性检修。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3.1.3.2每年按国家或自治区相关规范要求对系统进行一次性能审核。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 运行状态监控</w:t>
            </w:r>
          </w:p>
          <w:p>
            <w:pPr>
              <w:adjustRightInd w:val="0"/>
              <w:snapToGrid w:val="0"/>
              <w:ind w:firstLine="420" w:firstLineChars="200"/>
              <w:rPr>
                <w:rFonts w:ascii="宋体" w:hAnsi="宋体"/>
                <w:bCs/>
                <w:color w:val="auto"/>
                <w:szCs w:val="21"/>
                <w:highlight w:val="none"/>
              </w:rPr>
            </w:pPr>
            <w:r>
              <w:rPr>
                <w:rFonts w:hint="eastAsia" w:ascii="宋体" w:hAnsi="宋体" w:cs="Segoe UI Symbol"/>
                <w:bCs/>
                <w:color w:val="auto"/>
                <w:szCs w:val="21"/>
                <w:highlight w:val="none"/>
              </w:rPr>
              <w:t>▲</w:t>
            </w:r>
            <w:r>
              <w:rPr>
                <w:rFonts w:ascii="宋体" w:hAnsi="宋体"/>
                <w:bCs/>
                <w:color w:val="auto"/>
                <w:szCs w:val="21"/>
                <w:highlight w:val="none"/>
              </w:rPr>
              <w:t>3.2.1，如采购方需要利用流动监测车外出监测，中标方需提前检查流动车所有设备运行情况，并派技术人员每天24小时跟车服务直至外出监测任务完成，期间食宿费用由中标方自行负责，所涉及的安全问题由中标方自行承担</w:t>
            </w:r>
            <w:r>
              <w:rPr>
                <w:rFonts w:hint="eastAsia" w:ascii="宋体" w:hAnsi="宋体"/>
                <w:bCs/>
                <w:color w:val="auto"/>
                <w:szCs w:val="21"/>
                <w:highlight w:val="none"/>
              </w:rPr>
              <w:t>。</w:t>
            </w:r>
            <w:r>
              <w:rPr>
                <w:rFonts w:ascii="宋体" w:hAnsi="宋体"/>
                <w:bCs/>
                <w:color w:val="auto"/>
                <w:szCs w:val="21"/>
                <w:highlight w:val="none"/>
              </w:rPr>
              <w:t>外出监测时，安排专人负责通过数据平台对监测仪器状态实施监控。监控时段（8:00—23:00）内仪器故障发现时间不得超过1小时，非监控时段内仪器故障发现时间不得晚于次日8:30。</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3.2.2 发现数据异常、仪器故障后须及时通知立即派人现场处理。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 系统故障维修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3.3.1流动监测车及中心站仪器、设备出现故障，必须获得故障通知后1小时内赶赴现场对故障进行处理并恢复正常运行。</w:t>
            </w:r>
          </w:p>
          <w:p>
            <w:pPr>
              <w:adjustRightInd w:val="0"/>
              <w:snapToGrid w:val="0"/>
              <w:ind w:firstLine="420" w:firstLineChars="200"/>
              <w:rPr>
                <w:rFonts w:ascii="宋体" w:hAnsi="宋体"/>
                <w:bCs/>
                <w:color w:val="auto"/>
                <w:szCs w:val="21"/>
                <w:highlight w:val="none"/>
              </w:rPr>
            </w:pPr>
            <w:r>
              <w:rPr>
                <w:rFonts w:hint="eastAsia" w:ascii="宋体" w:hAnsi="宋体" w:cs="Segoe UI Symbol"/>
                <w:bCs/>
                <w:color w:val="auto"/>
                <w:szCs w:val="21"/>
                <w:highlight w:val="none"/>
              </w:rPr>
              <w:t>▲</w:t>
            </w:r>
            <w:r>
              <w:rPr>
                <w:rFonts w:ascii="宋体" w:hAnsi="宋体"/>
                <w:bCs/>
                <w:color w:val="auto"/>
                <w:szCs w:val="21"/>
                <w:highlight w:val="none"/>
              </w:rPr>
              <w:t>3.3.2 系统维护、保养过程中发现仪器、设备故障时，若在规定的时间内故障无法排除或故障无法在现场排除，必须在发现故障后3小时内使用备机替代，保证仪器正常运行。</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3.3.3维修、更换主要部件或者清洗过光学平台的监测仪器须进行准确度检查和精密度检查确认正常后才能恢复报数使用。</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3.3.4仪器、设备故障维修按照最有利于系统正常运行原则，中标方负责仪器维修；对造成故障的零配件、部件需要更换的，</w:t>
            </w:r>
            <w:r>
              <w:rPr>
                <w:rFonts w:hint="eastAsia" w:ascii="宋体" w:hAnsi="宋体"/>
                <w:bCs/>
                <w:color w:val="auto"/>
                <w:szCs w:val="21"/>
                <w:highlight w:val="none"/>
              </w:rPr>
              <w:t>由采购方确认，</w:t>
            </w:r>
            <w:r>
              <w:rPr>
                <w:rFonts w:ascii="宋体" w:hAnsi="宋体"/>
                <w:bCs/>
                <w:color w:val="auto"/>
                <w:szCs w:val="21"/>
                <w:highlight w:val="none"/>
              </w:rPr>
              <w:t>所涉及配件费用由</w:t>
            </w:r>
            <w:r>
              <w:rPr>
                <w:rFonts w:hint="eastAsia" w:ascii="宋体" w:hAnsi="宋体"/>
                <w:bCs/>
                <w:color w:val="auto"/>
                <w:szCs w:val="21"/>
                <w:highlight w:val="none"/>
              </w:rPr>
              <w:t>采购</w:t>
            </w:r>
            <w:r>
              <w:rPr>
                <w:rFonts w:ascii="宋体" w:hAnsi="宋体"/>
                <w:bCs/>
                <w:color w:val="auto"/>
                <w:szCs w:val="21"/>
                <w:highlight w:val="none"/>
              </w:rPr>
              <w:t>方负责。</w:t>
            </w:r>
          </w:p>
          <w:p>
            <w:pPr>
              <w:adjustRightInd w:val="0"/>
              <w:snapToGrid w:val="0"/>
              <w:ind w:firstLine="420" w:firstLineChars="200"/>
              <w:rPr>
                <w:rFonts w:ascii="宋体" w:hAnsi="宋体" w:cs="宋体"/>
                <w:color w:val="auto"/>
                <w:szCs w:val="21"/>
                <w:highlight w:val="none"/>
              </w:rPr>
            </w:pPr>
            <w:r>
              <w:rPr>
                <w:rFonts w:ascii="宋体" w:hAnsi="宋体"/>
                <w:bCs/>
                <w:color w:val="auto"/>
                <w:szCs w:val="21"/>
                <w:highlight w:val="none"/>
              </w:rPr>
              <w:t>3.3.5如故障严重中标方无法维修的，应在出现故障3日内书面报告并返厂维修</w:t>
            </w:r>
            <w:r>
              <w:rPr>
                <w:rFonts w:hint="eastAsia" w:ascii="宋体" w:hAnsi="宋体"/>
                <w:bCs/>
                <w:color w:val="auto"/>
                <w:szCs w:val="21"/>
                <w:highlight w:val="none"/>
              </w:rPr>
              <w:t>，</w:t>
            </w:r>
            <w:r>
              <w:rPr>
                <w:rFonts w:ascii="宋体" w:hAnsi="宋体"/>
                <w:bCs/>
                <w:color w:val="auto"/>
                <w:szCs w:val="21"/>
                <w:highlight w:val="none"/>
              </w:rPr>
              <w:t>费用由</w:t>
            </w:r>
            <w:r>
              <w:rPr>
                <w:rFonts w:hint="eastAsia" w:ascii="宋体" w:hAnsi="宋体"/>
                <w:bCs/>
                <w:color w:val="auto"/>
                <w:szCs w:val="21"/>
                <w:highlight w:val="none"/>
              </w:rPr>
              <w:t>采购</w:t>
            </w:r>
            <w:r>
              <w:rPr>
                <w:rFonts w:ascii="宋体" w:hAnsi="宋体"/>
                <w:bCs/>
                <w:color w:val="auto"/>
                <w:szCs w:val="21"/>
                <w:highlight w:val="none"/>
              </w:rPr>
              <w:t>方负责。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jc w:val="center"/>
        </w:trPr>
        <w:tc>
          <w:tcPr>
            <w:tcW w:w="655" w:type="dxa"/>
            <w:vAlign w:val="center"/>
          </w:tcPr>
          <w:p>
            <w:pPr>
              <w:tabs>
                <w:tab w:val="left" w:pos="180"/>
                <w:tab w:val="left" w:pos="1620"/>
              </w:tabs>
              <w:spacing w:line="360" w:lineRule="auto"/>
              <w:jc w:val="center"/>
              <w:rPr>
                <w:rFonts w:ascii="宋体" w:hAnsi="宋体" w:cs="宋体"/>
                <w:color w:val="auto"/>
                <w:szCs w:val="21"/>
                <w:highlight w:val="none"/>
              </w:rPr>
            </w:pPr>
            <w:r>
              <w:rPr>
                <w:rFonts w:hint="eastAsia" w:ascii="宋体" w:hAnsi="宋体" w:cs="宋体"/>
                <w:color w:val="auto"/>
                <w:szCs w:val="21"/>
                <w:highlight w:val="none"/>
              </w:rPr>
              <w:t>3</w:t>
            </w:r>
          </w:p>
        </w:tc>
        <w:tc>
          <w:tcPr>
            <w:tcW w:w="1499" w:type="dxa"/>
            <w:vAlign w:val="center"/>
          </w:tcPr>
          <w:p>
            <w:pPr>
              <w:adjustRightInd w:val="0"/>
              <w:snapToGrid w:val="0"/>
              <w:rPr>
                <w:rFonts w:ascii="宋体" w:hAnsi="宋体" w:cs="宋体"/>
                <w:color w:val="auto"/>
                <w:szCs w:val="21"/>
                <w:highlight w:val="none"/>
              </w:rPr>
            </w:pPr>
            <w:r>
              <w:rPr>
                <w:rFonts w:hint="eastAsia" w:ascii="宋体" w:hAnsi="宋体"/>
                <w:bCs/>
                <w:color w:val="auto"/>
                <w:szCs w:val="21"/>
                <w:highlight w:val="none"/>
              </w:rPr>
              <w:t>国控清</w:t>
            </w:r>
            <w:r>
              <w:rPr>
                <w:rFonts w:hint="eastAsia" w:ascii="宋体" w:hAnsi="宋体"/>
                <w:bCs/>
                <w:color w:val="auto"/>
                <w:szCs w:val="21"/>
                <w:highlight w:val="none"/>
              </w:rPr>
              <w:t>洁对照点、</w:t>
            </w:r>
            <w:r>
              <w:rPr>
                <w:rFonts w:ascii="宋体" w:hAnsi="宋体"/>
                <w:bCs/>
                <w:color w:val="auto"/>
                <w:szCs w:val="21"/>
                <w:highlight w:val="none"/>
              </w:rPr>
              <w:t>区控空气自动站运维</w:t>
            </w:r>
          </w:p>
        </w:tc>
        <w:tc>
          <w:tcPr>
            <w:tcW w:w="900" w:type="dxa"/>
            <w:vAlign w:val="center"/>
          </w:tcPr>
          <w:p>
            <w:pPr>
              <w:adjustRightInd w:val="0"/>
              <w:snapToGrid w:val="0"/>
              <w:ind w:firstLine="210" w:firstLineChars="100"/>
              <w:rPr>
                <w:rFonts w:ascii="宋体" w:hAnsi="宋体" w:cs="宋体"/>
                <w:color w:val="auto"/>
                <w:szCs w:val="21"/>
                <w:highlight w:val="none"/>
              </w:rPr>
            </w:pPr>
            <w:r>
              <w:rPr>
                <w:rFonts w:ascii="宋体" w:hAnsi="宋体"/>
                <w:bCs/>
                <w:color w:val="auto"/>
                <w:szCs w:val="21"/>
                <w:highlight w:val="none"/>
              </w:rPr>
              <w:t>3个</w:t>
            </w:r>
          </w:p>
        </w:tc>
        <w:tc>
          <w:tcPr>
            <w:tcW w:w="750" w:type="dxa"/>
            <w:vAlign w:val="center"/>
          </w:tcPr>
          <w:p>
            <w:pPr>
              <w:spacing w:line="260" w:lineRule="exact"/>
              <w:jc w:val="center"/>
              <w:rPr>
                <w:rFonts w:ascii="宋体" w:hAnsi="宋体" w:cs="宋体"/>
                <w:color w:val="auto"/>
                <w:szCs w:val="21"/>
                <w:highlight w:val="none"/>
              </w:rPr>
            </w:pPr>
            <w:r>
              <w:rPr>
                <w:rFonts w:ascii="宋体" w:hAnsi="宋体"/>
                <w:color w:val="auto"/>
                <w:highlight w:val="none"/>
              </w:rPr>
              <w:t>其他未列明行业。</w:t>
            </w:r>
          </w:p>
        </w:tc>
        <w:tc>
          <w:tcPr>
            <w:tcW w:w="6025" w:type="dxa"/>
            <w:vAlign w:val="center"/>
          </w:tcPr>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1、项目概述</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1.1运维服务内容概述</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对南宁市沛鸿中学、天桃实验学校</w:t>
            </w:r>
            <w:r>
              <w:rPr>
                <w:rFonts w:hint="eastAsia" w:ascii="宋体" w:hAnsi="宋体"/>
                <w:bCs/>
                <w:color w:val="auto"/>
                <w:szCs w:val="21"/>
                <w:highlight w:val="none"/>
              </w:rPr>
              <w:t>、仙葫</w:t>
            </w:r>
            <w:r>
              <w:rPr>
                <w:rFonts w:ascii="宋体" w:hAnsi="宋体"/>
                <w:bCs/>
                <w:color w:val="auto"/>
                <w:szCs w:val="21"/>
                <w:highlight w:val="none"/>
              </w:rPr>
              <w:t>空</w:t>
            </w:r>
            <w:r>
              <w:rPr>
                <w:rFonts w:ascii="宋体" w:hAnsi="宋体"/>
                <w:bCs/>
                <w:color w:val="auto"/>
                <w:szCs w:val="21"/>
                <w:highlight w:val="none"/>
              </w:rPr>
              <w:t>气自动监测站以及中心站服务器机房等系统进行运行维护，包括</w:t>
            </w:r>
            <w:r>
              <w:rPr>
                <w:rFonts w:hint="eastAsia" w:ascii="宋体" w:hAnsi="宋体"/>
                <w:bCs/>
                <w:color w:val="auto"/>
                <w:szCs w:val="21"/>
                <w:highlight w:val="none"/>
              </w:rPr>
              <w:t>1个国控清洁对照点（仙葫）、2</w:t>
            </w:r>
            <w:r>
              <w:rPr>
                <w:rFonts w:ascii="宋体" w:hAnsi="宋体"/>
                <w:bCs/>
                <w:color w:val="auto"/>
                <w:szCs w:val="21"/>
                <w:highlight w:val="none"/>
              </w:rPr>
              <w:t>个区控空气自动监测</w:t>
            </w:r>
            <w:r>
              <w:rPr>
                <w:rFonts w:hint="eastAsia" w:ascii="宋体" w:hAnsi="宋体"/>
                <w:bCs/>
                <w:color w:val="auto"/>
                <w:szCs w:val="21"/>
                <w:highlight w:val="none"/>
              </w:rPr>
              <w:t>点（</w:t>
            </w:r>
            <w:r>
              <w:rPr>
                <w:rFonts w:ascii="宋体" w:hAnsi="宋体"/>
                <w:bCs/>
                <w:color w:val="auto"/>
                <w:szCs w:val="21"/>
                <w:highlight w:val="none"/>
              </w:rPr>
              <w:t>沛鸿中学、天桃实验学校</w:t>
            </w:r>
            <w:r>
              <w:rPr>
                <w:rFonts w:hint="eastAsia" w:ascii="宋体" w:hAnsi="宋体"/>
                <w:bCs/>
                <w:color w:val="auto"/>
                <w:szCs w:val="21"/>
                <w:highlight w:val="none"/>
              </w:rPr>
              <w:t>）</w:t>
            </w:r>
            <w:r>
              <w:rPr>
                <w:rFonts w:ascii="宋体" w:hAnsi="宋体"/>
                <w:bCs/>
                <w:color w:val="auto"/>
                <w:szCs w:val="21"/>
                <w:highlight w:val="none"/>
              </w:rPr>
              <w:t>所有监测仪器、辅助设备、监测站房设施及中心站服务器，其中监测仪器包括一氧化氮、二氧化氮、氮氧化物分析仪、二氧化硫分析仪、一氧化碳分析仪、臭氧分析仪、PM10分析仪、PM2.5分析仪、零气发生器、动态气体校准仪、气象监测系统、非甲烷总烃监测系统（天桃实验学校站）等，辅助设备包括各站工控机、样品采集系统、数据传输系统、防雷系统、钢瓶气、UPS及发电系统、温控系统、安全设施、各站环境条件控制设施等，中心站服务器包括本市数据平台服务器、国家联网数据平台服务器、数据发布服务器及其他网络设施等。要求保证各监测站点仪器设备正常运行，确保各仪器设备24小时正常运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1.2人员配置要求</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技术主管至少1名，现场技术人员至少 1名。</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2、运维工作目标</w:t>
            </w:r>
          </w:p>
          <w:p>
            <w:pPr>
              <w:tabs>
                <w:tab w:val="left" w:pos="2280"/>
              </w:tabs>
              <w:adjustRightInd w:val="0"/>
              <w:snapToGrid w:val="0"/>
              <w:ind w:firstLine="420" w:firstLineChars="200"/>
              <w:contextualSpacing/>
              <w:rPr>
                <w:rFonts w:ascii="宋体" w:hAnsi="宋体"/>
                <w:bCs/>
                <w:color w:val="auto"/>
                <w:szCs w:val="21"/>
                <w:highlight w:val="none"/>
              </w:rPr>
            </w:pPr>
            <w:r>
              <w:rPr>
                <w:rFonts w:ascii="宋体" w:hAnsi="宋体"/>
                <w:bCs/>
                <w:color w:val="auto"/>
                <w:szCs w:val="21"/>
                <w:highlight w:val="none"/>
              </w:rPr>
              <w:t>空气自动站的运行质量应达到以下指标：</w:t>
            </w:r>
          </w:p>
          <w:p>
            <w:pPr>
              <w:adjustRightInd w:val="0"/>
              <w:snapToGrid w:val="0"/>
              <w:ind w:firstLine="420" w:firstLineChars="200"/>
              <w:contextualSpacing/>
              <w:rPr>
                <w:rFonts w:ascii="宋体" w:hAnsi="宋体"/>
                <w:bCs/>
                <w:color w:val="auto"/>
                <w:szCs w:val="21"/>
                <w:highlight w:val="none"/>
              </w:rPr>
            </w:pPr>
            <w:r>
              <w:rPr>
                <w:rFonts w:ascii="宋体" w:hAnsi="宋体"/>
                <w:bCs/>
                <w:color w:val="auto"/>
                <w:szCs w:val="21"/>
                <w:highlight w:val="none"/>
              </w:rPr>
              <w:t>（1）所获取的各项指标的有效监测数据必须满足《环境空气质量标准》（GB 3095-2012）中规定的污染物浓度数据有效性最低要求。</w:t>
            </w:r>
          </w:p>
          <w:p>
            <w:pPr>
              <w:adjustRightInd w:val="0"/>
              <w:snapToGrid w:val="0"/>
              <w:ind w:firstLine="420" w:firstLineChars="200"/>
              <w:contextualSpacing/>
              <w:rPr>
                <w:rFonts w:ascii="宋体" w:hAnsi="宋体"/>
                <w:bCs/>
                <w:color w:val="auto"/>
                <w:szCs w:val="21"/>
                <w:highlight w:val="none"/>
              </w:rPr>
            </w:pPr>
            <w:r>
              <w:rPr>
                <w:rFonts w:ascii="宋体" w:hAnsi="宋体"/>
                <w:bCs/>
                <w:color w:val="auto"/>
                <w:szCs w:val="21"/>
                <w:highlight w:val="none"/>
              </w:rPr>
              <w:t>（2）各项指标监测数据捕获率达到90%（以小时值计）以上。</w:t>
            </w:r>
          </w:p>
          <w:p>
            <w:pPr>
              <w:adjustRightInd w:val="0"/>
              <w:snapToGrid w:val="0"/>
              <w:ind w:firstLine="420" w:firstLineChars="200"/>
              <w:contextualSpacing/>
              <w:rPr>
                <w:rFonts w:ascii="宋体" w:hAnsi="宋体"/>
                <w:bCs/>
                <w:color w:val="auto"/>
                <w:szCs w:val="21"/>
                <w:highlight w:val="none"/>
              </w:rPr>
            </w:pPr>
            <w:r>
              <w:rPr>
                <w:rFonts w:ascii="宋体" w:hAnsi="宋体"/>
                <w:bCs/>
                <w:color w:val="auto"/>
                <w:szCs w:val="21"/>
                <w:highlight w:val="none"/>
              </w:rPr>
              <w:t>（3）各项指标监测数据质控合格率达到80%（以小时值计）以上。</w:t>
            </w:r>
          </w:p>
          <w:p>
            <w:pPr>
              <w:adjustRightInd w:val="0"/>
              <w:snapToGrid w:val="0"/>
              <w:ind w:firstLine="420" w:firstLineChars="200"/>
              <w:contextualSpacing/>
              <w:rPr>
                <w:rFonts w:ascii="宋体" w:hAnsi="宋体"/>
                <w:bCs/>
                <w:color w:val="auto"/>
                <w:szCs w:val="21"/>
                <w:highlight w:val="none"/>
              </w:rPr>
            </w:pPr>
            <w:r>
              <w:rPr>
                <w:rFonts w:ascii="宋体" w:hAnsi="宋体"/>
                <w:bCs/>
                <w:color w:val="auto"/>
                <w:szCs w:val="21"/>
                <w:highlight w:val="none"/>
              </w:rPr>
              <w:t>（4）运维任务完成率100%。</w:t>
            </w:r>
          </w:p>
          <w:p>
            <w:pPr>
              <w:adjustRightInd w:val="0"/>
              <w:snapToGrid w:val="0"/>
              <w:ind w:firstLine="420" w:firstLineChars="200"/>
              <w:contextualSpacing/>
              <w:rPr>
                <w:rFonts w:ascii="宋体" w:hAnsi="宋体"/>
                <w:bCs/>
                <w:color w:val="auto"/>
                <w:szCs w:val="21"/>
                <w:highlight w:val="none"/>
              </w:rPr>
            </w:pPr>
            <w:r>
              <w:rPr>
                <w:rFonts w:ascii="宋体" w:hAnsi="宋体"/>
                <w:bCs/>
                <w:color w:val="auto"/>
                <w:szCs w:val="21"/>
                <w:highlight w:val="none"/>
              </w:rPr>
              <w:t>（5）异常情况处理率100%。</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3、运维工作要求</w:t>
            </w:r>
          </w:p>
          <w:p>
            <w:pPr>
              <w:adjustRightInd w:val="0"/>
              <w:snapToGrid w:val="0"/>
              <w:ind w:firstLine="420" w:firstLineChars="200"/>
              <w:rPr>
                <w:rFonts w:ascii="宋体" w:hAnsi="宋体"/>
                <w:bCs/>
                <w:color w:val="auto"/>
                <w:szCs w:val="21"/>
                <w:highlight w:val="none"/>
              </w:rPr>
            </w:pPr>
            <w:r>
              <w:rPr>
                <w:rFonts w:hint="eastAsia" w:ascii="宋体" w:hAnsi="宋体"/>
                <w:bCs/>
                <w:color w:val="auto"/>
                <w:szCs w:val="21"/>
                <w:highlight w:val="none"/>
              </w:rPr>
              <w:t>按《国家环境空气质量监测城市自动监测站运行管理暂行规定》、</w:t>
            </w:r>
            <w:r>
              <w:rPr>
                <w:rFonts w:ascii="宋体" w:hAnsi="宋体"/>
                <w:color w:val="auto"/>
                <w:highlight w:val="none"/>
              </w:rPr>
              <w:t>《环境空气气态污染物（SO</w:t>
            </w:r>
            <w:r>
              <w:rPr>
                <w:rFonts w:ascii="宋体" w:hAnsi="宋体"/>
                <w:color w:val="auto"/>
                <w:highlight w:val="none"/>
                <w:vertAlign w:val="subscript"/>
              </w:rPr>
              <w:t>2</w:t>
            </w:r>
            <w:r>
              <w:rPr>
                <w:rFonts w:ascii="宋体" w:hAnsi="宋体"/>
                <w:color w:val="auto"/>
                <w:highlight w:val="none"/>
              </w:rPr>
              <w:t>、NO</w:t>
            </w:r>
            <w:r>
              <w:rPr>
                <w:rFonts w:ascii="宋体" w:hAnsi="宋体"/>
                <w:color w:val="auto"/>
                <w:highlight w:val="none"/>
                <w:vertAlign w:val="subscript"/>
              </w:rPr>
              <w:t>2</w:t>
            </w:r>
            <w:r>
              <w:rPr>
                <w:rFonts w:ascii="宋体" w:hAnsi="宋体"/>
                <w:color w:val="auto"/>
                <w:highlight w:val="none"/>
              </w:rPr>
              <w:t>、O</w:t>
            </w:r>
            <w:r>
              <w:rPr>
                <w:rFonts w:ascii="宋体" w:hAnsi="宋体"/>
                <w:color w:val="auto"/>
                <w:highlight w:val="none"/>
                <w:vertAlign w:val="subscript"/>
              </w:rPr>
              <w:t>3</w:t>
            </w:r>
            <w:r>
              <w:rPr>
                <w:rFonts w:ascii="宋体" w:hAnsi="宋体"/>
                <w:color w:val="auto"/>
                <w:highlight w:val="none"/>
              </w:rPr>
              <w:t>、CO）连续自动监测系统技术要求及检测方法》(HJ 654-2013)、《环境空气气态污染物（SO</w:t>
            </w:r>
            <w:r>
              <w:rPr>
                <w:rFonts w:ascii="宋体" w:hAnsi="宋体"/>
                <w:color w:val="auto"/>
                <w:highlight w:val="none"/>
                <w:vertAlign w:val="subscript"/>
              </w:rPr>
              <w:t>2</w:t>
            </w:r>
            <w:r>
              <w:rPr>
                <w:rFonts w:ascii="宋体" w:hAnsi="宋体"/>
                <w:color w:val="auto"/>
                <w:highlight w:val="none"/>
              </w:rPr>
              <w:t>、NO</w:t>
            </w:r>
            <w:r>
              <w:rPr>
                <w:rFonts w:ascii="宋体" w:hAnsi="宋体"/>
                <w:color w:val="auto"/>
                <w:highlight w:val="none"/>
                <w:vertAlign w:val="subscript"/>
              </w:rPr>
              <w:t>2</w:t>
            </w:r>
            <w:r>
              <w:rPr>
                <w:rFonts w:ascii="宋体" w:hAnsi="宋体"/>
                <w:color w:val="auto"/>
                <w:highlight w:val="none"/>
              </w:rPr>
              <w:t>、O</w:t>
            </w:r>
            <w:r>
              <w:rPr>
                <w:rFonts w:ascii="宋体" w:hAnsi="宋体"/>
                <w:color w:val="auto"/>
                <w:highlight w:val="none"/>
                <w:vertAlign w:val="subscript"/>
              </w:rPr>
              <w:t>3</w:t>
            </w:r>
            <w:r>
              <w:rPr>
                <w:rFonts w:ascii="宋体" w:hAnsi="宋体"/>
                <w:color w:val="auto"/>
                <w:highlight w:val="none"/>
              </w:rPr>
              <w:t>、CO）连续自动监测系统安装验收技术规范》(HJ 193-2013)、《环境空气颗粒物（PM</w:t>
            </w:r>
            <w:r>
              <w:rPr>
                <w:rFonts w:ascii="宋体" w:hAnsi="宋体"/>
                <w:color w:val="auto"/>
                <w:highlight w:val="none"/>
                <w:vertAlign w:val="subscript"/>
              </w:rPr>
              <w:t>10</w:t>
            </w:r>
            <w:r>
              <w:rPr>
                <w:rFonts w:ascii="宋体" w:hAnsi="宋体"/>
                <w:color w:val="auto"/>
                <w:highlight w:val="none"/>
              </w:rPr>
              <w:t>和PM</w:t>
            </w:r>
            <w:r>
              <w:rPr>
                <w:rFonts w:ascii="宋体" w:hAnsi="宋体"/>
                <w:color w:val="auto"/>
                <w:highlight w:val="none"/>
                <w:vertAlign w:val="subscript"/>
              </w:rPr>
              <w:t>2.5</w:t>
            </w:r>
            <w:r>
              <w:rPr>
                <w:rFonts w:ascii="宋体" w:hAnsi="宋体"/>
                <w:color w:val="auto"/>
                <w:highlight w:val="none"/>
              </w:rPr>
              <w:t>）连续自动监测系统技术要求及检测方法》(HJ 653-2013)、《环境空气颗粒物（PM</w:t>
            </w:r>
            <w:r>
              <w:rPr>
                <w:rFonts w:ascii="宋体" w:hAnsi="宋体"/>
                <w:color w:val="auto"/>
                <w:highlight w:val="none"/>
                <w:vertAlign w:val="subscript"/>
              </w:rPr>
              <w:t>10</w:t>
            </w:r>
            <w:r>
              <w:rPr>
                <w:rFonts w:ascii="宋体" w:hAnsi="宋体"/>
                <w:color w:val="auto"/>
                <w:highlight w:val="none"/>
              </w:rPr>
              <w:t>和PM</w:t>
            </w:r>
            <w:r>
              <w:rPr>
                <w:rFonts w:ascii="宋体" w:hAnsi="宋体"/>
                <w:color w:val="auto"/>
                <w:highlight w:val="none"/>
                <w:vertAlign w:val="subscript"/>
              </w:rPr>
              <w:t>2.5</w:t>
            </w:r>
            <w:r>
              <w:rPr>
                <w:rFonts w:ascii="宋体" w:hAnsi="宋体"/>
                <w:color w:val="auto"/>
                <w:highlight w:val="none"/>
              </w:rPr>
              <w:t>）连续自动监测系统安装和验收技术规范》(HJ 655-2013)</w:t>
            </w:r>
            <w:r>
              <w:rPr>
                <w:rFonts w:hint="eastAsia" w:ascii="宋体" w:hAnsi="宋体"/>
                <w:color w:val="auto"/>
                <w:highlight w:val="none"/>
              </w:rPr>
              <w:t>、</w:t>
            </w:r>
            <w:r>
              <w:rPr>
                <w:rFonts w:ascii="宋体" w:hAnsi="宋体"/>
                <w:color w:val="auto"/>
                <w:highlight w:val="none"/>
              </w:rPr>
              <w:t>《环境空气非甲烷总烃连续自动监测技术规定（试行）》</w:t>
            </w:r>
            <w:r>
              <w:rPr>
                <w:rFonts w:hint="eastAsia" w:ascii="宋体" w:hAnsi="宋体"/>
                <w:color w:val="auto"/>
                <w:highlight w:val="none"/>
              </w:rPr>
              <w:t>、</w:t>
            </w:r>
            <w:r>
              <w:rPr>
                <w:rFonts w:hint="eastAsia" w:ascii="宋体" w:hAnsi="宋体"/>
                <w:bCs/>
                <w:color w:val="auto"/>
                <w:szCs w:val="21"/>
                <w:highlight w:val="none"/>
              </w:rPr>
              <w:t>《自治区生态环境厅办公室关于做好2022年自治区环境空气质量监测网城市站运维工作的通知》（桂环办函〔2</w:t>
            </w:r>
            <w:r>
              <w:rPr>
                <w:rFonts w:ascii="宋体" w:hAnsi="宋体"/>
                <w:bCs/>
                <w:color w:val="auto"/>
                <w:szCs w:val="21"/>
                <w:highlight w:val="none"/>
              </w:rPr>
              <w:t>022</w:t>
            </w:r>
            <w:r>
              <w:rPr>
                <w:rFonts w:hint="eastAsia" w:ascii="宋体" w:hAnsi="宋体"/>
                <w:bCs/>
                <w:color w:val="auto"/>
                <w:szCs w:val="21"/>
                <w:highlight w:val="none"/>
              </w:rPr>
              <w:t>〕2</w:t>
            </w:r>
            <w:r>
              <w:rPr>
                <w:rFonts w:ascii="宋体" w:hAnsi="宋体"/>
                <w:bCs/>
                <w:color w:val="auto"/>
                <w:szCs w:val="21"/>
                <w:highlight w:val="none"/>
              </w:rPr>
              <w:t>3</w:t>
            </w:r>
            <w:r>
              <w:rPr>
                <w:rFonts w:hint="eastAsia" w:ascii="宋体" w:hAnsi="宋体"/>
                <w:bCs/>
                <w:color w:val="auto"/>
                <w:szCs w:val="21"/>
                <w:highlight w:val="none"/>
              </w:rPr>
              <w:t>号）及仪器使用说明书要求进行运行维护与检查，如国家、自治区出台新的技术规范，按新技术规范要求执行。</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 运维工作一般要求</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3.1.1保持站房内部环境清洁，布置整齐，各仪器设备干净清洁，设备标识清楚。</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3.1.2保持站房外20m以内的环境清洁。</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3.1.3检查供电和网络通讯情况，保证系统的正常运行。</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3.1.4保证空调正常工作，站房内温度25±5</w:t>
            </w:r>
            <w:r>
              <w:rPr>
                <w:rFonts w:hint="eastAsia" w:ascii="宋体" w:hAnsi="宋体"/>
                <w:bCs/>
                <w:color w:val="auto"/>
                <w:szCs w:val="21"/>
                <w:highlight w:val="none"/>
              </w:rPr>
              <w:t>℃</w:t>
            </w:r>
            <w:r>
              <w:rPr>
                <w:rFonts w:ascii="宋体" w:hAnsi="宋体"/>
                <w:bCs/>
                <w:color w:val="auto"/>
                <w:szCs w:val="21"/>
                <w:highlight w:val="none"/>
              </w:rPr>
              <w:t>，相对湿度保持在80%RH以下。</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3.1.5指派专人维护，设备固定牢固，门窗关闭良好，人走关门，非工作人员未经许可不得入内。</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3.1.6定期检查消防和安全设施；</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3.1.7每次维护后做好系统运行维护记录；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3.1.8进行维护时，规范操作，注意安全，防止意外发生。</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3.2每日工作内容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每天上午和下午两次远程查看空气自动站数据并形成记录，分析监测数据，对站点运行情况进行远程诊断和运行管理，内容包括：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3.2.1判断系统数据采集与传输情况；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3.2.2发现监测数据异常，立即通知采购方，在每日6时～23时出现的异常，在4小时内解决（通信线路、电力线路故障除外，但应及时与相关部门联系积极解决）；</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3.2.3发生重污染天气等特殊情况后，在4小时内开展相应的运维工作；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3.2.4根据数据分析结果、设备状态参数和仪器故障报警信号，判断仪器运行情况和现场状况；对于非甲烷总烃设备，须检查分析模块的FID温度、柱箱温度、柱前压、保留时间等重要参数是否正常。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3.2.5每日检查数据是否及时上传自治区生态环境监测中心、中国环境监测总站并正常发布，发现数据断网及时恢复。</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3.2.6对空气自动站监测数据进行审核，并将审核数据按时提交自治区生态环境监测中心。</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每日12时前完成空气自动站前日各站点原始小时值的审核，报送自治区生态环境监测中心复核。对复核不通过的数据，需于次日12时前再次审核后上报。再次审核报送的数据仍未通过复核的，以自治区生态环境监测中心最终复核结果为准。当天因网络故障等原因未能完成数据审核报送的，可顺延1日审核报送，最多顺延2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每月1日12时前，完成上月所有实时监测数据的在线审核，报送自治区生态环境监测中心复核。对复核不通过的数据，于1日18时前再次报送自治区生态环境监测中心。再次审核报送的数据仍未通过复核的，以自治区生态环境监测中心最终复核结果为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对于未能在规定时间内按时完成审核的数据，须于数据产生1周内，以正式文件形式向采购方及自治区生态环境监测中心报送书面审核结果及未能按时完成审核的原因。</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 每周工作内容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每周至少巡视空气自动站1次，并做好巡查记录，巡检时需要完成的工作包括：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3.3.1查看空气自动站设备是否齐备，有无丢失和损坏；检查接地线路是否可靠，排风排气装置工作是否正常，标准气钢瓶阀门是否漏气，标准气的消耗情况；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3.3.2检查采样和排气管路是否有漏气或堵塞现象，各监测仪器采样流量是否正常。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3.3.3检查各监测仪器的运行状况和工作参数，判断是否正常，如有异常情况及时处理，保证仪器运行正常。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3.3.4检查PM10和PM2.5监测仪动态加热装置及采样总管加热装置是否正常工作；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3.3.5对二氧化硫、一氧化碳、臭氧、氮氧化物监测仪进行零点、跨度检查，如果漂移超过国家相关规范要求，需要进行校准或维修。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3.3.6对非甲烷总烃设备，须对气相色谱、检测器的参数设置和运行情况进行检查并做好记录，包括氢气发生器、载气、零空气供应情况以及主要性能指标检查，并做好定量保留时间范围校准记录；开展空白检查、标点（甲烷2000ppb和丙烷500ppb）检查，若空白检查测定浓度大于方法检出限或者定量误差超出10%，应进行校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3.3.7按照仪器说明书要求，对零气发生器进行维护。</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3.3.8检查外部环境是否正常，有没有对测定结果或运行环境存在明显影响的污染源；</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3.3.9检查电路系统和通讯系统，保证系统供电正常，电压稳定；</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3.3.10检查城市站的通讯系统，保证空气自动监测站与远程监控中心的连接正常，数据传输正常。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3.3.11对仪器显示数据、时间与数据采集仪之间的一致性进行检查和校准。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3.3.12检查监测仪器的采样入口与采样支路管线结合部之间安装的过滤膜的污染情况，至少每2周更换滤膜，每周检查监测仪器散热风扇污染情况，及时清洗。</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3.3.13在冬、夏季节注意站房室内外温差，若温差较大，及时改变站房温度或对采样总管采取适当的控制措施，防止冷凝现象。</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3.3.14及时清除</w:t>
            </w:r>
            <w:r>
              <w:rPr>
                <w:rFonts w:hint="eastAsia" w:ascii="宋体" w:hAnsi="宋体"/>
                <w:bCs/>
                <w:color w:val="auto"/>
                <w:szCs w:val="21"/>
                <w:highlight w:val="none"/>
              </w:rPr>
              <w:t>空气自动站</w:t>
            </w:r>
            <w:r>
              <w:rPr>
                <w:rFonts w:ascii="宋体" w:hAnsi="宋体"/>
                <w:bCs/>
                <w:color w:val="auto"/>
                <w:szCs w:val="21"/>
                <w:highlight w:val="none"/>
              </w:rPr>
              <w:t>房周围的杂草和积水，当周围树木生长超过规范规定的控制限时，应及时剪除对采样或监测光束有影响的树枝。</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3.3.15经常检查避雷设施是否可靠，</w:t>
            </w:r>
            <w:r>
              <w:rPr>
                <w:rFonts w:hint="eastAsia" w:ascii="宋体" w:hAnsi="宋体"/>
                <w:bCs/>
                <w:color w:val="auto"/>
                <w:szCs w:val="21"/>
                <w:highlight w:val="none"/>
              </w:rPr>
              <w:t>空气自动站</w:t>
            </w:r>
            <w:r>
              <w:rPr>
                <w:rFonts w:ascii="宋体" w:hAnsi="宋体"/>
                <w:bCs/>
                <w:color w:val="auto"/>
                <w:szCs w:val="21"/>
                <w:highlight w:val="none"/>
              </w:rPr>
              <w:t>站房是否有漏雨现象，气象杆和天线是否被刮坏，站房外围的其它设施是否有损坏或被水淹，如遇到以上问题及时处理，保证系统安全运行。</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3.3.16检查站房的安全设施，做好防火防盗工作。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3.3.17每周对气象仪器及能见度仪的运行情况进行检查。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3.3.18每周对颗粒物的采样纸带或滤膜进行检查，如纸带即将用尽或滤膜负载超过规定要求，及时进行更换。</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3.3.19每周检查视频监控系统，并做好视频系统的日常维护。若发现人为干扰干预环境空气质量监测的行为，及时向采购方及自治区生态环境监测中心汇报。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3.3.20每周对站房内外环境卫生进行检查，及时保洁。</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3.4 每月工作内容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3.4.1清洗PM10及PM2.5采样头，检查β法颗粒物监测仪仪器喷嘴、压环、密封圈等部件。</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3.4.2检查PM10及PM2.5监测仪、气态监测仪、非甲烷总烃分析仪、动态校准仪流量，超过国家相关规范要求时进行校准。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3.4.3备份数据，包括监测数据、日常的质控核查记录等。</w:t>
            </w:r>
          </w:p>
          <w:p>
            <w:pPr>
              <w:adjustRightInd w:val="0"/>
              <w:snapToGrid w:val="0"/>
              <w:ind w:firstLine="420" w:firstLineChars="200"/>
              <w:rPr>
                <w:rFonts w:ascii="宋体" w:hAnsi="宋体"/>
                <w:bCs/>
                <w:color w:val="auto"/>
                <w:szCs w:val="21"/>
                <w:highlight w:val="none"/>
              </w:rPr>
            </w:pPr>
            <w:r>
              <w:rPr>
                <w:rFonts w:hint="eastAsia" w:ascii="宋体" w:hAnsi="宋体"/>
                <w:bCs/>
                <w:color w:val="auto"/>
                <w:szCs w:val="21"/>
                <w:highlight w:val="none"/>
              </w:rPr>
              <w:t>3</w:t>
            </w:r>
            <w:r>
              <w:rPr>
                <w:rFonts w:ascii="宋体" w:hAnsi="宋体"/>
                <w:bCs/>
                <w:color w:val="auto"/>
                <w:szCs w:val="21"/>
                <w:highlight w:val="none"/>
              </w:rPr>
              <w:t xml:space="preserve">.4.4 </w:t>
            </w:r>
            <w:r>
              <w:rPr>
                <w:rFonts w:hint="eastAsia" w:ascii="宋体" w:hAnsi="宋体"/>
                <w:bCs/>
                <w:color w:val="auto"/>
                <w:szCs w:val="21"/>
                <w:highlight w:val="none"/>
              </w:rPr>
              <w:t>中标方每月给出下月具体的维护计划、各站维护时间安排。</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3.5每季度工作内容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3.5.1采样总管及采样风机每季度至少清洗一次；</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3.5.2对PM10和PM2.5监测仪器进行标准膜检查，超过国家相关规范要求时，及时进行校准或维修；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3.5.3采用臭氧传递标准对</w:t>
            </w:r>
            <w:r>
              <w:rPr>
                <w:rFonts w:hint="eastAsia" w:ascii="宋体" w:hAnsi="宋体"/>
                <w:bCs/>
                <w:color w:val="auto"/>
                <w:szCs w:val="21"/>
                <w:highlight w:val="none"/>
              </w:rPr>
              <w:t>空气自动站</w:t>
            </w:r>
            <w:r>
              <w:rPr>
                <w:rFonts w:ascii="宋体" w:hAnsi="宋体"/>
                <w:bCs/>
                <w:color w:val="auto"/>
                <w:szCs w:val="21"/>
                <w:highlight w:val="none"/>
              </w:rPr>
              <w:t>臭氧工作标准进行标准传递；</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3.5.4检查和校准PM2.5、PM10监测仪相对湿度、温度传感器和压力传感器。</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3.5.5对非甲烷总烃分析仪进行多点校准曲线检查，曲线至少包含5点。要求甲烷和非甲烷总烃校准曲线的相关系数R2≥0.999，校准曲线上各浓度点残差与理论浓度的比值应在±10%以内。</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3.6每半年工作内容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3.6.1对气态污染物监测仪进行多点校准，绘制校准曲线，检验相关系数、斜率和截距；</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3.6.2对动态校准仪流量进行多点检查；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3.6.3更换零气源净化剂和氧化剂，对零气性能进行检查；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3.6.4对氮氧化物监测仪钼炉转化率进行检查。</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3.6.5对能见度仪器进行校准。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3.7每年工作内容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对所有的仪器（包括采样泵）进行预防性维护，按说明书的要求更换耗材和备件。保养与维修后，须进行多点校准、稳定性、准确性和检出限等测定，测定结果须满足国家相关规范要求。</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3.7.1每年刻录一张各站及中心站数据备份光盘。</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3.7.2每年对各站空调进行清洗保养。</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3.8系统故障维修</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3.8.1各站及中心站仪器、设备出现故障，在获得故障通知后必须1小时内赶赴现场，对事故进行处理并恢复正常运行。</w:t>
            </w:r>
          </w:p>
          <w:p>
            <w:pPr>
              <w:adjustRightInd w:val="0"/>
              <w:snapToGrid w:val="0"/>
              <w:ind w:firstLine="420" w:firstLineChars="200"/>
              <w:rPr>
                <w:rFonts w:ascii="宋体" w:hAnsi="宋体"/>
                <w:bCs/>
                <w:color w:val="auto"/>
                <w:szCs w:val="21"/>
                <w:highlight w:val="none"/>
              </w:rPr>
            </w:pPr>
            <w:r>
              <w:rPr>
                <w:rFonts w:hint="eastAsia" w:ascii="宋体" w:hAnsi="宋体" w:cs="Segoe UI Symbol"/>
                <w:bCs/>
                <w:color w:val="auto"/>
                <w:szCs w:val="21"/>
                <w:highlight w:val="none"/>
              </w:rPr>
              <w:t>▲</w:t>
            </w:r>
            <w:r>
              <w:rPr>
                <w:rFonts w:ascii="宋体" w:hAnsi="宋体"/>
                <w:bCs/>
                <w:color w:val="auto"/>
                <w:szCs w:val="21"/>
                <w:highlight w:val="none"/>
              </w:rPr>
              <w:t>3.8.2 系统维护、保养过程中发现仪器、设备故障时，若在规定的时间内故障无法排除或故障无法在现场排除，必须在发现故障后3小时内使用备机替代，保证自动站正常运行，同时须书面通知采购方。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3.8.3重大、系统性故障无法修复，确需对系统或构成系统的某台或几台仪器、设备进行整体更换才能恢复系统正常运行时，中标方须及时报告，提出解决方案并形成书面材料呈报采购方。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3.8.4维修、更换主要部件或者清洗过光学平台的监测仪器须进行准确度检查和精密度检查确认正常后才能恢复报数使用。</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3.8.5仪器、设备故障维修按照最有利于系统正常运行原则，中标方负责仪器维修；对造成故障的零配件、部件需要更换的，</w:t>
            </w:r>
            <w:r>
              <w:rPr>
                <w:rFonts w:hint="eastAsia" w:ascii="宋体" w:hAnsi="宋体"/>
                <w:bCs/>
                <w:color w:val="auto"/>
                <w:szCs w:val="21"/>
                <w:highlight w:val="none"/>
              </w:rPr>
              <w:t>沛鸿中学、天桃实验学校</w:t>
            </w:r>
            <w:r>
              <w:rPr>
                <w:rFonts w:ascii="宋体" w:hAnsi="宋体"/>
                <w:bCs/>
                <w:color w:val="auto"/>
                <w:szCs w:val="21"/>
                <w:highlight w:val="none"/>
              </w:rPr>
              <w:t>所涉及配件费用由中标方负责</w:t>
            </w:r>
            <w:r>
              <w:rPr>
                <w:rFonts w:hint="eastAsia" w:ascii="宋体" w:hAnsi="宋体"/>
                <w:bCs/>
                <w:color w:val="auto"/>
                <w:szCs w:val="21"/>
                <w:highlight w:val="none"/>
              </w:rPr>
              <w:t>，</w:t>
            </w:r>
            <w:r>
              <w:rPr>
                <w:rFonts w:ascii="宋体" w:hAnsi="宋体"/>
                <w:bCs/>
                <w:color w:val="auto"/>
                <w:szCs w:val="21"/>
                <w:highlight w:val="none"/>
              </w:rPr>
              <w:t>仙葫空气自动</w:t>
            </w:r>
            <w:r>
              <w:rPr>
                <w:rFonts w:hint="eastAsia" w:ascii="宋体" w:hAnsi="宋体"/>
                <w:bCs/>
                <w:color w:val="auto"/>
                <w:szCs w:val="21"/>
                <w:highlight w:val="none"/>
              </w:rPr>
              <w:t>监测</w:t>
            </w:r>
            <w:r>
              <w:rPr>
                <w:rFonts w:ascii="宋体" w:hAnsi="宋体"/>
                <w:bCs/>
                <w:color w:val="auto"/>
                <w:szCs w:val="21"/>
                <w:highlight w:val="none"/>
              </w:rPr>
              <w:t>站</w:t>
            </w:r>
            <w:r>
              <w:rPr>
                <w:rFonts w:hint="eastAsia" w:ascii="宋体" w:hAnsi="宋体"/>
                <w:bCs/>
                <w:color w:val="auto"/>
                <w:szCs w:val="21"/>
                <w:highlight w:val="none"/>
              </w:rPr>
              <w:t>所涉及配件费用由采购方负责</w:t>
            </w:r>
            <w:r>
              <w:rPr>
                <w:rFonts w:ascii="宋体" w:hAnsi="宋体"/>
                <w:bCs/>
                <w:color w:val="auto"/>
                <w:szCs w:val="21"/>
                <w:highlight w:val="none"/>
              </w:rPr>
              <w:t>。</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3.8.6如故障严重中标方无法维修的，应在出现故障十五日内书面报告并协助返厂维修，</w:t>
            </w:r>
            <w:r>
              <w:rPr>
                <w:rFonts w:hint="eastAsia" w:ascii="宋体" w:hAnsi="宋体"/>
                <w:bCs/>
                <w:color w:val="auto"/>
                <w:szCs w:val="21"/>
                <w:highlight w:val="none"/>
              </w:rPr>
              <w:t>沛鸿中学、天桃实验学校所涉及费用由中标方负责，仙葫空气自动监测站所涉及费用由采购方负责。</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3.9 系统耗材更换</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3.9.1系统耗材由中标方自行采购并更换，中标方提前做好耗材更换</w:t>
            </w:r>
            <w:r>
              <w:rPr>
                <w:rFonts w:hint="eastAsia" w:ascii="宋体" w:hAnsi="宋体"/>
                <w:bCs/>
                <w:color w:val="auto"/>
                <w:szCs w:val="21"/>
                <w:highlight w:val="none"/>
              </w:rPr>
              <w:t>计</w:t>
            </w:r>
            <w:r>
              <w:rPr>
                <w:rFonts w:ascii="宋体" w:hAnsi="宋体"/>
                <w:bCs/>
                <w:color w:val="auto"/>
                <w:szCs w:val="21"/>
                <w:highlight w:val="none"/>
              </w:rPr>
              <w:t>划，并定期检查耗材配件库存情况。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3.9.2系统耗材更换的项目严格按仪器使用说明书及国家相关规定进行，做好耗材使用记录。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3.10 内部管理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3.10.1 中标方须严格按照国家、自治区相关要求制订系统维护管理、维修的操作规范和内部管理的规章制度，规范系统现场运行维护和仪器、设备维修操作及中标单位的内部管理。</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3.10.2中标单位须对各站建立专人负责制，按照有关要求建立QA/QC 保证体系，制定日常维护、保养、维修规程，建立日常运行记录和设备台帐，接受采购方的监督、检查和考核。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3.10.3 中标方须根据系统仪器、设备的构成情况配备技术人员，确保每种仪器、设备都具备高水平维护管理和维修人员。</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3.10.4 中标方须对每个系统维护管理及维修人员配备专用维护维修工具和通讯调试工具，确保现场维护管理及维修的顺利实施。</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3.11工作记录与报告</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3.11.1 中标方在系统维护管理及仪器、设备的维修过程中，须按照相关规范和采购方的要求填写巡检记录、质控记录、仪器设备维护、维修记录、自检等原始记录，并经现场技术人员签字认可。</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3.11.2 所有的现场记录每月一次移交给采购方存档备案，并做月度维护总结。</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3.11.3 每次仪器、设备维修后一周内向采购方提交一份维修报告及维修后性能核查报告。</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3.11.4  按照采购方需求提供相关的数据分析报告。</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3.11.5  按照国家和自治区要求每天将监测数据审核上报至指定平台。</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4运维服务其他具体内容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4.1环境空气自动监测系统的运维管理内容</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4.1.1 定期更换环境空气自动站仪表所需耗材。</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4.1.2定期更换环境空气自动站系统和仪表所需备品备件。</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4.1.3 对环境空气自动站系统和仪表进行定期检修、保养。</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4.1.4 及时排除环境空气自动站系统和仪表出现的故障。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4.1.5 对环境空气自动站仪表进行定期校准、性能测试。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4.1.6 配合采购方进行环境空气自动站质量保证和质量质控工作。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4.1.7 随时接受采购方的工作考核及质量考核。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4.1.8中标方认真、及时做好维护记录，汇总各环境空气自动站维护记录，每月15日前将上月所有记录以书面形式报采购方，书面报告作为运行维护考核依据之一，具体包括：</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（1）自动站现场维护记录、质控记录等。</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（2）自动站仪器设备故障及排除情况登记表、仪器维修后性能审核记录。</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（3）自动站每月运行情况。</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（4）自动站备品备件使用管理登记表。</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4.2 在运营维护及管理期间，中标方必须遵守国家的有关法律、法规及其他规定，本着为采购方负责的精神，依照规范，科学管理，使各监测监控系统运行达到国家及行业颁布的技术标准和采购方要求的考核指标要求；使环境空气自动监测系统运行真正发挥其效能和作用。</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4.3 水、电、通讯</w:t>
            </w:r>
            <w:r>
              <w:rPr>
                <w:rFonts w:hint="eastAsia" w:ascii="宋体" w:hAnsi="宋体"/>
                <w:bCs/>
                <w:color w:val="auto"/>
                <w:szCs w:val="21"/>
                <w:highlight w:val="none"/>
              </w:rPr>
              <w:t>、</w:t>
            </w:r>
            <w:r>
              <w:rPr>
                <w:rFonts w:hint="eastAsia" w:ascii="宋体" w:hAnsi="宋体"/>
                <w:bCs/>
                <w:color w:val="auto"/>
                <w:szCs w:val="21"/>
                <w:highlight w:val="none"/>
              </w:rPr>
              <w:t>防雷检测</w:t>
            </w:r>
            <w:r>
              <w:rPr>
                <w:rFonts w:ascii="宋体" w:hAnsi="宋体"/>
                <w:bCs/>
                <w:color w:val="auto"/>
                <w:szCs w:val="21"/>
                <w:highlight w:val="none"/>
              </w:rPr>
              <w:t>、标气、防盗视频、灭火器及财产保护： 运营期间自动站运行所需水</w:t>
            </w:r>
            <w:r>
              <w:rPr>
                <w:rFonts w:hint="eastAsia" w:ascii="宋体" w:hAnsi="宋体"/>
                <w:bCs/>
                <w:color w:val="auto"/>
                <w:szCs w:val="21"/>
                <w:highlight w:val="none"/>
              </w:rPr>
              <w:t>、</w:t>
            </w:r>
            <w:r>
              <w:rPr>
                <w:rFonts w:ascii="宋体" w:hAnsi="宋体"/>
                <w:bCs/>
                <w:color w:val="auto"/>
                <w:szCs w:val="21"/>
                <w:highlight w:val="none"/>
              </w:rPr>
              <w:t>电</w:t>
            </w:r>
            <w:r>
              <w:rPr>
                <w:rFonts w:hint="eastAsia" w:ascii="宋体" w:hAnsi="宋体"/>
                <w:bCs/>
                <w:color w:val="auto"/>
                <w:szCs w:val="21"/>
                <w:highlight w:val="none"/>
              </w:rPr>
              <w:t>、</w:t>
            </w:r>
            <w:r>
              <w:rPr>
                <w:rFonts w:ascii="宋体" w:hAnsi="宋体"/>
                <w:bCs/>
                <w:color w:val="auto"/>
                <w:szCs w:val="21"/>
                <w:highlight w:val="none"/>
              </w:rPr>
              <w:t>通讯</w:t>
            </w:r>
            <w:r>
              <w:rPr>
                <w:rFonts w:hint="eastAsia" w:ascii="宋体" w:hAnsi="宋体"/>
                <w:bCs/>
                <w:color w:val="auto"/>
                <w:szCs w:val="21"/>
                <w:highlight w:val="none"/>
              </w:rPr>
              <w:t>、</w:t>
            </w:r>
            <w:r>
              <w:rPr>
                <w:rFonts w:ascii="宋体" w:hAnsi="宋体"/>
                <w:bCs/>
                <w:color w:val="auto"/>
                <w:szCs w:val="21"/>
                <w:highlight w:val="none"/>
              </w:rPr>
              <w:t>防雷、标气、防盗视频、灭火器所需费用由中标方负责，委托运营维护及管理的全部资产（包括全部产权和建筑物、设备、软件、配套设施、环境空气自动站和配套监控系统产生的各类数据信息及相关文档资料）属采购方所有。未经采购方同意，中标方不得以任何方式对各类财产进行出售、抵押或转移。中标方负责运营维护及管理维护期间水、电、通讯</w:t>
            </w:r>
            <w:r>
              <w:rPr>
                <w:rFonts w:hint="eastAsia" w:ascii="宋体" w:hAnsi="宋体"/>
                <w:bCs/>
                <w:color w:val="auto"/>
                <w:szCs w:val="21"/>
                <w:highlight w:val="none"/>
              </w:rPr>
              <w:t>、</w:t>
            </w:r>
            <w:r>
              <w:rPr>
                <w:rFonts w:ascii="宋体" w:hAnsi="宋体"/>
                <w:bCs/>
                <w:color w:val="auto"/>
                <w:szCs w:val="21"/>
                <w:highlight w:val="none"/>
              </w:rPr>
              <w:t>防雷</w:t>
            </w:r>
            <w:r>
              <w:rPr>
                <w:rFonts w:hint="eastAsia" w:ascii="宋体" w:hAnsi="宋体"/>
                <w:bCs/>
                <w:color w:val="auto"/>
                <w:szCs w:val="21"/>
                <w:highlight w:val="none"/>
              </w:rPr>
              <w:t>检测</w:t>
            </w:r>
            <w:r>
              <w:rPr>
                <w:rFonts w:ascii="宋体" w:hAnsi="宋体"/>
                <w:bCs/>
                <w:color w:val="auto"/>
                <w:szCs w:val="21"/>
                <w:highlight w:val="none"/>
              </w:rPr>
              <w:t>、防盗视频、灭火器等故障维修及费用缴存，保证其畅通</w:t>
            </w:r>
            <w:r>
              <w:rPr>
                <w:rFonts w:hint="eastAsia" w:ascii="宋体" w:hAnsi="宋体"/>
                <w:bCs/>
                <w:color w:val="auto"/>
                <w:szCs w:val="21"/>
                <w:highlight w:val="none"/>
              </w:rPr>
              <w:t>安全</w:t>
            </w:r>
            <w:r>
              <w:rPr>
                <w:rFonts w:ascii="宋体" w:hAnsi="宋体"/>
                <w:bCs/>
                <w:color w:val="auto"/>
                <w:szCs w:val="21"/>
                <w:highlight w:val="none"/>
              </w:rPr>
              <w:t>。</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4.4做好空气自动站固定资产的管理、备品配件的登记等工作。</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 xml:space="preserve">4.5 </w:t>
            </w:r>
            <w:r>
              <w:rPr>
                <w:rFonts w:ascii="宋体" w:hAnsi="宋体"/>
                <w:bCs/>
                <w:color w:val="auto"/>
                <w:szCs w:val="21"/>
                <w:highlight w:val="none"/>
              </w:rPr>
              <w:t>积极参加各类相关技术培训班，加强业务学习，不断提高业务能力和水平；定期接受采购方的工作考核和质控考核。</w:t>
            </w:r>
          </w:p>
          <w:p>
            <w:pPr>
              <w:adjustRightInd w:val="0"/>
              <w:snapToGrid w:val="0"/>
              <w:ind w:firstLine="420" w:firstLineChars="200"/>
              <w:rPr>
                <w:rFonts w:ascii="宋体" w:hAnsi="宋体"/>
                <w:bCs/>
                <w:color w:val="auto"/>
                <w:szCs w:val="21"/>
                <w:highlight w:val="none"/>
              </w:rPr>
            </w:pPr>
            <w:r>
              <w:rPr>
                <w:rFonts w:ascii="宋体" w:hAnsi="宋体"/>
                <w:bCs/>
                <w:color w:val="auto"/>
                <w:szCs w:val="21"/>
                <w:highlight w:val="none"/>
              </w:rPr>
              <w:t>4.</w:t>
            </w:r>
            <w:r>
              <w:rPr>
                <w:rFonts w:hint="eastAsia" w:ascii="宋体" w:hAnsi="宋体"/>
                <w:bCs/>
                <w:color w:val="auto"/>
                <w:szCs w:val="21"/>
                <w:highlight w:val="none"/>
              </w:rPr>
              <w:t>6</w:t>
            </w:r>
            <w:r>
              <w:rPr>
                <w:rFonts w:ascii="宋体" w:hAnsi="宋体"/>
                <w:bCs/>
                <w:color w:val="auto"/>
                <w:szCs w:val="21"/>
                <w:highlight w:val="none"/>
              </w:rPr>
              <w:t>中标方提供具体工作计划及质量保证措施。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29" w:type="dxa"/>
            <w:gridSpan w:val="5"/>
            <w:tcBorders>
              <w:top w:val="single" w:color="auto" w:sz="4" w:space="0"/>
              <w:left w:val="single" w:color="auto" w:sz="4" w:space="0"/>
              <w:bottom w:val="single" w:color="auto" w:sz="4" w:space="0"/>
              <w:right w:val="single" w:color="auto" w:sz="4" w:space="0"/>
            </w:tcBorders>
          </w:tcPr>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商务要求</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1．合同签订期：自成交通知书发出之日起</w:t>
            </w:r>
            <w:r>
              <w:rPr>
                <w:rFonts w:hint="eastAsia" w:ascii="宋体" w:hAnsi="宋体"/>
                <w:color w:val="auto"/>
                <w:kern w:val="0"/>
                <w:sz w:val="20"/>
                <w:szCs w:val="21"/>
                <w:highlight w:val="none"/>
              </w:rPr>
              <w:t>25个自然日内签订</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2．运维期限：基础运维期限为1年，详见</w:t>
            </w:r>
            <w:r>
              <w:rPr>
                <w:rFonts w:hint="eastAsia" w:ascii="宋体" w:hAnsi="宋体"/>
                <w:color w:val="auto"/>
                <w:kern w:val="0"/>
                <w:sz w:val="20"/>
                <w:szCs w:val="21"/>
                <w:highlight w:val="none"/>
              </w:rPr>
              <w:t>表</w:t>
            </w:r>
            <w:r>
              <w:rPr>
                <w:rFonts w:ascii="宋体" w:hAnsi="宋体"/>
                <w:color w:val="auto"/>
                <w:kern w:val="0"/>
                <w:sz w:val="20"/>
                <w:szCs w:val="21"/>
                <w:highlight w:val="none"/>
              </w:rPr>
              <w:t>2</w:t>
            </w:r>
            <w:r>
              <w:rPr>
                <w:rFonts w:hint="eastAsia" w:ascii="宋体" w:hAnsi="宋体"/>
                <w:color w:val="auto"/>
                <w:kern w:val="0"/>
                <w:sz w:val="20"/>
                <w:szCs w:val="21"/>
                <w:highlight w:val="none"/>
              </w:rPr>
              <w:t>（空气质量流动监测车、功能区噪声自动监测站、国控、区控空气自动站运维时间）</w:t>
            </w:r>
            <w:r>
              <w:rPr>
                <w:rFonts w:hint="eastAsia" w:ascii="宋体" w:hAnsi="宋体"/>
                <w:color w:val="auto"/>
                <w:kern w:val="0"/>
                <w:sz w:val="20"/>
                <w:szCs w:val="21"/>
                <w:highlight w:val="none"/>
              </w:rPr>
              <w:t>。采购方可根据实际要求调整起止时间，根据考核情况决定运</w:t>
            </w:r>
            <w:r>
              <w:rPr>
                <w:rFonts w:hint="eastAsia" w:ascii="宋体" w:hAnsi="宋体"/>
                <w:color w:val="auto"/>
                <w:kern w:val="0"/>
                <w:sz w:val="20"/>
                <w:szCs w:val="21"/>
                <w:highlight w:val="none"/>
              </w:rPr>
              <w:t>维期限是否延长且无需额外支付费用。</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3．提交服务成果时间：根据考核结果定。</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4．交货地点：南宁市（采购人指定地点）</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5．售后服务要求：</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1）采购人按</w:t>
            </w:r>
            <w:r>
              <w:rPr>
                <w:rFonts w:hint="eastAsia" w:ascii="宋体" w:hAnsi="宋体"/>
                <w:color w:val="auto"/>
                <w:kern w:val="0"/>
                <w:sz w:val="20"/>
                <w:szCs w:val="21"/>
                <w:highlight w:val="none"/>
              </w:rPr>
              <w:t>附件（考核办法）</w:t>
            </w:r>
            <w:r>
              <w:rPr>
                <w:rFonts w:hint="eastAsia" w:ascii="宋体" w:hAnsi="宋体"/>
                <w:color w:val="auto"/>
                <w:kern w:val="0"/>
                <w:sz w:val="20"/>
                <w:szCs w:val="21"/>
                <w:highlight w:val="none"/>
              </w:rPr>
              <w:t>进行考核。</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2）设有专门的用户反馈系统，方便用户问题咨询与投诉。</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6．报价必须含以下部分，包括：</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（1）服务的价格（其中人员工资不能低于南宁市最低标准）；</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（2）必要的保险费用和各项税金；</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（3）服务内容涉及的所有开支</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7．付款条件：</w:t>
            </w:r>
          </w:p>
          <w:p>
            <w:pPr>
              <w:rPr>
                <w:rFonts w:ascii="宋体" w:hAnsi="宋体"/>
                <w:color w:val="auto"/>
                <w:highlight w:val="none"/>
              </w:rPr>
            </w:pPr>
            <w:r>
              <w:rPr>
                <w:rFonts w:hint="eastAsia" w:ascii="宋体" w:hAnsi="宋体"/>
                <w:color w:val="auto"/>
                <w:highlight w:val="none"/>
              </w:rPr>
              <w:t>（1）合同签订后</w:t>
            </w:r>
            <w:r>
              <w:rPr>
                <w:rFonts w:ascii="宋体" w:hAnsi="宋体"/>
                <w:color w:val="auto"/>
                <w:highlight w:val="none"/>
              </w:rPr>
              <w:t>30</w:t>
            </w:r>
            <w:r>
              <w:rPr>
                <w:rFonts w:hint="eastAsia" w:ascii="宋体" w:hAnsi="宋体"/>
                <w:color w:val="auto"/>
                <w:highlight w:val="none"/>
              </w:rPr>
              <w:t>个自然日内，支付合同总额10%预付款。</w:t>
            </w:r>
          </w:p>
          <w:p>
            <w:pPr>
              <w:rPr>
                <w:rFonts w:ascii="宋体" w:hAnsi="宋体"/>
                <w:color w:val="auto"/>
                <w:highlight w:val="none"/>
              </w:rPr>
            </w:pPr>
            <w:r>
              <w:rPr>
                <w:rFonts w:hint="eastAsia" w:ascii="宋体" w:hAnsi="宋体"/>
                <w:color w:val="auto"/>
                <w:highlight w:val="none"/>
              </w:rPr>
              <w:t>（2）根据运维开始后第一个月考核情况，支付合同总额20%合同款。</w:t>
            </w:r>
          </w:p>
          <w:p>
            <w:pPr>
              <w:rPr>
                <w:rFonts w:ascii="宋体" w:hAnsi="宋体"/>
                <w:color w:val="auto"/>
                <w:highlight w:val="none"/>
              </w:rPr>
            </w:pPr>
            <w:r>
              <w:rPr>
                <w:rFonts w:hint="eastAsia" w:ascii="宋体" w:hAnsi="宋体"/>
                <w:color w:val="auto"/>
                <w:highlight w:val="none"/>
              </w:rPr>
              <w:t>（3）根据2022年第二季度、第三季度考核情况，各支付合同总额20%合同款。</w:t>
            </w:r>
          </w:p>
          <w:p>
            <w:pPr>
              <w:rPr>
                <w:rFonts w:ascii="宋体" w:hAnsi="宋体"/>
                <w:color w:val="auto"/>
                <w:highlight w:val="none"/>
              </w:rPr>
            </w:pPr>
            <w:r>
              <w:rPr>
                <w:rFonts w:hint="eastAsia" w:ascii="宋体" w:hAnsi="宋体"/>
                <w:color w:val="auto"/>
                <w:highlight w:val="none"/>
              </w:rPr>
              <w:t>（4）2022年11月30日前，由中标人开具合同总额30%预付款保函（有效期至少覆盖本合同履行期限），再支付剩余合同款。</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8．投标人如需实地进行勘察，请自行前往，勘察费用自理。</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9．不得转包给第三者，也不能给第三者挂靠。</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10．运维服务不接受投标人联合体投标，不允许转包。</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11.后续服务：乙方提交经验收后完善的成果文件，据甲方需要继续配合对成果进行必要补充。</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12.▲合同履行：供应商投标文件中必须就合同履行要求作出承诺，并提供合同履约承诺函。否则视投标文件无效。</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13.▲其他说明：一、供应商须在投标文件中提供详细的服务技术方案，中标之后须严格按照方案及承诺提供服务。服务技术方案包含但不限于以下内容：</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14.服务实施计划方案。</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（1）提出针对本项目要求和实际情况的项目执行方案；</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（2）列明承诺参与本项目的主要专业人员情况；</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（3）对各项工作内容明确针对性解决方案；</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（4）整体服务质量承诺书。</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15.服务质量保证措施。应包括主要技术方法、技术路线、技术规范，机构内部质量控制办法、业务管理制度等。</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16.服务进度保证措施。应包括资金及时间安排、各项工作进度计划、业务管理及内部服务等。</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17.投入项目实施人员配置方案、设备配置方案。</w:t>
            </w:r>
          </w:p>
          <w:p>
            <w:pPr>
              <w:widowControl/>
              <w:snapToGrid w:val="0"/>
              <w:spacing w:line="300" w:lineRule="exact"/>
              <w:jc w:val="left"/>
              <w:rPr>
                <w:rFonts w:ascii="宋体" w:hAnsi="宋体"/>
                <w:color w:val="auto"/>
                <w:kern w:val="0"/>
                <w:sz w:val="20"/>
                <w:szCs w:val="21"/>
                <w:highlight w:val="none"/>
              </w:rPr>
            </w:pPr>
            <w:r>
              <w:rPr>
                <w:rFonts w:hint="eastAsia" w:ascii="宋体" w:hAnsi="宋体"/>
                <w:color w:val="auto"/>
                <w:kern w:val="0"/>
                <w:sz w:val="20"/>
                <w:szCs w:val="21"/>
                <w:highlight w:val="none"/>
              </w:rPr>
              <w:t>18.本项目采购标的需执行的国家相关标准、行业标准、地方标准或其他强制性标准、规范等要求：按照项目任务开展所涉及到现行有效的相关监测技术规范进行执行。</w:t>
            </w:r>
          </w:p>
        </w:tc>
      </w:tr>
    </w:tbl>
    <w:p>
      <w:pPr>
        <w:keepNext/>
        <w:keepLines/>
        <w:jc w:val="center"/>
        <w:outlineLvl w:val="0"/>
        <w:rPr>
          <w:b/>
          <w:bCs/>
          <w:color w:val="auto"/>
          <w:kern w:val="44"/>
          <w:sz w:val="44"/>
          <w:szCs w:val="44"/>
          <w:highlight w:val="none"/>
        </w:rPr>
      </w:pPr>
    </w:p>
    <w:p>
      <w:pPr>
        <w:tabs>
          <w:tab w:val="center" w:pos="4153"/>
          <w:tab w:val="right" w:pos="8306"/>
        </w:tabs>
        <w:snapToGrid w:val="0"/>
        <w:jc w:val="left"/>
        <w:rPr>
          <w:color w:val="auto"/>
          <w:kern w:val="44"/>
          <w:sz w:val="44"/>
          <w:szCs w:val="44"/>
          <w:highlight w:val="none"/>
        </w:rPr>
      </w:pPr>
      <w:r>
        <w:rPr>
          <w:color w:val="auto"/>
          <w:sz w:val="18"/>
          <w:szCs w:val="18"/>
          <w:highlight w:val="none"/>
        </w:rPr>
        <w:br w:type="page"/>
      </w:r>
    </w:p>
    <w:p>
      <w:pPr>
        <w:keepNext/>
        <w:keepLines/>
        <w:jc w:val="left"/>
        <w:outlineLvl w:val="0"/>
        <w:rPr>
          <w:b/>
          <w:bCs/>
          <w:color w:val="auto"/>
          <w:kern w:val="44"/>
          <w:sz w:val="30"/>
          <w:szCs w:val="30"/>
          <w:highlight w:val="none"/>
        </w:rPr>
      </w:pPr>
      <w:r>
        <w:rPr>
          <w:rFonts w:hint="eastAsia"/>
          <w:b/>
          <w:bCs/>
          <w:color w:val="auto"/>
          <w:kern w:val="44"/>
          <w:sz w:val="30"/>
          <w:szCs w:val="30"/>
          <w:highlight w:val="none"/>
        </w:rPr>
        <w:t>附件1：</w:t>
      </w:r>
    </w:p>
    <w:p>
      <w:pPr>
        <w:jc w:val="center"/>
        <w:rPr>
          <w:color w:val="auto"/>
          <w:highlight w:val="none"/>
        </w:rPr>
      </w:pPr>
      <w:r>
        <w:rPr>
          <w:rFonts w:hint="eastAsia"/>
          <w:color w:val="auto"/>
          <w:highlight w:val="none"/>
        </w:rPr>
        <w:t xml:space="preserve">表1  </w:t>
      </w:r>
      <w:r>
        <w:rPr>
          <w:color w:val="auto"/>
          <w:highlight w:val="none"/>
        </w:rPr>
        <w:t>空气质量流动监测车、功能区噪声自动监测站、</w:t>
      </w:r>
      <w:r>
        <w:rPr>
          <w:rFonts w:hint="eastAsia"/>
          <w:color w:val="auto"/>
          <w:highlight w:val="none"/>
        </w:rPr>
        <w:t>国控、</w:t>
      </w:r>
      <w:r>
        <w:rPr>
          <w:color w:val="auto"/>
          <w:highlight w:val="none"/>
        </w:rPr>
        <w:t>区控空气自动站运维时间</w:t>
      </w:r>
    </w:p>
    <w:tbl>
      <w:tblPr>
        <w:tblStyle w:val="19"/>
        <w:tblW w:w="88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852"/>
        <w:gridCol w:w="1778"/>
        <w:gridCol w:w="1778"/>
        <w:gridCol w:w="1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left"/>
              <w:rPr>
                <w:rFonts w:ascii="Calibri" w:hAnsi="Calibri"/>
                <w:color w:val="auto"/>
                <w:kern w:val="0"/>
                <w:sz w:val="20"/>
                <w:highlight w:val="none"/>
              </w:rPr>
            </w:pPr>
            <w:r>
              <w:rPr>
                <w:rFonts w:ascii="Calibri" w:hAnsi="Calibri"/>
                <w:b/>
                <w:bCs/>
                <w:color w:val="auto"/>
                <w:kern w:val="0"/>
                <w:sz w:val="18"/>
                <w:szCs w:val="18"/>
                <w:highlight w:val="none"/>
                <w:lang w:bidi="ar"/>
              </w:rPr>
              <w:t>序号</w:t>
            </w:r>
          </w:p>
        </w:tc>
        <w:tc>
          <w:tcPr>
            <w:tcW w:w="2852" w:type="dxa"/>
            <w:vAlign w:val="center"/>
          </w:tcPr>
          <w:p>
            <w:pPr>
              <w:jc w:val="left"/>
              <w:rPr>
                <w:rFonts w:ascii="Calibri" w:hAnsi="Calibri"/>
                <w:color w:val="auto"/>
                <w:kern w:val="0"/>
                <w:sz w:val="20"/>
                <w:highlight w:val="none"/>
              </w:rPr>
            </w:pPr>
            <w:r>
              <w:rPr>
                <w:rFonts w:ascii="Calibri" w:hAnsi="Calibri"/>
                <w:b/>
                <w:bCs/>
                <w:color w:val="auto"/>
                <w:kern w:val="0"/>
                <w:sz w:val="18"/>
                <w:szCs w:val="18"/>
                <w:highlight w:val="none"/>
                <w:lang w:bidi="ar"/>
              </w:rPr>
              <w:t>名称</w:t>
            </w:r>
          </w:p>
        </w:tc>
        <w:tc>
          <w:tcPr>
            <w:tcW w:w="1778" w:type="dxa"/>
            <w:vAlign w:val="center"/>
          </w:tcPr>
          <w:p>
            <w:pPr>
              <w:jc w:val="center"/>
              <w:rPr>
                <w:rFonts w:ascii="Calibri" w:hAnsi="Calibri"/>
                <w:color w:val="auto"/>
                <w:kern w:val="0"/>
                <w:sz w:val="20"/>
                <w:highlight w:val="none"/>
              </w:rPr>
            </w:pPr>
            <w:r>
              <w:rPr>
                <w:rFonts w:ascii="Calibri" w:hAnsi="Calibri"/>
                <w:b/>
                <w:bCs/>
                <w:color w:val="auto"/>
                <w:kern w:val="0"/>
                <w:sz w:val="18"/>
                <w:szCs w:val="18"/>
                <w:highlight w:val="none"/>
                <w:lang w:bidi="ar"/>
              </w:rPr>
              <w:t>数量</w:t>
            </w:r>
          </w:p>
        </w:tc>
        <w:tc>
          <w:tcPr>
            <w:tcW w:w="1778" w:type="dxa"/>
            <w:vAlign w:val="center"/>
          </w:tcPr>
          <w:p>
            <w:pPr>
              <w:jc w:val="left"/>
              <w:rPr>
                <w:rFonts w:ascii="Calibri" w:hAnsi="Calibri"/>
                <w:color w:val="auto"/>
                <w:kern w:val="0"/>
                <w:sz w:val="20"/>
                <w:highlight w:val="none"/>
              </w:rPr>
            </w:pPr>
            <w:r>
              <w:rPr>
                <w:rFonts w:ascii="Calibri" w:hAnsi="Calibri"/>
                <w:b/>
                <w:bCs/>
                <w:color w:val="auto"/>
                <w:kern w:val="0"/>
                <w:sz w:val="18"/>
                <w:szCs w:val="18"/>
                <w:highlight w:val="none"/>
                <w:lang w:bidi="ar"/>
              </w:rPr>
              <w:t>运维开始时间</w:t>
            </w:r>
          </w:p>
        </w:tc>
        <w:tc>
          <w:tcPr>
            <w:tcW w:w="1779" w:type="dxa"/>
            <w:vAlign w:val="center"/>
          </w:tcPr>
          <w:p>
            <w:pPr>
              <w:jc w:val="left"/>
              <w:rPr>
                <w:rFonts w:ascii="Calibri" w:hAnsi="Calibri"/>
                <w:color w:val="auto"/>
                <w:kern w:val="0"/>
                <w:sz w:val="20"/>
                <w:highlight w:val="none"/>
              </w:rPr>
            </w:pPr>
            <w:r>
              <w:rPr>
                <w:rFonts w:ascii="Calibri" w:hAnsi="Calibri"/>
                <w:b/>
                <w:bCs/>
                <w:color w:val="auto"/>
                <w:kern w:val="0"/>
                <w:sz w:val="18"/>
                <w:szCs w:val="18"/>
                <w:highlight w:val="none"/>
                <w:lang w:bidi="ar"/>
              </w:rPr>
              <w:t>运维结束时间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rPr>
              <w:t>1</w:t>
            </w:r>
          </w:p>
        </w:tc>
        <w:tc>
          <w:tcPr>
            <w:tcW w:w="2852"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空气质量流动监测车</w:t>
            </w:r>
          </w:p>
        </w:tc>
        <w:tc>
          <w:tcPr>
            <w:tcW w:w="1778"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1</w:t>
            </w:r>
          </w:p>
        </w:tc>
        <w:tc>
          <w:tcPr>
            <w:tcW w:w="1778"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2022年5月21日</w:t>
            </w:r>
          </w:p>
        </w:tc>
        <w:tc>
          <w:tcPr>
            <w:tcW w:w="1779"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2023年5月20日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2</w:t>
            </w:r>
          </w:p>
        </w:tc>
        <w:tc>
          <w:tcPr>
            <w:tcW w:w="2852"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功能区噪声自动监测站</w:t>
            </w:r>
          </w:p>
        </w:tc>
        <w:tc>
          <w:tcPr>
            <w:tcW w:w="1778"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7</w:t>
            </w:r>
          </w:p>
        </w:tc>
        <w:tc>
          <w:tcPr>
            <w:tcW w:w="1778"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2022年5月21日</w:t>
            </w:r>
          </w:p>
        </w:tc>
        <w:tc>
          <w:tcPr>
            <w:tcW w:w="1779" w:type="dxa"/>
          </w:tcPr>
          <w:p>
            <w:pPr>
              <w:jc w:val="left"/>
              <w:rPr>
                <w:rFonts w:ascii="Calibri" w:hAnsi="Calibri"/>
                <w:color w:val="auto"/>
                <w:kern w:val="0"/>
                <w:sz w:val="20"/>
                <w:highlight w:val="none"/>
              </w:rPr>
            </w:pPr>
            <w:r>
              <w:rPr>
                <w:rFonts w:ascii="Calibri" w:hAnsi="Calibri"/>
                <w:color w:val="auto"/>
                <w:kern w:val="0"/>
                <w:sz w:val="18"/>
                <w:szCs w:val="18"/>
                <w:highlight w:val="none"/>
                <w:lang w:bidi="ar"/>
              </w:rPr>
              <w:t>2023年5月20日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3</w:t>
            </w:r>
          </w:p>
        </w:tc>
        <w:tc>
          <w:tcPr>
            <w:tcW w:w="2852"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南宁市沛鸿中学空气自动监测站</w:t>
            </w:r>
          </w:p>
        </w:tc>
        <w:tc>
          <w:tcPr>
            <w:tcW w:w="1778"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1</w:t>
            </w:r>
          </w:p>
        </w:tc>
        <w:tc>
          <w:tcPr>
            <w:tcW w:w="1778"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2022年8月13日</w:t>
            </w:r>
          </w:p>
        </w:tc>
        <w:tc>
          <w:tcPr>
            <w:tcW w:w="1779" w:type="dxa"/>
          </w:tcPr>
          <w:p>
            <w:pPr>
              <w:jc w:val="left"/>
              <w:rPr>
                <w:rFonts w:ascii="Calibri" w:hAnsi="Calibri"/>
                <w:color w:val="auto"/>
                <w:kern w:val="0"/>
                <w:sz w:val="20"/>
                <w:highlight w:val="none"/>
              </w:rPr>
            </w:pPr>
            <w:r>
              <w:rPr>
                <w:rFonts w:ascii="Calibri" w:hAnsi="Calibri"/>
                <w:color w:val="auto"/>
                <w:kern w:val="0"/>
                <w:sz w:val="18"/>
                <w:szCs w:val="18"/>
                <w:highlight w:val="none"/>
                <w:lang w:bidi="ar"/>
              </w:rPr>
              <w:t>2023年8月12日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4</w:t>
            </w:r>
          </w:p>
        </w:tc>
        <w:tc>
          <w:tcPr>
            <w:tcW w:w="2852"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南宁市天桃学校空气自动监测站</w:t>
            </w:r>
          </w:p>
        </w:tc>
        <w:tc>
          <w:tcPr>
            <w:tcW w:w="1778" w:type="dxa"/>
            <w:vAlign w:val="center"/>
          </w:tcPr>
          <w:p>
            <w:pPr>
              <w:jc w:val="center"/>
              <w:rPr>
                <w:rFonts w:ascii="Calibri" w:hAnsi="Calibri"/>
                <w:color w:val="auto"/>
                <w:kern w:val="0"/>
                <w:sz w:val="20"/>
                <w:highlight w:val="none"/>
              </w:rPr>
            </w:pPr>
            <w:r>
              <w:rPr>
                <w:rFonts w:ascii="Calibri" w:hAnsi="Calibri"/>
                <w:color w:val="auto"/>
                <w:kern w:val="0"/>
                <w:sz w:val="18"/>
                <w:szCs w:val="18"/>
                <w:highlight w:val="none"/>
                <w:lang w:bidi="ar"/>
              </w:rPr>
              <w:t>1</w:t>
            </w:r>
          </w:p>
        </w:tc>
        <w:tc>
          <w:tcPr>
            <w:tcW w:w="1778" w:type="dxa"/>
            <w:vAlign w:val="center"/>
          </w:tcPr>
          <w:p>
            <w:pPr>
              <w:jc w:val="left"/>
              <w:rPr>
                <w:rFonts w:ascii="Calibri" w:hAnsi="Calibri"/>
                <w:color w:val="auto"/>
                <w:kern w:val="0"/>
                <w:sz w:val="20"/>
                <w:highlight w:val="none"/>
              </w:rPr>
            </w:pPr>
            <w:r>
              <w:rPr>
                <w:rFonts w:ascii="Calibri" w:hAnsi="Calibri"/>
                <w:color w:val="auto"/>
                <w:kern w:val="0"/>
                <w:sz w:val="18"/>
                <w:szCs w:val="18"/>
                <w:highlight w:val="none"/>
                <w:lang w:bidi="ar"/>
              </w:rPr>
              <w:t>2022年6月27日</w:t>
            </w:r>
          </w:p>
        </w:tc>
        <w:tc>
          <w:tcPr>
            <w:tcW w:w="1779" w:type="dxa"/>
          </w:tcPr>
          <w:p>
            <w:pPr>
              <w:jc w:val="left"/>
              <w:rPr>
                <w:rFonts w:ascii="Calibri" w:hAnsi="Calibri"/>
                <w:color w:val="auto"/>
                <w:kern w:val="0"/>
                <w:sz w:val="20"/>
                <w:highlight w:val="none"/>
              </w:rPr>
            </w:pPr>
            <w:r>
              <w:rPr>
                <w:rFonts w:ascii="Calibri" w:hAnsi="Calibri"/>
                <w:color w:val="auto"/>
                <w:kern w:val="0"/>
                <w:sz w:val="18"/>
                <w:szCs w:val="18"/>
                <w:highlight w:val="none"/>
                <w:lang w:bidi="ar"/>
              </w:rPr>
              <w:t>2023年6月26日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pPr>
              <w:jc w:val="center"/>
              <w:rPr>
                <w:rFonts w:ascii="Calibri" w:hAnsi="Calibri"/>
                <w:color w:val="auto"/>
                <w:kern w:val="0"/>
                <w:sz w:val="18"/>
                <w:szCs w:val="18"/>
                <w:highlight w:val="none"/>
                <w:lang w:bidi="ar"/>
              </w:rPr>
            </w:pPr>
            <w:r>
              <w:rPr>
                <w:rFonts w:hint="eastAsia" w:ascii="Calibri" w:hAnsi="Calibri"/>
                <w:color w:val="auto"/>
                <w:kern w:val="0"/>
                <w:sz w:val="18"/>
                <w:szCs w:val="18"/>
                <w:highlight w:val="none"/>
                <w:lang w:bidi="ar"/>
              </w:rPr>
              <w:t>5</w:t>
            </w:r>
          </w:p>
        </w:tc>
        <w:tc>
          <w:tcPr>
            <w:tcW w:w="2852" w:type="dxa"/>
            <w:vAlign w:val="center"/>
          </w:tcPr>
          <w:p>
            <w:pPr>
              <w:jc w:val="left"/>
              <w:rPr>
                <w:rFonts w:ascii="Calibri" w:hAnsi="Calibri"/>
                <w:color w:val="auto"/>
                <w:kern w:val="0"/>
                <w:sz w:val="18"/>
                <w:szCs w:val="18"/>
                <w:highlight w:val="none"/>
                <w:lang w:bidi="ar"/>
              </w:rPr>
            </w:pPr>
            <w:r>
              <w:rPr>
                <w:rFonts w:ascii="Calibri" w:hAnsi="Calibri"/>
                <w:color w:val="auto"/>
                <w:kern w:val="0"/>
                <w:sz w:val="18"/>
                <w:szCs w:val="18"/>
                <w:highlight w:val="none"/>
                <w:lang w:bidi="ar"/>
              </w:rPr>
              <w:t>南宁市</w:t>
            </w:r>
            <w:r>
              <w:rPr>
                <w:rFonts w:hint="eastAsia" w:ascii="Calibri" w:hAnsi="Calibri"/>
                <w:color w:val="auto"/>
                <w:kern w:val="0"/>
                <w:sz w:val="18"/>
                <w:szCs w:val="18"/>
                <w:highlight w:val="none"/>
                <w:lang w:bidi="ar"/>
              </w:rPr>
              <w:t>仙葫</w:t>
            </w:r>
            <w:r>
              <w:rPr>
                <w:rFonts w:ascii="Calibri" w:hAnsi="Calibri"/>
                <w:color w:val="auto"/>
                <w:kern w:val="0"/>
                <w:sz w:val="18"/>
                <w:szCs w:val="18"/>
                <w:highlight w:val="none"/>
                <w:lang w:bidi="ar"/>
              </w:rPr>
              <w:t>空气自动监测站</w:t>
            </w:r>
          </w:p>
        </w:tc>
        <w:tc>
          <w:tcPr>
            <w:tcW w:w="1778" w:type="dxa"/>
            <w:vAlign w:val="center"/>
          </w:tcPr>
          <w:p>
            <w:pPr>
              <w:jc w:val="center"/>
              <w:rPr>
                <w:rFonts w:ascii="Calibri" w:hAnsi="Calibri"/>
                <w:color w:val="auto"/>
                <w:kern w:val="0"/>
                <w:sz w:val="18"/>
                <w:szCs w:val="18"/>
                <w:highlight w:val="none"/>
                <w:lang w:bidi="ar"/>
              </w:rPr>
            </w:pPr>
            <w:r>
              <w:rPr>
                <w:rFonts w:hint="eastAsia" w:ascii="Calibri" w:hAnsi="Calibri"/>
                <w:color w:val="auto"/>
                <w:kern w:val="0"/>
                <w:sz w:val="18"/>
                <w:szCs w:val="18"/>
                <w:highlight w:val="none"/>
                <w:lang w:bidi="ar"/>
              </w:rPr>
              <w:t>1</w:t>
            </w:r>
          </w:p>
        </w:tc>
        <w:tc>
          <w:tcPr>
            <w:tcW w:w="1778" w:type="dxa"/>
            <w:vAlign w:val="center"/>
          </w:tcPr>
          <w:p>
            <w:pPr>
              <w:jc w:val="left"/>
              <w:rPr>
                <w:rFonts w:ascii="Calibri" w:hAnsi="Calibri"/>
                <w:color w:val="auto"/>
                <w:kern w:val="0"/>
                <w:sz w:val="18"/>
                <w:szCs w:val="18"/>
                <w:highlight w:val="none"/>
                <w:lang w:bidi="ar"/>
              </w:rPr>
            </w:pPr>
            <w:r>
              <w:rPr>
                <w:rFonts w:ascii="Calibri" w:hAnsi="Calibri"/>
                <w:color w:val="auto"/>
                <w:kern w:val="0"/>
                <w:sz w:val="18"/>
                <w:szCs w:val="18"/>
                <w:highlight w:val="none"/>
                <w:lang w:bidi="ar"/>
              </w:rPr>
              <w:t>2022年</w:t>
            </w:r>
            <w:r>
              <w:rPr>
                <w:rFonts w:hint="eastAsia" w:ascii="Calibri" w:hAnsi="Calibri"/>
                <w:color w:val="auto"/>
                <w:kern w:val="0"/>
                <w:sz w:val="18"/>
                <w:szCs w:val="18"/>
                <w:highlight w:val="none"/>
                <w:lang w:bidi="ar"/>
              </w:rPr>
              <w:t>5</w:t>
            </w:r>
            <w:r>
              <w:rPr>
                <w:rFonts w:ascii="Calibri" w:hAnsi="Calibri"/>
                <w:color w:val="auto"/>
                <w:kern w:val="0"/>
                <w:sz w:val="18"/>
                <w:szCs w:val="18"/>
                <w:highlight w:val="none"/>
                <w:lang w:bidi="ar"/>
              </w:rPr>
              <w:t>月1日</w:t>
            </w:r>
          </w:p>
        </w:tc>
        <w:tc>
          <w:tcPr>
            <w:tcW w:w="1779" w:type="dxa"/>
          </w:tcPr>
          <w:p>
            <w:pPr>
              <w:jc w:val="left"/>
              <w:rPr>
                <w:rFonts w:ascii="Calibri" w:hAnsi="Calibri"/>
                <w:color w:val="auto"/>
                <w:kern w:val="0"/>
                <w:sz w:val="18"/>
                <w:szCs w:val="18"/>
                <w:highlight w:val="none"/>
                <w:lang w:bidi="ar"/>
              </w:rPr>
            </w:pPr>
            <w:r>
              <w:rPr>
                <w:rFonts w:ascii="Calibri" w:hAnsi="Calibri"/>
                <w:color w:val="auto"/>
                <w:kern w:val="0"/>
                <w:sz w:val="18"/>
                <w:szCs w:val="18"/>
                <w:highlight w:val="none"/>
                <w:lang w:bidi="ar"/>
              </w:rPr>
              <w:t>2023年</w:t>
            </w:r>
            <w:r>
              <w:rPr>
                <w:rFonts w:hint="eastAsia" w:ascii="Calibri" w:hAnsi="Calibri"/>
                <w:color w:val="auto"/>
                <w:kern w:val="0"/>
                <w:sz w:val="18"/>
                <w:szCs w:val="18"/>
                <w:highlight w:val="none"/>
                <w:lang w:bidi="ar"/>
              </w:rPr>
              <w:t>4</w:t>
            </w:r>
            <w:r>
              <w:rPr>
                <w:rFonts w:ascii="Calibri" w:hAnsi="Calibri"/>
                <w:color w:val="auto"/>
                <w:kern w:val="0"/>
                <w:sz w:val="18"/>
                <w:szCs w:val="18"/>
                <w:highlight w:val="none"/>
                <w:lang w:bidi="ar"/>
              </w:rPr>
              <w:t>月3</w:t>
            </w:r>
            <w:r>
              <w:rPr>
                <w:rFonts w:hint="eastAsia" w:ascii="Calibri" w:hAnsi="Calibri"/>
                <w:color w:val="auto"/>
                <w:kern w:val="0"/>
                <w:sz w:val="18"/>
                <w:szCs w:val="18"/>
                <w:highlight w:val="none"/>
                <w:lang w:bidi="ar"/>
              </w:rPr>
              <w:t>0</w:t>
            </w:r>
            <w:r>
              <w:rPr>
                <w:rFonts w:ascii="Calibri" w:hAnsi="Calibri"/>
                <w:color w:val="auto"/>
                <w:kern w:val="0"/>
                <w:sz w:val="18"/>
                <w:szCs w:val="18"/>
                <w:highlight w:val="none"/>
                <w:lang w:bidi="ar"/>
              </w:rPr>
              <w:t>日</w:t>
            </w:r>
          </w:p>
        </w:tc>
      </w:tr>
    </w:tbl>
    <w:p>
      <w:pPr>
        <w:rPr>
          <w:color w:val="auto"/>
          <w:highlight w:val="none"/>
        </w:rPr>
      </w:pPr>
      <w:r>
        <w:rPr>
          <w:rFonts w:hint="eastAsia"/>
          <w:color w:val="auto"/>
          <w:highlight w:val="none"/>
        </w:rPr>
        <w:t>备</w:t>
      </w:r>
      <w:r>
        <w:rPr>
          <w:color w:val="auto"/>
          <w:highlight w:val="none"/>
        </w:rPr>
        <w:t>注：采购方可根据实际需求调整运维开始时间，</w:t>
      </w:r>
      <w:r>
        <w:rPr>
          <w:rFonts w:hint="eastAsia" w:ascii="宋体" w:hAnsi="宋体" w:cs="宋体"/>
          <w:color w:val="auto"/>
          <w:highlight w:val="none"/>
        </w:rPr>
        <w:t>若考核通过，</w:t>
      </w:r>
      <w:r>
        <w:rPr>
          <w:rFonts w:hint="eastAsia" w:ascii="宋体" w:hAnsi="宋体" w:cs="宋体"/>
          <w:color w:val="auto"/>
          <w:highlight w:val="none"/>
        </w:rPr>
        <w:t>运维时长不变。</w:t>
      </w:r>
    </w:p>
    <w:p>
      <w:pPr>
        <w:widowControl/>
        <w:jc w:val="left"/>
        <w:rPr>
          <w:b/>
          <w:color w:val="auto"/>
          <w:sz w:val="24"/>
          <w:highlight w:val="none"/>
        </w:rPr>
      </w:pPr>
      <w:r>
        <w:rPr>
          <w:b/>
          <w:color w:val="auto"/>
          <w:sz w:val="24"/>
          <w:highlight w:val="none"/>
        </w:rPr>
        <w:br w:type="page"/>
      </w:r>
    </w:p>
    <w:p>
      <w:pPr>
        <w:jc w:val="left"/>
        <w:rPr>
          <w:b/>
          <w:color w:val="auto"/>
          <w:sz w:val="30"/>
          <w:szCs w:val="30"/>
          <w:highlight w:val="none"/>
        </w:rPr>
      </w:pPr>
      <w:r>
        <w:rPr>
          <w:rFonts w:hint="eastAsia"/>
          <w:b/>
          <w:color w:val="auto"/>
          <w:sz w:val="30"/>
          <w:szCs w:val="30"/>
          <w:highlight w:val="none"/>
        </w:rPr>
        <w:t>附件2</w:t>
      </w:r>
    </w:p>
    <w:p>
      <w:pPr>
        <w:jc w:val="center"/>
        <w:rPr>
          <w:b/>
          <w:color w:val="auto"/>
          <w:sz w:val="30"/>
          <w:szCs w:val="30"/>
          <w:highlight w:val="none"/>
        </w:rPr>
      </w:pPr>
      <w:r>
        <w:rPr>
          <w:b/>
          <w:color w:val="auto"/>
          <w:sz w:val="30"/>
          <w:szCs w:val="30"/>
          <w:highlight w:val="none"/>
        </w:rPr>
        <w:t>第三方运维管理服务质量考核办法</w:t>
      </w:r>
      <w:r>
        <w:rPr>
          <w:rFonts w:hint="eastAsia"/>
          <w:b/>
          <w:color w:val="auto"/>
          <w:sz w:val="30"/>
          <w:szCs w:val="30"/>
          <w:highlight w:val="none"/>
        </w:rPr>
        <w:t>（包2）</w:t>
      </w:r>
    </w:p>
    <w:p>
      <w:pPr>
        <w:snapToGrid w:val="0"/>
        <w:spacing w:line="400" w:lineRule="exact"/>
        <w:ind w:firstLine="422" w:firstLineChars="200"/>
        <w:rPr>
          <w:rFonts w:eastAsia="仿宋_GB2312"/>
          <w:b/>
          <w:color w:val="auto"/>
          <w:szCs w:val="21"/>
          <w:highlight w:val="none"/>
        </w:rPr>
      </w:pPr>
      <w:r>
        <w:rPr>
          <w:b/>
          <w:color w:val="auto"/>
          <w:highlight w:val="none"/>
        </w:rPr>
        <w:t xml:space="preserve">一、 考核周期 </w:t>
      </w:r>
    </w:p>
    <w:p>
      <w:pPr>
        <w:ind w:firstLine="420" w:firstLineChars="200"/>
        <w:rPr>
          <w:color w:val="auto"/>
          <w:highlight w:val="none"/>
        </w:rPr>
      </w:pPr>
      <w:r>
        <w:rPr>
          <w:color w:val="auto"/>
          <w:highlight w:val="none"/>
        </w:rPr>
        <w:t>采购方组织对运维单位运营绩效，运维期间组织不定期考核（每</w:t>
      </w:r>
      <w:r>
        <w:rPr>
          <w:color w:val="auto"/>
          <w:highlight w:val="none"/>
        </w:rPr>
        <w:t>季度</w:t>
      </w:r>
      <w:r>
        <w:rPr>
          <w:color w:val="auto"/>
          <w:highlight w:val="none"/>
        </w:rPr>
        <w:t>至少一次）</w:t>
      </w:r>
      <w:r>
        <w:rPr>
          <w:color w:val="auto"/>
          <w:highlight w:val="none"/>
        </w:rPr>
        <w:t>，</w:t>
      </w:r>
      <w:r>
        <w:rPr>
          <w:color w:val="auto"/>
          <w:highlight w:val="none"/>
        </w:rPr>
        <w:t>考核结果作为服务款项支付依据。</w:t>
      </w:r>
    </w:p>
    <w:p>
      <w:pPr>
        <w:ind w:firstLine="422" w:firstLineChars="200"/>
        <w:rPr>
          <w:b/>
          <w:color w:val="auto"/>
          <w:highlight w:val="none"/>
        </w:rPr>
      </w:pPr>
      <w:r>
        <w:rPr>
          <w:b/>
          <w:color w:val="auto"/>
          <w:highlight w:val="none"/>
        </w:rPr>
        <w:t>二、考核办法</w:t>
      </w:r>
    </w:p>
    <w:p>
      <w:pPr>
        <w:snapToGrid w:val="0"/>
        <w:spacing w:line="400" w:lineRule="exact"/>
        <w:ind w:firstLine="422" w:firstLineChars="200"/>
        <w:rPr>
          <w:rFonts w:eastAsia="仿宋_GB2312"/>
          <w:b/>
          <w:color w:val="auto"/>
          <w:szCs w:val="21"/>
          <w:highlight w:val="none"/>
        </w:rPr>
      </w:pPr>
      <w:r>
        <w:rPr>
          <w:rFonts w:eastAsia="仿宋_GB2312"/>
          <w:b/>
          <w:color w:val="auto"/>
          <w:szCs w:val="21"/>
          <w:highlight w:val="none"/>
        </w:rPr>
        <w:t>（一）</w:t>
      </w:r>
      <w:r>
        <w:rPr>
          <w:b/>
          <w:color w:val="auto"/>
          <w:highlight w:val="none"/>
        </w:rPr>
        <w:t>功能区噪声自动监测站</w:t>
      </w:r>
    </w:p>
    <w:p>
      <w:pPr>
        <w:spacing w:line="400" w:lineRule="exact"/>
        <w:ind w:firstLine="420" w:firstLineChars="200"/>
        <w:rPr>
          <w:color w:val="auto"/>
          <w:highlight w:val="none"/>
        </w:rPr>
      </w:pPr>
      <w:r>
        <w:rPr>
          <w:color w:val="auto"/>
          <w:highlight w:val="none"/>
        </w:rPr>
        <w:t>考核指标包括现场情况、仪器性能测试、记录（报告）完整性、日常运维情况、数据造假及其他问题等，总分为100分，详见附表1。</w:t>
      </w:r>
    </w:p>
    <w:p>
      <w:pPr>
        <w:snapToGrid w:val="0"/>
        <w:spacing w:line="400" w:lineRule="exact"/>
        <w:ind w:firstLine="422" w:firstLineChars="200"/>
        <w:rPr>
          <w:rFonts w:eastAsia="仿宋_GB2312"/>
          <w:b/>
          <w:color w:val="auto"/>
          <w:szCs w:val="21"/>
          <w:highlight w:val="none"/>
        </w:rPr>
      </w:pPr>
      <w:r>
        <w:rPr>
          <w:rFonts w:eastAsia="仿宋_GB2312"/>
          <w:b/>
          <w:color w:val="auto"/>
          <w:szCs w:val="21"/>
          <w:highlight w:val="none"/>
        </w:rPr>
        <w:t>（二）</w:t>
      </w:r>
      <w:r>
        <w:rPr>
          <w:b/>
          <w:color w:val="auto"/>
          <w:highlight w:val="none"/>
        </w:rPr>
        <w:t>空气质量流动监测车</w:t>
      </w:r>
    </w:p>
    <w:p>
      <w:pPr>
        <w:spacing w:line="400" w:lineRule="exact"/>
        <w:ind w:firstLine="420" w:firstLineChars="200"/>
        <w:rPr>
          <w:color w:val="auto"/>
          <w:highlight w:val="none"/>
        </w:rPr>
      </w:pPr>
      <w:r>
        <w:rPr>
          <w:color w:val="auto"/>
          <w:highlight w:val="none"/>
        </w:rPr>
        <w:t>考核指标包括：监测车及采样系统情况、仪器性能测试、记录（报告）完整性、外出监测情况、数据造假及其他问题等，总分为100分，具体见附表2。</w:t>
      </w:r>
    </w:p>
    <w:p>
      <w:pPr>
        <w:ind w:firstLine="422" w:firstLineChars="200"/>
        <w:rPr>
          <w:rFonts w:eastAsia="等线"/>
          <w:b/>
          <w:color w:val="auto"/>
          <w:szCs w:val="21"/>
          <w:highlight w:val="none"/>
        </w:rPr>
      </w:pPr>
      <w:r>
        <w:rPr>
          <w:b/>
          <w:color w:val="auto"/>
          <w:highlight w:val="none"/>
        </w:rPr>
        <w:t>（三）</w:t>
      </w:r>
      <w:r>
        <w:rPr>
          <w:rFonts w:hint="eastAsia" w:eastAsia="等线"/>
          <w:b/>
          <w:color w:val="auto"/>
          <w:szCs w:val="21"/>
          <w:highlight w:val="none"/>
        </w:rPr>
        <w:t>国控、</w:t>
      </w:r>
      <w:r>
        <w:rPr>
          <w:rFonts w:eastAsia="等线"/>
          <w:b/>
          <w:color w:val="auto"/>
          <w:szCs w:val="21"/>
          <w:highlight w:val="none"/>
        </w:rPr>
        <w:t>区控空气自动站</w:t>
      </w:r>
    </w:p>
    <w:p>
      <w:pPr>
        <w:ind w:firstLine="420" w:firstLineChars="200"/>
        <w:rPr>
          <w:rFonts w:eastAsia="等线"/>
          <w:color w:val="auto"/>
          <w:szCs w:val="21"/>
          <w:highlight w:val="none"/>
        </w:rPr>
      </w:pPr>
      <w:r>
        <w:rPr>
          <w:rFonts w:eastAsia="等线"/>
          <w:color w:val="auto"/>
          <w:szCs w:val="21"/>
          <w:highlight w:val="none"/>
        </w:rPr>
        <w:t>采购方对</w:t>
      </w:r>
      <w:r>
        <w:rPr>
          <w:rFonts w:hint="eastAsia" w:eastAsia="等线"/>
          <w:color w:val="auto"/>
          <w:szCs w:val="21"/>
          <w:highlight w:val="none"/>
        </w:rPr>
        <w:t>国控、</w:t>
      </w:r>
      <w:r>
        <w:rPr>
          <w:rFonts w:eastAsia="等线"/>
          <w:color w:val="auto"/>
          <w:szCs w:val="21"/>
          <w:highlight w:val="none"/>
        </w:rPr>
        <w:t>区控空气自动站运维质量每季度考核1次，考核采取单站考核、单站百分制的方式，即：在每次考核中，每个站点逐一考核，每个站点考核满分为100分。</w:t>
      </w:r>
    </w:p>
    <w:p>
      <w:pPr>
        <w:ind w:firstLine="422" w:firstLineChars="200"/>
        <w:rPr>
          <w:b/>
          <w:color w:val="auto"/>
          <w:highlight w:val="none"/>
        </w:rPr>
      </w:pPr>
      <w:r>
        <w:rPr>
          <w:b/>
          <w:color w:val="auto"/>
          <w:highlight w:val="none"/>
        </w:rPr>
        <w:t>1、单站考核指标</w:t>
      </w:r>
    </w:p>
    <w:p>
      <w:pPr>
        <w:ind w:firstLine="420" w:firstLineChars="200"/>
        <w:rPr>
          <w:rFonts w:eastAsia="等线"/>
          <w:color w:val="auto"/>
          <w:szCs w:val="21"/>
          <w:highlight w:val="none"/>
        </w:rPr>
      </w:pPr>
      <w:r>
        <w:rPr>
          <w:rFonts w:eastAsia="等线"/>
          <w:color w:val="auto"/>
          <w:szCs w:val="21"/>
          <w:highlight w:val="none"/>
        </w:rPr>
        <w:t>考核指标包括：单站监测数据有效性、单站监测数据捕获率、单站监测数据质控合格率、单站运行维护4部分内容，其中数据有效性、数据捕获率、数据质控合格率的界定如下：</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（1）单站点监测数据有效性：指单个站点考核时段内的各项监测项目的有效监测数据量必须满足《环境空气质量标准》（GB 3095-2012）中规定的污染物浓度数据有效性的最低要求。</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2）单站监测数据捕获率：指考核时段内各监测项目实际获取的小时值监测数据量总和除以应获得小时值数据量总和。每日各项目应获得小时值数据量均按24个计，考核时段天数按考核时段内日历天数计。计算应获得小时值数据量时，应扣除因不可抗力造成的停止监测的小时数。</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3）单站监测数据质控合格率：是指考核时段内各监测项目实际获取的质控合格的小时值监测数据量总和除以应获得小时值数据量总和。计算应获得小时值数据量时，应扣除因不可抗力造成的停止监测的小时数。</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（4） 非甲烷总烃设备监测项目参照气态污染物执行。</w:t>
      </w:r>
    </w:p>
    <w:p>
      <w:pPr>
        <w:ind w:firstLine="420" w:firstLineChars="200"/>
        <w:rPr>
          <w:rFonts w:eastAsia="等线"/>
          <w:b/>
          <w:color w:val="auto"/>
          <w:szCs w:val="21"/>
          <w:highlight w:val="none"/>
        </w:rPr>
      </w:pPr>
      <w:r>
        <w:rPr>
          <w:rFonts w:eastAsia="等线"/>
          <w:b/>
          <w:color w:val="auto"/>
          <w:szCs w:val="21"/>
          <w:highlight w:val="none"/>
        </w:rPr>
        <w:t>2、单站考核评分</w:t>
      </w:r>
    </w:p>
    <w:p>
      <w:pPr>
        <w:ind w:firstLine="420" w:firstLineChars="200"/>
        <w:rPr>
          <w:rFonts w:eastAsia="等线"/>
          <w:color w:val="auto"/>
          <w:szCs w:val="21"/>
          <w:highlight w:val="none"/>
        </w:rPr>
      </w:pPr>
      <w:r>
        <w:rPr>
          <w:rFonts w:eastAsia="等线"/>
          <w:color w:val="auto"/>
          <w:szCs w:val="21"/>
          <w:highlight w:val="none"/>
        </w:rPr>
        <w:t>常规六参数和非甲烷总烃设备分别核算，若在同一个站点，得分取两者的平均值。</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（1） 数据有效性</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单站监测数据有效性必须满足《环境空气质量标准》（GB 3095-2012）中规定的污染物浓度数据有效性的最低要求，否则考核总分为0分。</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单站单月监测数据捕获率必须高于90%(含)，否则考核总分以0分计；单站单月监测数据质控合格率必须高于80%，否则考核总分以0分计。</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（2） 两率考核评分（满分70分）</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符合数据有效性要求后，参照本部分执行。</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单站监测数据质控合格率高于90%(含)的，得70分；80%(含)—90%的，得分为70×（数据质控合格率/90%）。</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（3） 运行维护部分(满分30分)</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运行维护部分每季度由采购方组织检查，检查内容包括日常运维任务完成情况、异常情况处理情况、站房环境保障效果、采样系统维护效果、仪器日常维护效果、质量控制效果、通讯系统维护效果（数据上传发布情况）、人员与档案记录管理情况等。检查满分30分，具体评分见表3和表4。</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（4） 考核总分（100分）</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考核总分=两率考核得分+运行维护考核得分</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（5）其他规定</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有下列情形之一的，采购方将视情况在运行维护部分扣除相应站点当月运行维护分：迟报、漏报或不报审核数据的；拖延、阻碍、拒绝质量检查或飞行检查的；发现采样、分析、数据采集和传输等过程人为干扰，未按要求及时向采购方报告的；因工作疏漏，未发现采样、分析、数据采集和传输等过程人为干扰的；其他不履行规定职责的情形。</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在质量检查中，发现运维单位未达到生态环境厅运维质控要求时，根据对数据质量造成的影响程度，扣减相应站点当季度运行维护分3—10分；如未及时整改，加倍扣分。</w:t>
      </w:r>
    </w:p>
    <w:p>
      <w:pPr>
        <w:ind w:firstLine="420" w:firstLineChars="200"/>
        <w:rPr>
          <w:rFonts w:eastAsia="等线"/>
          <w:b/>
          <w:color w:val="auto"/>
          <w:szCs w:val="21"/>
          <w:highlight w:val="none"/>
        </w:rPr>
      </w:pPr>
      <w:r>
        <w:rPr>
          <w:rFonts w:eastAsia="等线"/>
          <w:b/>
          <w:color w:val="auto"/>
          <w:szCs w:val="21"/>
          <w:highlight w:val="none"/>
        </w:rPr>
        <w:t>3、考核评价</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（1）若数据有效性满足要求，两率均大于等于90%，运行维护得分很高，考核总分≥94分，运行维护评价为优秀；</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（2）若数据捕获率≥90%，质控合格率≥80%，运维得分较高，94分＞考核总分≥88分，运行维护评价良好；</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（3）若数据捕获率≥90%，质控合格率≥80%，运维得分在及格线（18分）以上，88分＞考核总分≥74分，运行维护评价合格；</w:t>
      </w:r>
    </w:p>
    <w:p>
      <w:pPr>
        <w:tabs>
          <w:tab w:val="left" w:pos="2280"/>
        </w:tabs>
        <w:ind w:firstLine="420" w:firstLineChars="200"/>
        <w:contextualSpacing/>
        <w:rPr>
          <w:rFonts w:eastAsia="等线"/>
          <w:color w:val="auto"/>
          <w:szCs w:val="21"/>
          <w:highlight w:val="none"/>
        </w:rPr>
      </w:pPr>
      <w:r>
        <w:rPr>
          <w:rFonts w:eastAsia="等线"/>
          <w:color w:val="auto"/>
          <w:szCs w:val="21"/>
          <w:highlight w:val="none"/>
        </w:rPr>
        <w:t>（4）若数据有效性不满足要求，或两率满足基本要求，但运行维护分数不及格（小于18分），运行维护评价不合格。</w:t>
      </w:r>
    </w:p>
    <w:p>
      <w:pPr>
        <w:ind w:firstLine="422" w:firstLineChars="200"/>
        <w:rPr>
          <w:b/>
          <w:color w:val="auto"/>
          <w:highlight w:val="none"/>
        </w:rPr>
      </w:pPr>
      <w:r>
        <w:rPr>
          <w:b/>
          <w:color w:val="auto"/>
          <w:highlight w:val="none"/>
        </w:rPr>
        <w:t>三、考核时段</w:t>
      </w:r>
    </w:p>
    <w:p>
      <w:pPr>
        <w:spacing w:line="400" w:lineRule="exact"/>
        <w:ind w:firstLine="420" w:firstLineChars="200"/>
        <w:rPr>
          <w:color w:val="auto"/>
          <w:highlight w:val="none"/>
        </w:rPr>
      </w:pPr>
      <w:r>
        <w:rPr>
          <w:color w:val="auto"/>
          <w:highlight w:val="none"/>
        </w:rPr>
        <w:t>单次考核由采购方选定时间，单次考核时段为上一次考核日期后一日（或签订合同之日）至当次考核日期。</w:t>
      </w:r>
    </w:p>
    <w:p>
      <w:pPr>
        <w:ind w:firstLine="422" w:firstLineChars="200"/>
        <w:rPr>
          <w:rFonts w:eastAsia="仿宋_GB2312"/>
          <w:b/>
          <w:color w:val="auto"/>
          <w:szCs w:val="21"/>
          <w:highlight w:val="none"/>
        </w:rPr>
      </w:pPr>
      <w:r>
        <w:rPr>
          <w:b/>
          <w:color w:val="auto"/>
          <w:highlight w:val="none"/>
        </w:rPr>
        <w:t xml:space="preserve">四、绩效考核机制 </w:t>
      </w:r>
    </w:p>
    <w:p>
      <w:pPr>
        <w:snapToGrid w:val="0"/>
        <w:ind w:firstLine="420" w:firstLineChars="200"/>
        <w:rPr>
          <w:rFonts w:eastAsia="仿宋_GB2312"/>
          <w:color w:val="auto"/>
          <w:szCs w:val="21"/>
          <w:highlight w:val="none"/>
        </w:rPr>
      </w:pPr>
    </w:p>
    <w:tbl>
      <w:tblPr>
        <w:tblStyle w:val="18"/>
        <w:tblW w:w="91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1"/>
        <w:gridCol w:w="2905"/>
        <w:gridCol w:w="49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auto"/>
                <w:szCs w:val="21"/>
                <w:highlight w:val="none"/>
              </w:rPr>
            </w:pPr>
            <w:r>
              <w:rPr>
                <w:rFonts w:eastAsia="仿宋_GB2312"/>
                <w:color w:val="auto"/>
                <w:szCs w:val="21"/>
                <w:highlight w:val="none"/>
              </w:rPr>
              <w:t>序号</w:t>
            </w:r>
          </w:p>
        </w:tc>
        <w:tc>
          <w:tcPr>
            <w:tcW w:w="2905" w:type="dxa"/>
            <w:vAlign w:val="center"/>
          </w:tcPr>
          <w:p>
            <w:pPr>
              <w:snapToGrid w:val="0"/>
              <w:jc w:val="center"/>
              <w:rPr>
                <w:rFonts w:eastAsia="仿宋_GB2312"/>
                <w:color w:val="auto"/>
                <w:szCs w:val="21"/>
                <w:highlight w:val="none"/>
              </w:rPr>
            </w:pPr>
            <w:r>
              <w:rPr>
                <w:rFonts w:eastAsia="仿宋_GB2312"/>
                <w:color w:val="auto"/>
                <w:szCs w:val="21"/>
                <w:highlight w:val="none"/>
              </w:rPr>
              <w:t>单次考核得分</w:t>
            </w:r>
          </w:p>
        </w:tc>
        <w:tc>
          <w:tcPr>
            <w:tcW w:w="4941" w:type="dxa"/>
            <w:vAlign w:val="center"/>
          </w:tcPr>
          <w:p>
            <w:pPr>
              <w:snapToGrid w:val="0"/>
              <w:jc w:val="center"/>
              <w:rPr>
                <w:rFonts w:eastAsia="仿宋_GB2312"/>
                <w:color w:val="auto"/>
                <w:szCs w:val="21"/>
                <w:highlight w:val="none"/>
              </w:rPr>
            </w:pPr>
            <w:r>
              <w:rPr>
                <w:rFonts w:eastAsia="仿宋_GB2312"/>
                <w:color w:val="auto"/>
                <w:szCs w:val="21"/>
                <w:highlight w:val="none"/>
              </w:rPr>
              <w:t>运营服务期限（基础运维期限按1年计算）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auto"/>
                <w:szCs w:val="21"/>
                <w:highlight w:val="none"/>
              </w:rPr>
            </w:pPr>
            <w:r>
              <w:rPr>
                <w:rFonts w:eastAsia="仿宋_GB2312"/>
                <w:color w:val="auto"/>
                <w:szCs w:val="21"/>
                <w:highlight w:val="none"/>
              </w:rPr>
              <w:t>1</w:t>
            </w:r>
          </w:p>
        </w:tc>
        <w:tc>
          <w:tcPr>
            <w:tcW w:w="2905" w:type="dxa"/>
            <w:vAlign w:val="center"/>
          </w:tcPr>
          <w:p>
            <w:pPr>
              <w:snapToGrid w:val="0"/>
              <w:jc w:val="center"/>
              <w:rPr>
                <w:rFonts w:eastAsia="仿宋_GB2312"/>
                <w:color w:val="auto"/>
                <w:szCs w:val="21"/>
                <w:highlight w:val="none"/>
              </w:rPr>
            </w:pPr>
            <w:r>
              <w:rPr>
                <w:rFonts w:eastAsia="仿宋_GB2312"/>
                <w:color w:val="auto"/>
                <w:szCs w:val="21"/>
                <w:highlight w:val="none"/>
              </w:rPr>
              <w:t>所有站点得分≥85</w:t>
            </w:r>
          </w:p>
        </w:tc>
        <w:tc>
          <w:tcPr>
            <w:tcW w:w="4941" w:type="dxa"/>
            <w:vAlign w:val="center"/>
          </w:tcPr>
          <w:p>
            <w:pPr>
              <w:snapToGrid w:val="0"/>
              <w:jc w:val="center"/>
              <w:rPr>
                <w:rFonts w:eastAsia="仿宋_GB2312"/>
                <w:color w:val="auto"/>
                <w:szCs w:val="21"/>
                <w:highlight w:val="none"/>
              </w:rPr>
            </w:pPr>
            <w:r>
              <w:rPr>
                <w:rFonts w:eastAsia="仿宋_GB2312"/>
                <w:color w:val="auto"/>
                <w:szCs w:val="21"/>
                <w:highlight w:val="none"/>
              </w:rPr>
              <w:t>运维期限1年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auto"/>
                <w:szCs w:val="21"/>
                <w:highlight w:val="none"/>
              </w:rPr>
            </w:pPr>
            <w:r>
              <w:rPr>
                <w:rFonts w:eastAsia="仿宋_GB2312"/>
                <w:color w:val="auto"/>
                <w:szCs w:val="21"/>
                <w:highlight w:val="none"/>
              </w:rPr>
              <w:t>2</w:t>
            </w:r>
          </w:p>
        </w:tc>
        <w:tc>
          <w:tcPr>
            <w:tcW w:w="2905" w:type="dxa"/>
            <w:vAlign w:val="center"/>
          </w:tcPr>
          <w:p>
            <w:pPr>
              <w:snapToGrid w:val="0"/>
              <w:jc w:val="center"/>
              <w:rPr>
                <w:rFonts w:eastAsia="仿宋_GB2312"/>
                <w:color w:val="auto"/>
                <w:szCs w:val="21"/>
                <w:highlight w:val="none"/>
              </w:rPr>
            </w:pPr>
            <w:r>
              <w:rPr>
                <w:rFonts w:eastAsia="仿宋_GB2312"/>
                <w:color w:val="auto"/>
                <w:szCs w:val="21"/>
                <w:highlight w:val="none"/>
              </w:rPr>
              <w:t>所有站点得分≥70分，有1个或以上站点某次考核得分:70≤得分＜85</w:t>
            </w:r>
          </w:p>
        </w:tc>
        <w:tc>
          <w:tcPr>
            <w:tcW w:w="4941" w:type="dxa"/>
            <w:vAlign w:val="center"/>
          </w:tcPr>
          <w:p>
            <w:pPr>
              <w:snapToGrid w:val="0"/>
              <w:jc w:val="center"/>
              <w:rPr>
                <w:rFonts w:eastAsia="仿宋_GB2312"/>
                <w:color w:val="auto"/>
                <w:szCs w:val="21"/>
                <w:highlight w:val="none"/>
              </w:rPr>
            </w:pPr>
            <w:r>
              <w:rPr>
                <w:rFonts w:eastAsia="仿宋_GB2312"/>
                <w:color w:val="auto"/>
                <w:szCs w:val="21"/>
                <w:highlight w:val="none"/>
              </w:rPr>
              <w:t>延长所有站点1个月运维期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auto"/>
                <w:szCs w:val="21"/>
                <w:highlight w:val="none"/>
              </w:rPr>
            </w:pPr>
            <w:r>
              <w:rPr>
                <w:rFonts w:eastAsia="仿宋_GB2312"/>
                <w:color w:val="auto"/>
                <w:szCs w:val="21"/>
                <w:highlight w:val="none"/>
              </w:rPr>
              <w:t>3</w:t>
            </w:r>
          </w:p>
        </w:tc>
        <w:tc>
          <w:tcPr>
            <w:tcW w:w="2905" w:type="dxa"/>
            <w:vAlign w:val="center"/>
          </w:tcPr>
          <w:p>
            <w:pPr>
              <w:snapToGrid w:val="0"/>
              <w:jc w:val="center"/>
              <w:rPr>
                <w:rFonts w:eastAsia="仿宋_GB2312"/>
                <w:color w:val="auto"/>
                <w:szCs w:val="21"/>
                <w:highlight w:val="none"/>
              </w:rPr>
            </w:pPr>
            <w:r>
              <w:rPr>
                <w:rFonts w:eastAsia="仿宋_GB2312"/>
                <w:color w:val="auto"/>
                <w:szCs w:val="21"/>
                <w:highlight w:val="none"/>
              </w:rPr>
              <w:t>所有站点得分≥60分，有1个或以上站点某次考核得分:60≤得分＜70</w:t>
            </w:r>
          </w:p>
        </w:tc>
        <w:tc>
          <w:tcPr>
            <w:tcW w:w="4941" w:type="dxa"/>
            <w:vAlign w:val="center"/>
          </w:tcPr>
          <w:p>
            <w:pPr>
              <w:snapToGrid w:val="0"/>
              <w:jc w:val="center"/>
              <w:rPr>
                <w:rFonts w:eastAsia="仿宋_GB2312"/>
                <w:color w:val="auto"/>
                <w:szCs w:val="21"/>
                <w:highlight w:val="none"/>
              </w:rPr>
            </w:pPr>
            <w:r>
              <w:rPr>
                <w:rFonts w:eastAsia="仿宋_GB2312"/>
                <w:color w:val="auto"/>
                <w:szCs w:val="21"/>
                <w:highlight w:val="none"/>
              </w:rPr>
              <w:t>延长所有站点2个月运维期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71" w:type="dxa"/>
            <w:vAlign w:val="center"/>
          </w:tcPr>
          <w:p>
            <w:pPr>
              <w:snapToGrid w:val="0"/>
              <w:jc w:val="center"/>
              <w:rPr>
                <w:rFonts w:eastAsia="仿宋_GB2312"/>
                <w:color w:val="auto"/>
                <w:szCs w:val="21"/>
                <w:highlight w:val="none"/>
              </w:rPr>
            </w:pPr>
            <w:r>
              <w:rPr>
                <w:rFonts w:eastAsia="仿宋_GB2312"/>
                <w:color w:val="auto"/>
                <w:szCs w:val="21"/>
                <w:highlight w:val="none"/>
              </w:rPr>
              <w:t>4</w:t>
            </w:r>
          </w:p>
        </w:tc>
        <w:tc>
          <w:tcPr>
            <w:tcW w:w="2905" w:type="dxa"/>
            <w:vAlign w:val="center"/>
          </w:tcPr>
          <w:p>
            <w:pPr>
              <w:snapToGrid w:val="0"/>
              <w:jc w:val="center"/>
              <w:rPr>
                <w:rFonts w:eastAsia="仿宋_GB2312"/>
                <w:color w:val="auto"/>
                <w:szCs w:val="21"/>
                <w:highlight w:val="none"/>
              </w:rPr>
            </w:pPr>
            <w:r>
              <w:rPr>
                <w:rFonts w:eastAsia="仿宋_GB2312"/>
                <w:color w:val="auto"/>
                <w:szCs w:val="21"/>
                <w:highlight w:val="none"/>
              </w:rPr>
              <w:t>有1个或以上站点某次考核得分:得分＜60</w:t>
            </w:r>
          </w:p>
        </w:tc>
        <w:tc>
          <w:tcPr>
            <w:tcW w:w="4941" w:type="dxa"/>
            <w:vAlign w:val="center"/>
          </w:tcPr>
          <w:p>
            <w:pPr>
              <w:snapToGrid w:val="0"/>
              <w:jc w:val="center"/>
              <w:rPr>
                <w:rFonts w:eastAsia="仿宋_GB2312"/>
                <w:color w:val="auto"/>
                <w:szCs w:val="21"/>
                <w:highlight w:val="none"/>
              </w:rPr>
            </w:pPr>
            <w:r>
              <w:rPr>
                <w:rFonts w:eastAsia="仿宋_GB2312"/>
                <w:color w:val="auto"/>
                <w:szCs w:val="21"/>
                <w:highlight w:val="none"/>
              </w:rPr>
              <w:t>延长所有站点3个月运维期</w:t>
            </w:r>
          </w:p>
        </w:tc>
      </w:tr>
    </w:tbl>
    <w:p>
      <w:pPr>
        <w:spacing w:line="400" w:lineRule="exact"/>
        <w:ind w:firstLine="420" w:firstLineChars="200"/>
        <w:rPr>
          <w:color w:val="auto"/>
          <w:highlight w:val="none"/>
        </w:rPr>
      </w:pPr>
      <w:r>
        <w:rPr>
          <w:color w:val="auto"/>
          <w:highlight w:val="none"/>
        </w:rPr>
        <w:t>站点含功能区噪声自动监测7个站点、环境空气流动监测车1辆、</w:t>
      </w:r>
      <w:r>
        <w:rPr>
          <w:rFonts w:hint="eastAsia"/>
          <w:color w:val="auto"/>
          <w:highlight w:val="none"/>
        </w:rPr>
        <w:t>国控、</w:t>
      </w:r>
      <w:r>
        <w:rPr>
          <w:color w:val="auto"/>
          <w:highlight w:val="none"/>
        </w:rPr>
        <w:t>区控空气自动监测站</w:t>
      </w:r>
      <w:r>
        <w:rPr>
          <w:rFonts w:hint="eastAsia"/>
          <w:color w:val="auto"/>
          <w:highlight w:val="none"/>
        </w:rPr>
        <w:t>共</w:t>
      </w:r>
      <w:r>
        <w:rPr>
          <w:color w:val="auto"/>
          <w:highlight w:val="none"/>
        </w:rPr>
        <w:t>3个站点。</w:t>
      </w:r>
    </w:p>
    <w:p>
      <w:pPr>
        <w:snapToGrid w:val="0"/>
        <w:ind w:firstLine="316" w:firstLineChars="150"/>
        <w:rPr>
          <w:rFonts w:eastAsia="仿宋_GB2312"/>
          <w:b/>
          <w:color w:val="auto"/>
          <w:szCs w:val="21"/>
          <w:highlight w:val="none"/>
        </w:rPr>
      </w:pPr>
      <w:r>
        <w:rPr>
          <w:rFonts w:eastAsia="仿宋_GB2312"/>
          <w:b/>
          <w:color w:val="auto"/>
          <w:szCs w:val="21"/>
          <w:highlight w:val="none"/>
        </w:rPr>
        <w:t>五、本考核办法解释权归采购人所有。</w:t>
      </w:r>
    </w:p>
    <w:p>
      <w:pPr>
        <w:widowControl/>
        <w:jc w:val="left"/>
        <w:rPr>
          <w:rFonts w:eastAsia="仿宋_GB2312"/>
          <w:b/>
          <w:color w:val="auto"/>
          <w:szCs w:val="21"/>
          <w:highlight w:val="none"/>
        </w:rPr>
      </w:pPr>
      <w:r>
        <w:rPr>
          <w:rFonts w:eastAsia="仿宋_GB2312"/>
          <w:b/>
          <w:color w:val="auto"/>
          <w:szCs w:val="21"/>
          <w:highlight w:val="none"/>
        </w:rPr>
        <w:br w:type="page"/>
      </w:r>
    </w:p>
    <w:p>
      <w:pPr>
        <w:snapToGrid w:val="0"/>
        <w:spacing w:line="360" w:lineRule="auto"/>
        <w:rPr>
          <w:b/>
          <w:bCs/>
          <w:color w:val="auto"/>
          <w:sz w:val="28"/>
          <w:highlight w:val="none"/>
        </w:rPr>
      </w:pPr>
      <w:r>
        <w:rPr>
          <w:rFonts w:hint="eastAsia"/>
          <w:b/>
          <w:bCs/>
          <w:color w:val="auto"/>
          <w:sz w:val="28"/>
          <w:highlight w:val="none"/>
        </w:rPr>
        <w:t>附</w:t>
      </w:r>
      <w:r>
        <w:rPr>
          <w:b/>
          <w:bCs/>
          <w:color w:val="auto"/>
          <w:sz w:val="28"/>
          <w:highlight w:val="none"/>
        </w:rPr>
        <w:t>表1</w:t>
      </w:r>
    </w:p>
    <w:p>
      <w:pPr>
        <w:snapToGrid w:val="0"/>
        <w:spacing w:line="360" w:lineRule="auto"/>
        <w:ind w:firstLine="413" w:firstLineChars="147"/>
        <w:jc w:val="center"/>
        <w:rPr>
          <w:b/>
          <w:bCs/>
          <w:color w:val="auto"/>
          <w:highlight w:val="none"/>
        </w:rPr>
      </w:pPr>
      <w:r>
        <w:rPr>
          <w:b/>
          <w:bCs/>
          <w:color w:val="auto"/>
          <w:sz w:val="28"/>
          <w:highlight w:val="none"/>
        </w:rPr>
        <w:t>噪声自动监测站运维考核表</w:t>
      </w:r>
    </w:p>
    <w:p>
      <w:pPr>
        <w:snapToGrid w:val="0"/>
        <w:spacing w:line="360" w:lineRule="auto"/>
        <w:rPr>
          <w:b/>
          <w:bCs/>
          <w:color w:val="auto"/>
          <w:highlight w:val="none"/>
        </w:rPr>
      </w:pPr>
      <w:r>
        <w:rPr>
          <w:b/>
          <w:bCs/>
          <w:color w:val="auto"/>
          <w:highlight w:val="none"/>
        </w:rPr>
        <w:t>点位名称：</w:t>
      </w:r>
    </w:p>
    <w:tbl>
      <w:tblPr>
        <w:tblStyle w:val="18"/>
        <w:tblW w:w="9720" w:type="dxa"/>
        <w:jc w:val="center"/>
        <w:tblLayout w:type="fixed"/>
        <w:tblCellMar>
          <w:top w:w="0" w:type="dxa"/>
          <w:left w:w="108" w:type="dxa"/>
          <w:bottom w:w="0" w:type="dxa"/>
          <w:right w:w="108" w:type="dxa"/>
        </w:tblCellMar>
      </w:tblPr>
      <w:tblGrid>
        <w:gridCol w:w="1029"/>
        <w:gridCol w:w="3212"/>
        <w:gridCol w:w="848"/>
        <w:gridCol w:w="1416"/>
        <w:gridCol w:w="1777"/>
        <w:gridCol w:w="1438"/>
      </w:tblGrid>
      <w:tr>
        <w:tblPrEx>
          <w:tblCellMar>
            <w:top w:w="0" w:type="dxa"/>
            <w:left w:w="108" w:type="dxa"/>
            <w:bottom w:w="0" w:type="dxa"/>
            <w:right w:w="108" w:type="dxa"/>
          </w:tblCellMar>
        </w:tblPrEx>
        <w:trPr>
          <w:trHeight w:val="420" w:hRule="atLeast"/>
          <w:jc w:val="center"/>
        </w:trPr>
        <w:tc>
          <w:tcPr>
            <w:tcW w:w="1029"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检查内容</w:t>
            </w:r>
          </w:p>
        </w:tc>
        <w:tc>
          <w:tcPr>
            <w:tcW w:w="3212"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检查要点</w:t>
            </w:r>
          </w:p>
        </w:tc>
        <w:tc>
          <w:tcPr>
            <w:tcW w:w="848"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分值</w:t>
            </w:r>
          </w:p>
        </w:tc>
        <w:tc>
          <w:tcPr>
            <w:tcW w:w="1416"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评分说明</w:t>
            </w:r>
          </w:p>
        </w:tc>
        <w:tc>
          <w:tcPr>
            <w:tcW w:w="1777"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得分</w:t>
            </w:r>
          </w:p>
        </w:tc>
        <w:tc>
          <w:tcPr>
            <w:tcW w:w="1438" w:type="dxa"/>
            <w:tcBorders>
              <w:top w:val="single" w:color="auto" w:sz="4" w:space="0"/>
              <w:left w:val="nil"/>
              <w:bottom w:val="single" w:color="auto" w:sz="4" w:space="0"/>
              <w:right w:val="single" w:color="auto" w:sz="4" w:space="0"/>
            </w:tcBorders>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备注</w:t>
            </w:r>
          </w:p>
        </w:tc>
      </w:tr>
      <w:tr>
        <w:tblPrEx>
          <w:tblCellMar>
            <w:top w:w="0" w:type="dxa"/>
            <w:left w:w="108" w:type="dxa"/>
            <w:bottom w:w="0" w:type="dxa"/>
            <w:right w:w="108" w:type="dxa"/>
          </w:tblCellMar>
        </w:tblPrEx>
        <w:trPr>
          <w:trHeight w:val="420" w:hRule="atLeast"/>
          <w:jc w:val="center"/>
        </w:trPr>
        <w:tc>
          <w:tcPr>
            <w:tcW w:w="1029" w:type="dxa"/>
            <w:vMerge w:val="restart"/>
            <w:tcBorders>
              <w:top w:val="nil"/>
              <w:left w:val="single" w:color="auto" w:sz="4" w:space="0"/>
              <w:bottom w:val="single" w:color="auto" w:sz="4" w:space="0"/>
              <w:right w:val="single" w:color="auto" w:sz="4" w:space="0"/>
            </w:tcBorders>
            <w:vAlign w:val="center"/>
          </w:tcPr>
          <w:p>
            <w:pPr>
              <w:numPr>
                <w:ilvl w:val="0"/>
                <w:numId w:val="18"/>
              </w:numPr>
              <w:adjustRightInd w:val="0"/>
              <w:snapToGrid w:val="0"/>
              <w:ind w:right="-105" w:rightChars="-50" w:firstLine="420"/>
              <w:jc w:val="center"/>
              <w:rPr>
                <w:b/>
                <w:bCs/>
                <w:color w:val="auto"/>
                <w:sz w:val="18"/>
                <w:szCs w:val="18"/>
                <w:highlight w:val="none"/>
              </w:rPr>
            </w:pPr>
            <w:r>
              <w:rPr>
                <w:b/>
                <w:bCs/>
                <w:color w:val="auto"/>
                <w:sz w:val="18"/>
                <w:szCs w:val="18"/>
                <w:highlight w:val="none"/>
              </w:rPr>
              <w:t>现场情况</w:t>
            </w:r>
          </w:p>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（20分）</w:t>
            </w: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站点内部是否有渗水</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trHeight w:val="897" w:hRule="atLeast"/>
          <w:jc w:val="center"/>
        </w:trPr>
        <w:tc>
          <w:tcPr>
            <w:tcW w:w="1029"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站点内部其他辅助设施（排风扇、电源等）是否正常。</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一项不满足扣1分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753" w:hRule="atLeast"/>
          <w:jc w:val="center"/>
        </w:trPr>
        <w:tc>
          <w:tcPr>
            <w:tcW w:w="1029"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kern w:val="0"/>
                <w:sz w:val="18"/>
                <w:szCs w:val="18"/>
                <w:highlight w:val="none"/>
              </w:rPr>
              <w:t>传声头防护罩是否清洁。</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447" w:hRule="atLeast"/>
          <w:jc w:val="center"/>
        </w:trPr>
        <w:tc>
          <w:tcPr>
            <w:tcW w:w="1029"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显示屏是否正常显示。</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813" w:hRule="atLeast"/>
          <w:jc w:val="center"/>
        </w:trPr>
        <w:tc>
          <w:tcPr>
            <w:tcW w:w="1029" w:type="dxa"/>
            <w:vMerge w:val="restart"/>
            <w:tcBorders>
              <w:top w:val="nil"/>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2.仪器性能测试</w:t>
            </w:r>
          </w:p>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（15分）</w:t>
            </w: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现场声校准是否达标。</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10</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897" w:hRule="atLeast"/>
          <w:jc w:val="center"/>
        </w:trPr>
        <w:tc>
          <w:tcPr>
            <w:tcW w:w="1029"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u w:val="single"/>
              </w:rPr>
            </w:pPr>
            <w:r>
              <w:rPr>
                <w:color w:val="auto"/>
                <w:kern w:val="0"/>
                <w:sz w:val="18"/>
                <w:szCs w:val="18"/>
                <w:highlight w:val="none"/>
              </w:rPr>
              <w:t>用于校准的设备（声级计等）是否每年通过计量检定。</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snapToGrid w:val="0"/>
              <w:rPr>
                <w:color w:val="auto"/>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trHeight w:val="496" w:hRule="atLeast"/>
          <w:jc w:val="center"/>
        </w:trPr>
        <w:tc>
          <w:tcPr>
            <w:tcW w:w="1029" w:type="dxa"/>
            <w:vMerge w:val="restart"/>
            <w:tcBorders>
              <w:top w:val="nil"/>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3.记录（报告）完整性</w:t>
            </w:r>
          </w:p>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（15分）</w:t>
            </w: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按规定对设备巡检维护，填写巡检记录。</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10</w:t>
            </w:r>
          </w:p>
        </w:tc>
        <w:tc>
          <w:tcPr>
            <w:tcW w:w="1416" w:type="dxa"/>
            <w:tcBorders>
              <w:top w:val="single" w:color="auto" w:sz="4" w:space="0"/>
              <w:left w:val="nil"/>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缺一份扣1分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968" w:hRule="atLeast"/>
          <w:jc w:val="center"/>
        </w:trPr>
        <w:tc>
          <w:tcPr>
            <w:tcW w:w="1029"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记录涂改、不完整。</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一项不满足扣0.5分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420" w:hRule="atLeast"/>
          <w:jc w:val="center"/>
        </w:trPr>
        <w:tc>
          <w:tcPr>
            <w:tcW w:w="1029" w:type="dxa"/>
            <w:vMerge w:val="restart"/>
            <w:tcBorders>
              <w:top w:val="nil"/>
              <w:left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r>
              <w:rPr>
                <w:b/>
                <w:bCs/>
                <w:color w:val="auto"/>
                <w:kern w:val="0"/>
                <w:sz w:val="18"/>
                <w:szCs w:val="18"/>
                <w:highlight w:val="none"/>
              </w:rPr>
              <w:t>4.日常运维情况（25分）</w:t>
            </w: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是否出现故障超时处理情况。</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10</w:t>
            </w:r>
          </w:p>
        </w:tc>
        <w:tc>
          <w:tcPr>
            <w:tcW w:w="1416" w:type="dxa"/>
            <w:tcBorders>
              <w:top w:val="single" w:color="auto" w:sz="4" w:space="0"/>
              <w:left w:val="nil"/>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每次扣5分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447" w:hRule="atLeast"/>
          <w:jc w:val="center"/>
        </w:trPr>
        <w:tc>
          <w:tcPr>
            <w:tcW w:w="1029" w:type="dxa"/>
            <w:vMerge w:val="continue"/>
            <w:tcBorders>
              <w:left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无法自行排除的故障是否及时书面报告。</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每次扣5分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447" w:hRule="atLeast"/>
          <w:jc w:val="center"/>
        </w:trPr>
        <w:tc>
          <w:tcPr>
            <w:tcW w:w="1029" w:type="dxa"/>
            <w:vMerge w:val="continue"/>
            <w:tcBorders>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是否按时进行现场运维检查。</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10</w:t>
            </w:r>
          </w:p>
        </w:tc>
        <w:tc>
          <w:tcPr>
            <w:tcW w:w="1416" w:type="dxa"/>
            <w:tcBorders>
              <w:top w:val="single" w:color="auto" w:sz="4" w:space="0"/>
              <w:left w:val="nil"/>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缺一次扣5分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696" w:hRule="atLeast"/>
          <w:jc w:val="center"/>
        </w:trPr>
        <w:tc>
          <w:tcPr>
            <w:tcW w:w="1029"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5. 数据造假</w:t>
            </w:r>
          </w:p>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（20分）</w:t>
            </w: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检查过程中如发现有数据造假情况</w:t>
            </w: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20</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565" w:hRule="atLeast"/>
          <w:jc w:val="center"/>
        </w:trPr>
        <w:tc>
          <w:tcPr>
            <w:tcW w:w="1029"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6. 其他问题</w:t>
            </w:r>
          </w:p>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（5分）</w:t>
            </w:r>
          </w:p>
        </w:tc>
        <w:tc>
          <w:tcPr>
            <w:tcW w:w="3212"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p>
        </w:tc>
        <w:tc>
          <w:tcPr>
            <w:tcW w:w="848"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5</w:t>
            </w:r>
          </w:p>
        </w:tc>
        <w:tc>
          <w:tcPr>
            <w:tcW w:w="1416"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r>
              <w:rPr>
                <w:color w:val="auto"/>
                <w:kern w:val="0"/>
                <w:sz w:val="18"/>
                <w:szCs w:val="18"/>
                <w:highlight w:val="none"/>
              </w:rPr>
              <w:t>根据现场检查情况扣分。</w:t>
            </w:r>
          </w:p>
        </w:tc>
      </w:tr>
      <w:tr>
        <w:tblPrEx>
          <w:tblCellMar>
            <w:top w:w="0" w:type="dxa"/>
            <w:left w:w="108" w:type="dxa"/>
            <w:bottom w:w="0" w:type="dxa"/>
            <w:right w:w="108" w:type="dxa"/>
          </w:tblCellMar>
        </w:tblPrEx>
        <w:trPr>
          <w:trHeight w:val="822" w:hRule="atLeast"/>
          <w:jc w:val="center"/>
        </w:trPr>
        <w:tc>
          <w:tcPr>
            <w:tcW w:w="6505"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总分</w:t>
            </w:r>
          </w:p>
        </w:tc>
        <w:tc>
          <w:tcPr>
            <w:tcW w:w="177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38" w:type="dxa"/>
            <w:tcBorders>
              <w:top w:val="single" w:color="auto" w:sz="4" w:space="0"/>
              <w:left w:val="nil"/>
              <w:bottom w:val="single" w:color="auto" w:sz="4" w:space="0"/>
              <w:right w:val="single" w:color="auto" w:sz="4" w:space="0"/>
            </w:tcBorders>
          </w:tcPr>
          <w:p>
            <w:pPr>
              <w:adjustRightInd w:val="0"/>
              <w:snapToGrid w:val="0"/>
              <w:jc w:val="center"/>
              <w:rPr>
                <w:color w:val="auto"/>
                <w:kern w:val="0"/>
                <w:sz w:val="18"/>
                <w:szCs w:val="18"/>
                <w:highlight w:val="none"/>
              </w:rPr>
            </w:pPr>
          </w:p>
        </w:tc>
      </w:tr>
    </w:tbl>
    <w:p>
      <w:pPr>
        <w:widowControl/>
        <w:adjustRightInd w:val="0"/>
        <w:snapToGrid w:val="0"/>
        <w:spacing w:line="240" w:lineRule="exact"/>
        <w:rPr>
          <w:color w:val="auto"/>
          <w:kern w:val="0"/>
          <w:sz w:val="18"/>
          <w:szCs w:val="18"/>
          <w:highlight w:val="none"/>
        </w:rPr>
      </w:pPr>
    </w:p>
    <w:p>
      <w:pPr>
        <w:widowControl/>
        <w:adjustRightInd w:val="0"/>
        <w:snapToGrid w:val="0"/>
        <w:spacing w:line="360" w:lineRule="auto"/>
        <w:rPr>
          <w:b/>
          <w:bCs/>
          <w:color w:val="auto"/>
          <w:kern w:val="0"/>
          <w:szCs w:val="21"/>
          <w:highlight w:val="none"/>
        </w:rPr>
      </w:pPr>
      <w:r>
        <w:rPr>
          <w:b/>
          <w:bCs/>
          <w:color w:val="auto"/>
          <w:kern w:val="0"/>
          <w:szCs w:val="21"/>
          <w:highlight w:val="none"/>
        </w:rPr>
        <w:t>本表总分100分，按扣分值计算。</w:t>
      </w:r>
    </w:p>
    <w:p>
      <w:pPr>
        <w:rPr>
          <w:color w:val="auto"/>
          <w:highlight w:val="none"/>
          <w:u w:val="single"/>
        </w:rPr>
      </w:pPr>
      <w:r>
        <w:rPr>
          <w:b/>
          <w:bCs/>
          <w:color w:val="auto"/>
          <w:highlight w:val="none"/>
        </w:rPr>
        <w:t>检查日期</w:t>
      </w:r>
      <w:r>
        <w:rPr>
          <w:color w:val="auto"/>
          <w:highlight w:val="none"/>
        </w:rPr>
        <w:t>：</w:t>
      </w:r>
      <w:r>
        <w:rPr>
          <w:color w:val="auto"/>
          <w:highlight w:val="none"/>
          <w:u w:val="single"/>
        </w:rPr>
        <w:t xml:space="preserve">                 </w:t>
      </w:r>
      <w:r>
        <w:rPr>
          <w:color w:val="auto"/>
          <w:highlight w:val="none"/>
        </w:rPr>
        <w:t xml:space="preserve">                       </w:t>
      </w:r>
      <w:r>
        <w:rPr>
          <w:b/>
          <w:bCs/>
          <w:color w:val="auto"/>
          <w:highlight w:val="none"/>
        </w:rPr>
        <w:t>检查人员</w:t>
      </w:r>
      <w:r>
        <w:rPr>
          <w:color w:val="auto"/>
          <w:highlight w:val="none"/>
        </w:rPr>
        <w:t>：</w:t>
      </w:r>
      <w:r>
        <w:rPr>
          <w:color w:val="auto"/>
          <w:highlight w:val="none"/>
          <w:u w:val="single"/>
        </w:rPr>
        <w:t xml:space="preserve">                         </w:t>
      </w:r>
    </w:p>
    <w:p>
      <w:pPr>
        <w:rPr>
          <w:b/>
          <w:color w:val="auto"/>
          <w:highlight w:val="none"/>
        </w:rPr>
      </w:pPr>
      <w:r>
        <w:rPr>
          <w:color w:val="auto"/>
          <w:highlight w:val="none"/>
        </w:rPr>
        <w:t xml:space="preserve">                                                 </w:t>
      </w:r>
      <w:r>
        <w:rPr>
          <w:b/>
          <w:color w:val="auto"/>
          <w:highlight w:val="none"/>
        </w:rPr>
        <w:t xml:space="preserve"> 运维人员：</w:t>
      </w:r>
      <w:r>
        <w:rPr>
          <w:color w:val="auto"/>
          <w:highlight w:val="none"/>
          <w:u w:val="single"/>
        </w:rPr>
        <w:t xml:space="preserve">                       </w:t>
      </w:r>
    </w:p>
    <w:p>
      <w:pPr>
        <w:snapToGrid w:val="0"/>
        <w:ind w:firstLine="9136" w:firstLineChars="3250"/>
        <w:rPr>
          <w:b/>
          <w:bCs/>
          <w:color w:val="auto"/>
          <w:sz w:val="28"/>
          <w:highlight w:val="none"/>
        </w:rPr>
      </w:pPr>
    </w:p>
    <w:p>
      <w:pPr>
        <w:widowControl/>
        <w:jc w:val="left"/>
        <w:rPr>
          <w:b/>
          <w:bCs/>
          <w:color w:val="auto"/>
          <w:sz w:val="28"/>
          <w:highlight w:val="none"/>
        </w:rPr>
      </w:pPr>
      <w:r>
        <w:rPr>
          <w:b/>
          <w:bCs/>
          <w:color w:val="auto"/>
          <w:sz w:val="28"/>
          <w:highlight w:val="none"/>
        </w:rPr>
        <w:br w:type="page"/>
      </w:r>
    </w:p>
    <w:p>
      <w:pPr>
        <w:snapToGrid w:val="0"/>
        <w:spacing w:line="360" w:lineRule="auto"/>
        <w:rPr>
          <w:b/>
          <w:bCs/>
          <w:color w:val="auto"/>
          <w:sz w:val="28"/>
          <w:highlight w:val="none"/>
        </w:rPr>
      </w:pPr>
      <w:r>
        <w:rPr>
          <w:rFonts w:hint="eastAsia"/>
          <w:b/>
          <w:bCs/>
          <w:color w:val="auto"/>
          <w:sz w:val="28"/>
          <w:highlight w:val="none"/>
        </w:rPr>
        <w:t>附</w:t>
      </w:r>
      <w:r>
        <w:rPr>
          <w:b/>
          <w:bCs/>
          <w:color w:val="auto"/>
          <w:sz w:val="28"/>
          <w:highlight w:val="none"/>
        </w:rPr>
        <w:t>表2</w:t>
      </w:r>
    </w:p>
    <w:p>
      <w:pPr>
        <w:snapToGrid w:val="0"/>
        <w:spacing w:line="360" w:lineRule="auto"/>
        <w:jc w:val="center"/>
        <w:rPr>
          <w:b/>
          <w:bCs/>
          <w:color w:val="auto"/>
          <w:highlight w:val="none"/>
        </w:rPr>
      </w:pPr>
      <w:r>
        <w:rPr>
          <w:b/>
          <w:bCs/>
          <w:color w:val="auto"/>
          <w:sz w:val="28"/>
          <w:highlight w:val="none"/>
        </w:rPr>
        <w:t>环境空气流动监测车运维考核表</w:t>
      </w:r>
    </w:p>
    <w:p>
      <w:pPr>
        <w:snapToGrid w:val="0"/>
        <w:spacing w:line="360" w:lineRule="auto"/>
        <w:ind w:firstLine="310" w:firstLineChars="147"/>
        <w:jc w:val="center"/>
        <w:rPr>
          <w:b/>
          <w:bCs/>
          <w:color w:val="auto"/>
          <w:highlight w:val="none"/>
        </w:rPr>
      </w:pPr>
    </w:p>
    <w:tbl>
      <w:tblPr>
        <w:tblStyle w:val="18"/>
        <w:tblW w:w="9574" w:type="dxa"/>
        <w:jc w:val="center"/>
        <w:tblLayout w:type="fixed"/>
        <w:tblCellMar>
          <w:top w:w="0" w:type="dxa"/>
          <w:left w:w="108" w:type="dxa"/>
          <w:bottom w:w="0" w:type="dxa"/>
          <w:right w:w="108" w:type="dxa"/>
        </w:tblCellMar>
      </w:tblPr>
      <w:tblGrid>
        <w:gridCol w:w="1014"/>
        <w:gridCol w:w="4084"/>
        <w:gridCol w:w="1247"/>
        <w:gridCol w:w="851"/>
        <w:gridCol w:w="961"/>
        <w:gridCol w:w="1417"/>
      </w:tblGrid>
      <w:tr>
        <w:tblPrEx>
          <w:tblCellMar>
            <w:top w:w="0" w:type="dxa"/>
            <w:left w:w="108" w:type="dxa"/>
            <w:bottom w:w="0" w:type="dxa"/>
            <w:right w:w="108" w:type="dxa"/>
          </w:tblCellMar>
        </w:tblPrEx>
        <w:trPr>
          <w:trHeight w:val="514"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检查内容</w:t>
            </w:r>
          </w:p>
        </w:tc>
        <w:tc>
          <w:tcPr>
            <w:tcW w:w="4084"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检查要点</w:t>
            </w:r>
          </w:p>
        </w:tc>
        <w:tc>
          <w:tcPr>
            <w:tcW w:w="1247"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分值</w:t>
            </w:r>
          </w:p>
        </w:tc>
        <w:tc>
          <w:tcPr>
            <w:tcW w:w="851"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评分说明</w:t>
            </w:r>
          </w:p>
        </w:tc>
        <w:tc>
          <w:tcPr>
            <w:tcW w:w="961" w:type="dxa"/>
            <w:tcBorders>
              <w:top w:val="single" w:color="auto" w:sz="4" w:space="0"/>
              <w:left w:val="nil"/>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得分</w:t>
            </w:r>
          </w:p>
        </w:tc>
        <w:tc>
          <w:tcPr>
            <w:tcW w:w="1417" w:type="dxa"/>
            <w:tcBorders>
              <w:top w:val="single" w:color="auto" w:sz="4" w:space="0"/>
              <w:left w:val="nil"/>
              <w:bottom w:val="single" w:color="auto" w:sz="4" w:space="0"/>
              <w:right w:val="single" w:color="auto" w:sz="4" w:space="0"/>
            </w:tcBorders>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备注</w:t>
            </w:r>
          </w:p>
        </w:tc>
      </w:tr>
      <w:tr>
        <w:tblPrEx>
          <w:tblCellMar>
            <w:top w:w="0" w:type="dxa"/>
            <w:left w:w="108" w:type="dxa"/>
            <w:bottom w:w="0" w:type="dxa"/>
            <w:right w:w="108" w:type="dxa"/>
          </w:tblCellMar>
        </w:tblPrEx>
        <w:trPr>
          <w:trHeight w:val="665" w:hRule="atLeast"/>
          <w:jc w:val="center"/>
        </w:trPr>
        <w:tc>
          <w:tcPr>
            <w:tcW w:w="1014" w:type="dxa"/>
            <w:vMerge w:val="restart"/>
            <w:tcBorders>
              <w:top w:val="nil"/>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1.监测车及采样系统情况</w:t>
            </w:r>
          </w:p>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（8分）</w:t>
            </w: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采样口是否有渗水</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nil"/>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trHeight w:val="587"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车内其他辅助设施（排风扇、空调、照明）是否正常。</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2</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一项不满足扣0.5分</w:t>
            </w: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694"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车内整洁及卫生情况</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690"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kern w:val="0"/>
                <w:sz w:val="18"/>
                <w:szCs w:val="18"/>
                <w:highlight w:val="none"/>
              </w:rPr>
              <w:t>采样系统是否清洁（颗粒物采样头、采样总管、支管）</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2</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一项不满足扣0.5分</w:t>
            </w: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585"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采样风机是否正常工作。</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kern w:val="0"/>
                <w:sz w:val="18"/>
                <w:szCs w:val="18"/>
                <w:highlight w:val="none"/>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680" w:hRule="atLeast"/>
          <w:jc w:val="center"/>
        </w:trPr>
        <w:tc>
          <w:tcPr>
            <w:tcW w:w="1014" w:type="dxa"/>
            <w:vMerge w:val="continue"/>
            <w:tcBorders>
              <w:top w:val="nil"/>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nil"/>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气态污染物采样总管加热温度是否在</w:t>
            </w:r>
            <w:r>
              <w:rPr>
                <w:color w:val="auto"/>
                <w:kern w:val="0"/>
                <w:sz w:val="18"/>
                <w:szCs w:val="18"/>
                <w:highlight w:val="none"/>
              </w:rPr>
              <w:softHyphen/>
            </w:r>
            <w:r>
              <w:rPr>
                <w:color w:val="auto"/>
                <w:kern w:val="0"/>
                <w:sz w:val="18"/>
                <w:szCs w:val="18"/>
                <w:highlight w:val="none"/>
              </w:rPr>
              <w:softHyphen/>
            </w:r>
            <w:r>
              <w:rPr>
                <w:color w:val="auto"/>
                <w:kern w:val="0"/>
                <w:sz w:val="18"/>
                <w:szCs w:val="18"/>
                <w:highlight w:val="none"/>
              </w:rPr>
              <w:t>30～50</w:t>
            </w:r>
            <w:r>
              <w:rPr>
                <w:rFonts w:hint="eastAsia" w:ascii="宋体" w:hAnsi="宋体" w:cs="宋体"/>
                <w:color w:val="auto"/>
                <w:kern w:val="0"/>
                <w:sz w:val="18"/>
                <w:szCs w:val="18"/>
                <w:highlight w:val="none"/>
              </w:rPr>
              <w:t>℃</w:t>
            </w:r>
            <w:r>
              <w:rPr>
                <w:color w:val="auto"/>
                <w:kern w:val="0"/>
                <w:sz w:val="18"/>
                <w:szCs w:val="18"/>
                <w:highlight w:val="none"/>
              </w:rPr>
              <w:t>。</w:t>
            </w:r>
          </w:p>
        </w:tc>
        <w:tc>
          <w:tcPr>
            <w:tcW w:w="1247" w:type="dxa"/>
            <w:tcBorders>
              <w:top w:val="single" w:color="auto" w:sz="4" w:space="0"/>
              <w:left w:val="nil"/>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sz w:val="18"/>
                <w:szCs w:val="18"/>
                <w:highlight w:val="none"/>
              </w:rPr>
              <w:t>1</w:t>
            </w:r>
          </w:p>
        </w:tc>
        <w:tc>
          <w:tcPr>
            <w:tcW w:w="85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961" w:type="dxa"/>
            <w:tcBorders>
              <w:top w:val="single" w:color="auto" w:sz="4" w:space="0"/>
              <w:left w:val="nil"/>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17" w:type="dxa"/>
            <w:tcBorders>
              <w:top w:val="single" w:color="auto" w:sz="4" w:space="0"/>
              <w:left w:val="nil"/>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trHeight w:val="704" w:hRule="atLeast"/>
          <w:jc w:val="center"/>
        </w:trPr>
        <w:tc>
          <w:tcPr>
            <w:tcW w:w="101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2.仪器性能测试</w:t>
            </w:r>
          </w:p>
          <w:p>
            <w:pPr>
              <w:adjustRightInd w:val="0"/>
              <w:snapToGrid w:val="0"/>
              <w:ind w:left="-105" w:leftChars="-50" w:right="-105" w:rightChars="-50"/>
              <w:jc w:val="center"/>
              <w:rPr>
                <w:b/>
                <w:bCs/>
                <w:color w:val="auto"/>
                <w:sz w:val="18"/>
                <w:szCs w:val="18"/>
                <w:highlight w:val="none"/>
              </w:rPr>
            </w:pPr>
            <w:r>
              <w:rPr>
                <w:b/>
                <w:bCs/>
                <w:color w:val="auto"/>
                <w:sz w:val="18"/>
                <w:szCs w:val="18"/>
                <w:highlight w:val="none"/>
              </w:rPr>
              <w:t>（41分）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sz w:val="18"/>
                <w:szCs w:val="18"/>
                <w:highlight w:val="none"/>
              </w:rPr>
              <w:t>仪器是否出现除停电重启外的其他报警信息。</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1</w:t>
            </w:r>
          </w:p>
        </w:tc>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left"/>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动态校准仪流量测试：</w:t>
            </w:r>
          </w:p>
          <w:p>
            <w:pPr>
              <w:adjustRightInd w:val="0"/>
              <w:snapToGrid w:val="0"/>
              <w:jc w:val="left"/>
              <w:rPr>
                <w:color w:val="auto"/>
                <w:kern w:val="0"/>
                <w:sz w:val="18"/>
                <w:szCs w:val="18"/>
                <w:highlight w:val="none"/>
                <w:u w:val="single"/>
              </w:rPr>
            </w:pPr>
            <w:r>
              <w:rPr>
                <w:color w:val="auto"/>
                <w:kern w:val="0"/>
                <w:sz w:val="18"/>
                <w:szCs w:val="18"/>
                <w:highlight w:val="none"/>
              </w:rPr>
              <w:t>零气MFC流量：________L/min,标准流量计测值：________L/min，相对误差</w:t>
            </w:r>
            <w:r>
              <w:rPr>
                <w:color w:val="auto"/>
                <w:kern w:val="0"/>
                <w:sz w:val="18"/>
                <w:szCs w:val="18"/>
                <w:highlight w:val="none"/>
                <w:u w:val="single"/>
              </w:rPr>
              <w:t xml:space="preserve">          %</w:t>
            </w:r>
            <w:r>
              <w:rPr>
                <w:color w:val="auto"/>
                <w:kern w:val="0"/>
                <w:sz w:val="18"/>
                <w:szCs w:val="18"/>
                <w:highlight w:val="none"/>
              </w:rPr>
              <w:t>（≤±2%）</w:t>
            </w:r>
          </w:p>
          <w:p>
            <w:pPr>
              <w:adjustRightInd w:val="0"/>
              <w:snapToGrid w:val="0"/>
              <w:jc w:val="left"/>
              <w:rPr>
                <w:color w:val="auto"/>
                <w:kern w:val="0"/>
                <w:sz w:val="18"/>
                <w:szCs w:val="18"/>
                <w:highlight w:val="none"/>
                <w:u w:val="single"/>
              </w:rPr>
            </w:pPr>
            <w:r>
              <w:rPr>
                <w:color w:val="auto"/>
                <w:kern w:val="0"/>
                <w:sz w:val="18"/>
                <w:szCs w:val="18"/>
                <w:highlight w:val="none"/>
              </w:rPr>
              <w:t>标气MFC流量：________mL/min,标准流量计测值：________mL/min，相对误差</w:t>
            </w:r>
            <w:r>
              <w:rPr>
                <w:color w:val="auto"/>
                <w:kern w:val="0"/>
                <w:sz w:val="18"/>
                <w:szCs w:val="18"/>
                <w:highlight w:val="none"/>
                <w:u w:val="single"/>
              </w:rPr>
              <w:t xml:space="preserve">           %</w:t>
            </w:r>
            <w:r>
              <w:rPr>
                <w:color w:val="auto"/>
                <w:kern w:val="0"/>
                <w:sz w:val="18"/>
                <w:szCs w:val="18"/>
                <w:highlight w:val="none"/>
              </w:rPr>
              <w:t>（≤±2%）</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气态污染物采样流量测试：</w:t>
            </w:r>
          </w:p>
          <w:p>
            <w:pPr>
              <w:adjustRightInd w:val="0"/>
              <w:snapToGrid w:val="0"/>
              <w:jc w:val="left"/>
              <w:rPr>
                <w:color w:val="auto"/>
                <w:kern w:val="0"/>
                <w:sz w:val="18"/>
                <w:szCs w:val="18"/>
                <w:highlight w:val="none"/>
                <w:u w:val="single"/>
              </w:rPr>
            </w:pPr>
            <w:r>
              <w:rPr>
                <w:color w:val="auto"/>
                <w:kern w:val="0"/>
                <w:sz w:val="18"/>
                <w:szCs w:val="18"/>
                <w:highlight w:val="none"/>
              </w:rPr>
              <w:t>SO</w:t>
            </w:r>
            <w:r>
              <w:rPr>
                <w:color w:val="auto"/>
                <w:kern w:val="0"/>
                <w:sz w:val="18"/>
                <w:szCs w:val="18"/>
                <w:highlight w:val="none"/>
                <w:vertAlign w:val="subscript"/>
              </w:rPr>
              <w:t>2</w:t>
            </w:r>
            <w:r>
              <w:rPr>
                <w:color w:val="auto"/>
                <w:kern w:val="0"/>
                <w:sz w:val="18"/>
                <w:szCs w:val="18"/>
                <w:highlight w:val="none"/>
              </w:rPr>
              <w:t>显示流量：________L/min，流量计测值：________L/min，相对误差________%（≤±10%）；</w:t>
            </w:r>
          </w:p>
          <w:p>
            <w:pPr>
              <w:adjustRightInd w:val="0"/>
              <w:snapToGrid w:val="0"/>
              <w:jc w:val="left"/>
              <w:rPr>
                <w:color w:val="auto"/>
                <w:kern w:val="0"/>
                <w:sz w:val="18"/>
                <w:szCs w:val="18"/>
                <w:highlight w:val="none"/>
                <w:u w:val="single"/>
              </w:rPr>
            </w:pPr>
            <w:r>
              <w:rPr>
                <w:color w:val="auto"/>
                <w:kern w:val="0"/>
                <w:sz w:val="18"/>
                <w:szCs w:val="18"/>
                <w:highlight w:val="none"/>
              </w:rPr>
              <w:t>NO</w:t>
            </w:r>
            <w:r>
              <w:rPr>
                <w:color w:val="auto"/>
                <w:kern w:val="0"/>
                <w:sz w:val="18"/>
                <w:szCs w:val="18"/>
                <w:highlight w:val="none"/>
                <w:vertAlign w:val="subscript"/>
              </w:rPr>
              <w:t>x</w:t>
            </w:r>
            <w:r>
              <w:rPr>
                <w:color w:val="auto"/>
                <w:kern w:val="0"/>
                <w:sz w:val="18"/>
                <w:szCs w:val="18"/>
                <w:highlight w:val="none"/>
              </w:rPr>
              <w:t>显示流量：________L/min，流量计测值：________L/min，相对误差________%（≤±10%）；</w:t>
            </w:r>
          </w:p>
          <w:p>
            <w:pPr>
              <w:adjustRightInd w:val="0"/>
              <w:snapToGrid w:val="0"/>
              <w:jc w:val="left"/>
              <w:rPr>
                <w:color w:val="auto"/>
                <w:kern w:val="0"/>
                <w:sz w:val="18"/>
                <w:szCs w:val="18"/>
                <w:highlight w:val="none"/>
                <w:u w:val="single"/>
              </w:rPr>
            </w:pPr>
            <w:r>
              <w:rPr>
                <w:color w:val="auto"/>
                <w:kern w:val="0"/>
                <w:sz w:val="18"/>
                <w:szCs w:val="18"/>
                <w:highlight w:val="none"/>
              </w:rPr>
              <w:t>CO显示流量：________L/min，流量计测值：________L/min，相对误差________%（≤±10%）；</w:t>
            </w:r>
          </w:p>
          <w:p>
            <w:pPr>
              <w:adjustRightInd w:val="0"/>
              <w:snapToGrid w:val="0"/>
              <w:jc w:val="left"/>
              <w:rPr>
                <w:color w:val="auto"/>
                <w:kern w:val="0"/>
                <w:sz w:val="18"/>
                <w:szCs w:val="18"/>
                <w:highlight w:val="none"/>
                <w:u w:val="single"/>
              </w:rPr>
            </w:pPr>
            <w:r>
              <w:rPr>
                <w:color w:val="auto"/>
                <w:kern w:val="0"/>
                <w:sz w:val="18"/>
                <w:szCs w:val="18"/>
                <w:highlight w:val="none"/>
              </w:rPr>
              <w:t>O</w:t>
            </w:r>
            <w:r>
              <w:rPr>
                <w:color w:val="auto"/>
                <w:kern w:val="0"/>
                <w:sz w:val="18"/>
                <w:szCs w:val="18"/>
                <w:highlight w:val="none"/>
                <w:vertAlign w:val="subscript"/>
              </w:rPr>
              <w:t>3</w:t>
            </w:r>
            <w:r>
              <w:rPr>
                <w:color w:val="auto"/>
                <w:kern w:val="0"/>
                <w:sz w:val="18"/>
                <w:szCs w:val="18"/>
                <w:highlight w:val="none"/>
              </w:rPr>
              <w:t>显示流量：________L/min，流量计测值：________L/min，相对误差________%（≤±10%）</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10</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颗粒物采样总流量测试：</w:t>
            </w:r>
          </w:p>
          <w:p>
            <w:pPr>
              <w:adjustRightInd w:val="0"/>
              <w:snapToGrid w:val="0"/>
              <w:jc w:val="left"/>
              <w:rPr>
                <w:color w:val="auto"/>
                <w:kern w:val="0"/>
                <w:sz w:val="18"/>
                <w:szCs w:val="18"/>
                <w:highlight w:val="none"/>
                <w:u w:val="single"/>
              </w:rPr>
            </w:pPr>
            <w:r>
              <w:rPr>
                <w:color w:val="auto"/>
                <w:kern w:val="0"/>
                <w:sz w:val="18"/>
                <w:szCs w:val="18"/>
                <w:highlight w:val="none"/>
              </w:rPr>
              <w:t>PM</w:t>
            </w:r>
            <w:r>
              <w:rPr>
                <w:color w:val="auto"/>
                <w:kern w:val="0"/>
                <w:sz w:val="18"/>
                <w:szCs w:val="18"/>
                <w:highlight w:val="none"/>
                <w:vertAlign w:val="subscript"/>
              </w:rPr>
              <w:t>10</w:t>
            </w:r>
            <w:r>
              <w:rPr>
                <w:color w:val="auto"/>
                <w:kern w:val="0"/>
                <w:sz w:val="18"/>
                <w:szCs w:val="18"/>
                <w:highlight w:val="none"/>
              </w:rPr>
              <w:t>：流量计：________L/min，相对误差________%（≤±5%）</w:t>
            </w:r>
          </w:p>
          <w:p>
            <w:pPr>
              <w:adjustRightInd w:val="0"/>
              <w:snapToGrid w:val="0"/>
              <w:jc w:val="left"/>
              <w:rPr>
                <w:color w:val="auto"/>
                <w:kern w:val="0"/>
                <w:sz w:val="18"/>
                <w:szCs w:val="18"/>
                <w:highlight w:val="none"/>
                <w:u w:val="single"/>
              </w:rPr>
            </w:pPr>
            <w:r>
              <w:rPr>
                <w:color w:val="auto"/>
                <w:kern w:val="0"/>
                <w:sz w:val="18"/>
                <w:szCs w:val="18"/>
                <w:highlight w:val="none"/>
              </w:rPr>
              <w:t>PM</w:t>
            </w:r>
            <w:r>
              <w:rPr>
                <w:color w:val="auto"/>
                <w:kern w:val="0"/>
                <w:sz w:val="18"/>
                <w:szCs w:val="18"/>
                <w:highlight w:val="none"/>
                <w:vertAlign w:val="subscript"/>
              </w:rPr>
              <w:t>2.5</w:t>
            </w:r>
            <w:r>
              <w:rPr>
                <w:color w:val="auto"/>
                <w:kern w:val="0"/>
                <w:sz w:val="18"/>
                <w:szCs w:val="18"/>
                <w:highlight w:val="none"/>
              </w:rPr>
              <w:t>：流量计：________L/min，相对误差________%（≤±5%）</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SO</w:t>
            </w:r>
            <w:r>
              <w:rPr>
                <w:color w:val="auto"/>
                <w:kern w:val="0"/>
                <w:sz w:val="18"/>
                <w:szCs w:val="18"/>
                <w:highlight w:val="none"/>
                <w:vertAlign w:val="subscript"/>
              </w:rPr>
              <w:t>2</w:t>
            </w:r>
            <w:r>
              <w:rPr>
                <w:color w:val="auto"/>
                <w:kern w:val="0"/>
                <w:sz w:val="18"/>
                <w:szCs w:val="18"/>
                <w:highlight w:val="none"/>
              </w:rPr>
              <w:t>跨度测试：标气浓度_________,有效期________。输出________ppb，仪器响应________ppb，误差_______（≤±5%），响应时间t90：________min（≤5min）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NO跨度测试：标气浓度_________,有效期________。输出________ppb，仪器响应________ppb，NO</w:t>
            </w:r>
            <w:r>
              <w:rPr>
                <w:color w:val="auto"/>
                <w:kern w:val="0"/>
                <w:sz w:val="18"/>
                <w:szCs w:val="18"/>
                <w:highlight w:val="none"/>
                <w:vertAlign w:val="subscript"/>
              </w:rPr>
              <w:t>2</w:t>
            </w:r>
            <w:r>
              <w:rPr>
                <w:color w:val="auto"/>
                <w:kern w:val="0"/>
                <w:sz w:val="18"/>
                <w:szCs w:val="18"/>
                <w:highlight w:val="none"/>
              </w:rPr>
              <w:t>响应浓度_____ppb（&lt;±5），浓度误差______（≤±5%）响应时间t90：________min（≤5 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CO跨度测试：标气浓度_________,有效期________。输出：________ppm，仪器响应________ppm，浓度误差_____（≤±5%）响应时间t90：________min（≤5 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O</w:t>
            </w:r>
            <w:r>
              <w:rPr>
                <w:color w:val="auto"/>
                <w:kern w:val="0"/>
                <w:sz w:val="18"/>
                <w:szCs w:val="18"/>
                <w:highlight w:val="none"/>
                <w:vertAlign w:val="subscript"/>
              </w:rPr>
              <w:t>3</w:t>
            </w:r>
            <w:r>
              <w:rPr>
                <w:color w:val="auto"/>
                <w:kern w:val="0"/>
                <w:sz w:val="18"/>
                <w:szCs w:val="18"/>
                <w:highlight w:val="none"/>
              </w:rPr>
              <w:t>跨度测试：输出：________ppb，仪器响应浓度________ppb，浓度误差________（≤±5%）</w:t>
            </w:r>
          </w:p>
          <w:p>
            <w:pPr>
              <w:adjustRightInd w:val="0"/>
              <w:snapToGrid w:val="0"/>
              <w:jc w:val="left"/>
              <w:rPr>
                <w:color w:val="auto"/>
                <w:kern w:val="0"/>
                <w:sz w:val="18"/>
                <w:szCs w:val="18"/>
                <w:highlight w:val="none"/>
              </w:rPr>
            </w:pPr>
            <w:r>
              <w:rPr>
                <w:color w:val="auto"/>
                <w:kern w:val="0"/>
                <w:sz w:val="18"/>
                <w:szCs w:val="18"/>
                <w:highlight w:val="none"/>
              </w:rPr>
              <w:t>响应时间t90：________min（≤5 min）</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一项不满足扣2.5分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sz w:val="18"/>
                <w:szCs w:val="18"/>
                <w:highlight w:val="none"/>
              </w:rPr>
            </w:pPr>
          </w:p>
        </w:tc>
      </w:tr>
      <w:tr>
        <w:tblPrEx>
          <w:tblCellMar>
            <w:top w:w="0" w:type="dxa"/>
            <w:left w:w="108" w:type="dxa"/>
            <w:bottom w:w="0" w:type="dxa"/>
            <w:right w:w="108" w:type="dxa"/>
          </w:tblCellMar>
        </w:tblPrEx>
        <w:trPr>
          <w:trHeight w:val="787" w:hRule="atLeast"/>
          <w:jc w:val="center"/>
        </w:trPr>
        <w:tc>
          <w:tcPr>
            <w:tcW w:w="101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3.记录（报告）完整性</w:t>
            </w:r>
          </w:p>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（16分）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按规定对设备巡检维护，填写巡检记录。</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8</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缺一份扣1分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698"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记录清晰完整。</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一份不满足扣1分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用于校准的设备（流量计、温度计、大气压计）是否每年通过计量检定。</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r>
              <w:rPr>
                <w:color w:val="auto"/>
                <w:sz w:val="18"/>
                <w:szCs w:val="18"/>
                <w:highlight w:val="none"/>
              </w:rPr>
              <w:t>一项不满足扣1分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690"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widowControl/>
              <w:ind w:left="-105" w:leftChars="-50" w:right="-105" w:rightChars="-50"/>
              <w:jc w:val="center"/>
              <w:rPr>
                <w:b/>
                <w:bCs/>
                <w:color w:val="auto"/>
                <w:kern w:val="0"/>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sz w:val="18"/>
                <w:szCs w:val="18"/>
                <w:highlight w:val="none"/>
              </w:rPr>
            </w:pPr>
            <w:r>
              <w:rPr>
                <w:color w:val="auto"/>
                <w:sz w:val="18"/>
                <w:szCs w:val="18"/>
                <w:highlight w:val="none"/>
              </w:rPr>
              <w:t>现场臭氧工作标准是否每年一次经过量值溯源，并提供传递报告。</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sz w:val="18"/>
                <w:szCs w:val="18"/>
                <w:highlight w:val="none"/>
              </w:rPr>
            </w:pPr>
            <w:r>
              <w:rPr>
                <w:color w:val="auto"/>
                <w:sz w:val="18"/>
                <w:szCs w:val="18"/>
                <w:highlight w:val="none"/>
              </w:rPr>
              <w:t>2</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700" w:hRule="atLeast"/>
          <w:jc w:val="center"/>
        </w:trPr>
        <w:tc>
          <w:tcPr>
            <w:tcW w:w="101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4.外出监测情况</w:t>
            </w:r>
          </w:p>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（30分）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外出监测时，是否有运维人员现场跟车服务。</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10</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710"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是否及时发现监测过程中出现的问题。</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692"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出现仪器故障是否按规定处理。</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702" w:hRule="atLeast"/>
          <w:jc w:val="center"/>
        </w:trPr>
        <w:tc>
          <w:tcPr>
            <w:tcW w:w="1014"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r>
              <w:rPr>
                <w:color w:val="auto"/>
                <w:kern w:val="0"/>
                <w:sz w:val="18"/>
                <w:szCs w:val="18"/>
                <w:highlight w:val="none"/>
              </w:rPr>
              <w:t>监测时段小时有效数据获取率是否大于80%。</w:t>
            </w: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10</w:t>
            </w:r>
          </w:p>
        </w:tc>
        <w:tc>
          <w:tcPr>
            <w:tcW w:w="851" w:type="dxa"/>
            <w:tcBorders>
              <w:top w:val="single" w:color="auto" w:sz="4" w:space="0"/>
              <w:left w:val="single" w:color="auto" w:sz="4" w:space="0"/>
              <w:bottom w:val="single" w:color="auto" w:sz="4" w:space="0"/>
              <w:right w:val="single" w:color="auto" w:sz="4" w:space="0"/>
            </w:tcBorders>
            <w:vAlign w:val="center"/>
          </w:tcPr>
          <w:p>
            <w:pPr>
              <w:snapToGrid w:val="0"/>
              <w:rPr>
                <w:color w:val="auto"/>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r>
        <w:tblPrEx>
          <w:tblCellMar>
            <w:top w:w="0" w:type="dxa"/>
            <w:left w:w="108" w:type="dxa"/>
            <w:bottom w:w="0" w:type="dxa"/>
            <w:right w:w="108" w:type="dxa"/>
          </w:tblCellMar>
        </w:tblPrEx>
        <w:trPr>
          <w:trHeight w:val="698" w:hRule="atLeast"/>
          <w:jc w:val="center"/>
        </w:trPr>
        <w:tc>
          <w:tcPr>
            <w:tcW w:w="1014" w:type="dxa"/>
            <w:tcBorders>
              <w:top w:val="single" w:color="auto" w:sz="4" w:space="0"/>
              <w:left w:val="single" w:color="auto" w:sz="4" w:space="0"/>
              <w:bottom w:val="single" w:color="auto" w:sz="4" w:space="0"/>
              <w:right w:val="single" w:color="auto" w:sz="4" w:space="0"/>
            </w:tcBorders>
            <w:vAlign w:val="center"/>
          </w:tcPr>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5. 其他问题</w:t>
            </w:r>
          </w:p>
          <w:p>
            <w:pPr>
              <w:adjustRightInd w:val="0"/>
              <w:snapToGrid w:val="0"/>
              <w:ind w:left="-105" w:leftChars="-50" w:right="-105" w:rightChars="-50"/>
              <w:jc w:val="center"/>
              <w:rPr>
                <w:b/>
                <w:bCs/>
                <w:color w:val="auto"/>
                <w:kern w:val="0"/>
                <w:sz w:val="18"/>
                <w:szCs w:val="18"/>
                <w:highlight w:val="none"/>
              </w:rPr>
            </w:pPr>
            <w:r>
              <w:rPr>
                <w:b/>
                <w:bCs/>
                <w:color w:val="auto"/>
                <w:kern w:val="0"/>
                <w:sz w:val="18"/>
                <w:szCs w:val="18"/>
                <w:highlight w:val="none"/>
              </w:rPr>
              <w:t>（5分）</w:t>
            </w:r>
          </w:p>
        </w:tc>
        <w:tc>
          <w:tcPr>
            <w:tcW w:w="408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color w:val="auto"/>
                <w:kern w:val="0"/>
                <w:sz w:val="18"/>
                <w:szCs w:val="18"/>
                <w:highlight w:val="none"/>
              </w:rPr>
            </w:pPr>
          </w:p>
        </w:tc>
        <w:tc>
          <w:tcPr>
            <w:tcW w:w="12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rPr>
                <w:color w:val="auto"/>
                <w:kern w:val="0"/>
                <w:sz w:val="18"/>
                <w:szCs w:val="18"/>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r>
              <w:rPr>
                <w:color w:val="auto"/>
                <w:kern w:val="0"/>
                <w:sz w:val="18"/>
                <w:szCs w:val="18"/>
                <w:highlight w:val="none"/>
              </w:rPr>
              <w:t>根据现场检查情况扣分。</w:t>
            </w:r>
          </w:p>
        </w:tc>
      </w:tr>
      <w:tr>
        <w:tblPrEx>
          <w:tblCellMar>
            <w:top w:w="0" w:type="dxa"/>
            <w:left w:w="108" w:type="dxa"/>
            <w:bottom w:w="0" w:type="dxa"/>
            <w:right w:w="108" w:type="dxa"/>
          </w:tblCellMar>
        </w:tblPrEx>
        <w:trPr>
          <w:trHeight w:val="850" w:hRule="atLeast"/>
          <w:jc w:val="center"/>
        </w:trPr>
        <w:tc>
          <w:tcPr>
            <w:tcW w:w="7196"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r>
              <w:rPr>
                <w:color w:val="auto"/>
                <w:kern w:val="0"/>
                <w:sz w:val="18"/>
                <w:szCs w:val="18"/>
                <w:highlight w:val="none"/>
              </w:rPr>
              <w:t>总分</w:t>
            </w:r>
          </w:p>
        </w:tc>
        <w:tc>
          <w:tcPr>
            <w:tcW w:w="96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color w:val="auto"/>
                <w:kern w:val="0"/>
                <w:sz w:val="18"/>
                <w:szCs w:val="18"/>
                <w:highlight w:val="none"/>
              </w:rPr>
            </w:pPr>
          </w:p>
        </w:tc>
        <w:tc>
          <w:tcPr>
            <w:tcW w:w="1417" w:type="dxa"/>
            <w:tcBorders>
              <w:top w:val="single" w:color="auto" w:sz="4" w:space="0"/>
              <w:left w:val="single" w:color="auto" w:sz="4" w:space="0"/>
              <w:bottom w:val="single" w:color="auto" w:sz="4" w:space="0"/>
              <w:right w:val="single" w:color="auto" w:sz="4" w:space="0"/>
            </w:tcBorders>
          </w:tcPr>
          <w:p>
            <w:pPr>
              <w:adjustRightInd w:val="0"/>
              <w:snapToGrid w:val="0"/>
              <w:jc w:val="center"/>
              <w:rPr>
                <w:color w:val="auto"/>
                <w:kern w:val="0"/>
                <w:sz w:val="18"/>
                <w:szCs w:val="18"/>
                <w:highlight w:val="none"/>
              </w:rPr>
            </w:pPr>
          </w:p>
        </w:tc>
      </w:tr>
    </w:tbl>
    <w:p>
      <w:pPr>
        <w:widowControl/>
        <w:adjustRightInd w:val="0"/>
        <w:snapToGrid w:val="0"/>
        <w:spacing w:line="240" w:lineRule="exact"/>
        <w:rPr>
          <w:color w:val="auto"/>
          <w:kern w:val="0"/>
          <w:sz w:val="18"/>
          <w:szCs w:val="18"/>
          <w:highlight w:val="none"/>
        </w:rPr>
      </w:pPr>
    </w:p>
    <w:p>
      <w:pPr>
        <w:widowControl/>
        <w:adjustRightInd w:val="0"/>
        <w:snapToGrid w:val="0"/>
        <w:spacing w:line="360" w:lineRule="auto"/>
        <w:rPr>
          <w:b/>
          <w:bCs/>
          <w:color w:val="auto"/>
          <w:kern w:val="0"/>
          <w:szCs w:val="21"/>
          <w:highlight w:val="none"/>
        </w:rPr>
      </w:pPr>
      <w:r>
        <w:rPr>
          <w:b/>
          <w:bCs/>
          <w:color w:val="auto"/>
          <w:kern w:val="0"/>
          <w:szCs w:val="21"/>
          <w:highlight w:val="none"/>
        </w:rPr>
        <w:t>本表总分100分，按扣分值计算。</w:t>
      </w:r>
    </w:p>
    <w:p>
      <w:pPr>
        <w:rPr>
          <w:color w:val="auto"/>
          <w:highlight w:val="none"/>
          <w:u w:val="single"/>
        </w:rPr>
      </w:pPr>
      <w:r>
        <w:rPr>
          <w:b/>
          <w:bCs/>
          <w:color w:val="auto"/>
          <w:highlight w:val="none"/>
        </w:rPr>
        <w:t>检查日期</w:t>
      </w:r>
      <w:r>
        <w:rPr>
          <w:color w:val="auto"/>
          <w:highlight w:val="none"/>
        </w:rPr>
        <w:t>：</w:t>
      </w:r>
      <w:r>
        <w:rPr>
          <w:color w:val="auto"/>
          <w:highlight w:val="none"/>
          <w:u w:val="single"/>
        </w:rPr>
        <w:t xml:space="preserve">                 </w:t>
      </w:r>
      <w:r>
        <w:rPr>
          <w:color w:val="auto"/>
          <w:highlight w:val="none"/>
        </w:rPr>
        <w:t xml:space="preserve">                       </w:t>
      </w:r>
      <w:r>
        <w:rPr>
          <w:b/>
          <w:bCs/>
          <w:color w:val="auto"/>
          <w:highlight w:val="none"/>
        </w:rPr>
        <w:t>检查人员</w:t>
      </w:r>
      <w:r>
        <w:rPr>
          <w:color w:val="auto"/>
          <w:highlight w:val="none"/>
        </w:rPr>
        <w:t>：</w:t>
      </w:r>
      <w:r>
        <w:rPr>
          <w:color w:val="auto"/>
          <w:highlight w:val="none"/>
          <w:u w:val="single"/>
        </w:rPr>
        <w:t xml:space="preserve">                         </w:t>
      </w:r>
    </w:p>
    <w:p>
      <w:pPr>
        <w:rPr>
          <w:b/>
          <w:color w:val="auto"/>
          <w:highlight w:val="none"/>
        </w:rPr>
      </w:pPr>
      <w:r>
        <w:rPr>
          <w:color w:val="auto"/>
          <w:highlight w:val="none"/>
        </w:rPr>
        <w:t xml:space="preserve">                                                 </w:t>
      </w:r>
      <w:r>
        <w:rPr>
          <w:b/>
          <w:color w:val="auto"/>
          <w:highlight w:val="none"/>
        </w:rPr>
        <w:t xml:space="preserve"> 运维人员：</w:t>
      </w:r>
      <w:r>
        <w:rPr>
          <w:color w:val="auto"/>
          <w:highlight w:val="none"/>
          <w:u w:val="single"/>
        </w:rPr>
        <w:t xml:space="preserve">                       </w:t>
      </w:r>
    </w:p>
    <w:p>
      <w:pPr>
        <w:snapToGrid w:val="0"/>
        <w:spacing w:line="360" w:lineRule="auto"/>
        <w:rPr>
          <w:b/>
          <w:color w:val="auto"/>
          <w:sz w:val="24"/>
          <w:highlight w:val="none"/>
        </w:rPr>
      </w:pPr>
    </w:p>
    <w:p>
      <w:pPr>
        <w:widowControl/>
        <w:jc w:val="left"/>
        <w:rPr>
          <w:color w:val="auto"/>
          <w:highlight w:val="none"/>
        </w:rPr>
      </w:pPr>
      <w:r>
        <w:rPr>
          <w:color w:val="auto"/>
          <w:highlight w:val="none"/>
        </w:rPr>
        <w:br w:type="page"/>
      </w:r>
    </w:p>
    <w:p>
      <w:pPr>
        <w:snapToGrid w:val="0"/>
        <w:spacing w:line="360" w:lineRule="auto"/>
        <w:rPr>
          <w:b/>
          <w:bCs/>
          <w:color w:val="auto"/>
          <w:sz w:val="28"/>
          <w:highlight w:val="none"/>
        </w:rPr>
      </w:pPr>
      <w:r>
        <w:rPr>
          <w:rFonts w:hint="eastAsia"/>
          <w:b/>
          <w:bCs/>
          <w:color w:val="auto"/>
          <w:sz w:val="28"/>
          <w:highlight w:val="none"/>
        </w:rPr>
        <w:t>附</w:t>
      </w:r>
      <w:r>
        <w:rPr>
          <w:b/>
          <w:bCs/>
          <w:color w:val="auto"/>
          <w:sz w:val="28"/>
          <w:highlight w:val="none"/>
        </w:rPr>
        <w:t>表3</w:t>
      </w:r>
    </w:p>
    <w:p>
      <w:pPr>
        <w:snapToGrid w:val="0"/>
        <w:spacing w:line="360" w:lineRule="auto"/>
        <w:jc w:val="center"/>
        <w:rPr>
          <w:b/>
          <w:bCs/>
          <w:color w:val="auto"/>
          <w:sz w:val="28"/>
          <w:highlight w:val="none"/>
        </w:rPr>
      </w:pPr>
      <w:r>
        <w:rPr>
          <w:rFonts w:hint="eastAsia"/>
          <w:b/>
          <w:bCs/>
          <w:color w:val="auto"/>
          <w:sz w:val="28"/>
          <w:highlight w:val="none"/>
        </w:rPr>
        <w:t>国控、</w:t>
      </w:r>
      <w:r>
        <w:rPr>
          <w:b/>
          <w:bCs/>
          <w:color w:val="auto"/>
          <w:sz w:val="28"/>
          <w:highlight w:val="none"/>
        </w:rPr>
        <w:t>区控环境空气自动监测质量现场检查评分表（常规6参数）</w:t>
      </w:r>
    </w:p>
    <w:p>
      <w:pPr>
        <w:snapToGrid w:val="0"/>
        <w:spacing w:before="156" w:after="156" w:line="360" w:lineRule="auto"/>
        <w:jc w:val="left"/>
        <w:rPr>
          <w:b/>
          <w:bCs/>
          <w:color w:val="auto"/>
          <w:highlight w:val="none"/>
        </w:rPr>
      </w:pPr>
      <w:r>
        <w:rPr>
          <w:b/>
          <w:bCs/>
          <w:color w:val="auto"/>
          <w:kern w:val="0"/>
          <w:highlight w:val="none"/>
        </w:rPr>
        <w:t>站点所在地</w:t>
      </w:r>
      <w:r>
        <w:rPr>
          <w:color w:val="auto"/>
          <w:kern w:val="0"/>
          <w:highlight w:val="none"/>
        </w:rPr>
        <w:t>：</w:t>
      </w:r>
      <w:r>
        <w:rPr>
          <w:color w:val="auto"/>
          <w:kern w:val="0"/>
          <w:highlight w:val="none"/>
          <w:u w:val="single"/>
        </w:rPr>
        <w:t xml:space="preserve">                     </w:t>
      </w:r>
      <w:r>
        <w:rPr>
          <w:color w:val="auto"/>
          <w:kern w:val="0"/>
          <w:highlight w:val="none"/>
        </w:rPr>
        <w:t xml:space="preserve">市    </w:t>
      </w:r>
      <w:r>
        <w:rPr>
          <w:b/>
          <w:bCs/>
          <w:color w:val="auto"/>
          <w:kern w:val="0"/>
          <w:highlight w:val="none"/>
        </w:rPr>
        <w:t>子站名称：</w:t>
      </w:r>
      <w:r>
        <w:rPr>
          <w:color w:val="auto"/>
          <w:kern w:val="0"/>
          <w:highlight w:val="none"/>
          <w:u w:val="single"/>
        </w:rPr>
        <w:t xml:space="preserve">                           </w:t>
      </w:r>
    </w:p>
    <w:p>
      <w:pPr>
        <w:snapToGrid w:val="0"/>
        <w:spacing w:line="360" w:lineRule="auto"/>
        <w:rPr>
          <w:color w:val="auto"/>
          <w:kern w:val="0"/>
          <w:highlight w:val="none"/>
          <w:u w:val="single"/>
        </w:rPr>
      </w:pPr>
      <w:r>
        <w:rPr>
          <w:b/>
          <w:bCs/>
          <w:color w:val="auto"/>
          <w:kern w:val="0"/>
          <w:highlight w:val="none"/>
        </w:rPr>
        <w:t>仪器型号</w:t>
      </w:r>
      <w:r>
        <w:rPr>
          <w:color w:val="auto"/>
          <w:kern w:val="0"/>
          <w:highlight w:val="none"/>
        </w:rPr>
        <w:t>：SO</w:t>
      </w:r>
      <w:r>
        <w:rPr>
          <w:color w:val="auto"/>
          <w:kern w:val="0"/>
          <w:highlight w:val="none"/>
          <w:vertAlign w:val="subscript"/>
        </w:rPr>
        <w:t>2</w:t>
      </w:r>
      <w:r>
        <w:rPr>
          <w:color w:val="auto"/>
          <w:kern w:val="0"/>
          <w:highlight w:val="none"/>
        </w:rPr>
        <w:t>：</w:t>
      </w:r>
      <w:r>
        <w:rPr>
          <w:color w:val="auto"/>
          <w:kern w:val="0"/>
          <w:highlight w:val="none"/>
          <w:u w:val="single"/>
        </w:rPr>
        <w:t xml:space="preserve">        </w:t>
      </w:r>
      <w:r>
        <w:rPr>
          <w:color w:val="auto"/>
          <w:kern w:val="0"/>
          <w:highlight w:val="none"/>
        </w:rPr>
        <w:t xml:space="preserve"> NOx：</w:t>
      </w:r>
      <w:r>
        <w:rPr>
          <w:color w:val="auto"/>
          <w:kern w:val="0"/>
          <w:highlight w:val="none"/>
          <w:u w:val="single"/>
        </w:rPr>
        <w:t xml:space="preserve">       </w:t>
      </w:r>
      <w:r>
        <w:rPr>
          <w:color w:val="auto"/>
          <w:kern w:val="0"/>
          <w:highlight w:val="none"/>
        </w:rPr>
        <w:t xml:space="preserve"> O</w:t>
      </w:r>
      <w:r>
        <w:rPr>
          <w:color w:val="auto"/>
          <w:kern w:val="0"/>
          <w:highlight w:val="none"/>
          <w:vertAlign w:val="subscript"/>
        </w:rPr>
        <w:t>3</w:t>
      </w:r>
      <w:r>
        <w:rPr>
          <w:color w:val="auto"/>
          <w:kern w:val="0"/>
          <w:highlight w:val="none"/>
        </w:rPr>
        <w:t>：</w:t>
      </w:r>
      <w:r>
        <w:rPr>
          <w:color w:val="auto"/>
          <w:kern w:val="0"/>
          <w:highlight w:val="none"/>
          <w:u w:val="single"/>
        </w:rPr>
        <w:t xml:space="preserve">           </w:t>
      </w:r>
      <w:r>
        <w:rPr>
          <w:color w:val="auto"/>
          <w:kern w:val="0"/>
          <w:highlight w:val="none"/>
        </w:rPr>
        <w:t xml:space="preserve"> CO：</w:t>
      </w:r>
      <w:r>
        <w:rPr>
          <w:color w:val="auto"/>
          <w:kern w:val="0"/>
          <w:highlight w:val="none"/>
          <w:u w:val="single"/>
        </w:rPr>
        <w:t xml:space="preserve">          </w:t>
      </w:r>
      <w:r>
        <w:rPr>
          <w:color w:val="auto"/>
          <w:kern w:val="0"/>
          <w:highlight w:val="none"/>
        </w:rPr>
        <w:t xml:space="preserve"> PM</w:t>
      </w:r>
      <w:r>
        <w:rPr>
          <w:color w:val="auto"/>
          <w:kern w:val="0"/>
          <w:highlight w:val="none"/>
          <w:vertAlign w:val="subscript"/>
        </w:rPr>
        <w:t>10</w:t>
      </w:r>
      <w:r>
        <w:rPr>
          <w:color w:val="auto"/>
          <w:kern w:val="0"/>
          <w:highlight w:val="none"/>
        </w:rPr>
        <w:t>：</w:t>
      </w:r>
      <w:r>
        <w:rPr>
          <w:color w:val="auto"/>
          <w:kern w:val="0"/>
          <w:highlight w:val="none"/>
          <w:u w:val="single"/>
        </w:rPr>
        <w:t xml:space="preserve">           </w:t>
      </w:r>
    </w:p>
    <w:p>
      <w:pPr>
        <w:snapToGrid w:val="0"/>
        <w:spacing w:line="360" w:lineRule="auto"/>
        <w:ind w:firstLine="945" w:firstLineChars="450"/>
        <w:rPr>
          <w:color w:val="auto"/>
          <w:kern w:val="0"/>
          <w:highlight w:val="none"/>
          <w:u w:val="single"/>
        </w:rPr>
      </w:pPr>
      <w:r>
        <w:rPr>
          <w:color w:val="auto"/>
          <w:kern w:val="0"/>
          <w:highlight w:val="none"/>
        </w:rPr>
        <w:t xml:space="preserve"> PM</w:t>
      </w:r>
      <w:r>
        <w:rPr>
          <w:color w:val="auto"/>
          <w:kern w:val="0"/>
          <w:highlight w:val="none"/>
          <w:vertAlign w:val="subscript"/>
        </w:rPr>
        <w:t>2.5</w:t>
      </w:r>
      <w:r>
        <w:rPr>
          <w:color w:val="auto"/>
          <w:kern w:val="0"/>
          <w:highlight w:val="none"/>
        </w:rPr>
        <w:t>：</w:t>
      </w:r>
      <w:r>
        <w:rPr>
          <w:color w:val="auto"/>
          <w:kern w:val="0"/>
          <w:highlight w:val="none"/>
          <w:u w:val="single"/>
        </w:rPr>
        <w:t xml:space="preserve">                </w:t>
      </w:r>
    </w:p>
    <w:tbl>
      <w:tblPr>
        <w:tblStyle w:val="18"/>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5400"/>
        <w:gridCol w:w="1080"/>
        <w:gridCol w:w="144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ind w:left="42" w:leftChars="20"/>
              <w:jc w:val="center"/>
              <w:rPr>
                <w:b/>
                <w:bCs/>
                <w:color w:val="auto"/>
                <w:szCs w:val="21"/>
                <w:highlight w:val="none"/>
              </w:rPr>
            </w:pPr>
            <w:r>
              <w:rPr>
                <w:b/>
                <w:bCs/>
                <w:color w:val="auto"/>
                <w:highlight w:val="none"/>
              </w:rPr>
              <w:t>检查内容</w:t>
            </w:r>
          </w:p>
        </w:tc>
        <w:tc>
          <w:tcPr>
            <w:tcW w:w="5400" w:type="dxa"/>
            <w:vAlign w:val="center"/>
          </w:tcPr>
          <w:p>
            <w:pPr>
              <w:adjustRightInd w:val="0"/>
              <w:snapToGrid w:val="0"/>
              <w:jc w:val="center"/>
              <w:rPr>
                <w:b/>
                <w:bCs/>
                <w:color w:val="auto"/>
                <w:szCs w:val="21"/>
                <w:highlight w:val="none"/>
              </w:rPr>
            </w:pPr>
            <w:r>
              <w:rPr>
                <w:b/>
                <w:bCs/>
                <w:color w:val="auto"/>
                <w:highlight w:val="none"/>
              </w:rPr>
              <w:t>检查要点</w:t>
            </w:r>
          </w:p>
        </w:tc>
        <w:tc>
          <w:tcPr>
            <w:tcW w:w="1080" w:type="dxa"/>
            <w:vAlign w:val="center"/>
          </w:tcPr>
          <w:p>
            <w:pPr>
              <w:adjustRightInd w:val="0"/>
              <w:snapToGrid w:val="0"/>
              <w:jc w:val="center"/>
              <w:rPr>
                <w:b/>
                <w:bCs/>
                <w:color w:val="auto"/>
                <w:szCs w:val="21"/>
                <w:highlight w:val="none"/>
              </w:rPr>
            </w:pPr>
            <w:r>
              <w:rPr>
                <w:b/>
                <w:bCs/>
                <w:color w:val="auto"/>
                <w:highlight w:val="none"/>
              </w:rPr>
              <w:t>单项分值</w:t>
            </w:r>
          </w:p>
        </w:tc>
        <w:tc>
          <w:tcPr>
            <w:tcW w:w="1440" w:type="dxa"/>
            <w:vAlign w:val="center"/>
          </w:tcPr>
          <w:p>
            <w:pPr>
              <w:adjustRightInd w:val="0"/>
              <w:snapToGrid w:val="0"/>
              <w:jc w:val="center"/>
              <w:rPr>
                <w:b/>
                <w:bCs/>
                <w:color w:val="auto"/>
                <w:szCs w:val="21"/>
                <w:highlight w:val="none"/>
              </w:rPr>
            </w:pPr>
            <w:r>
              <w:rPr>
                <w:b/>
                <w:bCs/>
                <w:color w:val="auto"/>
                <w:highlight w:val="none"/>
              </w:rPr>
              <w:t>评分说明</w:t>
            </w:r>
          </w:p>
        </w:tc>
        <w:tc>
          <w:tcPr>
            <w:tcW w:w="720" w:type="dxa"/>
            <w:vAlign w:val="center"/>
          </w:tcPr>
          <w:p>
            <w:pPr>
              <w:adjustRightInd w:val="0"/>
              <w:snapToGrid w:val="0"/>
              <w:jc w:val="center"/>
              <w:rPr>
                <w:b/>
                <w:bCs/>
                <w:color w:val="auto"/>
                <w:szCs w:val="21"/>
                <w:highlight w:val="none"/>
              </w:rPr>
            </w:pPr>
            <w:r>
              <w:rPr>
                <w:b/>
                <w:bCs/>
                <w:color w:val="auto"/>
                <w:highlight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auto"/>
                <w:szCs w:val="21"/>
                <w:highlight w:val="none"/>
              </w:rPr>
            </w:pPr>
            <w:r>
              <w:rPr>
                <w:b/>
                <w:bCs/>
                <w:color w:val="auto"/>
                <w:highlight w:val="none"/>
              </w:rPr>
              <w:t>1.站房及采样系统情况</w:t>
            </w:r>
          </w:p>
          <w:p>
            <w:pPr>
              <w:adjustRightInd w:val="0"/>
              <w:snapToGrid w:val="0"/>
              <w:jc w:val="center"/>
              <w:rPr>
                <w:b/>
                <w:bCs/>
                <w:color w:val="auto"/>
                <w:szCs w:val="21"/>
                <w:highlight w:val="none"/>
              </w:rPr>
            </w:pPr>
            <w:r>
              <w:rPr>
                <w:b/>
                <w:bCs/>
                <w:color w:val="auto"/>
                <w:highlight w:val="none"/>
              </w:rPr>
              <w:t>（5.8分）</w:t>
            </w:r>
          </w:p>
        </w:tc>
        <w:tc>
          <w:tcPr>
            <w:tcW w:w="5400" w:type="dxa"/>
            <w:vAlign w:val="center"/>
          </w:tcPr>
          <w:p>
            <w:pPr>
              <w:adjustRightInd w:val="0"/>
              <w:snapToGrid w:val="0"/>
              <w:jc w:val="left"/>
              <w:rPr>
                <w:color w:val="auto"/>
                <w:szCs w:val="21"/>
                <w:highlight w:val="none"/>
              </w:rPr>
            </w:pPr>
            <w:r>
              <w:rPr>
                <w:color w:val="auto"/>
                <w:highlight w:val="none"/>
              </w:rPr>
              <w:t>站房温度</w:t>
            </w:r>
            <w:r>
              <w:rPr>
                <w:color w:val="auto"/>
                <w:highlight w:val="none"/>
              </w:rPr>
              <w:softHyphen/>
            </w:r>
            <w:r>
              <w:rPr>
                <w:color w:val="auto"/>
                <w:highlight w:val="none"/>
              </w:rPr>
              <w:softHyphen/>
            </w:r>
            <w:r>
              <w:rPr>
                <w:color w:val="auto"/>
                <w:highlight w:val="none"/>
              </w:rPr>
              <w:softHyphen/>
            </w:r>
            <w:r>
              <w:rPr>
                <w:color w:val="auto"/>
                <w:highlight w:val="none"/>
              </w:rPr>
              <w:softHyphen/>
            </w:r>
            <w:r>
              <w:rPr>
                <w:color w:val="auto"/>
                <w:highlight w:val="none"/>
              </w:rPr>
              <w:t>__________（15-35</w:t>
            </w:r>
            <w:r>
              <w:rPr>
                <w:rFonts w:hint="eastAsia" w:ascii="宋体" w:hAnsi="宋体" w:cs="宋体"/>
                <w:color w:val="auto"/>
                <w:highlight w:val="none"/>
              </w:rPr>
              <w:t>℃</w:t>
            </w:r>
            <w:r>
              <w:rPr>
                <w:color w:val="auto"/>
                <w:highlight w:val="none"/>
              </w:rPr>
              <w:t>）</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center"/>
              <w:rPr>
                <w:color w:val="auto"/>
                <w:szCs w:val="21"/>
                <w:highlight w:val="none"/>
              </w:rPr>
            </w:pP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相对湿度__________（85%以下）</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站房是否漏雨</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center"/>
              <w:rPr>
                <w:color w:val="auto"/>
                <w:szCs w:val="21"/>
                <w:highlight w:val="none"/>
              </w:rPr>
            </w:pP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是否有避雷针接地、电源防雷、网络防雷。避雷针是否有检定证书</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防火器材是否在有效期内</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站房内其他辅助设施（排风扇、空调、照明、工具箱）是否正常</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r>
              <w:rPr>
                <w:color w:val="auto"/>
                <w:highlight w:val="none"/>
              </w:rPr>
              <w:t>缺失一项扣0.3分</w:t>
            </w: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站房内线路整洁及卫生情况</w:t>
            </w:r>
          </w:p>
        </w:tc>
        <w:tc>
          <w:tcPr>
            <w:tcW w:w="1080" w:type="dxa"/>
            <w:vAlign w:val="center"/>
          </w:tcPr>
          <w:p>
            <w:pPr>
              <w:adjustRightInd w:val="0"/>
              <w:snapToGrid w:val="0"/>
              <w:jc w:val="center"/>
              <w:rPr>
                <w:color w:val="auto"/>
                <w:szCs w:val="21"/>
                <w:highlight w:val="none"/>
              </w:rPr>
            </w:pPr>
            <w:r>
              <w:rPr>
                <w:color w:val="auto"/>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kern w:val="0"/>
                <w:highlight w:val="none"/>
              </w:rPr>
              <w:t>采样系统清洁程度（颗粒物采样头、采样总管、支管）</w:t>
            </w:r>
          </w:p>
        </w:tc>
        <w:tc>
          <w:tcPr>
            <w:tcW w:w="1080" w:type="dxa"/>
            <w:vAlign w:val="center"/>
          </w:tcPr>
          <w:p>
            <w:pPr>
              <w:adjustRightInd w:val="0"/>
              <w:snapToGrid w:val="0"/>
              <w:jc w:val="center"/>
              <w:rPr>
                <w:color w:val="auto"/>
                <w:szCs w:val="21"/>
                <w:highlight w:val="none"/>
              </w:rPr>
            </w:pPr>
            <w:r>
              <w:rPr>
                <w:color w:val="auto"/>
                <w:highlight w:val="none"/>
              </w:rPr>
              <w:t>1.2</w:t>
            </w:r>
          </w:p>
        </w:tc>
        <w:tc>
          <w:tcPr>
            <w:tcW w:w="1440" w:type="dxa"/>
            <w:vAlign w:val="center"/>
          </w:tcPr>
          <w:p>
            <w:pPr>
              <w:adjustRightInd w:val="0"/>
              <w:snapToGrid w:val="0"/>
              <w:jc w:val="left"/>
              <w:rPr>
                <w:color w:val="auto"/>
                <w:szCs w:val="21"/>
                <w:highlight w:val="none"/>
              </w:rPr>
            </w:pPr>
            <w:r>
              <w:rPr>
                <w:color w:val="auto"/>
                <w:highlight w:val="none"/>
              </w:rPr>
              <w:t>有一项不清洁扣1.2分</w:t>
            </w: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采样风机是否正常工作</w:t>
            </w:r>
          </w:p>
        </w:tc>
        <w:tc>
          <w:tcPr>
            <w:tcW w:w="1080" w:type="dxa"/>
            <w:vAlign w:val="center"/>
          </w:tcPr>
          <w:p>
            <w:pPr>
              <w:adjustRightInd w:val="0"/>
              <w:snapToGrid w:val="0"/>
              <w:jc w:val="center"/>
              <w:rPr>
                <w:color w:val="auto"/>
                <w:szCs w:val="21"/>
                <w:highlight w:val="none"/>
              </w:rPr>
            </w:pPr>
            <w:r>
              <w:rPr>
                <w:color w:val="auto"/>
                <w:kern w:val="0"/>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气态污染物采样总管加热温度是否在</w:t>
            </w:r>
            <w:r>
              <w:rPr>
                <w:color w:val="auto"/>
                <w:kern w:val="0"/>
                <w:highlight w:val="none"/>
              </w:rPr>
              <w:softHyphen/>
            </w:r>
            <w:r>
              <w:rPr>
                <w:color w:val="auto"/>
                <w:kern w:val="0"/>
                <w:highlight w:val="none"/>
              </w:rPr>
              <w:softHyphen/>
            </w:r>
            <w:r>
              <w:rPr>
                <w:color w:val="auto"/>
                <w:kern w:val="0"/>
                <w:highlight w:val="none"/>
              </w:rPr>
              <w:t>30～50</w:t>
            </w:r>
            <w:r>
              <w:rPr>
                <w:rFonts w:hint="eastAsia" w:ascii="宋体" w:hAnsi="宋体" w:cs="宋体"/>
                <w:color w:val="auto"/>
                <w:kern w:val="0"/>
                <w:highlight w:val="none"/>
              </w:rPr>
              <w:t>℃</w:t>
            </w:r>
            <w:r>
              <w:rPr>
                <w:color w:val="auto"/>
                <w:kern w:val="0"/>
                <w:highlight w:val="none"/>
              </w:rPr>
              <w:t>，是否避免被空调直吹</w:t>
            </w:r>
          </w:p>
        </w:tc>
        <w:tc>
          <w:tcPr>
            <w:tcW w:w="1080" w:type="dxa"/>
            <w:vAlign w:val="center"/>
          </w:tcPr>
          <w:p>
            <w:pPr>
              <w:adjustRightInd w:val="0"/>
              <w:snapToGrid w:val="0"/>
              <w:jc w:val="center"/>
              <w:rPr>
                <w:color w:val="auto"/>
                <w:kern w:val="0"/>
                <w:szCs w:val="21"/>
                <w:highlight w:val="none"/>
              </w:rPr>
            </w:pPr>
            <w:r>
              <w:rPr>
                <w:color w:val="auto"/>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各通道参数（斜率、截距、量程等）的设置是否正确</w:t>
            </w:r>
          </w:p>
        </w:tc>
        <w:tc>
          <w:tcPr>
            <w:tcW w:w="1080" w:type="dxa"/>
            <w:vAlign w:val="center"/>
          </w:tcPr>
          <w:p>
            <w:pPr>
              <w:adjustRightInd w:val="0"/>
              <w:snapToGrid w:val="0"/>
              <w:jc w:val="center"/>
              <w:rPr>
                <w:color w:val="auto"/>
                <w:szCs w:val="21"/>
                <w:highlight w:val="none"/>
              </w:rPr>
            </w:pPr>
            <w:r>
              <w:rPr>
                <w:color w:val="auto"/>
                <w:szCs w:val="21"/>
                <w:highlight w:val="none"/>
              </w:rPr>
              <w:t>1</w:t>
            </w:r>
          </w:p>
        </w:tc>
        <w:tc>
          <w:tcPr>
            <w:tcW w:w="1440" w:type="dxa"/>
            <w:vAlign w:val="center"/>
          </w:tcPr>
          <w:p>
            <w:pPr>
              <w:adjustRightInd w:val="0"/>
              <w:snapToGrid w:val="0"/>
              <w:jc w:val="left"/>
              <w:rPr>
                <w:color w:val="auto"/>
                <w:szCs w:val="21"/>
                <w:highlight w:val="none"/>
              </w:rPr>
            </w:pPr>
            <w:r>
              <w:rPr>
                <w:color w:val="auto"/>
                <w:highlight w:val="none"/>
              </w:rPr>
              <w:t>有一项设置不正确扣1分</w:t>
            </w: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auto"/>
                <w:szCs w:val="21"/>
                <w:highlight w:val="none"/>
              </w:rPr>
            </w:pPr>
            <w:r>
              <w:rPr>
                <w:b/>
                <w:bCs/>
                <w:color w:val="auto"/>
                <w:highlight w:val="none"/>
              </w:rPr>
              <w:t>2.仪器性能测试</w:t>
            </w:r>
          </w:p>
          <w:p>
            <w:pPr>
              <w:adjustRightInd w:val="0"/>
              <w:snapToGrid w:val="0"/>
              <w:jc w:val="center"/>
              <w:rPr>
                <w:b/>
                <w:bCs/>
                <w:color w:val="auto"/>
                <w:szCs w:val="21"/>
                <w:highlight w:val="none"/>
              </w:rPr>
            </w:pPr>
            <w:r>
              <w:rPr>
                <w:b/>
                <w:bCs/>
                <w:color w:val="auto"/>
                <w:highlight w:val="none"/>
              </w:rPr>
              <w:t>（18.2分）</w:t>
            </w:r>
          </w:p>
        </w:tc>
        <w:tc>
          <w:tcPr>
            <w:tcW w:w="5400" w:type="dxa"/>
            <w:vAlign w:val="center"/>
          </w:tcPr>
          <w:p>
            <w:pPr>
              <w:adjustRightInd w:val="0"/>
              <w:snapToGrid w:val="0"/>
              <w:jc w:val="left"/>
              <w:rPr>
                <w:color w:val="auto"/>
                <w:kern w:val="0"/>
                <w:szCs w:val="21"/>
                <w:highlight w:val="none"/>
              </w:rPr>
            </w:pPr>
            <w:r>
              <w:rPr>
                <w:color w:val="auto"/>
                <w:highlight w:val="none"/>
              </w:rPr>
              <w:t>仪器是否出现除停电重启外的其他报警信息</w:t>
            </w:r>
          </w:p>
        </w:tc>
        <w:tc>
          <w:tcPr>
            <w:tcW w:w="1080" w:type="dxa"/>
            <w:vAlign w:val="center"/>
          </w:tcPr>
          <w:p>
            <w:pPr>
              <w:adjustRightInd w:val="0"/>
              <w:snapToGrid w:val="0"/>
              <w:jc w:val="center"/>
              <w:rPr>
                <w:color w:val="auto"/>
                <w:szCs w:val="21"/>
                <w:highlight w:val="none"/>
              </w:rPr>
            </w:pPr>
            <w:r>
              <w:rPr>
                <w:color w:val="auto"/>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更换的备品备件是否是原厂</w:t>
            </w:r>
          </w:p>
        </w:tc>
        <w:tc>
          <w:tcPr>
            <w:tcW w:w="1080" w:type="dxa"/>
            <w:vAlign w:val="center"/>
          </w:tcPr>
          <w:p>
            <w:pPr>
              <w:adjustRightInd w:val="0"/>
              <w:snapToGrid w:val="0"/>
              <w:jc w:val="center"/>
              <w:rPr>
                <w:color w:val="auto"/>
                <w:szCs w:val="21"/>
                <w:highlight w:val="none"/>
              </w:rPr>
            </w:pPr>
            <w:r>
              <w:rPr>
                <w:color w:val="auto"/>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动态校准仪质量流量控制器（MFC）单点流量测试：标准温度：________标准气压__________</w:t>
            </w:r>
          </w:p>
          <w:p>
            <w:pPr>
              <w:adjustRightInd w:val="0"/>
              <w:snapToGrid w:val="0"/>
              <w:jc w:val="left"/>
              <w:rPr>
                <w:color w:val="auto"/>
                <w:kern w:val="0"/>
                <w:highlight w:val="none"/>
                <w:u w:val="single"/>
              </w:rPr>
            </w:pPr>
            <w:r>
              <w:rPr>
                <w:color w:val="auto"/>
                <w:kern w:val="0"/>
                <w:highlight w:val="none"/>
              </w:rPr>
              <w:t>零气MFC流量：___L/min,标准流量计测值：___L/min，相对误差</w:t>
            </w:r>
            <w:r>
              <w:rPr>
                <w:color w:val="auto"/>
                <w:kern w:val="0"/>
                <w:highlight w:val="none"/>
                <w:u w:val="single"/>
              </w:rPr>
              <w:t xml:space="preserve">    %</w:t>
            </w:r>
            <w:r>
              <w:rPr>
                <w:color w:val="auto"/>
                <w:kern w:val="0"/>
                <w:highlight w:val="none"/>
              </w:rPr>
              <w:t>（≤±2%）</w:t>
            </w:r>
          </w:p>
          <w:p>
            <w:pPr>
              <w:adjustRightInd w:val="0"/>
              <w:snapToGrid w:val="0"/>
              <w:jc w:val="left"/>
              <w:rPr>
                <w:color w:val="auto"/>
                <w:kern w:val="0"/>
                <w:szCs w:val="21"/>
                <w:highlight w:val="none"/>
                <w:u w:val="single"/>
              </w:rPr>
            </w:pPr>
            <w:r>
              <w:rPr>
                <w:color w:val="auto"/>
                <w:kern w:val="0"/>
                <w:highlight w:val="none"/>
              </w:rPr>
              <w:t>标气MFC流量：___mL/min,标准流量计测值：___mL/min，相对误差</w:t>
            </w:r>
            <w:r>
              <w:rPr>
                <w:color w:val="auto"/>
                <w:kern w:val="0"/>
                <w:highlight w:val="none"/>
                <w:u w:val="single"/>
              </w:rPr>
              <w:t xml:space="preserve">    %</w:t>
            </w:r>
            <w:r>
              <w:rPr>
                <w:color w:val="auto"/>
                <w:kern w:val="0"/>
                <w:highlight w:val="none"/>
              </w:rPr>
              <w:t>（≤±2%）</w:t>
            </w:r>
          </w:p>
        </w:tc>
        <w:tc>
          <w:tcPr>
            <w:tcW w:w="1080" w:type="dxa"/>
            <w:vAlign w:val="center"/>
          </w:tcPr>
          <w:p>
            <w:pPr>
              <w:adjustRightInd w:val="0"/>
              <w:snapToGrid w:val="0"/>
              <w:jc w:val="center"/>
              <w:rPr>
                <w:color w:val="auto"/>
                <w:szCs w:val="21"/>
                <w:highlight w:val="none"/>
              </w:rPr>
            </w:pPr>
            <w:r>
              <w:rPr>
                <w:color w:val="auto"/>
                <w:szCs w:val="21"/>
                <w:highlight w:val="none"/>
              </w:rPr>
              <w:t>4</w:t>
            </w:r>
          </w:p>
        </w:tc>
        <w:tc>
          <w:tcPr>
            <w:tcW w:w="1440" w:type="dxa"/>
            <w:vAlign w:val="center"/>
          </w:tcPr>
          <w:p>
            <w:pPr>
              <w:snapToGrid w:val="0"/>
              <w:rPr>
                <w:color w:val="auto"/>
                <w:szCs w:val="21"/>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气态污染物采样流量测试：</w:t>
            </w:r>
          </w:p>
          <w:p>
            <w:pPr>
              <w:adjustRightInd w:val="0"/>
              <w:snapToGrid w:val="0"/>
              <w:jc w:val="left"/>
              <w:rPr>
                <w:color w:val="auto"/>
                <w:kern w:val="0"/>
                <w:highlight w:val="none"/>
                <w:u w:val="single"/>
              </w:rPr>
            </w:pPr>
            <w:r>
              <w:rPr>
                <w:color w:val="auto"/>
                <w:kern w:val="0"/>
                <w:highlight w:val="none"/>
              </w:rPr>
              <w:t>SO</w:t>
            </w:r>
            <w:r>
              <w:rPr>
                <w:color w:val="auto"/>
                <w:kern w:val="0"/>
                <w:highlight w:val="none"/>
                <w:vertAlign w:val="subscript"/>
              </w:rPr>
              <w:t>2</w:t>
            </w:r>
            <w:r>
              <w:rPr>
                <w:color w:val="auto"/>
                <w:kern w:val="0"/>
                <w:highlight w:val="none"/>
              </w:rPr>
              <w:t>显示流量：______L/min，流量计测值：______L/min，相对误差______%（≤±10%）；</w:t>
            </w:r>
          </w:p>
          <w:p>
            <w:pPr>
              <w:adjustRightInd w:val="0"/>
              <w:snapToGrid w:val="0"/>
              <w:jc w:val="left"/>
              <w:rPr>
                <w:color w:val="auto"/>
                <w:kern w:val="0"/>
                <w:highlight w:val="none"/>
                <w:u w:val="single"/>
              </w:rPr>
            </w:pPr>
            <w:r>
              <w:rPr>
                <w:color w:val="auto"/>
                <w:kern w:val="0"/>
                <w:highlight w:val="none"/>
              </w:rPr>
              <w:t>NO</w:t>
            </w:r>
            <w:r>
              <w:rPr>
                <w:color w:val="auto"/>
                <w:kern w:val="0"/>
                <w:highlight w:val="none"/>
                <w:vertAlign w:val="subscript"/>
              </w:rPr>
              <w:t>x</w:t>
            </w:r>
            <w:r>
              <w:rPr>
                <w:color w:val="auto"/>
                <w:kern w:val="0"/>
                <w:highlight w:val="none"/>
              </w:rPr>
              <w:t>显示流量：______L/min，流量计测值：______L/min，相对误差______%（≤±10%）；</w:t>
            </w:r>
          </w:p>
          <w:p>
            <w:pPr>
              <w:adjustRightInd w:val="0"/>
              <w:snapToGrid w:val="0"/>
              <w:jc w:val="left"/>
              <w:rPr>
                <w:color w:val="auto"/>
                <w:kern w:val="0"/>
                <w:highlight w:val="none"/>
                <w:u w:val="single"/>
              </w:rPr>
            </w:pPr>
            <w:r>
              <w:rPr>
                <w:color w:val="auto"/>
                <w:kern w:val="0"/>
                <w:highlight w:val="none"/>
              </w:rPr>
              <w:t>CO显示流量：______L/min，流量计测值：______L/min，相对误差______%（≤±10%）；</w:t>
            </w:r>
          </w:p>
          <w:p>
            <w:pPr>
              <w:adjustRightInd w:val="0"/>
              <w:snapToGrid w:val="0"/>
              <w:jc w:val="left"/>
              <w:rPr>
                <w:color w:val="auto"/>
                <w:kern w:val="0"/>
                <w:szCs w:val="21"/>
                <w:highlight w:val="none"/>
                <w:u w:val="single"/>
              </w:rPr>
            </w:pPr>
            <w:r>
              <w:rPr>
                <w:color w:val="auto"/>
                <w:kern w:val="0"/>
                <w:highlight w:val="none"/>
              </w:rPr>
              <w:t>O</w:t>
            </w:r>
            <w:r>
              <w:rPr>
                <w:color w:val="auto"/>
                <w:kern w:val="0"/>
                <w:highlight w:val="none"/>
                <w:vertAlign w:val="subscript"/>
              </w:rPr>
              <w:t>3</w:t>
            </w:r>
            <w:r>
              <w:rPr>
                <w:color w:val="auto"/>
                <w:kern w:val="0"/>
                <w:highlight w:val="none"/>
              </w:rPr>
              <w:t>显示流量：______L/min，流量计测值：______L/min，相对误差______%（≤±10%）</w:t>
            </w:r>
          </w:p>
        </w:tc>
        <w:tc>
          <w:tcPr>
            <w:tcW w:w="1080" w:type="dxa"/>
            <w:vAlign w:val="center"/>
          </w:tcPr>
          <w:p>
            <w:pPr>
              <w:adjustRightInd w:val="0"/>
              <w:snapToGrid w:val="0"/>
              <w:jc w:val="center"/>
              <w:rPr>
                <w:color w:val="auto"/>
                <w:szCs w:val="21"/>
                <w:highlight w:val="none"/>
              </w:rPr>
            </w:pPr>
            <w:r>
              <w:rPr>
                <w:color w:val="auto"/>
                <w:szCs w:val="21"/>
                <w:highlight w:val="none"/>
              </w:rPr>
              <w:t>2</w:t>
            </w:r>
          </w:p>
        </w:tc>
        <w:tc>
          <w:tcPr>
            <w:tcW w:w="1440" w:type="dxa"/>
            <w:vAlign w:val="center"/>
          </w:tcPr>
          <w:p>
            <w:pPr>
              <w:snapToGrid w:val="0"/>
              <w:rPr>
                <w:color w:val="auto"/>
                <w:szCs w:val="21"/>
                <w:highlight w:val="none"/>
              </w:rPr>
            </w:pPr>
            <w:r>
              <w:rPr>
                <w:color w:val="auto"/>
                <w:highlight w:val="none"/>
              </w:rPr>
              <w:t xml:space="preserve">一项超误差范围扣1分 </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颗粒物采样总流量测试：</w:t>
            </w:r>
          </w:p>
          <w:p>
            <w:pPr>
              <w:adjustRightInd w:val="0"/>
              <w:snapToGrid w:val="0"/>
              <w:jc w:val="left"/>
              <w:rPr>
                <w:color w:val="auto"/>
                <w:kern w:val="0"/>
                <w:highlight w:val="none"/>
                <w:u w:val="single"/>
              </w:rPr>
            </w:pPr>
            <w:r>
              <w:rPr>
                <w:color w:val="auto"/>
                <w:kern w:val="0"/>
                <w:highlight w:val="none"/>
              </w:rPr>
              <w:t>PM</w:t>
            </w:r>
            <w:r>
              <w:rPr>
                <w:color w:val="auto"/>
                <w:kern w:val="0"/>
                <w:highlight w:val="none"/>
                <w:vertAlign w:val="subscript"/>
              </w:rPr>
              <w:t>10</w:t>
            </w:r>
            <w:r>
              <w:rPr>
                <w:color w:val="auto"/>
                <w:kern w:val="0"/>
                <w:highlight w:val="none"/>
              </w:rPr>
              <w:t>：流量计：______L/min，相对误差______%（≤±5%）</w:t>
            </w:r>
          </w:p>
          <w:p>
            <w:pPr>
              <w:adjustRightInd w:val="0"/>
              <w:snapToGrid w:val="0"/>
              <w:jc w:val="left"/>
              <w:rPr>
                <w:color w:val="auto"/>
                <w:kern w:val="0"/>
                <w:szCs w:val="21"/>
                <w:highlight w:val="none"/>
                <w:u w:val="single"/>
              </w:rPr>
            </w:pPr>
            <w:r>
              <w:rPr>
                <w:color w:val="auto"/>
                <w:kern w:val="0"/>
                <w:highlight w:val="none"/>
              </w:rPr>
              <w:t>PM</w:t>
            </w:r>
            <w:r>
              <w:rPr>
                <w:color w:val="auto"/>
                <w:kern w:val="0"/>
                <w:highlight w:val="none"/>
                <w:vertAlign w:val="subscript"/>
              </w:rPr>
              <w:t>2.5</w:t>
            </w:r>
            <w:r>
              <w:rPr>
                <w:color w:val="auto"/>
                <w:kern w:val="0"/>
                <w:highlight w:val="none"/>
              </w:rPr>
              <w:t>：流量计：______L/min，相对误差______%（≤±5%）</w:t>
            </w:r>
          </w:p>
        </w:tc>
        <w:tc>
          <w:tcPr>
            <w:tcW w:w="1080" w:type="dxa"/>
            <w:vAlign w:val="center"/>
          </w:tcPr>
          <w:p>
            <w:pPr>
              <w:adjustRightInd w:val="0"/>
              <w:snapToGrid w:val="0"/>
              <w:jc w:val="center"/>
              <w:rPr>
                <w:color w:val="auto"/>
                <w:szCs w:val="21"/>
                <w:highlight w:val="none"/>
              </w:rPr>
            </w:pPr>
            <w:r>
              <w:rPr>
                <w:color w:val="auto"/>
                <w:szCs w:val="21"/>
                <w:highlight w:val="none"/>
              </w:rPr>
              <w:t>3</w:t>
            </w:r>
          </w:p>
        </w:tc>
        <w:tc>
          <w:tcPr>
            <w:tcW w:w="1440" w:type="dxa"/>
            <w:vAlign w:val="center"/>
          </w:tcPr>
          <w:p>
            <w:pPr>
              <w:snapToGrid w:val="0"/>
              <w:rPr>
                <w:color w:val="auto"/>
                <w:szCs w:val="21"/>
                <w:highlight w:val="none"/>
              </w:rPr>
            </w:pPr>
            <w:r>
              <w:rPr>
                <w:color w:val="auto"/>
                <w:highlight w:val="none"/>
              </w:rPr>
              <w:t>一项不满足1.5分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SO</w:t>
            </w:r>
            <w:r>
              <w:rPr>
                <w:color w:val="auto"/>
                <w:kern w:val="0"/>
                <w:highlight w:val="none"/>
                <w:vertAlign w:val="subscript"/>
              </w:rPr>
              <w:t>2</w:t>
            </w:r>
            <w:r>
              <w:rPr>
                <w:color w:val="auto"/>
                <w:kern w:val="0"/>
                <w:highlight w:val="none"/>
              </w:rPr>
              <w:t>跨度测试：标气浓度_________,有效期________。输出ppb，仪器响应 ppb，误差_______（≤±5%），响应时间t90：min（≤5min）</w:t>
            </w:r>
          </w:p>
        </w:tc>
        <w:tc>
          <w:tcPr>
            <w:tcW w:w="1080" w:type="dxa"/>
            <w:vAlign w:val="center"/>
          </w:tcPr>
          <w:p>
            <w:pPr>
              <w:adjustRightInd w:val="0"/>
              <w:snapToGrid w:val="0"/>
              <w:jc w:val="center"/>
              <w:rPr>
                <w:color w:val="auto"/>
                <w:szCs w:val="21"/>
                <w:highlight w:val="none"/>
              </w:rPr>
            </w:pPr>
            <w:r>
              <w:rPr>
                <w:color w:val="auto"/>
                <w:szCs w:val="21"/>
                <w:highlight w:val="none"/>
              </w:rPr>
              <w:t>2</w:t>
            </w:r>
          </w:p>
        </w:tc>
        <w:tc>
          <w:tcPr>
            <w:tcW w:w="1440" w:type="dxa"/>
            <w:vAlign w:val="center"/>
          </w:tcPr>
          <w:p>
            <w:pPr>
              <w:snapToGrid w:val="0"/>
              <w:rPr>
                <w:color w:val="auto"/>
                <w:szCs w:val="21"/>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NO跨度测试：标气浓度_________,有效期________。输出ppb，仪器响应 ppb，NO</w:t>
            </w:r>
            <w:r>
              <w:rPr>
                <w:color w:val="auto"/>
                <w:kern w:val="0"/>
                <w:highlight w:val="none"/>
                <w:vertAlign w:val="subscript"/>
              </w:rPr>
              <w:t>2</w:t>
            </w:r>
            <w:r>
              <w:rPr>
                <w:color w:val="auto"/>
                <w:kern w:val="0"/>
                <w:highlight w:val="none"/>
              </w:rPr>
              <w:t>响应浓度_____ppb（&lt;±5），浓度误差______（≤±5%）响应时间t90：min（≤5 min）</w:t>
            </w:r>
          </w:p>
        </w:tc>
        <w:tc>
          <w:tcPr>
            <w:tcW w:w="1080" w:type="dxa"/>
            <w:vAlign w:val="center"/>
          </w:tcPr>
          <w:p>
            <w:pPr>
              <w:adjustRightInd w:val="0"/>
              <w:snapToGrid w:val="0"/>
              <w:jc w:val="center"/>
              <w:rPr>
                <w:color w:val="auto"/>
                <w:szCs w:val="21"/>
                <w:highlight w:val="none"/>
              </w:rPr>
            </w:pPr>
            <w:r>
              <w:rPr>
                <w:color w:val="auto"/>
                <w:szCs w:val="21"/>
                <w:highlight w:val="none"/>
              </w:rPr>
              <w:t>2</w:t>
            </w:r>
          </w:p>
        </w:tc>
        <w:tc>
          <w:tcPr>
            <w:tcW w:w="1440" w:type="dxa"/>
            <w:vAlign w:val="center"/>
          </w:tcPr>
          <w:p>
            <w:pPr>
              <w:snapToGrid w:val="0"/>
              <w:rPr>
                <w:color w:val="auto"/>
                <w:szCs w:val="21"/>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CO跨度测试：标气浓度_________,有效期________。输出：ppm，仪器响应ppm，浓度误差_____（≤±5%）响应时间t90：min（≤5 min）</w:t>
            </w:r>
          </w:p>
        </w:tc>
        <w:tc>
          <w:tcPr>
            <w:tcW w:w="1080" w:type="dxa"/>
            <w:vAlign w:val="center"/>
          </w:tcPr>
          <w:p>
            <w:pPr>
              <w:adjustRightInd w:val="0"/>
              <w:snapToGrid w:val="0"/>
              <w:jc w:val="center"/>
              <w:rPr>
                <w:color w:val="auto"/>
                <w:szCs w:val="21"/>
                <w:highlight w:val="none"/>
              </w:rPr>
            </w:pPr>
            <w:r>
              <w:rPr>
                <w:color w:val="auto"/>
                <w:szCs w:val="21"/>
                <w:highlight w:val="none"/>
              </w:rPr>
              <w:t>2</w:t>
            </w:r>
          </w:p>
        </w:tc>
        <w:tc>
          <w:tcPr>
            <w:tcW w:w="1440" w:type="dxa"/>
            <w:vAlign w:val="center"/>
          </w:tcPr>
          <w:p>
            <w:pPr>
              <w:snapToGrid w:val="0"/>
              <w:rPr>
                <w:color w:val="auto"/>
                <w:szCs w:val="21"/>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O</w:t>
            </w:r>
            <w:r>
              <w:rPr>
                <w:color w:val="auto"/>
                <w:kern w:val="0"/>
                <w:highlight w:val="none"/>
                <w:vertAlign w:val="subscript"/>
              </w:rPr>
              <w:t>3</w:t>
            </w:r>
            <w:r>
              <w:rPr>
                <w:color w:val="auto"/>
                <w:kern w:val="0"/>
                <w:highlight w:val="none"/>
              </w:rPr>
              <w:t>跨度测试：输出：ppb，仪器响应浓度 ppb，浓度误差（≤±5%）</w:t>
            </w:r>
          </w:p>
          <w:p>
            <w:pPr>
              <w:adjustRightInd w:val="0"/>
              <w:snapToGrid w:val="0"/>
              <w:jc w:val="left"/>
              <w:rPr>
                <w:color w:val="auto"/>
                <w:kern w:val="0"/>
                <w:szCs w:val="21"/>
                <w:highlight w:val="none"/>
              </w:rPr>
            </w:pPr>
            <w:r>
              <w:rPr>
                <w:color w:val="auto"/>
                <w:kern w:val="0"/>
                <w:highlight w:val="none"/>
              </w:rPr>
              <w:t>响应时间t90：min（≤5 min）</w:t>
            </w:r>
          </w:p>
        </w:tc>
        <w:tc>
          <w:tcPr>
            <w:tcW w:w="1080" w:type="dxa"/>
            <w:vAlign w:val="center"/>
          </w:tcPr>
          <w:p>
            <w:pPr>
              <w:adjustRightInd w:val="0"/>
              <w:snapToGrid w:val="0"/>
              <w:jc w:val="center"/>
              <w:rPr>
                <w:color w:val="auto"/>
                <w:szCs w:val="21"/>
                <w:highlight w:val="none"/>
              </w:rPr>
            </w:pPr>
            <w:r>
              <w:rPr>
                <w:color w:val="auto"/>
                <w:szCs w:val="21"/>
                <w:highlight w:val="none"/>
              </w:rPr>
              <w:t>2</w:t>
            </w:r>
          </w:p>
        </w:tc>
        <w:tc>
          <w:tcPr>
            <w:tcW w:w="1440" w:type="dxa"/>
            <w:vAlign w:val="center"/>
          </w:tcPr>
          <w:p>
            <w:pPr>
              <w:snapToGrid w:val="0"/>
              <w:rPr>
                <w:color w:val="auto"/>
                <w:szCs w:val="21"/>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1080" w:type="dxa"/>
            <w:vMerge w:val="restart"/>
            <w:vAlign w:val="center"/>
          </w:tcPr>
          <w:p>
            <w:pPr>
              <w:adjustRightInd w:val="0"/>
              <w:snapToGrid w:val="0"/>
              <w:jc w:val="left"/>
              <w:rPr>
                <w:b/>
                <w:bCs/>
                <w:color w:val="auto"/>
                <w:kern w:val="0"/>
                <w:szCs w:val="21"/>
                <w:highlight w:val="none"/>
              </w:rPr>
            </w:pPr>
            <w:r>
              <w:rPr>
                <w:b/>
                <w:bCs/>
                <w:color w:val="auto"/>
                <w:kern w:val="0"/>
                <w:highlight w:val="none"/>
              </w:rPr>
              <w:t>3.记录及监测档案的完整性</w:t>
            </w:r>
          </w:p>
          <w:p>
            <w:pPr>
              <w:adjustRightInd w:val="0"/>
              <w:snapToGrid w:val="0"/>
              <w:jc w:val="left"/>
              <w:rPr>
                <w:b/>
                <w:bCs/>
                <w:color w:val="auto"/>
                <w:kern w:val="0"/>
                <w:szCs w:val="21"/>
                <w:highlight w:val="none"/>
              </w:rPr>
            </w:pPr>
            <w:r>
              <w:rPr>
                <w:b/>
                <w:bCs/>
                <w:color w:val="auto"/>
                <w:kern w:val="0"/>
                <w:highlight w:val="none"/>
              </w:rPr>
              <w:t>（6分）</w:t>
            </w:r>
          </w:p>
        </w:tc>
        <w:tc>
          <w:tcPr>
            <w:tcW w:w="5400" w:type="dxa"/>
            <w:vAlign w:val="center"/>
          </w:tcPr>
          <w:p>
            <w:pPr>
              <w:adjustRightInd w:val="0"/>
              <w:snapToGrid w:val="0"/>
              <w:jc w:val="left"/>
              <w:rPr>
                <w:color w:val="auto"/>
                <w:kern w:val="0"/>
                <w:szCs w:val="21"/>
                <w:highlight w:val="none"/>
              </w:rPr>
            </w:pPr>
            <w:r>
              <w:rPr>
                <w:color w:val="auto"/>
                <w:kern w:val="0"/>
                <w:highlight w:val="none"/>
              </w:rPr>
              <w:t>按规定对设备巡检维护，填写巡检记录</w:t>
            </w:r>
          </w:p>
        </w:tc>
        <w:tc>
          <w:tcPr>
            <w:tcW w:w="1080" w:type="dxa"/>
            <w:vAlign w:val="center"/>
          </w:tcPr>
          <w:p>
            <w:pPr>
              <w:adjustRightInd w:val="0"/>
              <w:snapToGrid w:val="0"/>
              <w:jc w:val="center"/>
              <w:rPr>
                <w:color w:val="auto"/>
                <w:kern w:val="0"/>
                <w:szCs w:val="21"/>
                <w:highlight w:val="none"/>
              </w:rPr>
            </w:pPr>
            <w:r>
              <w:rPr>
                <w:color w:val="auto"/>
                <w:kern w:val="0"/>
                <w:highlight w:val="none"/>
              </w:rPr>
              <w:t>0.6</w:t>
            </w:r>
          </w:p>
        </w:tc>
        <w:tc>
          <w:tcPr>
            <w:tcW w:w="1440" w:type="dxa"/>
            <w:vAlign w:val="center"/>
          </w:tcPr>
          <w:p>
            <w:pPr>
              <w:snapToGrid w:val="0"/>
              <w:rPr>
                <w:color w:val="auto"/>
                <w:szCs w:val="21"/>
                <w:highlight w:val="none"/>
              </w:rPr>
            </w:pP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用于校准的设备（流量计、温度计、大气压计）是否每年通过计量检定</w:t>
            </w:r>
          </w:p>
        </w:tc>
        <w:tc>
          <w:tcPr>
            <w:tcW w:w="1080" w:type="dxa"/>
            <w:vAlign w:val="center"/>
          </w:tcPr>
          <w:p>
            <w:pPr>
              <w:adjustRightInd w:val="0"/>
              <w:snapToGrid w:val="0"/>
              <w:jc w:val="center"/>
              <w:rPr>
                <w:color w:val="auto"/>
                <w:kern w:val="0"/>
                <w:szCs w:val="21"/>
                <w:highlight w:val="none"/>
              </w:rPr>
            </w:pPr>
            <w:r>
              <w:rPr>
                <w:color w:val="auto"/>
                <w:kern w:val="0"/>
                <w:highlight w:val="none"/>
              </w:rPr>
              <w:t>0.3</w:t>
            </w:r>
          </w:p>
        </w:tc>
        <w:tc>
          <w:tcPr>
            <w:tcW w:w="1440" w:type="dxa"/>
            <w:vAlign w:val="center"/>
          </w:tcPr>
          <w:p>
            <w:pPr>
              <w:snapToGrid w:val="0"/>
              <w:rPr>
                <w:color w:val="auto"/>
                <w:szCs w:val="21"/>
                <w:highlight w:val="none"/>
              </w:rPr>
            </w:pPr>
            <w:r>
              <w:rPr>
                <w:color w:val="auto"/>
                <w:highlight w:val="none"/>
              </w:rPr>
              <w:t>一项不满足扣0.3分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气态监测项目质控校准记录（包括零跨、精度、多点校准）零跨1次/5-7天，精度1次/季度，多点1次/半年；</w:t>
            </w:r>
          </w:p>
        </w:tc>
        <w:tc>
          <w:tcPr>
            <w:tcW w:w="1080" w:type="dxa"/>
            <w:vAlign w:val="center"/>
          </w:tcPr>
          <w:p>
            <w:pPr>
              <w:adjustRightInd w:val="0"/>
              <w:snapToGrid w:val="0"/>
              <w:jc w:val="center"/>
              <w:rPr>
                <w:color w:val="auto"/>
                <w:kern w:val="0"/>
                <w:szCs w:val="21"/>
                <w:highlight w:val="none"/>
              </w:rPr>
            </w:pPr>
            <w:r>
              <w:rPr>
                <w:color w:val="auto"/>
                <w:kern w:val="0"/>
                <w:highlight w:val="none"/>
              </w:rPr>
              <w:t>1.2</w:t>
            </w:r>
          </w:p>
        </w:tc>
        <w:tc>
          <w:tcPr>
            <w:tcW w:w="1440" w:type="dxa"/>
            <w:vAlign w:val="center"/>
          </w:tcPr>
          <w:p>
            <w:pPr>
              <w:snapToGrid w:val="0"/>
              <w:rPr>
                <w:color w:val="auto"/>
                <w:szCs w:val="21"/>
                <w:highlight w:val="none"/>
              </w:rPr>
            </w:pPr>
            <w:r>
              <w:rPr>
                <w:color w:val="auto"/>
                <w:highlight w:val="none"/>
              </w:rPr>
              <w:t>缺一项扣1.2分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szCs w:val="21"/>
                <w:highlight w:val="none"/>
              </w:rPr>
            </w:pPr>
            <w:r>
              <w:rPr>
                <w:color w:val="auto"/>
                <w:highlight w:val="none"/>
              </w:rPr>
              <w:t>现场臭氧工作标准是否每年一次经过量值溯源，并提供传递报告</w:t>
            </w:r>
          </w:p>
        </w:tc>
        <w:tc>
          <w:tcPr>
            <w:tcW w:w="1080" w:type="dxa"/>
            <w:vAlign w:val="center"/>
          </w:tcPr>
          <w:p>
            <w:pPr>
              <w:adjustRightInd w:val="0"/>
              <w:snapToGrid w:val="0"/>
              <w:jc w:val="center"/>
              <w:rPr>
                <w:color w:val="auto"/>
                <w:szCs w:val="21"/>
                <w:highlight w:val="none"/>
              </w:rPr>
            </w:pPr>
            <w:r>
              <w:rPr>
                <w:color w:val="auto"/>
                <w:highlight w:val="none"/>
              </w:rPr>
              <w:t>0.9</w:t>
            </w:r>
          </w:p>
        </w:tc>
        <w:tc>
          <w:tcPr>
            <w:tcW w:w="1440" w:type="dxa"/>
            <w:vAlign w:val="center"/>
          </w:tcPr>
          <w:p>
            <w:pPr>
              <w:snapToGrid w:val="0"/>
              <w:rPr>
                <w:color w:val="auto"/>
                <w:szCs w:val="21"/>
                <w:highlight w:val="none"/>
              </w:rPr>
            </w:pP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颗粒物质控校准记录（包括流量、质量传感器/标准膜、温度和压力校准）流量1次/月，其他1次/年</w:t>
            </w:r>
          </w:p>
        </w:tc>
        <w:tc>
          <w:tcPr>
            <w:tcW w:w="1080" w:type="dxa"/>
            <w:vAlign w:val="center"/>
          </w:tcPr>
          <w:p>
            <w:pPr>
              <w:adjustRightInd w:val="0"/>
              <w:snapToGrid w:val="0"/>
              <w:jc w:val="center"/>
              <w:rPr>
                <w:color w:val="auto"/>
                <w:kern w:val="0"/>
                <w:szCs w:val="21"/>
                <w:highlight w:val="none"/>
              </w:rPr>
            </w:pPr>
            <w:r>
              <w:rPr>
                <w:color w:val="auto"/>
                <w:kern w:val="0"/>
                <w:highlight w:val="none"/>
              </w:rPr>
              <w:t>0.6</w:t>
            </w:r>
          </w:p>
        </w:tc>
        <w:tc>
          <w:tcPr>
            <w:tcW w:w="1440" w:type="dxa"/>
            <w:vAlign w:val="center"/>
          </w:tcPr>
          <w:p>
            <w:pPr>
              <w:snapToGrid w:val="0"/>
              <w:rPr>
                <w:color w:val="auto"/>
                <w:szCs w:val="21"/>
                <w:highlight w:val="none"/>
              </w:rPr>
            </w:pPr>
            <w:r>
              <w:rPr>
                <w:color w:val="auto"/>
                <w:highlight w:val="none"/>
              </w:rPr>
              <w:t>缺一项扣0.6分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采样总管清洁记录、颗粒物切割头清洁、采样管清洁记录、设备维修记录、耗品耗材更换记录</w:t>
            </w:r>
          </w:p>
        </w:tc>
        <w:tc>
          <w:tcPr>
            <w:tcW w:w="1080" w:type="dxa"/>
            <w:vAlign w:val="center"/>
          </w:tcPr>
          <w:p>
            <w:pPr>
              <w:adjustRightInd w:val="0"/>
              <w:snapToGrid w:val="0"/>
              <w:jc w:val="center"/>
              <w:rPr>
                <w:color w:val="auto"/>
                <w:kern w:val="0"/>
                <w:szCs w:val="21"/>
                <w:highlight w:val="none"/>
              </w:rPr>
            </w:pPr>
            <w:r>
              <w:rPr>
                <w:color w:val="auto"/>
                <w:kern w:val="0"/>
                <w:highlight w:val="none"/>
              </w:rPr>
              <w:t>0.9</w:t>
            </w:r>
          </w:p>
        </w:tc>
        <w:tc>
          <w:tcPr>
            <w:tcW w:w="1440" w:type="dxa"/>
            <w:vAlign w:val="center"/>
          </w:tcPr>
          <w:p>
            <w:pPr>
              <w:snapToGrid w:val="0"/>
              <w:rPr>
                <w:color w:val="auto"/>
                <w:szCs w:val="21"/>
                <w:highlight w:val="none"/>
              </w:rPr>
            </w:pPr>
            <w:r>
              <w:rPr>
                <w:color w:val="auto"/>
                <w:highlight w:val="none"/>
              </w:rPr>
              <w:t>缺一项扣0.9分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上述各项记录与工控机中数据是否一致</w:t>
            </w:r>
          </w:p>
        </w:tc>
        <w:tc>
          <w:tcPr>
            <w:tcW w:w="1080" w:type="dxa"/>
            <w:vAlign w:val="center"/>
          </w:tcPr>
          <w:p>
            <w:pPr>
              <w:adjustRightInd w:val="0"/>
              <w:snapToGrid w:val="0"/>
              <w:jc w:val="center"/>
              <w:rPr>
                <w:color w:val="auto"/>
                <w:kern w:val="0"/>
                <w:szCs w:val="21"/>
                <w:highlight w:val="none"/>
              </w:rPr>
            </w:pPr>
            <w:r>
              <w:rPr>
                <w:color w:val="auto"/>
                <w:kern w:val="0"/>
                <w:szCs w:val="21"/>
                <w:highlight w:val="none"/>
              </w:rPr>
              <w:t>0.9</w:t>
            </w:r>
          </w:p>
        </w:tc>
        <w:tc>
          <w:tcPr>
            <w:tcW w:w="1440" w:type="dxa"/>
            <w:vAlign w:val="center"/>
          </w:tcPr>
          <w:p>
            <w:pPr>
              <w:snapToGrid w:val="0"/>
              <w:rPr>
                <w:color w:val="auto"/>
                <w:szCs w:val="21"/>
                <w:highlight w:val="none"/>
              </w:rPr>
            </w:pP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vAlign w:val="center"/>
          </w:tcPr>
          <w:p>
            <w:pPr>
              <w:adjustRightInd w:val="0"/>
              <w:snapToGrid w:val="0"/>
              <w:jc w:val="left"/>
              <w:rPr>
                <w:color w:val="auto"/>
                <w:kern w:val="0"/>
                <w:szCs w:val="21"/>
                <w:highlight w:val="none"/>
              </w:rPr>
            </w:pPr>
            <w:r>
              <w:rPr>
                <w:color w:val="auto"/>
                <w:kern w:val="0"/>
                <w:highlight w:val="none"/>
              </w:rPr>
              <w:t>监测设备档案（包括设备使用说明、操作手册、维修记录、使用情况、年度自检报告等）</w:t>
            </w:r>
          </w:p>
        </w:tc>
        <w:tc>
          <w:tcPr>
            <w:tcW w:w="1080" w:type="dxa"/>
            <w:vAlign w:val="center"/>
          </w:tcPr>
          <w:p>
            <w:pPr>
              <w:adjustRightInd w:val="0"/>
              <w:snapToGrid w:val="0"/>
              <w:jc w:val="center"/>
              <w:rPr>
                <w:color w:val="auto"/>
                <w:kern w:val="0"/>
                <w:szCs w:val="21"/>
                <w:highlight w:val="none"/>
              </w:rPr>
            </w:pPr>
            <w:r>
              <w:rPr>
                <w:color w:val="auto"/>
                <w:kern w:val="0"/>
                <w:highlight w:val="none"/>
              </w:rPr>
              <w:t>0.6</w:t>
            </w:r>
          </w:p>
        </w:tc>
        <w:tc>
          <w:tcPr>
            <w:tcW w:w="1440" w:type="dxa"/>
            <w:vAlign w:val="center"/>
          </w:tcPr>
          <w:p>
            <w:pPr>
              <w:snapToGrid w:val="0"/>
              <w:rPr>
                <w:color w:val="auto"/>
                <w:szCs w:val="21"/>
                <w:highlight w:val="none"/>
              </w:rPr>
            </w:pPr>
            <w:r>
              <w:rPr>
                <w:color w:val="auto"/>
                <w:highlight w:val="none"/>
              </w:rPr>
              <w:t>缺一项扣0.6分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auto"/>
                <w:kern w:val="0"/>
                <w:szCs w:val="21"/>
                <w:highlight w:val="none"/>
              </w:rPr>
            </w:pPr>
            <w:r>
              <w:rPr>
                <w:b/>
                <w:bCs/>
                <w:color w:val="auto"/>
                <w:kern w:val="0"/>
                <w:highlight w:val="none"/>
              </w:rPr>
              <w:t>4. 数据造假</w:t>
            </w:r>
          </w:p>
        </w:tc>
        <w:tc>
          <w:tcPr>
            <w:tcW w:w="5400" w:type="dxa"/>
            <w:vAlign w:val="center"/>
          </w:tcPr>
          <w:p>
            <w:pPr>
              <w:adjustRightInd w:val="0"/>
              <w:snapToGrid w:val="0"/>
              <w:jc w:val="left"/>
              <w:rPr>
                <w:color w:val="auto"/>
                <w:kern w:val="0"/>
                <w:szCs w:val="21"/>
                <w:highlight w:val="none"/>
              </w:rPr>
            </w:pPr>
            <w:r>
              <w:rPr>
                <w:color w:val="auto"/>
                <w:kern w:val="0"/>
                <w:highlight w:val="none"/>
              </w:rPr>
              <w:t>检查过程中如发现有数据造假情况（判定方法按照《环境监测数据弄虚作假处理办法》及实施细则）</w:t>
            </w:r>
          </w:p>
        </w:tc>
        <w:tc>
          <w:tcPr>
            <w:tcW w:w="1080" w:type="dxa"/>
            <w:vAlign w:val="center"/>
          </w:tcPr>
          <w:p>
            <w:pPr>
              <w:adjustRightInd w:val="0"/>
              <w:snapToGrid w:val="0"/>
              <w:jc w:val="center"/>
              <w:rPr>
                <w:color w:val="auto"/>
                <w:kern w:val="0"/>
                <w:szCs w:val="21"/>
                <w:highlight w:val="none"/>
              </w:rPr>
            </w:pPr>
          </w:p>
        </w:tc>
        <w:tc>
          <w:tcPr>
            <w:tcW w:w="1440" w:type="dxa"/>
            <w:vAlign w:val="center"/>
          </w:tcPr>
          <w:p>
            <w:pPr>
              <w:adjustRightInd w:val="0"/>
              <w:snapToGrid w:val="0"/>
              <w:jc w:val="center"/>
              <w:rPr>
                <w:color w:val="auto"/>
                <w:kern w:val="0"/>
                <w:szCs w:val="21"/>
                <w:highlight w:val="none"/>
              </w:rPr>
            </w:pPr>
            <w:r>
              <w:rPr>
                <w:color w:val="auto"/>
                <w:kern w:val="0"/>
                <w:highlight w:val="none"/>
              </w:rPr>
              <w:t>直接扣30分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auto"/>
                <w:kern w:val="0"/>
                <w:szCs w:val="21"/>
                <w:highlight w:val="none"/>
              </w:rPr>
            </w:pPr>
            <w:r>
              <w:rPr>
                <w:b/>
                <w:bCs/>
                <w:color w:val="auto"/>
                <w:kern w:val="0"/>
                <w:highlight w:val="none"/>
              </w:rPr>
              <w:t>5. 其他问题</w:t>
            </w:r>
          </w:p>
        </w:tc>
        <w:tc>
          <w:tcPr>
            <w:tcW w:w="5400" w:type="dxa"/>
            <w:vAlign w:val="center"/>
          </w:tcPr>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tc>
        <w:tc>
          <w:tcPr>
            <w:tcW w:w="1080" w:type="dxa"/>
            <w:vAlign w:val="center"/>
          </w:tcPr>
          <w:p>
            <w:pPr>
              <w:adjustRightInd w:val="0"/>
              <w:snapToGrid w:val="0"/>
              <w:jc w:val="center"/>
              <w:rPr>
                <w:color w:val="auto"/>
                <w:kern w:val="0"/>
                <w:szCs w:val="21"/>
                <w:highlight w:val="none"/>
              </w:rPr>
            </w:pPr>
          </w:p>
        </w:tc>
        <w:tc>
          <w:tcPr>
            <w:tcW w:w="1440" w:type="dxa"/>
            <w:vAlign w:val="center"/>
          </w:tcPr>
          <w:p>
            <w:pPr>
              <w:adjustRightInd w:val="0"/>
              <w:snapToGrid w:val="0"/>
              <w:jc w:val="center"/>
              <w:rPr>
                <w:color w:val="auto"/>
                <w:kern w:val="0"/>
                <w:szCs w:val="21"/>
                <w:highlight w:val="none"/>
              </w:rPr>
            </w:pPr>
            <w:r>
              <w:rPr>
                <w:color w:val="auto"/>
                <w:kern w:val="0"/>
                <w:highlight w:val="none"/>
              </w:rPr>
              <w:t>视情况可扣0.3-5分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560" w:type="dxa"/>
            <w:gridSpan w:val="3"/>
            <w:vAlign w:val="center"/>
          </w:tcPr>
          <w:p>
            <w:pPr>
              <w:adjustRightInd w:val="0"/>
              <w:snapToGrid w:val="0"/>
              <w:jc w:val="center"/>
              <w:rPr>
                <w:color w:val="auto"/>
                <w:kern w:val="0"/>
                <w:szCs w:val="21"/>
                <w:highlight w:val="none"/>
              </w:rPr>
            </w:pPr>
            <w:r>
              <w:rPr>
                <w:color w:val="auto"/>
                <w:kern w:val="0"/>
                <w:highlight w:val="none"/>
              </w:rPr>
              <w:t>总分</w:t>
            </w:r>
          </w:p>
        </w:tc>
        <w:tc>
          <w:tcPr>
            <w:tcW w:w="1440" w:type="dxa"/>
            <w:vAlign w:val="center"/>
          </w:tcPr>
          <w:p>
            <w:pPr>
              <w:adjustRightInd w:val="0"/>
              <w:snapToGrid w:val="0"/>
              <w:jc w:val="center"/>
              <w:rPr>
                <w:color w:val="auto"/>
                <w:kern w:val="0"/>
                <w:szCs w:val="21"/>
                <w:highlight w:val="none"/>
              </w:rPr>
            </w:pPr>
          </w:p>
        </w:tc>
        <w:tc>
          <w:tcPr>
            <w:tcW w:w="720" w:type="dxa"/>
            <w:vAlign w:val="center"/>
          </w:tcPr>
          <w:p>
            <w:pPr>
              <w:adjustRightInd w:val="0"/>
              <w:snapToGrid w:val="0"/>
              <w:jc w:val="center"/>
              <w:rPr>
                <w:color w:val="auto"/>
                <w:kern w:val="0"/>
                <w:szCs w:val="21"/>
                <w:highlight w:val="none"/>
              </w:rPr>
            </w:pPr>
          </w:p>
        </w:tc>
      </w:tr>
    </w:tbl>
    <w:p>
      <w:pPr>
        <w:widowControl/>
        <w:adjustRightInd w:val="0"/>
        <w:snapToGrid w:val="0"/>
        <w:ind w:firstLine="562"/>
        <w:rPr>
          <w:color w:val="auto"/>
          <w:kern w:val="0"/>
          <w:szCs w:val="21"/>
          <w:highlight w:val="none"/>
        </w:rPr>
      </w:pPr>
      <w:r>
        <w:rPr>
          <w:b/>
          <w:bCs/>
          <w:color w:val="auto"/>
          <w:kern w:val="0"/>
          <w:szCs w:val="21"/>
          <w:highlight w:val="none"/>
        </w:rPr>
        <w:t>注：</w:t>
      </w:r>
      <w:r>
        <w:rPr>
          <w:color w:val="auto"/>
          <w:kern w:val="0"/>
          <w:szCs w:val="21"/>
          <w:highlight w:val="none"/>
        </w:rPr>
        <w:t>1.《规范》：指《环境空气气态污染物（SO</w:t>
      </w:r>
      <w:r>
        <w:rPr>
          <w:color w:val="auto"/>
          <w:kern w:val="0"/>
          <w:szCs w:val="21"/>
          <w:highlight w:val="none"/>
          <w:vertAlign w:val="subscript"/>
        </w:rPr>
        <w:t>2</w:t>
      </w:r>
      <w:r>
        <w:rPr>
          <w:color w:val="auto"/>
          <w:kern w:val="0"/>
          <w:szCs w:val="21"/>
          <w:highlight w:val="none"/>
        </w:rPr>
        <w:t>、NO</w:t>
      </w:r>
      <w:r>
        <w:rPr>
          <w:color w:val="auto"/>
          <w:kern w:val="0"/>
          <w:szCs w:val="21"/>
          <w:highlight w:val="none"/>
          <w:vertAlign w:val="subscript"/>
        </w:rPr>
        <w:t>2</w:t>
      </w:r>
      <w:r>
        <w:rPr>
          <w:color w:val="auto"/>
          <w:kern w:val="0"/>
          <w:szCs w:val="21"/>
          <w:highlight w:val="none"/>
        </w:rPr>
        <w:t>、O</w:t>
      </w:r>
      <w:r>
        <w:rPr>
          <w:color w:val="auto"/>
          <w:kern w:val="0"/>
          <w:szCs w:val="21"/>
          <w:highlight w:val="none"/>
          <w:vertAlign w:val="subscript"/>
        </w:rPr>
        <w:t>3</w:t>
      </w:r>
      <w:r>
        <w:rPr>
          <w:color w:val="auto"/>
          <w:kern w:val="0"/>
          <w:szCs w:val="21"/>
          <w:highlight w:val="none"/>
        </w:rPr>
        <w:t>、CO）连续自动监测系统技术要求及检测方法》(HJ 654-2013)、《环境空气气态污染物（SO</w:t>
      </w:r>
      <w:r>
        <w:rPr>
          <w:color w:val="auto"/>
          <w:kern w:val="0"/>
          <w:szCs w:val="21"/>
          <w:highlight w:val="none"/>
          <w:vertAlign w:val="subscript"/>
        </w:rPr>
        <w:t>2</w:t>
      </w:r>
      <w:r>
        <w:rPr>
          <w:color w:val="auto"/>
          <w:kern w:val="0"/>
          <w:szCs w:val="21"/>
          <w:highlight w:val="none"/>
        </w:rPr>
        <w:t>、NO</w:t>
      </w:r>
      <w:r>
        <w:rPr>
          <w:color w:val="auto"/>
          <w:kern w:val="0"/>
          <w:szCs w:val="21"/>
          <w:highlight w:val="none"/>
          <w:vertAlign w:val="subscript"/>
        </w:rPr>
        <w:t>2</w:t>
      </w:r>
      <w:r>
        <w:rPr>
          <w:color w:val="auto"/>
          <w:kern w:val="0"/>
          <w:szCs w:val="21"/>
          <w:highlight w:val="none"/>
        </w:rPr>
        <w:t>、O</w:t>
      </w:r>
      <w:r>
        <w:rPr>
          <w:color w:val="auto"/>
          <w:kern w:val="0"/>
          <w:szCs w:val="21"/>
          <w:highlight w:val="none"/>
          <w:vertAlign w:val="subscript"/>
        </w:rPr>
        <w:t>3</w:t>
      </w:r>
      <w:r>
        <w:rPr>
          <w:color w:val="auto"/>
          <w:kern w:val="0"/>
          <w:szCs w:val="21"/>
          <w:highlight w:val="none"/>
        </w:rPr>
        <w:t>、CO）连续自动监测系统安装验收技术规范》(HJ 193-2013)、《环境空气颗粒物（PM</w:t>
      </w:r>
      <w:r>
        <w:rPr>
          <w:color w:val="auto"/>
          <w:kern w:val="0"/>
          <w:szCs w:val="21"/>
          <w:highlight w:val="none"/>
          <w:vertAlign w:val="subscript"/>
        </w:rPr>
        <w:t>10</w:t>
      </w:r>
      <w:r>
        <w:rPr>
          <w:color w:val="auto"/>
          <w:kern w:val="0"/>
          <w:szCs w:val="21"/>
          <w:highlight w:val="none"/>
        </w:rPr>
        <w:t>和PM</w:t>
      </w:r>
      <w:r>
        <w:rPr>
          <w:color w:val="auto"/>
          <w:kern w:val="0"/>
          <w:szCs w:val="21"/>
          <w:highlight w:val="none"/>
          <w:vertAlign w:val="subscript"/>
        </w:rPr>
        <w:t>2.5</w:t>
      </w:r>
      <w:r>
        <w:rPr>
          <w:color w:val="auto"/>
          <w:kern w:val="0"/>
          <w:szCs w:val="21"/>
          <w:highlight w:val="none"/>
        </w:rPr>
        <w:t>）连续自动监测系统技术要求及检测方法》(HJ 653-2013)、《环境空气颗粒物（PM</w:t>
      </w:r>
      <w:r>
        <w:rPr>
          <w:color w:val="auto"/>
          <w:kern w:val="0"/>
          <w:szCs w:val="21"/>
          <w:highlight w:val="none"/>
          <w:vertAlign w:val="subscript"/>
        </w:rPr>
        <w:t>10</w:t>
      </w:r>
      <w:r>
        <w:rPr>
          <w:color w:val="auto"/>
          <w:kern w:val="0"/>
          <w:szCs w:val="21"/>
          <w:highlight w:val="none"/>
        </w:rPr>
        <w:t>和PM</w:t>
      </w:r>
      <w:r>
        <w:rPr>
          <w:color w:val="auto"/>
          <w:kern w:val="0"/>
          <w:szCs w:val="21"/>
          <w:highlight w:val="none"/>
          <w:vertAlign w:val="subscript"/>
        </w:rPr>
        <w:t>2.5</w:t>
      </w:r>
      <w:r>
        <w:rPr>
          <w:color w:val="auto"/>
          <w:kern w:val="0"/>
          <w:szCs w:val="21"/>
          <w:highlight w:val="none"/>
        </w:rPr>
        <w:t>）连续自动监测系统安装和验收技术规范》(HJ 655-2013)；2.《标准》：指《环境空气质量标准》（GB3095-2012）。</w:t>
      </w:r>
    </w:p>
    <w:p>
      <w:pPr>
        <w:widowControl/>
        <w:adjustRightInd w:val="0"/>
        <w:snapToGrid w:val="0"/>
        <w:spacing w:line="360" w:lineRule="auto"/>
        <w:ind w:firstLine="316" w:firstLineChars="150"/>
        <w:rPr>
          <w:b/>
          <w:bCs/>
          <w:color w:val="auto"/>
          <w:kern w:val="0"/>
          <w:szCs w:val="21"/>
          <w:highlight w:val="none"/>
        </w:rPr>
      </w:pPr>
      <w:r>
        <w:rPr>
          <w:b/>
          <w:bCs/>
          <w:color w:val="auto"/>
          <w:kern w:val="0"/>
          <w:szCs w:val="21"/>
          <w:highlight w:val="none"/>
        </w:rPr>
        <w:t xml:space="preserve"> </w:t>
      </w:r>
    </w:p>
    <w:p>
      <w:pPr>
        <w:widowControl/>
        <w:adjustRightInd w:val="0"/>
        <w:snapToGrid w:val="0"/>
        <w:spacing w:line="360" w:lineRule="auto"/>
        <w:ind w:firstLine="316" w:firstLineChars="150"/>
        <w:rPr>
          <w:b/>
          <w:bCs/>
          <w:color w:val="auto"/>
          <w:kern w:val="0"/>
          <w:szCs w:val="21"/>
          <w:highlight w:val="none"/>
        </w:rPr>
      </w:pPr>
      <w:r>
        <w:rPr>
          <w:b/>
          <w:bCs/>
          <w:color w:val="auto"/>
          <w:kern w:val="0"/>
          <w:szCs w:val="21"/>
          <w:highlight w:val="none"/>
        </w:rPr>
        <w:t>2.本表总分30分，按扣分值计算。</w:t>
      </w:r>
    </w:p>
    <w:p>
      <w:pPr>
        <w:rPr>
          <w:color w:val="auto"/>
          <w:highlight w:val="none"/>
          <w:u w:val="single"/>
        </w:rPr>
      </w:pPr>
      <w:r>
        <w:rPr>
          <w:b/>
          <w:bCs/>
          <w:color w:val="auto"/>
          <w:highlight w:val="none"/>
        </w:rPr>
        <w:t>检查日期</w:t>
      </w:r>
      <w:r>
        <w:rPr>
          <w:color w:val="auto"/>
          <w:highlight w:val="none"/>
        </w:rPr>
        <w:t>：</w:t>
      </w:r>
      <w:r>
        <w:rPr>
          <w:color w:val="auto"/>
          <w:highlight w:val="none"/>
          <w:u w:val="single"/>
        </w:rPr>
        <w:t xml:space="preserve">                 </w:t>
      </w:r>
      <w:r>
        <w:rPr>
          <w:color w:val="auto"/>
          <w:highlight w:val="none"/>
        </w:rPr>
        <w:t xml:space="preserve">                       </w:t>
      </w:r>
      <w:r>
        <w:rPr>
          <w:b/>
          <w:bCs/>
          <w:color w:val="auto"/>
          <w:highlight w:val="none"/>
        </w:rPr>
        <w:t>检查人员</w:t>
      </w:r>
      <w:r>
        <w:rPr>
          <w:color w:val="auto"/>
          <w:highlight w:val="none"/>
        </w:rPr>
        <w:t>：</w:t>
      </w:r>
      <w:r>
        <w:rPr>
          <w:color w:val="auto"/>
          <w:highlight w:val="none"/>
          <w:u w:val="single"/>
        </w:rPr>
        <w:t xml:space="preserve">                         </w:t>
      </w:r>
    </w:p>
    <w:p>
      <w:pPr>
        <w:rPr>
          <w:b/>
          <w:color w:val="auto"/>
          <w:highlight w:val="none"/>
        </w:rPr>
      </w:pPr>
      <w:r>
        <w:rPr>
          <w:color w:val="auto"/>
          <w:highlight w:val="none"/>
        </w:rPr>
        <w:t xml:space="preserve">                                                 </w:t>
      </w:r>
      <w:r>
        <w:rPr>
          <w:b/>
          <w:color w:val="auto"/>
          <w:highlight w:val="none"/>
        </w:rPr>
        <w:t xml:space="preserve"> 运维人员：</w:t>
      </w:r>
      <w:r>
        <w:rPr>
          <w:color w:val="auto"/>
          <w:highlight w:val="none"/>
          <w:u w:val="single"/>
        </w:rPr>
        <w:t xml:space="preserve">                       </w:t>
      </w:r>
    </w:p>
    <w:p>
      <w:pPr>
        <w:rPr>
          <w:color w:val="auto"/>
          <w:highlight w:val="none"/>
        </w:rPr>
      </w:pPr>
    </w:p>
    <w:p>
      <w:pPr>
        <w:snapToGrid w:val="0"/>
        <w:spacing w:line="360" w:lineRule="auto"/>
        <w:rPr>
          <w:color w:val="auto"/>
          <w:sz w:val="24"/>
          <w:highlight w:val="none"/>
        </w:rPr>
      </w:pPr>
    </w:p>
    <w:p>
      <w:pPr>
        <w:snapToGrid w:val="0"/>
        <w:spacing w:line="360" w:lineRule="auto"/>
        <w:rPr>
          <w:b/>
          <w:bCs/>
          <w:color w:val="auto"/>
          <w:sz w:val="28"/>
          <w:highlight w:val="none"/>
        </w:rPr>
      </w:pPr>
      <w:r>
        <w:rPr>
          <w:rFonts w:hint="eastAsia"/>
          <w:b/>
          <w:bCs/>
          <w:color w:val="auto"/>
          <w:sz w:val="28"/>
          <w:highlight w:val="none"/>
        </w:rPr>
        <w:t>附</w:t>
      </w:r>
      <w:r>
        <w:rPr>
          <w:b/>
          <w:bCs/>
          <w:color w:val="auto"/>
          <w:sz w:val="28"/>
          <w:highlight w:val="none"/>
        </w:rPr>
        <w:t xml:space="preserve">表4  </w:t>
      </w:r>
    </w:p>
    <w:p>
      <w:pPr>
        <w:snapToGrid w:val="0"/>
        <w:spacing w:line="360" w:lineRule="auto"/>
        <w:jc w:val="center"/>
        <w:rPr>
          <w:b/>
          <w:bCs/>
          <w:color w:val="auto"/>
          <w:sz w:val="28"/>
          <w:highlight w:val="none"/>
        </w:rPr>
      </w:pPr>
      <w:r>
        <w:rPr>
          <w:b/>
          <w:bCs/>
          <w:color w:val="auto"/>
          <w:sz w:val="28"/>
          <w:highlight w:val="none"/>
        </w:rPr>
        <w:t>区控环境空气自动监测质量现场检查评分表（非甲烷总烃）</w:t>
      </w:r>
    </w:p>
    <w:p>
      <w:pPr>
        <w:snapToGrid w:val="0"/>
        <w:spacing w:before="156" w:after="156" w:line="360" w:lineRule="auto"/>
        <w:jc w:val="left"/>
        <w:rPr>
          <w:b/>
          <w:bCs/>
          <w:color w:val="auto"/>
          <w:highlight w:val="none"/>
        </w:rPr>
      </w:pPr>
      <w:r>
        <w:rPr>
          <w:b/>
          <w:bCs/>
          <w:color w:val="auto"/>
          <w:kern w:val="0"/>
          <w:highlight w:val="none"/>
        </w:rPr>
        <w:t>站点所在地</w:t>
      </w:r>
      <w:r>
        <w:rPr>
          <w:color w:val="auto"/>
          <w:kern w:val="0"/>
          <w:highlight w:val="none"/>
        </w:rPr>
        <w:t>：</w:t>
      </w:r>
      <w:r>
        <w:rPr>
          <w:color w:val="auto"/>
          <w:kern w:val="0"/>
          <w:highlight w:val="none"/>
          <w:u w:val="single"/>
        </w:rPr>
        <w:t xml:space="preserve">                     </w:t>
      </w:r>
      <w:r>
        <w:rPr>
          <w:color w:val="auto"/>
          <w:kern w:val="0"/>
          <w:highlight w:val="none"/>
        </w:rPr>
        <w:t xml:space="preserve">市    </w:t>
      </w:r>
      <w:r>
        <w:rPr>
          <w:b/>
          <w:bCs/>
          <w:color w:val="auto"/>
          <w:kern w:val="0"/>
          <w:highlight w:val="none"/>
        </w:rPr>
        <w:t>子站名称：</w:t>
      </w:r>
      <w:r>
        <w:rPr>
          <w:color w:val="auto"/>
          <w:kern w:val="0"/>
          <w:highlight w:val="none"/>
          <w:u w:val="single"/>
        </w:rPr>
        <w:t xml:space="preserve">                           </w:t>
      </w:r>
    </w:p>
    <w:p>
      <w:pPr>
        <w:snapToGrid w:val="0"/>
        <w:spacing w:line="360" w:lineRule="auto"/>
        <w:rPr>
          <w:color w:val="auto"/>
          <w:kern w:val="0"/>
          <w:highlight w:val="none"/>
          <w:u w:val="single"/>
        </w:rPr>
      </w:pPr>
      <w:r>
        <w:rPr>
          <w:b/>
          <w:bCs/>
          <w:color w:val="auto"/>
          <w:kern w:val="0"/>
          <w:highlight w:val="none"/>
        </w:rPr>
        <w:t>仪器型号</w:t>
      </w:r>
      <w:r>
        <w:rPr>
          <w:color w:val="auto"/>
          <w:kern w:val="0"/>
          <w:highlight w:val="none"/>
        </w:rPr>
        <w:t>：NMHC</w:t>
      </w:r>
      <w:r>
        <w:rPr>
          <w:color w:val="auto"/>
          <w:kern w:val="0"/>
          <w:highlight w:val="none"/>
          <w:u w:val="single"/>
        </w:rPr>
        <w:t xml:space="preserve">：                 </w:t>
      </w:r>
    </w:p>
    <w:tbl>
      <w:tblPr>
        <w:tblStyle w:val="18"/>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58"/>
        <w:gridCol w:w="4642"/>
        <w:gridCol w:w="1080"/>
        <w:gridCol w:w="144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ind w:left="42" w:leftChars="20"/>
              <w:jc w:val="center"/>
              <w:rPr>
                <w:b/>
                <w:bCs/>
                <w:color w:val="auto"/>
                <w:szCs w:val="21"/>
                <w:highlight w:val="none"/>
              </w:rPr>
            </w:pPr>
            <w:r>
              <w:rPr>
                <w:b/>
                <w:bCs/>
                <w:color w:val="auto"/>
                <w:highlight w:val="none"/>
              </w:rPr>
              <w:t>检查内容</w:t>
            </w:r>
          </w:p>
        </w:tc>
        <w:tc>
          <w:tcPr>
            <w:tcW w:w="5400" w:type="dxa"/>
            <w:gridSpan w:val="2"/>
            <w:vAlign w:val="center"/>
          </w:tcPr>
          <w:p>
            <w:pPr>
              <w:adjustRightInd w:val="0"/>
              <w:snapToGrid w:val="0"/>
              <w:jc w:val="center"/>
              <w:rPr>
                <w:b/>
                <w:bCs/>
                <w:color w:val="auto"/>
                <w:szCs w:val="21"/>
                <w:highlight w:val="none"/>
              </w:rPr>
            </w:pPr>
            <w:r>
              <w:rPr>
                <w:b/>
                <w:bCs/>
                <w:color w:val="auto"/>
                <w:highlight w:val="none"/>
              </w:rPr>
              <w:t>检查要点</w:t>
            </w:r>
          </w:p>
        </w:tc>
        <w:tc>
          <w:tcPr>
            <w:tcW w:w="1080" w:type="dxa"/>
            <w:vAlign w:val="center"/>
          </w:tcPr>
          <w:p>
            <w:pPr>
              <w:adjustRightInd w:val="0"/>
              <w:snapToGrid w:val="0"/>
              <w:jc w:val="center"/>
              <w:rPr>
                <w:b/>
                <w:bCs/>
                <w:color w:val="auto"/>
                <w:szCs w:val="21"/>
                <w:highlight w:val="none"/>
              </w:rPr>
            </w:pPr>
            <w:r>
              <w:rPr>
                <w:b/>
                <w:bCs/>
                <w:color w:val="auto"/>
                <w:highlight w:val="none"/>
              </w:rPr>
              <w:t>单项分值</w:t>
            </w:r>
          </w:p>
        </w:tc>
        <w:tc>
          <w:tcPr>
            <w:tcW w:w="1440" w:type="dxa"/>
            <w:vAlign w:val="center"/>
          </w:tcPr>
          <w:p>
            <w:pPr>
              <w:adjustRightInd w:val="0"/>
              <w:snapToGrid w:val="0"/>
              <w:jc w:val="center"/>
              <w:rPr>
                <w:b/>
                <w:bCs/>
                <w:color w:val="auto"/>
                <w:szCs w:val="21"/>
                <w:highlight w:val="none"/>
              </w:rPr>
            </w:pPr>
            <w:r>
              <w:rPr>
                <w:b/>
                <w:bCs/>
                <w:color w:val="auto"/>
                <w:highlight w:val="none"/>
              </w:rPr>
              <w:t>评分说明</w:t>
            </w:r>
          </w:p>
        </w:tc>
        <w:tc>
          <w:tcPr>
            <w:tcW w:w="720" w:type="dxa"/>
            <w:vAlign w:val="center"/>
          </w:tcPr>
          <w:p>
            <w:pPr>
              <w:adjustRightInd w:val="0"/>
              <w:snapToGrid w:val="0"/>
              <w:jc w:val="center"/>
              <w:rPr>
                <w:b/>
                <w:bCs/>
                <w:color w:val="auto"/>
                <w:szCs w:val="21"/>
                <w:highlight w:val="none"/>
              </w:rPr>
            </w:pPr>
            <w:r>
              <w:rPr>
                <w:b/>
                <w:bCs/>
                <w:color w:val="auto"/>
                <w:highlight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auto"/>
                <w:szCs w:val="21"/>
                <w:highlight w:val="none"/>
              </w:rPr>
            </w:pPr>
            <w:r>
              <w:rPr>
                <w:b/>
                <w:bCs/>
                <w:color w:val="auto"/>
                <w:highlight w:val="none"/>
              </w:rPr>
              <w:t>1.站房及采样系统情况</w:t>
            </w:r>
          </w:p>
          <w:p>
            <w:pPr>
              <w:adjustRightInd w:val="0"/>
              <w:snapToGrid w:val="0"/>
              <w:jc w:val="center"/>
              <w:rPr>
                <w:b/>
                <w:bCs/>
                <w:color w:val="auto"/>
                <w:szCs w:val="21"/>
                <w:highlight w:val="none"/>
              </w:rPr>
            </w:pPr>
            <w:r>
              <w:rPr>
                <w:b/>
                <w:bCs/>
                <w:color w:val="auto"/>
                <w:highlight w:val="none"/>
              </w:rPr>
              <w:t>（5.8分）</w:t>
            </w:r>
          </w:p>
        </w:tc>
        <w:tc>
          <w:tcPr>
            <w:tcW w:w="5400" w:type="dxa"/>
            <w:gridSpan w:val="2"/>
            <w:vAlign w:val="center"/>
          </w:tcPr>
          <w:p>
            <w:pPr>
              <w:adjustRightInd w:val="0"/>
              <w:snapToGrid w:val="0"/>
              <w:jc w:val="left"/>
              <w:rPr>
                <w:color w:val="auto"/>
                <w:szCs w:val="21"/>
                <w:highlight w:val="none"/>
              </w:rPr>
            </w:pPr>
            <w:r>
              <w:rPr>
                <w:color w:val="auto"/>
                <w:highlight w:val="none"/>
              </w:rPr>
              <w:t>站房温度</w:t>
            </w:r>
            <w:r>
              <w:rPr>
                <w:color w:val="auto"/>
                <w:highlight w:val="none"/>
              </w:rPr>
              <w:softHyphen/>
            </w:r>
            <w:r>
              <w:rPr>
                <w:color w:val="auto"/>
                <w:highlight w:val="none"/>
              </w:rPr>
              <w:softHyphen/>
            </w:r>
            <w:r>
              <w:rPr>
                <w:color w:val="auto"/>
                <w:highlight w:val="none"/>
              </w:rPr>
              <w:softHyphen/>
            </w:r>
            <w:r>
              <w:rPr>
                <w:color w:val="auto"/>
                <w:highlight w:val="none"/>
              </w:rPr>
              <w:softHyphen/>
            </w:r>
            <w:r>
              <w:rPr>
                <w:color w:val="auto"/>
                <w:highlight w:val="none"/>
              </w:rPr>
              <w:t>__________（15-35</w:t>
            </w:r>
            <w:r>
              <w:rPr>
                <w:rFonts w:hint="eastAsia" w:ascii="宋体" w:hAnsi="宋体" w:cs="宋体"/>
                <w:color w:val="auto"/>
                <w:highlight w:val="none"/>
              </w:rPr>
              <w:t>℃</w:t>
            </w:r>
            <w:r>
              <w:rPr>
                <w:color w:val="auto"/>
                <w:highlight w:val="none"/>
              </w:rPr>
              <w:t xml:space="preserve">） </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center"/>
              <w:rPr>
                <w:color w:val="auto"/>
                <w:szCs w:val="21"/>
                <w:highlight w:val="none"/>
              </w:rPr>
            </w:pP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相对湿度__________（80%以下）</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站房是否漏雨</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center"/>
              <w:rPr>
                <w:color w:val="auto"/>
                <w:szCs w:val="21"/>
                <w:highlight w:val="none"/>
              </w:rPr>
            </w:pP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是否有避雷针接地、电源防雷、网络防雷。避雷针是否有检定证书</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防火器材是否在有效期内</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站房内其他辅助设施（排风扇、空调、照明、工具箱）是否正常</w:t>
            </w:r>
          </w:p>
        </w:tc>
        <w:tc>
          <w:tcPr>
            <w:tcW w:w="1080" w:type="dxa"/>
            <w:vAlign w:val="center"/>
          </w:tcPr>
          <w:p>
            <w:pPr>
              <w:adjustRightInd w:val="0"/>
              <w:snapToGrid w:val="0"/>
              <w:jc w:val="center"/>
              <w:rPr>
                <w:color w:val="auto"/>
                <w:szCs w:val="21"/>
                <w:highlight w:val="none"/>
              </w:rPr>
            </w:pPr>
            <w:r>
              <w:rPr>
                <w:color w:val="auto"/>
                <w:highlight w:val="none"/>
              </w:rPr>
              <w:t>0.3</w:t>
            </w:r>
          </w:p>
        </w:tc>
        <w:tc>
          <w:tcPr>
            <w:tcW w:w="1440" w:type="dxa"/>
            <w:vAlign w:val="center"/>
          </w:tcPr>
          <w:p>
            <w:pPr>
              <w:adjustRightInd w:val="0"/>
              <w:snapToGrid w:val="0"/>
              <w:jc w:val="left"/>
              <w:rPr>
                <w:color w:val="auto"/>
                <w:szCs w:val="21"/>
                <w:highlight w:val="none"/>
              </w:rPr>
            </w:pPr>
            <w:r>
              <w:rPr>
                <w:color w:val="auto"/>
                <w:highlight w:val="none"/>
              </w:rPr>
              <w:t>缺失一项扣0.3分</w:t>
            </w: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站房内线路整洁及卫生情况</w:t>
            </w:r>
          </w:p>
        </w:tc>
        <w:tc>
          <w:tcPr>
            <w:tcW w:w="1080" w:type="dxa"/>
            <w:vAlign w:val="center"/>
          </w:tcPr>
          <w:p>
            <w:pPr>
              <w:adjustRightInd w:val="0"/>
              <w:snapToGrid w:val="0"/>
              <w:jc w:val="center"/>
              <w:rPr>
                <w:color w:val="auto"/>
                <w:szCs w:val="21"/>
                <w:highlight w:val="none"/>
              </w:rPr>
            </w:pPr>
            <w:r>
              <w:rPr>
                <w:color w:val="auto"/>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kern w:val="0"/>
                <w:highlight w:val="none"/>
              </w:rPr>
              <w:t>采样系统清洁程度（采样总管、支管）</w:t>
            </w:r>
          </w:p>
        </w:tc>
        <w:tc>
          <w:tcPr>
            <w:tcW w:w="1080" w:type="dxa"/>
            <w:vAlign w:val="center"/>
          </w:tcPr>
          <w:p>
            <w:pPr>
              <w:adjustRightInd w:val="0"/>
              <w:snapToGrid w:val="0"/>
              <w:jc w:val="center"/>
              <w:rPr>
                <w:color w:val="auto"/>
                <w:szCs w:val="21"/>
                <w:highlight w:val="none"/>
              </w:rPr>
            </w:pPr>
            <w:r>
              <w:rPr>
                <w:color w:val="auto"/>
                <w:highlight w:val="none"/>
              </w:rPr>
              <w:t>1.2</w:t>
            </w:r>
          </w:p>
        </w:tc>
        <w:tc>
          <w:tcPr>
            <w:tcW w:w="1440" w:type="dxa"/>
            <w:vAlign w:val="center"/>
          </w:tcPr>
          <w:p>
            <w:pPr>
              <w:adjustRightInd w:val="0"/>
              <w:snapToGrid w:val="0"/>
              <w:jc w:val="left"/>
              <w:rPr>
                <w:color w:val="auto"/>
                <w:szCs w:val="21"/>
                <w:highlight w:val="none"/>
              </w:rPr>
            </w:pPr>
            <w:r>
              <w:rPr>
                <w:color w:val="auto"/>
                <w:highlight w:val="none"/>
              </w:rPr>
              <w:t>有一项不清洁扣1.2分</w:t>
            </w: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采样风机是否正常工作</w:t>
            </w:r>
          </w:p>
        </w:tc>
        <w:tc>
          <w:tcPr>
            <w:tcW w:w="1080" w:type="dxa"/>
            <w:vAlign w:val="center"/>
          </w:tcPr>
          <w:p>
            <w:pPr>
              <w:adjustRightInd w:val="0"/>
              <w:snapToGrid w:val="0"/>
              <w:jc w:val="center"/>
              <w:rPr>
                <w:color w:val="auto"/>
                <w:szCs w:val="21"/>
                <w:highlight w:val="none"/>
              </w:rPr>
            </w:pPr>
            <w:r>
              <w:rPr>
                <w:color w:val="auto"/>
                <w:kern w:val="0"/>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气态污染物采样总管加热温度是否在</w:t>
            </w:r>
            <w:r>
              <w:rPr>
                <w:color w:val="auto"/>
                <w:kern w:val="0"/>
                <w:highlight w:val="none"/>
              </w:rPr>
              <w:softHyphen/>
            </w:r>
            <w:r>
              <w:rPr>
                <w:color w:val="auto"/>
                <w:kern w:val="0"/>
                <w:highlight w:val="none"/>
              </w:rPr>
              <w:softHyphen/>
            </w:r>
            <w:r>
              <w:rPr>
                <w:color w:val="auto"/>
                <w:kern w:val="0"/>
                <w:highlight w:val="none"/>
              </w:rPr>
              <w:t>30～50</w:t>
            </w:r>
            <w:r>
              <w:rPr>
                <w:rFonts w:hint="eastAsia" w:ascii="宋体" w:hAnsi="宋体" w:cs="宋体"/>
                <w:color w:val="auto"/>
                <w:kern w:val="0"/>
                <w:highlight w:val="none"/>
              </w:rPr>
              <w:t>℃</w:t>
            </w:r>
            <w:r>
              <w:rPr>
                <w:color w:val="auto"/>
                <w:kern w:val="0"/>
                <w:highlight w:val="none"/>
              </w:rPr>
              <w:t>，是否避免被空调直吹</w:t>
            </w:r>
          </w:p>
        </w:tc>
        <w:tc>
          <w:tcPr>
            <w:tcW w:w="1080" w:type="dxa"/>
            <w:vAlign w:val="center"/>
          </w:tcPr>
          <w:p>
            <w:pPr>
              <w:adjustRightInd w:val="0"/>
              <w:snapToGrid w:val="0"/>
              <w:jc w:val="center"/>
              <w:rPr>
                <w:color w:val="auto"/>
                <w:kern w:val="0"/>
                <w:szCs w:val="21"/>
                <w:highlight w:val="none"/>
              </w:rPr>
            </w:pPr>
            <w:r>
              <w:rPr>
                <w:color w:val="auto"/>
                <w:highlight w:val="none"/>
              </w:rPr>
              <w:t>0.6</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各通道参数（斜率、截距、量程等）的设置是否正确</w:t>
            </w:r>
          </w:p>
        </w:tc>
        <w:tc>
          <w:tcPr>
            <w:tcW w:w="1080" w:type="dxa"/>
            <w:vAlign w:val="center"/>
          </w:tcPr>
          <w:p>
            <w:pPr>
              <w:adjustRightInd w:val="0"/>
              <w:snapToGrid w:val="0"/>
              <w:jc w:val="center"/>
              <w:rPr>
                <w:color w:val="auto"/>
                <w:szCs w:val="21"/>
                <w:highlight w:val="none"/>
              </w:rPr>
            </w:pPr>
            <w:r>
              <w:rPr>
                <w:color w:val="auto"/>
                <w:szCs w:val="21"/>
                <w:highlight w:val="none"/>
              </w:rPr>
              <w:t>1</w:t>
            </w:r>
          </w:p>
        </w:tc>
        <w:tc>
          <w:tcPr>
            <w:tcW w:w="1440" w:type="dxa"/>
            <w:vAlign w:val="center"/>
          </w:tcPr>
          <w:p>
            <w:pPr>
              <w:adjustRightInd w:val="0"/>
              <w:snapToGrid w:val="0"/>
              <w:jc w:val="left"/>
              <w:rPr>
                <w:color w:val="auto"/>
                <w:szCs w:val="21"/>
                <w:highlight w:val="none"/>
              </w:rPr>
            </w:pPr>
            <w:r>
              <w:rPr>
                <w:color w:val="auto"/>
                <w:highlight w:val="none"/>
              </w:rPr>
              <w:t>有一项设置不正确扣1分</w:t>
            </w: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vAlign w:val="center"/>
          </w:tcPr>
          <w:p>
            <w:pPr>
              <w:adjustRightInd w:val="0"/>
              <w:snapToGrid w:val="0"/>
              <w:jc w:val="center"/>
              <w:rPr>
                <w:b/>
                <w:bCs/>
                <w:color w:val="auto"/>
                <w:szCs w:val="21"/>
                <w:highlight w:val="none"/>
              </w:rPr>
            </w:pPr>
            <w:r>
              <w:rPr>
                <w:b/>
                <w:bCs/>
                <w:color w:val="auto"/>
                <w:highlight w:val="none"/>
              </w:rPr>
              <w:t>2.仪器性能测试</w:t>
            </w:r>
          </w:p>
          <w:p>
            <w:pPr>
              <w:adjustRightInd w:val="0"/>
              <w:snapToGrid w:val="0"/>
              <w:jc w:val="center"/>
              <w:rPr>
                <w:b/>
                <w:bCs/>
                <w:color w:val="auto"/>
                <w:szCs w:val="21"/>
                <w:highlight w:val="none"/>
              </w:rPr>
            </w:pPr>
            <w:r>
              <w:rPr>
                <w:b/>
                <w:bCs/>
                <w:color w:val="auto"/>
                <w:highlight w:val="none"/>
              </w:rPr>
              <w:t>（18.9分）</w:t>
            </w:r>
          </w:p>
        </w:tc>
        <w:tc>
          <w:tcPr>
            <w:tcW w:w="5400" w:type="dxa"/>
            <w:gridSpan w:val="2"/>
            <w:vAlign w:val="center"/>
          </w:tcPr>
          <w:p>
            <w:pPr>
              <w:adjustRightInd w:val="0"/>
              <w:snapToGrid w:val="0"/>
              <w:jc w:val="left"/>
              <w:rPr>
                <w:color w:val="auto"/>
                <w:kern w:val="0"/>
                <w:szCs w:val="21"/>
                <w:highlight w:val="none"/>
              </w:rPr>
            </w:pPr>
            <w:r>
              <w:rPr>
                <w:color w:val="auto"/>
                <w:highlight w:val="none"/>
              </w:rPr>
              <w:t>仪器是否出现除停电重启外的其他报警信息</w:t>
            </w:r>
          </w:p>
        </w:tc>
        <w:tc>
          <w:tcPr>
            <w:tcW w:w="1080" w:type="dxa"/>
            <w:vAlign w:val="center"/>
          </w:tcPr>
          <w:p>
            <w:pPr>
              <w:adjustRightInd w:val="0"/>
              <w:snapToGrid w:val="0"/>
              <w:jc w:val="center"/>
              <w:rPr>
                <w:color w:val="auto"/>
                <w:szCs w:val="21"/>
                <w:highlight w:val="none"/>
              </w:rPr>
            </w:pPr>
            <w:r>
              <w:rPr>
                <w:color w:val="auto"/>
                <w:highlight w:val="none"/>
              </w:rPr>
              <w:t>1</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szCs w:val="21"/>
                <w:highlight w:val="none"/>
              </w:rPr>
            </w:pPr>
            <w:r>
              <w:rPr>
                <w:color w:val="auto"/>
                <w:highlight w:val="none"/>
              </w:rPr>
              <w:t>更换的备品备件是否是原厂</w:t>
            </w:r>
          </w:p>
        </w:tc>
        <w:tc>
          <w:tcPr>
            <w:tcW w:w="1080" w:type="dxa"/>
            <w:vAlign w:val="center"/>
          </w:tcPr>
          <w:p>
            <w:pPr>
              <w:adjustRightInd w:val="0"/>
              <w:snapToGrid w:val="0"/>
              <w:jc w:val="center"/>
              <w:rPr>
                <w:color w:val="auto"/>
                <w:szCs w:val="21"/>
                <w:highlight w:val="none"/>
              </w:rPr>
            </w:pPr>
            <w:r>
              <w:rPr>
                <w:color w:val="auto"/>
                <w:highlight w:val="none"/>
              </w:rPr>
              <w:t>0.9</w:t>
            </w:r>
          </w:p>
        </w:tc>
        <w:tc>
          <w:tcPr>
            <w:tcW w:w="1440" w:type="dxa"/>
            <w:vAlign w:val="center"/>
          </w:tcPr>
          <w:p>
            <w:pPr>
              <w:adjustRightInd w:val="0"/>
              <w:snapToGrid w:val="0"/>
              <w:jc w:val="left"/>
              <w:rPr>
                <w:color w:val="auto"/>
                <w:szCs w:val="21"/>
                <w:highlight w:val="none"/>
              </w:rPr>
            </w:pPr>
          </w:p>
        </w:tc>
        <w:tc>
          <w:tcPr>
            <w:tcW w:w="720" w:type="dxa"/>
            <w:vAlign w:val="center"/>
          </w:tcPr>
          <w:p>
            <w:pPr>
              <w:adjustRightInd w:val="0"/>
              <w:snapToGrid w:val="0"/>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kern w:val="0"/>
                <w:highlight w:val="none"/>
              </w:rPr>
            </w:pPr>
            <w:r>
              <w:rPr>
                <w:color w:val="auto"/>
                <w:kern w:val="0"/>
                <w:highlight w:val="none"/>
              </w:rPr>
              <w:t>动态校准仪质量流量控制器（MFC）单点流量测试：</w:t>
            </w:r>
          </w:p>
          <w:p>
            <w:pPr>
              <w:adjustRightInd w:val="0"/>
              <w:snapToGrid w:val="0"/>
              <w:jc w:val="left"/>
              <w:rPr>
                <w:color w:val="auto"/>
                <w:kern w:val="0"/>
                <w:szCs w:val="21"/>
                <w:highlight w:val="none"/>
              </w:rPr>
            </w:pPr>
            <w:r>
              <w:rPr>
                <w:color w:val="auto"/>
                <w:kern w:val="0"/>
                <w:highlight w:val="none"/>
              </w:rPr>
              <w:t>标准温度：________标准气压__________</w:t>
            </w:r>
          </w:p>
          <w:p>
            <w:pPr>
              <w:adjustRightInd w:val="0"/>
              <w:snapToGrid w:val="0"/>
              <w:jc w:val="left"/>
              <w:rPr>
                <w:color w:val="auto"/>
                <w:kern w:val="0"/>
                <w:highlight w:val="none"/>
                <w:u w:val="single"/>
              </w:rPr>
            </w:pPr>
            <w:r>
              <w:rPr>
                <w:color w:val="auto"/>
                <w:kern w:val="0"/>
                <w:highlight w:val="none"/>
              </w:rPr>
              <w:t>零气MFC流量：</w:t>
            </w:r>
            <w:r>
              <w:rPr>
                <w:color w:val="auto"/>
                <w:kern w:val="0"/>
                <w:highlight w:val="none"/>
                <w:u w:val="single"/>
              </w:rPr>
              <w:t xml:space="preserve">    </w:t>
            </w:r>
            <w:r>
              <w:rPr>
                <w:color w:val="auto"/>
                <w:kern w:val="0"/>
                <w:highlight w:val="none"/>
              </w:rPr>
              <w:t>L/min,标准流量计测值：</w:t>
            </w:r>
            <w:r>
              <w:rPr>
                <w:color w:val="auto"/>
                <w:kern w:val="0"/>
                <w:highlight w:val="none"/>
                <w:u w:val="single"/>
              </w:rPr>
              <w:t xml:space="preserve">       </w:t>
            </w:r>
            <w:r>
              <w:rPr>
                <w:color w:val="auto"/>
                <w:kern w:val="0"/>
                <w:highlight w:val="none"/>
              </w:rPr>
              <w:t>L/min，相对误差</w:t>
            </w:r>
            <w:r>
              <w:rPr>
                <w:color w:val="auto"/>
                <w:kern w:val="0"/>
                <w:highlight w:val="none"/>
                <w:u w:val="single"/>
              </w:rPr>
              <w:t xml:space="preserve">    %</w:t>
            </w:r>
            <w:r>
              <w:rPr>
                <w:color w:val="auto"/>
                <w:kern w:val="0"/>
                <w:highlight w:val="none"/>
              </w:rPr>
              <w:t>（≤±2%）</w:t>
            </w:r>
          </w:p>
          <w:p>
            <w:pPr>
              <w:adjustRightInd w:val="0"/>
              <w:snapToGrid w:val="0"/>
              <w:jc w:val="left"/>
              <w:rPr>
                <w:color w:val="auto"/>
                <w:kern w:val="0"/>
                <w:szCs w:val="21"/>
                <w:highlight w:val="none"/>
                <w:u w:val="single"/>
              </w:rPr>
            </w:pPr>
            <w:r>
              <w:rPr>
                <w:color w:val="auto"/>
                <w:kern w:val="0"/>
                <w:highlight w:val="none"/>
              </w:rPr>
              <w:t>标气MFC流量：</w:t>
            </w:r>
            <w:r>
              <w:rPr>
                <w:color w:val="auto"/>
                <w:kern w:val="0"/>
                <w:highlight w:val="none"/>
                <w:u w:val="single"/>
              </w:rPr>
              <w:t xml:space="preserve">    </w:t>
            </w:r>
            <w:r>
              <w:rPr>
                <w:color w:val="auto"/>
                <w:kern w:val="0"/>
                <w:highlight w:val="none"/>
              </w:rPr>
              <w:t>mL/min,标准流量计测值：</w:t>
            </w:r>
            <w:r>
              <w:rPr>
                <w:color w:val="auto"/>
                <w:kern w:val="0"/>
                <w:highlight w:val="none"/>
                <w:u w:val="single"/>
              </w:rPr>
              <w:t xml:space="preserve">      </w:t>
            </w:r>
            <w:r>
              <w:rPr>
                <w:color w:val="auto"/>
                <w:kern w:val="0"/>
                <w:highlight w:val="none"/>
              </w:rPr>
              <w:t>mL/min，相对误差</w:t>
            </w:r>
            <w:r>
              <w:rPr>
                <w:color w:val="auto"/>
                <w:kern w:val="0"/>
                <w:highlight w:val="none"/>
                <w:u w:val="single"/>
              </w:rPr>
              <w:t xml:space="preserve">    %</w:t>
            </w:r>
            <w:r>
              <w:rPr>
                <w:color w:val="auto"/>
                <w:kern w:val="0"/>
                <w:highlight w:val="none"/>
              </w:rPr>
              <w:t>（≤±2%）</w:t>
            </w:r>
          </w:p>
        </w:tc>
        <w:tc>
          <w:tcPr>
            <w:tcW w:w="1080" w:type="dxa"/>
            <w:vAlign w:val="center"/>
          </w:tcPr>
          <w:p>
            <w:pPr>
              <w:adjustRightInd w:val="0"/>
              <w:snapToGrid w:val="0"/>
              <w:jc w:val="center"/>
              <w:rPr>
                <w:color w:val="auto"/>
                <w:szCs w:val="21"/>
                <w:highlight w:val="none"/>
              </w:rPr>
            </w:pPr>
            <w:r>
              <w:rPr>
                <w:color w:val="auto"/>
                <w:szCs w:val="21"/>
                <w:highlight w:val="none"/>
              </w:rPr>
              <w:t>4</w:t>
            </w:r>
          </w:p>
        </w:tc>
        <w:tc>
          <w:tcPr>
            <w:tcW w:w="1440" w:type="dxa"/>
            <w:vAlign w:val="center"/>
          </w:tcPr>
          <w:p>
            <w:pPr>
              <w:snapToGrid w:val="0"/>
              <w:rPr>
                <w:color w:val="auto"/>
                <w:szCs w:val="21"/>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非甲烷总烃仪器采样流量测试：</w:t>
            </w:r>
          </w:p>
          <w:p>
            <w:pPr>
              <w:adjustRightInd w:val="0"/>
              <w:snapToGrid w:val="0"/>
              <w:jc w:val="left"/>
              <w:rPr>
                <w:color w:val="auto"/>
                <w:kern w:val="0"/>
                <w:highlight w:val="none"/>
                <w:u w:val="single"/>
              </w:rPr>
            </w:pPr>
            <w:r>
              <w:rPr>
                <w:color w:val="auto"/>
                <w:kern w:val="0"/>
                <w:highlight w:val="none"/>
              </w:rPr>
              <w:t>显示流量：</w:t>
            </w:r>
            <w:r>
              <w:rPr>
                <w:color w:val="auto"/>
                <w:kern w:val="0"/>
                <w:highlight w:val="none"/>
                <w:u w:val="single"/>
              </w:rPr>
              <w:t xml:space="preserve">      </w:t>
            </w:r>
            <w:r>
              <w:rPr>
                <w:color w:val="auto"/>
                <w:kern w:val="0"/>
                <w:highlight w:val="none"/>
              </w:rPr>
              <w:t>L/min，流量计测值：</w:t>
            </w:r>
            <w:r>
              <w:rPr>
                <w:color w:val="auto"/>
                <w:kern w:val="0"/>
                <w:highlight w:val="none"/>
                <w:u w:val="single"/>
              </w:rPr>
              <w:t xml:space="preserve">      </w:t>
            </w:r>
            <w:r>
              <w:rPr>
                <w:color w:val="auto"/>
                <w:kern w:val="0"/>
                <w:highlight w:val="none"/>
              </w:rPr>
              <w:t>L/min，相对误差</w:t>
            </w:r>
            <w:r>
              <w:rPr>
                <w:color w:val="auto"/>
                <w:kern w:val="0"/>
                <w:highlight w:val="none"/>
                <w:u w:val="single"/>
              </w:rPr>
              <w:t xml:space="preserve">       </w:t>
            </w:r>
            <w:r>
              <w:rPr>
                <w:color w:val="auto"/>
                <w:kern w:val="0"/>
                <w:highlight w:val="none"/>
              </w:rPr>
              <w:t>%（≤±10%）</w:t>
            </w:r>
          </w:p>
        </w:tc>
        <w:tc>
          <w:tcPr>
            <w:tcW w:w="1080" w:type="dxa"/>
            <w:vAlign w:val="center"/>
          </w:tcPr>
          <w:p>
            <w:pPr>
              <w:adjustRightInd w:val="0"/>
              <w:snapToGrid w:val="0"/>
              <w:jc w:val="center"/>
              <w:rPr>
                <w:color w:val="auto"/>
                <w:highlight w:val="none"/>
              </w:rPr>
            </w:pPr>
            <w:r>
              <w:rPr>
                <w:color w:val="auto"/>
                <w:highlight w:val="none"/>
              </w:rPr>
              <w:t>4</w:t>
            </w:r>
          </w:p>
        </w:tc>
        <w:tc>
          <w:tcPr>
            <w:tcW w:w="1440" w:type="dxa"/>
            <w:vAlign w:val="center"/>
          </w:tcPr>
          <w:p>
            <w:pPr>
              <w:snapToGrid w:val="0"/>
              <w:rPr>
                <w:color w:val="auto"/>
                <w:highlight w:val="none"/>
              </w:rPr>
            </w:pP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1080" w:type="dxa"/>
            <w:vMerge w:val="continue"/>
            <w:vAlign w:val="center"/>
          </w:tcPr>
          <w:p>
            <w:pPr>
              <w:widowControl/>
              <w:jc w:val="left"/>
              <w:rPr>
                <w:b/>
                <w:bCs/>
                <w:color w:val="auto"/>
                <w:szCs w:val="21"/>
                <w:highlight w:val="none"/>
              </w:rPr>
            </w:pPr>
          </w:p>
        </w:tc>
        <w:tc>
          <w:tcPr>
            <w:tcW w:w="758" w:type="dxa"/>
            <w:vMerge w:val="restart"/>
            <w:vAlign w:val="center"/>
          </w:tcPr>
          <w:p>
            <w:pPr>
              <w:adjustRightInd w:val="0"/>
              <w:snapToGrid w:val="0"/>
              <w:jc w:val="left"/>
              <w:rPr>
                <w:color w:val="auto"/>
                <w:kern w:val="0"/>
                <w:highlight w:val="none"/>
              </w:rPr>
            </w:pPr>
            <w:r>
              <w:rPr>
                <w:color w:val="auto"/>
                <w:kern w:val="0"/>
                <w:highlight w:val="none"/>
              </w:rPr>
              <w:t>非甲烷总烃仪器测试</w:t>
            </w:r>
          </w:p>
          <w:p>
            <w:pPr>
              <w:adjustRightInd w:val="0"/>
              <w:snapToGrid w:val="0"/>
              <w:ind w:firstLine="1050" w:firstLineChars="500"/>
              <w:jc w:val="left"/>
              <w:rPr>
                <w:color w:val="auto"/>
                <w:kern w:val="0"/>
                <w:highlight w:val="none"/>
              </w:rPr>
            </w:pPr>
          </w:p>
        </w:tc>
        <w:tc>
          <w:tcPr>
            <w:tcW w:w="4642" w:type="dxa"/>
            <w:vAlign w:val="center"/>
          </w:tcPr>
          <w:p>
            <w:pPr>
              <w:adjustRightInd w:val="0"/>
              <w:snapToGrid w:val="0"/>
              <w:jc w:val="left"/>
              <w:rPr>
                <w:color w:val="auto"/>
                <w:kern w:val="0"/>
                <w:highlight w:val="none"/>
              </w:rPr>
            </w:pPr>
            <w:r>
              <w:rPr>
                <w:color w:val="auto"/>
                <w:kern w:val="0"/>
                <w:highlight w:val="none"/>
              </w:rPr>
              <w:t>空白测试：</w:t>
            </w:r>
          </w:p>
          <w:p>
            <w:pPr>
              <w:adjustRightInd w:val="0"/>
              <w:snapToGrid w:val="0"/>
              <w:jc w:val="left"/>
              <w:rPr>
                <w:color w:val="auto"/>
                <w:kern w:val="0"/>
                <w:highlight w:val="none"/>
              </w:rPr>
            </w:pPr>
            <w:r>
              <w:rPr>
                <w:color w:val="auto"/>
                <w:kern w:val="0"/>
                <w:highlight w:val="none"/>
              </w:rPr>
              <w:t>甲烷：</w:t>
            </w:r>
            <w:r>
              <w:rPr>
                <w:color w:val="auto"/>
                <w:kern w:val="0"/>
                <w:highlight w:val="none"/>
                <w:u w:val="single"/>
              </w:rPr>
              <w:t xml:space="preserve">       </w:t>
            </w:r>
            <w:r>
              <w:rPr>
                <w:color w:val="auto"/>
                <w:kern w:val="0"/>
                <w:highlight w:val="none"/>
              </w:rPr>
              <w:t>ppb（≤100ppb）</w:t>
            </w:r>
          </w:p>
          <w:p>
            <w:pPr>
              <w:adjustRightInd w:val="0"/>
              <w:snapToGrid w:val="0"/>
              <w:jc w:val="left"/>
              <w:rPr>
                <w:color w:val="auto"/>
                <w:kern w:val="0"/>
                <w:highlight w:val="none"/>
              </w:rPr>
            </w:pPr>
            <w:r>
              <w:rPr>
                <w:color w:val="auto"/>
                <w:kern w:val="0"/>
                <w:highlight w:val="none"/>
              </w:rPr>
              <w:t>非甲烷总烃：</w:t>
            </w:r>
            <w:r>
              <w:rPr>
                <w:color w:val="auto"/>
                <w:kern w:val="0"/>
                <w:highlight w:val="none"/>
                <w:u w:val="single"/>
              </w:rPr>
              <w:t xml:space="preserve">     </w:t>
            </w:r>
            <w:r>
              <w:rPr>
                <w:color w:val="auto"/>
                <w:kern w:val="0"/>
                <w:highlight w:val="none"/>
              </w:rPr>
              <w:t>ppb（≤20ppb）</w:t>
            </w:r>
          </w:p>
        </w:tc>
        <w:tc>
          <w:tcPr>
            <w:tcW w:w="1080" w:type="dxa"/>
            <w:vAlign w:val="center"/>
          </w:tcPr>
          <w:p>
            <w:pPr>
              <w:adjustRightInd w:val="0"/>
              <w:snapToGrid w:val="0"/>
              <w:jc w:val="center"/>
              <w:rPr>
                <w:color w:val="auto"/>
                <w:highlight w:val="none"/>
              </w:rPr>
            </w:pPr>
            <w:r>
              <w:rPr>
                <w:color w:val="auto"/>
                <w:highlight w:val="none"/>
              </w:rPr>
              <w:t>4</w:t>
            </w:r>
          </w:p>
        </w:tc>
        <w:tc>
          <w:tcPr>
            <w:tcW w:w="1440" w:type="dxa"/>
            <w:vAlign w:val="center"/>
          </w:tcPr>
          <w:p>
            <w:pPr>
              <w:snapToGrid w:val="0"/>
              <w:rPr>
                <w:color w:val="auto"/>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1080" w:type="dxa"/>
            <w:vMerge w:val="continue"/>
            <w:vAlign w:val="center"/>
          </w:tcPr>
          <w:p>
            <w:pPr>
              <w:widowControl/>
              <w:jc w:val="left"/>
              <w:rPr>
                <w:b/>
                <w:bCs/>
                <w:color w:val="auto"/>
                <w:szCs w:val="21"/>
                <w:highlight w:val="none"/>
              </w:rPr>
            </w:pPr>
          </w:p>
        </w:tc>
        <w:tc>
          <w:tcPr>
            <w:tcW w:w="758" w:type="dxa"/>
            <w:vMerge w:val="continue"/>
            <w:vAlign w:val="center"/>
          </w:tcPr>
          <w:p>
            <w:pPr>
              <w:adjustRightInd w:val="0"/>
              <w:snapToGrid w:val="0"/>
              <w:jc w:val="left"/>
              <w:rPr>
                <w:color w:val="auto"/>
                <w:kern w:val="0"/>
                <w:highlight w:val="none"/>
              </w:rPr>
            </w:pPr>
          </w:p>
        </w:tc>
        <w:tc>
          <w:tcPr>
            <w:tcW w:w="4642" w:type="dxa"/>
            <w:vAlign w:val="center"/>
          </w:tcPr>
          <w:p>
            <w:pPr>
              <w:adjustRightInd w:val="0"/>
              <w:snapToGrid w:val="0"/>
              <w:jc w:val="left"/>
              <w:rPr>
                <w:color w:val="auto"/>
                <w:kern w:val="0"/>
                <w:highlight w:val="none"/>
              </w:rPr>
            </w:pPr>
            <w:r>
              <w:rPr>
                <w:color w:val="auto"/>
                <w:kern w:val="0"/>
                <w:highlight w:val="none"/>
              </w:rPr>
              <w:t>标点测试：</w:t>
            </w:r>
          </w:p>
          <w:p>
            <w:pPr>
              <w:adjustRightInd w:val="0"/>
              <w:snapToGrid w:val="0"/>
              <w:jc w:val="left"/>
              <w:rPr>
                <w:color w:val="auto"/>
                <w:kern w:val="0"/>
                <w:highlight w:val="none"/>
              </w:rPr>
            </w:pPr>
            <w:r>
              <w:rPr>
                <w:color w:val="auto"/>
                <w:kern w:val="0"/>
                <w:highlight w:val="none"/>
              </w:rPr>
              <w:t>标气浓度：甲烷_____丙烷_____,有效期_____。</w:t>
            </w:r>
          </w:p>
          <w:p>
            <w:pPr>
              <w:adjustRightInd w:val="0"/>
              <w:snapToGrid w:val="0"/>
              <w:jc w:val="left"/>
              <w:rPr>
                <w:color w:val="auto"/>
                <w:kern w:val="0"/>
                <w:highlight w:val="none"/>
              </w:rPr>
            </w:pPr>
            <w:r>
              <w:rPr>
                <w:color w:val="auto"/>
                <w:kern w:val="0"/>
                <w:highlight w:val="none"/>
              </w:rPr>
              <w:t>输出浓度：甲烷_____ppb，丙烷_____ppb</w:t>
            </w:r>
          </w:p>
          <w:p>
            <w:pPr>
              <w:adjustRightInd w:val="0"/>
              <w:snapToGrid w:val="0"/>
              <w:jc w:val="left"/>
              <w:rPr>
                <w:color w:val="auto"/>
                <w:kern w:val="0"/>
                <w:highlight w:val="none"/>
              </w:rPr>
            </w:pPr>
            <w:r>
              <w:rPr>
                <w:color w:val="auto"/>
                <w:kern w:val="0"/>
                <w:highlight w:val="none"/>
              </w:rPr>
              <w:t>仪器响应浓度：甲烷____ppb，总烃_____ ppb，浓度误差</w:t>
            </w:r>
            <w:r>
              <w:rPr>
                <w:color w:val="auto"/>
                <w:kern w:val="0"/>
                <w:highlight w:val="none"/>
                <w:u w:val="single"/>
              </w:rPr>
              <w:t xml:space="preserve">      /      </w:t>
            </w:r>
            <w:r>
              <w:rPr>
                <w:color w:val="auto"/>
                <w:kern w:val="0"/>
                <w:highlight w:val="none"/>
              </w:rPr>
              <w:t>（≤±5%）</w:t>
            </w:r>
          </w:p>
        </w:tc>
        <w:tc>
          <w:tcPr>
            <w:tcW w:w="1080" w:type="dxa"/>
            <w:vAlign w:val="center"/>
          </w:tcPr>
          <w:p>
            <w:pPr>
              <w:adjustRightInd w:val="0"/>
              <w:snapToGrid w:val="0"/>
              <w:jc w:val="center"/>
              <w:rPr>
                <w:color w:val="auto"/>
                <w:highlight w:val="none"/>
              </w:rPr>
            </w:pPr>
            <w:r>
              <w:rPr>
                <w:color w:val="auto"/>
                <w:highlight w:val="none"/>
              </w:rPr>
              <w:t>5</w:t>
            </w:r>
          </w:p>
        </w:tc>
        <w:tc>
          <w:tcPr>
            <w:tcW w:w="1440" w:type="dxa"/>
            <w:vAlign w:val="center"/>
          </w:tcPr>
          <w:p>
            <w:pPr>
              <w:snapToGrid w:val="0"/>
              <w:rPr>
                <w:color w:val="auto"/>
                <w:highlight w:val="none"/>
              </w:rPr>
            </w:pPr>
            <w:r>
              <w:rPr>
                <w:color w:val="auto"/>
                <w:highlight w:val="none"/>
              </w:rPr>
              <w:t>一项不满足扣2分</w:t>
            </w:r>
          </w:p>
        </w:tc>
        <w:tc>
          <w:tcPr>
            <w:tcW w:w="720" w:type="dxa"/>
            <w:vAlign w:val="center"/>
          </w:tcPr>
          <w:p>
            <w:pPr>
              <w:adjustRightInd w:val="0"/>
              <w:snapToGrid w:val="0"/>
              <w:jc w:val="center"/>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1080" w:type="dxa"/>
            <w:vMerge w:val="restart"/>
            <w:vAlign w:val="center"/>
          </w:tcPr>
          <w:p>
            <w:pPr>
              <w:adjustRightInd w:val="0"/>
              <w:snapToGrid w:val="0"/>
              <w:jc w:val="left"/>
              <w:rPr>
                <w:b/>
                <w:bCs/>
                <w:color w:val="auto"/>
                <w:kern w:val="0"/>
                <w:szCs w:val="21"/>
                <w:highlight w:val="none"/>
              </w:rPr>
            </w:pPr>
            <w:r>
              <w:rPr>
                <w:b/>
                <w:bCs/>
                <w:color w:val="auto"/>
                <w:kern w:val="0"/>
                <w:highlight w:val="none"/>
              </w:rPr>
              <w:t>3. 记录及监测档案的完整性</w:t>
            </w:r>
          </w:p>
          <w:p>
            <w:pPr>
              <w:adjustRightInd w:val="0"/>
              <w:snapToGrid w:val="0"/>
              <w:jc w:val="left"/>
              <w:rPr>
                <w:b/>
                <w:bCs/>
                <w:color w:val="auto"/>
                <w:kern w:val="0"/>
                <w:szCs w:val="21"/>
                <w:highlight w:val="none"/>
              </w:rPr>
            </w:pPr>
            <w:r>
              <w:rPr>
                <w:b/>
                <w:bCs/>
                <w:color w:val="auto"/>
                <w:kern w:val="0"/>
                <w:highlight w:val="none"/>
              </w:rPr>
              <w:t>（5.3分）</w:t>
            </w: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按规定对设备巡检维护，填写巡检记录</w:t>
            </w:r>
          </w:p>
        </w:tc>
        <w:tc>
          <w:tcPr>
            <w:tcW w:w="1080" w:type="dxa"/>
            <w:vAlign w:val="center"/>
          </w:tcPr>
          <w:p>
            <w:pPr>
              <w:adjustRightInd w:val="0"/>
              <w:snapToGrid w:val="0"/>
              <w:jc w:val="center"/>
              <w:rPr>
                <w:color w:val="auto"/>
                <w:kern w:val="0"/>
                <w:szCs w:val="21"/>
                <w:highlight w:val="none"/>
              </w:rPr>
            </w:pPr>
            <w:r>
              <w:rPr>
                <w:color w:val="auto"/>
                <w:kern w:val="0"/>
                <w:highlight w:val="none"/>
              </w:rPr>
              <w:t>0.6</w:t>
            </w:r>
          </w:p>
        </w:tc>
        <w:tc>
          <w:tcPr>
            <w:tcW w:w="1440" w:type="dxa"/>
            <w:vAlign w:val="center"/>
          </w:tcPr>
          <w:p>
            <w:pPr>
              <w:snapToGrid w:val="0"/>
              <w:rPr>
                <w:color w:val="auto"/>
                <w:szCs w:val="21"/>
                <w:highlight w:val="none"/>
              </w:rPr>
            </w:pP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 xml:space="preserve">用于校准的设备（流量计、温度计、大气压计）是否每年通过计量检定 </w:t>
            </w:r>
          </w:p>
        </w:tc>
        <w:tc>
          <w:tcPr>
            <w:tcW w:w="1080" w:type="dxa"/>
            <w:vAlign w:val="center"/>
          </w:tcPr>
          <w:p>
            <w:pPr>
              <w:adjustRightInd w:val="0"/>
              <w:snapToGrid w:val="0"/>
              <w:jc w:val="center"/>
              <w:rPr>
                <w:color w:val="auto"/>
                <w:kern w:val="0"/>
                <w:szCs w:val="21"/>
                <w:highlight w:val="none"/>
              </w:rPr>
            </w:pPr>
            <w:r>
              <w:rPr>
                <w:color w:val="auto"/>
                <w:kern w:val="0"/>
                <w:highlight w:val="none"/>
              </w:rPr>
              <w:t>0.3</w:t>
            </w:r>
          </w:p>
        </w:tc>
        <w:tc>
          <w:tcPr>
            <w:tcW w:w="1440" w:type="dxa"/>
            <w:vAlign w:val="center"/>
          </w:tcPr>
          <w:p>
            <w:pPr>
              <w:snapToGrid w:val="0"/>
              <w:rPr>
                <w:color w:val="auto"/>
                <w:szCs w:val="21"/>
                <w:highlight w:val="none"/>
              </w:rPr>
            </w:pPr>
            <w:r>
              <w:rPr>
                <w:color w:val="auto"/>
                <w:highlight w:val="none"/>
              </w:rPr>
              <w:t>一项不满足扣0.6分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gridSpan w:val="2"/>
            <w:vAlign w:val="center"/>
          </w:tcPr>
          <w:p>
            <w:pPr>
              <w:adjustRightInd w:val="0"/>
              <w:snapToGrid w:val="0"/>
              <w:jc w:val="left"/>
              <w:rPr>
                <w:color w:val="auto"/>
                <w:kern w:val="0"/>
                <w:highlight w:val="none"/>
              </w:rPr>
            </w:pPr>
            <w:r>
              <w:rPr>
                <w:color w:val="auto"/>
                <w:kern w:val="0"/>
                <w:highlight w:val="none"/>
              </w:rPr>
              <w:t>非甲烷总烃监测项目质控校准记录（包括零跨、流量、多点校准、稳定性、准确性及检出限等）零跨1次/周，流量1次/月，多点1次/半年，稳定性、准确性及检出限/年；</w:t>
            </w:r>
          </w:p>
        </w:tc>
        <w:tc>
          <w:tcPr>
            <w:tcW w:w="1080" w:type="dxa"/>
            <w:vAlign w:val="center"/>
          </w:tcPr>
          <w:p>
            <w:pPr>
              <w:adjustRightInd w:val="0"/>
              <w:snapToGrid w:val="0"/>
              <w:jc w:val="center"/>
              <w:rPr>
                <w:color w:val="auto"/>
                <w:kern w:val="0"/>
                <w:highlight w:val="none"/>
              </w:rPr>
            </w:pPr>
            <w:r>
              <w:rPr>
                <w:color w:val="auto"/>
                <w:kern w:val="0"/>
                <w:highlight w:val="none"/>
              </w:rPr>
              <w:t>2</w:t>
            </w:r>
          </w:p>
        </w:tc>
        <w:tc>
          <w:tcPr>
            <w:tcW w:w="1440" w:type="dxa"/>
            <w:vAlign w:val="center"/>
          </w:tcPr>
          <w:p>
            <w:pPr>
              <w:snapToGrid w:val="0"/>
              <w:rPr>
                <w:color w:val="auto"/>
                <w:highlight w:val="none"/>
              </w:rPr>
            </w:pPr>
            <w:r>
              <w:rPr>
                <w:color w:val="auto"/>
                <w:highlight w:val="none"/>
              </w:rPr>
              <w:t>缺一项扣2分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采样总管清洁记录、采样支管管清洁记录、设备维修记录、耗品耗材更换记录</w:t>
            </w:r>
          </w:p>
        </w:tc>
        <w:tc>
          <w:tcPr>
            <w:tcW w:w="1080" w:type="dxa"/>
            <w:vAlign w:val="center"/>
          </w:tcPr>
          <w:p>
            <w:pPr>
              <w:adjustRightInd w:val="0"/>
              <w:snapToGrid w:val="0"/>
              <w:jc w:val="center"/>
              <w:rPr>
                <w:color w:val="auto"/>
                <w:kern w:val="0"/>
                <w:szCs w:val="21"/>
                <w:highlight w:val="none"/>
              </w:rPr>
            </w:pPr>
            <w:r>
              <w:rPr>
                <w:color w:val="auto"/>
                <w:kern w:val="0"/>
                <w:highlight w:val="none"/>
              </w:rPr>
              <w:t>0.9</w:t>
            </w:r>
          </w:p>
        </w:tc>
        <w:tc>
          <w:tcPr>
            <w:tcW w:w="1440" w:type="dxa"/>
            <w:vAlign w:val="center"/>
          </w:tcPr>
          <w:p>
            <w:pPr>
              <w:snapToGrid w:val="0"/>
              <w:rPr>
                <w:color w:val="auto"/>
                <w:szCs w:val="21"/>
                <w:highlight w:val="none"/>
              </w:rPr>
            </w:pPr>
            <w:r>
              <w:rPr>
                <w:color w:val="auto"/>
                <w:highlight w:val="none"/>
              </w:rPr>
              <w:t>缺一项扣0.6分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080" w:type="dxa"/>
            <w:vMerge w:val="continue"/>
            <w:vAlign w:val="center"/>
          </w:tcPr>
          <w:p>
            <w:pPr>
              <w:widowControl/>
              <w:jc w:val="left"/>
              <w:rPr>
                <w:b/>
                <w:bCs/>
                <w:color w:val="auto"/>
                <w:kern w:val="0"/>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上述各项记录与工控机中数据是否一致</w:t>
            </w:r>
          </w:p>
        </w:tc>
        <w:tc>
          <w:tcPr>
            <w:tcW w:w="1080" w:type="dxa"/>
            <w:vAlign w:val="center"/>
          </w:tcPr>
          <w:p>
            <w:pPr>
              <w:adjustRightInd w:val="0"/>
              <w:snapToGrid w:val="0"/>
              <w:jc w:val="center"/>
              <w:rPr>
                <w:color w:val="auto"/>
                <w:kern w:val="0"/>
                <w:szCs w:val="21"/>
                <w:highlight w:val="none"/>
              </w:rPr>
            </w:pPr>
            <w:r>
              <w:rPr>
                <w:color w:val="auto"/>
                <w:kern w:val="0"/>
                <w:highlight w:val="none"/>
              </w:rPr>
              <w:t>0.9</w:t>
            </w:r>
          </w:p>
        </w:tc>
        <w:tc>
          <w:tcPr>
            <w:tcW w:w="1440" w:type="dxa"/>
            <w:vAlign w:val="center"/>
          </w:tcPr>
          <w:p>
            <w:pPr>
              <w:snapToGrid w:val="0"/>
              <w:rPr>
                <w:color w:val="auto"/>
                <w:szCs w:val="21"/>
                <w:highlight w:val="none"/>
              </w:rPr>
            </w:pP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vAlign w:val="center"/>
          </w:tcPr>
          <w:p>
            <w:pPr>
              <w:widowControl/>
              <w:jc w:val="left"/>
              <w:rPr>
                <w:b/>
                <w:bCs/>
                <w:color w:val="auto"/>
                <w:kern w:val="0"/>
                <w:szCs w:val="21"/>
                <w:highlight w:val="none"/>
              </w:rPr>
            </w:pP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 xml:space="preserve"> 监测设备档案（包括设备使用说明、操作手册、维修记录、使用情况、年度自检报告等）</w:t>
            </w:r>
          </w:p>
        </w:tc>
        <w:tc>
          <w:tcPr>
            <w:tcW w:w="1080" w:type="dxa"/>
            <w:vAlign w:val="center"/>
          </w:tcPr>
          <w:p>
            <w:pPr>
              <w:adjustRightInd w:val="0"/>
              <w:snapToGrid w:val="0"/>
              <w:jc w:val="center"/>
              <w:rPr>
                <w:color w:val="auto"/>
                <w:kern w:val="0"/>
                <w:szCs w:val="21"/>
                <w:highlight w:val="none"/>
              </w:rPr>
            </w:pPr>
            <w:r>
              <w:rPr>
                <w:color w:val="auto"/>
                <w:kern w:val="0"/>
                <w:highlight w:val="none"/>
              </w:rPr>
              <w:t>0.6</w:t>
            </w:r>
          </w:p>
        </w:tc>
        <w:tc>
          <w:tcPr>
            <w:tcW w:w="1440" w:type="dxa"/>
            <w:vAlign w:val="center"/>
          </w:tcPr>
          <w:p>
            <w:pPr>
              <w:snapToGrid w:val="0"/>
              <w:rPr>
                <w:color w:val="auto"/>
                <w:szCs w:val="21"/>
                <w:highlight w:val="none"/>
              </w:rPr>
            </w:pPr>
            <w:r>
              <w:rPr>
                <w:color w:val="auto"/>
                <w:highlight w:val="none"/>
              </w:rPr>
              <w:t>缺一项扣0.6分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auto"/>
                <w:kern w:val="0"/>
                <w:szCs w:val="21"/>
                <w:highlight w:val="none"/>
              </w:rPr>
            </w:pPr>
            <w:r>
              <w:rPr>
                <w:b/>
                <w:bCs/>
                <w:color w:val="auto"/>
                <w:kern w:val="0"/>
                <w:highlight w:val="none"/>
              </w:rPr>
              <w:t>4. 数据造假</w:t>
            </w:r>
          </w:p>
        </w:tc>
        <w:tc>
          <w:tcPr>
            <w:tcW w:w="5400" w:type="dxa"/>
            <w:gridSpan w:val="2"/>
            <w:vAlign w:val="center"/>
          </w:tcPr>
          <w:p>
            <w:pPr>
              <w:adjustRightInd w:val="0"/>
              <w:snapToGrid w:val="0"/>
              <w:jc w:val="left"/>
              <w:rPr>
                <w:color w:val="auto"/>
                <w:kern w:val="0"/>
                <w:szCs w:val="21"/>
                <w:highlight w:val="none"/>
              </w:rPr>
            </w:pPr>
            <w:r>
              <w:rPr>
                <w:color w:val="auto"/>
                <w:kern w:val="0"/>
                <w:highlight w:val="none"/>
              </w:rPr>
              <w:t>检查过程中如发现有数据造假情况（判定方法按照《环境监测数据弄虚作假处理办法》及实施细则）</w:t>
            </w:r>
          </w:p>
        </w:tc>
        <w:tc>
          <w:tcPr>
            <w:tcW w:w="1080" w:type="dxa"/>
            <w:vAlign w:val="center"/>
          </w:tcPr>
          <w:p>
            <w:pPr>
              <w:adjustRightInd w:val="0"/>
              <w:snapToGrid w:val="0"/>
              <w:jc w:val="center"/>
              <w:rPr>
                <w:color w:val="auto"/>
                <w:kern w:val="0"/>
                <w:szCs w:val="21"/>
                <w:highlight w:val="none"/>
              </w:rPr>
            </w:pPr>
          </w:p>
        </w:tc>
        <w:tc>
          <w:tcPr>
            <w:tcW w:w="1440" w:type="dxa"/>
            <w:vAlign w:val="center"/>
          </w:tcPr>
          <w:p>
            <w:pPr>
              <w:adjustRightInd w:val="0"/>
              <w:snapToGrid w:val="0"/>
              <w:jc w:val="center"/>
              <w:rPr>
                <w:color w:val="auto"/>
                <w:kern w:val="0"/>
                <w:szCs w:val="21"/>
                <w:highlight w:val="none"/>
              </w:rPr>
            </w:pPr>
            <w:r>
              <w:rPr>
                <w:color w:val="auto"/>
                <w:kern w:val="0"/>
                <w:highlight w:val="none"/>
              </w:rPr>
              <w:t>直接扣30分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Align w:val="center"/>
          </w:tcPr>
          <w:p>
            <w:pPr>
              <w:adjustRightInd w:val="0"/>
              <w:snapToGrid w:val="0"/>
              <w:jc w:val="left"/>
              <w:rPr>
                <w:b/>
                <w:bCs/>
                <w:color w:val="auto"/>
                <w:kern w:val="0"/>
                <w:szCs w:val="21"/>
                <w:highlight w:val="none"/>
              </w:rPr>
            </w:pPr>
            <w:r>
              <w:rPr>
                <w:b/>
                <w:bCs/>
                <w:color w:val="auto"/>
                <w:kern w:val="0"/>
                <w:highlight w:val="none"/>
              </w:rPr>
              <w:t>5. 其他问题</w:t>
            </w:r>
          </w:p>
        </w:tc>
        <w:tc>
          <w:tcPr>
            <w:tcW w:w="5400" w:type="dxa"/>
            <w:gridSpan w:val="2"/>
            <w:vAlign w:val="center"/>
          </w:tcPr>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p>
            <w:pPr>
              <w:adjustRightInd w:val="0"/>
              <w:snapToGrid w:val="0"/>
              <w:jc w:val="left"/>
              <w:rPr>
                <w:color w:val="auto"/>
                <w:kern w:val="0"/>
                <w:szCs w:val="21"/>
                <w:highlight w:val="none"/>
              </w:rPr>
            </w:pPr>
          </w:p>
        </w:tc>
        <w:tc>
          <w:tcPr>
            <w:tcW w:w="1080" w:type="dxa"/>
            <w:vAlign w:val="center"/>
          </w:tcPr>
          <w:p>
            <w:pPr>
              <w:adjustRightInd w:val="0"/>
              <w:snapToGrid w:val="0"/>
              <w:jc w:val="center"/>
              <w:rPr>
                <w:color w:val="auto"/>
                <w:kern w:val="0"/>
                <w:szCs w:val="21"/>
                <w:highlight w:val="none"/>
              </w:rPr>
            </w:pPr>
          </w:p>
        </w:tc>
        <w:tc>
          <w:tcPr>
            <w:tcW w:w="1440" w:type="dxa"/>
            <w:vAlign w:val="center"/>
          </w:tcPr>
          <w:p>
            <w:pPr>
              <w:adjustRightInd w:val="0"/>
              <w:snapToGrid w:val="0"/>
              <w:jc w:val="center"/>
              <w:rPr>
                <w:color w:val="auto"/>
                <w:kern w:val="0"/>
                <w:szCs w:val="21"/>
                <w:highlight w:val="none"/>
              </w:rPr>
            </w:pPr>
            <w:r>
              <w:rPr>
                <w:color w:val="auto"/>
                <w:kern w:val="0"/>
                <w:highlight w:val="none"/>
              </w:rPr>
              <w:t>视情况可扣0.3-5分</w:t>
            </w:r>
          </w:p>
        </w:tc>
        <w:tc>
          <w:tcPr>
            <w:tcW w:w="720" w:type="dxa"/>
            <w:vAlign w:val="center"/>
          </w:tcPr>
          <w:p>
            <w:pPr>
              <w:adjustRightInd w:val="0"/>
              <w:snapToGrid w:val="0"/>
              <w:jc w:val="center"/>
              <w:rPr>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560" w:type="dxa"/>
            <w:gridSpan w:val="4"/>
            <w:vAlign w:val="center"/>
          </w:tcPr>
          <w:p>
            <w:pPr>
              <w:adjustRightInd w:val="0"/>
              <w:snapToGrid w:val="0"/>
              <w:jc w:val="center"/>
              <w:rPr>
                <w:color w:val="auto"/>
                <w:kern w:val="0"/>
                <w:szCs w:val="21"/>
                <w:highlight w:val="none"/>
              </w:rPr>
            </w:pPr>
            <w:r>
              <w:rPr>
                <w:color w:val="auto"/>
                <w:kern w:val="0"/>
                <w:highlight w:val="none"/>
              </w:rPr>
              <w:t>总分</w:t>
            </w:r>
          </w:p>
        </w:tc>
        <w:tc>
          <w:tcPr>
            <w:tcW w:w="1440" w:type="dxa"/>
            <w:vAlign w:val="center"/>
          </w:tcPr>
          <w:p>
            <w:pPr>
              <w:adjustRightInd w:val="0"/>
              <w:snapToGrid w:val="0"/>
              <w:jc w:val="center"/>
              <w:rPr>
                <w:color w:val="auto"/>
                <w:kern w:val="0"/>
                <w:szCs w:val="21"/>
                <w:highlight w:val="none"/>
              </w:rPr>
            </w:pPr>
          </w:p>
        </w:tc>
        <w:tc>
          <w:tcPr>
            <w:tcW w:w="720" w:type="dxa"/>
            <w:vAlign w:val="center"/>
          </w:tcPr>
          <w:p>
            <w:pPr>
              <w:adjustRightInd w:val="0"/>
              <w:snapToGrid w:val="0"/>
              <w:jc w:val="center"/>
              <w:rPr>
                <w:color w:val="auto"/>
                <w:kern w:val="0"/>
                <w:szCs w:val="21"/>
                <w:highlight w:val="none"/>
              </w:rPr>
            </w:pPr>
          </w:p>
        </w:tc>
      </w:tr>
    </w:tbl>
    <w:p>
      <w:pPr>
        <w:widowControl/>
        <w:adjustRightInd w:val="0"/>
        <w:snapToGrid w:val="0"/>
        <w:ind w:firstLine="562"/>
        <w:rPr>
          <w:color w:val="auto"/>
          <w:kern w:val="0"/>
          <w:szCs w:val="21"/>
          <w:highlight w:val="none"/>
        </w:rPr>
      </w:pPr>
      <w:r>
        <w:rPr>
          <w:b/>
          <w:bCs/>
          <w:color w:val="auto"/>
          <w:kern w:val="0"/>
          <w:szCs w:val="21"/>
          <w:highlight w:val="none"/>
        </w:rPr>
        <w:t>注：</w:t>
      </w:r>
      <w:r>
        <w:rPr>
          <w:color w:val="auto"/>
          <w:kern w:val="0"/>
          <w:szCs w:val="21"/>
          <w:highlight w:val="none"/>
        </w:rPr>
        <w:t>1.《规范》：《环境空气非甲烷总烃连续自动监测技术规定（试行）》（总站气字〔2021〕61号）等；2.《标准》：指《环境空气质量标准》（GB3095-2012）。</w:t>
      </w:r>
    </w:p>
    <w:p>
      <w:pPr>
        <w:widowControl/>
        <w:adjustRightInd w:val="0"/>
        <w:snapToGrid w:val="0"/>
        <w:spacing w:line="360" w:lineRule="auto"/>
        <w:ind w:firstLine="316" w:firstLineChars="150"/>
        <w:rPr>
          <w:b/>
          <w:bCs/>
          <w:color w:val="auto"/>
          <w:kern w:val="0"/>
          <w:szCs w:val="21"/>
          <w:highlight w:val="none"/>
        </w:rPr>
      </w:pPr>
      <w:r>
        <w:rPr>
          <w:b/>
          <w:bCs/>
          <w:color w:val="auto"/>
          <w:kern w:val="0"/>
          <w:szCs w:val="21"/>
          <w:highlight w:val="none"/>
        </w:rPr>
        <w:t xml:space="preserve"> </w:t>
      </w:r>
    </w:p>
    <w:p>
      <w:pPr>
        <w:widowControl/>
        <w:adjustRightInd w:val="0"/>
        <w:snapToGrid w:val="0"/>
        <w:spacing w:line="360" w:lineRule="auto"/>
        <w:ind w:firstLine="316" w:firstLineChars="150"/>
        <w:rPr>
          <w:b/>
          <w:bCs/>
          <w:color w:val="auto"/>
          <w:kern w:val="0"/>
          <w:szCs w:val="21"/>
          <w:highlight w:val="none"/>
        </w:rPr>
      </w:pPr>
      <w:r>
        <w:rPr>
          <w:b/>
          <w:bCs/>
          <w:color w:val="auto"/>
          <w:kern w:val="0"/>
          <w:szCs w:val="21"/>
          <w:highlight w:val="none"/>
        </w:rPr>
        <w:t>2.本表总分30分，按扣分值计算。</w:t>
      </w:r>
    </w:p>
    <w:p>
      <w:pPr>
        <w:rPr>
          <w:color w:val="auto"/>
          <w:highlight w:val="none"/>
          <w:u w:val="single"/>
        </w:rPr>
      </w:pPr>
      <w:r>
        <w:rPr>
          <w:b/>
          <w:bCs/>
          <w:color w:val="auto"/>
          <w:highlight w:val="none"/>
        </w:rPr>
        <w:t>检查日期</w:t>
      </w:r>
      <w:r>
        <w:rPr>
          <w:color w:val="auto"/>
          <w:highlight w:val="none"/>
        </w:rPr>
        <w:t>：</w:t>
      </w:r>
      <w:r>
        <w:rPr>
          <w:color w:val="auto"/>
          <w:highlight w:val="none"/>
          <w:u w:val="single"/>
        </w:rPr>
        <w:t xml:space="preserve">                 </w:t>
      </w:r>
      <w:r>
        <w:rPr>
          <w:color w:val="auto"/>
          <w:highlight w:val="none"/>
        </w:rPr>
        <w:t xml:space="preserve">                       </w:t>
      </w:r>
      <w:r>
        <w:rPr>
          <w:b/>
          <w:bCs/>
          <w:color w:val="auto"/>
          <w:highlight w:val="none"/>
        </w:rPr>
        <w:t>检查人员</w:t>
      </w:r>
      <w:r>
        <w:rPr>
          <w:color w:val="auto"/>
          <w:highlight w:val="none"/>
        </w:rPr>
        <w:t>：</w:t>
      </w:r>
      <w:r>
        <w:rPr>
          <w:color w:val="auto"/>
          <w:highlight w:val="none"/>
          <w:u w:val="single"/>
        </w:rPr>
        <w:t xml:space="preserve">                         </w:t>
      </w:r>
    </w:p>
    <w:p>
      <w:pPr>
        <w:rPr>
          <w:b/>
          <w:color w:val="auto"/>
          <w:highlight w:val="none"/>
        </w:rPr>
      </w:pPr>
      <w:r>
        <w:rPr>
          <w:color w:val="auto"/>
          <w:highlight w:val="none"/>
        </w:rPr>
        <w:t xml:space="preserve">                                                 </w:t>
      </w:r>
      <w:r>
        <w:rPr>
          <w:b/>
          <w:color w:val="auto"/>
          <w:highlight w:val="none"/>
        </w:rPr>
        <w:t xml:space="preserve"> 运维人员：</w:t>
      </w:r>
      <w:r>
        <w:rPr>
          <w:color w:val="auto"/>
          <w:highlight w:val="none"/>
          <w:u w:val="single"/>
        </w:rPr>
        <w:t xml:space="preserve">                       </w:t>
      </w:r>
    </w:p>
    <w:p>
      <w:pPr>
        <w:spacing w:line="600" w:lineRule="exact"/>
        <w:ind w:firstLine="640" w:firstLineChars="200"/>
        <w:rPr>
          <w:rFonts w:eastAsia="仿宋"/>
          <w:color w:val="auto"/>
          <w:sz w:val="32"/>
          <w:szCs w:val="32"/>
          <w:highlight w:val="none"/>
        </w:rPr>
      </w:pPr>
    </w:p>
    <w:p>
      <w:pPr>
        <w:pStyle w:val="3"/>
        <w:rPr>
          <w:color w:val="auto"/>
          <w:highlight w:val="none"/>
        </w:rPr>
        <w:sectPr>
          <w:pgSz w:w="11906" w:h="16838"/>
          <w:pgMar w:top="1440" w:right="1361" w:bottom="1701" w:left="1474" w:header="851" w:footer="992" w:gutter="0"/>
          <w:cols w:space="0" w:num="1"/>
          <w:docGrid w:type="lines" w:linePitch="312" w:charSpace="0"/>
        </w:sectPr>
      </w:pPr>
    </w:p>
    <w:p>
      <w:pPr>
        <w:pStyle w:val="3"/>
        <w:rPr>
          <w:color w:val="auto"/>
          <w:highlight w:val="none"/>
        </w:rPr>
      </w:pPr>
      <w:r>
        <w:rPr>
          <w:rFonts w:hint="eastAsia"/>
          <w:color w:val="auto"/>
          <w:highlight w:val="none"/>
        </w:rPr>
        <w:t>第四章  评审程序、评审方法和评审标准</w:t>
      </w:r>
      <w:bookmarkEnd w:id="39"/>
    </w:p>
    <w:p>
      <w:pPr>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一、评审程序和评审方法</w:t>
      </w:r>
    </w:p>
    <w:p>
      <w:pPr>
        <w:spacing w:line="360" w:lineRule="auto"/>
        <w:ind w:firstLine="482" w:firstLineChars="200"/>
        <w:rPr>
          <w:rFonts w:ascii="黑体" w:hAnsi="黑体" w:eastAsia="黑体" w:cs="宋体"/>
          <w:b/>
          <w:bCs/>
          <w:color w:val="auto"/>
          <w:sz w:val="24"/>
          <w:highlight w:val="none"/>
        </w:rPr>
      </w:pP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1</w:t>
      </w:r>
      <w:r>
        <w:rPr>
          <w:rFonts w:hint="eastAsia" w:ascii="黑体" w:hAnsi="黑体" w:eastAsia="黑体" w:cs="宋体"/>
          <w:b/>
          <w:bCs/>
          <w:color w:val="auto"/>
          <w:sz w:val="24"/>
          <w:highlight w:val="none"/>
        </w:rPr>
        <w:t>.资格审查</w:t>
      </w:r>
    </w:p>
    <w:p>
      <w:pPr>
        <w:snapToGrid w:val="0"/>
        <w:spacing w:line="360" w:lineRule="auto"/>
        <w:ind w:firstLine="420" w:firstLineChars="200"/>
        <w:rPr>
          <w:rFonts w:ascii="宋体" w:hAnsi="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.1</w:t>
      </w:r>
      <w:r>
        <w:rPr>
          <w:rFonts w:hint="eastAsia" w:ascii="宋体" w:hAnsi="宋体"/>
          <w:color w:val="auto"/>
          <w:szCs w:val="21"/>
          <w:highlight w:val="none"/>
        </w:rPr>
        <w:t>响应文件开启后，磋商小组依法对供应商的资格证明文件进行审查。</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（1）查询渠道：</w:t>
      </w:r>
      <w:r>
        <w:rPr>
          <w:rFonts w:ascii="宋体" w:hAnsi="宋体" w:cs="宋体"/>
          <w:color w:val="auto"/>
          <w:szCs w:val="21"/>
          <w:highlight w:val="none"/>
        </w:rPr>
        <w:t>“信用中国”网站（www.creditchina.gov.cn）、中国政府采购网（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cs="宋体"/>
          <w:color w:val="auto"/>
          <w:highlight w:val="none"/>
        </w:rPr>
        <w:t>www.ccgp.gov.cn</w:t>
      </w:r>
      <w:r>
        <w:rPr>
          <w:rFonts w:cs="宋体"/>
          <w:color w:val="auto"/>
          <w:highlight w:val="none"/>
        </w:rPr>
        <w:fldChar w:fldCharType="end"/>
      </w:r>
      <w:r>
        <w:rPr>
          <w:rFonts w:ascii="宋体" w:hAnsi="宋体" w:cs="宋体"/>
          <w:color w:val="auto"/>
          <w:szCs w:val="21"/>
          <w:highlight w:val="none"/>
        </w:rPr>
        <w:t>）</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（2）信用查询截止时点：</w:t>
      </w:r>
      <w:r>
        <w:rPr>
          <w:rFonts w:ascii="宋体" w:hAnsi="宋体" w:cs="宋体"/>
          <w:color w:val="auto"/>
          <w:szCs w:val="21"/>
          <w:highlight w:val="none"/>
        </w:rPr>
        <w:t>资格审查结束前</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（3）查询记录和证据留存方式：将查询网站中的查询记录截图并作为评审资料保存。</w:t>
      </w:r>
    </w:p>
    <w:p>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（4）信用信息使用规则：根据财政部《关于在政府采购活动中查询及使用信用记录有关问题的通知》（财库〔2016〕125号）的规定，对在“信用中国”网站(www.creditchina.gov.cn)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snapToGrid w:val="0"/>
        <w:spacing w:line="360" w:lineRule="auto"/>
        <w:ind w:firstLine="420" w:firstLineChars="200"/>
        <w:jc w:val="left"/>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.2资格审查标准为本磋商文件中载明对供应商资格要求的条件。资格审查采用合格制，凡符合磋商文件规定的供应商资格要求的响应文件均通过资格审查。</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.3供应商有下列情形之一的，资格审查不通过，其响应文件按无效响应处理：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1</w:t>
      </w:r>
      <w:r>
        <w:rPr>
          <w:rFonts w:hint="eastAsia" w:ascii="宋体" w:hAnsi="宋体" w:cs="宋体"/>
          <w:color w:val="auto"/>
          <w:szCs w:val="21"/>
          <w:highlight w:val="none"/>
        </w:rPr>
        <w:t>）不具备磋商文件中规定的资格要求的；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（2）响应文件的资格证明文件缺少任一项“供应商须知前附表”资格证明文件规定的“必须提供”的文件资料的；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（3）响应文件中的资格证明文件出现任一项不符合“供应商须知前附表”资格证明文件规定的“必须提供”的文件资料要求或者无效的；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（4）同一合同项下的不同供应商，单位负责人为同一人或者存在直接控股、管理关系的；为本项目提供过整体设计、规范编制或者项目管理、监理、检测等服务的供应商，再参加该采购项目的其他采购活动的。</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.4通过资格审查的合格供应商不足3家的，不得进入符合性审查环节，</w:t>
      </w:r>
      <w:r>
        <w:rPr>
          <w:rFonts w:hint="eastAsia" w:ascii="宋体" w:hAnsi="宋体"/>
          <w:color w:val="auto"/>
          <w:szCs w:val="21"/>
          <w:highlight w:val="none"/>
        </w:rPr>
        <w:t>采购人或者采购代理机构应当重新开展采购活动。</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2</w:t>
      </w:r>
      <w:r>
        <w:rPr>
          <w:rFonts w:hint="eastAsia" w:ascii="黑体" w:hAnsi="黑体" w:eastAsia="黑体" w:cs="宋体"/>
          <w:b/>
          <w:bCs/>
          <w:color w:val="auto"/>
          <w:sz w:val="24"/>
          <w:highlight w:val="none"/>
        </w:rPr>
        <w:t>.符合性审查</w:t>
      </w:r>
    </w:p>
    <w:p>
      <w:pPr>
        <w:spacing w:line="360" w:lineRule="auto"/>
        <w:ind w:firstLine="420" w:firstLineChars="200"/>
        <w:rPr>
          <w:rFonts w:ascii="宋体" w:hAnsi="宋体" w:cs="宋体"/>
          <w:color w:val="auto"/>
          <w:szCs w:val="21"/>
          <w:highlight w:val="none"/>
        </w:rPr>
      </w:pPr>
      <w:bookmarkStart w:id="40" w:name="_Hlk42528882"/>
      <w:r>
        <w:rPr>
          <w:rFonts w:ascii="宋体" w:hAnsi="宋体" w:cs="宋体"/>
          <w:color w:val="auto"/>
          <w:szCs w:val="21"/>
          <w:highlight w:val="none"/>
        </w:rPr>
        <w:t>2.1</w:t>
      </w:r>
      <w:r>
        <w:rPr>
          <w:rFonts w:hint="eastAsia" w:ascii="宋体" w:hAnsi="宋体" w:cs="宋体"/>
          <w:color w:val="auto"/>
          <w:szCs w:val="21"/>
          <w:highlight w:val="none"/>
        </w:rPr>
        <w:t>由磋商小组对</w:t>
      </w:r>
      <w:r>
        <w:rPr>
          <w:rFonts w:hint="eastAsia" w:ascii="宋体" w:hAnsi="宋体"/>
          <w:color w:val="auto"/>
          <w:szCs w:val="21"/>
          <w:highlight w:val="none"/>
        </w:rPr>
        <w:t>资格审查的合格供应商</w:t>
      </w:r>
      <w:r>
        <w:rPr>
          <w:rFonts w:hint="eastAsia" w:ascii="宋体" w:hAnsi="宋体" w:cs="宋体"/>
          <w:color w:val="auto"/>
          <w:szCs w:val="21"/>
          <w:highlight w:val="none"/>
        </w:rPr>
        <w:t>的响应文件的竞标报价、商务、技术等实质性要求进行符合性审查，以确定其是否满足磋商文件的实质性要求。</w:t>
      </w:r>
    </w:p>
    <w:bookmarkEnd w:id="40"/>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2.2</w:t>
      </w:r>
      <w:r>
        <w:rPr>
          <w:rFonts w:hint="eastAsia" w:ascii="宋体" w:hAnsi="宋体" w:cs="宋体"/>
          <w:color w:val="auto"/>
          <w:szCs w:val="21"/>
          <w:highlight w:val="none"/>
        </w:rPr>
        <w:t>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ascii="宋体" w:hAnsi="宋体" w:cs="宋体"/>
          <w:color w:val="auto"/>
          <w:spacing w:val="-6"/>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w:t>
      </w:r>
      <w:r>
        <w:rPr>
          <w:rFonts w:ascii="宋体" w:hAnsi="宋体" w:cs="宋体"/>
          <w:color w:val="auto"/>
          <w:szCs w:val="21"/>
          <w:highlight w:val="none"/>
        </w:rPr>
        <w:t>3</w:t>
      </w:r>
      <w:r>
        <w:rPr>
          <w:rFonts w:hint="eastAsia" w:ascii="宋体" w:hAnsi="宋体" w:cs="宋体"/>
          <w:color w:val="auto"/>
          <w:szCs w:val="21"/>
          <w:highlight w:val="none"/>
        </w:rPr>
        <w:t>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由法定代表人或者其授权代表签字并加盖供应商公章</w:t>
      </w:r>
      <w:r>
        <w:rPr>
          <w:rFonts w:hint="eastAsia" w:ascii="宋体" w:hAnsi="宋体" w:cs="宋体"/>
          <w:color w:val="auto"/>
          <w:spacing w:val="-6"/>
          <w:szCs w:val="21"/>
          <w:highlight w:val="none"/>
        </w:rPr>
        <w:t>。供应商为自然人的，必须由本人签字并附其身份证明。</w:t>
      </w:r>
    </w:p>
    <w:p>
      <w:pPr>
        <w:spacing w:line="360" w:lineRule="auto"/>
        <w:ind w:firstLine="396" w:firstLineChars="200"/>
        <w:rPr>
          <w:rFonts w:ascii="宋体" w:hAnsi="宋体" w:cs="宋体"/>
          <w:color w:val="auto"/>
          <w:szCs w:val="21"/>
          <w:highlight w:val="none"/>
        </w:rPr>
      </w:pPr>
      <w:r>
        <w:rPr>
          <w:rFonts w:ascii="宋体" w:hAnsi="宋体" w:cs="宋体"/>
          <w:color w:val="auto"/>
          <w:spacing w:val="-6"/>
          <w:szCs w:val="21"/>
          <w:highlight w:val="none"/>
        </w:rPr>
        <w:t>2.4</w:t>
      </w:r>
      <w:r>
        <w:rPr>
          <w:rFonts w:hint="eastAsia" w:ascii="宋体" w:hAnsi="宋体" w:cs="宋体"/>
          <w:color w:val="auto"/>
          <w:szCs w:val="21"/>
          <w:highlight w:val="none"/>
        </w:rPr>
        <w:t xml:space="preserve">首次响应文件报价出现前后不一致的，按照下列规定修正： </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（1）响应文件中报价表内容与响应文件中相应内容不一致的，以报价表为准；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（2）大写金额和小写金额不一致的，以大写金额为准；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（3）单价金额小数点或者百分比有明显错位的，以报价表的总价为准，并修改单价；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（4）总价金额与按单价汇总金额不一致的，以单价金额计算结果为准。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w:t>
      </w:r>
      <w:r>
        <w:rPr>
          <w:rFonts w:ascii="宋体" w:hAnsi="宋体" w:cs="宋体"/>
          <w:color w:val="auto"/>
          <w:szCs w:val="21"/>
          <w:highlight w:val="none"/>
        </w:rPr>
        <w:t>5</w:t>
      </w:r>
      <w:r>
        <w:rPr>
          <w:rFonts w:hint="eastAsia" w:ascii="宋体" w:hAnsi="宋体" w:cs="宋体"/>
          <w:color w:val="auto"/>
          <w:szCs w:val="21"/>
          <w:highlight w:val="none"/>
        </w:rPr>
        <w:t>商务技术报价评审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在评审时，如发现下列情形之一的，将被视为响应文件无效响应处理：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（1）商务技术评审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1）响应文件未按磋商文件要求签署、盖章；</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2）委托代理人未能出具有效身份证或者出具的身份证与授权委托书中的信息不符的； </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3）提交的磋商保证金无效的或者未按照磋商文件的规定提交磋商保证金；</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4）响应文件中的报价商务技术文件出现任一项不符合“供应商须知前附表”中“必须提供”或者“委托时必须提供”文件资料要求的规定或者提供的报价商务技术文件无效。</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5）商务条款中标“▲”的条款发生负偏离或者允许负偏离的条款数超过“供应商须知前附表”规定项数的；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6）未对竞标有效期作出响应或者响应文件承诺的竞标有效期不满足磋商文件要求；</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7）响应文件的实质性内容未使用中文表述、使用计量单位不符合磋商文件要求；</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8）响应文件中的文件资料因填写不齐全或者内容虚假或者出现其他情形而导致被磋商小组认定无效；</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9）响应文件含有采购人不能接受的附加条件；</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10）属于“供应商须知正文”第7.</w:t>
      </w:r>
      <w:r>
        <w:rPr>
          <w:rFonts w:ascii="宋体" w:hAnsi="宋体" w:cs="宋体"/>
          <w:color w:val="auto"/>
          <w:szCs w:val="21"/>
          <w:highlight w:val="none"/>
        </w:rPr>
        <w:t>5</w:t>
      </w:r>
      <w:r>
        <w:rPr>
          <w:rFonts w:hint="eastAsia" w:ascii="宋体" w:hAnsi="宋体" w:cs="宋体"/>
          <w:color w:val="auto"/>
          <w:szCs w:val="21"/>
          <w:highlight w:val="none"/>
        </w:rPr>
        <w:t>条情形；</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1）技术要求中标“▲”的条款发生负偏离或允许负偏离的条款数超过“供应商须知前附表”规定项数的；</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2）虚假竞标，或者出现其他情形而导致被磋商小组认定无效；</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3）</w:t>
      </w:r>
      <w:bookmarkStart w:id="41" w:name="_Hlk71704147"/>
      <w:r>
        <w:rPr>
          <w:rFonts w:hint="eastAsia" w:ascii="宋体" w:hAnsi="宋体" w:cs="宋体"/>
          <w:color w:val="auto"/>
          <w:szCs w:val="21"/>
          <w:highlight w:val="none"/>
        </w:rPr>
        <w:t>磋商文件未载明允许提供备选（替代）竞标方案或明确不允许提供备选（替代）竞标方案时，供应商提供了备选（替代）竞标方案的；</w:t>
      </w:r>
      <w:bookmarkEnd w:id="41"/>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4）响应文件标注的项目名称或者项目编号与磋商文件标注的项目名称或者项目编号不一致的；</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w:t>
      </w:r>
      <w:r>
        <w:rPr>
          <w:rFonts w:hint="eastAsia" w:ascii="宋体" w:hAnsi="宋体"/>
          <w:color w:val="auto"/>
          <w:szCs w:val="21"/>
          <w:highlight w:val="none"/>
        </w:rPr>
        <w:t>竞争性磋商文件明确不允许分包，响应文件拟分包的；</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6）未响应磋商文件实质性要求；</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17）法律、法规和磋商文件规定的其他无效情形。</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2</w:t>
      </w:r>
      <w:r>
        <w:rPr>
          <w:rFonts w:hint="eastAsia" w:ascii="宋体" w:hAnsi="宋体" w:cs="宋体"/>
          <w:color w:val="auto"/>
          <w:szCs w:val="21"/>
          <w:highlight w:val="none"/>
        </w:rPr>
        <w:t>）报价评审</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ascii="宋体" w:hAnsi="宋体" w:cs="宋体"/>
          <w:color w:val="auto"/>
          <w:szCs w:val="21"/>
          <w:highlight w:val="none"/>
        </w:rPr>
        <w:t xml:space="preserve"> </w:t>
      </w:r>
      <w:r>
        <w:rPr>
          <w:rFonts w:hint="eastAsia" w:ascii="宋体" w:hAnsi="宋体" w:cs="宋体"/>
          <w:color w:val="auto"/>
          <w:szCs w:val="21"/>
          <w:highlight w:val="none"/>
        </w:rPr>
        <w:t>响应文件未提供“供应商须知前附表” 报价商务技术文件中规定的“竞标报价表”；</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2）未采用人民币报价或者未按照磋商文件标明的币种报价；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供应商未就所竞标分标进行报价或者存在漏项报价；供应商未就所竞标分标的单项内容作唯一报价；供应商未就所竞标分标的全部内容作完整唯一总价报价；供应商响应文件中存在有选择、有条件报价的（磋商文件允许有备选方案或者其他约定的除外）；</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4）最后报价超过所竞标分标规定的采购预算金额或者最高限价的（如本项目公布了最高限价）；</w:t>
      </w:r>
      <w:bookmarkStart w:id="42" w:name="_Hlk42596405"/>
      <w:r>
        <w:rPr>
          <w:rFonts w:hint="eastAsia" w:ascii="宋体" w:hAnsi="宋体" w:cs="宋体"/>
          <w:color w:val="auto"/>
          <w:szCs w:val="21"/>
          <w:highlight w:val="none"/>
        </w:rPr>
        <w:t xml:space="preserve"> </w:t>
      </w:r>
      <w:bookmarkEnd w:id="42"/>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5）修正后的报价，供应商不确认的；或者经供应商确认修正后的最后报价超过所竞标分标规定的采购预算金额或者最高限价（如本项目公布了最高限价）；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olor w:val="auto"/>
          <w:szCs w:val="21"/>
          <w:highlight w:val="none"/>
        </w:rPr>
        <w:t>响应文件响应的标的数量及单位与竞争性磋商采购文件要求实质性不一致的。</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2.6</w:t>
      </w:r>
      <w:r>
        <w:rPr>
          <w:rFonts w:hint="eastAsia" w:ascii="宋体" w:hAnsi="宋体" w:cs="宋体"/>
          <w:color w:val="auto"/>
          <w:szCs w:val="21"/>
          <w:highlight w:val="none"/>
        </w:rPr>
        <w:t>磋商小组对响应文件进行评审，未实质性响应磋商文件的响应文件按无效响应处理，磋商小组应当将资格和符合性不通过的情况告知有关供应商。磋商小组从符合磋商文件规定的相应资格条件的供应商名单中确定不少于3家的供应商参加磋商。</w:t>
      </w:r>
    </w:p>
    <w:p>
      <w:pPr>
        <w:spacing w:line="360" w:lineRule="auto"/>
        <w:ind w:firstLine="482" w:firstLineChars="200"/>
        <w:rPr>
          <w:rFonts w:ascii="黑体" w:hAnsi="黑体" w:eastAsia="黑体" w:cs="宋体"/>
          <w:b/>
          <w:bCs/>
          <w:color w:val="auto"/>
          <w:sz w:val="24"/>
          <w:highlight w:val="none"/>
        </w:rPr>
      </w:pPr>
      <w:r>
        <w:rPr>
          <w:rFonts w:ascii="黑体" w:hAnsi="黑体" w:eastAsia="黑体" w:cs="宋体"/>
          <w:b/>
          <w:bCs/>
          <w:color w:val="auto"/>
          <w:sz w:val="24"/>
          <w:highlight w:val="none"/>
        </w:rPr>
        <w:t>3</w:t>
      </w:r>
      <w:r>
        <w:rPr>
          <w:rFonts w:hint="eastAsia" w:ascii="黑体" w:hAnsi="黑体" w:eastAsia="黑体" w:cs="宋体"/>
          <w:b/>
          <w:bCs/>
          <w:color w:val="auto"/>
          <w:sz w:val="24"/>
          <w:highlight w:val="none"/>
        </w:rPr>
        <w:t>.磋商程序</w:t>
      </w:r>
    </w:p>
    <w:p>
      <w:pPr>
        <w:spacing w:line="360" w:lineRule="auto"/>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3</w:t>
      </w:r>
      <w:r>
        <w:rPr>
          <w:rFonts w:ascii="宋体" w:hAnsi="宋体" w:cs="宋体"/>
          <w:color w:val="auto"/>
          <w:kern w:val="0"/>
          <w:szCs w:val="21"/>
          <w:highlight w:val="none"/>
        </w:rPr>
        <w:t>.1</w:t>
      </w:r>
      <w:r>
        <w:rPr>
          <w:rFonts w:hint="eastAsia" w:ascii="宋体" w:hAnsi="宋体" w:cs="宋体"/>
          <w:color w:val="auto"/>
          <w:kern w:val="0"/>
          <w:szCs w:val="21"/>
          <w:highlight w:val="none"/>
        </w:rPr>
        <w:t>磋商小组按照“供应商须知前附表”</w:t>
      </w: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确定的</w:t>
      </w:r>
      <w:r>
        <w:rPr>
          <w:rFonts w:hint="eastAsia" w:ascii="宋体" w:hAnsi="宋体" w:cs="宋体"/>
          <w:color w:val="auto"/>
          <w:szCs w:val="21"/>
          <w:highlight w:val="none"/>
        </w:rPr>
        <w:t>顺序，集中与单一供应商分别进行磋商，并给予所有参加磋商的供应商平等的磋商机会。符合磋商资格的供应商必须在接到磋商通知后在规定时间内参加磋商，未在规定时间内参加磋商的视同放弃参加磋商权利，其响应文件按无效响应处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3.2</w:t>
      </w:r>
      <w:r>
        <w:rPr>
          <w:rFonts w:hint="eastAsia" w:ascii="宋体" w:hAnsi="宋体" w:cs="宋体"/>
          <w:color w:val="auto"/>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3.3</w:t>
      </w:r>
      <w:r>
        <w:rPr>
          <w:rFonts w:hint="eastAsia" w:ascii="宋体" w:hAnsi="宋体" w:cs="宋体"/>
          <w:color w:val="auto"/>
          <w:szCs w:val="21"/>
          <w:highlight w:val="none"/>
        </w:rPr>
        <w:t>对磋商文件作出的实质性变动是磋商文件的有效组成部分，由磋商小组及时以电子磋商记录形式同时通知所有参加磋商的供应商。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3.4</w:t>
      </w:r>
      <w:r>
        <w:rPr>
          <w:rFonts w:hint="eastAsia" w:ascii="宋体" w:hAnsi="宋体" w:cs="宋体"/>
          <w:color w:val="auto"/>
          <w:szCs w:val="21"/>
          <w:highlight w:val="none"/>
        </w:rPr>
        <w:t>供应商必须按照磋商文件的变动情况和磋商小组的要求以电子回函的形式重新提交响应文件，并由其法定代表人或者授权代表签字或者加盖供应商公章。供应商为自然人的，必须由本人签字并附身份证明。参加磋商的供应商未在规定时间内以电子回函的形式重新提交响应文件的，视同退出磋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3.5</w:t>
      </w:r>
      <w:r>
        <w:rPr>
          <w:rFonts w:hint="eastAsia" w:ascii="宋体" w:hAnsi="宋体" w:cs="宋体"/>
          <w:color w:val="auto"/>
          <w:szCs w:val="21"/>
          <w:highlight w:val="none"/>
        </w:rPr>
        <w:t>磋商中，</w:t>
      </w:r>
      <w:r>
        <w:rPr>
          <w:rFonts w:hint="eastAsia" w:ascii="宋体" w:hAnsi="宋体" w:cs="宋体"/>
          <w:color w:val="auto"/>
          <w:spacing w:val="-6"/>
          <w:szCs w:val="21"/>
          <w:highlight w:val="none"/>
        </w:rPr>
        <w:t>磋商的任何一方不得透露与磋商有关的其他供应商的技术资料、价格和其他信息。</w:t>
      </w:r>
    </w:p>
    <w:p>
      <w:pPr>
        <w:tabs>
          <w:tab w:val="left" w:pos="2835"/>
        </w:tabs>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w:t>
      </w:r>
      <w:r>
        <w:rPr>
          <w:rFonts w:ascii="宋体" w:hAnsi="宋体" w:cs="宋体"/>
          <w:color w:val="auto"/>
          <w:szCs w:val="21"/>
          <w:highlight w:val="none"/>
        </w:rPr>
        <w:t>.</w:t>
      </w:r>
      <w:r>
        <w:rPr>
          <w:rFonts w:hint="eastAsia" w:ascii="宋体" w:hAnsi="宋体" w:cs="宋体"/>
          <w:color w:val="auto"/>
          <w:szCs w:val="21"/>
          <w:highlight w:val="none"/>
        </w:rPr>
        <w:t>6</w:t>
      </w:r>
      <w:r>
        <w:rPr>
          <w:rFonts w:hint="eastAsia" w:ascii="宋体" w:hAnsi="宋体"/>
          <w:color w:val="auto"/>
          <w:szCs w:val="21"/>
          <w:highlight w:val="none"/>
        </w:rPr>
        <w:t>对磋商过程提交的响应文件进行有效性、完整性和响应程度审查，通过审查的合格供应商不足3家的，采购人或者采购代理机构应当重新开展采购活动。</w:t>
      </w:r>
    </w:p>
    <w:p>
      <w:pPr>
        <w:widowControl/>
        <w:tabs>
          <w:tab w:val="left" w:pos="540"/>
        </w:tabs>
        <w:spacing w:line="360" w:lineRule="auto"/>
        <w:ind w:firstLine="420" w:firstLineChars="200"/>
        <w:jc w:val="left"/>
        <w:rPr>
          <w:rFonts w:ascii="宋体" w:hAnsi="宋体" w:cs="宋体"/>
          <w:color w:val="auto"/>
          <w:szCs w:val="21"/>
          <w:highlight w:val="none"/>
        </w:rPr>
      </w:pPr>
      <w:r>
        <w:rPr>
          <w:rFonts w:ascii="宋体" w:hAnsi="宋体" w:cs="宋体"/>
          <w:color w:val="auto"/>
          <w:szCs w:val="21"/>
          <w:highlight w:val="none"/>
        </w:rPr>
        <w:t>3.</w:t>
      </w:r>
      <w:r>
        <w:rPr>
          <w:rFonts w:hint="eastAsia" w:ascii="宋体" w:hAnsi="宋体" w:cs="宋体"/>
          <w:color w:val="auto"/>
          <w:szCs w:val="21"/>
          <w:highlight w:val="none"/>
        </w:rPr>
        <w:t>7</w:t>
      </w:r>
      <w:r>
        <w:rPr>
          <w:color w:val="auto"/>
          <w:highlight w:val="none"/>
        </w:rPr>
        <w:t>根据《财政部关于政府采购竞争性磋商采购方式管理暂行办法有关问题的补充通知》（财库〔2015〕124号）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spacing w:line="360" w:lineRule="auto"/>
        <w:ind w:firstLine="482" w:firstLineChars="200"/>
        <w:rPr>
          <w:rFonts w:ascii="宋体" w:hAnsi="宋体" w:cs="宋体"/>
          <w:color w:val="auto"/>
          <w:szCs w:val="21"/>
          <w:highlight w:val="none"/>
        </w:rPr>
      </w:pPr>
      <w:r>
        <w:rPr>
          <w:rFonts w:ascii="黑体" w:hAnsi="黑体" w:eastAsia="黑体" w:cs="宋体"/>
          <w:b/>
          <w:bCs/>
          <w:color w:val="auto"/>
          <w:sz w:val="24"/>
          <w:highlight w:val="none"/>
        </w:rPr>
        <w:t>4.</w:t>
      </w:r>
      <w:r>
        <w:rPr>
          <w:rFonts w:hint="eastAsia" w:ascii="黑体" w:hAnsi="黑体" w:eastAsia="黑体" w:cs="宋体"/>
          <w:b/>
          <w:bCs/>
          <w:color w:val="auto"/>
          <w:sz w:val="24"/>
          <w:highlight w:val="none"/>
        </w:rPr>
        <w:t xml:space="preserve"> 最后报价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.1</w:t>
      </w:r>
      <w:r>
        <w:rPr>
          <w:rFonts w:hint="eastAsia" w:ascii="宋体" w:hAnsi="宋体" w:cs="宋体"/>
          <w:color w:val="auto"/>
          <w:szCs w:val="21"/>
          <w:highlight w:val="none"/>
        </w:rPr>
        <w:t>磋商文件能够详细列明采购标的的技术、服务要求的，磋商结束后，由磋商小组要求所有继续参加磋商的供应商在规定时间内以电子文件形式提交最后报价，除本章第3.7、</w:t>
      </w:r>
      <w:r>
        <w:rPr>
          <w:rFonts w:ascii="宋体" w:hAnsi="宋体" w:cs="宋体"/>
          <w:color w:val="auto"/>
          <w:szCs w:val="21"/>
          <w:highlight w:val="none"/>
        </w:rPr>
        <w:t>4.3</w:t>
      </w:r>
      <w:r>
        <w:rPr>
          <w:rFonts w:hint="eastAsia" w:ascii="宋体" w:hAnsi="宋体" w:cs="宋体"/>
          <w:color w:val="auto"/>
          <w:szCs w:val="21"/>
          <w:highlight w:val="none"/>
        </w:rPr>
        <w:t>条外，提交最后报价的供应商不得少于3家，否则必须重新采购。</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.2</w:t>
      </w:r>
      <w:r>
        <w:rPr>
          <w:rFonts w:hint="eastAsia" w:ascii="宋体" w:hAnsi="宋体" w:cs="宋体"/>
          <w:color w:val="auto"/>
          <w:szCs w:val="21"/>
          <w:highlight w:val="none"/>
        </w:rPr>
        <w:t>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以电子文件形式提交最后报价。</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4.3</w:t>
      </w:r>
      <w:r>
        <w:rPr>
          <w:rFonts w:hint="eastAsia" w:ascii="宋体" w:hAnsi="宋体" w:cs="宋体"/>
          <w:color w:val="auto"/>
          <w:szCs w:val="21"/>
          <w:highlight w:val="none"/>
        </w:rPr>
        <w:t xml:space="preserve"> 最后报价是供应商响应文件的有效组成部分。符合《政府采购竞争性磋商采购方式管理暂行办法》（财库〔2014〕214号）第三条第四项“市场竞争不充分的科研项目，以及需要扶持的科技成果转化项目”和</w:t>
      </w:r>
      <w:r>
        <w:rPr>
          <w:color w:val="auto"/>
          <w:highlight w:val="none"/>
        </w:rPr>
        <w:t>本章第3.</w:t>
      </w:r>
      <w:r>
        <w:rPr>
          <w:rFonts w:hint="eastAsia"/>
          <w:color w:val="auto"/>
          <w:highlight w:val="none"/>
        </w:rPr>
        <w:t>7</w:t>
      </w:r>
      <w:r>
        <w:rPr>
          <w:color w:val="auto"/>
          <w:highlight w:val="none"/>
        </w:rPr>
        <w:t>条情形的，</w:t>
      </w:r>
      <w:r>
        <w:rPr>
          <w:rFonts w:hint="eastAsia" w:ascii="宋体" w:hAnsi="宋体" w:cs="宋体"/>
          <w:color w:val="auto"/>
          <w:szCs w:val="21"/>
          <w:highlight w:val="none"/>
        </w:rPr>
        <w:t>提交最后报价的供应商可以为2家。</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4.4</w:t>
      </w:r>
      <w:r>
        <w:rPr>
          <w:rFonts w:hint="eastAsia" w:ascii="宋体" w:hAnsi="宋体" w:cs="宋体"/>
          <w:color w:val="auto"/>
          <w:szCs w:val="21"/>
          <w:highlight w:val="none"/>
        </w:rPr>
        <w:t>已经提交响应文件的供应商，在提交最后报价之前，可以根据磋商情况退出磋商，退出磋商的供应商的响应文件按无效响应处理。采购人、采购代理机构将退还退出磋商的供应商的保证金。</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4.5</w:t>
      </w:r>
      <w:r>
        <w:rPr>
          <w:rFonts w:hint="eastAsia" w:ascii="宋体" w:hAnsi="宋体" w:cs="宋体"/>
          <w:color w:val="auto"/>
          <w:szCs w:val="21"/>
          <w:highlight w:val="none"/>
        </w:rPr>
        <w:t>供应商未在规定时间内提交最后报价的，视同退出磋商。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4.6</w:t>
      </w:r>
      <w:r>
        <w:rPr>
          <w:rFonts w:hint="eastAsia" w:ascii="宋体" w:hAnsi="宋体" w:cs="宋体"/>
          <w:color w:val="auto"/>
          <w:szCs w:val="21"/>
          <w:highlight w:val="none"/>
        </w:rPr>
        <w:t>磋商小组收齐某一分标最后报价后或达到规定时间后统一开启，磋商小组对最后报价进行有效性、完整性和响应程度的审查。</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4.7</w:t>
      </w:r>
      <w:r>
        <w:rPr>
          <w:rFonts w:hint="eastAsia" w:ascii="宋体" w:hAnsi="宋体" w:cs="宋体"/>
          <w:color w:val="auto"/>
          <w:szCs w:val="21"/>
          <w:highlight w:val="none"/>
        </w:rPr>
        <w:t>响应文件最后报价出现前后不一致的，按照本章第</w:t>
      </w:r>
      <w:r>
        <w:rPr>
          <w:rFonts w:ascii="宋体" w:hAnsi="宋体" w:cs="宋体"/>
          <w:color w:val="auto"/>
          <w:szCs w:val="21"/>
          <w:highlight w:val="none"/>
        </w:rPr>
        <w:t>2.4</w:t>
      </w:r>
      <w:r>
        <w:rPr>
          <w:rFonts w:hint="eastAsia" w:ascii="宋体" w:hAnsi="宋体" w:cs="宋体"/>
          <w:color w:val="auto"/>
          <w:szCs w:val="21"/>
          <w:highlight w:val="none"/>
        </w:rPr>
        <w:t xml:space="preserve">条的规定修正。 </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4.8</w:t>
      </w:r>
      <w:r>
        <w:rPr>
          <w:rFonts w:hint="eastAsia" w:ascii="宋体" w:hAnsi="宋体" w:cs="宋体"/>
          <w:color w:val="auto"/>
          <w:szCs w:val="21"/>
          <w:highlight w:val="none"/>
        </w:rPr>
        <w:t>经供应商确认修正后的最后报价作为评审及签订合同的依据。</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9</w:t>
      </w:r>
      <w:r>
        <w:rPr>
          <w:rFonts w:hint="eastAsia" w:ascii="宋体" w:hAnsi="宋体" w:cs="宋体"/>
          <w:color w:val="auto"/>
          <w:szCs w:val="21"/>
          <w:highlight w:val="none"/>
        </w:rPr>
        <w:t>供应商出现最后报价按无效响应处理或者响应文件按无效响应处理时</w:t>
      </w:r>
      <w:r>
        <w:rPr>
          <w:rFonts w:hint="eastAsia" w:ascii="宋体" w:hAnsi="宋体"/>
          <w:color w:val="auto"/>
          <w:sz w:val="22"/>
          <w:szCs w:val="22"/>
          <w:highlight w:val="none"/>
        </w:rPr>
        <w:t>，磋商小组应当告知有关供应商</w:t>
      </w:r>
      <w:r>
        <w:rPr>
          <w:rFonts w:hint="eastAsia" w:ascii="宋体" w:hAnsi="宋体" w:cs="宋体"/>
          <w:color w:val="auto"/>
          <w:szCs w:val="21"/>
          <w:highlight w:val="none"/>
        </w:rPr>
        <w:t>。</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w:t>
      </w:r>
      <w:r>
        <w:rPr>
          <w:rFonts w:ascii="宋体" w:hAnsi="宋体" w:cs="宋体"/>
          <w:color w:val="auto"/>
          <w:szCs w:val="21"/>
          <w:highlight w:val="none"/>
        </w:rPr>
        <w:t>.10</w:t>
      </w:r>
      <w:r>
        <w:rPr>
          <w:rFonts w:hint="eastAsia" w:ascii="宋体" w:hAnsi="宋体" w:cs="宋体"/>
          <w:color w:val="auto"/>
          <w:szCs w:val="21"/>
          <w:highlight w:val="none"/>
        </w:rPr>
        <w:t>最后报价结束后，磋商小组不得再与供应商进行任何形式的商谈。</w:t>
      </w:r>
    </w:p>
    <w:p>
      <w:pPr>
        <w:spacing w:line="360" w:lineRule="auto"/>
        <w:ind w:firstLine="482" w:firstLineChars="200"/>
        <w:rPr>
          <w:rFonts w:ascii="黑体" w:hAnsi="黑体" w:eastAsia="黑体" w:cs="宋体"/>
          <w:b/>
          <w:bCs/>
          <w:color w:val="auto"/>
          <w:sz w:val="24"/>
          <w:highlight w:val="none"/>
        </w:rPr>
      </w:pPr>
      <w:r>
        <w:rPr>
          <w:rFonts w:hint="eastAsia" w:ascii="黑体" w:hAnsi="黑体" w:eastAsia="黑体" w:cs="宋体"/>
          <w:b/>
          <w:bCs/>
          <w:color w:val="auto"/>
          <w:sz w:val="24"/>
          <w:highlight w:val="none"/>
        </w:rPr>
        <w:t>5</w:t>
      </w:r>
      <w:r>
        <w:rPr>
          <w:rFonts w:ascii="黑体" w:hAnsi="黑体" w:eastAsia="黑体" w:cs="宋体"/>
          <w:b/>
          <w:bCs/>
          <w:color w:val="auto"/>
          <w:sz w:val="24"/>
          <w:highlight w:val="none"/>
        </w:rPr>
        <w:t>.</w:t>
      </w:r>
      <w:r>
        <w:rPr>
          <w:rFonts w:hint="eastAsia" w:ascii="黑体" w:hAnsi="黑体" w:eastAsia="黑体" w:cs="宋体"/>
          <w:b/>
          <w:bCs/>
          <w:color w:val="auto"/>
          <w:sz w:val="24"/>
          <w:highlight w:val="none"/>
        </w:rPr>
        <w:t>比较与评价</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5.1</w:t>
      </w:r>
      <w:r>
        <w:rPr>
          <w:rFonts w:hint="eastAsia" w:ascii="宋体" w:hAnsi="宋体" w:cs="宋体"/>
          <w:color w:val="auto"/>
          <w:szCs w:val="21"/>
          <w:highlight w:val="none"/>
        </w:rPr>
        <w:t>评审方法：综合评分法。</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5.2</w:t>
      </w:r>
      <w:r>
        <w:rPr>
          <w:rFonts w:hint="eastAsia" w:ascii="宋体" w:hAnsi="宋体" w:cs="宋体"/>
          <w:color w:val="auto"/>
          <w:szCs w:val="21"/>
          <w:highlight w:val="none"/>
        </w:rPr>
        <w:t>经磋商确定最终采购需求和提交最后报价的供应商后，由磋商小组采用综合评分法对提交最后报价的供应商的响应文件和最后报价进行综合评分。</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5.3</w:t>
      </w:r>
      <w:r>
        <w:rPr>
          <w:rFonts w:hint="eastAsia" w:ascii="宋体" w:hAnsi="宋体" w:cs="宋体"/>
          <w:color w:val="auto"/>
          <w:szCs w:val="21"/>
          <w:highlight w:val="none"/>
        </w:rPr>
        <w:t>评审时，磋商小组各成员应当独立对每个有效响应的文件进行评价、打分，然后汇总每个供应商每项评分因素的得分。</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（1）磋商小组按照磋商文件中规定的评审标准计算各供应商的报价得分。项目评审过程中，不得去掉最后报价中的最高报价和最低报价。</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（2）各供应商的得分为磋商小组所有成员的有效评分的算术平均数。</w:t>
      </w:r>
    </w:p>
    <w:p>
      <w:pPr>
        <w:spacing w:line="360" w:lineRule="auto"/>
        <w:ind w:firstLine="420" w:firstLineChars="200"/>
        <w:rPr>
          <w:rFonts w:ascii="宋体" w:hAnsi="宋体" w:cs="宋体"/>
          <w:color w:val="auto"/>
          <w:szCs w:val="21"/>
          <w:highlight w:val="none"/>
        </w:rPr>
      </w:pPr>
      <w:r>
        <w:rPr>
          <w:rFonts w:ascii="宋体" w:hAnsi="宋体" w:cs="宋体"/>
          <w:color w:val="auto"/>
          <w:szCs w:val="21"/>
          <w:highlight w:val="none"/>
        </w:rPr>
        <w:t>5.4</w:t>
      </w:r>
      <w:r>
        <w:rPr>
          <w:rFonts w:hint="eastAsia" w:ascii="宋体" w:hAnsi="宋体" w:cs="宋体"/>
          <w:color w:val="auto"/>
          <w:szCs w:val="21"/>
          <w:highlight w:val="none"/>
        </w:rPr>
        <w:t>评标价为供应商的最后报价进行政策性扣除后的价格，评标价只是作为评审时使用。最终成交供应商的成交金额等于最后报价（如有修正，以确认修正后的最后报价为准）。</w:t>
      </w:r>
    </w:p>
    <w:p>
      <w:pPr>
        <w:spacing w:line="360" w:lineRule="auto"/>
        <w:ind w:firstLine="420" w:firstLineChars="200"/>
        <w:rPr>
          <w:rFonts w:ascii="宋体" w:hAnsi="宋体"/>
          <w:color w:val="auto"/>
          <w:kern w:val="0"/>
          <w:szCs w:val="21"/>
          <w:highlight w:val="none"/>
        </w:rPr>
      </w:pPr>
      <w:r>
        <w:rPr>
          <w:rFonts w:ascii="宋体" w:hAnsi="宋体" w:cs="宋体"/>
          <w:color w:val="auto"/>
          <w:szCs w:val="21"/>
          <w:highlight w:val="none"/>
        </w:rPr>
        <w:t>5.5</w:t>
      </w:r>
      <w:r>
        <w:rPr>
          <w:rFonts w:hint="eastAsia" w:ascii="宋体" w:hAnsi="宋体" w:cs="宋体"/>
          <w:color w:val="auto"/>
          <w:szCs w:val="21"/>
          <w:highlight w:val="none"/>
        </w:rPr>
        <w:t>由磋商小组根据综合评分情况，按照评审得分由高到低顺序推荐3名以上成交候选供应商，并编写评</w:t>
      </w:r>
      <w:r>
        <w:rPr>
          <w:rFonts w:hint="eastAsia" w:ascii="宋体" w:hAnsi="宋体"/>
          <w:color w:val="auto"/>
          <w:kern w:val="0"/>
          <w:szCs w:val="21"/>
          <w:highlight w:val="none"/>
        </w:rPr>
        <w:t>审报告。符合本章第</w:t>
      </w:r>
      <w:r>
        <w:rPr>
          <w:rFonts w:hint="eastAsia" w:ascii="宋体" w:hAnsi="宋体" w:cs="宋体"/>
          <w:color w:val="auto"/>
          <w:szCs w:val="21"/>
          <w:highlight w:val="none"/>
        </w:rPr>
        <w:t>3.7、</w:t>
      </w:r>
      <w:r>
        <w:rPr>
          <w:rFonts w:ascii="宋体" w:hAnsi="宋体" w:cs="宋体"/>
          <w:color w:val="auto"/>
          <w:szCs w:val="21"/>
          <w:highlight w:val="none"/>
        </w:rPr>
        <w:t>4.3</w:t>
      </w:r>
      <w:r>
        <w:rPr>
          <w:rFonts w:hint="eastAsia" w:ascii="宋体" w:hAnsi="宋体"/>
          <w:color w:val="auto"/>
          <w:kern w:val="0"/>
          <w:szCs w:val="21"/>
          <w:highlight w:val="none"/>
        </w:rPr>
        <w:t>条情形的，可以推荐2家成交候选供应商。评审得分相同的，按照最后报价由低到高的顺序推荐。评审得分且最后报价相同的，按照技术指标优劣顺序推荐。</w:t>
      </w:r>
    </w:p>
    <w:p>
      <w:pPr>
        <w:spacing w:line="360" w:lineRule="auto"/>
        <w:ind w:firstLine="420" w:firstLineChars="200"/>
        <w:rPr>
          <w:rFonts w:ascii="宋体" w:hAnsi="宋体" w:cs="宋体"/>
          <w:color w:val="auto"/>
          <w:szCs w:val="21"/>
          <w:highlight w:val="none"/>
        </w:rPr>
      </w:pPr>
      <w:r>
        <w:rPr>
          <w:rFonts w:ascii="宋体" w:hAnsi="宋体"/>
          <w:color w:val="auto"/>
          <w:kern w:val="0"/>
          <w:szCs w:val="21"/>
          <w:highlight w:val="none"/>
        </w:rPr>
        <w:t>5.6</w:t>
      </w:r>
      <w:r>
        <w:rPr>
          <w:rFonts w:hint="eastAsia" w:ascii="宋体" w:hAnsi="宋体"/>
          <w:color w:val="auto"/>
          <w:kern w:val="0"/>
          <w:szCs w:val="21"/>
          <w:highlight w:val="none"/>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jc w:val="center"/>
        <w:rPr>
          <w:rFonts w:ascii="宋体" w:hAnsi="宋体"/>
          <w:b/>
          <w:color w:val="auto"/>
          <w:sz w:val="32"/>
          <w:szCs w:val="32"/>
          <w:highlight w:val="none"/>
        </w:rPr>
      </w:pPr>
      <w:r>
        <w:rPr>
          <w:rFonts w:ascii="宋体" w:hAnsi="宋体"/>
          <w:b/>
          <w:color w:val="auto"/>
          <w:sz w:val="32"/>
          <w:szCs w:val="32"/>
          <w:highlight w:val="none"/>
        </w:rPr>
        <w:br w:type="page"/>
      </w:r>
      <w:r>
        <w:rPr>
          <w:rFonts w:hint="eastAsia" w:ascii="宋体" w:hAnsi="宋体"/>
          <w:b/>
          <w:color w:val="auto"/>
          <w:sz w:val="32"/>
          <w:szCs w:val="32"/>
          <w:highlight w:val="none"/>
        </w:rPr>
        <w:t>二、评审标准</w:t>
      </w:r>
    </w:p>
    <w:p>
      <w:pPr>
        <w:spacing w:line="360" w:lineRule="auto"/>
        <w:ind w:firstLine="420" w:firstLineChars="200"/>
        <w:rPr>
          <w:rFonts w:ascii="宋体" w:hAnsi="宋体"/>
          <w:bCs/>
          <w:color w:val="auto"/>
          <w:szCs w:val="21"/>
          <w:highlight w:val="none"/>
        </w:rPr>
      </w:pPr>
    </w:p>
    <w:p>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6</w:t>
      </w:r>
      <w:r>
        <w:rPr>
          <w:rFonts w:ascii="宋体" w:hAnsi="宋体"/>
          <w:bCs/>
          <w:color w:val="auto"/>
          <w:szCs w:val="21"/>
          <w:highlight w:val="none"/>
        </w:rPr>
        <w:t>.</w:t>
      </w:r>
      <w:r>
        <w:rPr>
          <w:rFonts w:hint="eastAsia" w:ascii="宋体" w:hAnsi="宋体"/>
          <w:bCs/>
          <w:color w:val="auto"/>
          <w:szCs w:val="21"/>
          <w:highlight w:val="none"/>
        </w:rPr>
        <w:t>评审依据：磋商小组将以磋商响应文件为评审依据，对供应商的报价、技术、商务等方面内容按百分制打分。（计分方法按四舍五入取至百分位）</w:t>
      </w:r>
    </w:p>
    <w:p>
      <w:pPr>
        <w:tabs>
          <w:tab w:val="center" w:pos="4153"/>
          <w:tab w:val="right" w:pos="8306"/>
        </w:tabs>
        <w:snapToGrid w:val="0"/>
        <w:jc w:val="left"/>
        <w:rPr>
          <w:color w:val="auto"/>
          <w:sz w:val="18"/>
          <w:szCs w:val="18"/>
          <w:highlight w:val="none"/>
        </w:rPr>
      </w:pPr>
      <w:r>
        <w:rPr>
          <w:rFonts w:hint="eastAsia" w:ascii="宋体" w:hAnsi="宋体"/>
          <w:b/>
          <w:color w:val="auto"/>
          <w:sz w:val="32"/>
          <w:szCs w:val="32"/>
          <w:highlight w:val="none"/>
        </w:rPr>
        <w:t>包1：</w:t>
      </w:r>
    </w:p>
    <w:tbl>
      <w:tblPr>
        <w:tblStyle w:val="18"/>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80"/>
        <w:gridCol w:w="709"/>
        <w:gridCol w:w="1245"/>
        <w:gridCol w:w="56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73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序号</w:t>
            </w:r>
          </w:p>
        </w:tc>
        <w:tc>
          <w:tcPr>
            <w:tcW w:w="1280" w:type="dxa"/>
            <w:vAlign w:val="center"/>
          </w:tcPr>
          <w:p>
            <w:pPr>
              <w:adjustRightInd w:val="0"/>
              <w:jc w:val="center"/>
              <w:textAlignment w:val="baseline"/>
              <w:rPr>
                <w:rFonts w:ascii="宋体" w:hAnsi="宋体"/>
                <w:color w:val="auto"/>
                <w:szCs w:val="21"/>
                <w:highlight w:val="none"/>
              </w:rPr>
            </w:pPr>
            <w:r>
              <w:rPr>
                <w:rFonts w:hint="eastAsia" w:ascii="宋体" w:hAnsi="宋体"/>
                <w:b/>
                <w:color w:val="auto"/>
                <w:szCs w:val="21"/>
                <w:highlight w:val="none"/>
              </w:rPr>
              <w:t>评审因素</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分值</w:t>
            </w:r>
          </w:p>
        </w:tc>
        <w:tc>
          <w:tcPr>
            <w:tcW w:w="6909" w:type="dxa"/>
            <w:gridSpan w:val="2"/>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1</w:t>
            </w:r>
          </w:p>
        </w:tc>
        <w:tc>
          <w:tcPr>
            <w:tcW w:w="128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报价</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20分</w:t>
            </w:r>
          </w:p>
        </w:tc>
        <w:tc>
          <w:tcPr>
            <w:tcW w:w="6909" w:type="dxa"/>
            <w:gridSpan w:val="2"/>
            <w:vAlign w:val="center"/>
          </w:tcPr>
          <w:p>
            <w:pPr>
              <w:rPr>
                <w:rFonts w:ascii="宋体" w:hAnsi="宋体"/>
                <w:bCs/>
                <w:color w:val="auto"/>
                <w:szCs w:val="21"/>
                <w:highlight w:val="none"/>
              </w:rPr>
            </w:pPr>
            <w:r>
              <w:rPr>
                <w:rFonts w:hint="eastAsia" w:ascii="宋体" w:hAnsi="宋体"/>
                <w:bCs/>
                <w:color w:val="auto"/>
                <w:szCs w:val="21"/>
                <w:highlight w:val="none"/>
              </w:rPr>
              <w:t>（1）对小型和微型企业服务的价格给予10%的价格扣除，扣除后的价格为评标价，即评标价＝最终报价×（1-10%）；（以供应商按第五章“响应文件格式”要求提供的《中小企业声明函》为评分依据）。</w:t>
            </w:r>
          </w:p>
          <w:p>
            <w:pPr>
              <w:rPr>
                <w:rFonts w:ascii="宋体" w:hAnsi="宋体"/>
                <w:bCs/>
                <w:color w:val="auto"/>
                <w:szCs w:val="21"/>
                <w:highlight w:val="none"/>
              </w:rPr>
            </w:pPr>
            <w:r>
              <w:rPr>
                <w:rFonts w:hint="eastAsia" w:ascii="宋体" w:hAnsi="宋体"/>
                <w:bCs/>
                <w:color w:val="auto"/>
                <w:szCs w:val="21"/>
                <w:highlight w:val="none"/>
              </w:rPr>
              <w:t>（2）供应商提供企业按《关于政府采购支持监狱企业发展有关问题的通知》(财库[2014]68号)认定为监狱企业的，在政府采购活动中，监狱企业视同小型、微型企业。（以供应商按第五章“响应文件格式”要求提供的《最终报价》和由省级以上监狱管理局、戒毒管理局(含新疆生产建设兵团)出具的属于监狱企业的证明文件为评分依据。</w:t>
            </w:r>
          </w:p>
          <w:p>
            <w:pPr>
              <w:rPr>
                <w:rFonts w:ascii="宋体" w:hAnsi="宋体"/>
                <w:bCs/>
                <w:color w:val="auto"/>
                <w:szCs w:val="21"/>
                <w:highlight w:val="none"/>
              </w:rPr>
            </w:pPr>
            <w:r>
              <w:rPr>
                <w:rFonts w:hint="eastAsia" w:ascii="宋体" w:hAnsi="宋体"/>
                <w:bCs/>
                <w:color w:val="auto"/>
                <w:szCs w:val="21"/>
                <w:highlight w:val="none"/>
              </w:rPr>
              <w:t>（3）供应商提供企业按《关于促进残疾人就业政府采购政策的通知》(财库〔2017〕141号)认定为残疾人福利性单位的，在政府采购活动中，残疾人福利性单位视同小型、微型企业。残疾人福利性单位参加政府采购活动时，应当提供该通知规定的，并提交残疾人证及在本企业缴纳社保证明。（以供应商按第五章“响应文件格式”要求提供的《最终报价》和《残疾人福利性单位声明函》为评分依据）</w:t>
            </w:r>
          </w:p>
          <w:p>
            <w:pPr>
              <w:rPr>
                <w:rFonts w:ascii="宋体" w:hAnsi="宋体"/>
                <w:bCs/>
                <w:color w:val="auto"/>
                <w:szCs w:val="21"/>
                <w:highlight w:val="none"/>
              </w:rPr>
            </w:pPr>
            <w:r>
              <w:rPr>
                <w:rFonts w:hint="eastAsia" w:ascii="宋体" w:hAnsi="宋体"/>
                <w:bCs/>
                <w:color w:val="auto"/>
                <w:szCs w:val="21"/>
                <w:highlight w:val="none"/>
              </w:rPr>
              <w:t>（4）除上述情况外，评标价＝最终报价。</w:t>
            </w:r>
          </w:p>
          <w:p>
            <w:pPr>
              <w:rPr>
                <w:rFonts w:ascii="宋体" w:hAnsi="宋体"/>
                <w:bCs/>
                <w:color w:val="auto"/>
                <w:szCs w:val="21"/>
                <w:highlight w:val="none"/>
              </w:rPr>
            </w:pPr>
            <w:r>
              <w:rPr>
                <w:rFonts w:hint="eastAsia" w:ascii="宋体" w:hAnsi="宋体"/>
                <w:bCs/>
                <w:color w:val="auto"/>
                <w:szCs w:val="21"/>
                <w:highlight w:val="none"/>
              </w:rPr>
              <w:t>（5）以满足采购文件要求且评标价最低的评标价为评标基准价。</w:t>
            </w:r>
          </w:p>
          <w:p>
            <w:pPr>
              <w:rPr>
                <w:color w:val="auto"/>
                <w:szCs w:val="21"/>
                <w:highlight w:val="none"/>
              </w:rPr>
            </w:pPr>
            <w:r>
              <w:rPr>
                <w:rFonts w:hint="eastAsia" w:ascii="宋体" w:hAnsi="宋体"/>
                <w:bCs/>
                <w:color w:val="auto"/>
                <w:szCs w:val="21"/>
                <w:highlight w:val="none"/>
              </w:rPr>
              <w:t>（6）价格分计算公式：</w:t>
            </w:r>
          </w:p>
          <w:p>
            <w:pPr>
              <w:rPr>
                <w:rFonts w:ascii="宋体" w:hAnsi="宋体" w:cs="Courier New"/>
                <w:bCs/>
                <w:color w:val="auto"/>
                <w:szCs w:val="21"/>
                <w:highlight w:val="none"/>
              </w:rPr>
            </w:pPr>
            <w:r>
              <w:rPr>
                <w:rFonts w:hint="eastAsia" w:ascii="宋体" w:hAnsi="宋体"/>
                <w:bCs/>
                <w:color w:val="auto"/>
                <w:kern w:val="0"/>
                <w:szCs w:val="21"/>
                <w:highlight w:val="none"/>
              </w:rPr>
              <w:t>报价得分=</w:t>
            </w:r>
            <w:r>
              <w:rPr>
                <w:rFonts w:ascii="宋体" w:hAnsi="宋体"/>
                <w:bCs/>
                <w:color w:val="auto"/>
                <w:kern w:val="0"/>
                <w:szCs w:val="21"/>
                <w:highlight w:val="none"/>
              </w:rPr>
              <w:t>(最低报价/投标报价)*最大分值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Merge w:val="restart"/>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2</w:t>
            </w:r>
          </w:p>
        </w:tc>
        <w:tc>
          <w:tcPr>
            <w:tcW w:w="1280" w:type="dxa"/>
            <w:vMerge w:val="restart"/>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服务水平</w:t>
            </w:r>
          </w:p>
        </w:tc>
        <w:tc>
          <w:tcPr>
            <w:tcW w:w="709" w:type="dxa"/>
            <w:vMerge w:val="restart"/>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55分</w:t>
            </w:r>
          </w:p>
        </w:tc>
        <w:tc>
          <w:tcPr>
            <w:tcW w:w="1245" w:type="dxa"/>
            <w:vAlign w:val="center"/>
          </w:tcPr>
          <w:p>
            <w:pPr>
              <w:jc w:val="center"/>
              <w:rPr>
                <w:rFonts w:ascii="宋体" w:hAnsi="宋体"/>
                <w:bCs/>
                <w:color w:val="auto"/>
                <w:szCs w:val="21"/>
                <w:highlight w:val="none"/>
              </w:rPr>
            </w:pPr>
            <w:r>
              <w:rPr>
                <w:rFonts w:hint="eastAsia" w:hAnsi="宋体" w:cs="宋体"/>
                <w:bCs/>
                <w:color w:val="auto"/>
                <w:highlight w:val="none"/>
              </w:rPr>
              <w:t>应急服务安排方案（满分20分）</w:t>
            </w:r>
          </w:p>
        </w:tc>
        <w:tc>
          <w:tcPr>
            <w:tcW w:w="5664" w:type="dxa"/>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一档（20分）：应急服务方案优于招标文件要求，准确、全面、科学，具有完善的应急预案，应急响应时间优于项目要求，能提供一台P</w:t>
            </w:r>
            <w:r>
              <w:rPr>
                <w:rFonts w:ascii="宋体" w:hAnsi="宋体" w:cs="宋体"/>
                <w:bCs/>
                <w:color w:val="auto"/>
                <w:szCs w:val="21"/>
                <w:highlight w:val="none"/>
              </w:rPr>
              <w:t>M2.5</w:t>
            </w:r>
            <w:r>
              <w:rPr>
                <w:rFonts w:hint="eastAsia" w:ascii="宋体" w:hAnsi="宋体" w:cs="宋体"/>
                <w:bCs/>
                <w:color w:val="auto"/>
                <w:szCs w:val="21"/>
                <w:highlight w:val="none"/>
              </w:rPr>
              <w:t>备用仪器用于应急使用（列明仪器品牌及编号）；</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w:t>
            </w:r>
            <w:r>
              <w:rPr>
                <w:rFonts w:ascii="宋体" w:hAnsi="宋体" w:cs="宋体"/>
                <w:bCs/>
                <w:color w:val="auto"/>
                <w:szCs w:val="21"/>
                <w:highlight w:val="none"/>
              </w:rPr>
              <w:t>10</w:t>
            </w:r>
            <w:r>
              <w:rPr>
                <w:rFonts w:hint="eastAsia" w:ascii="宋体" w:hAnsi="宋体" w:cs="宋体"/>
                <w:bCs/>
                <w:color w:val="auto"/>
                <w:szCs w:val="21"/>
                <w:highlight w:val="none"/>
              </w:rPr>
              <w:t>分）：应急服务方案满足招标文件要求，准确、全面、科学，具有相应的应急预案，应急响应时间满足项目要求；</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 xml:space="preserve"> 三档（</w:t>
            </w:r>
            <w:r>
              <w:rPr>
                <w:rFonts w:ascii="宋体" w:hAnsi="宋体" w:cs="宋体"/>
                <w:bCs/>
                <w:color w:val="auto"/>
                <w:szCs w:val="21"/>
                <w:highlight w:val="none"/>
              </w:rPr>
              <w:t>5</w:t>
            </w:r>
            <w:r>
              <w:rPr>
                <w:rFonts w:hint="eastAsia" w:ascii="宋体" w:hAnsi="宋体" w:cs="宋体"/>
                <w:bCs/>
                <w:color w:val="auto"/>
                <w:szCs w:val="21"/>
                <w:highlight w:val="none"/>
              </w:rPr>
              <w:t>分）：有应急服务方案，且基本满足招标文件要求；</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Merge w:val="continue"/>
            <w:vAlign w:val="center"/>
          </w:tcPr>
          <w:p>
            <w:pPr>
              <w:adjustRightInd w:val="0"/>
              <w:jc w:val="center"/>
              <w:textAlignment w:val="baseline"/>
              <w:rPr>
                <w:rFonts w:ascii="宋体" w:hAnsi="宋体"/>
                <w:b/>
                <w:color w:val="auto"/>
                <w:szCs w:val="21"/>
                <w:highlight w:val="none"/>
              </w:rPr>
            </w:pPr>
          </w:p>
        </w:tc>
        <w:tc>
          <w:tcPr>
            <w:tcW w:w="1280" w:type="dxa"/>
            <w:vMerge w:val="continue"/>
            <w:vAlign w:val="center"/>
          </w:tcPr>
          <w:p>
            <w:pPr>
              <w:adjustRightInd w:val="0"/>
              <w:jc w:val="center"/>
              <w:textAlignment w:val="baseline"/>
              <w:rPr>
                <w:rFonts w:ascii="宋体" w:hAnsi="宋体"/>
                <w:b/>
                <w:color w:val="auto"/>
                <w:szCs w:val="21"/>
                <w:highlight w:val="none"/>
              </w:rPr>
            </w:pPr>
          </w:p>
        </w:tc>
        <w:tc>
          <w:tcPr>
            <w:tcW w:w="709" w:type="dxa"/>
            <w:vMerge w:val="continue"/>
            <w:vAlign w:val="center"/>
          </w:tcPr>
          <w:p>
            <w:pPr>
              <w:adjustRightInd w:val="0"/>
              <w:jc w:val="center"/>
              <w:textAlignment w:val="baseline"/>
              <w:rPr>
                <w:rFonts w:ascii="宋体" w:hAnsi="宋体"/>
                <w:b/>
                <w:color w:val="auto"/>
                <w:szCs w:val="21"/>
                <w:highlight w:val="none"/>
              </w:rPr>
            </w:pPr>
          </w:p>
        </w:tc>
        <w:tc>
          <w:tcPr>
            <w:tcW w:w="1245" w:type="dxa"/>
            <w:vAlign w:val="center"/>
          </w:tcPr>
          <w:p>
            <w:pPr>
              <w:jc w:val="center"/>
              <w:rPr>
                <w:rFonts w:ascii="宋体" w:hAnsi="宋体"/>
                <w:bCs/>
                <w:color w:val="auto"/>
                <w:szCs w:val="21"/>
                <w:highlight w:val="none"/>
              </w:rPr>
            </w:pPr>
            <w:r>
              <w:rPr>
                <w:rFonts w:hint="eastAsia" w:ascii="宋体" w:hAnsi="宋体" w:cs="宋体"/>
                <w:bCs/>
                <w:color w:val="auto"/>
                <w:szCs w:val="21"/>
                <w:highlight w:val="none"/>
              </w:rPr>
              <w:t>工作质量、进度保障措施 （满分15分）</w:t>
            </w:r>
          </w:p>
        </w:tc>
        <w:tc>
          <w:tcPr>
            <w:tcW w:w="5664" w:type="dxa"/>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一档（15分）：质量控制、进度保证措施比较详细、全面，切实可行，人员及设备配置充足，满足采购需求，任务分配及实施规划科学合理，具有良好的组织架构、管理措施及组织保障计划的。</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二档（10分）：质量管控、进度保证措施详细，方案中人员结构、设备配置、任务分配、实施规划比较合理，有一定的管理措施。</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三档（5分）：服务质量保证措施及实施方案比较简单，方案中人员结构、任务分配、实施规划等一般，基本能保证项目如期完成。</w:t>
            </w:r>
          </w:p>
          <w:p>
            <w:pPr>
              <w:jc w:val="left"/>
              <w:rPr>
                <w:rFonts w:ascii="宋体" w:hAnsi="宋体" w:cs="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Merge w:val="continue"/>
            <w:vAlign w:val="center"/>
          </w:tcPr>
          <w:p>
            <w:pPr>
              <w:adjustRightInd w:val="0"/>
              <w:jc w:val="center"/>
              <w:textAlignment w:val="baseline"/>
              <w:rPr>
                <w:rFonts w:ascii="宋体" w:hAnsi="宋体"/>
                <w:b/>
                <w:color w:val="auto"/>
                <w:szCs w:val="21"/>
                <w:highlight w:val="none"/>
              </w:rPr>
            </w:pPr>
          </w:p>
        </w:tc>
        <w:tc>
          <w:tcPr>
            <w:tcW w:w="1280" w:type="dxa"/>
            <w:vMerge w:val="continue"/>
            <w:vAlign w:val="center"/>
          </w:tcPr>
          <w:p>
            <w:pPr>
              <w:adjustRightInd w:val="0"/>
              <w:jc w:val="center"/>
              <w:textAlignment w:val="baseline"/>
              <w:rPr>
                <w:rFonts w:ascii="宋体" w:hAnsi="宋体"/>
                <w:b/>
                <w:color w:val="auto"/>
                <w:szCs w:val="21"/>
                <w:highlight w:val="none"/>
              </w:rPr>
            </w:pPr>
          </w:p>
        </w:tc>
        <w:tc>
          <w:tcPr>
            <w:tcW w:w="709" w:type="dxa"/>
            <w:vMerge w:val="continue"/>
            <w:vAlign w:val="center"/>
          </w:tcPr>
          <w:p>
            <w:pPr>
              <w:adjustRightInd w:val="0"/>
              <w:jc w:val="center"/>
              <w:textAlignment w:val="baseline"/>
              <w:rPr>
                <w:rFonts w:ascii="宋体" w:hAnsi="宋体"/>
                <w:b/>
                <w:color w:val="auto"/>
                <w:szCs w:val="21"/>
                <w:highlight w:val="none"/>
              </w:rPr>
            </w:pPr>
          </w:p>
        </w:tc>
        <w:tc>
          <w:tcPr>
            <w:tcW w:w="1245" w:type="dxa"/>
            <w:vAlign w:val="center"/>
          </w:tcPr>
          <w:p>
            <w:pPr>
              <w:jc w:val="center"/>
              <w:rPr>
                <w:rFonts w:ascii="宋体" w:hAnsi="宋体" w:cs="宋体"/>
                <w:bCs/>
                <w:color w:val="auto"/>
                <w:szCs w:val="21"/>
                <w:highlight w:val="none"/>
              </w:rPr>
            </w:pPr>
            <w:r>
              <w:rPr>
                <w:rFonts w:hint="eastAsia" w:ascii="宋体" w:hAnsi="宋体" w:cs="宋体"/>
                <w:bCs/>
                <w:color w:val="auto"/>
                <w:szCs w:val="21"/>
                <w:highlight w:val="none"/>
              </w:rPr>
              <w:t>运维工作方案分（满分20分）</w:t>
            </w:r>
          </w:p>
        </w:tc>
        <w:tc>
          <w:tcPr>
            <w:tcW w:w="5664" w:type="dxa"/>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一档（20分）：总体运维工作方案完整详细，可行性、对项目总体情况介绍清楚，分析透彻、全面、科学合理，符合需求实际情况，制定目标、指标、任务、措施等各方面</w:t>
            </w:r>
            <w:r>
              <w:rPr>
                <w:rFonts w:hint="eastAsia" w:ascii="宋体" w:hAnsi="宋体"/>
                <w:bCs/>
                <w:color w:val="auto"/>
                <w:szCs w:val="21"/>
                <w:highlight w:val="none"/>
              </w:rPr>
              <w:t>具有较强和操作性与可达性，</w:t>
            </w:r>
            <w:r>
              <w:rPr>
                <w:rFonts w:hint="eastAsia" w:hAnsi="宋体" w:cs="宋体"/>
                <w:bCs/>
                <w:color w:val="auto"/>
                <w:highlight w:val="none"/>
              </w:rPr>
              <w:t>有同类设备运维经验，并提供相同类型设备运维3个或以上证明</w:t>
            </w:r>
            <w:r>
              <w:rPr>
                <w:rFonts w:hint="eastAsia" w:ascii="宋体" w:hAnsi="宋体" w:cs="宋体"/>
                <w:bCs/>
                <w:color w:val="auto"/>
                <w:szCs w:val="21"/>
                <w:highlight w:val="none"/>
              </w:rPr>
              <w:t xml:space="preserve">； </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二档（10分）：总体工作方案思路清晰、内容基本完整，分析较透彻、合理，制定目标、指标、任务、措施等</w:t>
            </w:r>
            <w:r>
              <w:rPr>
                <w:rFonts w:hint="eastAsia" w:ascii="宋体" w:hAnsi="宋体"/>
                <w:bCs/>
                <w:color w:val="auto"/>
                <w:szCs w:val="21"/>
                <w:highlight w:val="none"/>
              </w:rPr>
              <w:t>基本可行，</w:t>
            </w:r>
            <w:r>
              <w:rPr>
                <w:rFonts w:hint="eastAsia" w:hAnsi="宋体" w:cs="宋体"/>
                <w:bCs/>
                <w:color w:val="auto"/>
                <w:highlight w:val="none"/>
              </w:rPr>
              <w:t>有同类设备运维经验，并提供相同类型设备运维1个或以上证明</w:t>
            </w:r>
            <w:r>
              <w:rPr>
                <w:rFonts w:hint="eastAsia" w:ascii="宋体" w:hAnsi="宋体" w:cs="宋体"/>
                <w:bCs/>
                <w:color w:val="auto"/>
                <w:szCs w:val="21"/>
                <w:highlight w:val="none"/>
              </w:rPr>
              <w:t>；</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 xml:space="preserve">三档（5分）：总体工作方案和项目大纲不全面，项目介绍不清楚，内容分析不透彻、不合理，思路不清晰，基本满足采购需求。 </w:t>
            </w:r>
          </w:p>
          <w:p>
            <w:pPr>
              <w:jc w:val="left"/>
              <w:rPr>
                <w:rFonts w:ascii="宋体" w:hAnsi="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30" w:type="dxa"/>
            <w:vAlign w:val="center"/>
          </w:tcPr>
          <w:p>
            <w:pPr>
              <w:adjustRightInd w:val="0"/>
              <w:jc w:val="center"/>
              <w:textAlignment w:val="baseline"/>
              <w:rPr>
                <w:rFonts w:ascii="宋体" w:hAnsi="宋体"/>
                <w:b/>
                <w:color w:val="auto"/>
                <w:szCs w:val="21"/>
                <w:highlight w:val="none"/>
              </w:rPr>
            </w:pPr>
            <w:r>
              <w:rPr>
                <w:rFonts w:ascii="宋体" w:hAnsi="宋体"/>
                <w:b/>
                <w:color w:val="auto"/>
                <w:szCs w:val="21"/>
                <w:highlight w:val="none"/>
              </w:rPr>
              <w:t>3</w:t>
            </w:r>
          </w:p>
        </w:tc>
        <w:tc>
          <w:tcPr>
            <w:tcW w:w="128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后续服务</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12分</w:t>
            </w:r>
          </w:p>
        </w:tc>
        <w:tc>
          <w:tcPr>
            <w:tcW w:w="6909" w:type="dxa"/>
            <w:gridSpan w:val="2"/>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一档（12分）：后续服务方案及承诺的服务标准、响应时间、人员调配、后续服务措施、技术支持等完全满足采购需求，承诺详细、科学合理具有指导性的。</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二档（8分）：后续服务方案及承诺的服务标准、响应时间、人员调配、后续服务、技术支持等满足采购需求，承诺详细的。</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三档（4分）：后续服务方案及承诺的服务标准、响应时间、人员调配、后续服务、技术支持等基本满足采购需求，指导性不足。</w:t>
            </w:r>
          </w:p>
          <w:p>
            <w:pPr>
              <w:jc w:val="left"/>
              <w:rPr>
                <w:rFonts w:ascii="宋体" w:hAnsi="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adjustRightInd w:val="0"/>
              <w:jc w:val="center"/>
              <w:textAlignment w:val="baseline"/>
              <w:rPr>
                <w:rFonts w:ascii="宋体" w:hAnsi="宋体"/>
                <w:b/>
                <w:color w:val="auto"/>
                <w:szCs w:val="21"/>
                <w:highlight w:val="none"/>
              </w:rPr>
            </w:pPr>
            <w:r>
              <w:rPr>
                <w:rFonts w:ascii="宋体" w:hAnsi="宋体"/>
                <w:b/>
                <w:color w:val="auto"/>
                <w:szCs w:val="21"/>
                <w:highlight w:val="none"/>
              </w:rPr>
              <w:t>4</w:t>
            </w:r>
          </w:p>
        </w:tc>
        <w:tc>
          <w:tcPr>
            <w:tcW w:w="128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履约能力</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13分</w:t>
            </w:r>
          </w:p>
        </w:tc>
        <w:tc>
          <w:tcPr>
            <w:tcW w:w="6909" w:type="dxa"/>
            <w:gridSpan w:val="2"/>
            <w:vAlign w:val="center"/>
          </w:tcPr>
          <w:p>
            <w:pPr>
              <w:snapToGrid w:val="0"/>
              <w:outlineLvl w:val="1"/>
              <w:rPr>
                <w:rFonts w:ascii="宋体" w:hAnsi="宋体" w:cs="宋体"/>
                <w:bCs/>
                <w:color w:val="auto"/>
                <w:kern w:val="0"/>
                <w:sz w:val="20"/>
                <w:szCs w:val="21"/>
                <w:highlight w:val="none"/>
              </w:rPr>
            </w:pPr>
            <w:r>
              <w:rPr>
                <w:rFonts w:hint="eastAsia" w:ascii="宋体" w:hAnsi="宋体" w:cs="宋体"/>
                <w:bCs/>
                <w:color w:val="auto"/>
                <w:kern w:val="0"/>
                <w:sz w:val="20"/>
                <w:szCs w:val="21"/>
                <w:highlight w:val="none"/>
              </w:rPr>
              <w:t>（1）投标人具有经国家环境监测总站颁发或相关环保机构颁发全国通用的环境空气监测人员技术考核或培训合格证书每份证书得1分，满分</w:t>
            </w:r>
            <w:r>
              <w:rPr>
                <w:rFonts w:ascii="宋体" w:hAnsi="宋体" w:cs="宋体"/>
                <w:bCs/>
                <w:color w:val="auto"/>
                <w:kern w:val="0"/>
                <w:sz w:val="20"/>
                <w:szCs w:val="21"/>
                <w:highlight w:val="none"/>
              </w:rPr>
              <w:t>4</w:t>
            </w:r>
            <w:r>
              <w:rPr>
                <w:rFonts w:hint="eastAsia" w:ascii="宋体" w:hAnsi="宋体" w:cs="宋体"/>
                <w:bCs/>
                <w:color w:val="auto"/>
                <w:kern w:val="0"/>
                <w:sz w:val="20"/>
                <w:szCs w:val="21"/>
                <w:highlight w:val="none"/>
              </w:rPr>
              <w:t>分。（须提供证件全部页面复印件）</w:t>
            </w:r>
          </w:p>
          <w:p>
            <w:pPr>
              <w:jc w:val="left"/>
              <w:rPr>
                <w:bCs/>
                <w:color w:val="auto"/>
                <w:szCs w:val="20"/>
                <w:highlight w:val="none"/>
              </w:rPr>
            </w:pPr>
            <w:r>
              <w:rPr>
                <w:rFonts w:hint="eastAsia"/>
                <w:bCs/>
                <w:color w:val="auto"/>
                <w:szCs w:val="20"/>
                <w:highlight w:val="none"/>
              </w:rPr>
              <w:t>（2）</w:t>
            </w:r>
            <w:r>
              <w:rPr>
                <w:bCs/>
                <w:color w:val="auto"/>
                <w:szCs w:val="20"/>
                <w:highlight w:val="none"/>
              </w:rPr>
              <w:t>投标人 2019 年 1 月 1 日至今具有与本次采购内容相类似的业绩，每项业绩得3分，满分 9分。</w:t>
            </w:r>
          </w:p>
          <w:p>
            <w:pPr>
              <w:jc w:val="left"/>
              <w:rPr>
                <w:bCs/>
                <w:color w:val="auto"/>
                <w:szCs w:val="20"/>
                <w:highlight w:val="none"/>
              </w:rPr>
            </w:pPr>
            <w:r>
              <w:rPr>
                <w:bCs/>
                <w:color w:val="auto"/>
                <w:szCs w:val="20"/>
                <w:highlight w:val="none"/>
              </w:rPr>
              <w:t>投标人提供以下证明材料，否则不计分。证明材料包括但不限于以下文件（提供复印件，原件备查）：</w:t>
            </w:r>
          </w:p>
          <w:p>
            <w:pPr>
              <w:jc w:val="left"/>
              <w:rPr>
                <w:bCs/>
                <w:color w:val="auto"/>
                <w:szCs w:val="20"/>
                <w:highlight w:val="none"/>
              </w:rPr>
            </w:pPr>
            <w:r>
              <w:rPr>
                <w:bCs/>
                <w:color w:val="auto"/>
                <w:szCs w:val="20"/>
                <w:highlight w:val="none"/>
              </w:rPr>
              <w:t>a. 合同，必须包含金额、签订合同双方的名称及印章、合同标的等。</w:t>
            </w:r>
          </w:p>
          <w:p>
            <w:pPr>
              <w:jc w:val="left"/>
              <w:rPr>
                <w:rFonts w:hAnsi="宋体"/>
                <w:bCs/>
                <w:color w:val="auto"/>
                <w:highlight w:val="none"/>
              </w:rPr>
            </w:pPr>
            <w:r>
              <w:rPr>
                <w:bCs/>
                <w:color w:val="auto"/>
                <w:szCs w:val="20"/>
                <w:highlight w:val="none"/>
              </w:rPr>
              <w:t>b. 验收材料及相关业主意见等。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28" w:type="dxa"/>
            <w:gridSpan w:val="5"/>
            <w:vAlign w:val="center"/>
          </w:tcPr>
          <w:p>
            <w:pPr>
              <w:spacing w:line="360" w:lineRule="auto"/>
              <w:rPr>
                <w:rFonts w:ascii="宋体" w:hAnsi="宋体" w:cs="Courier New"/>
                <w:bCs/>
                <w:color w:val="auto"/>
                <w:szCs w:val="21"/>
                <w:highlight w:val="none"/>
              </w:rPr>
            </w:pPr>
            <w:r>
              <w:rPr>
                <w:rFonts w:hint="eastAsia" w:ascii="宋体" w:hAnsi="宋体" w:cs="Courier New"/>
                <w:b/>
                <w:bCs/>
                <w:color w:val="auto"/>
                <w:szCs w:val="21"/>
                <w:highlight w:val="none"/>
              </w:rPr>
              <w:t>总得分=1+2+3+4。</w:t>
            </w:r>
          </w:p>
        </w:tc>
      </w:tr>
    </w:tbl>
    <w:p>
      <w:pPr>
        <w:spacing w:after="120"/>
        <w:rPr>
          <w:rFonts w:ascii="宋体" w:hAnsi="宋体"/>
          <w:b/>
          <w:color w:val="auto"/>
          <w:sz w:val="32"/>
          <w:szCs w:val="32"/>
          <w:highlight w:val="none"/>
        </w:rPr>
      </w:pPr>
    </w:p>
    <w:p>
      <w:pPr>
        <w:tabs>
          <w:tab w:val="center" w:pos="4153"/>
          <w:tab w:val="right" w:pos="8306"/>
        </w:tabs>
        <w:snapToGrid w:val="0"/>
        <w:jc w:val="left"/>
        <w:rPr>
          <w:color w:val="auto"/>
          <w:sz w:val="18"/>
          <w:szCs w:val="18"/>
          <w:highlight w:val="none"/>
        </w:rPr>
      </w:pPr>
      <w:r>
        <w:rPr>
          <w:color w:val="auto"/>
          <w:sz w:val="18"/>
          <w:szCs w:val="18"/>
          <w:highlight w:val="none"/>
        </w:rPr>
        <w:br w:type="page"/>
      </w:r>
    </w:p>
    <w:p>
      <w:pPr>
        <w:spacing w:after="120"/>
        <w:rPr>
          <w:color w:val="auto"/>
          <w:highlight w:val="none"/>
        </w:rPr>
      </w:pPr>
      <w:r>
        <w:rPr>
          <w:rFonts w:hint="eastAsia" w:ascii="宋体" w:hAnsi="宋体"/>
          <w:b/>
          <w:color w:val="auto"/>
          <w:sz w:val="32"/>
          <w:szCs w:val="32"/>
          <w:highlight w:val="none"/>
        </w:rPr>
        <w:t>包2：</w:t>
      </w:r>
    </w:p>
    <w:tbl>
      <w:tblPr>
        <w:tblStyle w:val="18"/>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80"/>
        <w:gridCol w:w="709"/>
        <w:gridCol w:w="1559"/>
        <w:gridCol w:w="5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序号</w:t>
            </w:r>
          </w:p>
        </w:tc>
        <w:tc>
          <w:tcPr>
            <w:tcW w:w="1280" w:type="dxa"/>
            <w:vAlign w:val="center"/>
          </w:tcPr>
          <w:p>
            <w:pPr>
              <w:adjustRightInd w:val="0"/>
              <w:jc w:val="center"/>
              <w:textAlignment w:val="baseline"/>
              <w:rPr>
                <w:rFonts w:ascii="宋体" w:hAnsi="宋体"/>
                <w:color w:val="auto"/>
                <w:szCs w:val="21"/>
                <w:highlight w:val="none"/>
              </w:rPr>
            </w:pPr>
            <w:r>
              <w:rPr>
                <w:rFonts w:hint="eastAsia" w:ascii="宋体" w:hAnsi="宋体"/>
                <w:b/>
                <w:color w:val="auto"/>
                <w:szCs w:val="21"/>
                <w:highlight w:val="none"/>
              </w:rPr>
              <w:t>评审因素</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分值</w:t>
            </w:r>
          </w:p>
        </w:tc>
        <w:tc>
          <w:tcPr>
            <w:tcW w:w="6909" w:type="dxa"/>
            <w:gridSpan w:val="2"/>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1</w:t>
            </w:r>
          </w:p>
        </w:tc>
        <w:tc>
          <w:tcPr>
            <w:tcW w:w="128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报价</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20分</w:t>
            </w:r>
          </w:p>
        </w:tc>
        <w:tc>
          <w:tcPr>
            <w:tcW w:w="6909" w:type="dxa"/>
            <w:gridSpan w:val="2"/>
            <w:vAlign w:val="center"/>
          </w:tcPr>
          <w:p>
            <w:pPr>
              <w:rPr>
                <w:rFonts w:ascii="宋体" w:hAnsi="宋体"/>
                <w:bCs/>
                <w:color w:val="auto"/>
                <w:szCs w:val="21"/>
                <w:highlight w:val="none"/>
              </w:rPr>
            </w:pPr>
            <w:r>
              <w:rPr>
                <w:rFonts w:hint="eastAsia" w:ascii="宋体" w:hAnsi="宋体"/>
                <w:bCs/>
                <w:color w:val="auto"/>
                <w:szCs w:val="21"/>
                <w:highlight w:val="none"/>
              </w:rPr>
              <w:t>（1）评标价＝最终报价。</w:t>
            </w:r>
          </w:p>
          <w:p>
            <w:pPr>
              <w:rPr>
                <w:rFonts w:ascii="宋体" w:hAnsi="宋体"/>
                <w:bCs/>
                <w:color w:val="auto"/>
                <w:szCs w:val="21"/>
                <w:highlight w:val="none"/>
              </w:rPr>
            </w:pPr>
            <w:r>
              <w:rPr>
                <w:rFonts w:hint="eastAsia" w:ascii="宋体" w:hAnsi="宋体"/>
                <w:bCs/>
                <w:color w:val="auto"/>
                <w:szCs w:val="21"/>
                <w:highlight w:val="none"/>
              </w:rPr>
              <w:t>（2）以满足采购文件要求且评标价最低的评标价为评标基准价。</w:t>
            </w:r>
          </w:p>
          <w:p>
            <w:pPr>
              <w:rPr>
                <w:color w:val="auto"/>
                <w:szCs w:val="21"/>
                <w:highlight w:val="none"/>
              </w:rPr>
            </w:pPr>
            <w:r>
              <w:rPr>
                <w:rFonts w:hint="eastAsia" w:ascii="宋体" w:hAnsi="宋体"/>
                <w:bCs/>
                <w:color w:val="auto"/>
                <w:szCs w:val="21"/>
                <w:highlight w:val="none"/>
              </w:rPr>
              <w:t>（3）价格分计算公式：</w:t>
            </w:r>
          </w:p>
          <w:p>
            <w:pPr>
              <w:rPr>
                <w:rFonts w:ascii="宋体" w:hAnsi="宋体" w:cs="Courier New"/>
                <w:bCs/>
                <w:color w:val="auto"/>
                <w:szCs w:val="21"/>
                <w:highlight w:val="none"/>
              </w:rPr>
            </w:pPr>
            <w:r>
              <w:rPr>
                <w:rFonts w:hint="eastAsia" w:ascii="宋体" w:hAnsi="宋体"/>
                <w:bCs/>
                <w:color w:val="auto"/>
                <w:kern w:val="0"/>
                <w:szCs w:val="21"/>
                <w:highlight w:val="none"/>
              </w:rPr>
              <w:t>报价得分=</w:t>
            </w:r>
            <w:r>
              <w:rPr>
                <w:rFonts w:ascii="宋体" w:hAnsi="宋体"/>
                <w:bCs/>
                <w:color w:val="auto"/>
                <w:kern w:val="0"/>
                <w:szCs w:val="21"/>
                <w:highlight w:val="none"/>
              </w:rPr>
              <w:t>(最低报价/投标报价)*最大分值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Merge w:val="restart"/>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2</w:t>
            </w:r>
          </w:p>
        </w:tc>
        <w:tc>
          <w:tcPr>
            <w:tcW w:w="1280" w:type="dxa"/>
            <w:vMerge w:val="restart"/>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服务水平</w:t>
            </w:r>
          </w:p>
        </w:tc>
        <w:tc>
          <w:tcPr>
            <w:tcW w:w="709" w:type="dxa"/>
            <w:vMerge w:val="restart"/>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55分</w:t>
            </w:r>
          </w:p>
        </w:tc>
        <w:tc>
          <w:tcPr>
            <w:tcW w:w="1559" w:type="dxa"/>
            <w:vAlign w:val="center"/>
          </w:tcPr>
          <w:p>
            <w:pPr>
              <w:jc w:val="center"/>
              <w:rPr>
                <w:rFonts w:ascii="宋体" w:hAnsi="宋体"/>
                <w:bCs/>
                <w:color w:val="auto"/>
                <w:szCs w:val="21"/>
                <w:highlight w:val="none"/>
              </w:rPr>
            </w:pPr>
            <w:r>
              <w:rPr>
                <w:rFonts w:hint="eastAsia" w:hAnsi="宋体" w:cs="宋体"/>
                <w:bCs/>
                <w:color w:val="auto"/>
                <w:highlight w:val="none"/>
              </w:rPr>
              <w:t>应急服务安排方案（满分20分）</w:t>
            </w:r>
          </w:p>
        </w:tc>
        <w:tc>
          <w:tcPr>
            <w:tcW w:w="5350" w:type="dxa"/>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一档（20分）：应急服务方案优于招标文件要求，准确、全面、科学，具有完善的应急预案，应急响应时间优于项目要求，能提供一台P</w:t>
            </w:r>
            <w:r>
              <w:rPr>
                <w:rFonts w:ascii="宋体" w:hAnsi="宋体" w:cs="宋体"/>
                <w:bCs/>
                <w:color w:val="auto"/>
                <w:szCs w:val="21"/>
                <w:highlight w:val="none"/>
              </w:rPr>
              <w:t>M2.5</w:t>
            </w:r>
            <w:r>
              <w:rPr>
                <w:rFonts w:hint="eastAsia" w:ascii="宋体" w:hAnsi="宋体" w:cs="宋体"/>
                <w:bCs/>
                <w:color w:val="auto"/>
                <w:szCs w:val="21"/>
                <w:highlight w:val="none"/>
              </w:rPr>
              <w:t>备用仪器用于应急使用（列明仪器品牌及编号）；</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w:t>
            </w:r>
            <w:r>
              <w:rPr>
                <w:rFonts w:ascii="宋体" w:hAnsi="宋体" w:cs="宋体"/>
                <w:bCs/>
                <w:color w:val="auto"/>
                <w:szCs w:val="21"/>
                <w:highlight w:val="none"/>
              </w:rPr>
              <w:t>10</w:t>
            </w:r>
            <w:r>
              <w:rPr>
                <w:rFonts w:hint="eastAsia" w:ascii="宋体" w:hAnsi="宋体" w:cs="宋体"/>
                <w:bCs/>
                <w:color w:val="auto"/>
                <w:szCs w:val="21"/>
                <w:highlight w:val="none"/>
              </w:rPr>
              <w:t>分）：应急服务方案满足招标文件要求，准确、全面、科学，具有相应的应急预案，应急响应时间满足项目要求；</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 xml:space="preserve"> 三档（</w:t>
            </w:r>
            <w:r>
              <w:rPr>
                <w:rFonts w:ascii="宋体" w:hAnsi="宋体" w:cs="宋体"/>
                <w:bCs/>
                <w:color w:val="auto"/>
                <w:szCs w:val="21"/>
                <w:highlight w:val="none"/>
              </w:rPr>
              <w:t>5</w:t>
            </w:r>
            <w:r>
              <w:rPr>
                <w:rFonts w:hint="eastAsia" w:ascii="宋体" w:hAnsi="宋体" w:cs="宋体"/>
                <w:bCs/>
                <w:color w:val="auto"/>
                <w:szCs w:val="21"/>
                <w:highlight w:val="none"/>
              </w:rPr>
              <w:t>分）：有应急服务方案，且基本满足招标文件要求；</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30" w:type="dxa"/>
            <w:vMerge w:val="continue"/>
            <w:vAlign w:val="center"/>
          </w:tcPr>
          <w:p>
            <w:pPr>
              <w:adjustRightInd w:val="0"/>
              <w:jc w:val="center"/>
              <w:textAlignment w:val="baseline"/>
              <w:rPr>
                <w:rFonts w:ascii="宋体" w:hAnsi="宋体"/>
                <w:b/>
                <w:color w:val="auto"/>
                <w:szCs w:val="21"/>
                <w:highlight w:val="none"/>
              </w:rPr>
            </w:pPr>
          </w:p>
        </w:tc>
        <w:tc>
          <w:tcPr>
            <w:tcW w:w="1280" w:type="dxa"/>
            <w:vMerge w:val="continue"/>
            <w:vAlign w:val="center"/>
          </w:tcPr>
          <w:p>
            <w:pPr>
              <w:adjustRightInd w:val="0"/>
              <w:jc w:val="center"/>
              <w:textAlignment w:val="baseline"/>
              <w:rPr>
                <w:rFonts w:ascii="宋体" w:hAnsi="宋体"/>
                <w:b/>
                <w:color w:val="auto"/>
                <w:szCs w:val="21"/>
                <w:highlight w:val="none"/>
              </w:rPr>
            </w:pPr>
          </w:p>
        </w:tc>
        <w:tc>
          <w:tcPr>
            <w:tcW w:w="709" w:type="dxa"/>
            <w:vMerge w:val="continue"/>
            <w:vAlign w:val="center"/>
          </w:tcPr>
          <w:p>
            <w:pPr>
              <w:adjustRightInd w:val="0"/>
              <w:jc w:val="center"/>
              <w:textAlignment w:val="baseline"/>
              <w:rPr>
                <w:rFonts w:ascii="宋体" w:hAnsi="宋体"/>
                <w:b/>
                <w:color w:val="auto"/>
                <w:szCs w:val="21"/>
                <w:highlight w:val="none"/>
              </w:rPr>
            </w:pPr>
          </w:p>
        </w:tc>
        <w:tc>
          <w:tcPr>
            <w:tcW w:w="1559" w:type="dxa"/>
            <w:vAlign w:val="center"/>
          </w:tcPr>
          <w:p>
            <w:pPr>
              <w:adjustRightInd w:val="0"/>
              <w:snapToGrid w:val="0"/>
              <w:jc w:val="center"/>
              <w:textAlignment w:val="baseline"/>
              <w:rPr>
                <w:rFonts w:ascii="宋体" w:hAnsi="宋体" w:cs="宋体"/>
                <w:bCs/>
                <w:color w:val="auto"/>
                <w:szCs w:val="21"/>
                <w:highlight w:val="none"/>
              </w:rPr>
            </w:pPr>
            <w:r>
              <w:rPr>
                <w:rFonts w:hint="eastAsia" w:ascii="宋体" w:hAnsi="宋体" w:cs="宋体"/>
                <w:bCs/>
                <w:color w:val="auto"/>
                <w:szCs w:val="21"/>
                <w:highlight w:val="none"/>
              </w:rPr>
              <w:t>工作质量、进度保障措施 （满分15分）</w:t>
            </w:r>
          </w:p>
        </w:tc>
        <w:tc>
          <w:tcPr>
            <w:tcW w:w="5350" w:type="dxa"/>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一档（15分）：质量控制、进度保证措施比较详细、全面，切实可行，人员及设备配置充足，满足采购需求，任务分配及实施规划科学合理，具有良好的组织架构、管理措施及组织保障计划的。</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二档（10分）：质量管控、进度保证措施详细，方案中人员结构、设备配置、任务分配、实施规划比较合理，有一定的管理措施。</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三档（5分）：服务质量保证措施及实施方案比较简单，方案中人员结构、任务分配、实施规划等一般，基本能保证项目如期完成。</w:t>
            </w:r>
          </w:p>
          <w:p>
            <w:pPr>
              <w:jc w:val="left"/>
              <w:rPr>
                <w:rFonts w:ascii="宋体" w:hAnsi="宋体" w:cs="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Merge w:val="continue"/>
            <w:vAlign w:val="center"/>
          </w:tcPr>
          <w:p>
            <w:pPr>
              <w:adjustRightInd w:val="0"/>
              <w:jc w:val="center"/>
              <w:textAlignment w:val="baseline"/>
              <w:rPr>
                <w:rFonts w:ascii="宋体" w:hAnsi="宋体"/>
                <w:b/>
                <w:color w:val="auto"/>
                <w:szCs w:val="21"/>
                <w:highlight w:val="none"/>
              </w:rPr>
            </w:pPr>
          </w:p>
        </w:tc>
        <w:tc>
          <w:tcPr>
            <w:tcW w:w="1280" w:type="dxa"/>
            <w:vMerge w:val="continue"/>
            <w:vAlign w:val="center"/>
          </w:tcPr>
          <w:p>
            <w:pPr>
              <w:adjustRightInd w:val="0"/>
              <w:jc w:val="center"/>
              <w:textAlignment w:val="baseline"/>
              <w:rPr>
                <w:rFonts w:ascii="宋体" w:hAnsi="宋体"/>
                <w:b/>
                <w:color w:val="auto"/>
                <w:szCs w:val="21"/>
                <w:highlight w:val="none"/>
              </w:rPr>
            </w:pPr>
          </w:p>
        </w:tc>
        <w:tc>
          <w:tcPr>
            <w:tcW w:w="709" w:type="dxa"/>
            <w:vMerge w:val="continue"/>
            <w:vAlign w:val="center"/>
          </w:tcPr>
          <w:p>
            <w:pPr>
              <w:adjustRightInd w:val="0"/>
              <w:jc w:val="center"/>
              <w:textAlignment w:val="baseline"/>
              <w:rPr>
                <w:rFonts w:ascii="宋体" w:hAnsi="宋体"/>
                <w:b/>
                <w:color w:val="auto"/>
                <w:szCs w:val="21"/>
                <w:highlight w:val="none"/>
              </w:rPr>
            </w:pPr>
          </w:p>
        </w:tc>
        <w:tc>
          <w:tcPr>
            <w:tcW w:w="1559" w:type="dxa"/>
            <w:vAlign w:val="center"/>
          </w:tcPr>
          <w:p>
            <w:pPr>
              <w:adjustRightInd w:val="0"/>
              <w:snapToGrid w:val="0"/>
              <w:jc w:val="center"/>
              <w:textAlignment w:val="baseline"/>
              <w:rPr>
                <w:rFonts w:ascii="宋体" w:hAnsi="宋体" w:cs="宋体"/>
                <w:bCs/>
                <w:color w:val="auto"/>
                <w:szCs w:val="21"/>
                <w:highlight w:val="none"/>
              </w:rPr>
            </w:pPr>
            <w:r>
              <w:rPr>
                <w:rFonts w:hint="eastAsia" w:ascii="宋体" w:hAnsi="宋体" w:cs="宋体"/>
                <w:bCs/>
                <w:color w:val="auto"/>
                <w:szCs w:val="21"/>
                <w:highlight w:val="none"/>
              </w:rPr>
              <w:t>项目整体实施方案分（满分</w:t>
            </w:r>
            <w:r>
              <w:rPr>
                <w:rFonts w:ascii="宋体" w:hAnsi="宋体" w:cs="宋体"/>
                <w:bCs/>
                <w:color w:val="auto"/>
                <w:szCs w:val="21"/>
                <w:highlight w:val="none"/>
              </w:rPr>
              <w:t>2</w:t>
            </w:r>
            <w:r>
              <w:rPr>
                <w:rFonts w:hint="eastAsia" w:ascii="宋体" w:hAnsi="宋体" w:cs="宋体"/>
                <w:bCs/>
                <w:color w:val="auto"/>
                <w:szCs w:val="21"/>
                <w:highlight w:val="none"/>
              </w:rPr>
              <w:t>0分）</w:t>
            </w:r>
          </w:p>
        </w:tc>
        <w:tc>
          <w:tcPr>
            <w:tcW w:w="5350" w:type="dxa"/>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w:t>
            </w:r>
            <w:r>
              <w:rPr>
                <w:rFonts w:ascii="宋体" w:hAnsi="宋体" w:cs="宋体"/>
                <w:bCs/>
                <w:color w:val="auto"/>
                <w:szCs w:val="21"/>
                <w:highlight w:val="none"/>
              </w:rPr>
              <w:t>2</w:t>
            </w:r>
            <w:r>
              <w:rPr>
                <w:rFonts w:hint="eastAsia" w:ascii="宋体" w:hAnsi="宋体" w:cs="宋体"/>
                <w:bCs/>
                <w:color w:val="auto"/>
                <w:szCs w:val="21"/>
                <w:highlight w:val="none"/>
              </w:rPr>
              <w:t>0分）：总体运维工作方案完整详细，可行性、对项目总体情况介绍清楚，分析透彻、全面、科学合理，符合需求实际情况，制定目标、指标、任务、措施等各方面</w:t>
            </w:r>
            <w:r>
              <w:rPr>
                <w:rFonts w:hint="eastAsia" w:ascii="宋体" w:hAnsi="宋体"/>
                <w:bCs/>
                <w:color w:val="auto"/>
                <w:szCs w:val="21"/>
                <w:highlight w:val="none"/>
              </w:rPr>
              <w:t>具有较强和操作性与可达性，</w:t>
            </w:r>
            <w:r>
              <w:rPr>
                <w:rFonts w:hint="eastAsia" w:hAnsi="宋体" w:cs="宋体"/>
                <w:bCs/>
                <w:color w:val="auto"/>
                <w:highlight w:val="none"/>
              </w:rPr>
              <w:t>有同类设备运维经验，并提供相同类型设备运维3个或以上证明</w:t>
            </w:r>
            <w:r>
              <w:rPr>
                <w:rFonts w:hint="eastAsia" w:ascii="宋体" w:hAnsi="宋体" w:cs="宋体"/>
                <w:bCs/>
                <w:color w:val="auto"/>
                <w:szCs w:val="21"/>
                <w:highlight w:val="none"/>
              </w:rPr>
              <w:t xml:space="preserve">； </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w:t>
            </w:r>
            <w:r>
              <w:rPr>
                <w:rFonts w:ascii="宋体" w:hAnsi="宋体" w:cs="宋体"/>
                <w:bCs/>
                <w:color w:val="auto"/>
                <w:szCs w:val="21"/>
                <w:highlight w:val="none"/>
              </w:rPr>
              <w:t>10</w:t>
            </w:r>
            <w:r>
              <w:rPr>
                <w:rFonts w:hint="eastAsia" w:ascii="宋体" w:hAnsi="宋体" w:cs="宋体"/>
                <w:bCs/>
                <w:color w:val="auto"/>
                <w:szCs w:val="21"/>
                <w:highlight w:val="none"/>
              </w:rPr>
              <w:t>分）：总体工作方案思路清晰、内容基本完整，分析较透彻、合理，制定目标、指标、任务、措施等</w:t>
            </w:r>
            <w:r>
              <w:rPr>
                <w:rFonts w:hint="eastAsia" w:ascii="宋体" w:hAnsi="宋体"/>
                <w:bCs/>
                <w:color w:val="auto"/>
                <w:szCs w:val="21"/>
                <w:highlight w:val="none"/>
              </w:rPr>
              <w:t>基本可行，</w:t>
            </w:r>
            <w:r>
              <w:rPr>
                <w:rFonts w:hint="eastAsia" w:hAnsi="宋体" w:cs="宋体"/>
                <w:bCs/>
                <w:color w:val="auto"/>
                <w:highlight w:val="none"/>
              </w:rPr>
              <w:t>有同类设备运维经验，并提供相同类型设备运维1个或以上证明</w:t>
            </w:r>
            <w:r>
              <w:rPr>
                <w:rFonts w:hint="eastAsia" w:ascii="宋体" w:hAnsi="宋体" w:cs="宋体"/>
                <w:bCs/>
                <w:color w:val="auto"/>
                <w:szCs w:val="21"/>
                <w:highlight w:val="none"/>
              </w:rPr>
              <w:t>；</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三档（</w:t>
            </w:r>
            <w:r>
              <w:rPr>
                <w:rFonts w:ascii="宋体" w:hAnsi="宋体" w:cs="宋体"/>
                <w:bCs/>
                <w:color w:val="auto"/>
                <w:szCs w:val="21"/>
                <w:highlight w:val="none"/>
              </w:rPr>
              <w:t>5</w:t>
            </w:r>
            <w:r>
              <w:rPr>
                <w:rFonts w:hint="eastAsia" w:ascii="宋体" w:hAnsi="宋体" w:cs="宋体"/>
                <w:bCs/>
                <w:color w:val="auto"/>
                <w:szCs w:val="21"/>
                <w:highlight w:val="none"/>
              </w:rPr>
              <w:t xml:space="preserve">分）：总体工作方案和项目大纲不全面，项目介绍不清楚，内容分析不透彻、不合理，思路不清晰，基本满足采购需求。 </w:t>
            </w:r>
          </w:p>
          <w:p>
            <w:pPr>
              <w:jc w:val="left"/>
              <w:rPr>
                <w:rFonts w:ascii="宋体" w:hAnsi="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auto"/>
                <w:szCs w:val="21"/>
                <w:highlight w:val="none"/>
              </w:rPr>
            </w:pPr>
            <w:r>
              <w:rPr>
                <w:rFonts w:ascii="宋体" w:hAnsi="宋体"/>
                <w:b/>
                <w:color w:val="auto"/>
                <w:szCs w:val="21"/>
                <w:highlight w:val="none"/>
              </w:rPr>
              <w:t>3</w:t>
            </w:r>
          </w:p>
        </w:tc>
        <w:tc>
          <w:tcPr>
            <w:tcW w:w="128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后续服务</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12分</w:t>
            </w:r>
          </w:p>
        </w:tc>
        <w:tc>
          <w:tcPr>
            <w:tcW w:w="6909" w:type="dxa"/>
            <w:gridSpan w:val="2"/>
            <w:vAlign w:val="center"/>
          </w:tcPr>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一档（12分）：后续服务方案及承诺的服务标准、响应时间、人员调配、后续服务措施、技术支持等完全满足采购需求，承诺详细、科学合理具有指导性的。</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二档（8分）：后续服务方案及承诺的服务标准、响应时间、人员调配、后续服务、技术支持等满足采购需求，承诺详细的。</w:t>
            </w:r>
          </w:p>
          <w:p>
            <w:pPr>
              <w:adjustRightInd w:val="0"/>
              <w:snapToGrid w:val="0"/>
              <w:jc w:val="left"/>
              <w:textAlignment w:val="baseline"/>
              <w:rPr>
                <w:rFonts w:ascii="宋体" w:hAnsi="宋体" w:cs="宋体"/>
                <w:bCs/>
                <w:color w:val="auto"/>
                <w:szCs w:val="21"/>
                <w:highlight w:val="none"/>
              </w:rPr>
            </w:pPr>
            <w:r>
              <w:rPr>
                <w:rFonts w:hint="eastAsia" w:ascii="宋体" w:hAnsi="宋体" w:cs="宋体"/>
                <w:bCs/>
                <w:color w:val="auto"/>
                <w:szCs w:val="21"/>
                <w:highlight w:val="none"/>
              </w:rPr>
              <w:t>三档（4分）：后续服务方案及承诺的服务标准、响应时间、人员调配、后续服务、技术支持等基本满足采购需求，指导性不足。</w:t>
            </w:r>
          </w:p>
          <w:p>
            <w:pPr>
              <w:jc w:val="left"/>
              <w:rPr>
                <w:rFonts w:ascii="宋体" w:hAnsi="宋体"/>
                <w:bCs/>
                <w:color w:val="auto"/>
                <w:szCs w:val="21"/>
                <w:highlight w:val="none"/>
              </w:rPr>
            </w:pPr>
            <w:r>
              <w:rPr>
                <w:rFonts w:hint="eastAsia" w:ascii="宋体" w:hAnsi="宋体" w:cs="宋体"/>
                <w:bCs/>
                <w:color w:val="auto"/>
                <w:szCs w:val="21"/>
                <w:highlight w:val="none"/>
              </w:rPr>
              <w:t>不提供方案或不满足以上评分项的不得分。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0" w:type="dxa"/>
            <w:vAlign w:val="center"/>
          </w:tcPr>
          <w:p>
            <w:pPr>
              <w:adjustRightInd w:val="0"/>
              <w:jc w:val="center"/>
              <w:textAlignment w:val="baseline"/>
              <w:rPr>
                <w:rFonts w:ascii="宋体" w:hAnsi="宋体"/>
                <w:b/>
                <w:color w:val="auto"/>
                <w:szCs w:val="21"/>
                <w:highlight w:val="none"/>
              </w:rPr>
            </w:pPr>
            <w:r>
              <w:rPr>
                <w:rFonts w:ascii="宋体" w:hAnsi="宋体"/>
                <w:b/>
                <w:color w:val="auto"/>
                <w:szCs w:val="21"/>
                <w:highlight w:val="none"/>
              </w:rPr>
              <w:t>4</w:t>
            </w:r>
          </w:p>
        </w:tc>
        <w:tc>
          <w:tcPr>
            <w:tcW w:w="1280"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履约能力</w:t>
            </w:r>
          </w:p>
        </w:tc>
        <w:tc>
          <w:tcPr>
            <w:tcW w:w="709" w:type="dxa"/>
            <w:vAlign w:val="center"/>
          </w:tcPr>
          <w:p>
            <w:pPr>
              <w:adjustRightInd w:val="0"/>
              <w:jc w:val="center"/>
              <w:textAlignment w:val="baseline"/>
              <w:rPr>
                <w:rFonts w:ascii="宋体" w:hAnsi="宋体"/>
                <w:b/>
                <w:color w:val="auto"/>
                <w:szCs w:val="21"/>
                <w:highlight w:val="none"/>
              </w:rPr>
            </w:pPr>
            <w:r>
              <w:rPr>
                <w:rFonts w:hint="eastAsia" w:ascii="宋体" w:hAnsi="宋体"/>
                <w:b/>
                <w:color w:val="auto"/>
                <w:szCs w:val="21"/>
                <w:highlight w:val="none"/>
              </w:rPr>
              <w:t>13分</w:t>
            </w:r>
          </w:p>
        </w:tc>
        <w:tc>
          <w:tcPr>
            <w:tcW w:w="6909" w:type="dxa"/>
            <w:gridSpan w:val="2"/>
            <w:vAlign w:val="center"/>
          </w:tcPr>
          <w:p>
            <w:pPr>
              <w:snapToGrid w:val="0"/>
              <w:outlineLvl w:val="1"/>
              <w:rPr>
                <w:rFonts w:ascii="宋体" w:hAnsi="宋体" w:cs="宋体"/>
                <w:bCs/>
                <w:color w:val="auto"/>
                <w:kern w:val="0"/>
                <w:sz w:val="20"/>
                <w:szCs w:val="21"/>
                <w:highlight w:val="none"/>
              </w:rPr>
            </w:pPr>
            <w:r>
              <w:rPr>
                <w:rFonts w:hint="eastAsia" w:ascii="宋体" w:hAnsi="宋体" w:cs="宋体"/>
                <w:bCs/>
                <w:color w:val="auto"/>
                <w:kern w:val="0"/>
                <w:sz w:val="20"/>
                <w:szCs w:val="21"/>
                <w:highlight w:val="none"/>
              </w:rPr>
              <w:t>（1）投标人具有经国家环境监测总站颁发或相关环保机构颁发全国通用的环境空气监测人员技术考核或培训合格证书每份证书得1分，满分</w:t>
            </w:r>
            <w:r>
              <w:rPr>
                <w:rFonts w:ascii="宋体" w:hAnsi="宋体" w:cs="宋体"/>
                <w:bCs/>
                <w:color w:val="auto"/>
                <w:kern w:val="0"/>
                <w:sz w:val="20"/>
                <w:szCs w:val="21"/>
                <w:highlight w:val="none"/>
              </w:rPr>
              <w:t>4</w:t>
            </w:r>
            <w:r>
              <w:rPr>
                <w:rFonts w:hint="eastAsia" w:ascii="宋体" w:hAnsi="宋体" w:cs="宋体"/>
                <w:bCs/>
                <w:color w:val="auto"/>
                <w:kern w:val="0"/>
                <w:sz w:val="20"/>
                <w:szCs w:val="21"/>
                <w:highlight w:val="none"/>
              </w:rPr>
              <w:t>分。（须提供证件全部页面复印件）</w:t>
            </w:r>
          </w:p>
          <w:p>
            <w:pPr>
              <w:jc w:val="left"/>
              <w:rPr>
                <w:bCs/>
                <w:color w:val="auto"/>
                <w:szCs w:val="20"/>
                <w:highlight w:val="none"/>
              </w:rPr>
            </w:pPr>
            <w:r>
              <w:rPr>
                <w:rFonts w:hint="eastAsia"/>
                <w:bCs/>
                <w:color w:val="auto"/>
                <w:szCs w:val="20"/>
                <w:highlight w:val="none"/>
              </w:rPr>
              <w:t>（</w:t>
            </w:r>
            <w:r>
              <w:rPr>
                <w:bCs/>
                <w:color w:val="auto"/>
                <w:szCs w:val="20"/>
                <w:highlight w:val="none"/>
              </w:rPr>
              <w:t>2</w:t>
            </w:r>
            <w:r>
              <w:rPr>
                <w:rFonts w:hint="eastAsia"/>
                <w:bCs/>
                <w:color w:val="auto"/>
                <w:szCs w:val="20"/>
                <w:highlight w:val="none"/>
              </w:rPr>
              <w:t>）投标人</w:t>
            </w:r>
            <w:r>
              <w:rPr>
                <w:bCs/>
                <w:color w:val="auto"/>
                <w:szCs w:val="20"/>
                <w:highlight w:val="none"/>
              </w:rPr>
              <w:t xml:space="preserve"> 2019 </w:t>
            </w:r>
            <w:r>
              <w:rPr>
                <w:rFonts w:hint="eastAsia"/>
                <w:bCs/>
                <w:color w:val="auto"/>
                <w:szCs w:val="20"/>
                <w:highlight w:val="none"/>
              </w:rPr>
              <w:t>年</w:t>
            </w:r>
            <w:r>
              <w:rPr>
                <w:bCs/>
                <w:color w:val="auto"/>
                <w:szCs w:val="20"/>
                <w:highlight w:val="none"/>
              </w:rPr>
              <w:t xml:space="preserve"> 1 </w:t>
            </w:r>
            <w:r>
              <w:rPr>
                <w:rFonts w:hint="eastAsia"/>
                <w:bCs/>
                <w:color w:val="auto"/>
                <w:szCs w:val="20"/>
                <w:highlight w:val="none"/>
              </w:rPr>
              <w:t>月</w:t>
            </w:r>
            <w:r>
              <w:rPr>
                <w:bCs/>
                <w:color w:val="auto"/>
                <w:szCs w:val="20"/>
                <w:highlight w:val="none"/>
              </w:rPr>
              <w:t xml:space="preserve"> 1 </w:t>
            </w:r>
            <w:r>
              <w:rPr>
                <w:rFonts w:hint="eastAsia"/>
                <w:bCs/>
                <w:color w:val="auto"/>
                <w:szCs w:val="20"/>
                <w:highlight w:val="none"/>
              </w:rPr>
              <w:t>日至今具有与本次采购内容相类似的业绩，每项业绩得3分，满分</w:t>
            </w:r>
            <w:r>
              <w:rPr>
                <w:bCs/>
                <w:color w:val="auto"/>
                <w:szCs w:val="20"/>
                <w:highlight w:val="none"/>
              </w:rPr>
              <w:t xml:space="preserve"> </w:t>
            </w:r>
            <w:r>
              <w:rPr>
                <w:rFonts w:hint="eastAsia"/>
                <w:bCs/>
                <w:color w:val="auto"/>
                <w:szCs w:val="20"/>
                <w:highlight w:val="none"/>
              </w:rPr>
              <w:t>9分。</w:t>
            </w:r>
          </w:p>
          <w:p>
            <w:pPr>
              <w:jc w:val="left"/>
              <w:rPr>
                <w:bCs/>
                <w:color w:val="auto"/>
                <w:szCs w:val="20"/>
                <w:highlight w:val="none"/>
              </w:rPr>
            </w:pPr>
            <w:r>
              <w:rPr>
                <w:bCs/>
                <w:color w:val="auto"/>
                <w:szCs w:val="20"/>
                <w:highlight w:val="none"/>
              </w:rPr>
              <w:t>投标人提供以下证明材料，否则不计分。证明材料包括但不限于以下文件（提供复印件，原件备查）：</w:t>
            </w:r>
          </w:p>
          <w:p>
            <w:pPr>
              <w:jc w:val="left"/>
              <w:rPr>
                <w:bCs/>
                <w:color w:val="auto"/>
                <w:szCs w:val="20"/>
                <w:highlight w:val="none"/>
              </w:rPr>
            </w:pPr>
            <w:r>
              <w:rPr>
                <w:bCs/>
                <w:color w:val="auto"/>
                <w:szCs w:val="20"/>
                <w:highlight w:val="none"/>
              </w:rPr>
              <w:t>a. 合同，必须包含金额、签订合同双方的名称及印章、合同标的等。</w:t>
            </w:r>
          </w:p>
          <w:p>
            <w:pPr>
              <w:jc w:val="left"/>
              <w:rPr>
                <w:bCs/>
                <w:color w:val="auto"/>
                <w:szCs w:val="20"/>
                <w:highlight w:val="none"/>
              </w:rPr>
            </w:pPr>
            <w:r>
              <w:rPr>
                <w:bCs/>
                <w:color w:val="auto"/>
                <w:szCs w:val="20"/>
                <w:highlight w:val="none"/>
              </w:rPr>
              <w:t>b. 验收材料及相关业主意见等。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628" w:type="dxa"/>
            <w:gridSpan w:val="5"/>
            <w:vAlign w:val="center"/>
          </w:tcPr>
          <w:p>
            <w:pPr>
              <w:rPr>
                <w:rFonts w:ascii="宋体" w:hAnsi="宋体" w:cs="Courier New"/>
                <w:bCs/>
                <w:color w:val="auto"/>
                <w:szCs w:val="21"/>
                <w:highlight w:val="none"/>
              </w:rPr>
            </w:pPr>
            <w:r>
              <w:rPr>
                <w:rFonts w:hint="eastAsia" w:ascii="宋体" w:hAnsi="宋体" w:cs="Courier New"/>
                <w:b/>
                <w:bCs/>
                <w:color w:val="auto"/>
                <w:szCs w:val="21"/>
                <w:highlight w:val="none"/>
              </w:rPr>
              <w:t>总得分=1+2+3+4。</w:t>
            </w:r>
          </w:p>
        </w:tc>
      </w:tr>
    </w:tbl>
    <w:p>
      <w:pPr>
        <w:spacing w:line="360" w:lineRule="auto"/>
        <w:ind w:firstLine="420" w:firstLineChars="200"/>
        <w:rPr>
          <w:rFonts w:ascii="宋体" w:hAnsi="宋体"/>
          <w:bCs/>
          <w:color w:val="auto"/>
          <w:szCs w:val="21"/>
          <w:highlight w:val="none"/>
        </w:rPr>
      </w:pPr>
    </w:p>
    <w:p>
      <w:pPr>
        <w:pStyle w:val="12"/>
        <w:spacing w:line="400" w:lineRule="exact"/>
        <w:ind w:firstLine="476" w:firstLineChars="238"/>
        <w:rPr>
          <w:rFonts w:hAnsi="宋体" w:cs="宋体"/>
          <w:color w:val="auto"/>
          <w:highlight w:val="none"/>
        </w:rPr>
      </w:pPr>
      <w:r>
        <w:rPr>
          <w:rFonts w:hAnsi="宋体"/>
          <w:bCs/>
          <w:color w:val="auto"/>
          <w:highlight w:val="none"/>
        </w:rPr>
        <w:t>7.</w:t>
      </w:r>
      <w:r>
        <w:rPr>
          <w:rFonts w:hint="eastAsia" w:hAnsi="宋体"/>
          <w:bCs/>
          <w:color w:val="auto"/>
          <w:highlight w:val="none"/>
        </w:rPr>
        <w:t>由磋商小组根据综合评分情况，按照评审得分由高到低顺序推荐3名及以上成交候选供应商，并编写评审报告。符合本章第</w:t>
      </w:r>
      <w:r>
        <w:rPr>
          <w:rFonts w:hint="eastAsia" w:hAnsi="宋体" w:cs="宋体"/>
          <w:color w:val="auto"/>
          <w:highlight w:val="none"/>
        </w:rPr>
        <w:t>3.7、</w:t>
      </w:r>
      <w:r>
        <w:rPr>
          <w:rFonts w:hAnsi="宋体" w:cs="宋体"/>
          <w:color w:val="auto"/>
          <w:highlight w:val="none"/>
        </w:rPr>
        <w:t>4.3</w:t>
      </w:r>
      <w:r>
        <w:rPr>
          <w:rFonts w:hint="eastAsia" w:hAnsi="宋体"/>
          <w:bCs/>
          <w:color w:val="auto"/>
          <w:highlight w:val="none"/>
        </w:rPr>
        <w:t>条情形的，可以推荐2家成交候选供应商。评审得分相同的，按照最后报价（不计算价格折扣）由低到高的顺序推荐。评审得分且最后报价（不计算价格折扣）相同的，按照技术指标优劣顺序推荐（</w:t>
      </w:r>
      <w:r>
        <w:rPr>
          <w:rFonts w:hint="eastAsia" w:hAnsi="宋体"/>
          <w:color w:val="auto"/>
          <w:highlight w:val="none"/>
        </w:rPr>
        <w:t>按综合评分中服务水平、后续服务、履约能力得分高低依次确定</w:t>
      </w:r>
      <w:r>
        <w:rPr>
          <w:rFonts w:hint="eastAsia" w:hAnsi="宋体"/>
          <w:bCs/>
          <w:color w:val="auto"/>
          <w:highlight w:val="none"/>
        </w:rPr>
        <w:t>）。</w:t>
      </w:r>
      <w:r>
        <w:rPr>
          <w:rFonts w:hint="eastAsia" w:hAnsi="宋体" w:cs="宋体"/>
          <w:color w:val="auto"/>
          <w:highlight w:val="none"/>
        </w:rPr>
        <w:t>采购人应当确定磋商小组推荐排名第一的成交候选供应商为成交供应商。排名第一的成交候选供应商放弃成交、因不可抗力提出不能成交，采购人可以确定排名第二的成交候选供应商为成交供应商。排名第二的成交候选供应商因前款规定的同样原因不能签订合同的，采购人可以确定排名第三的成交候选供应商为成交供应商。</w:t>
      </w:r>
    </w:p>
    <w:p>
      <w:pPr>
        <w:spacing w:line="360" w:lineRule="auto"/>
        <w:ind w:firstLine="480" w:firstLineChars="200"/>
        <w:rPr>
          <w:rFonts w:ascii="宋体" w:hAnsi="宋体" w:cs="宋体"/>
          <w:snapToGrid w:val="0"/>
          <w:color w:val="auto"/>
          <w:kern w:val="0"/>
          <w:sz w:val="24"/>
          <w:highlight w:val="none"/>
        </w:rPr>
      </w:pPr>
    </w:p>
    <w:p>
      <w:pPr>
        <w:spacing w:line="400" w:lineRule="exact"/>
        <w:ind w:firstLine="420" w:firstLineChars="200"/>
        <w:rPr>
          <w:rFonts w:ascii="宋体" w:hAnsi="宋体" w:cs="宋体"/>
          <w:color w:val="auto"/>
          <w:highlight w:val="none"/>
        </w:rPr>
      </w:pPr>
    </w:p>
    <w:p>
      <w:pPr>
        <w:spacing w:line="400" w:lineRule="exact"/>
        <w:ind w:firstLine="420" w:firstLineChars="200"/>
        <w:rPr>
          <w:rFonts w:ascii="宋体" w:hAnsi="宋体" w:cs="宋体"/>
          <w:color w:val="auto"/>
          <w:highlight w:val="none"/>
        </w:rPr>
      </w:pPr>
    </w:p>
    <w:p>
      <w:pPr>
        <w:pStyle w:val="3"/>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3"/>
        <w:rPr>
          <w:color w:val="auto"/>
          <w:highlight w:val="none"/>
        </w:rPr>
      </w:pPr>
      <w:bookmarkStart w:id="43" w:name="_Toc74323460"/>
    </w:p>
    <w:p>
      <w:pPr>
        <w:pStyle w:val="3"/>
        <w:jc w:val="center"/>
        <w:rPr>
          <w:color w:val="auto"/>
          <w:highlight w:val="none"/>
        </w:rPr>
      </w:pPr>
      <w:r>
        <w:rPr>
          <w:rFonts w:hint="eastAsia"/>
          <w:color w:val="auto"/>
          <w:highlight w:val="none"/>
        </w:rPr>
        <w:t>第五章 响应文件格式</w:t>
      </w:r>
      <w:bookmarkEnd w:id="43"/>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宋体" w:hAnsi="宋体"/>
          <w:b/>
          <w:color w:val="auto"/>
          <w:sz w:val="32"/>
          <w:szCs w:val="32"/>
          <w:highlight w:val="none"/>
        </w:rPr>
      </w:pPr>
    </w:p>
    <w:p>
      <w:pPr>
        <w:spacing w:line="240" w:lineRule="atLeast"/>
        <w:rPr>
          <w:rFonts w:ascii="仿宋_GB2312" w:hAnsi="仿宋_GB2312" w:eastAsia="仿宋_GB2312" w:cs="仿宋_GB2312"/>
          <w:bCs/>
          <w:color w:val="auto"/>
          <w:sz w:val="32"/>
          <w:szCs w:val="32"/>
          <w:highlight w:val="none"/>
        </w:rPr>
      </w:pPr>
    </w:p>
    <w:p>
      <w:pPr>
        <w:rPr>
          <w:b/>
          <w:color w:val="auto"/>
          <w:sz w:val="32"/>
          <w:szCs w:val="32"/>
          <w:highlight w:val="none"/>
        </w:rPr>
      </w:pPr>
      <w:bookmarkStart w:id="44" w:name="_Toc44229899"/>
      <w:bookmarkStart w:id="45" w:name="_Toc35611516"/>
      <w:bookmarkStart w:id="46" w:name="_Toc35611438"/>
      <w:bookmarkStart w:id="47" w:name="_Toc31728084"/>
      <w:bookmarkStart w:id="48" w:name="_Toc31723070"/>
      <w:bookmarkStart w:id="49" w:name="_Toc71365925"/>
    </w:p>
    <w:p>
      <w:pPr>
        <w:rPr>
          <w:b/>
          <w:color w:val="auto"/>
          <w:sz w:val="32"/>
          <w:szCs w:val="32"/>
          <w:highlight w:val="none"/>
        </w:rPr>
      </w:pPr>
    </w:p>
    <w:p>
      <w:pPr>
        <w:rPr>
          <w:b/>
          <w:color w:val="auto"/>
          <w:sz w:val="32"/>
          <w:szCs w:val="32"/>
          <w:highlight w:val="none"/>
        </w:rPr>
      </w:pPr>
    </w:p>
    <w:p>
      <w:pPr>
        <w:rPr>
          <w:b/>
          <w:color w:val="auto"/>
          <w:sz w:val="32"/>
          <w:szCs w:val="32"/>
          <w:highlight w:val="none"/>
        </w:rPr>
      </w:pPr>
    </w:p>
    <w:p>
      <w:pPr>
        <w:rPr>
          <w:b/>
          <w:color w:val="auto"/>
          <w:sz w:val="32"/>
          <w:szCs w:val="32"/>
          <w:highlight w:val="none"/>
        </w:rPr>
      </w:pPr>
    </w:p>
    <w:p>
      <w:pPr>
        <w:rPr>
          <w:b/>
          <w:color w:val="auto"/>
          <w:sz w:val="32"/>
          <w:szCs w:val="32"/>
          <w:highlight w:val="none"/>
        </w:rPr>
      </w:pPr>
      <w:r>
        <w:rPr>
          <w:rFonts w:hint="eastAsia"/>
          <w:b/>
          <w:color w:val="auto"/>
          <w:sz w:val="32"/>
          <w:szCs w:val="32"/>
          <w:highlight w:val="none"/>
        </w:rPr>
        <w:t>一、资格证明文件格式</w:t>
      </w:r>
      <w:bookmarkEnd w:id="44"/>
      <w:bookmarkEnd w:id="45"/>
      <w:bookmarkEnd w:id="46"/>
      <w:bookmarkEnd w:id="47"/>
      <w:bookmarkEnd w:id="48"/>
      <w:bookmarkEnd w:id="49"/>
    </w:p>
    <w:p>
      <w:pPr>
        <w:snapToGrid w:val="0"/>
        <w:spacing w:before="156" w:beforeLines="50" w:after="50" w:line="360" w:lineRule="auto"/>
        <w:jc w:val="left"/>
        <w:rPr>
          <w:rFonts w:ascii="宋体" w:hAnsi="宋体"/>
          <w:b/>
          <w:color w:val="auto"/>
          <w:sz w:val="24"/>
          <w:highlight w:val="none"/>
        </w:rPr>
      </w:pPr>
      <w:r>
        <w:rPr>
          <w:rFonts w:hint="eastAsia" w:ascii="宋体" w:hAnsi="宋体"/>
          <w:b/>
          <w:color w:val="auto"/>
          <w:sz w:val="32"/>
          <w:szCs w:val="32"/>
          <w:highlight w:val="none"/>
        </w:rPr>
        <w:t>1.资格证明文件封面格式：</w:t>
      </w:r>
      <w:r>
        <w:rPr>
          <w:rFonts w:hint="eastAsia" w:ascii="宋体" w:hAnsi="宋体"/>
          <w:b/>
          <w:color w:val="auto"/>
          <w:sz w:val="24"/>
          <w:highlight w:val="none"/>
        </w:rPr>
        <w:t xml:space="preserve"> </w:t>
      </w:r>
    </w:p>
    <w:p>
      <w:pPr>
        <w:snapToGrid w:val="0"/>
        <w:spacing w:before="156" w:beforeLines="50" w:after="50"/>
        <w:rPr>
          <w:rFonts w:ascii="宋体" w:hAnsi="宋体"/>
          <w:bCs/>
          <w:color w:val="auto"/>
          <w:sz w:val="32"/>
          <w:szCs w:val="20"/>
          <w:highlight w:val="none"/>
        </w:rPr>
      </w:pPr>
      <w:r>
        <w:rPr>
          <w:rFonts w:hint="eastAsia" w:ascii="宋体" w:hAnsi="宋体"/>
          <w:color w:val="auto"/>
          <w:sz w:val="24"/>
          <w:highlight w:val="none"/>
        </w:rPr>
        <w:t xml:space="preserve">                                                    </w:t>
      </w:r>
    </w:p>
    <w:p>
      <w:pPr>
        <w:snapToGrid w:val="0"/>
        <w:spacing w:before="156" w:beforeLines="50" w:after="50"/>
        <w:rPr>
          <w:rFonts w:ascii="宋体" w:hAnsi="宋体"/>
          <w:color w:val="auto"/>
          <w:sz w:val="24"/>
          <w:szCs w:val="20"/>
          <w:highlight w:val="none"/>
        </w:rPr>
      </w:pPr>
    </w:p>
    <w:p>
      <w:pPr>
        <w:snapToGrid w:val="0"/>
        <w:spacing w:before="156" w:beforeLines="50" w:after="50"/>
        <w:jc w:val="center"/>
        <w:rPr>
          <w:rFonts w:ascii="方正小标宋简体" w:hAnsi="方正小标宋简体" w:eastAsia="方正小标宋简体" w:cs="方正小标宋简体"/>
          <w:bCs/>
          <w:color w:val="auto"/>
          <w:sz w:val="84"/>
          <w:szCs w:val="84"/>
          <w:highlight w:val="none"/>
        </w:rPr>
      </w:pPr>
      <w:r>
        <w:rPr>
          <w:rFonts w:hint="eastAsia" w:ascii="方正小标宋简体" w:hAnsi="方正小标宋简体" w:eastAsia="方正小标宋简体" w:cs="方正小标宋简体"/>
          <w:bCs/>
          <w:color w:val="auto"/>
          <w:sz w:val="84"/>
          <w:szCs w:val="84"/>
          <w:highlight w:val="none"/>
        </w:rPr>
        <w:t>响  应  文  件</w:t>
      </w:r>
    </w:p>
    <w:p>
      <w:pPr>
        <w:snapToGrid w:val="0"/>
        <w:spacing w:before="156" w:beforeLines="50" w:after="50"/>
        <w:jc w:val="center"/>
        <w:rPr>
          <w:rFonts w:ascii="方正小标宋简体" w:hAnsi="方正小标宋简体" w:eastAsia="方正小标宋简体" w:cs="方正小标宋简体"/>
          <w:bCs/>
          <w:color w:val="auto"/>
          <w:sz w:val="44"/>
          <w:szCs w:val="44"/>
          <w:highlight w:val="none"/>
        </w:rPr>
      </w:pPr>
    </w:p>
    <w:p>
      <w:pPr>
        <w:snapToGrid w:val="0"/>
        <w:spacing w:before="156" w:beforeLines="50" w:after="50"/>
        <w:jc w:val="center"/>
        <w:rPr>
          <w:rFonts w:ascii="方正小标宋简体" w:hAnsi="方正小标宋简体" w:eastAsia="方正小标宋简体" w:cs="方正小标宋简体"/>
          <w:bCs/>
          <w:color w:val="auto"/>
          <w:sz w:val="32"/>
          <w:szCs w:val="32"/>
          <w:highlight w:val="none"/>
        </w:rPr>
      </w:pPr>
      <w:r>
        <w:rPr>
          <w:rFonts w:hint="eastAsia" w:ascii="方正小标宋简体" w:hAnsi="方正小标宋简体" w:eastAsia="方正小标宋简体" w:cs="方正小标宋简体"/>
          <w:bCs/>
          <w:color w:val="auto"/>
          <w:sz w:val="32"/>
          <w:szCs w:val="32"/>
          <w:highlight w:val="none"/>
        </w:rPr>
        <w:t>资  格  证  明  文  件</w:t>
      </w:r>
    </w:p>
    <w:p>
      <w:pPr>
        <w:snapToGrid w:val="0"/>
        <w:spacing w:before="156" w:beforeLines="50" w:after="50"/>
        <w:rPr>
          <w:rFonts w:ascii="宋体" w:hAnsi="宋体"/>
          <w:bCs/>
          <w:color w:val="auto"/>
          <w:sz w:val="24"/>
          <w:szCs w:val="20"/>
          <w:highlight w:val="none"/>
        </w:rPr>
      </w:pPr>
    </w:p>
    <w:p>
      <w:pPr>
        <w:snapToGrid w:val="0"/>
        <w:spacing w:before="156" w:beforeLines="50" w:after="50"/>
        <w:rPr>
          <w:rFonts w:ascii="宋体" w:hAnsi="宋体"/>
          <w:bCs/>
          <w:color w:val="auto"/>
          <w:sz w:val="24"/>
          <w:szCs w:val="20"/>
          <w:highlight w:val="none"/>
        </w:rPr>
      </w:pPr>
    </w:p>
    <w:p>
      <w:pPr>
        <w:snapToGrid w:val="0"/>
        <w:spacing w:before="156" w:beforeLines="50" w:after="50"/>
        <w:rPr>
          <w:rFonts w:ascii="宋体" w:hAnsi="宋体"/>
          <w:bCs/>
          <w:color w:val="auto"/>
          <w:sz w:val="24"/>
          <w:szCs w:val="20"/>
          <w:highlight w:val="none"/>
        </w:rPr>
      </w:pPr>
    </w:p>
    <w:p>
      <w:pPr>
        <w:snapToGrid w:val="0"/>
        <w:spacing w:before="156" w:beforeLines="50" w:after="50"/>
        <w:ind w:firstLine="640" w:firstLineChars="200"/>
        <w:rPr>
          <w:rFonts w:ascii="宋体" w:hAnsi="宋体" w:cs="仿宋_GB2312"/>
          <w:bCs/>
          <w:color w:val="auto"/>
          <w:sz w:val="32"/>
          <w:szCs w:val="32"/>
          <w:highlight w:val="none"/>
        </w:rPr>
      </w:pPr>
      <w:r>
        <w:rPr>
          <w:rFonts w:hint="eastAsia" w:ascii="宋体" w:hAnsi="宋体" w:cs="仿宋_GB2312"/>
          <w:bCs/>
          <w:color w:val="auto"/>
          <w:sz w:val="32"/>
          <w:szCs w:val="32"/>
          <w:highlight w:val="none"/>
        </w:rPr>
        <w:t>项目名称：</w:t>
      </w:r>
    </w:p>
    <w:p>
      <w:pPr>
        <w:snapToGrid w:val="0"/>
        <w:spacing w:before="156" w:beforeLines="50" w:after="50"/>
        <w:ind w:firstLine="720" w:firstLineChars="225"/>
        <w:rPr>
          <w:rFonts w:ascii="宋体" w:hAnsi="宋体" w:cs="仿宋_GB2312"/>
          <w:bCs/>
          <w:color w:val="auto"/>
          <w:sz w:val="32"/>
          <w:szCs w:val="32"/>
          <w:highlight w:val="none"/>
        </w:rPr>
      </w:pPr>
    </w:p>
    <w:p>
      <w:pPr>
        <w:snapToGrid w:val="0"/>
        <w:spacing w:before="156" w:beforeLines="50" w:after="50"/>
        <w:ind w:firstLine="720" w:firstLineChars="225"/>
        <w:rPr>
          <w:rFonts w:ascii="宋体" w:hAnsi="宋体" w:cs="仿宋_GB2312"/>
          <w:bCs/>
          <w:color w:val="auto"/>
          <w:sz w:val="32"/>
          <w:szCs w:val="32"/>
          <w:highlight w:val="none"/>
        </w:rPr>
      </w:pPr>
      <w:r>
        <w:rPr>
          <w:rFonts w:hint="eastAsia" w:ascii="宋体" w:hAnsi="宋体" w:cs="仿宋_GB2312"/>
          <w:bCs/>
          <w:color w:val="auto"/>
          <w:sz w:val="32"/>
          <w:szCs w:val="32"/>
          <w:highlight w:val="none"/>
        </w:rPr>
        <w:t>项目编号：</w:t>
      </w:r>
    </w:p>
    <w:p>
      <w:pPr>
        <w:snapToGrid w:val="0"/>
        <w:spacing w:before="156" w:beforeLines="50" w:after="50"/>
        <w:ind w:firstLine="720" w:firstLineChars="225"/>
        <w:rPr>
          <w:rFonts w:ascii="宋体" w:hAnsi="宋体" w:cs="仿宋_GB2312"/>
          <w:bCs/>
          <w:color w:val="auto"/>
          <w:sz w:val="32"/>
          <w:szCs w:val="32"/>
          <w:highlight w:val="none"/>
        </w:rPr>
      </w:pPr>
      <w:r>
        <w:rPr>
          <w:rFonts w:hint="eastAsia" w:ascii="宋体" w:hAnsi="宋体" w:cs="仿宋_GB2312"/>
          <w:bCs/>
          <w:color w:val="auto"/>
          <w:sz w:val="32"/>
          <w:szCs w:val="32"/>
          <w:highlight w:val="none"/>
        </w:rPr>
        <w:t xml:space="preserve"> </w:t>
      </w:r>
    </w:p>
    <w:p>
      <w:pPr>
        <w:snapToGrid w:val="0"/>
        <w:spacing w:before="156" w:beforeLines="50" w:after="50"/>
        <w:ind w:firstLine="720" w:firstLineChars="225"/>
        <w:rPr>
          <w:rFonts w:ascii="宋体" w:hAnsi="宋体" w:cs="仿宋_GB2312"/>
          <w:bCs/>
          <w:color w:val="auto"/>
          <w:sz w:val="32"/>
          <w:szCs w:val="32"/>
          <w:highlight w:val="none"/>
        </w:rPr>
      </w:pPr>
      <w:r>
        <w:rPr>
          <w:rFonts w:hint="eastAsia" w:ascii="宋体" w:hAnsi="宋体" w:cs="仿宋_GB2312"/>
          <w:bCs/>
          <w:color w:val="auto"/>
          <w:sz w:val="32"/>
          <w:szCs w:val="32"/>
          <w:highlight w:val="none"/>
        </w:rPr>
        <w:t>所竞分标：</w:t>
      </w:r>
    </w:p>
    <w:p>
      <w:pPr>
        <w:snapToGrid w:val="0"/>
        <w:spacing w:before="156" w:beforeLines="50" w:after="50"/>
        <w:ind w:firstLine="720" w:firstLineChars="225"/>
        <w:rPr>
          <w:rFonts w:ascii="宋体" w:hAnsi="宋体" w:cs="仿宋_GB2312"/>
          <w:bCs/>
          <w:color w:val="auto"/>
          <w:sz w:val="32"/>
          <w:szCs w:val="32"/>
          <w:highlight w:val="none"/>
        </w:rPr>
      </w:pPr>
    </w:p>
    <w:p>
      <w:pPr>
        <w:pStyle w:val="6"/>
        <w:snapToGrid w:val="0"/>
        <w:spacing w:before="50" w:after="50"/>
        <w:ind w:firstLine="720" w:firstLineChars="225"/>
        <w:rPr>
          <w:rFonts w:ascii="宋体" w:hAnsi="宋体" w:cs="仿宋_GB2312"/>
          <w:bCs/>
          <w:color w:val="auto"/>
          <w:sz w:val="32"/>
          <w:szCs w:val="32"/>
          <w:highlight w:val="none"/>
        </w:rPr>
      </w:pPr>
      <w:r>
        <w:rPr>
          <w:rFonts w:hint="eastAsia" w:ascii="宋体" w:hAnsi="宋体" w:cs="仿宋_GB2312"/>
          <w:bCs/>
          <w:color w:val="auto"/>
          <w:sz w:val="32"/>
          <w:szCs w:val="32"/>
          <w:highlight w:val="none"/>
        </w:rPr>
        <w:t>供应商名称：</w:t>
      </w:r>
    </w:p>
    <w:p>
      <w:pPr>
        <w:pStyle w:val="6"/>
        <w:snapToGrid w:val="0"/>
        <w:spacing w:before="50" w:after="50"/>
        <w:ind w:firstLine="720" w:firstLineChars="225"/>
        <w:rPr>
          <w:rFonts w:ascii="宋体" w:hAnsi="宋体" w:cs="仿宋_GB2312"/>
          <w:bCs/>
          <w:color w:val="auto"/>
          <w:sz w:val="32"/>
          <w:szCs w:val="32"/>
          <w:highlight w:val="none"/>
        </w:rPr>
      </w:pPr>
    </w:p>
    <w:p>
      <w:pPr>
        <w:pStyle w:val="6"/>
        <w:snapToGrid w:val="0"/>
        <w:spacing w:before="50" w:after="50"/>
        <w:ind w:firstLine="720" w:firstLineChars="225"/>
        <w:rPr>
          <w:rFonts w:ascii="宋体" w:hAnsi="宋体" w:cs="仿宋_GB2312"/>
          <w:bCs/>
          <w:color w:val="auto"/>
          <w:sz w:val="32"/>
          <w:szCs w:val="32"/>
          <w:highlight w:val="none"/>
        </w:rPr>
      </w:pPr>
    </w:p>
    <w:p>
      <w:pPr>
        <w:pStyle w:val="6"/>
        <w:snapToGrid w:val="0"/>
        <w:spacing w:before="50" w:after="50"/>
        <w:ind w:firstLine="1280" w:firstLineChars="400"/>
        <w:rPr>
          <w:rFonts w:ascii="宋体" w:hAnsi="宋体" w:cs="仿宋_GB2312"/>
          <w:bCs/>
          <w:color w:val="auto"/>
          <w:sz w:val="32"/>
          <w:szCs w:val="32"/>
          <w:highlight w:val="none"/>
        </w:rPr>
      </w:pPr>
    </w:p>
    <w:p>
      <w:pPr>
        <w:snapToGrid w:val="0"/>
        <w:spacing w:before="156" w:beforeLines="50" w:after="50"/>
        <w:jc w:val="center"/>
        <w:rPr>
          <w:rFonts w:ascii="宋体" w:hAnsi="宋体" w:cs="仿宋_GB2312"/>
          <w:color w:val="auto"/>
          <w:sz w:val="32"/>
          <w:szCs w:val="32"/>
          <w:highlight w:val="none"/>
        </w:rPr>
      </w:pPr>
      <w:r>
        <w:rPr>
          <w:rFonts w:hint="eastAsia" w:ascii="宋体" w:hAnsi="宋体" w:cs="仿宋_GB2312"/>
          <w:color w:val="auto"/>
          <w:sz w:val="32"/>
          <w:szCs w:val="32"/>
          <w:highlight w:val="none"/>
        </w:rPr>
        <w:t>年    月    日</w:t>
      </w:r>
    </w:p>
    <w:p>
      <w:pPr>
        <w:snapToGrid w:val="0"/>
        <w:spacing w:before="156" w:beforeLines="50" w:after="50" w:line="360" w:lineRule="auto"/>
        <w:ind w:left="142"/>
        <w:jc w:val="left"/>
        <w:rPr>
          <w:rFonts w:ascii="宋体" w:hAnsi="宋体"/>
          <w:b/>
          <w:bCs/>
          <w:color w:val="auto"/>
          <w:sz w:val="32"/>
          <w:szCs w:val="32"/>
          <w:highlight w:val="none"/>
        </w:rPr>
      </w:pPr>
      <w:r>
        <w:rPr>
          <w:rFonts w:ascii="宋体" w:hAnsi="宋体"/>
          <w:color w:val="auto"/>
          <w:sz w:val="24"/>
          <w:highlight w:val="none"/>
        </w:rPr>
        <w:br w:type="page"/>
      </w:r>
      <w:r>
        <w:rPr>
          <w:rFonts w:hint="eastAsia" w:ascii="宋体" w:hAnsi="宋体"/>
          <w:b/>
          <w:bCs/>
          <w:color w:val="auto"/>
          <w:sz w:val="32"/>
          <w:szCs w:val="32"/>
          <w:highlight w:val="none"/>
        </w:rPr>
        <w:t>2.资格证明文件目录</w:t>
      </w:r>
    </w:p>
    <w:p>
      <w:pPr>
        <w:snapToGrid w:val="0"/>
        <w:spacing w:before="156" w:beforeLines="50" w:after="50" w:line="360" w:lineRule="auto"/>
        <w:ind w:firstLine="645"/>
        <w:rPr>
          <w:rFonts w:ascii="宋体" w:hAnsi="宋体"/>
          <w:color w:val="auto"/>
          <w:sz w:val="32"/>
          <w:szCs w:val="32"/>
          <w:highlight w:val="none"/>
        </w:rPr>
      </w:pPr>
      <w:r>
        <w:rPr>
          <w:rFonts w:hint="eastAsia" w:ascii="宋体" w:hAnsi="宋体"/>
          <w:color w:val="auto"/>
          <w:sz w:val="32"/>
          <w:szCs w:val="32"/>
          <w:highlight w:val="none"/>
        </w:rPr>
        <w:t>根据磋商文件规定及供应商提供的材料自行编写目录（部分格式后附）。</w:t>
      </w:r>
    </w:p>
    <w:p>
      <w:pPr>
        <w:snapToGrid w:val="0"/>
        <w:spacing w:before="156" w:beforeLines="50" w:after="50"/>
        <w:rPr>
          <w:rFonts w:ascii="宋体" w:hAnsi="宋体"/>
          <w:color w:val="auto"/>
          <w:sz w:val="24"/>
          <w:szCs w:val="20"/>
          <w:highlight w:val="none"/>
        </w:rPr>
      </w:pPr>
      <w:r>
        <w:rPr>
          <w:rFonts w:ascii="宋体" w:hAnsi="宋体"/>
          <w:color w:val="auto"/>
          <w:sz w:val="24"/>
          <w:szCs w:val="20"/>
          <w:highlight w:val="none"/>
        </w:rPr>
        <w:t xml:space="preserve"> </w:t>
      </w: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00" w:lineRule="auto"/>
        <w:rPr>
          <w:rFonts w:ascii="宋体" w:hAnsi="宋体"/>
          <w:color w:val="auto"/>
          <w:szCs w:val="21"/>
          <w:highlight w:val="none"/>
        </w:rPr>
      </w:pPr>
    </w:p>
    <w:p>
      <w:pPr>
        <w:spacing w:line="320" w:lineRule="exact"/>
        <w:jc w:val="left"/>
        <w:rPr>
          <w:rFonts w:ascii="宋体" w:hAnsi="宋体"/>
          <w:color w:val="auto"/>
          <w:szCs w:val="21"/>
          <w:highlight w:val="none"/>
        </w:rPr>
      </w:pPr>
      <w:r>
        <w:rPr>
          <w:rFonts w:ascii="宋体" w:hAnsi="宋体"/>
          <w:color w:val="auto"/>
          <w:szCs w:val="21"/>
          <w:highlight w:val="none"/>
        </w:rPr>
        <w:br w:type="page"/>
      </w:r>
      <w:r>
        <w:rPr>
          <w:rFonts w:hint="eastAsia" w:ascii="宋体" w:hAnsi="宋体"/>
          <w:color w:val="auto"/>
          <w:szCs w:val="21"/>
          <w:highlight w:val="none"/>
        </w:rPr>
        <w:t xml:space="preserve"> </w:t>
      </w:r>
    </w:p>
    <w:p>
      <w:pPr>
        <w:wordWrap w:val="0"/>
        <w:spacing w:before="156" w:beforeLines="50" w:after="50" w:line="320" w:lineRule="exact"/>
        <w:ind w:right="482" w:firstLine="210" w:firstLineChars="100"/>
        <w:contextualSpacing/>
        <w:jc w:val="center"/>
        <w:rPr>
          <w:rFonts w:ascii="宋体" w:hAnsi="宋体"/>
          <w:color w:val="auto"/>
          <w:szCs w:val="21"/>
          <w:highlight w:val="none"/>
        </w:rPr>
      </w:pPr>
    </w:p>
    <w:p>
      <w:pPr>
        <w:spacing w:line="320" w:lineRule="exact"/>
        <w:jc w:val="center"/>
        <w:rPr>
          <w:rFonts w:ascii="宋体" w:hAnsi="宋体"/>
          <w:b/>
          <w:color w:val="auto"/>
          <w:sz w:val="32"/>
          <w:szCs w:val="32"/>
          <w:highlight w:val="none"/>
        </w:rPr>
      </w:pPr>
      <w:r>
        <w:rPr>
          <w:rFonts w:hint="eastAsia" w:ascii="宋体" w:hAnsi="宋体"/>
          <w:b/>
          <w:color w:val="auto"/>
          <w:sz w:val="32"/>
          <w:szCs w:val="32"/>
          <w:highlight w:val="none"/>
        </w:rPr>
        <w:t>供应商直接控股、管理关系信息表</w:t>
      </w:r>
    </w:p>
    <w:p>
      <w:pPr>
        <w:snapToGrid w:val="0"/>
        <w:spacing w:before="156" w:beforeLines="50" w:after="50" w:line="360" w:lineRule="auto"/>
        <w:jc w:val="center"/>
        <w:rPr>
          <w:rFonts w:ascii="宋体" w:hAnsi="宋体"/>
          <w:b/>
          <w:color w:val="auto"/>
          <w:sz w:val="24"/>
          <w:highlight w:val="none"/>
        </w:rPr>
      </w:pPr>
    </w:p>
    <w:p>
      <w:pPr>
        <w:spacing w:line="360" w:lineRule="auto"/>
        <w:contextualSpacing/>
        <w:jc w:val="center"/>
        <w:rPr>
          <w:rFonts w:ascii="宋体" w:hAnsi="宋体"/>
          <w:b/>
          <w:color w:val="auto"/>
          <w:sz w:val="32"/>
          <w:szCs w:val="32"/>
          <w:highlight w:val="none"/>
        </w:rPr>
      </w:pPr>
      <w:r>
        <w:rPr>
          <w:rFonts w:hint="eastAsia" w:ascii="宋体" w:hAnsi="宋体"/>
          <w:b/>
          <w:color w:val="auto"/>
          <w:sz w:val="32"/>
          <w:szCs w:val="32"/>
          <w:highlight w:val="none"/>
        </w:rPr>
        <w:t>供应商直接控股股东信息表</w:t>
      </w:r>
    </w:p>
    <w:p>
      <w:pPr>
        <w:spacing w:line="360" w:lineRule="auto"/>
        <w:contextualSpacing/>
        <w:jc w:val="center"/>
        <w:rPr>
          <w:rFonts w:ascii="宋体" w:hAnsi="宋体"/>
          <w:b/>
          <w:color w:val="auto"/>
          <w:sz w:val="24"/>
          <w:highlight w:val="none"/>
        </w:rPr>
      </w:pPr>
    </w:p>
    <w:tbl>
      <w:tblPr>
        <w:tblStyle w:val="18"/>
        <w:tblW w:w="10147" w:type="dxa"/>
        <w:jc w:val="center"/>
        <w:shd w:val="clear" w:color="auto" w:fill="FBFBFB"/>
        <w:tblLayout w:type="fixed"/>
        <w:tblCellMar>
          <w:top w:w="0" w:type="dxa"/>
          <w:left w:w="0" w:type="dxa"/>
          <w:bottom w:w="0" w:type="dxa"/>
          <w:right w:w="0" w:type="dxa"/>
        </w:tblCellMar>
      </w:tblPr>
      <w:tblGrid>
        <w:gridCol w:w="880"/>
        <w:gridCol w:w="2655"/>
        <w:gridCol w:w="1455"/>
        <w:gridCol w:w="4287"/>
        <w:gridCol w:w="870"/>
      </w:tblGrid>
      <w:tr>
        <w:tblPrEx>
          <w:shd w:val="clear" w:color="auto" w:fill="FBFBFB"/>
          <w:tblCellMar>
            <w:top w:w="0" w:type="dxa"/>
            <w:left w:w="0" w:type="dxa"/>
            <w:bottom w:w="0" w:type="dxa"/>
            <w:right w:w="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bl>
    <w:p>
      <w:pPr>
        <w:spacing w:line="360" w:lineRule="auto"/>
        <w:contextualSpacing/>
        <w:jc w:val="left"/>
        <w:rPr>
          <w:rFonts w:ascii="宋体" w:hAnsi="宋体" w:cs="宋体"/>
          <w:color w:val="auto"/>
          <w:sz w:val="24"/>
          <w:highlight w:val="none"/>
        </w:rPr>
      </w:pPr>
      <w:r>
        <w:rPr>
          <w:rFonts w:hint="eastAsia" w:ascii="宋体" w:hAnsi="宋体" w:cs="宋体"/>
          <w:color w:val="auto"/>
          <w:sz w:val="24"/>
          <w:highlight w:val="none"/>
        </w:rPr>
        <w:t>注：</w:t>
      </w:r>
    </w:p>
    <w:p>
      <w:pPr>
        <w:spacing w:line="360" w:lineRule="auto"/>
        <w:ind w:firstLine="480" w:firstLineChars="200"/>
        <w:contextualSpacing/>
        <w:jc w:val="left"/>
        <w:rPr>
          <w:rFonts w:ascii="宋体" w:hAnsi="宋体" w:cs="宋体"/>
          <w:color w:val="auto"/>
          <w:sz w:val="24"/>
          <w:highlight w:val="none"/>
        </w:rPr>
      </w:pPr>
      <w:r>
        <w:rPr>
          <w:rFonts w:hint="eastAsia" w:ascii="宋体" w:hAnsi="宋体" w:cs="宋体"/>
          <w:color w:val="auto"/>
          <w:sz w:val="24"/>
          <w:highlight w:val="none"/>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pacing w:line="360" w:lineRule="auto"/>
        <w:ind w:firstLine="480" w:firstLineChars="200"/>
        <w:contextualSpacing/>
        <w:jc w:val="left"/>
        <w:rPr>
          <w:rFonts w:ascii="宋体" w:hAnsi="宋体" w:cs="宋体"/>
          <w:color w:val="auto"/>
          <w:sz w:val="24"/>
          <w:highlight w:val="none"/>
        </w:rPr>
      </w:pPr>
      <w:r>
        <w:rPr>
          <w:rFonts w:hint="eastAsia" w:ascii="宋体" w:hAnsi="宋体" w:cs="宋体"/>
          <w:color w:val="auto"/>
          <w:sz w:val="24"/>
          <w:highlight w:val="none"/>
        </w:rPr>
        <w:t>2.本表所指的控股关系仅限于直接控股关系，不包括间接的控股关系。公司实际控制人与公司之间的关系不属于本表所指的直接控股关系。</w:t>
      </w:r>
    </w:p>
    <w:p>
      <w:pPr>
        <w:spacing w:line="360" w:lineRule="auto"/>
        <w:ind w:firstLine="480" w:firstLineChars="200"/>
        <w:contextualSpacing/>
        <w:jc w:val="left"/>
        <w:rPr>
          <w:rFonts w:ascii="宋体" w:hAnsi="宋体" w:cs="宋体"/>
          <w:color w:val="auto"/>
          <w:sz w:val="24"/>
          <w:highlight w:val="none"/>
        </w:rPr>
      </w:pPr>
      <w:r>
        <w:rPr>
          <w:rFonts w:hint="eastAsia" w:ascii="宋体" w:hAnsi="宋体" w:cs="宋体"/>
          <w:color w:val="auto"/>
          <w:sz w:val="24"/>
          <w:highlight w:val="none"/>
        </w:rPr>
        <w:t>3.供应商不存在直接控股股东的，则填“无”。</w:t>
      </w:r>
    </w:p>
    <w:p>
      <w:pPr>
        <w:snapToGrid w:val="0"/>
        <w:spacing w:line="360" w:lineRule="auto"/>
        <w:jc w:val="left"/>
        <w:rPr>
          <w:rFonts w:ascii="宋体" w:hAnsi="宋体" w:cs="宋体"/>
          <w:color w:val="auto"/>
          <w:sz w:val="24"/>
          <w:highlight w:val="none"/>
        </w:rPr>
      </w:pPr>
    </w:p>
    <w:p>
      <w:pPr>
        <w:snapToGrid w:val="0"/>
        <w:spacing w:line="360" w:lineRule="auto"/>
        <w:jc w:val="left"/>
        <w:rPr>
          <w:rFonts w:ascii="宋体" w:hAnsi="宋体" w:cs="宋体"/>
          <w:color w:val="auto"/>
          <w:sz w:val="24"/>
          <w:highlight w:val="none"/>
        </w:rPr>
      </w:pPr>
    </w:p>
    <w:p>
      <w:pPr>
        <w:snapToGrid w:val="0"/>
        <w:spacing w:line="360" w:lineRule="auto"/>
        <w:jc w:val="left"/>
        <w:rPr>
          <w:rFonts w:ascii="宋体" w:hAnsi="宋体" w:cs="宋体"/>
          <w:color w:val="auto"/>
          <w:sz w:val="24"/>
          <w:highlight w:val="none"/>
        </w:rPr>
      </w:pPr>
    </w:p>
    <w:p>
      <w:pPr>
        <w:snapToGrid w:val="0"/>
        <w:spacing w:before="156" w:beforeLines="50" w:line="360" w:lineRule="auto"/>
        <w:ind w:right="480" w:firstLine="3480" w:firstLineChars="1450"/>
        <w:rPr>
          <w:rFonts w:ascii="宋体" w:hAnsi="宋体" w:cs="宋体"/>
          <w:color w:val="auto"/>
          <w:sz w:val="24"/>
          <w:highlight w:val="none"/>
          <w:u w:val="single"/>
        </w:rPr>
      </w:pPr>
      <w:r>
        <w:rPr>
          <w:rFonts w:hint="eastAsia" w:ascii="宋体" w:hAnsi="宋体" w:cs="宋体"/>
          <w:color w:val="auto"/>
          <w:sz w:val="24"/>
          <w:highlight w:val="none"/>
        </w:rPr>
        <w:t>法定代表人或者委托代理人签字：</w:t>
      </w:r>
      <w:r>
        <w:rPr>
          <w:rFonts w:hint="eastAsia" w:ascii="宋体" w:hAnsi="宋体" w:cs="宋体"/>
          <w:color w:val="auto"/>
          <w:sz w:val="24"/>
          <w:highlight w:val="none"/>
          <w:u w:val="single"/>
        </w:rPr>
        <w:t xml:space="preserve">                </w:t>
      </w:r>
    </w:p>
    <w:p>
      <w:pPr>
        <w:snapToGrid w:val="0"/>
        <w:spacing w:before="156" w:beforeLines="50" w:after="50" w:line="360" w:lineRule="auto"/>
        <w:ind w:right="480" w:firstLine="3480" w:firstLineChars="1450"/>
        <w:rPr>
          <w:rFonts w:ascii="宋体" w:hAnsi="宋体" w:cs="宋体"/>
          <w:color w:val="auto"/>
          <w:sz w:val="24"/>
          <w:highlight w:val="none"/>
          <w:u w:val="single"/>
        </w:rPr>
      </w:pPr>
      <w:r>
        <w:rPr>
          <w:rFonts w:hint="eastAsia" w:ascii="宋体" w:hAnsi="宋体" w:cs="宋体"/>
          <w:color w:val="auto"/>
          <w:sz w:val="24"/>
          <w:highlight w:val="none"/>
        </w:rPr>
        <w:t>供应商（盖公章 ）：</w:t>
      </w:r>
      <w:r>
        <w:rPr>
          <w:rFonts w:hint="eastAsia" w:ascii="宋体" w:hAnsi="宋体" w:cs="宋体"/>
          <w:color w:val="auto"/>
          <w:sz w:val="24"/>
          <w:highlight w:val="none"/>
          <w:u w:val="single"/>
        </w:rPr>
        <w:t xml:space="preserve">                           </w:t>
      </w:r>
    </w:p>
    <w:p>
      <w:pPr>
        <w:snapToGrid w:val="0"/>
        <w:spacing w:before="156" w:beforeLines="50" w:after="50" w:line="360" w:lineRule="auto"/>
        <w:ind w:right="480" w:firstLine="5280" w:firstLineChars="2200"/>
        <w:rPr>
          <w:rFonts w:ascii="宋体" w:hAnsi="宋体"/>
          <w:b/>
          <w:color w:val="auto"/>
          <w:sz w:val="28"/>
          <w:szCs w:val="28"/>
          <w:highlight w:val="none"/>
        </w:rPr>
      </w:pPr>
      <w:r>
        <w:rPr>
          <w:rFonts w:hint="eastAsia" w:ascii="宋体" w:hAnsi="宋体" w:cs="宋体"/>
          <w:color w:val="auto"/>
          <w:sz w:val="24"/>
          <w:highlight w:val="none"/>
        </w:rPr>
        <w:t>年    月    日</w:t>
      </w:r>
      <w:r>
        <w:rPr>
          <w:rFonts w:ascii="宋体" w:hAnsi="宋体"/>
          <w:b/>
          <w:color w:val="auto"/>
          <w:sz w:val="28"/>
          <w:szCs w:val="28"/>
          <w:highlight w:val="none"/>
        </w:rPr>
        <w:br w:type="page"/>
      </w:r>
    </w:p>
    <w:p>
      <w:pPr>
        <w:spacing w:line="320" w:lineRule="exact"/>
        <w:jc w:val="center"/>
        <w:rPr>
          <w:rFonts w:ascii="宋体" w:hAnsi="宋体"/>
          <w:b/>
          <w:color w:val="auto"/>
          <w:sz w:val="32"/>
          <w:szCs w:val="32"/>
          <w:highlight w:val="none"/>
        </w:rPr>
      </w:pPr>
      <w:r>
        <w:rPr>
          <w:rFonts w:hint="eastAsia" w:ascii="宋体" w:hAnsi="宋体"/>
          <w:b/>
          <w:color w:val="auto"/>
          <w:sz w:val="32"/>
          <w:szCs w:val="32"/>
          <w:highlight w:val="none"/>
        </w:rPr>
        <w:t>供应商直接管理关系信息表</w:t>
      </w:r>
    </w:p>
    <w:p>
      <w:pPr>
        <w:snapToGrid w:val="0"/>
        <w:spacing w:line="360" w:lineRule="auto"/>
        <w:jc w:val="center"/>
        <w:rPr>
          <w:rFonts w:ascii="宋体" w:hAnsi="宋体"/>
          <w:b/>
          <w:color w:val="auto"/>
          <w:sz w:val="24"/>
          <w:highlight w:val="none"/>
        </w:rPr>
      </w:pPr>
    </w:p>
    <w:tbl>
      <w:tblPr>
        <w:tblStyle w:val="18"/>
        <w:tblW w:w="9652" w:type="dxa"/>
        <w:jc w:val="center"/>
        <w:shd w:val="clear" w:color="auto" w:fill="FBFBFB"/>
        <w:tblLayout w:type="fixed"/>
        <w:tblCellMar>
          <w:top w:w="0" w:type="dxa"/>
          <w:left w:w="0" w:type="dxa"/>
          <w:bottom w:w="0" w:type="dxa"/>
          <w:right w:w="0" w:type="dxa"/>
        </w:tblCellMar>
      </w:tblPr>
      <w:tblGrid>
        <w:gridCol w:w="808"/>
        <w:gridCol w:w="3600"/>
        <w:gridCol w:w="3555"/>
        <w:gridCol w:w="1689"/>
      </w:tblGrid>
      <w:tr>
        <w:tblPrEx>
          <w:shd w:val="clear" w:color="auto" w:fill="FBFBFB"/>
          <w:tblCellMar>
            <w:top w:w="0" w:type="dxa"/>
            <w:left w:w="0" w:type="dxa"/>
            <w:bottom w:w="0" w:type="dxa"/>
            <w:right w:w="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contextualSpacing/>
              <w:jc w:val="center"/>
              <w:rPr>
                <w:rFonts w:ascii="宋体" w:hAnsi="宋体" w:cs="宋体"/>
                <w:color w:val="auto"/>
                <w:kern w:val="0"/>
                <w:sz w:val="24"/>
                <w:highlight w:val="none"/>
              </w:rPr>
            </w:pPr>
          </w:p>
        </w:tc>
      </w:tr>
    </w:tbl>
    <w:p>
      <w:pPr>
        <w:spacing w:line="360" w:lineRule="auto"/>
        <w:contextualSpacing/>
        <w:jc w:val="left"/>
        <w:rPr>
          <w:rFonts w:ascii="宋体" w:hAnsi="宋体"/>
          <w:color w:val="auto"/>
          <w:sz w:val="24"/>
          <w:highlight w:val="none"/>
        </w:rPr>
      </w:pPr>
      <w:r>
        <w:rPr>
          <w:rFonts w:hint="eastAsia" w:ascii="宋体" w:hAnsi="宋体"/>
          <w:color w:val="auto"/>
          <w:sz w:val="24"/>
          <w:highlight w:val="none"/>
        </w:rPr>
        <w:t>注：</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1.管理关系：是指不具有出资持股关系的其他单位之间存在的管理与被管理关系，如一些上下级关系的事业单位和团体组织。</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pacing w:val="-6"/>
          <w:sz w:val="24"/>
          <w:highlight w:val="none"/>
        </w:rPr>
        <w:t>本表所指的管理关系仅限于直接管理关系，不包括间接的管理关系。</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3.供应商不存在直接管理关系的，则填“无”。</w:t>
      </w:r>
    </w:p>
    <w:p>
      <w:pPr>
        <w:spacing w:line="360" w:lineRule="auto"/>
        <w:contextualSpacing/>
        <w:jc w:val="left"/>
        <w:rPr>
          <w:rFonts w:ascii="宋体" w:hAnsi="宋体"/>
          <w:color w:val="auto"/>
          <w:sz w:val="24"/>
          <w:highlight w:val="none"/>
        </w:rPr>
      </w:pPr>
    </w:p>
    <w:p>
      <w:pPr>
        <w:spacing w:line="360" w:lineRule="auto"/>
        <w:contextualSpacing/>
        <w:jc w:val="left"/>
        <w:rPr>
          <w:rFonts w:ascii="宋体" w:hAnsi="宋体"/>
          <w:color w:val="auto"/>
          <w:sz w:val="24"/>
          <w:highlight w:val="none"/>
        </w:rPr>
      </w:pPr>
    </w:p>
    <w:p>
      <w:pPr>
        <w:spacing w:line="360" w:lineRule="auto"/>
        <w:contextualSpacing/>
        <w:jc w:val="left"/>
        <w:rPr>
          <w:color w:val="auto"/>
          <w:sz w:val="24"/>
          <w:highlight w:val="none"/>
        </w:rPr>
      </w:pPr>
    </w:p>
    <w:p>
      <w:pPr>
        <w:spacing w:line="360" w:lineRule="auto"/>
        <w:contextualSpacing/>
        <w:jc w:val="left"/>
        <w:rPr>
          <w:color w:val="auto"/>
          <w:sz w:val="24"/>
          <w:highlight w:val="none"/>
        </w:rPr>
      </w:pPr>
    </w:p>
    <w:p>
      <w:pPr>
        <w:spacing w:line="360" w:lineRule="auto"/>
        <w:contextualSpacing/>
        <w:jc w:val="left"/>
        <w:rPr>
          <w:color w:val="auto"/>
          <w:sz w:val="24"/>
          <w:highlight w:val="none"/>
        </w:rPr>
      </w:pPr>
    </w:p>
    <w:p>
      <w:pPr>
        <w:spacing w:line="360" w:lineRule="auto"/>
        <w:contextualSpacing/>
        <w:jc w:val="left"/>
        <w:rPr>
          <w:rFonts w:ascii="宋体" w:hAnsi="宋体"/>
          <w:color w:val="auto"/>
          <w:sz w:val="24"/>
          <w:highlight w:val="none"/>
        </w:rPr>
      </w:pPr>
    </w:p>
    <w:p>
      <w:pPr>
        <w:spacing w:line="360" w:lineRule="auto"/>
        <w:ind w:right="480" w:firstLine="3360" w:firstLineChars="1400"/>
        <w:contextualSpacing/>
        <w:rPr>
          <w:rFonts w:ascii="宋体" w:hAnsi="宋体"/>
          <w:color w:val="auto"/>
          <w:sz w:val="24"/>
          <w:highlight w:val="none"/>
          <w:u w:val="single"/>
        </w:rPr>
      </w:pPr>
      <w:r>
        <w:rPr>
          <w:rFonts w:hint="eastAsia" w:ascii="宋体" w:hAnsi="宋体"/>
          <w:color w:val="auto"/>
          <w:sz w:val="24"/>
          <w:highlight w:val="none"/>
        </w:rPr>
        <w:t>法定代表人或者委托代理人签字：</w:t>
      </w:r>
      <w:r>
        <w:rPr>
          <w:rFonts w:hint="eastAsia" w:ascii="宋体" w:hAnsi="宋体"/>
          <w:color w:val="auto"/>
          <w:sz w:val="24"/>
          <w:highlight w:val="none"/>
          <w:u w:val="single"/>
        </w:rPr>
        <w:t xml:space="preserve">               </w:t>
      </w:r>
    </w:p>
    <w:p>
      <w:pPr>
        <w:spacing w:line="360" w:lineRule="auto"/>
        <w:ind w:right="480" w:firstLine="3360" w:firstLineChars="1400"/>
        <w:contextualSpacing/>
        <w:rPr>
          <w:rFonts w:ascii="宋体" w:hAnsi="宋体"/>
          <w:color w:val="auto"/>
          <w:sz w:val="24"/>
          <w:highlight w:val="none"/>
        </w:rPr>
      </w:pPr>
      <w:r>
        <w:rPr>
          <w:rFonts w:hint="eastAsia" w:ascii="宋体" w:hAnsi="宋体"/>
          <w:color w:val="auto"/>
          <w:sz w:val="24"/>
          <w:highlight w:val="none"/>
        </w:rPr>
        <w:t>供应商（盖公章）：</w:t>
      </w:r>
      <w:r>
        <w:rPr>
          <w:rFonts w:hint="eastAsia" w:ascii="宋体" w:hAnsi="宋体"/>
          <w:color w:val="auto"/>
          <w:sz w:val="24"/>
          <w:highlight w:val="none"/>
          <w:u w:val="single"/>
        </w:rPr>
        <w:t xml:space="preserve">                </w:t>
      </w:r>
    </w:p>
    <w:p>
      <w:pPr>
        <w:spacing w:line="360" w:lineRule="auto"/>
        <w:ind w:right="480" w:firstLine="240" w:firstLineChars="100"/>
        <w:contextualSpacing/>
        <w:jc w:val="center"/>
        <w:rPr>
          <w:rFonts w:ascii="宋体" w:hAnsi="宋体"/>
          <w:color w:val="auto"/>
          <w:sz w:val="28"/>
          <w:szCs w:val="28"/>
          <w:highlight w:val="none"/>
        </w:rPr>
      </w:pPr>
      <w:r>
        <w:rPr>
          <w:rFonts w:hint="eastAsia" w:ascii="宋体" w:hAnsi="宋体"/>
          <w:color w:val="auto"/>
          <w:sz w:val="24"/>
          <w:highlight w:val="none"/>
        </w:rPr>
        <w:t xml:space="preserve">                                        年    月    日</w:t>
      </w:r>
    </w:p>
    <w:p>
      <w:pPr>
        <w:spacing w:line="320" w:lineRule="exact"/>
        <w:jc w:val="center"/>
        <w:rPr>
          <w:rFonts w:ascii="宋体" w:hAnsi="宋体"/>
          <w:b/>
          <w:color w:val="auto"/>
          <w:sz w:val="32"/>
          <w:szCs w:val="32"/>
          <w:highlight w:val="none"/>
        </w:rPr>
      </w:pPr>
      <w:r>
        <w:rPr>
          <w:rFonts w:ascii="宋体" w:hAnsi="宋体"/>
          <w:color w:val="auto"/>
          <w:sz w:val="28"/>
          <w:szCs w:val="28"/>
          <w:highlight w:val="none"/>
        </w:rPr>
        <w:br w:type="page"/>
      </w:r>
      <w:r>
        <w:rPr>
          <w:rFonts w:hint="eastAsia" w:ascii="宋体" w:hAnsi="宋体"/>
          <w:b/>
          <w:color w:val="auto"/>
          <w:sz w:val="32"/>
          <w:szCs w:val="32"/>
          <w:highlight w:val="none"/>
        </w:rPr>
        <w:t>竞标声明</w:t>
      </w:r>
    </w:p>
    <w:p>
      <w:pPr>
        <w:spacing w:line="320" w:lineRule="exact"/>
        <w:jc w:val="center"/>
        <w:rPr>
          <w:rFonts w:ascii="宋体" w:hAnsi="宋体"/>
          <w:color w:val="auto"/>
          <w:sz w:val="24"/>
          <w:szCs w:val="20"/>
          <w:highlight w:val="none"/>
        </w:rPr>
      </w:pPr>
    </w:p>
    <w:p>
      <w:pPr>
        <w:spacing w:line="360" w:lineRule="auto"/>
        <w:contextualSpacing/>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（采购人名称）</w:t>
      </w:r>
      <w:r>
        <w:rPr>
          <w:rFonts w:hint="eastAsia" w:ascii="宋体" w:hAnsi="宋体" w:cs="宋体"/>
          <w:color w:val="auto"/>
          <w:sz w:val="24"/>
          <w:highlight w:val="none"/>
        </w:rPr>
        <w:t>：</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u w:val="single"/>
        </w:rPr>
        <w:t>（供应商名称）</w:t>
      </w:r>
      <w:r>
        <w:rPr>
          <w:rFonts w:hint="eastAsia" w:ascii="宋体" w:hAnsi="宋体" w:cs="宋体"/>
          <w:color w:val="auto"/>
          <w:sz w:val="24"/>
          <w:highlight w:val="none"/>
        </w:rPr>
        <w:t>系中华人民共和国合法供应商，经营地址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我方愿意参加贵方组织的</w:t>
      </w:r>
      <w:r>
        <w:rPr>
          <w:rFonts w:hint="eastAsia" w:ascii="宋体" w:hAnsi="宋体" w:cs="宋体"/>
          <w:color w:val="auto"/>
          <w:sz w:val="24"/>
          <w:highlight w:val="none"/>
          <w:u w:val="single"/>
        </w:rPr>
        <w:t>（项目名称）</w:t>
      </w:r>
      <w:r>
        <w:rPr>
          <w:rFonts w:hint="eastAsia" w:ascii="宋体" w:hAnsi="宋体" w:cs="宋体"/>
          <w:color w:val="auto"/>
          <w:sz w:val="24"/>
          <w:highlight w:val="none"/>
        </w:rPr>
        <w:t>项目的竞标，为便于贵方公正、择优地确定成交供应商及其竞标产品和服务，我方就本次竞标有关事项郑重声明如下：</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1.我方向贵方提交的所有响应文件、资料都是准确的和真实的。</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olor w:val="auto"/>
          <w:sz w:val="24"/>
          <w:highlight w:val="none"/>
        </w:rPr>
        <w:t>我方不是为本次采购项目提供整体设计、规范编制或者项目管理、监理、检测等服务的供应商</w:t>
      </w:r>
      <w:r>
        <w:rPr>
          <w:rFonts w:hint="eastAsia" w:ascii="宋体" w:hAnsi="宋体" w:cs="宋体"/>
          <w:color w:val="auto"/>
          <w:sz w:val="24"/>
          <w:highlight w:val="none"/>
        </w:rPr>
        <w:t>。</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3.在此，我方宣布同意如下：</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（1）将按磋商文件的约定履行合同责任和义务；</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（2）已详细审查全部磋商文件，包括澄清或者更正公告（如有）；</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（3）同意提供按照贵方可能要求的与磋商有关的一切数据或者资料；</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（4）响应磋商文件规定的竞标有效期。</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4.我方承诺符合《中华人民共和国政府采购法》第二十二条规定：</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（2）具有良好的商业信誉和健全的财务会计制度；</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（6）法律、行政法规规定的其他条件。</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6.根据《中华人民共和国政府采购法实施条例》第五十条要求对政府采购合同进行公告，但政府采购合同中涉及国家秘密、商业秘密的内容除外。我方就对本次响应文件进行注明如下：（两项内容中必须选择一项）</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□我方本次响应文件</w:t>
      </w:r>
      <w:r>
        <w:rPr>
          <w:rFonts w:hint="eastAsia" w:ascii="宋体" w:hAnsi="宋体" w:cs="宋体"/>
          <w:color w:val="auto"/>
          <w:kern w:val="0"/>
          <w:sz w:val="24"/>
          <w:highlight w:val="none"/>
        </w:rPr>
        <w:t>内容中</w:t>
      </w:r>
      <w:r>
        <w:rPr>
          <w:rFonts w:hint="eastAsia" w:ascii="宋体" w:hAnsi="宋体" w:cs="宋体"/>
          <w:color w:val="auto"/>
          <w:sz w:val="24"/>
          <w:highlight w:val="none"/>
        </w:rPr>
        <w:t>未</w:t>
      </w:r>
      <w:r>
        <w:rPr>
          <w:rFonts w:hint="eastAsia" w:ascii="宋体" w:hAnsi="宋体" w:cs="宋体"/>
          <w:color w:val="auto"/>
          <w:kern w:val="0"/>
          <w:sz w:val="24"/>
          <w:highlight w:val="none"/>
        </w:rPr>
        <w:t>涉及商业秘密；</w:t>
      </w:r>
    </w:p>
    <w:p>
      <w:pPr>
        <w:spacing w:line="360" w:lineRule="auto"/>
        <w:ind w:firstLine="480" w:firstLineChars="200"/>
        <w:contextualSpacing/>
        <w:rPr>
          <w:rFonts w:ascii="宋体" w:hAnsi="宋体" w:cs="宋体"/>
          <w:color w:val="auto"/>
          <w:sz w:val="24"/>
          <w:highlight w:val="none"/>
        </w:rPr>
      </w:pPr>
      <w:r>
        <w:rPr>
          <w:rFonts w:hint="eastAsia" w:ascii="宋体" w:hAnsi="宋体" w:cs="宋体"/>
          <w:color w:val="auto"/>
          <w:sz w:val="24"/>
          <w:highlight w:val="none"/>
        </w:rPr>
        <w:t>□我方本次响应文件</w:t>
      </w:r>
      <w:r>
        <w:rPr>
          <w:rFonts w:hint="eastAsia" w:ascii="宋体" w:hAnsi="宋体" w:cs="宋体"/>
          <w:color w:val="auto"/>
          <w:kern w:val="0"/>
          <w:sz w:val="24"/>
          <w:highlight w:val="none"/>
        </w:rPr>
        <w:t>涉及商业秘密的内容有：</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12"/>
        <w:spacing w:line="360" w:lineRule="auto"/>
        <w:ind w:firstLine="480" w:firstLineChars="200"/>
        <w:contextualSpacing/>
        <w:rPr>
          <w:rFonts w:hAnsi="宋体" w:cs="宋体"/>
          <w:color w:val="auto"/>
          <w:sz w:val="24"/>
          <w:szCs w:val="24"/>
          <w:highlight w:val="none"/>
          <w:u w:val="single"/>
        </w:rPr>
      </w:pPr>
      <w:r>
        <w:rPr>
          <w:rFonts w:hint="eastAsia" w:hAnsi="宋体" w:cs="宋体"/>
          <w:color w:val="auto"/>
          <w:sz w:val="24"/>
          <w:szCs w:val="24"/>
          <w:highlight w:val="none"/>
        </w:rPr>
        <w:t>7.与本磋商有关的一切正式往来信函请寄：</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邮政编号：</w:t>
      </w:r>
      <w:r>
        <w:rPr>
          <w:rFonts w:hint="eastAsia" w:hAnsi="宋体" w:cs="宋体"/>
          <w:color w:val="auto"/>
          <w:sz w:val="24"/>
          <w:szCs w:val="24"/>
          <w:highlight w:val="none"/>
          <w:u w:val="single"/>
        </w:rPr>
        <w:t xml:space="preserve">        </w:t>
      </w:r>
    </w:p>
    <w:p>
      <w:pPr>
        <w:pStyle w:val="12"/>
        <w:spacing w:line="360" w:lineRule="auto"/>
        <w:ind w:firstLine="480" w:firstLineChars="200"/>
        <w:contextualSpacing/>
        <w:rPr>
          <w:rFonts w:hAnsi="宋体" w:cs="宋体"/>
          <w:color w:val="auto"/>
          <w:sz w:val="24"/>
          <w:szCs w:val="24"/>
          <w:highlight w:val="none"/>
        </w:rPr>
      </w:pPr>
      <w:r>
        <w:rPr>
          <w:rFonts w:hint="eastAsia" w:hAnsi="宋体" w:cs="宋体"/>
          <w:color w:val="auto"/>
          <w:sz w:val="24"/>
          <w:szCs w:val="24"/>
          <w:highlight w:val="none"/>
        </w:rPr>
        <w:t>电话/传真：</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 xml:space="preserve"> 电子函件：</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 xml:space="preserve">    </w:t>
      </w:r>
    </w:p>
    <w:p>
      <w:pPr>
        <w:pStyle w:val="11"/>
        <w:tabs>
          <w:tab w:val="left" w:pos="939"/>
        </w:tabs>
        <w:spacing w:line="360" w:lineRule="auto"/>
        <w:ind w:left="141" w:leftChars="67" w:firstLine="360" w:firstLineChars="150"/>
        <w:rPr>
          <w:rFonts w:ascii="宋体" w:hAnsi="宋体" w:cs="宋体"/>
          <w:color w:val="auto"/>
          <w:sz w:val="24"/>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帐号：</w:t>
      </w:r>
      <w:r>
        <w:rPr>
          <w:rFonts w:hint="eastAsia" w:ascii="宋体" w:hAnsi="宋体" w:cs="宋体"/>
          <w:color w:val="auto"/>
          <w:sz w:val="24"/>
          <w:highlight w:val="none"/>
          <w:u w:val="single"/>
        </w:rPr>
        <w:t xml:space="preserve">                               </w:t>
      </w:r>
    </w:p>
    <w:p>
      <w:pPr>
        <w:pStyle w:val="11"/>
        <w:tabs>
          <w:tab w:val="left" w:pos="939"/>
        </w:tabs>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8.以上事项如有虚假或者隐瞒，我方愿意承担一切后果，并不再寻求任何旨在减轻或者免除法律责任的辩解。</w:t>
      </w:r>
    </w:p>
    <w:p>
      <w:pPr>
        <w:pStyle w:val="11"/>
        <w:tabs>
          <w:tab w:val="left" w:pos="939"/>
        </w:tabs>
        <w:spacing w:line="360" w:lineRule="auto"/>
        <w:ind w:left="141" w:leftChars="67" w:firstLine="360" w:firstLineChars="150"/>
        <w:rPr>
          <w:rFonts w:ascii="宋体" w:hAnsi="宋体" w:cs="宋体"/>
          <w:color w:val="auto"/>
          <w:sz w:val="24"/>
          <w:highlight w:val="none"/>
        </w:rPr>
      </w:pPr>
      <w:r>
        <w:rPr>
          <w:rFonts w:hint="eastAsia" w:ascii="宋体" w:hAnsi="宋体" w:cs="宋体"/>
          <w:color w:val="auto"/>
          <w:sz w:val="24"/>
          <w:highlight w:val="none"/>
        </w:rPr>
        <w:t>特此承诺。</w:t>
      </w:r>
    </w:p>
    <w:p>
      <w:pPr>
        <w:pStyle w:val="11"/>
        <w:tabs>
          <w:tab w:val="left" w:pos="939"/>
        </w:tabs>
        <w:spacing w:line="360" w:lineRule="auto"/>
        <w:ind w:left="0" w:leftChars="0" w:firstLine="482" w:firstLineChars="200"/>
        <w:rPr>
          <w:rFonts w:ascii="宋体" w:hAnsi="宋体" w:cs="宋体"/>
          <w:b/>
          <w:color w:val="auto"/>
          <w:sz w:val="24"/>
          <w:highlight w:val="none"/>
        </w:rPr>
      </w:pPr>
      <w:r>
        <w:rPr>
          <w:rFonts w:hint="eastAsia" w:ascii="宋体" w:hAnsi="宋体" w:cs="宋体"/>
          <w:b/>
          <w:color w:val="auto"/>
          <w:sz w:val="24"/>
          <w:highlight w:val="none"/>
        </w:rPr>
        <w:t>注：如为联合体竞标，盖章处须加盖联合体各方公章并由联合体各方法定代表人签署，否则其响应文件按无效响应处理。</w:t>
      </w:r>
    </w:p>
    <w:p>
      <w:pPr>
        <w:pStyle w:val="11"/>
        <w:tabs>
          <w:tab w:val="left" w:pos="939"/>
        </w:tabs>
        <w:spacing w:line="360" w:lineRule="auto"/>
        <w:ind w:left="0" w:leftChars="0" w:firstLine="480" w:firstLineChars="200"/>
        <w:rPr>
          <w:rFonts w:ascii="宋体" w:hAnsi="宋体" w:cs="宋体"/>
          <w:color w:val="auto"/>
          <w:sz w:val="24"/>
          <w:highlight w:val="none"/>
        </w:rPr>
      </w:pPr>
    </w:p>
    <w:p>
      <w:pPr>
        <w:spacing w:line="360" w:lineRule="auto"/>
        <w:ind w:firstLine="4320" w:firstLineChars="1800"/>
        <w:contextualSpacing/>
        <w:rPr>
          <w:color w:val="auto"/>
          <w:sz w:val="24"/>
          <w:highlight w:val="none"/>
        </w:rPr>
      </w:pPr>
      <w:r>
        <w:rPr>
          <w:rFonts w:hint="eastAsia"/>
          <w:color w:val="auto"/>
          <w:sz w:val="24"/>
          <w:highlight w:val="none"/>
        </w:rPr>
        <w:t>法定代表人（签字或者盖章）：</w:t>
      </w:r>
      <w:r>
        <w:rPr>
          <w:rFonts w:hint="eastAsia"/>
          <w:color w:val="auto"/>
          <w:sz w:val="24"/>
          <w:highlight w:val="none"/>
          <w:u w:val="single"/>
        </w:rPr>
        <w:t xml:space="preserve">                             </w:t>
      </w:r>
      <w:r>
        <w:rPr>
          <w:rFonts w:hint="eastAsia"/>
          <w:color w:val="auto"/>
          <w:sz w:val="24"/>
          <w:highlight w:val="none"/>
        </w:rPr>
        <w:t xml:space="preserve">                                     </w:t>
      </w:r>
    </w:p>
    <w:p>
      <w:pPr>
        <w:spacing w:line="360" w:lineRule="auto"/>
        <w:ind w:firstLine="4320" w:firstLineChars="1800"/>
        <w:contextualSpacing/>
        <w:rPr>
          <w:rFonts w:ascii="宋体" w:hAnsi="宋体" w:cs="宋体"/>
          <w:color w:val="auto"/>
          <w:sz w:val="24"/>
          <w:highlight w:val="none"/>
          <w:u w:val="single"/>
        </w:rPr>
      </w:pPr>
      <w:r>
        <w:rPr>
          <w:rFonts w:hint="eastAsia"/>
          <w:color w:val="auto"/>
          <w:sz w:val="24"/>
          <w:highlight w:val="none"/>
        </w:rPr>
        <w:t>供应商（盖公章）：</w:t>
      </w:r>
      <w:r>
        <w:rPr>
          <w:rFonts w:hint="eastAsia"/>
          <w:color w:val="auto"/>
          <w:sz w:val="24"/>
          <w:highlight w:val="none"/>
          <w:u w:val="single"/>
        </w:rPr>
        <w:t xml:space="preserve">                               </w:t>
      </w:r>
      <w:r>
        <w:rPr>
          <w:rFonts w:hint="eastAsia"/>
          <w:color w:val="auto"/>
          <w:sz w:val="24"/>
          <w:highlight w:val="none"/>
        </w:rPr>
        <w:t xml:space="preserve">       </w:t>
      </w:r>
      <w:r>
        <w:rPr>
          <w:rFonts w:hint="eastAsia" w:ascii="宋体" w:hAnsi="宋体" w:cs="宋体"/>
          <w:color w:val="auto"/>
          <w:sz w:val="24"/>
          <w:highlight w:val="none"/>
        </w:rPr>
        <w:t xml:space="preserve">    </w:t>
      </w:r>
    </w:p>
    <w:p>
      <w:pPr>
        <w:spacing w:line="360" w:lineRule="auto"/>
        <w:ind w:right="480" w:firstLine="240" w:firstLineChars="100"/>
        <w:contextualSpacing/>
        <w:jc w:val="center"/>
        <w:rPr>
          <w:color w:val="auto"/>
          <w:sz w:val="24"/>
          <w:highlight w:val="none"/>
        </w:rPr>
      </w:pPr>
      <w:r>
        <w:rPr>
          <w:rFonts w:hint="eastAsia" w:ascii="宋体" w:hAnsi="宋体" w:cs="宋体"/>
          <w:color w:val="auto"/>
          <w:sz w:val="24"/>
          <w:highlight w:val="none"/>
        </w:rPr>
        <w:t xml:space="preserve">                                                  </w:t>
      </w:r>
      <w:r>
        <w:rPr>
          <w:rFonts w:hint="eastAsia"/>
          <w:color w:val="auto"/>
          <w:sz w:val="24"/>
          <w:highlight w:val="none"/>
        </w:rPr>
        <w:t xml:space="preserve"> 年    月    日</w:t>
      </w:r>
    </w:p>
    <w:p>
      <w:pPr>
        <w:pStyle w:val="6"/>
        <w:overflowPunct w:val="0"/>
        <w:spacing w:line="520" w:lineRule="exact"/>
        <w:ind w:right="480" w:firstLine="321" w:firstLineChars="100"/>
        <w:contextualSpacing/>
        <w:jc w:val="center"/>
        <w:rPr>
          <w:rFonts w:ascii="宋体" w:hAnsi="宋体"/>
          <w:b/>
          <w:bCs/>
          <w:color w:val="auto"/>
          <w:sz w:val="32"/>
          <w:szCs w:val="32"/>
          <w:highlight w:val="none"/>
        </w:rPr>
      </w:pPr>
    </w:p>
    <w:p>
      <w:pPr>
        <w:snapToGrid w:val="0"/>
        <w:spacing w:before="156" w:beforeLines="50" w:after="50" w:line="360" w:lineRule="auto"/>
        <w:ind w:right="480"/>
        <w:rPr>
          <w:rFonts w:ascii="宋体" w:hAnsi="宋体"/>
          <w:b/>
          <w:color w:val="auto"/>
          <w:sz w:val="32"/>
          <w:szCs w:val="32"/>
          <w:highlight w:val="none"/>
        </w:rPr>
      </w:pPr>
      <w:r>
        <w:rPr>
          <w:rFonts w:ascii="宋体" w:hAnsi="宋体"/>
          <w:b/>
          <w:bCs/>
          <w:color w:val="auto"/>
          <w:sz w:val="32"/>
          <w:szCs w:val="32"/>
          <w:highlight w:val="none"/>
        </w:rPr>
        <w:br w:type="page"/>
      </w:r>
      <w:r>
        <w:rPr>
          <w:rFonts w:hint="eastAsia" w:ascii="宋体" w:hAnsi="宋体"/>
          <w:b/>
          <w:bCs/>
          <w:color w:val="auto"/>
          <w:sz w:val="32"/>
          <w:szCs w:val="32"/>
          <w:highlight w:val="none"/>
        </w:rPr>
        <w:t>二、</w:t>
      </w:r>
      <w:r>
        <w:rPr>
          <w:rFonts w:hint="eastAsia" w:ascii="宋体" w:hAnsi="宋体"/>
          <w:b/>
          <w:color w:val="auto"/>
          <w:sz w:val="32"/>
          <w:szCs w:val="32"/>
          <w:highlight w:val="none"/>
        </w:rPr>
        <w:t>报价商务技术文件格式</w:t>
      </w:r>
    </w:p>
    <w:p>
      <w:pPr>
        <w:snapToGrid w:val="0"/>
        <w:spacing w:before="156" w:beforeLines="50" w:after="50" w:line="360" w:lineRule="auto"/>
        <w:jc w:val="left"/>
        <w:rPr>
          <w:rFonts w:ascii="宋体" w:hAnsi="宋体"/>
          <w:b/>
          <w:color w:val="auto"/>
          <w:sz w:val="32"/>
          <w:szCs w:val="32"/>
          <w:highlight w:val="none"/>
        </w:rPr>
      </w:pPr>
      <w:r>
        <w:rPr>
          <w:rFonts w:hint="eastAsia" w:ascii="宋体" w:hAnsi="宋体"/>
          <w:b/>
          <w:color w:val="auto"/>
          <w:sz w:val="32"/>
          <w:szCs w:val="32"/>
          <w:highlight w:val="none"/>
        </w:rPr>
        <w:t>1.报价商务技术文件封面格式</w:t>
      </w:r>
    </w:p>
    <w:p>
      <w:pPr>
        <w:snapToGrid w:val="0"/>
        <w:spacing w:before="156" w:beforeLines="50" w:after="50"/>
        <w:rPr>
          <w:rFonts w:ascii="宋体" w:hAnsi="宋体"/>
          <w:bCs/>
          <w:color w:val="auto"/>
          <w:sz w:val="32"/>
          <w:szCs w:val="20"/>
          <w:highlight w:val="none"/>
        </w:rPr>
      </w:pPr>
      <w:r>
        <w:rPr>
          <w:rFonts w:hint="eastAsia" w:ascii="宋体" w:hAnsi="宋体"/>
          <w:color w:val="auto"/>
          <w:sz w:val="24"/>
          <w:highlight w:val="none"/>
        </w:rPr>
        <w:t xml:space="preserve">                                                   </w:t>
      </w:r>
    </w:p>
    <w:p>
      <w:pPr>
        <w:snapToGrid w:val="0"/>
        <w:spacing w:before="156" w:beforeLines="50" w:after="50"/>
        <w:rPr>
          <w:rFonts w:ascii="宋体" w:hAnsi="宋体"/>
          <w:color w:val="auto"/>
          <w:sz w:val="24"/>
          <w:szCs w:val="20"/>
          <w:highlight w:val="none"/>
        </w:rPr>
      </w:pPr>
    </w:p>
    <w:p>
      <w:pPr>
        <w:snapToGrid w:val="0"/>
        <w:spacing w:before="156" w:beforeLines="50" w:after="50"/>
        <w:jc w:val="center"/>
        <w:rPr>
          <w:rFonts w:ascii="方正小标宋简体" w:hAnsi="方正小标宋简体" w:eastAsia="方正小标宋简体" w:cs="方正小标宋简体"/>
          <w:bCs/>
          <w:color w:val="auto"/>
          <w:sz w:val="84"/>
          <w:szCs w:val="84"/>
          <w:highlight w:val="none"/>
        </w:rPr>
      </w:pPr>
      <w:r>
        <w:rPr>
          <w:rFonts w:hint="eastAsia" w:ascii="方正小标宋简体" w:hAnsi="方正小标宋简体" w:eastAsia="方正小标宋简体" w:cs="方正小标宋简体"/>
          <w:bCs/>
          <w:color w:val="auto"/>
          <w:sz w:val="84"/>
          <w:szCs w:val="84"/>
          <w:highlight w:val="none"/>
        </w:rPr>
        <w:t>响  应  文  件</w:t>
      </w:r>
    </w:p>
    <w:p>
      <w:pPr>
        <w:snapToGrid w:val="0"/>
        <w:spacing w:before="156" w:beforeLines="50" w:after="50"/>
        <w:jc w:val="center"/>
        <w:rPr>
          <w:rFonts w:ascii="方正小标宋简体" w:hAnsi="方正小标宋简体" w:eastAsia="方正小标宋简体" w:cs="方正小标宋简体"/>
          <w:bCs/>
          <w:color w:val="auto"/>
          <w:sz w:val="32"/>
          <w:szCs w:val="32"/>
          <w:highlight w:val="none"/>
        </w:rPr>
      </w:pPr>
      <w:r>
        <w:rPr>
          <w:rFonts w:hint="eastAsia" w:ascii="方正小标宋简体" w:hAnsi="方正小标宋简体" w:eastAsia="方正小标宋简体" w:cs="方正小标宋简体"/>
          <w:bCs/>
          <w:color w:val="auto"/>
          <w:sz w:val="32"/>
          <w:szCs w:val="32"/>
          <w:highlight w:val="none"/>
        </w:rPr>
        <w:t>报  价  商  务  技  术  文  件</w:t>
      </w:r>
    </w:p>
    <w:p>
      <w:pPr>
        <w:snapToGrid w:val="0"/>
        <w:spacing w:before="156" w:beforeLines="50" w:after="50"/>
        <w:rPr>
          <w:rFonts w:ascii="宋体" w:hAnsi="宋体"/>
          <w:bCs/>
          <w:color w:val="auto"/>
          <w:sz w:val="24"/>
          <w:szCs w:val="20"/>
          <w:highlight w:val="none"/>
        </w:rPr>
      </w:pPr>
    </w:p>
    <w:p>
      <w:pPr>
        <w:snapToGrid w:val="0"/>
        <w:spacing w:before="156" w:beforeLines="50" w:after="50"/>
        <w:rPr>
          <w:rFonts w:ascii="宋体" w:hAnsi="宋体"/>
          <w:bCs/>
          <w:color w:val="auto"/>
          <w:sz w:val="24"/>
          <w:szCs w:val="20"/>
          <w:highlight w:val="none"/>
        </w:rPr>
      </w:pPr>
    </w:p>
    <w:p>
      <w:pPr>
        <w:snapToGrid w:val="0"/>
        <w:spacing w:before="156" w:beforeLines="50" w:after="50"/>
        <w:rPr>
          <w:rFonts w:ascii="宋体" w:hAnsi="宋体"/>
          <w:bCs/>
          <w:color w:val="auto"/>
          <w:sz w:val="24"/>
          <w:szCs w:val="20"/>
          <w:highlight w:val="none"/>
        </w:rPr>
      </w:pPr>
    </w:p>
    <w:p>
      <w:pPr>
        <w:snapToGrid w:val="0"/>
        <w:spacing w:before="156" w:beforeLines="50" w:after="50"/>
        <w:rPr>
          <w:rFonts w:ascii="宋体" w:hAnsi="宋体"/>
          <w:bCs/>
          <w:color w:val="auto"/>
          <w:sz w:val="24"/>
          <w:szCs w:val="20"/>
          <w:highlight w:val="none"/>
        </w:rPr>
      </w:pPr>
    </w:p>
    <w:p>
      <w:pPr>
        <w:snapToGrid w:val="0"/>
        <w:spacing w:before="156" w:beforeLines="50" w:after="50"/>
        <w:rPr>
          <w:rFonts w:ascii="宋体" w:hAnsi="宋体"/>
          <w:bCs/>
          <w:color w:val="auto"/>
          <w:sz w:val="24"/>
          <w:szCs w:val="20"/>
          <w:highlight w:val="none"/>
        </w:rPr>
      </w:pPr>
    </w:p>
    <w:p>
      <w:pPr>
        <w:snapToGrid w:val="0"/>
        <w:spacing w:before="156" w:beforeLines="50" w:after="50"/>
        <w:ind w:firstLine="640" w:firstLineChars="200"/>
        <w:rPr>
          <w:rFonts w:ascii="宋体" w:hAnsi="宋体" w:cs="仿宋_GB2312"/>
          <w:bCs/>
          <w:color w:val="auto"/>
          <w:sz w:val="32"/>
          <w:szCs w:val="32"/>
          <w:highlight w:val="none"/>
        </w:rPr>
      </w:pPr>
      <w:r>
        <w:rPr>
          <w:rFonts w:hint="eastAsia" w:ascii="宋体" w:hAnsi="宋体" w:cs="仿宋_GB2312"/>
          <w:bCs/>
          <w:color w:val="auto"/>
          <w:sz w:val="32"/>
          <w:szCs w:val="32"/>
          <w:highlight w:val="none"/>
        </w:rPr>
        <w:t>项目名称：</w:t>
      </w:r>
    </w:p>
    <w:p>
      <w:pPr>
        <w:snapToGrid w:val="0"/>
        <w:spacing w:before="156" w:beforeLines="50" w:after="50"/>
        <w:ind w:firstLine="720" w:firstLineChars="225"/>
        <w:rPr>
          <w:rFonts w:ascii="宋体" w:hAnsi="宋体" w:cs="仿宋_GB2312"/>
          <w:bCs/>
          <w:color w:val="auto"/>
          <w:sz w:val="32"/>
          <w:szCs w:val="32"/>
          <w:highlight w:val="none"/>
        </w:rPr>
      </w:pPr>
    </w:p>
    <w:p>
      <w:pPr>
        <w:snapToGrid w:val="0"/>
        <w:spacing w:before="156" w:beforeLines="50" w:after="50"/>
        <w:ind w:firstLine="640" w:firstLineChars="200"/>
        <w:rPr>
          <w:rFonts w:ascii="宋体" w:hAnsi="宋体" w:cs="仿宋_GB2312"/>
          <w:bCs/>
          <w:color w:val="auto"/>
          <w:sz w:val="32"/>
          <w:szCs w:val="32"/>
          <w:highlight w:val="none"/>
        </w:rPr>
      </w:pPr>
      <w:r>
        <w:rPr>
          <w:rFonts w:hint="eastAsia" w:ascii="宋体" w:hAnsi="宋体" w:cs="仿宋_GB2312"/>
          <w:bCs/>
          <w:color w:val="auto"/>
          <w:sz w:val="32"/>
          <w:szCs w:val="32"/>
          <w:highlight w:val="none"/>
        </w:rPr>
        <w:t>项目编号：</w:t>
      </w:r>
    </w:p>
    <w:p>
      <w:pPr>
        <w:snapToGrid w:val="0"/>
        <w:spacing w:before="156" w:beforeLines="50" w:after="50"/>
        <w:ind w:firstLine="720" w:firstLineChars="225"/>
        <w:rPr>
          <w:rFonts w:ascii="宋体" w:hAnsi="宋体" w:cs="仿宋_GB2312"/>
          <w:bCs/>
          <w:color w:val="auto"/>
          <w:sz w:val="32"/>
          <w:szCs w:val="32"/>
          <w:highlight w:val="none"/>
        </w:rPr>
      </w:pPr>
      <w:r>
        <w:rPr>
          <w:rFonts w:hint="eastAsia" w:ascii="宋体" w:hAnsi="宋体" w:cs="仿宋_GB2312"/>
          <w:bCs/>
          <w:color w:val="auto"/>
          <w:sz w:val="32"/>
          <w:szCs w:val="32"/>
          <w:highlight w:val="none"/>
        </w:rPr>
        <w:t xml:space="preserve"> </w:t>
      </w:r>
    </w:p>
    <w:p>
      <w:pPr>
        <w:snapToGrid w:val="0"/>
        <w:spacing w:before="156" w:beforeLines="50" w:after="50"/>
        <w:ind w:firstLine="640" w:firstLineChars="200"/>
        <w:rPr>
          <w:rFonts w:ascii="宋体" w:hAnsi="宋体" w:cs="仿宋_GB2312"/>
          <w:bCs/>
          <w:color w:val="auto"/>
          <w:sz w:val="32"/>
          <w:szCs w:val="32"/>
          <w:highlight w:val="none"/>
        </w:rPr>
      </w:pPr>
      <w:r>
        <w:rPr>
          <w:rFonts w:hint="eastAsia" w:ascii="宋体" w:hAnsi="宋体" w:cs="仿宋_GB2312"/>
          <w:bCs/>
          <w:color w:val="auto"/>
          <w:sz w:val="32"/>
          <w:szCs w:val="32"/>
          <w:highlight w:val="none"/>
        </w:rPr>
        <w:t>所竞分标：</w:t>
      </w:r>
    </w:p>
    <w:p>
      <w:pPr>
        <w:snapToGrid w:val="0"/>
        <w:spacing w:before="156" w:beforeLines="50" w:after="50"/>
        <w:ind w:firstLine="720" w:firstLineChars="225"/>
        <w:rPr>
          <w:rFonts w:ascii="宋体" w:hAnsi="宋体" w:cs="仿宋_GB2312"/>
          <w:bCs/>
          <w:color w:val="auto"/>
          <w:sz w:val="32"/>
          <w:szCs w:val="32"/>
          <w:highlight w:val="none"/>
        </w:rPr>
      </w:pPr>
    </w:p>
    <w:p>
      <w:pPr>
        <w:pStyle w:val="6"/>
        <w:snapToGrid w:val="0"/>
        <w:spacing w:before="50" w:after="50"/>
        <w:ind w:firstLine="640" w:firstLineChars="200"/>
        <w:rPr>
          <w:rFonts w:ascii="宋体" w:hAnsi="宋体" w:cs="仿宋_GB2312"/>
          <w:bCs/>
          <w:color w:val="auto"/>
          <w:sz w:val="32"/>
          <w:szCs w:val="32"/>
          <w:highlight w:val="none"/>
        </w:rPr>
      </w:pPr>
      <w:r>
        <w:rPr>
          <w:rFonts w:hint="eastAsia" w:ascii="宋体" w:hAnsi="宋体" w:cs="仿宋_GB2312"/>
          <w:bCs/>
          <w:color w:val="auto"/>
          <w:sz w:val="32"/>
          <w:szCs w:val="32"/>
          <w:highlight w:val="none"/>
        </w:rPr>
        <w:t>供应商名称：</w:t>
      </w:r>
    </w:p>
    <w:p>
      <w:pPr>
        <w:pStyle w:val="6"/>
        <w:snapToGrid w:val="0"/>
        <w:spacing w:before="50" w:after="50"/>
        <w:ind w:firstLine="720" w:firstLineChars="225"/>
        <w:rPr>
          <w:rFonts w:ascii="宋体" w:hAnsi="宋体" w:cs="仿宋_GB2312"/>
          <w:bCs/>
          <w:color w:val="auto"/>
          <w:sz w:val="32"/>
          <w:szCs w:val="32"/>
          <w:highlight w:val="none"/>
        </w:rPr>
      </w:pPr>
    </w:p>
    <w:p>
      <w:pPr>
        <w:pStyle w:val="6"/>
        <w:snapToGrid w:val="0"/>
        <w:spacing w:before="50" w:after="50"/>
        <w:ind w:firstLine="720" w:firstLineChars="225"/>
        <w:rPr>
          <w:rFonts w:ascii="宋体" w:hAnsi="宋体" w:cs="仿宋_GB2312"/>
          <w:bCs/>
          <w:color w:val="auto"/>
          <w:sz w:val="32"/>
          <w:szCs w:val="32"/>
          <w:highlight w:val="none"/>
        </w:rPr>
      </w:pPr>
    </w:p>
    <w:p>
      <w:pPr>
        <w:pStyle w:val="6"/>
        <w:snapToGrid w:val="0"/>
        <w:spacing w:before="50" w:after="50"/>
        <w:ind w:firstLine="1280" w:firstLineChars="400"/>
        <w:rPr>
          <w:rFonts w:ascii="宋体" w:hAnsi="宋体" w:cs="仿宋_GB2312"/>
          <w:bCs/>
          <w:color w:val="auto"/>
          <w:sz w:val="32"/>
          <w:szCs w:val="32"/>
          <w:highlight w:val="none"/>
        </w:rPr>
      </w:pPr>
    </w:p>
    <w:p>
      <w:pPr>
        <w:snapToGrid w:val="0"/>
        <w:spacing w:before="156" w:beforeLines="50" w:after="50"/>
        <w:jc w:val="center"/>
        <w:rPr>
          <w:rFonts w:ascii="宋体" w:hAnsi="宋体" w:cs="仿宋_GB2312"/>
          <w:color w:val="auto"/>
          <w:sz w:val="32"/>
          <w:szCs w:val="32"/>
          <w:highlight w:val="none"/>
        </w:rPr>
      </w:pPr>
      <w:r>
        <w:rPr>
          <w:rFonts w:hint="eastAsia" w:ascii="宋体" w:hAnsi="宋体" w:cs="仿宋_GB2312"/>
          <w:color w:val="auto"/>
          <w:sz w:val="32"/>
          <w:szCs w:val="32"/>
          <w:highlight w:val="none"/>
        </w:rPr>
        <w:t>年    月    日</w:t>
      </w:r>
    </w:p>
    <w:p>
      <w:pPr>
        <w:snapToGrid w:val="0"/>
        <w:spacing w:before="156" w:beforeLines="50" w:after="50" w:line="360" w:lineRule="auto"/>
        <w:ind w:left="142"/>
        <w:jc w:val="left"/>
        <w:rPr>
          <w:rFonts w:ascii="宋体" w:hAnsi="宋体"/>
          <w:b/>
          <w:bCs/>
          <w:color w:val="auto"/>
          <w:sz w:val="24"/>
          <w:highlight w:val="none"/>
        </w:rPr>
      </w:pPr>
      <w:r>
        <w:rPr>
          <w:rFonts w:ascii="宋体" w:hAnsi="宋体"/>
          <w:color w:val="auto"/>
          <w:sz w:val="24"/>
          <w:highlight w:val="none"/>
        </w:rPr>
        <w:br w:type="page"/>
      </w:r>
      <w:r>
        <w:rPr>
          <w:rFonts w:hint="eastAsia" w:ascii="宋体" w:hAnsi="宋体"/>
          <w:b/>
          <w:bCs/>
          <w:color w:val="auto"/>
          <w:sz w:val="32"/>
          <w:szCs w:val="32"/>
          <w:highlight w:val="none"/>
        </w:rPr>
        <w:t>2.报价商务技术文件目录</w:t>
      </w:r>
    </w:p>
    <w:p>
      <w:pPr>
        <w:snapToGrid w:val="0"/>
        <w:spacing w:before="156" w:beforeLines="50" w:after="50" w:line="360" w:lineRule="auto"/>
        <w:ind w:firstLine="640" w:firstLineChars="200"/>
        <w:rPr>
          <w:rFonts w:ascii="宋体" w:hAnsi="宋体"/>
          <w:color w:val="auto"/>
          <w:sz w:val="32"/>
          <w:szCs w:val="32"/>
          <w:highlight w:val="none"/>
        </w:rPr>
      </w:pPr>
      <w:r>
        <w:rPr>
          <w:rFonts w:hint="eastAsia" w:ascii="宋体" w:hAnsi="宋体"/>
          <w:color w:val="auto"/>
          <w:sz w:val="32"/>
          <w:szCs w:val="32"/>
          <w:highlight w:val="none"/>
        </w:rPr>
        <w:t>根据磋商文件规定及供应商提供的材料自行编写目录（部分格式后附）。</w:t>
      </w:r>
    </w:p>
    <w:p>
      <w:pPr>
        <w:spacing w:line="400" w:lineRule="exact"/>
        <w:rPr>
          <w:rFonts w:ascii="仿宋_GB2312" w:hAnsi="仿宋_GB2312" w:eastAsia="仿宋_GB2312" w:cs="仿宋_GB2312"/>
          <w:color w:val="auto"/>
          <w:sz w:val="32"/>
          <w:szCs w:val="32"/>
          <w:highlight w:val="none"/>
        </w:rPr>
      </w:pPr>
    </w:p>
    <w:p>
      <w:pPr>
        <w:spacing w:line="520" w:lineRule="exact"/>
        <w:jc w:val="center"/>
        <w:rPr>
          <w:rFonts w:ascii="仿宋_GB2312" w:hAnsi="仿宋_GB2312" w:eastAsia="仿宋_GB2312" w:cs="仿宋_GB2312"/>
          <w:color w:val="auto"/>
          <w:sz w:val="32"/>
          <w:szCs w:val="32"/>
          <w:highlight w:val="none"/>
        </w:rPr>
      </w:pPr>
      <w:r>
        <w:rPr>
          <w:rFonts w:hint="eastAsia" w:ascii="方正小标宋简体" w:hAnsi="方正小标宋简体" w:eastAsia="方正小标宋简体" w:cs="方正小标宋简体"/>
          <w:color w:val="auto"/>
          <w:sz w:val="44"/>
          <w:szCs w:val="44"/>
          <w:highlight w:val="none"/>
        </w:rPr>
        <w:br w:type="page"/>
      </w:r>
      <w:r>
        <w:rPr>
          <w:rFonts w:hint="eastAsia" w:ascii="方正小标宋简体" w:hAnsi="方正小标宋简体" w:eastAsia="方正小标宋简体" w:cs="方正小标宋简体"/>
          <w:color w:val="auto"/>
          <w:sz w:val="44"/>
          <w:szCs w:val="44"/>
          <w:highlight w:val="none"/>
        </w:rPr>
        <w:t>无串通竞标行为的承诺函</w:t>
      </w:r>
    </w:p>
    <w:p>
      <w:pPr>
        <w:spacing w:line="360" w:lineRule="auto"/>
        <w:ind w:firstLine="640" w:firstLineChars="200"/>
        <w:contextualSpacing/>
        <w:rPr>
          <w:rFonts w:ascii="仿宋_GB2312" w:hAnsi="仿宋_GB2312" w:eastAsia="仿宋_GB2312" w:cs="仿宋_GB2312"/>
          <w:color w:val="auto"/>
          <w:sz w:val="32"/>
          <w:szCs w:val="32"/>
          <w:highlight w:val="none"/>
        </w:rPr>
      </w:pPr>
    </w:p>
    <w:p>
      <w:pPr>
        <w:spacing w:line="360" w:lineRule="auto"/>
        <w:ind w:firstLine="482" w:firstLineChars="200"/>
        <w:contextualSpacing/>
        <w:rPr>
          <w:rFonts w:ascii="宋体" w:hAnsi="宋体" w:cs="仿宋_GB2312"/>
          <w:b/>
          <w:bCs/>
          <w:color w:val="auto"/>
          <w:sz w:val="24"/>
          <w:highlight w:val="none"/>
        </w:rPr>
      </w:pPr>
      <w:r>
        <w:rPr>
          <w:rFonts w:hint="eastAsia" w:ascii="宋体" w:hAnsi="宋体" w:cs="仿宋_GB2312"/>
          <w:b/>
          <w:bCs/>
          <w:color w:val="auto"/>
          <w:sz w:val="24"/>
          <w:highlight w:val="none"/>
        </w:rPr>
        <w:t>一、我方承诺无下列相互串通竞标的情形：</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 xml:space="preserve">1.不同供应商的响应文件由同一单位或者个人编制； </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2.不同供应商委托同一单位或者个人办理竞标事宜；</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3.不同供应商的响应文件载明的项目管理员为同一个人；</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4.不</w:t>
      </w:r>
      <w:r>
        <w:rPr>
          <w:rFonts w:hint="eastAsia" w:ascii="宋体" w:hAnsi="宋体" w:cs="仿宋_GB2312"/>
          <w:color w:val="auto"/>
          <w:spacing w:val="-6"/>
          <w:sz w:val="24"/>
          <w:highlight w:val="none"/>
        </w:rPr>
        <w:t>同供应商的响应文件异常一致或者竞标报价呈规律性差异；</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5.不同供应商的响应文件相互混装；</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6.不同供应商的磋商保证金从同一单位或者个人账户转出。</w:t>
      </w:r>
    </w:p>
    <w:p>
      <w:pPr>
        <w:spacing w:line="360" w:lineRule="auto"/>
        <w:ind w:firstLine="482" w:firstLineChars="200"/>
        <w:contextualSpacing/>
        <w:rPr>
          <w:rFonts w:ascii="宋体" w:hAnsi="宋体" w:cs="仿宋_GB2312"/>
          <w:b/>
          <w:bCs/>
          <w:color w:val="auto"/>
          <w:sz w:val="24"/>
          <w:highlight w:val="none"/>
        </w:rPr>
      </w:pPr>
      <w:r>
        <w:rPr>
          <w:rFonts w:hint="eastAsia" w:ascii="宋体" w:hAnsi="宋体" w:cs="仿宋_GB2312"/>
          <w:b/>
          <w:bCs/>
          <w:color w:val="auto"/>
          <w:sz w:val="24"/>
          <w:highlight w:val="none"/>
        </w:rPr>
        <w:t>二、我方承诺无下列恶意串通的情形：</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1.供应商直接或者间接从采购人或者采购代理机构处获得其他供应商的相关信息并修改其响应文件；</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2.供应商按照采购人或者采购代理机构的授意撤换、修改响应文件；</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3.供</w:t>
      </w:r>
      <w:r>
        <w:rPr>
          <w:rFonts w:hint="eastAsia" w:ascii="宋体" w:hAnsi="宋体" w:cs="仿宋_GB2312"/>
          <w:color w:val="auto"/>
          <w:spacing w:val="-6"/>
          <w:sz w:val="24"/>
          <w:highlight w:val="none"/>
        </w:rPr>
        <w:t>应商之间协商报价、技术方案等响应文件的实质性内容；</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4.属于同一集团、协会、商会等组织成员的供应商按照该组织要求协同参加政府采购活动；</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5.供应商之间事先约定一致抬高或者压低竞标报价，或者在竞争性磋商项目中事先约定轮流以高价位或者低价位成交，或者事先约定由某一特定供应商成交，然后再参加竞标；</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6.供应商之间商定部分供应商放弃参加政府采购活动或者放弃成交；</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7.供应商与采购人或者采购代理机构之间、供应商相互之间，为</w:t>
      </w:r>
      <w:r>
        <w:rPr>
          <w:rFonts w:hint="eastAsia" w:ascii="宋体" w:hAnsi="宋体" w:cs="仿宋_GB2312"/>
          <w:color w:val="auto"/>
          <w:spacing w:val="-6"/>
          <w:sz w:val="24"/>
          <w:highlight w:val="none"/>
        </w:rPr>
        <w:t>谋求特定供应商成交或者排斥其他供应商的其他串通行为。</w:t>
      </w:r>
    </w:p>
    <w:p>
      <w:pPr>
        <w:spacing w:line="360" w:lineRule="auto"/>
        <w:ind w:firstLine="480" w:firstLineChars="200"/>
        <w:contextualSpacing/>
        <w:rPr>
          <w:rFonts w:ascii="宋体" w:hAnsi="宋体" w:cs="仿宋_GB2312"/>
          <w:color w:val="auto"/>
          <w:sz w:val="24"/>
          <w:highlight w:val="none"/>
        </w:rPr>
      </w:pPr>
    </w:p>
    <w:p>
      <w:pPr>
        <w:spacing w:line="360" w:lineRule="auto"/>
        <w:ind w:firstLine="482" w:firstLineChars="200"/>
        <w:contextualSpacing/>
        <w:rPr>
          <w:rFonts w:ascii="宋体" w:hAnsi="宋体" w:cs="仿宋_GB2312"/>
          <w:b/>
          <w:bCs/>
          <w:color w:val="auto"/>
          <w:sz w:val="24"/>
          <w:highlight w:val="none"/>
        </w:rPr>
      </w:pPr>
      <w:r>
        <w:rPr>
          <w:rFonts w:hint="eastAsia" w:ascii="宋体" w:hAnsi="宋体" w:cs="仿宋_GB2312"/>
          <w:b/>
          <w:bCs/>
          <w:color w:val="auto"/>
          <w:sz w:val="24"/>
          <w:highlight w:val="none"/>
        </w:rPr>
        <w:t>以上情形一经核查属实，我方愿意承担一切后果，并不再寻求任何旨在减轻或者免除法律责任的辩解。</w:t>
      </w:r>
    </w:p>
    <w:p>
      <w:pPr>
        <w:spacing w:line="360" w:lineRule="auto"/>
        <w:contextualSpacing/>
        <w:rPr>
          <w:rFonts w:ascii="宋体" w:hAnsi="宋体" w:cs="仿宋_GB2312"/>
          <w:color w:val="auto"/>
          <w:sz w:val="24"/>
          <w:highlight w:val="none"/>
        </w:rPr>
      </w:pPr>
    </w:p>
    <w:p>
      <w:pPr>
        <w:spacing w:line="360" w:lineRule="auto"/>
        <w:ind w:firstLine="3600" w:firstLineChars="1500"/>
        <w:contextualSpacing/>
        <w:rPr>
          <w:rFonts w:ascii="宋体" w:hAnsi="宋体" w:cs="仿宋_GB2312"/>
          <w:color w:val="auto"/>
          <w:sz w:val="24"/>
          <w:highlight w:val="none"/>
        </w:rPr>
      </w:pPr>
      <w:r>
        <w:rPr>
          <w:rFonts w:hint="eastAsia" w:ascii="宋体" w:hAnsi="宋体" w:cs="仿宋_GB2312"/>
          <w:color w:val="auto"/>
          <w:sz w:val="24"/>
          <w:highlight w:val="none"/>
        </w:rPr>
        <w:t>供应商（盖公章）：</w:t>
      </w:r>
    </w:p>
    <w:p>
      <w:pPr>
        <w:spacing w:line="360" w:lineRule="auto"/>
        <w:ind w:firstLine="480" w:firstLineChars="200"/>
        <w:contextualSpacing/>
        <w:jc w:val="center"/>
        <w:rPr>
          <w:rFonts w:ascii="仿宋_GB2312" w:hAnsi="仿宋_GB2312" w:eastAsia="仿宋_GB2312" w:cs="仿宋_GB2312"/>
          <w:color w:val="auto"/>
          <w:sz w:val="32"/>
          <w:szCs w:val="32"/>
          <w:highlight w:val="none"/>
        </w:rPr>
      </w:pPr>
      <w:r>
        <w:rPr>
          <w:rFonts w:hint="eastAsia" w:ascii="宋体" w:hAnsi="宋体" w:cs="仿宋_GB2312"/>
          <w:color w:val="auto"/>
          <w:sz w:val="24"/>
          <w:highlight w:val="none"/>
        </w:rPr>
        <w:t xml:space="preserve">                               年   月   日</w:t>
      </w:r>
    </w:p>
    <w:p>
      <w:pPr>
        <w:spacing w:line="520" w:lineRule="exact"/>
        <w:jc w:val="center"/>
        <w:rPr>
          <w:rFonts w:ascii="方正小标宋简体" w:hAnsi="方正小标宋简体" w:eastAsia="方正小标宋简体" w:cs="方正小标宋简体"/>
          <w:bCs/>
          <w:color w:val="auto"/>
          <w:sz w:val="32"/>
          <w:szCs w:val="32"/>
          <w:highlight w:val="none"/>
        </w:rPr>
      </w:pPr>
      <w:r>
        <w:rPr>
          <w:rFonts w:hint="eastAsia" w:ascii="方正小标宋简体" w:hAnsi="方正小标宋简体" w:eastAsia="方正小标宋简体" w:cs="方正小标宋简体"/>
          <w:bCs/>
          <w:color w:val="auto"/>
          <w:sz w:val="44"/>
          <w:szCs w:val="44"/>
          <w:highlight w:val="none"/>
        </w:rPr>
        <w:br w:type="page"/>
      </w:r>
      <w:r>
        <w:rPr>
          <w:rFonts w:hint="eastAsia" w:ascii="方正小标宋简体" w:hAnsi="方正小标宋简体" w:eastAsia="方正小标宋简体" w:cs="方正小标宋简体"/>
          <w:bCs/>
          <w:color w:val="auto"/>
          <w:sz w:val="44"/>
          <w:szCs w:val="44"/>
          <w:highlight w:val="none"/>
        </w:rPr>
        <w:t>竞  标  报  价  表</w:t>
      </w:r>
    </w:p>
    <w:p>
      <w:pPr>
        <w:spacing w:line="440" w:lineRule="exact"/>
        <w:jc w:val="center"/>
        <w:rPr>
          <w:rFonts w:ascii="方正小标宋简体" w:hAnsi="方正小标宋简体" w:eastAsia="方正小标宋简体" w:cs="方正小标宋简体"/>
          <w:bCs/>
          <w:color w:val="auto"/>
          <w:sz w:val="32"/>
          <w:szCs w:val="32"/>
          <w:highlight w:val="none"/>
        </w:rPr>
      </w:pPr>
    </w:p>
    <w:p>
      <w:pPr>
        <w:spacing w:line="360" w:lineRule="auto"/>
        <w:contextualSpacing/>
        <w:rPr>
          <w:rFonts w:ascii="宋体" w:hAnsi="宋体" w:cs="仿宋_GB2312"/>
          <w:color w:val="auto"/>
          <w:sz w:val="24"/>
          <w:highlight w:val="none"/>
        </w:rPr>
      </w:pPr>
      <w:r>
        <w:rPr>
          <w:rFonts w:hint="eastAsia" w:ascii="宋体" w:hAnsi="宋体" w:cs="仿宋_GB2312"/>
          <w:color w:val="auto"/>
          <w:sz w:val="24"/>
          <w:highlight w:val="none"/>
        </w:rPr>
        <w:t>项目名称：</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项目编号：</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 xml:space="preserve">     </w:t>
      </w:r>
    </w:p>
    <w:p>
      <w:pPr>
        <w:spacing w:line="360" w:lineRule="auto"/>
        <w:contextualSpacing/>
        <w:rPr>
          <w:rFonts w:ascii="宋体" w:hAnsi="宋体" w:cs="仿宋_GB2312"/>
          <w:color w:val="auto"/>
          <w:sz w:val="24"/>
          <w:highlight w:val="none"/>
          <w:u w:val="single"/>
        </w:rPr>
      </w:pPr>
      <w:r>
        <w:rPr>
          <w:rFonts w:hint="eastAsia" w:ascii="宋体" w:hAnsi="宋体" w:cs="仿宋_GB2312"/>
          <w:color w:val="auto"/>
          <w:sz w:val="24"/>
          <w:highlight w:val="none"/>
        </w:rPr>
        <w:t>分标（如有）：</w:t>
      </w:r>
      <w:r>
        <w:rPr>
          <w:rFonts w:hint="eastAsia" w:ascii="宋体" w:hAnsi="宋体" w:cs="仿宋_GB2312"/>
          <w:color w:val="auto"/>
          <w:sz w:val="24"/>
          <w:highlight w:val="none"/>
          <w:u w:val="single"/>
        </w:rPr>
        <w:t xml:space="preserve">                                         </w:t>
      </w:r>
    </w:p>
    <w:p>
      <w:pPr>
        <w:spacing w:line="360" w:lineRule="auto"/>
        <w:contextualSpacing/>
        <w:rPr>
          <w:rFonts w:ascii="宋体" w:hAnsi="宋体" w:cs="仿宋_GB2312"/>
          <w:color w:val="auto"/>
          <w:sz w:val="24"/>
          <w:highlight w:val="none"/>
        </w:rPr>
      </w:pPr>
      <w:r>
        <w:rPr>
          <w:rFonts w:hint="eastAsia" w:ascii="宋体" w:hAnsi="宋体" w:cs="仿宋_GB2312"/>
          <w:color w:val="auto"/>
          <w:sz w:val="24"/>
          <w:highlight w:val="none"/>
        </w:rPr>
        <w:t>供应商名称：</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 xml:space="preserve">   </w:t>
      </w:r>
    </w:p>
    <w:p>
      <w:pPr>
        <w:spacing w:line="360" w:lineRule="auto"/>
        <w:contextualSpacing/>
        <w:rPr>
          <w:rFonts w:ascii="宋体" w:hAnsi="宋体" w:cs="仿宋_GB2312"/>
          <w:color w:val="auto"/>
          <w:sz w:val="24"/>
          <w:highlight w:val="none"/>
        </w:rPr>
      </w:pPr>
      <w:r>
        <w:rPr>
          <w:rFonts w:hint="eastAsia" w:ascii="宋体" w:hAnsi="宋体" w:cs="仿宋_GB2312"/>
          <w:color w:val="auto"/>
          <w:sz w:val="24"/>
          <w:highlight w:val="none"/>
        </w:rPr>
        <w:t xml:space="preserve">                                                单位：元</w:t>
      </w:r>
    </w:p>
    <w:tbl>
      <w:tblPr>
        <w:tblStyle w:val="18"/>
        <w:tblW w:w="9095"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2712"/>
        <w:gridCol w:w="617"/>
        <w:gridCol w:w="617"/>
        <w:gridCol w:w="2194"/>
        <w:gridCol w:w="1184"/>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ascii="宋体" w:hAnsi="宋体" w:cs="仿宋_GB2312"/>
                <w:color w:val="auto"/>
                <w:sz w:val="24"/>
                <w:highlight w:val="none"/>
              </w:rPr>
              <w:t>序号</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标的</w:t>
            </w:r>
            <w:r>
              <w:rPr>
                <w:rFonts w:ascii="宋体" w:hAnsi="宋体" w:cs="仿宋_GB2312"/>
                <w:color w:val="auto"/>
                <w:sz w:val="24"/>
                <w:highlight w:val="none"/>
              </w:rPr>
              <w:t>名称</w:t>
            </w:r>
            <w:r>
              <w:rPr>
                <w:rFonts w:hint="eastAsia" w:ascii="宋体" w:hAnsi="宋体" w:cs="仿宋_GB2312"/>
                <w:color w:val="auto"/>
                <w:sz w:val="24"/>
                <w:highlight w:val="none"/>
              </w:rPr>
              <w:t>（按各分标实际填写）</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数量</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单位</w:t>
            </w:r>
          </w:p>
        </w:tc>
        <w:tc>
          <w:tcPr>
            <w:tcW w:w="219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单价</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总价</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ascii="宋体" w:hAnsi="宋体" w:cs="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ascii="宋体" w:hAnsi="宋体" w:cs="仿宋_GB2312"/>
                <w:color w:val="auto"/>
                <w:sz w:val="24"/>
                <w:highlight w:val="none"/>
              </w:rPr>
              <w:t>1</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如：挥发性有机物监测系统、颗粒物组分网第三方运维服务</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1</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项</w:t>
            </w: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2</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如：大气颗粒物组分网手工监测</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1</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项</w:t>
            </w: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3</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617"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219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tcPr>
          <w:p>
            <w:pPr>
              <w:spacing w:line="360" w:lineRule="auto"/>
              <w:contextualSpacing/>
              <w:rPr>
                <w:rFonts w:ascii="宋体" w:hAnsi="宋体" w:cs="仿宋_GB2312"/>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58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27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617"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219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118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jc w:val="right"/>
        </w:trPr>
        <w:tc>
          <w:tcPr>
            <w:tcW w:w="9095"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contextualSpacing/>
              <w:rPr>
                <w:rFonts w:ascii="宋体" w:hAnsi="宋体" w:cs="仿宋_GB2312"/>
                <w:color w:val="auto"/>
                <w:sz w:val="24"/>
                <w:highlight w:val="none"/>
              </w:rPr>
            </w:pPr>
            <w:r>
              <w:rPr>
                <w:rFonts w:hint="eastAsia" w:ascii="宋体" w:hAnsi="宋体" w:cs="仿宋_GB2312"/>
                <w:color w:val="auto"/>
                <w:sz w:val="24"/>
                <w:highlight w:val="none"/>
              </w:rPr>
              <w:t>合计金额大写：人民币</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w:t>
            </w:r>
          </w:p>
        </w:tc>
      </w:tr>
    </w:tbl>
    <w:p>
      <w:pPr>
        <w:spacing w:line="360" w:lineRule="auto"/>
        <w:contextualSpacing/>
        <w:jc w:val="left"/>
        <w:rPr>
          <w:rFonts w:ascii="宋体" w:hAnsi="宋体" w:cs="仿宋_GB2312"/>
          <w:color w:val="auto"/>
          <w:sz w:val="24"/>
          <w:highlight w:val="none"/>
        </w:rPr>
      </w:pPr>
    </w:p>
    <w:p>
      <w:pPr>
        <w:spacing w:line="360" w:lineRule="auto"/>
        <w:contextualSpacing/>
        <w:jc w:val="left"/>
        <w:rPr>
          <w:rFonts w:ascii="宋体" w:hAnsi="宋体" w:cs="仿宋_GB2312"/>
          <w:color w:val="auto"/>
          <w:sz w:val="24"/>
          <w:highlight w:val="none"/>
        </w:rPr>
      </w:pPr>
      <w:r>
        <w:rPr>
          <w:rFonts w:hint="eastAsia" w:ascii="宋体" w:hAnsi="宋体" w:cs="仿宋_GB2312"/>
          <w:color w:val="auto"/>
          <w:sz w:val="24"/>
          <w:highlight w:val="none"/>
        </w:rPr>
        <w:t xml:space="preserve">注: </w:t>
      </w:r>
    </w:p>
    <w:p>
      <w:pPr>
        <w:spacing w:line="360" w:lineRule="auto"/>
        <w:ind w:firstLine="480" w:firstLineChars="200"/>
        <w:contextualSpacing/>
        <w:jc w:val="left"/>
        <w:rPr>
          <w:rFonts w:ascii="宋体" w:hAnsi="宋体" w:cs="仿宋_GB2312"/>
          <w:color w:val="auto"/>
          <w:sz w:val="24"/>
          <w:highlight w:val="none"/>
        </w:rPr>
      </w:pPr>
      <w:r>
        <w:rPr>
          <w:rFonts w:hint="eastAsia" w:ascii="宋体" w:hAnsi="宋体" w:cs="仿宋_GB2312"/>
          <w:color w:val="auto"/>
          <w:sz w:val="24"/>
          <w:highlight w:val="none"/>
        </w:rPr>
        <w:t>1.供应商的报价表必须由法定代表人或者委托代理人签字并加盖供应商公章，</w:t>
      </w:r>
      <w:r>
        <w:rPr>
          <w:rFonts w:hint="eastAsia" w:ascii="宋体" w:hAnsi="宋体" w:cs="仿宋_GB2312"/>
          <w:b/>
          <w:color w:val="auto"/>
          <w:sz w:val="24"/>
          <w:highlight w:val="none"/>
        </w:rPr>
        <w:t>否则其响应文件按无效响应处理</w:t>
      </w:r>
      <w:r>
        <w:rPr>
          <w:rFonts w:hint="eastAsia" w:ascii="宋体" w:hAnsi="宋体" w:cs="仿宋_GB2312"/>
          <w:color w:val="auto"/>
          <w:sz w:val="24"/>
          <w:highlight w:val="none"/>
        </w:rPr>
        <w:t>。</w:t>
      </w:r>
    </w:p>
    <w:p>
      <w:pPr>
        <w:spacing w:line="360" w:lineRule="auto"/>
        <w:ind w:firstLine="480" w:firstLineChars="200"/>
        <w:contextualSpacing/>
        <w:jc w:val="left"/>
        <w:rPr>
          <w:rFonts w:ascii="宋体" w:hAnsi="宋体" w:cs="仿宋_GB2312"/>
          <w:b/>
          <w:color w:val="auto"/>
          <w:sz w:val="24"/>
          <w:highlight w:val="none"/>
        </w:rPr>
      </w:pPr>
      <w:r>
        <w:rPr>
          <w:rFonts w:hint="eastAsia" w:ascii="宋体" w:hAnsi="宋体" w:cs="仿宋_GB2312"/>
          <w:bCs/>
          <w:color w:val="auto"/>
          <w:sz w:val="24"/>
          <w:highlight w:val="none"/>
        </w:rPr>
        <w:t>2.</w:t>
      </w:r>
      <w:r>
        <w:rPr>
          <w:rFonts w:hint="eastAsia" w:ascii="宋体" w:hAnsi="宋体" w:cs="仿宋_GB2312"/>
          <w:color w:val="auto"/>
          <w:sz w:val="24"/>
          <w:highlight w:val="none"/>
        </w:rPr>
        <w:t>报价一经涂改，应在涂改处加盖供应商公章或者由法定代表人或者委托代理人签字后加盖公章</w:t>
      </w:r>
      <w:r>
        <w:rPr>
          <w:rFonts w:hint="eastAsia" w:ascii="宋体" w:hAnsi="宋体" w:cs="仿宋_GB2312"/>
          <w:b/>
          <w:color w:val="auto"/>
          <w:sz w:val="24"/>
          <w:highlight w:val="none"/>
        </w:rPr>
        <w:t>，否则其响应文件按无效响应处理。</w:t>
      </w:r>
    </w:p>
    <w:p>
      <w:pPr>
        <w:spacing w:line="360" w:lineRule="auto"/>
        <w:ind w:right="-817" w:rightChars="-389"/>
        <w:contextualSpacing/>
        <w:rPr>
          <w:rFonts w:ascii="宋体" w:hAnsi="宋体" w:cs="仿宋_GB2312"/>
          <w:color w:val="auto"/>
          <w:sz w:val="24"/>
          <w:highlight w:val="none"/>
        </w:rPr>
      </w:pPr>
    </w:p>
    <w:p>
      <w:pPr>
        <w:spacing w:line="360" w:lineRule="auto"/>
        <w:ind w:right="-817" w:rightChars="-389" w:firstLine="2640" w:firstLineChars="1100"/>
        <w:contextualSpacing/>
        <w:rPr>
          <w:rFonts w:ascii="宋体" w:hAnsi="宋体" w:cs="仿宋_GB2312"/>
          <w:color w:val="auto"/>
          <w:sz w:val="24"/>
          <w:highlight w:val="none"/>
        </w:rPr>
      </w:pPr>
      <w:r>
        <w:rPr>
          <w:rFonts w:hint="eastAsia" w:ascii="宋体" w:hAnsi="宋体" w:cs="仿宋_GB2312"/>
          <w:color w:val="auto"/>
          <w:sz w:val="24"/>
          <w:highlight w:val="none"/>
        </w:rPr>
        <w:t xml:space="preserve">法定代表人或者委托代理人（签字）：                    </w:t>
      </w:r>
    </w:p>
    <w:p>
      <w:pPr>
        <w:spacing w:line="360" w:lineRule="auto"/>
        <w:ind w:right="-817" w:rightChars="-389" w:firstLine="2640" w:firstLineChars="1100"/>
        <w:contextualSpacing/>
        <w:rPr>
          <w:rFonts w:ascii="宋体" w:hAnsi="宋体" w:cs="仿宋_GB2312"/>
          <w:color w:val="auto"/>
          <w:sz w:val="24"/>
          <w:highlight w:val="none"/>
        </w:rPr>
      </w:pPr>
      <w:r>
        <w:rPr>
          <w:rFonts w:hint="eastAsia" w:ascii="宋体" w:hAnsi="宋体" w:cs="仿宋_GB2312"/>
          <w:color w:val="auto"/>
          <w:sz w:val="24"/>
          <w:highlight w:val="none"/>
        </w:rPr>
        <w:t xml:space="preserve">供应商（盖公章）：      </w:t>
      </w:r>
    </w:p>
    <w:p>
      <w:pPr>
        <w:spacing w:line="360" w:lineRule="auto"/>
        <w:ind w:right="-817" w:rightChars="-389" w:firstLine="4080" w:firstLineChars="1700"/>
        <w:contextualSpacing/>
        <w:rPr>
          <w:rFonts w:ascii="宋体" w:hAnsi="宋体" w:cs="仿宋_GB2312"/>
          <w:b/>
          <w:color w:val="auto"/>
          <w:sz w:val="24"/>
          <w:highlight w:val="none"/>
        </w:rPr>
      </w:pPr>
      <w:r>
        <w:rPr>
          <w:rFonts w:hint="eastAsia" w:ascii="宋体" w:hAnsi="宋体" w:cs="仿宋_GB2312"/>
          <w:color w:val="auto"/>
          <w:sz w:val="24"/>
          <w:highlight w:val="none"/>
        </w:rPr>
        <w:t>日期：   年   月   日</w:t>
      </w:r>
    </w:p>
    <w:p>
      <w:pPr>
        <w:spacing w:before="312" w:beforeLines="100" w:after="156" w:afterLines="50" w:line="520" w:lineRule="exact"/>
        <w:ind w:left="540"/>
        <w:jc w:val="center"/>
        <w:rPr>
          <w:rFonts w:ascii="仿宋_GB2312" w:hAnsi="仿宋_GB2312" w:eastAsia="仿宋_GB2312" w:cs="仿宋_GB2312"/>
          <w:color w:val="auto"/>
          <w:sz w:val="32"/>
          <w:szCs w:val="32"/>
          <w:highlight w:val="none"/>
        </w:rPr>
      </w:pPr>
      <w:r>
        <w:rPr>
          <w:rFonts w:hint="eastAsia" w:ascii="宋体" w:hAnsi="Courier New"/>
          <w:b/>
          <w:color w:val="auto"/>
          <w:sz w:val="32"/>
          <w:szCs w:val="32"/>
          <w:highlight w:val="none"/>
        </w:rPr>
        <w:br w:type="page"/>
      </w:r>
      <w:r>
        <w:rPr>
          <w:rFonts w:hint="eastAsia" w:ascii="方正小标宋简体" w:hAnsi="方正小标宋简体" w:eastAsia="方正小标宋简体" w:cs="方正小标宋简体"/>
          <w:bCs/>
          <w:color w:val="auto"/>
          <w:sz w:val="44"/>
          <w:szCs w:val="44"/>
          <w:highlight w:val="none"/>
        </w:rPr>
        <w:t>法定代表人身份证明</w:t>
      </w:r>
    </w:p>
    <w:p>
      <w:pPr>
        <w:spacing w:line="360" w:lineRule="auto"/>
        <w:ind w:left="540"/>
        <w:contextualSpacing/>
        <w:rPr>
          <w:rFonts w:ascii="仿宋_GB2312" w:hAnsi="仿宋_GB2312" w:eastAsia="仿宋_GB2312" w:cs="仿宋_GB2312"/>
          <w:color w:val="auto"/>
          <w:sz w:val="32"/>
          <w:szCs w:val="32"/>
          <w:highlight w:val="none"/>
        </w:rPr>
      </w:pPr>
    </w:p>
    <w:p>
      <w:pPr>
        <w:spacing w:line="360" w:lineRule="auto"/>
        <w:ind w:left="540"/>
        <w:contextualSpacing/>
        <w:rPr>
          <w:rFonts w:ascii="宋体" w:hAnsi="宋体" w:cs="仿宋_GB2312"/>
          <w:color w:val="auto"/>
          <w:sz w:val="24"/>
          <w:highlight w:val="none"/>
        </w:rPr>
      </w:pPr>
      <w:r>
        <w:rPr>
          <w:rFonts w:hint="eastAsia" w:ascii="宋体" w:hAnsi="宋体" w:cs="仿宋_GB2312"/>
          <w:color w:val="auto"/>
          <w:sz w:val="24"/>
          <w:highlight w:val="none"/>
        </w:rPr>
        <w:t>供应商名称：</w:t>
      </w:r>
      <w:r>
        <w:rPr>
          <w:rFonts w:hint="eastAsia" w:ascii="宋体" w:hAnsi="宋体" w:cs="仿宋_GB2312"/>
          <w:color w:val="auto"/>
          <w:sz w:val="24"/>
          <w:highlight w:val="none"/>
          <w:u w:val="single"/>
        </w:rPr>
        <w:t xml:space="preserve">                                                        </w:t>
      </w:r>
    </w:p>
    <w:p>
      <w:pPr>
        <w:spacing w:line="360" w:lineRule="auto"/>
        <w:ind w:left="540"/>
        <w:contextualSpacing/>
        <w:rPr>
          <w:rFonts w:ascii="宋体" w:hAnsi="宋体" w:cs="仿宋_GB2312"/>
          <w:color w:val="auto"/>
          <w:sz w:val="24"/>
          <w:highlight w:val="none"/>
        </w:rPr>
      </w:pPr>
      <w:r>
        <w:rPr>
          <w:rFonts w:hint="eastAsia" w:ascii="宋体" w:hAnsi="宋体" w:cs="仿宋_GB2312"/>
          <w:color w:val="auto"/>
          <w:sz w:val="24"/>
          <w:highlight w:val="none"/>
        </w:rPr>
        <w:t>地    址：</w:t>
      </w:r>
      <w:r>
        <w:rPr>
          <w:rFonts w:hint="eastAsia" w:ascii="宋体" w:hAnsi="宋体" w:cs="仿宋_GB2312"/>
          <w:color w:val="auto"/>
          <w:sz w:val="24"/>
          <w:highlight w:val="none"/>
          <w:u w:val="single"/>
        </w:rPr>
        <w:t xml:space="preserve">                                                        </w:t>
      </w:r>
    </w:p>
    <w:p>
      <w:pPr>
        <w:spacing w:line="360" w:lineRule="auto"/>
        <w:ind w:left="540"/>
        <w:contextualSpacing/>
        <w:rPr>
          <w:rFonts w:ascii="宋体" w:hAnsi="宋体" w:cs="仿宋_GB2312"/>
          <w:color w:val="auto"/>
          <w:sz w:val="24"/>
          <w:highlight w:val="none"/>
        </w:rPr>
      </w:pPr>
      <w:r>
        <w:rPr>
          <w:rFonts w:hint="eastAsia" w:ascii="宋体" w:hAnsi="宋体" w:cs="仿宋_GB2312"/>
          <w:color w:val="auto"/>
          <w:sz w:val="24"/>
          <w:highlight w:val="none"/>
        </w:rPr>
        <w:t>姓    名：</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性     别：</w:t>
      </w:r>
      <w:r>
        <w:rPr>
          <w:rFonts w:hint="eastAsia" w:ascii="宋体" w:hAnsi="宋体" w:cs="仿宋_GB2312"/>
          <w:color w:val="auto"/>
          <w:sz w:val="24"/>
          <w:highlight w:val="none"/>
          <w:u w:val="single"/>
        </w:rPr>
        <w:t xml:space="preserve">                </w:t>
      </w:r>
    </w:p>
    <w:p>
      <w:pPr>
        <w:spacing w:line="360" w:lineRule="auto"/>
        <w:ind w:left="540"/>
        <w:contextualSpacing/>
        <w:rPr>
          <w:rFonts w:ascii="宋体" w:hAnsi="宋体" w:cs="仿宋_GB2312"/>
          <w:color w:val="auto"/>
          <w:sz w:val="24"/>
          <w:highlight w:val="none"/>
          <w:u w:val="single"/>
        </w:rPr>
      </w:pPr>
      <w:r>
        <w:rPr>
          <w:rFonts w:hint="eastAsia" w:ascii="宋体" w:hAnsi="宋体" w:cs="仿宋_GB2312"/>
          <w:color w:val="auto"/>
          <w:sz w:val="24"/>
          <w:highlight w:val="none"/>
        </w:rPr>
        <w:t>年    龄：</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职     务：</w:t>
      </w:r>
      <w:r>
        <w:rPr>
          <w:rFonts w:hint="eastAsia" w:ascii="宋体" w:hAnsi="宋体" w:cs="仿宋_GB2312"/>
          <w:color w:val="auto"/>
          <w:sz w:val="24"/>
          <w:highlight w:val="none"/>
          <w:u w:val="single"/>
        </w:rPr>
        <w:t xml:space="preserve">                </w:t>
      </w:r>
    </w:p>
    <w:p>
      <w:pPr>
        <w:spacing w:line="360" w:lineRule="auto"/>
        <w:ind w:left="540"/>
        <w:contextualSpacing/>
        <w:rPr>
          <w:rFonts w:ascii="宋体" w:hAnsi="宋体" w:cs="仿宋_GB2312"/>
          <w:color w:val="auto"/>
          <w:sz w:val="24"/>
          <w:highlight w:val="none"/>
        </w:rPr>
      </w:pPr>
      <w:r>
        <w:rPr>
          <w:rFonts w:hint="eastAsia" w:ascii="宋体" w:hAnsi="宋体" w:cs="仿宋_GB2312"/>
          <w:color w:val="auto"/>
          <w:sz w:val="24"/>
          <w:highlight w:val="none"/>
        </w:rPr>
        <w:t>身份证号码：</w:t>
      </w:r>
      <w:r>
        <w:rPr>
          <w:rFonts w:hint="eastAsia" w:ascii="宋体" w:hAnsi="宋体" w:cs="仿宋_GB2312"/>
          <w:color w:val="auto"/>
          <w:sz w:val="24"/>
          <w:highlight w:val="none"/>
          <w:u w:val="single"/>
        </w:rPr>
        <w:t xml:space="preserve">                                        </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系</w:t>
      </w:r>
      <w:r>
        <w:rPr>
          <w:rFonts w:hint="eastAsia" w:ascii="宋体" w:hAnsi="宋体" w:cs="仿宋_GB2312"/>
          <w:color w:val="auto"/>
          <w:sz w:val="24"/>
          <w:highlight w:val="none"/>
          <w:u w:val="single"/>
        </w:rPr>
        <w:t>（供应商名称）</w:t>
      </w:r>
      <w:r>
        <w:rPr>
          <w:rFonts w:hint="eastAsia" w:ascii="宋体" w:hAnsi="宋体" w:cs="仿宋_GB2312"/>
          <w:color w:val="auto"/>
          <w:sz w:val="24"/>
          <w:highlight w:val="none"/>
        </w:rPr>
        <w:t>的法定代表人。</w:t>
      </w:r>
    </w:p>
    <w:p>
      <w:pPr>
        <w:spacing w:line="360" w:lineRule="auto"/>
        <w:ind w:left="540"/>
        <w:contextualSpacing/>
        <w:rPr>
          <w:rFonts w:ascii="宋体" w:hAnsi="宋体" w:cs="仿宋_GB2312"/>
          <w:color w:val="auto"/>
          <w:sz w:val="24"/>
          <w:highlight w:val="none"/>
        </w:rPr>
      </w:pPr>
      <w:r>
        <w:rPr>
          <w:rFonts w:hint="eastAsia" w:ascii="宋体" w:hAnsi="宋体" w:cs="仿宋_GB2312"/>
          <w:color w:val="auto"/>
          <w:sz w:val="24"/>
          <w:highlight w:val="none"/>
        </w:rPr>
        <w:t>特此证明。</w:t>
      </w:r>
    </w:p>
    <w:p>
      <w:pPr>
        <w:spacing w:line="360" w:lineRule="auto"/>
        <w:ind w:left="540"/>
        <w:contextualSpacing/>
        <w:rPr>
          <w:rFonts w:ascii="宋体" w:hAnsi="宋体" w:cs="仿宋_GB2312"/>
          <w:color w:val="auto"/>
          <w:sz w:val="24"/>
          <w:highlight w:val="none"/>
        </w:rPr>
      </w:pPr>
    </w:p>
    <w:p>
      <w:pPr>
        <w:spacing w:line="360" w:lineRule="auto"/>
        <w:ind w:left="540"/>
        <w:contextualSpacing/>
        <w:rPr>
          <w:rFonts w:ascii="宋体" w:hAnsi="宋体" w:cs="仿宋_GB2312"/>
          <w:color w:val="auto"/>
          <w:sz w:val="24"/>
          <w:highlight w:val="none"/>
        </w:rPr>
      </w:pPr>
    </w:p>
    <w:p>
      <w:pPr>
        <w:spacing w:line="360" w:lineRule="auto"/>
        <w:ind w:left="540"/>
        <w:contextualSpacing/>
        <w:rPr>
          <w:rFonts w:ascii="宋体" w:hAnsi="宋体" w:cs="仿宋_GB2312"/>
          <w:color w:val="auto"/>
          <w:sz w:val="24"/>
          <w:highlight w:val="none"/>
        </w:rPr>
      </w:pPr>
    </w:p>
    <w:p>
      <w:pPr>
        <w:spacing w:line="360" w:lineRule="auto"/>
        <w:ind w:left="540"/>
        <w:contextualSpacing/>
        <w:rPr>
          <w:rFonts w:ascii="宋体" w:hAnsi="宋体" w:cs="仿宋_GB2312"/>
          <w:color w:val="auto"/>
          <w:sz w:val="24"/>
          <w:highlight w:val="none"/>
        </w:rPr>
      </w:pPr>
      <w:r>
        <w:rPr>
          <w:rFonts w:hint="eastAsia" w:ascii="宋体" w:hAnsi="宋体" w:cs="仿宋_GB2312"/>
          <w:color w:val="auto"/>
          <w:sz w:val="24"/>
          <w:highlight w:val="none"/>
        </w:rPr>
        <w:t>附件：法定代表人有效身份证正反面复印件</w:t>
      </w:r>
    </w:p>
    <w:p>
      <w:pPr>
        <w:spacing w:line="360" w:lineRule="auto"/>
        <w:ind w:left="540"/>
        <w:contextualSpacing/>
        <w:rPr>
          <w:rFonts w:ascii="宋体" w:hAnsi="宋体" w:cs="仿宋_GB2312"/>
          <w:color w:val="auto"/>
          <w:sz w:val="24"/>
          <w:highlight w:val="none"/>
        </w:rPr>
      </w:pPr>
    </w:p>
    <w:p>
      <w:pPr>
        <w:spacing w:line="360" w:lineRule="auto"/>
        <w:ind w:left="540"/>
        <w:contextualSpacing/>
        <w:jc w:val="right"/>
        <w:rPr>
          <w:rFonts w:ascii="宋体" w:hAnsi="宋体" w:cs="仿宋_GB2312"/>
          <w:color w:val="auto"/>
          <w:sz w:val="24"/>
          <w:highlight w:val="none"/>
        </w:rPr>
      </w:pPr>
      <w:r>
        <w:rPr>
          <w:rFonts w:hint="eastAsia" w:ascii="宋体" w:hAnsi="宋体" w:cs="仿宋_GB2312"/>
          <w:color w:val="auto"/>
          <w:sz w:val="24"/>
          <w:highlight w:val="none"/>
        </w:rPr>
        <w:t>供应商（盖公章）：</w:t>
      </w:r>
      <w:r>
        <w:rPr>
          <w:rFonts w:hint="eastAsia" w:ascii="宋体" w:hAnsi="宋体" w:cs="仿宋_GB2312"/>
          <w:color w:val="auto"/>
          <w:sz w:val="24"/>
          <w:highlight w:val="none"/>
          <w:u w:val="single"/>
        </w:rPr>
        <w:t xml:space="preserve">               </w:t>
      </w:r>
    </w:p>
    <w:p>
      <w:pPr>
        <w:spacing w:line="360" w:lineRule="auto"/>
        <w:ind w:firstLine="4080" w:firstLineChars="1700"/>
        <w:contextualSpacing/>
        <w:rPr>
          <w:rFonts w:ascii="宋体" w:hAnsi="宋体" w:cs="仿宋_GB2312"/>
          <w:color w:val="auto"/>
          <w:sz w:val="24"/>
          <w:highlight w:val="none"/>
        </w:rPr>
      </w:pP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年</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月</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日</w:t>
      </w:r>
    </w:p>
    <w:p>
      <w:pPr>
        <w:spacing w:line="360" w:lineRule="auto"/>
        <w:contextualSpacing/>
        <w:jc w:val="center"/>
        <w:rPr>
          <w:rFonts w:ascii="宋体" w:hAnsi="宋体" w:cs="仿宋_GB2312"/>
          <w:b/>
          <w:color w:val="auto"/>
          <w:sz w:val="24"/>
          <w:highlight w:val="none"/>
        </w:rPr>
      </w:pPr>
    </w:p>
    <w:p>
      <w:pPr>
        <w:spacing w:line="360" w:lineRule="auto"/>
        <w:contextualSpacing/>
        <w:jc w:val="left"/>
        <w:rPr>
          <w:rFonts w:ascii="宋体" w:hAnsi="宋体" w:cs="仿宋_GB2312"/>
          <w:color w:val="auto"/>
          <w:sz w:val="24"/>
          <w:highlight w:val="none"/>
        </w:rPr>
      </w:pPr>
    </w:p>
    <w:p>
      <w:pPr>
        <w:spacing w:line="360" w:lineRule="auto"/>
        <w:contextualSpacing/>
        <w:jc w:val="left"/>
        <w:rPr>
          <w:rFonts w:ascii="宋体" w:hAnsi="宋体" w:cs="仿宋_GB2312"/>
          <w:color w:val="auto"/>
          <w:sz w:val="24"/>
          <w:highlight w:val="none"/>
        </w:rPr>
      </w:pPr>
      <w:r>
        <w:rPr>
          <w:rFonts w:hint="eastAsia" w:ascii="宋体" w:hAnsi="宋体" w:cs="仿宋_GB2312"/>
          <w:color w:val="auto"/>
          <w:sz w:val="24"/>
          <w:highlight w:val="none"/>
        </w:rPr>
        <w:t>注：自然人竞标的无需提供，联合体竞标的只需牵头人出具。</w:t>
      </w:r>
    </w:p>
    <w:p>
      <w:pPr>
        <w:adjustRightInd w:val="0"/>
        <w:snapToGrid w:val="0"/>
        <w:spacing w:line="300" w:lineRule="auto"/>
        <w:jc w:val="left"/>
        <w:rPr>
          <w:rFonts w:ascii="宋体" w:hAnsi="宋体"/>
          <w:b/>
          <w:color w:val="auto"/>
          <w:szCs w:val="21"/>
          <w:highlight w:val="none"/>
        </w:rPr>
      </w:pPr>
    </w:p>
    <w:p>
      <w:pPr>
        <w:spacing w:line="500" w:lineRule="exact"/>
        <w:jc w:val="center"/>
        <w:rPr>
          <w:rFonts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br w:type="page"/>
      </w:r>
      <w:r>
        <w:rPr>
          <w:rFonts w:ascii="方正小标宋简体" w:hAnsi="方正小标宋简体" w:eastAsia="方正小标宋简体" w:cs="方正小标宋简体"/>
          <w:color w:val="auto"/>
          <w:sz w:val="44"/>
          <w:szCs w:val="44"/>
          <w:highlight w:val="none"/>
        </w:rPr>
        <w:t xml:space="preserve"> </w:t>
      </w:r>
    </w:p>
    <w:p>
      <w:pPr>
        <w:spacing w:line="520" w:lineRule="exact"/>
        <w:jc w:val="center"/>
        <w:rPr>
          <w:rFonts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授权委托书</w:t>
      </w:r>
    </w:p>
    <w:p>
      <w:pPr>
        <w:spacing w:line="520" w:lineRule="exact"/>
        <w:jc w:val="center"/>
        <w:rPr>
          <w:rFonts w:ascii="方正小标宋简体" w:hAnsi="方正小标宋简体" w:eastAsia="方正小标宋简体" w:cs="方正小标宋简体"/>
          <w:color w:val="auto"/>
          <w:sz w:val="32"/>
          <w:szCs w:val="32"/>
          <w:highlight w:val="none"/>
        </w:rPr>
      </w:pPr>
      <w:r>
        <w:rPr>
          <w:rFonts w:hint="eastAsia" w:ascii="方正小标宋简体" w:hAnsi="方正小标宋简体" w:eastAsia="方正小标宋简体" w:cs="方正小标宋简体"/>
          <w:color w:val="auto"/>
          <w:sz w:val="32"/>
          <w:szCs w:val="32"/>
          <w:highlight w:val="none"/>
        </w:rPr>
        <w:t>（非联合体竞标格式）</w:t>
      </w:r>
    </w:p>
    <w:p>
      <w:pPr>
        <w:spacing w:line="520" w:lineRule="exact"/>
        <w:jc w:val="center"/>
        <w:rPr>
          <w:rFonts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32"/>
          <w:szCs w:val="32"/>
          <w:highlight w:val="none"/>
        </w:rPr>
        <w:t>（如有委托时）</w:t>
      </w:r>
    </w:p>
    <w:p>
      <w:pPr>
        <w:spacing w:line="520" w:lineRule="exact"/>
        <w:rPr>
          <w:rFonts w:ascii="仿宋_GB2312" w:hAnsi="仿宋_GB2312" w:eastAsia="仿宋_GB2312" w:cs="仿宋_GB2312"/>
          <w:color w:val="auto"/>
          <w:sz w:val="32"/>
          <w:szCs w:val="32"/>
          <w:highlight w:val="none"/>
        </w:rPr>
      </w:pP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致：</w:t>
      </w:r>
      <w:r>
        <w:rPr>
          <w:rFonts w:hint="eastAsia" w:ascii="宋体" w:hAnsi="宋体" w:cs="仿宋_GB2312"/>
          <w:color w:val="auto"/>
          <w:sz w:val="24"/>
          <w:highlight w:val="none"/>
          <w:u w:val="single"/>
        </w:rPr>
        <w:t>（采购人名称）</w:t>
      </w:r>
      <w:r>
        <w:rPr>
          <w:rFonts w:hint="eastAsia" w:ascii="宋体" w:hAnsi="宋体" w:cs="仿宋_GB2312"/>
          <w:color w:val="auto"/>
          <w:sz w:val="24"/>
          <w:highlight w:val="none"/>
        </w:rPr>
        <w:t>：</w:t>
      </w:r>
    </w:p>
    <w:p>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我</w:t>
      </w:r>
      <w:r>
        <w:rPr>
          <w:rFonts w:hint="eastAsia" w:ascii="宋体" w:hAnsi="宋体" w:cs="仿宋_GB2312"/>
          <w:color w:val="auto"/>
          <w:sz w:val="24"/>
          <w:highlight w:val="none"/>
          <w:u w:val="single"/>
        </w:rPr>
        <w:t xml:space="preserve">  （姓名）  </w:t>
      </w:r>
      <w:r>
        <w:rPr>
          <w:rFonts w:hint="eastAsia" w:ascii="宋体" w:hAnsi="宋体" w:cs="仿宋_GB2312"/>
          <w:color w:val="auto"/>
          <w:sz w:val="24"/>
          <w:highlight w:val="none"/>
        </w:rPr>
        <w:t>系</w:t>
      </w:r>
      <w:r>
        <w:rPr>
          <w:rFonts w:hint="eastAsia" w:ascii="宋体" w:hAnsi="宋体" w:cs="仿宋_GB2312"/>
          <w:color w:val="auto"/>
          <w:sz w:val="24"/>
          <w:highlight w:val="none"/>
          <w:u w:val="single"/>
        </w:rPr>
        <w:t xml:space="preserve">  （供应商名称）  </w:t>
      </w:r>
      <w:r>
        <w:rPr>
          <w:rFonts w:hint="eastAsia" w:ascii="宋体" w:hAnsi="宋体" w:cs="仿宋_GB2312"/>
          <w:color w:val="auto"/>
          <w:sz w:val="24"/>
          <w:highlight w:val="none"/>
        </w:rPr>
        <w:t>的（</w:t>
      </w:r>
      <w:r>
        <w:rPr>
          <w:rFonts w:hint="eastAsia" w:ascii="宋体" w:hAnsi="宋体" w:cs="仿宋_GB2312"/>
          <w:color w:val="auto"/>
          <w:sz w:val="24"/>
          <w:highlight w:val="none"/>
          <w:u w:val="single"/>
        </w:rPr>
        <w:t>法定代表人/负责人/自然人本人</w:t>
      </w:r>
      <w:r>
        <w:rPr>
          <w:rFonts w:hint="eastAsia" w:ascii="宋体" w:hAnsi="宋体" w:cs="仿宋_GB2312"/>
          <w:color w:val="auto"/>
          <w:sz w:val="24"/>
          <w:highlight w:val="none"/>
        </w:rPr>
        <w:t>），现授权</w:t>
      </w:r>
      <w:r>
        <w:rPr>
          <w:rFonts w:hint="eastAsia" w:ascii="宋体" w:hAnsi="宋体" w:cs="仿宋_GB2312"/>
          <w:color w:val="auto"/>
          <w:sz w:val="24"/>
          <w:highlight w:val="none"/>
          <w:u w:val="single"/>
        </w:rPr>
        <w:t xml:space="preserve"> （姓名） </w:t>
      </w:r>
      <w:r>
        <w:rPr>
          <w:rFonts w:hint="eastAsia" w:ascii="宋体" w:hAnsi="宋体" w:cs="仿宋_GB2312"/>
          <w:color w:val="auto"/>
          <w:sz w:val="24"/>
          <w:highlight w:val="none"/>
        </w:rPr>
        <w:t>以我方的名义参加</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项目的竞标活动，并代表我方全权办理针对上述项目的所有采购程序和环节的具体事务和签署相关文件。</w:t>
      </w: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    我方对委托代理人的签字事项负全部责任。</w:t>
      </w:r>
    </w:p>
    <w:p>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委托代理人无转委托权，特此委托。</w:t>
      </w:r>
    </w:p>
    <w:p>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附：法定代表人身份证明及委托代理人有效身份证正反面复印件</w:t>
      </w:r>
    </w:p>
    <w:p>
      <w:pPr>
        <w:spacing w:line="360" w:lineRule="auto"/>
        <w:rPr>
          <w:rFonts w:ascii="宋体" w:hAnsi="宋体" w:cs="仿宋_GB2312"/>
          <w:color w:val="auto"/>
          <w:sz w:val="24"/>
          <w:highlight w:val="none"/>
        </w:rPr>
      </w:pP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委托代理人（签字）：         法定代表人（签字或者盖章）：                    </w:t>
      </w: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委托代理人身份证号码：                              </w:t>
      </w: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                                </w:t>
      </w: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                         供应商（盖公章）：                      </w:t>
      </w: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 xml:space="preserve">                                         年    月    日</w:t>
      </w:r>
    </w:p>
    <w:p>
      <w:pPr>
        <w:spacing w:line="360" w:lineRule="auto"/>
        <w:rPr>
          <w:rFonts w:ascii="宋体" w:hAnsi="宋体" w:cs="仿宋_GB2312"/>
          <w:color w:val="auto"/>
          <w:sz w:val="24"/>
          <w:highlight w:val="none"/>
        </w:rPr>
      </w:pPr>
    </w:p>
    <w:p>
      <w:pPr>
        <w:spacing w:line="360" w:lineRule="auto"/>
        <w:rPr>
          <w:rFonts w:ascii="宋体" w:hAnsi="宋体" w:cs="仿宋_GB2312"/>
          <w:color w:val="auto"/>
          <w:sz w:val="24"/>
          <w:highlight w:val="none"/>
        </w:rPr>
      </w:pPr>
      <w:r>
        <w:rPr>
          <w:rFonts w:hint="eastAsia" w:ascii="宋体" w:hAnsi="宋体" w:cs="仿宋_GB2312"/>
          <w:color w:val="auto"/>
          <w:sz w:val="24"/>
          <w:highlight w:val="none"/>
        </w:rPr>
        <w:t>注：1. 法定代表人必须在授权委托书上亲笔签字或者盖章，委托代理人必须在授权委托书上亲笔签字，</w:t>
      </w:r>
      <w:r>
        <w:rPr>
          <w:rFonts w:hint="eastAsia" w:ascii="宋体" w:hAnsi="宋体" w:cs="仿宋_GB2312"/>
          <w:b/>
          <w:color w:val="auto"/>
          <w:sz w:val="24"/>
          <w:highlight w:val="none"/>
        </w:rPr>
        <w:t>否则其响应文件按无效响应处理。</w:t>
      </w:r>
    </w:p>
    <w:p>
      <w:pPr>
        <w:spacing w:line="360" w:lineRule="auto"/>
        <w:ind w:firstLine="480" w:firstLineChars="200"/>
        <w:jc w:val="left"/>
        <w:rPr>
          <w:rFonts w:ascii="宋体" w:hAnsi="宋体" w:cs="仿宋_GB2312"/>
          <w:color w:val="auto"/>
          <w:sz w:val="24"/>
          <w:highlight w:val="none"/>
        </w:rPr>
      </w:pPr>
      <w:r>
        <w:rPr>
          <w:rFonts w:ascii="宋体" w:hAnsi="宋体" w:cs="仿宋_GB2312"/>
          <w:color w:val="auto"/>
          <w:sz w:val="24"/>
          <w:highlight w:val="none"/>
        </w:rPr>
        <w:t>2.</w:t>
      </w:r>
      <w:bookmarkStart w:id="50" w:name="_Hlk65853109"/>
      <w:bookmarkStart w:id="51" w:name="_Hlk65853542"/>
      <w:r>
        <w:rPr>
          <w:rFonts w:hint="eastAsia" w:ascii="宋体" w:hAnsi="宋体" w:cs="仿宋_GB2312"/>
          <w:color w:val="auto"/>
          <w:sz w:val="24"/>
          <w:highlight w:val="none"/>
        </w:rPr>
        <w:t>法人、其他组织竞标时“我方”是指“我单位”，自然人竞标时“我方”是指“本人”。</w:t>
      </w:r>
      <w:bookmarkEnd w:id="50"/>
    </w:p>
    <w:bookmarkEnd w:id="51"/>
    <w:p>
      <w:pPr>
        <w:spacing w:line="360" w:lineRule="auto"/>
        <w:ind w:firstLine="420" w:firstLineChars="200"/>
        <w:jc w:val="left"/>
        <w:rPr>
          <w:rFonts w:ascii="仿宋_GB2312" w:hAnsi="仿宋_GB2312" w:eastAsia="仿宋_GB2312" w:cs="仿宋_GB2312"/>
          <w:color w:val="auto"/>
          <w:szCs w:val="21"/>
          <w:highlight w:val="none"/>
        </w:rPr>
      </w:pPr>
    </w:p>
    <w:p>
      <w:pPr>
        <w:spacing w:line="500" w:lineRule="exact"/>
        <w:jc w:val="center"/>
        <w:rPr>
          <w:rFonts w:ascii="方正小标宋简体" w:hAnsi="方正小标宋简体" w:eastAsia="方正小标宋简体" w:cs="方正小标宋简体"/>
          <w:bCs/>
          <w:color w:val="auto"/>
          <w:sz w:val="44"/>
          <w:szCs w:val="44"/>
          <w:highlight w:val="none"/>
        </w:rPr>
      </w:pPr>
      <w:r>
        <w:rPr>
          <w:rFonts w:ascii="仿宋_GB2312" w:hAnsi="仿宋_GB2312" w:eastAsia="仿宋_GB2312" w:cs="仿宋_GB2312"/>
          <w:color w:val="auto"/>
          <w:szCs w:val="21"/>
          <w:highlight w:val="none"/>
        </w:rPr>
        <w:br w:type="page"/>
      </w:r>
      <w:r>
        <w:rPr>
          <w:rFonts w:hint="eastAsia" w:ascii="方正小标宋简体" w:hAnsi="方正小标宋简体" w:eastAsia="方正小标宋简体" w:cs="方正小标宋简体"/>
          <w:bCs/>
          <w:color w:val="auto"/>
          <w:sz w:val="44"/>
          <w:szCs w:val="44"/>
          <w:highlight w:val="none"/>
        </w:rPr>
        <w:t>商务要求偏离表</w:t>
      </w:r>
    </w:p>
    <w:p>
      <w:pPr>
        <w:spacing w:line="360" w:lineRule="auto"/>
        <w:contextualSpacing/>
        <w:jc w:val="left"/>
        <w:rPr>
          <w:rFonts w:ascii="宋体" w:hAnsi="宋体"/>
          <w:color w:val="auto"/>
          <w:sz w:val="24"/>
          <w:highlight w:val="none"/>
        </w:rPr>
      </w:pPr>
    </w:p>
    <w:p>
      <w:pPr>
        <w:pStyle w:val="12"/>
        <w:spacing w:line="360" w:lineRule="auto"/>
        <w:contextualSpacing/>
        <w:rPr>
          <w:rFonts w:hAnsi="宋体" w:cs="仿宋_GB2312"/>
          <w:color w:val="auto"/>
          <w:sz w:val="24"/>
          <w:szCs w:val="24"/>
          <w:highlight w:val="none"/>
        </w:rPr>
      </w:pPr>
      <w:r>
        <w:rPr>
          <w:rFonts w:hint="eastAsia" w:hAnsi="宋体" w:cs="仿宋_GB2312"/>
          <w:color w:val="auto"/>
          <w:sz w:val="24"/>
          <w:szCs w:val="24"/>
          <w:highlight w:val="none"/>
        </w:rPr>
        <w:t>所竞分标：</w:t>
      </w:r>
      <w:r>
        <w:rPr>
          <w:rFonts w:hint="eastAsia" w:hAnsi="宋体" w:cs="仿宋_GB2312"/>
          <w:color w:val="auto"/>
          <w:sz w:val="24"/>
          <w:szCs w:val="24"/>
          <w:highlight w:val="none"/>
          <w:u w:val="single"/>
        </w:rPr>
        <w:t xml:space="preserve">              </w:t>
      </w:r>
    </w:p>
    <w:p>
      <w:pPr>
        <w:spacing w:line="360" w:lineRule="auto"/>
        <w:contextualSpacing/>
        <w:jc w:val="left"/>
        <w:rPr>
          <w:rFonts w:ascii="宋体" w:hAnsi="宋体" w:cs="仿宋_GB2312"/>
          <w:color w:val="auto"/>
          <w:sz w:val="24"/>
          <w:highlight w:val="none"/>
          <w:u w:val="single"/>
        </w:rPr>
      </w:pPr>
    </w:p>
    <w:tbl>
      <w:tblPr>
        <w:tblStyle w:val="18"/>
        <w:tblpPr w:leftFromText="180" w:rightFromText="180" w:vertAnchor="text" w:horzAnchor="margin" w:tblpY="-9"/>
        <w:tblOverlap w:val="never"/>
        <w:tblW w:w="93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78"/>
        <w:gridCol w:w="2668"/>
        <w:gridCol w:w="2350"/>
        <w:gridCol w:w="21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17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项目</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磋商文件商务要求</w:t>
            </w: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供应商的响应</w:t>
            </w: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r>
              <w:rPr>
                <w:rFonts w:hint="eastAsia" w:ascii="宋体" w:hAnsi="宋体"/>
                <w:color w:val="auto"/>
                <w:sz w:val="24"/>
                <w:highlight w:val="none"/>
              </w:rPr>
              <w:t>交付（实施）的时间（期限）和地点（范围）</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r>
              <w:rPr>
                <w:rFonts w:hint="eastAsia" w:ascii="宋体" w:hAnsi="宋体"/>
                <w:color w:val="auto"/>
                <w:sz w:val="24"/>
                <w:highlight w:val="none"/>
              </w:rPr>
              <w:t>合同签订时间</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ind w:left="43"/>
              <w:contextualSpacing/>
              <w:jc w:val="center"/>
              <w:rPr>
                <w:rFonts w:ascii="宋体" w:hAnsi="宋体" w:cs="仿宋_GB2312"/>
                <w:color w:val="auto"/>
                <w:sz w:val="24"/>
                <w:highlight w:val="none"/>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ind w:left="43"/>
              <w:contextualSpacing/>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r>
              <w:rPr>
                <w:rFonts w:hint="eastAsia" w:ascii="宋体" w:hAnsi="宋体" w:cs="仿宋_GB2312"/>
                <w:color w:val="auto"/>
                <w:sz w:val="24"/>
                <w:highlight w:val="none"/>
              </w:rPr>
              <w:t>…</w:t>
            </w:r>
          </w:p>
        </w:tc>
        <w:tc>
          <w:tcPr>
            <w:tcW w:w="26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2350"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c>
          <w:tcPr>
            <w:tcW w:w="21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s="仿宋_GB2312"/>
                <w:color w:val="auto"/>
                <w:sz w:val="24"/>
                <w:highlight w:val="none"/>
              </w:rPr>
            </w:pPr>
          </w:p>
        </w:tc>
      </w:tr>
    </w:tbl>
    <w:p>
      <w:pPr>
        <w:pStyle w:val="8"/>
        <w:spacing w:after="0" w:line="360" w:lineRule="auto"/>
        <w:contextualSpacing/>
        <w:rPr>
          <w:rFonts w:ascii="宋体" w:hAnsi="宋体"/>
          <w:color w:val="auto"/>
          <w:kern w:val="0"/>
          <w:sz w:val="24"/>
          <w:szCs w:val="24"/>
          <w:highlight w:val="none"/>
        </w:rPr>
      </w:pPr>
      <w:r>
        <w:rPr>
          <w:rFonts w:hint="eastAsia" w:ascii="宋体" w:hAnsi="宋体"/>
          <w:color w:val="auto"/>
          <w:kern w:val="0"/>
          <w:sz w:val="24"/>
          <w:szCs w:val="24"/>
          <w:highlight w:val="none"/>
        </w:rPr>
        <w:t>注：</w:t>
      </w:r>
    </w:p>
    <w:p>
      <w:pPr>
        <w:pStyle w:val="8"/>
        <w:spacing w:after="0" w:line="360" w:lineRule="auto"/>
        <w:contextualSpacing/>
        <w:rPr>
          <w:rFonts w:ascii="宋体" w:hAnsi="宋体"/>
          <w:color w:val="auto"/>
          <w:kern w:val="0"/>
          <w:sz w:val="24"/>
          <w:szCs w:val="24"/>
          <w:highlight w:val="none"/>
        </w:rPr>
      </w:pPr>
      <w:r>
        <w:rPr>
          <w:rFonts w:hint="eastAsia" w:ascii="宋体" w:hAnsi="宋体"/>
          <w:color w:val="auto"/>
          <w:kern w:val="0"/>
          <w:sz w:val="24"/>
          <w:szCs w:val="24"/>
          <w:highlight w:val="none"/>
        </w:rPr>
        <w:t>1. 说明：应对照磋商文件“第三章 采购需求”中的商务要求逐条作出明确响应，并作出偏离说明。</w:t>
      </w:r>
    </w:p>
    <w:p>
      <w:pPr>
        <w:spacing w:line="360" w:lineRule="auto"/>
        <w:contextualSpacing/>
        <w:jc w:val="left"/>
        <w:rPr>
          <w:rFonts w:ascii="宋体" w:hAnsi="宋体" w:cs="仿宋_GB2312"/>
          <w:color w:val="auto"/>
          <w:sz w:val="24"/>
          <w:highlight w:val="none"/>
          <w:u w:val="single"/>
        </w:rPr>
      </w:pPr>
      <w:r>
        <w:rPr>
          <w:rFonts w:hint="eastAsia" w:ascii="宋体" w:hAnsi="宋体"/>
          <w:color w:val="auto"/>
          <w:kern w:val="0"/>
          <w:sz w:val="24"/>
          <w:highlight w:val="none"/>
        </w:rPr>
        <w:t>2.供应商应根据自身的承诺，对照磋商文件要求在“偏离说明”中注明“正偏离”、“负偏离”或者“无偏离”。既不属于“正偏离”也不属于“负偏离”即为“无偏离”。</w:t>
      </w:r>
    </w:p>
    <w:p>
      <w:pPr>
        <w:spacing w:line="360" w:lineRule="auto"/>
        <w:ind w:right="-817" w:rightChars="-389"/>
        <w:contextualSpacing/>
        <w:rPr>
          <w:rFonts w:ascii="宋体" w:hAnsi="宋体" w:cs="仿宋_GB2312"/>
          <w:color w:val="auto"/>
          <w:sz w:val="24"/>
          <w:highlight w:val="none"/>
        </w:rPr>
      </w:pPr>
    </w:p>
    <w:p>
      <w:pPr>
        <w:spacing w:line="360" w:lineRule="auto"/>
        <w:ind w:right="-817" w:rightChars="-389" w:firstLine="960" w:firstLineChars="400"/>
        <w:contextualSpacing/>
        <w:rPr>
          <w:rFonts w:ascii="宋体" w:hAnsi="宋体" w:cs="仿宋_GB2312"/>
          <w:color w:val="auto"/>
          <w:sz w:val="24"/>
          <w:highlight w:val="none"/>
        </w:rPr>
      </w:pPr>
      <w:r>
        <w:rPr>
          <w:rFonts w:hint="eastAsia" w:ascii="宋体" w:hAnsi="宋体" w:cs="仿宋_GB2312"/>
          <w:color w:val="auto"/>
          <w:sz w:val="24"/>
          <w:highlight w:val="none"/>
        </w:rPr>
        <w:t xml:space="preserve">法定代表人或者委托代理人（签字）：                    </w:t>
      </w:r>
    </w:p>
    <w:p>
      <w:pPr>
        <w:spacing w:line="360" w:lineRule="auto"/>
        <w:ind w:right="-817" w:rightChars="-389" w:firstLine="2640" w:firstLineChars="1100"/>
        <w:contextualSpacing/>
        <w:rPr>
          <w:rFonts w:ascii="宋体" w:hAnsi="宋体" w:cs="仿宋_GB2312"/>
          <w:color w:val="auto"/>
          <w:sz w:val="24"/>
          <w:highlight w:val="none"/>
        </w:rPr>
      </w:pPr>
      <w:r>
        <w:rPr>
          <w:rFonts w:hint="eastAsia" w:ascii="宋体" w:hAnsi="宋体" w:cs="仿宋_GB2312"/>
          <w:color w:val="auto"/>
          <w:sz w:val="24"/>
          <w:highlight w:val="none"/>
        </w:rPr>
        <w:t xml:space="preserve">供应商（盖公章）：      </w:t>
      </w:r>
    </w:p>
    <w:p>
      <w:pPr>
        <w:spacing w:line="360" w:lineRule="auto"/>
        <w:ind w:right="-817" w:rightChars="-389" w:firstLine="4080" w:firstLineChars="1700"/>
        <w:contextualSpacing/>
        <w:rPr>
          <w:rFonts w:ascii="仿宋_GB2312" w:hAnsi="仿宋_GB2312" w:eastAsia="仿宋_GB2312" w:cs="仿宋_GB2312"/>
          <w:b/>
          <w:color w:val="auto"/>
          <w:sz w:val="32"/>
          <w:szCs w:val="32"/>
          <w:highlight w:val="none"/>
        </w:rPr>
      </w:pPr>
      <w:r>
        <w:rPr>
          <w:rFonts w:hint="eastAsia" w:ascii="宋体" w:hAnsi="宋体" w:cs="仿宋_GB2312"/>
          <w:color w:val="auto"/>
          <w:sz w:val="24"/>
          <w:highlight w:val="none"/>
        </w:rPr>
        <w:t>日期：   年   月   日</w:t>
      </w: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auto"/>
          <w:sz w:val="44"/>
          <w:szCs w:val="44"/>
          <w:highlight w:val="none"/>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auto"/>
          <w:sz w:val="44"/>
          <w:szCs w:val="44"/>
          <w:highlight w:val="none"/>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auto"/>
          <w:sz w:val="44"/>
          <w:szCs w:val="44"/>
          <w:highlight w:val="none"/>
        </w:rPr>
      </w:pPr>
    </w:p>
    <w:p>
      <w:pPr>
        <w:adjustRightInd w:val="0"/>
        <w:snapToGrid w:val="0"/>
        <w:spacing w:line="520" w:lineRule="exact"/>
        <w:ind w:firstLine="7040" w:firstLineChars="1600"/>
        <w:jc w:val="center"/>
        <w:rPr>
          <w:rFonts w:ascii="方正小标宋简体" w:hAnsi="方正小标宋简体" w:eastAsia="方正小标宋简体" w:cs="方正小标宋简体"/>
          <w:bCs/>
          <w:color w:val="auto"/>
          <w:sz w:val="44"/>
          <w:szCs w:val="44"/>
          <w:highlight w:val="none"/>
        </w:rPr>
      </w:pPr>
    </w:p>
    <w:p>
      <w:pPr>
        <w:adjustRightInd w:val="0"/>
        <w:snapToGrid w:val="0"/>
        <w:spacing w:line="520" w:lineRule="exact"/>
        <w:rPr>
          <w:rFonts w:ascii="宋体" w:hAnsi="宋体"/>
          <w:color w:val="auto"/>
          <w:szCs w:val="21"/>
          <w:highlight w:val="none"/>
          <w:u w:val="single"/>
        </w:rPr>
      </w:pPr>
    </w:p>
    <w:p>
      <w:pPr>
        <w:adjustRightInd w:val="0"/>
        <w:snapToGrid w:val="0"/>
        <w:spacing w:line="300" w:lineRule="auto"/>
        <w:jc w:val="center"/>
        <w:rPr>
          <w:rFonts w:ascii="方正小标宋简体" w:hAnsi="方正小标宋简体" w:eastAsia="方正小标宋简体" w:cs="方正小标宋简体"/>
          <w:bCs/>
          <w:color w:val="auto"/>
          <w:sz w:val="44"/>
          <w:szCs w:val="44"/>
          <w:highlight w:val="none"/>
        </w:rPr>
      </w:pPr>
      <w:r>
        <w:rPr>
          <w:rFonts w:ascii="方正小标宋简体" w:hAnsi="方正小标宋简体" w:eastAsia="方正小标宋简体" w:cs="方正小标宋简体"/>
          <w:bCs/>
          <w:color w:val="auto"/>
          <w:sz w:val="44"/>
          <w:szCs w:val="44"/>
          <w:highlight w:val="none"/>
        </w:rPr>
        <w:br w:type="page"/>
      </w:r>
      <w:r>
        <w:rPr>
          <w:rFonts w:hint="eastAsia" w:ascii="方正小标宋简体" w:hAnsi="方正小标宋简体" w:eastAsia="方正小标宋简体" w:cs="方正小标宋简体"/>
          <w:bCs/>
          <w:color w:val="auto"/>
          <w:sz w:val="44"/>
          <w:szCs w:val="44"/>
          <w:highlight w:val="none"/>
        </w:rPr>
        <w:t>技术要求偏离表</w:t>
      </w:r>
    </w:p>
    <w:p>
      <w:pPr>
        <w:spacing w:line="520" w:lineRule="exact"/>
        <w:rPr>
          <w:rFonts w:ascii="仿宋_GB2312" w:hAnsi="仿宋_GB2312" w:eastAsia="仿宋_GB2312" w:cs="仿宋_GB2312"/>
          <w:color w:val="auto"/>
          <w:sz w:val="32"/>
          <w:szCs w:val="32"/>
          <w:highlight w:val="none"/>
        </w:rPr>
      </w:pPr>
    </w:p>
    <w:p>
      <w:pPr>
        <w:spacing w:line="360" w:lineRule="auto"/>
        <w:contextualSpacing/>
        <w:rPr>
          <w:rFonts w:ascii="宋体" w:hAnsi="宋体" w:cs="仿宋_GB2312"/>
          <w:color w:val="auto"/>
          <w:sz w:val="24"/>
          <w:highlight w:val="none"/>
          <w:u w:val="single"/>
        </w:rPr>
      </w:pPr>
      <w:r>
        <w:rPr>
          <w:rFonts w:hint="eastAsia" w:ascii="宋体" w:hAnsi="宋体" w:cs="仿宋_GB2312"/>
          <w:color w:val="auto"/>
          <w:sz w:val="24"/>
          <w:highlight w:val="none"/>
        </w:rPr>
        <w:t>采购项目编号：</w:t>
      </w:r>
      <w:r>
        <w:rPr>
          <w:rFonts w:hint="eastAsia" w:ascii="宋体" w:hAnsi="宋体" w:cs="仿宋_GB2312"/>
          <w:color w:val="auto"/>
          <w:sz w:val="24"/>
          <w:highlight w:val="none"/>
          <w:u w:val="single"/>
        </w:rPr>
        <w:t xml:space="preserve">                 </w:t>
      </w:r>
    </w:p>
    <w:p>
      <w:pPr>
        <w:spacing w:line="360" w:lineRule="auto"/>
        <w:contextualSpacing/>
        <w:rPr>
          <w:rFonts w:ascii="宋体" w:hAnsi="宋体" w:cs="仿宋_GB2312"/>
          <w:color w:val="auto"/>
          <w:sz w:val="24"/>
          <w:highlight w:val="none"/>
        </w:rPr>
      </w:pPr>
      <w:r>
        <w:rPr>
          <w:rFonts w:hint="eastAsia" w:ascii="宋体" w:hAnsi="宋体" w:cs="仿宋_GB2312"/>
          <w:color w:val="auto"/>
          <w:sz w:val="24"/>
          <w:highlight w:val="none"/>
        </w:rPr>
        <w:t>采购项目名称：</w:t>
      </w:r>
      <w:r>
        <w:rPr>
          <w:rFonts w:hint="eastAsia" w:ascii="宋体" w:hAnsi="宋体" w:cs="仿宋_GB2312"/>
          <w:color w:val="auto"/>
          <w:sz w:val="24"/>
          <w:highlight w:val="none"/>
          <w:u w:val="single"/>
        </w:rPr>
        <w:t xml:space="preserve">                 </w:t>
      </w:r>
    </w:p>
    <w:p>
      <w:pPr>
        <w:spacing w:line="360" w:lineRule="auto"/>
        <w:contextualSpacing/>
        <w:rPr>
          <w:rFonts w:ascii="宋体" w:hAnsi="宋体" w:cs="仿宋_GB2312"/>
          <w:color w:val="auto"/>
          <w:sz w:val="24"/>
          <w:highlight w:val="none"/>
          <w:u w:val="single"/>
        </w:rPr>
      </w:pPr>
      <w:r>
        <w:rPr>
          <w:rFonts w:hint="eastAsia" w:ascii="宋体" w:hAnsi="宋体" w:cs="仿宋_GB2312"/>
          <w:color w:val="auto"/>
          <w:sz w:val="24"/>
          <w:highlight w:val="none"/>
        </w:rPr>
        <w:t>分标号：</w:t>
      </w:r>
      <w:r>
        <w:rPr>
          <w:rFonts w:hint="eastAsia" w:ascii="宋体" w:hAnsi="宋体" w:cs="仿宋_GB2312"/>
          <w:color w:val="auto"/>
          <w:sz w:val="24"/>
          <w:highlight w:val="none"/>
          <w:u w:val="single"/>
        </w:rPr>
        <w:t xml:space="preserve">                       </w:t>
      </w:r>
    </w:p>
    <w:tbl>
      <w:tblPr>
        <w:tblStyle w:val="18"/>
        <w:tblW w:w="985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92"/>
        <w:gridCol w:w="992"/>
        <w:gridCol w:w="3292"/>
        <w:gridCol w:w="2962"/>
        <w:gridCol w:w="161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52" w:name="_Toc301781611"/>
            <w:bookmarkStart w:id="53" w:name="_Toc383699906"/>
            <w:bookmarkStart w:id="54" w:name="_Toc173066401"/>
            <w:bookmarkStart w:id="55" w:name="_Toc254970729"/>
            <w:bookmarkStart w:id="56" w:name="_Toc254970588"/>
            <w:bookmarkStart w:id="57" w:name="_Toc295404981"/>
            <w:bookmarkStart w:id="58" w:name="_Toc297193185"/>
            <w:bookmarkStart w:id="59" w:name="_Toc373333689"/>
            <w:bookmarkStart w:id="60" w:name="_Toc173211900"/>
            <w:r>
              <w:rPr>
                <w:rFonts w:hint="eastAsia" w:ascii="宋体" w:hAnsi="宋体" w:eastAsia="宋体" w:cs="仿宋_GB2312"/>
                <w:color w:val="auto"/>
                <w:kern w:val="2"/>
                <w:sz w:val="24"/>
                <w:szCs w:val="24"/>
                <w:highlight w:val="none"/>
              </w:rPr>
              <w:t>序号</w:t>
            </w:r>
            <w:bookmarkEnd w:id="52"/>
            <w:bookmarkEnd w:id="53"/>
            <w:bookmarkEnd w:id="54"/>
            <w:bookmarkEnd w:id="55"/>
            <w:bookmarkEnd w:id="56"/>
            <w:bookmarkEnd w:id="57"/>
            <w:bookmarkEnd w:id="58"/>
            <w:bookmarkEnd w:id="59"/>
            <w:bookmarkEnd w:id="60"/>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名称</w:t>
            </w: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磋商文件技术要求</w:t>
            </w: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61" w:name="_Toc173211902"/>
            <w:bookmarkStart w:id="62" w:name="_Toc254970590"/>
            <w:bookmarkStart w:id="63" w:name="_Toc383699908"/>
            <w:bookmarkStart w:id="64" w:name="_Toc301781613"/>
            <w:bookmarkStart w:id="65" w:name="_Toc254970731"/>
            <w:bookmarkStart w:id="66" w:name="_Toc295404983"/>
            <w:bookmarkStart w:id="67" w:name="_Toc373333691"/>
            <w:bookmarkStart w:id="68" w:name="_Toc173066403"/>
            <w:bookmarkStart w:id="69" w:name="_Toc297193187"/>
            <w:r>
              <w:rPr>
                <w:rFonts w:hint="eastAsia" w:ascii="宋体" w:hAnsi="宋体" w:eastAsia="宋体" w:cs="仿宋_GB2312"/>
                <w:color w:val="auto"/>
                <w:kern w:val="2"/>
                <w:sz w:val="24"/>
                <w:szCs w:val="24"/>
                <w:highlight w:val="none"/>
              </w:rPr>
              <w:t>竞标响应</w:t>
            </w:r>
            <w:bookmarkEnd w:id="61"/>
            <w:bookmarkEnd w:id="62"/>
            <w:bookmarkEnd w:id="63"/>
            <w:bookmarkEnd w:id="64"/>
            <w:bookmarkEnd w:id="65"/>
            <w:bookmarkEnd w:id="66"/>
            <w:bookmarkEnd w:id="67"/>
            <w:bookmarkEnd w:id="68"/>
            <w:bookmarkEnd w:id="69"/>
          </w:p>
        </w:tc>
        <w:tc>
          <w:tcPr>
            <w:tcW w:w="1616"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70" w:name="_Toc301781614"/>
            <w:bookmarkStart w:id="71" w:name="_Toc254970591"/>
            <w:bookmarkStart w:id="72" w:name="_Toc383699909"/>
            <w:bookmarkStart w:id="73" w:name="_Toc254970732"/>
            <w:bookmarkStart w:id="74" w:name="_Toc295404984"/>
            <w:bookmarkStart w:id="75" w:name="_Toc297193188"/>
            <w:bookmarkStart w:id="76" w:name="_Toc173066404"/>
            <w:bookmarkStart w:id="77" w:name="_Toc373333692"/>
            <w:bookmarkStart w:id="78" w:name="_Toc173211903"/>
            <w:r>
              <w:rPr>
                <w:rFonts w:hint="eastAsia" w:ascii="宋体" w:hAnsi="宋体" w:eastAsia="宋体" w:cs="仿宋_GB2312"/>
                <w:color w:val="auto"/>
                <w:kern w:val="2"/>
                <w:sz w:val="24"/>
                <w:szCs w:val="24"/>
                <w:highlight w:val="none"/>
              </w:rPr>
              <w:t>偏离</w:t>
            </w:r>
            <w:bookmarkEnd w:id="70"/>
            <w:bookmarkEnd w:id="71"/>
            <w:bookmarkEnd w:id="72"/>
            <w:bookmarkEnd w:id="73"/>
            <w:bookmarkEnd w:id="74"/>
            <w:bookmarkEnd w:id="75"/>
            <w:bookmarkEnd w:id="76"/>
            <w:bookmarkEnd w:id="77"/>
            <w:bookmarkEnd w:id="78"/>
            <w:bookmarkStart w:id="79" w:name="_Toc383699910"/>
            <w:bookmarkStart w:id="80" w:name="_Toc373333693"/>
            <w:bookmarkStart w:id="81" w:name="_Toc297193189"/>
            <w:bookmarkStart w:id="82" w:name="_Toc301781615"/>
            <w:bookmarkStart w:id="83" w:name="_Toc173211904"/>
            <w:bookmarkStart w:id="84" w:name="_Toc254970592"/>
            <w:bookmarkStart w:id="85" w:name="_Toc295404985"/>
            <w:bookmarkStart w:id="86" w:name="_Toc254970733"/>
            <w:bookmarkStart w:id="87" w:name="_Toc173066405"/>
            <w:r>
              <w:rPr>
                <w:rFonts w:hint="eastAsia" w:ascii="宋体" w:hAnsi="宋体" w:eastAsia="宋体" w:cs="仿宋_GB2312"/>
                <w:color w:val="auto"/>
                <w:kern w:val="2"/>
                <w:sz w:val="24"/>
                <w:szCs w:val="24"/>
                <w:highlight w:val="none"/>
              </w:rPr>
              <w:t>说明</w:t>
            </w:r>
            <w:bookmarkEnd w:id="79"/>
            <w:bookmarkEnd w:id="80"/>
            <w:bookmarkEnd w:id="81"/>
            <w:bookmarkEnd w:id="82"/>
            <w:bookmarkEnd w:id="83"/>
            <w:bookmarkEnd w:id="84"/>
            <w:bookmarkEnd w:id="85"/>
            <w:bookmarkEnd w:id="86"/>
            <w:bookmarkEnd w:id="87"/>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88" w:name="_Toc254970734"/>
            <w:bookmarkStart w:id="89" w:name="_Toc173211905"/>
            <w:bookmarkStart w:id="90" w:name="_Toc373333694"/>
            <w:bookmarkStart w:id="91" w:name="_Toc254970593"/>
            <w:bookmarkStart w:id="92" w:name="_Toc295404986"/>
            <w:bookmarkStart w:id="93" w:name="_Toc297193190"/>
            <w:bookmarkStart w:id="94" w:name="_Toc301781616"/>
            <w:bookmarkStart w:id="95" w:name="_Toc173066406"/>
            <w:bookmarkStart w:id="96" w:name="_Toc383699911"/>
            <w:r>
              <w:rPr>
                <w:rFonts w:hint="eastAsia" w:ascii="宋体" w:hAnsi="宋体" w:eastAsia="宋体" w:cs="仿宋_GB2312"/>
                <w:color w:val="auto"/>
                <w:kern w:val="2"/>
                <w:sz w:val="24"/>
                <w:szCs w:val="24"/>
                <w:highlight w:val="none"/>
              </w:rPr>
              <w:t>1</w:t>
            </w:r>
            <w:bookmarkEnd w:id="88"/>
            <w:bookmarkEnd w:id="89"/>
            <w:bookmarkEnd w:id="90"/>
            <w:bookmarkEnd w:id="91"/>
            <w:bookmarkEnd w:id="92"/>
            <w:bookmarkEnd w:id="93"/>
            <w:bookmarkEnd w:id="94"/>
            <w:bookmarkEnd w:id="95"/>
            <w:bookmarkEnd w:id="96"/>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97" w:name="_Toc373333695"/>
            <w:bookmarkStart w:id="98" w:name="_Toc173211906"/>
            <w:bookmarkStart w:id="99" w:name="_Toc173066407"/>
            <w:bookmarkStart w:id="100" w:name="_Toc295404987"/>
            <w:bookmarkStart w:id="101" w:name="_Toc383699912"/>
            <w:bookmarkStart w:id="102" w:name="_Toc301781617"/>
            <w:bookmarkStart w:id="103" w:name="_Toc254970594"/>
            <w:bookmarkStart w:id="104" w:name="_Toc254970735"/>
            <w:bookmarkStart w:id="105" w:name="_Toc297193191"/>
            <w:r>
              <w:rPr>
                <w:rFonts w:hint="eastAsia" w:ascii="宋体" w:hAnsi="宋体" w:eastAsia="宋体" w:cs="仿宋_GB2312"/>
                <w:color w:val="auto"/>
                <w:kern w:val="2"/>
                <w:sz w:val="24"/>
                <w:szCs w:val="24"/>
                <w:highlight w:val="none"/>
              </w:rPr>
              <w:t>2</w:t>
            </w:r>
            <w:bookmarkEnd w:id="97"/>
            <w:bookmarkEnd w:id="98"/>
            <w:bookmarkEnd w:id="99"/>
            <w:bookmarkEnd w:id="100"/>
            <w:bookmarkEnd w:id="101"/>
            <w:bookmarkEnd w:id="102"/>
            <w:bookmarkEnd w:id="103"/>
            <w:bookmarkEnd w:id="104"/>
            <w:bookmarkEnd w:id="105"/>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106" w:name="_Toc295404988"/>
            <w:bookmarkStart w:id="107" w:name="_Toc383699913"/>
            <w:bookmarkStart w:id="108" w:name="_Toc173211907"/>
            <w:bookmarkStart w:id="109" w:name="_Toc297193192"/>
            <w:bookmarkStart w:id="110" w:name="_Toc301781618"/>
            <w:bookmarkStart w:id="111" w:name="_Toc373333696"/>
            <w:bookmarkStart w:id="112" w:name="_Toc254970736"/>
            <w:bookmarkStart w:id="113" w:name="_Toc254970595"/>
            <w:bookmarkStart w:id="114" w:name="_Toc173066408"/>
            <w:r>
              <w:rPr>
                <w:rFonts w:hint="eastAsia" w:ascii="宋体" w:hAnsi="宋体" w:eastAsia="宋体" w:cs="仿宋_GB2312"/>
                <w:color w:val="auto"/>
                <w:kern w:val="2"/>
                <w:sz w:val="24"/>
                <w:szCs w:val="24"/>
                <w:highlight w:val="none"/>
              </w:rPr>
              <w:t>3</w:t>
            </w:r>
            <w:bookmarkEnd w:id="106"/>
            <w:bookmarkEnd w:id="107"/>
            <w:bookmarkEnd w:id="108"/>
            <w:bookmarkEnd w:id="109"/>
            <w:bookmarkEnd w:id="110"/>
            <w:bookmarkEnd w:id="111"/>
            <w:bookmarkEnd w:id="112"/>
            <w:bookmarkEnd w:id="113"/>
            <w:bookmarkEnd w:id="114"/>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115" w:name="_Toc383699914"/>
            <w:bookmarkStart w:id="116" w:name="_Toc373333697"/>
            <w:bookmarkStart w:id="117" w:name="_Toc301781619"/>
            <w:bookmarkStart w:id="118" w:name="_Toc295404989"/>
            <w:bookmarkStart w:id="119" w:name="_Toc254970737"/>
            <w:bookmarkStart w:id="120" w:name="_Toc173066409"/>
            <w:bookmarkStart w:id="121" w:name="_Toc254970596"/>
            <w:bookmarkStart w:id="122" w:name="_Toc173211908"/>
            <w:bookmarkStart w:id="123" w:name="_Toc297193193"/>
            <w:r>
              <w:rPr>
                <w:rFonts w:hint="eastAsia" w:ascii="宋体" w:hAnsi="宋体" w:eastAsia="宋体" w:cs="仿宋_GB2312"/>
                <w:color w:val="auto"/>
                <w:kern w:val="2"/>
                <w:sz w:val="24"/>
                <w:szCs w:val="24"/>
                <w:highlight w:val="none"/>
              </w:rPr>
              <w:t>4</w:t>
            </w:r>
            <w:bookmarkEnd w:id="115"/>
            <w:bookmarkEnd w:id="116"/>
            <w:bookmarkEnd w:id="117"/>
            <w:bookmarkEnd w:id="118"/>
            <w:bookmarkEnd w:id="119"/>
            <w:bookmarkEnd w:id="120"/>
            <w:bookmarkEnd w:id="121"/>
            <w:bookmarkEnd w:id="122"/>
            <w:bookmarkEnd w:id="123"/>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124" w:name="_Toc383699915"/>
            <w:bookmarkStart w:id="125" w:name="_Toc254970738"/>
            <w:bookmarkStart w:id="126" w:name="_Toc297193194"/>
            <w:bookmarkStart w:id="127" w:name="_Toc301781620"/>
            <w:bookmarkStart w:id="128" w:name="_Toc254970597"/>
            <w:bookmarkStart w:id="129" w:name="_Toc373333698"/>
            <w:bookmarkStart w:id="130" w:name="_Toc173066410"/>
            <w:bookmarkStart w:id="131" w:name="_Toc173211909"/>
            <w:bookmarkStart w:id="132" w:name="_Toc295404990"/>
            <w:r>
              <w:rPr>
                <w:rFonts w:hint="eastAsia" w:ascii="宋体" w:hAnsi="宋体" w:eastAsia="宋体" w:cs="仿宋_GB2312"/>
                <w:color w:val="auto"/>
                <w:kern w:val="2"/>
                <w:sz w:val="24"/>
                <w:szCs w:val="24"/>
                <w:highlight w:val="none"/>
              </w:rPr>
              <w:t>5</w:t>
            </w:r>
            <w:bookmarkEnd w:id="124"/>
            <w:bookmarkEnd w:id="125"/>
            <w:bookmarkEnd w:id="126"/>
            <w:bookmarkEnd w:id="127"/>
            <w:bookmarkEnd w:id="128"/>
            <w:bookmarkEnd w:id="129"/>
            <w:bookmarkEnd w:id="130"/>
            <w:bookmarkEnd w:id="131"/>
            <w:bookmarkEnd w:id="132"/>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1616"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0" w:hRule="atLeast"/>
          <w:jc w:val="center"/>
        </w:trPr>
        <w:tc>
          <w:tcPr>
            <w:tcW w:w="99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bookmarkStart w:id="133" w:name="_Toc295404991"/>
            <w:bookmarkStart w:id="134" w:name="_Toc173066415"/>
            <w:bookmarkStart w:id="135" w:name="_Toc373333699"/>
            <w:bookmarkStart w:id="136" w:name="_Toc254970602"/>
            <w:bookmarkStart w:id="137" w:name="_Toc254970743"/>
            <w:bookmarkStart w:id="138" w:name="_Toc297193195"/>
            <w:bookmarkStart w:id="139" w:name="_Toc301781621"/>
            <w:bookmarkStart w:id="140" w:name="_Toc173211914"/>
            <w:bookmarkStart w:id="141" w:name="_Toc383699916"/>
            <w:r>
              <w:rPr>
                <w:rFonts w:hint="eastAsia" w:ascii="宋体" w:hAnsi="宋体" w:eastAsia="宋体" w:cs="仿宋_GB2312"/>
                <w:color w:val="auto"/>
                <w:kern w:val="2"/>
                <w:sz w:val="24"/>
                <w:szCs w:val="24"/>
                <w:highlight w:val="none"/>
              </w:rPr>
              <w:t>…</w:t>
            </w:r>
            <w:bookmarkEnd w:id="133"/>
            <w:bookmarkEnd w:id="134"/>
            <w:bookmarkEnd w:id="135"/>
            <w:bookmarkEnd w:id="136"/>
            <w:bookmarkEnd w:id="137"/>
            <w:bookmarkEnd w:id="138"/>
            <w:bookmarkEnd w:id="139"/>
            <w:bookmarkEnd w:id="140"/>
            <w:bookmarkEnd w:id="141"/>
          </w:p>
        </w:tc>
        <w:tc>
          <w:tcPr>
            <w:tcW w:w="992"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3292" w:type="dxa"/>
            <w:tcBorders>
              <w:lef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2962" w:type="dxa"/>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c>
          <w:tcPr>
            <w:tcW w:w="1616" w:type="dxa"/>
            <w:tcBorders>
              <w:right w:val="single" w:color="auto" w:sz="4" w:space="0"/>
            </w:tcBorders>
            <w:vAlign w:val="center"/>
          </w:tcPr>
          <w:p>
            <w:pPr>
              <w:pStyle w:val="10"/>
              <w:spacing w:line="360" w:lineRule="auto"/>
              <w:ind w:firstLine="0" w:firstLineChars="0"/>
              <w:contextualSpacing/>
              <w:jc w:val="center"/>
              <w:rPr>
                <w:rFonts w:ascii="宋体" w:hAnsi="宋体" w:eastAsia="宋体" w:cs="仿宋_GB2312"/>
                <w:color w:val="auto"/>
                <w:kern w:val="2"/>
                <w:sz w:val="24"/>
                <w:szCs w:val="24"/>
                <w:highlight w:val="none"/>
              </w:rPr>
            </w:pPr>
          </w:p>
        </w:tc>
      </w:tr>
    </w:tbl>
    <w:p>
      <w:pPr>
        <w:adjustRightInd w:val="0"/>
        <w:spacing w:line="360" w:lineRule="auto"/>
        <w:contextualSpacing/>
        <w:rPr>
          <w:rFonts w:ascii="宋体" w:hAnsi="宋体" w:cs="仿宋_GB2312"/>
          <w:color w:val="auto"/>
          <w:sz w:val="24"/>
          <w:highlight w:val="none"/>
        </w:rPr>
      </w:pPr>
    </w:p>
    <w:p>
      <w:pPr>
        <w:pStyle w:val="10"/>
        <w:spacing w:line="360" w:lineRule="auto"/>
        <w:ind w:firstLine="0" w:firstLineChars="0"/>
        <w:contextualSpacing/>
        <w:rPr>
          <w:rFonts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注：</w:t>
      </w:r>
    </w:p>
    <w:p>
      <w:pPr>
        <w:pStyle w:val="10"/>
        <w:spacing w:line="360" w:lineRule="auto"/>
        <w:ind w:firstLine="0" w:firstLineChars="0"/>
        <w:contextualSpacing/>
        <w:rPr>
          <w:rFonts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1. 说明：应对照磋商文件“第三章 采购需求”中的技术要求逐条作出明确响应，并作出偏离说明。</w:t>
      </w:r>
    </w:p>
    <w:p>
      <w:pPr>
        <w:pStyle w:val="10"/>
        <w:spacing w:line="360" w:lineRule="auto"/>
        <w:ind w:firstLine="0" w:firstLineChars="0"/>
        <w:contextualSpacing/>
        <w:rPr>
          <w:rFonts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2.供应商应根据自身的承诺，对照磋商文件要求，在“偏离说明”中注明“正偏离”、“负偏离”或者“无偏离”。既不属于“正偏离”也不属于“负偏离”即为“无偏离”。</w:t>
      </w:r>
    </w:p>
    <w:p>
      <w:pPr>
        <w:spacing w:line="360" w:lineRule="auto"/>
        <w:ind w:right="-817" w:rightChars="-389"/>
        <w:contextualSpacing/>
        <w:rPr>
          <w:rFonts w:ascii="宋体" w:hAnsi="宋体" w:cs="仿宋_GB2312"/>
          <w:color w:val="auto"/>
          <w:sz w:val="24"/>
          <w:highlight w:val="none"/>
        </w:rPr>
      </w:pPr>
    </w:p>
    <w:p>
      <w:pPr>
        <w:spacing w:line="360" w:lineRule="auto"/>
        <w:ind w:right="-817" w:rightChars="-389" w:firstLine="960" w:firstLineChars="400"/>
        <w:contextualSpacing/>
        <w:rPr>
          <w:rFonts w:ascii="宋体" w:hAnsi="宋体" w:cs="仿宋_GB2312"/>
          <w:color w:val="auto"/>
          <w:sz w:val="24"/>
          <w:highlight w:val="none"/>
        </w:rPr>
      </w:pPr>
      <w:r>
        <w:rPr>
          <w:rFonts w:hint="eastAsia" w:ascii="宋体" w:hAnsi="宋体" w:cs="仿宋_GB2312"/>
          <w:color w:val="auto"/>
          <w:sz w:val="24"/>
          <w:highlight w:val="none"/>
        </w:rPr>
        <w:t xml:space="preserve">法定代表人或者委托代理人（签字）：                    </w:t>
      </w:r>
    </w:p>
    <w:p>
      <w:pPr>
        <w:spacing w:line="360" w:lineRule="auto"/>
        <w:ind w:right="-817" w:rightChars="-389" w:firstLine="2640" w:firstLineChars="1100"/>
        <w:contextualSpacing/>
        <w:rPr>
          <w:rFonts w:ascii="宋体" w:hAnsi="宋体" w:cs="仿宋_GB2312"/>
          <w:color w:val="auto"/>
          <w:sz w:val="24"/>
          <w:highlight w:val="none"/>
        </w:rPr>
      </w:pPr>
      <w:r>
        <w:rPr>
          <w:rFonts w:hint="eastAsia" w:ascii="宋体" w:hAnsi="宋体" w:cs="仿宋_GB2312"/>
          <w:color w:val="auto"/>
          <w:sz w:val="24"/>
          <w:highlight w:val="none"/>
        </w:rPr>
        <w:t xml:space="preserve">供应商（盖公章）：      </w:t>
      </w:r>
    </w:p>
    <w:p>
      <w:pPr>
        <w:spacing w:line="360" w:lineRule="auto"/>
        <w:ind w:right="-817" w:rightChars="-389" w:firstLine="4080" w:firstLineChars="1700"/>
        <w:contextualSpacing/>
        <w:rPr>
          <w:rFonts w:ascii="宋体" w:hAnsi="宋体" w:cs="仿宋_GB2312"/>
          <w:color w:val="auto"/>
          <w:sz w:val="24"/>
          <w:highlight w:val="none"/>
        </w:rPr>
      </w:pPr>
      <w:r>
        <w:rPr>
          <w:rFonts w:hint="eastAsia" w:ascii="宋体" w:hAnsi="宋体" w:cs="仿宋_GB2312"/>
          <w:color w:val="auto"/>
          <w:sz w:val="24"/>
          <w:highlight w:val="none"/>
        </w:rPr>
        <w:t>日期：   年   月   日</w:t>
      </w:r>
    </w:p>
    <w:p>
      <w:pPr>
        <w:snapToGrid w:val="0"/>
        <w:spacing w:before="156" w:beforeLines="50" w:after="50"/>
        <w:ind w:left="142"/>
        <w:jc w:val="left"/>
        <w:rPr>
          <w:rFonts w:ascii="宋体" w:hAnsi="宋体"/>
          <w:b/>
          <w:color w:val="auto"/>
          <w:sz w:val="24"/>
          <w:highlight w:val="none"/>
        </w:rPr>
      </w:pPr>
      <w:r>
        <w:rPr>
          <w:rFonts w:ascii="宋体" w:hAnsi="宋体" w:cs="仿宋_GB2312"/>
          <w:color w:val="auto"/>
          <w:sz w:val="24"/>
          <w:highlight w:val="none"/>
        </w:rPr>
        <w:br w:type="page"/>
      </w:r>
      <w:r>
        <w:rPr>
          <w:rFonts w:hint="eastAsia" w:ascii="宋体" w:hAnsi="宋体"/>
          <w:b/>
          <w:color w:val="auto"/>
          <w:sz w:val="24"/>
          <w:highlight w:val="none"/>
        </w:rPr>
        <w:t>项目实施人员一览表格式</w:t>
      </w:r>
    </w:p>
    <w:p>
      <w:pPr>
        <w:snapToGrid w:val="0"/>
        <w:spacing w:before="156" w:beforeLines="50" w:after="50"/>
        <w:ind w:left="142"/>
        <w:jc w:val="left"/>
        <w:rPr>
          <w:rFonts w:ascii="宋体" w:hAnsi="宋体"/>
          <w:b/>
          <w:color w:val="auto"/>
          <w:sz w:val="24"/>
          <w:highlight w:val="none"/>
        </w:rPr>
      </w:pPr>
    </w:p>
    <w:p>
      <w:pPr>
        <w:spacing w:line="360" w:lineRule="auto"/>
        <w:ind w:left="142"/>
        <w:contextualSpacing/>
        <w:jc w:val="center"/>
        <w:rPr>
          <w:rFonts w:ascii="宋体" w:hAnsi="宋体"/>
          <w:b/>
          <w:color w:val="auto"/>
          <w:sz w:val="32"/>
          <w:szCs w:val="32"/>
          <w:highlight w:val="none"/>
        </w:rPr>
      </w:pPr>
      <w:r>
        <w:rPr>
          <w:rFonts w:hint="eastAsia" w:ascii="宋体" w:hAnsi="宋体"/>
          <w:b/>
          <w:color w:val="auto"/>
          <w:sz w:val="32"/>
          <w:szCs w:val="32"/>
          <w:highlight w:val="none"/>
        </w:rPr>
        <w:t>项目实施人员一览表</w:t>
      </w:r>
    </w:p>
    <w:p>
      <w:pPr>
        <w:pStyle w:val="12"/>
        <w:spacing w:line="360" w:lineRule="auto"/>
        <w:contextualSpacing/>
        <w:rPr>
          <w:color w:val="auto"/>
          <w:sz w:val="24"/>
          <w:szCs w:val="24"/>
          <w:highlight w:val="none"/>
        </w:rPr>
      </w:pPr>
      <w:r>
        <w:rPr>
          <w:rFonts w:hint="eastAsia"/>
          <w:color w:val="auto"/>
          <w:sz w:val="24"/>
          <w:szCs w:val="24"/>
          <w:highlight w:val="none"/>
        </w:rPr>
        <w:t>所竞分标：</w:t>
      </w:r>
      <w:r>
        <w:rPr>
          <w:rFonts w:hint="eastAsia"/>
          <w:color w:val="auto"/>
          <w:sz w:val="24"/>
          <w:szCs w:val="24"/>
          <w:highlight w:val="none"/>
          <w:u w:val="single"/>
        </w:rPr>
        <w:t xml:space="preserve">     </w:t>
      </w:r>
      <w:r>
        <w:rPr>
          <w:rFonts w:hint="eastAsia"/>
          <w:color w:val="auto"/>
          <w:sz w:val="24"/>
          <w:szCs w:val="24"/>
          <w:highlight w:val="none"/>
        </w:rPr>
        <w:t>分标</w:t>
      </w:r>
    </w:p>
    <w:tbl>
      <w:tblPr>
        <w:tblStyle w:val="18"/>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1701"/>
        <w:gridCol w:w="1420"/>
        <w:gridCol w:w="1698"/>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姓名</w:t>
            </w:r>
          </w:p>
        </w:tc>
        <w:tc>
          <w:tcPr>
            <w:tcW w:w="709" w:type="dxa"/>
            <w:vAlign w:val="center"/>
          </w:tcPr>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职务</w:t>
            </w:r>
          </w:p>
        </w:tc>
        <w:tc>
          <w:tcPr>
            <w:tcW w:w="1701" w:type="dxa"/>
            <w:vAlign w:val="center"/>
          </w:tcPr>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专业技术资格（职称）或者职业资格或者执业资格证或者其他证书</w:t>
            </w:r>
          </w:p>
        </w:tc>
        <w:tc>
          <w:tcPr>
            <w:tcW w:w="1420" w:type="dxa"/>
            <w:vAlign w:val="center"/>
          </w:tcPr>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证书编号</w:t>
            </w:r>
          </w:p>
        </w:tc>
        <w:tc>
          <w:tcPr>
            <w:tcW w:w="1698" w:type="dxa"/>
            <w:vAlign w:val="center"/>
          </w:tcPr>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参加本单位</w:t>
            </w:r>
          </w:p>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工作时间</w:t>
            </w:r>
          </w:p>
        </w:tc>
        <w:tc>
          <w:tcPr>
            <w:tcW w:w="1843" w:type="dxa"/>
            <w:vAlign w:val="center"/>
          </w:tcPr>
          <w:p>
            <w:pPr>
              <w:spacing w:line="360" w:lineRule="auto"/>
              <w:contextualSpacing/>
              <w:jc w:val="center"/>
              <w:rPr>
                <w:rFonts w:ascii="宋体" w:hAnsi="宋体"/>
                <w:color w:val="auto"/>
                <w:sz w:val="24"/>
                <w:szCs w:val="20"/>
                <w:highlight w:val="none"/>
              </w:rPr>
            </w:pPr>
            <w:r>
              <w:rPr>
                <w:rFonts w:hint="eastAsia" w:ascii="宋体" w:hAnsi="宋体"/>
                <w:color w:val="auto"/>
                <w:sz w:val="24"/>
                <w:szCs w:val="20"/>
                <w:highlight w:val="none"/>
              </w:rPr>
              <w:t>劳动合同编号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360" w:lineRule="auto"/>
              <w:contextualSpacing/>
              <w:jc w:val="center"/>
              <w:rPr>
                <w:rFonts w:ascii="宋体" w:hAnsi="宋体"/>
                <w:color w:val="auto"/>
                <w:sz w:val="24"/>
                <w:szCs w:val="20"/>
                <w:highlight w:val="none"/>
              </w:rPr>
            </w:pPr>
          </w:p>
        </w:tc>
        <w:tc>
          <w:tcPr>
            <w:tcW w:w="709" w:type="dxa"/>
            <w:vAlign w:val="center"/>
          </w:tcPr>
          <w:p>
            <w:pPr>
              <w:spacing w:line="360" w:lineRule="auto"/>
              <w:contextualSpacing/>
              <w:jc w:val="center"/>
              <w:rPr>
                <w:rFonts w:ascii="宋体" w:hAnsi="宋体"/>
                <w:color w:val="auto"/>
                <w:sz w:val="24"/>
                <w:szCs w:val="20"/>
                <w:highlight w:val="none"/>
              </w:rPr>
            </w:pPr>
          </w:p>
        </w:tc>
        <w:tc>
          <w:tcPr>
            <w:tcW w:w="1701" w:type="dxa"/>
            <w:vAlign w:val="center"/>
          </w:tcPr>
          <w:p>
            <w:pPr>
              <w:spacing w:line="360" w:lineRule="auto"/>
              <w:contextualSpacing/>
              <w:jc w:val="center"/>
              <w:rPr>
                <w:rFonts w:ascii="宋体" w:hAnsi="宋体"/>
                <w:color w:val="auto"/>
                <w:sz w:val="24"/>
                <w:szCs w:val="20"/>
                <w:highlight w:val="none"/>
              </w:rPr>
            </w:pPr>
          </w:p>
        </w:tc>
        <w:tc>
          <w:tcPr>
            <w:tcW w:w="1420" w:type="dxa"/>
            <w:vAlign w:val="center"/>
          </w:tcPr>
          <w:p>
            <w:pPr>
              <w:spacing w:line="360" w:lineRule="auto"/>
              <w:contextualSpacing/>
              <w:jc w:val="center"/>
              <w:rPr>
                <w:rFonts w:ascii="宋体" w:hAnsi="宋体"/>
                <w:color w:val="auto"/>
                <w:sz w:val="24"/>
                <w:szCs w:val="20"/>
                <w:highlight w:val="none"/>
              </w:rPr>
            </w:pPr>
          </w:p>
        </w:tc>
        <w:tc>
          <w:tcPr>
            <w:tcW w:w="1698" w:type="dxa"/>
            <w:vAlign w:val="center"/>
          </w:tcPr>
          <w:p>
            <w:pPr>
              <w:spacing w:line="360" w:lineRule="auto"/>
              <w:contextualSpacing/>
              <w:jc w:val="center"/>
              <w:rPr>
                <w:rFonts w:ascii="宋体" w:hAnsi="宋体"/>
                <w:color w:val="auto"/>
                <w:sz w:val="24"/>
                <w:szCs w:val="20"/>
                <w:highlight w:val="none"/>
              </w:rPr>
            </w:pPr>
          </w:p>
        </w:tc>
        <w:tc>
          <w:tcPr>
            <w:tcW w:w="1843" w:type="dxa"/>
            <w:vAlign w:val="center"/>
          </w:tcPr>
          <w:p>
            <w:pPr>
              <w:spacing w:line="360" w:lineRule="auto"/>
              <w:contextualSpacing/>
              <w:jc w:val="center"/>
              <w:rPr>
                <w:rFonts w:ascii="宋体" w:hAnsi="宋体"/>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360" w:lineRule="auto"/>
              <w:contextualSpacing/>
              <w:jc w:val="center"/>
              <w:rPr>
                <w:rFonts w:ascii="宋体" w:hAnsi="宋体"/>
                <w:color w:val="auto"/>
                <w:sz w:val="24"/>
                <w:szCs w:val="20"/>
                <w:highlight w:val="none"/>
              </w:rPr>
            </w:pPr>
          </w:p>
        </w:tc>
        <w:tc>
          <w:tcPr>
            <w:tcW w:w="709" w:type="dxa"/>
            <w:vAlign w:val="center"/>
          </w:tcPr>
          <w:p>
            <w:pPr>
              <w:spacing w:line="360" w:lineRule="auto"/>
              <w:contextualSpacing/>
              <w:jc w:val="center"/>
              <w:rPr>
                <w:rFonts w:ascii="宋体" w:hAnsi="宋体"/>
                <w:color w:val="auto"/>
                <w:sz w:val="24"/>
                <w:szCs w:val="20"/>
                <w:highlight w:val="none"/>
              </w:rPr>
            </w:pPr>
          </w:p>
        </w:tc>
        <w:tc>
          <w:tcPr>
            <w:tcW w:w="1701" w:type="dxa"/>
            <w:vAlign w:val="center"/>
          </w:tcPr>
          <w:p>
            <w:pPr>
              <w:spacing w:line="360" w:lineRule="auto"/>
              <w:contextualSpacing/>
              <w:jc w:val="center"/>
              <w:rPr>
                <w:rFonts w:ascii="宋体" w:hAnsi="宋体"/>
                <w:color w:val="auto"/>
                <w:sz w:val="24"/>
                <w:szCs w:val="20"/>
                <w:highlight w:val="none"/>
              </w:rPr>
            </w:pPr>
          </w:p>
        </w:tc>
        <w:tc>
          <w:tcPr>
            <w:tcW w:w="1420" w:type="dxa"/>
            <w:vAlign w:val="center"/>
          </w:tcPr>
          <w:p>
            <w:pPr>
              <w:spacing w:line="360" w:lineRule="auto"/>
              <w:contextualSpacing/>
              <w:jc w:val="center"/>
              <w:rPr>
                <w:rFonts w:ascii="宋体" w:hAnsi="宋体"/>
                <w:color w:val="auto"/>
                <w:sz w:val="24"/>
                <w:szCs w:val="20"/>
                <w:highlight w:val="none"/>
              </w:rPr>
            </w:pPr>
          </w:p>
        </w:tc>
        <w:tc>
          <w:tcPr>
            <w:tcW w:w="1698" w:type="dxa"/>
            <w:vAlign w:val="center"/>
          </w:tcPr>
          <w:p>
            <w:pPr>
              <w:spacing w:line="360" w:lineRule="auto"/>
              <w:contextualSpacing/>
              <w:jc w:val="center"/>
              <w:rPr>
                <w:rFonts w:ascii="宋体" w:hAnsi="宋体"/>
                <w:color w:val="auto"/>
                <w:sz w:val="24"/>
                <w:szCs w:val="20"/>
                <w:highlight w:val="none"/>
              </w:rPr>
            </w:pPr>
          </w:p>
        </w:tc>
        <w:tc>
          <w:tcPr>
            <w:tcW w:w="1843" w:type="dxa"/>
            <w:vAlign w:val="center"/>
          </w:tcPr>
          <w:p>
            <w:pPr>
              <w:spacing w:line="360" w:lineRule="auto"/>
              <w:contextualSpacing/>
              <w:jc w:val="center"/>
              <w:rPr>
                <w:rFonts w:ascii="宋体" w:hAnsi="宋体"/>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360" w:lineRule="auto"/>
              <w:contextualSpacing/>
              <w:jc w:val="center"/>
              <w:rPr>
                <w:rFonts w:ascii="宋体" w:hAnsi="宋体"/>
                <w:color w:val="auto"/>
                <w:sz w:val="24"/>
                <w:szCs w:val="20"/>
                <w:highlight w:val="none"/>
              </w:rPr>
            </w:pPr>
          </w:p>
        </w:tc>
        <w:tc>
          <w:tcPr>
            <w:tcW w:w="709" w:type="dxa"/>
            <w:vAlign w:val="center"/>
          </w:tcPr>
          <w:p>
            <w:pPr>
              <w:spacing w:line="360" w:lineRule="auto"/>
              <w:contextualSpacing/>
              <w:jc w:val="center"/>
              <w:rPr>
                <w:rFonts w:ascii="宋体" w:hAnsi="宋体"/>
                <w:color w:val="auto"/>
                <w:sz w:val="24"/>
                <w:szCs w:val="20"/>
                <w:highlight w:val="none"/>
              </w:rPr>
            </w:pPr>
          </w:p>
        </w:tc>
        <w:tc>
          <w:tcPr>
            <w:tcW w:w="1701" w:type="dxa"/>
            <w:vAlign w:val="center"/>
          </w:tcPr>
          <w:p>
            <w:pPr>
              <w:spacing w:line="360" w:lineRule="auto"/>
              <w:contextualSpacing/>
              <w:jc w:val="center"/>
              <w:rPr>
                <w:rFonts w:ascii="宋体" w:hAnsi="宋体"/>
                <w:color w:val="auto"/>
                <w:sz w:val="24"/>
                <w:szCs w:val="20"/>
                <w:highlight w:val="none"/>
              </w:rPr>
            </w:pPr>
          </w:p>
        </w:tc>
        <w:tc>
          <w:tcPr>
            <w:tcW w:w="1420" w:type="dxa"/>
            <w:vAlign w:val="center"/>
          </w:tcPr>
          <w:p>
            <w:pPr>
              <w:spacing w:line="360" w:lineRule="auto"/>
              <w:contextualSpacing/>
              <w:jc w:val="center"/>
              <w:rPr>
                <w:rFonts w:ascii="宋体" w:hAnsi="宋体"/>
                <w:color w:val="auto"/>
                <w:sz w:val="24"/>
                <w:szCs w:val="20"/>
                <w:highlight w:val="none"/>
              </w:rPr>
            </w:pPr>
          </w:p>
        </w:tc>
        <w:tc>
          <w:tcPr>
            <w:tcW w:w="1698" w:type="dxa"/>
            <w:vAlign w:val="center"/>
          </w:tcPr>
          <w:p>
            <w:pPr>
              <w:spacing w:line="360" w:lineRule="auto"/>
              <w:contextualSpacing/>
              <w:jc w:val="center"/>
              <w:rPr>
                <w:rFonts w:ascii="宋体" w:hAnsi="宋体"/>
                <w:color w:val="auto"/>
                <w:sz w:val="24"/>
                <w:szCs w:val="20"/>
                <w:highlight w:val="none"/>
              </w:rPr>
            </w:pPr>
          </w:p>
        </w:tc>
        <w:tc>
          <w:tcPr>
            <w:tcW w:w="1843" w:type="dxa"/>
            <w:vAlign w:val="center"/>
          </w:tcPr>
          <w:p>
            <w:pPr>
              <w:spacing w:line="360" w:lineRule="auto"/>
              <w:contextualSpacing/>
              <w:jc w:val="center"/>
              <w:rPr>
                <w:rFonts w:ascii="宋体" w:hAnsi="宋体"/>
                <w:color w:val="auto"/>
                <w:sz w:val="24"/>
                <w:szCs w:val="20"/>
                <w:highlight w:val="none"/>
              </w:rPr>
            </w:pPr>
          </w:p>
        </w:tc>
      </w:tr>
    </w:tbl>
    <w:p>
      <w:pPr>
        <w:spacing w:line="360" w:lineRule="auto"/>
        <w:contextualSpacing/>
        <w:jc w:val="left"/>
        <w:rPr>
          <w:rFonts w:ascii="宋体" w:hAnsi="宋体"/>
          <w:color w:val="auto"/>
          <w:sz w:val="24"/>
          <w:szCs w:val="20"/>
          <w:highlight w:val="none"/>
        </w:rPr>
      </w:pPr>
      <w:r>
        <w:rPr>
          <w:rFonts w:hint="eastAsia" w:ascii="宋体" w:hAnsi="宋体"/>
          <w:color w:val="auto"/>
          <w:sz w:val="24"/>
          <w:szCs w:val="20"/>
          <w:highlight w:val="none"/>
        </w:rPr>
        <w:t>注：</w:t>
      </w:r>
    </w:p>
    <w:p>
      <w:pPr>
        <w:spacing w:line="360" w:lineRule="auto"/>
        <w:contextualSpacing/>
        <w:jc w:val="left"/>
        <w:rPr>
          <w:rFonts w:ascii="宋体" w:hAnsi="宋体"/>
          <w:color w:val="auto"/>
          <w:sz w:val="24"/>
          <w:szCs w:val="20"/>
          <w:highlight w:val="none"/>
        </w:rPr>
      </w:pPr>
      <w:r>
        <w:rPr>
          <w:rFonts w:hint="eastAsia" w:ascii="宋体" w:hAnsi="宋体"/>
          <w:color w:val="auto"/>
          <w:sz w:val="24"/>
          <w:szCs w:val="20"/>
          <w:highlight w:val="none"/>
        </w:rPr>
        <w:t>1</w:t>
      </w:r>
      <w:r>
        <w:rPr>
          <w:rFonts w:ascii="宋体" w:hAnsi="宋体"/>
          <w:color w:val="auto"/>
          <w:sz w:val="24"/>
          <w:szCs w:val="20"/>
          <w:highlight w:val="none"/>
        </w:rPr>
        <w:t>.</w:t>
      </w:r>
      <w:r>
        <w:rPr>
          <w:rFonts w:hint="eastAsia" w:ascii="宋体" w:hAnsi="宋体"/>
          <w:color w:val="auto"/>
          <w:sz w:val="24"/>
          <w:szCs w:val="20"/>
          <w:highlight w:val="none"/>
        </w:rPr>
        <w:t>在填写时，如本表格不适合供应商的实际情况，可根据本表格式自行制表填写。</w:t>
      </w:r>
    </w:p>
    <w:p>
      <w:pPr>
        <w:spacing w:line="360" w:lineRule="auto"/>
        <w:contextualSpacing/>
        <w:jc w:val="left"/>
        <w:rPr>
          <w:rFonts w:ascii="宋体" w:hAnsi="宋体"/>
          <w:color w:val="auto"/>
          <w:sz w:val="24"/>
          <w:szCs w:val="20"/>
          <w:highlight w:val="none"/>
        </w:rPr>
      </w:pPr>
      <w:r>
        <w:rPr>
          <w:rFonts w:ascii="宋体" w:hAnsi="宋体"/>
          <w:color w:val="auto"/>
          <w:sz w:val="24"/>
          <w:szCs w:val="20"/>
          <w:highlight w:val="none"/>
        </w:rPr>
        <w:t>2.</w:t>
      </w:r>
      <w:r>
        <w:rPr>
          <w:rFonts w:hint="eastAsia" w:ascii="宋体" w:hAnsi="宋体"/>
          <w:color w:val="auto"/>
          <w:sz w:val="24"/>
          <w:szCs w:val="20"/>
          <w:highlight w:val="none"/>
        </w:rPr>
        <w:t>供应商应当附本表所列证书的复印件并加盖供应商公章。</w:t>
      </w:r>
    </w:p>
    <w:p>
      <w:pPr>
        <w:spacing w:line="360" w:lineRule="auto"/>
        <w:contextualSpacing/>
        <w:rPr>
          <w:rFonts w:ascii="宋体" w:hAnsi="宋体"/>
          <w:color w:val="auto"/>
          <w:spacing w:val="20"/>
          <w:sz w:val="24"/>
          <w:szCs w:val="20"/>
          <w:highlight w:val="none"/>
          <w:u w:val="single"/>
        </w:rPr>
      </w:pPr>
      <w:r>
        <w:rPr>
          <w:rFonts w:hint="eastAsia" w:ascii="宋体" w:hAnsi="宋体"/>
          <w:color w:val="auto"/>
          <w:sz w:val="24"/>
          <w:highlight w:val="none"/>
        </w:rPr>
        <w:t>法定代表人或者委托代理人</w:t>
      </w:r>
      <w:r>
        <w:rPr>
          <w:rFonts w:hint="eastAsia" w:ascii="宋体" w:hAnsi="宋体"/>
          <w:color w:val="auto"/>
          <w:spacing w:val="20"/>
          <w:sz w:val="24"/>
          <w:highlight w:val="none"/>
        </w:rPr>
        <w:t>签字：</w:t>
      </w:r>
      <w:r>
        <w:rPr>
          <w:rFonts w:hint="eastAsia" w:ascii="宋体" w:hAnsi="宋体"/>
          <w:color w:val="auto"/>
          <w:spacing w:val="20"/>
          <w:sz w:val="24"/>
          <w:highlight w:val="none"/>
          <w:u w:val="single"/>
        </w:rPr>
        <w:t xml:space="preserve">        </w:t>
      </w:r>
    </w:p>
    <w:p>
      <w:pPr>
        <w:spacing w:line="360" w:lineRule="auto"/>
        <w:contextualSpacing/>
        <w:jc w:val="left"/>
        <w:rPr>
          <w:rFonts w:ascii="宋体" w:hAnsi="宋体"/>
          <w:color w:val="auto"/>
          <w:sz w:val="24"/>
          <w:szCs w:val="20"/>
          <w:highlight w:val="none"/>
        </w:rPr>
      </w:pPr>
      <w:r>
        <w:rPr>
          <w:rFonts w:hint="eastAsia" w:ascii="宋体" w:hAnsi="宋体"/>
          <w:color w:val="auto"/>
          <w:spacing w:val="20"/>
          <w:sz w:val="24"/>
          <w:highlight w:val="none"/>
        </w:rPr>
        <w:t>供应商（盖公章）：</w:t>
      </w:r>
      <w:r>
        <w:rPr>
          <w:rFonts w:hint="eastAsia" w:ascii="宋体" w:hAnsi="宋体"/>
          <w:color w:val="auto"/>
          <w:spacing w:val="20"/>
          <w:sz w:val="24"/>
          <w:highlight w:val="none"/>
          <w:u w:val="single"/>
        </w:rPr>
        <w:t xml:space="preserve">            </w:t>
      </w:r>
      <w:r>
        <w:rPr>
          <w:rFonts w:hint="eastAsia" w:ascii="宋体" w:hAnsi="宋体"/>
          <w:color w:val="auto"/>
          <w:spacing w:val="20"/>
          <w:sz w:val="24"/>
          <w:highlight w:val="none"/>
        </w:rPr>
        <w:t xml:space="preserve">              日 期：</w:t>
      </w:r>
      <w:r>
        <w:rPr>
          <w:rFonts w:hint="eastAsia" w:ascii="宋体" w:hAnsi="宋体"/>
          <w:color w:val="auto"/>
          <w:spacing w:val="20"/>
          <w:sz w:val="24"/>
          <w:highlight w:val="none"/>
          <w:u w:val="single"/>
        </w:rPr>
        <w:t xml:space="preserve">         </w:t>
      </w:r>
    </w:p>
    <w:p>
      <w:pPr>
        <w:snapToGrid w:val="0"/>
        <w:spacing w:before="50" w:after="156" w:afterLines="50"/>
        <w:jc w:val="left"/>
        <w:rPr>
          <w:rFonts w:ascii="宋体" w:hAnsi="宋体"/>
          <w:color w:val="auto"/>
          <w:sz w:val="24"/>
          <w:szCs w:val="20"/>
          <w:highlight w:val="none"/>
        </w:rPr>
      </w:pPr>
    </w:p>
    <w:p>
      <w:pPr>
        <w:snapToGrid w:val="0"/>
        <w:spacing w:before="50" w:after="50" w:line="360" w:lineRule="auto"/>
        <w:ind w:right="-817" w:rightChars="-389" w:firstLine="5461" w:firstLineChars="1700"/>
        <w:rPr>
          <w:rFonts w:ascii="仿宋_GB2312" w:hAnsi="仿宋_GB2312" w:eastAsia="仿宋_GB2312" w:cs="仿宋_GB2312"/>
          <w:b/>
          <w:color w:val="auto"/>
          <w:sz w:val="32"/>
          <w:szCs w:val="32"/>
          <w:highlight w:val="none"/>
        </w:rPr>
      </w:pPr>
    </w:p>
    <w:p>
      <w:pPr>
        <w:spacing w:line="300" w:lineRule="auto"/>
        <w:rPr>
          <w:rFonts w:ascii="宋体" w:hAnsi="宋体"/>
          <w:color w:val="auto"/>
          <w:szCs w:val="21"/>
          <w:highlight w:val="none"/>
        </w:rPr>
      </w:pPr>
      <w:r>
        <w:rPr>
          <w:rFonts w:ascii="宋体" w:hAnsi="宋体"/>
          <w:b/>
          <w:bCs/>
          <w:color w:val="auto"/>
          <w:sz w:val="24"/>
          <w:highlight w:val="none"/>
        </w:rPr>
        <w:br w:type="page"/>
      </w:r>
      <w:r>
        <w:rPr>
          <w:rFonts w:hint="eastAsia" w:ascii="宋体" w:hAnsi="宋体"/>
          <w:b/>
          <w:bCs/>
          <w:color w:val="auto"/>
          <w:sz w:val="24"/>
          <w:highlight w:val="none"/>
        </w:rPr>
        <w:t>其他文书、文件格式</w:t>
      </w:r>
    </w:p>
    <w:p>
      <w:pPr>
        <w:jc w:val="center"/>
        <w:rPr>
          <w:rFonts w:ascii="方正小标宋简体" w:hAnsi="方正小标宋简体" w:eastAsia="方正小标宋简体" w:cs="方正小标宋简体"/>
          <w:color w:val="auto"/>
          <w:sz w:val="44"/>
          <w:szCs w:val="44"/>
          <w:highlight w:val="none"/>
        </w:rPr>
      </w:pPr>
      <w:bookmarkStart w:id="142" w:name="_Toc71365926"/>
      <w:r>
        <w:rPr>
          <w:rFonts w:hint="eastAsia" w:ascii="方正小标宋简体" w:hAnsi="方正小标宋简体" w:eastAsia="方正小标宋简体" w:cs="方正小标宋简体"/>
          <w:color w:val="auto"/>
          <w:sz w:val="44"/>
          <w:szCs w:val="44"/>
          <w:highlight w:val="none"/>
        </w:rPr>
        <w:t>中小企业声明函（服务）</w:t>
      </w:r>
      <w:bookmarkEnd w:id="142"/>
    </w:p>
    <w:p>
      <w:pPr>
        <w:spacing w:before="2" w:line="500" w:lineRule="exact"/>
        <w:ind w:firstLine="708" w:firstLineChars="294"/>
        <w:rPr>
          <w:rFonts w:ascii="宋体" w:hAnsi="宋体" w:cs="宋体"/>
          <w:b/>
          <w:bCs/>
          <w:color w:val="auto"/>
          <w:sz w:val="24"/>
          <w:highlight w:val="none"/>
        </w:rPr>
      </w:pPr>
      <w:r>
        <w:rPr>
          <w:rFonts w:hint="eastAsia" w:ascii="宋体" w:hAnsi="宋体" w:cs="宋体"/>
          <w:b/>
          <w:bCs/>
          <w:color w:val="auto"/>
          <w:sz w:val="24"/>
          <w:highlight w:val="none"/>
        </w:rPr>
        <w:t>注：包2必须提供中小企业声明函或残疾人福利性单位声明函或监狱企业证明</w:t>
      </w:r>
    </w:p>
    <w:p>
      <w:pPr>
        <w:pStyle w:val="9"/>
        <w:spacing w:line="500" w:lineRule="exact"/>
        <w:ind w:right="142" w:firstLine="705" w:firstLineChars="294"/>
        <w:rPr>
          <w:rFonts w:ascii="宋体" w:hAnsi="宋体"/>
          <w:color w:val="auto"/>
          <w:sz w:val="24"/>
          <w:highlight w:val="none"/>
        </w:rPr>
      </w:pPr>
      <w:r>
        <w:rPr>
          <w:rFonts w:ascii="宋体" w:hAnsi="宋体"/>
          <w:color w:val="auto"/>
          <w:sz w:val="24"/>
          <w:highlight w:val="none"/>
        </w:rPr>
        <w:t>本公司（联合体）郑重声明，根据《政府采购促进中小企业发展管理办法》（财库﹝2020﹞46号）的规定，本公司（联合体）参加</w:t>
      </w:r>
      <w:r>
        <w:rPr>
          <w:rFonts w:ascii="宋体" w:hAnsi="宋体"/>
          <w:color w:val="auto"/>
          <w:sz w:val="24"/>
          <w:highlight w:val="none"/>
          <w:u w:val="single"/>
        </w:rPr>
        <w:t>（单位名称）</w:t>
      </w:r>
      <w:r>
        <w:rPr>
          <w:rFonts w:ascii="宋体" w:hAnsi="宋体"/>
          <w:color w:val="auto"/>
          <w:sz w:val="24"/>
          <w:highlight w:val="none"/>
        </w:rPr>
        <w:t>的</w:t>
      </w:r>
      <w:r>
        <w:rPr>
          <w:rFonts w:ascii="宋体" w:hAnsi="宋体"/>
          <w:color w:val="auto"/>
          <w:sz w:val="24"/>
          <w:highlight w:val="none"/>
          <w:u w:val="single"/>
        </w:rPr>
        <w:t>（项目名称）</w:t>
      </w:r>
      <w:r>
        <w:rPr>
          <w:rFonts w:ascii="宋体" w:hAnsi="宋体"/>
          <w:color w:val="auto"/>
          <w:sz w:val="24"/>
          <w:highlight w:val="none"/>
        </w:rPr>
        <w:t>采购活动，</w:t>
      </w:r>
      <w:r>
        <w:rPr>
          <w:rFonts w:hint="eastAsia" w:ascii="宋体" w:hAnsi="宋体"/>
          <w:color w:val="auto"/>
          <w:sz w:val="24"/>
          <w:highlight w:val="none"/>
        </w:rPr>
        <w:t>服务全部由符合政策要求的中小企业承接。相关企业（含联合体中的中小企业、签订分包意向协议的中小企业）的具体情况如下：</w:t>
      </w:r>
    </w:p>
    <w:p>
      <w:pPr>
        <w:tabs>
          <w:tab w:val="left" w:pos="1384"/>
          <w:tab w:val="left" w:pos="4562"/>
          <w:tab w:val="left" w:pos="6803"/>
        </w:tabs>
        <w:spacing w:before="13" w:line="500" w:lineRule="exact"/>
        <w:ind w:right="142" w:firstLine="772" w:firstLineChars="322"/>
        <w:rPr>
          <w:rFonts w:ascii="宋体" w:hAnsi="宋体"/>
          <w:color w:val="auto"/>
          <w:sz w:val="24"/>
          <w:highlight w:val="none"/>
        </w:rPr>
      </w:pPr>
      <w:r>
        <w:rPr>
          <w:rFonts w:ascii="宋体" w:hAnsi="宋体"/>
          <w:color w:val="auto"/>
          <w:sz w:val="24"/>
          <w:highlight w:val="none"/>
        </w:rPr>
        <w:t>1.</w:t>
      </w:r>
      <w:r>
        <w:rPr>
          <w:rFonts w:ascii="宋体" w:hAnsi="宋体"/>
          <w:color w:val="auto"/>
          <w:sz w:val="24"/>
          <w:highlight w:val="none"/>
          <w:u w:val="single"/>
        </w:rPr>
        <w:t>（标的名称）</w:t>
      </w:r>
      <w:r>
        <w:rPr>
          <w:rFonts w:ascii="宋体" w:hAnsi="宋体"/>
          <w:color w:val="auto"/>
          <w:sz w:val="24"/>
          <w:highlight w:val="none"/>
        </w:rPr>
        <w:t>，属于</w:t>
      </w:r>
      <w:r>
        <w:rPr>
          <w:rFonts w:ascii="宋体" w:hAnsi="宋体"/>
          <w:color w:val="auto"/>
          <w:sz w:val="24"/>
          <w:highlight w:val="none"/>
          <w:u w:val="single"/>
        </w:rPr>
        <w:t>（采购文件中明确的所属</w:t>
      </w:r>
      <w:r>
        <w:rPr>
          <w:rFonts w:hint="eastAsia" w:ascii="宋体" w:hAnsi="宋体"/>
          <w:color w:val="auto"/>
          <w:sz w:val="24"/>
          <w:highlight w:val="none"/>
          <w:u w:val="single"/>
        </w:rPr>
        <w:t>行</w:t>
      </w:r>
      <w:r>
        <w:rPr>
          <w:rFonts w:ascii="宋体" w:hAnsi="宋体"/>
          <w:color w:val="auto"/>
          <w:sz w:val="24"/>
          <w:highlight w:val="none"/>
          <w:u w:val="single"/>
        </w:rPr>
        <w:t>业）</w:t>
      </w:r>
      <w:r>
        <w:rPr>
          <w:rFonts w:ascii="宋体" w:hAnsi="宋体"/>
          <w:color w:val="auto"/>
          <w:sz w:val="24"/>
          <w:highlight w:val="none"/>
        </w:rPr>
        <w:t>；</w:t>
      </w:r>
      <w:r>
        <w:rPr>
          <w:rFonts w:hint="eastAsia" w:ascii="宋体" w:hAnsi="宋体"/>
          <w:color w:val="auto"/>
          <w:sz w:val="24"/>
          <w:highlight w:val="none"/>
        </w:rPr>
        <w:t>承接企业为</w:t>
      </w:r>
      <w:r>
        <w:rPr>
          <w:rFonts w:hint="eastAsia" w:ascii="宋体" w:hAnsi="宋体"/>
          <w:color w:val="auto"/>
          <w:sz w:val="24"/>
          <w:highlight w:val="none"/>
          <w:u w:val="single"/>
        </w:rPr>
        <w:t>（企业名称）</w:t>
      </w:r>
      <w:r>
        <w:rPr>
          <w:rFonts w:hint="eastAsia" w:ascii="宋体" w:hAnsi="宋体"/>
          <w:color w:val="auto"/>
          <w:sz w:val="24"/>
          <w:highlight w:val="none"/>
        </w:rPr>
        <w:t>，从业人员</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人，营业收入为</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万元，资产总额为</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万元</w:t>
      </w:r>
      <w:r>
        <w:rPr>
          <w:rFonts w:ascii="宋体" w:hAnsi="宋体"/>
          <w:color w:val="auto"/>
          <w:sz w:val="24"/>
          <w:highlight w:val="none"/>
        </w:rPr>
        <w:t>，属于</w:t>
      </w:r>
      <w:r>
        <w:rPr>
          <w:rFonts w:ascii="宋体" w:hAnsi="宋体"/>
          <w:color w:val="auto"/>
          <w:sz w:val="24"/>
          <w:highlight w:val="none"/>
          <w:u w:val="single"/>
        </w:rPr>
        <w:t>（中型企业、</w:t>
      </w:r>
      <w:r>
        <w:rPr>
          <w:rFonts w:hint="eastAsia" w:ascii="宋体" w:hAnsi="宋体"/>
          <w:color w:val="auto"/>
          <w:sz w:val="24"/>
          <w:highlight w:val="none"/>
          <w:u w:val="single"/>
        </w:rPr>
        <w:t>小型企业、微型企业）</w:t>
      </w:r>
      <w:r>
        <w:rPr>
          <w:rFonts w:hint="eastAsia" w:ascii="宋体" w:hAnsi="宋体"/>
          <w:color w:val="auto"/>
          <w:sz w:val="24"/>
          <w:highlight w:val="none"/>
        </w:rPr>
        <w:t>；</w:t>
      </w:r>
    </w:p>
    <w:p>
      <w:pPr>
        <w:tabs>
          <w:tab w:val="left" w:pos="1065"/>
          <w:tab w:val="left" w:pos="4262"/>
          <w:tab w:val="left" w:pos="6477"/>
        </w:tabs>
        <w:spacing w:before="20" w:line="500" w:lineRule="exact"/>
        <w:ind w:right="84" w:firstLine="772" w:firstLineChars="322"/>
        <w:rPr>
          <w:rFonts w:ascii="宋体" w:hAnsi="宋体"/>
          <w:color w:val="auto"/>
          <w:sz w:val="24"/>
          <w:highlight w:val="none"/>
          <w:u w:val="single"/>
        </w:rPr>
      </w:pPr>
      <w:r>
        <w:rPr>
          <w:rFonts w:ascii="宋体" w:hAnsi="宋体"/>
          <w:color w:val="auto"/>
          <w:sz w:val="24"/>
          <w:highlight w:val="none"/>
        </w:rPr>
        <w:t>2.</w:t>
      </w:r>
      <w:r>
        <w:rPr>
          <w:rFonts w:ascii="宋体" w:hAnsi="宋体"/>
          <w:color w:val="auto"/>
          <w:sz w:val="24"/>
          <w:highlight w:val="none"/>
          <w:u w:val="single"/>
        </w:rPr>
        <w:t>（标的名称）</w:t>
      </w:r>
      <w:r>
        <w:rPr>
          <w:rFonts w:ascii="宋体" w:hAnsi="宋体"/>
          <w:color w:val="auto"/>
          <w:sz w:val="24"/>
          <w:highlight w:val="none"/>
        </w:rPr>
        <w:t>，属于</w:t>
      </w:r>
      <w:r>
        <w:rPr>
          <w:rFonts w:ascii="宋体" w:hAnsi="宋体"/>
          <w:color w:val="auto"/>
          <w:sz w:val="24"/>
          <w:highlight w:val="none"/>
          <w:u w:val="single"/>
        </w:rPr>
        <w:t>（采购文件中明确的所属</w:t>
      </w:r>
      <w:r>
        <w:rPr>
          <w:rFonts w:hint="eastAsia" w:ascii="宋体" w:hAnsi="宋体"/>
          <w:color w:val="auto"/>
          <w:sz w:val="24"/>
          <w:highlight w:val="none"/>
          <w:u w:val="single"/>
        </w:rPr>
        <w:t>行业</w:t>
      </w:r>
      <w:r>
        <w:rPr>
          <w:rFonts w:ascii="宋体" w:hAnsi="宋体"/>
          <w:color w:val="auto"/>
          <w:sz w:val="24"/>
          <w:highlight w:val="none"/>
          <w:u w:val="single"/>
        </w:rPr>
        <w:t>）</w:t>
      </w:r>
      <w:r>
        <w:rPr>
          <w:rFonts w:ascii="宋体" w:hAnsi="宋体"/>
          <w:color w:val="auto"/>
          <w:sz w:val="24"/>
          <w:highlight w:val="none"/>
        </w:rPr>
        <w:t>；</w:t>
      </w:r>
      <w:r>
        <w:rPr>
          <w:rFonts w:hint="eastAsia" w:ascii="宋体" w:hAnsi="宋体"/>
          <w:color w:val="auto"/>
          <w:sz w:val="24"/>
          <w:highlight w:val="none"/>
        </w:rPr>
        <w:t>承接企业为</w:t>
      </w:r>
      <w:r>
        <w:rPr>
          <w:rFonts w:hint="eastAsia" w:ascii="宋体" w:hAnsi="宋体"/>
          <w:color w:val="auto"/>
          <w:sz w:val="24"/>
          <w:highlight w:val="none"/>
          <w:u w:val="single"/>
        </w:rPr>
        <w:t>（企业名称）</w:t>
      </w:r>
      <w:r>
        <w:rPr>
          <w:rFonts w:hint="eastAsia" w:ascii="宋体" w:hAnsi="宋体"/>
          <w:color w:val="auto"/>
          <w:sz w:val="24"/>
          <w:highlight w:val="none"/>
        </w:rPr>
        <w:t>，从业人员</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人，营业收入为</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万元，资产总额为</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万元</w:t>
      </w:r>
      <w:r>
        <w:rPr>
          <w:rFonts w:ascii="宋体" w:hAnsi="宋体"/>
          <w:color w:val="auto"/>
          <w:sz w:val="24"/>
          <w:highlight w:val="none"/>
        </w:rPr>
        <w:t>，属于</w:t>
      </w:r>
      <w:r>
        <w:rPr>
          <w:rFonts w:ascii="宋体" w:hAnsi="宋体"/>
          <w:color w:val="auto"/>
          <w:sz w:val="24"/>
          <w:highlight w:val="none"/>
          <w:u w:val="single"/>
        </w:rPr>
        <w:t>（中型企业、</w:t>
      </w:r>
      <w:r>
        <w:rPr>
          <w:rFonts w:hint="eastAsia" w:ascii="宋体" w:hAnsi="宋体"/>
          <w:color w:val="auto"/>
          <w:sz w:val="24"/>
          <w:highlight w:val="none"/>
          <w:u w:val="single"/>
        </w:rPr>
        <w:t>小型企业、微型企业）</w:t>
      </w:r>
      <w:r>
        <w:rPr>
          <w:rFonts w:hint="eastAsia" w:ascii="宋体" w:hAnsi="宋体"/>
          <w:color w:val="auto"/>
          <w:sz w:val="24"/>
          <w:highlight w:val="none"/>
        </w:rPr>
        <w:t>；</w:t>
      </w:r>
    </w:p>
    <w:p>
      <w:pPr>
        <w:pStyle w:val="9"/>
        <w:spacing w:before="34" w:line="500" w:lineRule="exact"/>
        <w:ind w:right="142" w:firstLine="705" w:firstLineChars="294"/>
        <w:rPr>
          <w:rFonts w:ascii="宋体" w:hAnsi="宋体"/>
          <w:color w:val="auto"/>
          <w:sz w:val="24"/>
          <w:highlight w:val="none"/>
        </w:rPr>
      </w:pPr>
      <w:r>
        <w:rPr>
          <w:rFonts w:ascii="宋体" w:hAnsi="宋体"/>
          <w:color w:val="auto"/>
          <w:sz w:val="24"/>
          <w:highlight w:val="none"/>
        </w:rPr>
        <w:t xml:space="preserve">…… </w:t>
      </w:r>
    </w:p>
    <w:p>
      <w:pPr>
        <w:pStyle w:val="9"/>
        <w:spacing w:before="34" w:line="500" w:lineRule="exact"/>
        <w:ind w:right="142" w:firstLine="705" w:firstLineChars="294"/>
        <w:rPr>
          <w:rFonts w:ascii="宋体" w:hAnsi="宋体"/>
          <w:color w:val="auto"/>
          <w:sz w:val="24"/>
          <w:highlight w:val="none"/>
        </w:rPr>
      </w:pPr>
      <w:r>
        <w:rPr>
          <w:rFonts w:ascii="宋体" w:hAnsi="宋体"/>
          <w:color w:val="auto"/>
          <w:sz w:val="24"/>
          <w:highlight w:val="none"/>
        </w:rPr>
        <w:t>以上企业，不属于大企业的分支机构，不存在控股股东为大企业的情形，也不存在与大企业的负责人为同一人的情形。</w:t>
      </w:r>
    </w:p>
    <w:p>
      <w:pPr>
        <w:pStyle w:val="9"/>
        <w:spacing w:before="25" w:line="500" w:lineRule="exact"/>
        <w:ind w:right="142" w:firstLine="705" w:firstLineChars="294"/>
        <w:rPr>
          <w:rFonts w:ascii="宋体" w:hAnsi="宋体"/>
          <w:color w:val="auto"/>
          <w:sz w:val="24"/>
          <w:highlight w:val="none"/>
        </w:rPr>
      </w:pPr>
      <w:r>
        <w:rPr>
          <w:rFonts w:ascii="宋体" w:hAnsi="宋体"/>
          <w:color w:val="auto"/>
          <w:sz w:val="24"/>
          <w:highlight w:val="none"/>
        </w:rPr>
        <w:t>本企业对上述声明内容的真实性负责。如有虚假，将依法承担相应责任。</w:t>
      </w:r>
    </w:p>
    <w:p>
      <w:pPr>
        <w:pStyle w:val="9"/>
        <w:spacing w:before="56" w:line="500" w:lineRule="exact"/>
        <w:ind w:right="1808" w:firstLine="705" w:firstLineChars="294"/>
        <w:rPr>
          <w:rFonts w:ascii="宋体" w:hAnsi="宋体"/>
          <w:color w:val="auto"/>
          <w:sz w:val="24"/>
          <w:highlight w:val="none"/>
        </w:rPr>
      </w:pPr>
    </w:p>
    <w:p>
      <w:pPr>
        <w:pStyle w:val="9"/>
        <w:spacing w:before="56" w:line="500" w:lineRule="exact"/>
        <w:ind w:right="650" w:firstLine="5625" w:firstLineChars="2344"/>
        <w:rPr>
          <w:rFonts w:ascii="宋体" w:hAnsi="宋体"/>
          <w:color w:val="auto"/>
          <w:sz w:val="24"/>
          <w:highlight w:val="none"/>
        </w:rPr>
      </w:pPr>
      <w:r>
        <w:rPr>
          <w:rFonts w:ascii="宋体" w:hAnsi="宋体"/>
          <w:color w:val="auto"/>
          <w:sz w:val="24"/>
          <w:highlight w:val="none"/>
        </w:rPr>
        <w:t xml:space="preserve">企业名称（章）： </w:t>
      </w:r>
    </w:p>
    <w:p>
      <w:pPr>
        <w:pStyle w:val="9"/>
        <w:spacing w:before="56" w:line="500" w:lineRule="exact"/>
        <w:ind w:right="1808" w:firstLine="5625" w:firstLineChars="2344"/>
        <w:rPr>
          <w:rFonts w:ascii="宋体" w:hAnsi="宋体"/>
          <w:color w:val="auto"/>
          <w:sz w:val="24"/>
          <w:highlight w:val="none"/>
        </w:rPr>
      </w:pPr>
      <w:r>
        <w:rPr>
          <w:rFonts w:ascii="宋体" w:hAnsi="宋体"/>
          <w:color w:val="auto"/>
          <w:sz w:val="24"/>
          <w:highlight w:val="none"/>
        </w:rPr>
        <w:t>日 期：</w:t>
      </w:r>
    </w:p>
    <w:p>
      <w:pPr>
        <w:spacing w:line="520" w:lineRule="exact"/>
        <w:jc w:val="left"/>
        <w:rPr>
          <w:rFonts w:ascii="宋体" w:hAnsi="宋体" w:cs="仿宋_GB2312"/>
          <w:color w:val="auto"/>
          <w:sz w:val="24"/>
          <w:highlight w:val="none"/>
        </w:rPr>
      </w:pPr>
      <w:r>
        <w:rPr>
          <w:rFonts w:hint="eastAsia" w:ascii="宋体" w:hAnsi="宋体" w:cs="仿宋_GB2312"/>
          <w:color w:val="auto"/>
          <w:sz w:val="24"/>
          <w:highlight w:val="none"/>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pStyle w:val="12"/>
        <w:jc w:val="left"/>
        <w:rPr>
          <w:rFonts w:ascii="Arial Unicode MS" w:hAnsi="Arial Unicode MS" w:eastAsia="Arial Unicode MS" w:cs="Arial Unicode MS"/>
          <w:color w:val="auto"/>
          <w:sz w:val="32"/>
          <w:szCs w:val="32"/>
          <w:highlight w:val="none"/>
        </w:rPr>
      </w:pPr>
      <w:r>
        <w:rPr>
          <w:rFonts w:hAnsi="宋体"/>
          <w:color w:val="auto"/>
          <w:sz w:val="24"/>
          <w:highlight w:val="none"/>
        </w:rPr>
        <w:br w:type="page"/>
      </w:r>
      <w:r>
        <w:rPr>
          <w:rFonts w:hint="eastAsia" w:ascii="Arial Unicode MS" w:hAnsi="Arial Unicode MS" w:eastAsia="Arial Unicode MS" w:cs="Arial Unicode MS"/>
          <w:color w:val="auto"/>
          <w:sz w:val="32"/>
          <w:szCs w:val="32"/>
          <w:highlight w:val="none"/>
        </w:rPr>
        <w:t>附：</w:t>
      </w:r>
    </w:p>
    <w:p>
      <w:pPr>
        <w:jc w:val="center"/>
        <w:rPr>
          <w:rFonts w:ascii="宋体" w:hAnsi="宋体" w:cs="Arial Unicode MS"/>
          <w:color w:val="auto"/>
          <w:sz w:val="44"/>
          <w:szCs w:val="44"/>
          <w:highlight w:val="none"/>
        </w:rPr>
      </w:pPr>
      <w:r>
        <w:rPr>
          <w:rFonts w:hint="eastAsia" w:ascii="宋体" w:hAnsi="宋体" w:cs="Arial Unicode MS"/>
          <w:color w:val="auto"/>
          <w:sz w:val="44"/>
          <w:szCs w:val="44"/>
          <w:highlight w:val="none"/>
        </w:rPr>
        <w:t>中小微企业划型标准</w:t>
      </w:r>
    </w:p>
    <w:p>
      <w:pPr>
        <w:ind w:left="1871"/>
        <w:rPr>
          <w:rFonts w:ascii="宋体" w:hAnsi="宋体" w:cs="Arial Unicode MS"/>
          <w:color w:val="auto"/>
          <w:szCs w:val="21"/>
          <w:highlight w:val="none"/>
        </w:rPr>
      </w:pPr>
    </w:p>
    <w:tbl>
      <w:tblPr>
        <w:tblStyle w:val="18"/>
        <w:tblW w:w="7983" w:type="dxa"/>
        <w:jc w:val="center"/>
        <w:tblLayout w:type="fixed"/>
        <w:tblCellMar>
          <w:top w:w="0" w:type="dxa"/>
          <w:left w:w="108" w:type="dxa"/>
          <w:bottom w:w="0" w:type="dxa"/>
          <w:right w:w="108" w:type="dxa"/>
        </w:tblCellMar>
      </w:tblPr>
      <w:tblGrid>
        <w:gridCol w:w="1701"/>
        <w:gridCol w:w="1384"/>
        <w:gridCol w:w="913"/>
        <w:gridCol w:w="1620"/>
        <w:gridCol w:w="1440"/>
        <w:gridCol w:w="925"/>
      </w:tblGrid>
      <w:tr>
        <w:tblPrEx>
          <w:tblCellMar>
            <w:top w:w="0" w:type="dxa"/>
            <w:left w:w="108" w:type="dxa"/>
            <w:bottom w:w="0" w:type="dxa"/>
            <w:right w:w="108" w:type="dxa"/>
          </w:tblCellMar>
        </w:tblPrEx>
        <w:trPr>
          <w:trHeight w:val="285" w:hRule="atLeast"/>
          <w:jc w:val="center"/>
        </w:trPr>
        <w:tc>
          <w:tcPr>
            <w:tcW w:w="1701"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color w:val="auto"/>
                <w:kern w:val="0"/>
                <w:sz w:val="24"/>
                <w:highlight w:val="none"/>
              </w:rPr>
            </w:pPr>
            <w:r>
              <w:rPr>
                <w:rFonts w:hint="eastAsia" w:ascii="仿宋_GB2312" w:hAnsi="仿宋" w:eastAsia="仿宋_GB2312" w:cs="宋体"/>
                <w:b/>
                <w:color w:val="auto"/>
                <w:kern w:val="0"/>
                <w:sz w:val="24"/>
                <w:highlight w:val="none"/>
              </w:rPr>
              <w:t>行业名称</w:t>
            </w:r>
          </w:p>
        </w:tc>
        <w:tc>
          <w:tcPr>
            <w:tcW w:w="1384"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auto"/>
                <w:kern w:val="0"/>
                <w:sz w:val="24"/>
                <w:highlight w:val="none"/>
              </w:rPr>
            </w:pPr>
            <w:r>
              <w:rPr>
                <w:rFonts w:hint="eastAsia" w:ascii="仿宋_GB2312" w:hAnsi="仿宋" w:eastAsia="仿宋_GB2312" w:cs="宋体"/>
                <w:b/>
                <w:color w:val="auto"/>
                <w:kern w:val="0"/>
                <w:sz w:val="24"/>
                <w:highlight w:val="none"/>
              </w:rPr>
              <w:t>指标名称</w:t>
            </w:r>
          </w:p>
        </w:tc>
        <w:tc>
          <w:tcPr>
            <w:tcW w:w="913"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auto"/>
                <w:kern w:val="0"/>
                <w:sz w:val="24"/>
                <w:highlight w:val="none"/>
              </w:rPr>
            </w:pPr>
            <w:r>
              <w:rPr>
                <w:rFonts w:hint="eastAsia" w:ascii="仿宋_GB2312" w:hAnsi="仿宋" w:eastAsia="仿宋_GB2312" w:cs="宋体"/>
                <w:b/>
                <w:color w:val="auto"/>
                <w:kern w:val="0"/>
                <w:sz w:val="24"/>
                <w:highlight w:val="none"/>
              </w:rPr>
              <w:t>计量单位</w:t>
            </w:r>
          </w:p>
        </w:tc>
        <w:tc>
          <w:tcPr>
            <w:tcW w:w="1620"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auto"/>
                <w:kern w:val="0"/>
                <w:sz w:val="24"/>
                <w:highlight w:val="none"/>
              </w:rPr>
            </w:pPr>
            <w:r>
              <w:rPr>
                <w:rFonts w:hint="eastAsia" w:ascii="仿宋_GB2312" w:hAnsi="仿宋" w:eastAsia="仿宋_GB2312" w:cs="宋体"/>
                <w:b/>
                <w:color w:val="auto"/>
                <w:kern w:val="0"/>
                <w:sz w:val="24"/>
                <w:highlight w:val="none"/>
              </w:rPr>
              <w:t>中型</w:t>
            </w:r>
          </w:p>
        </w:tc>
        <w:tc>
          <w:tcPr>
            <w:tcW w:w="1440"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auto"/>
                <w:kern w:val="0"/>
                <w:sz w:val="24"/>
                <w:highlight w:val="none"/>
              </w:rPr>
            </w:pPr>
            <w:r>
              <w:rPr>
                <w:rFonts w:hint="eastAsia" w:ascii="仿宋_GB2312" w:hAnsi="仿宋" w:eastAsia="仿宋_GB2312" w:cs="宋体"/>
                <w:b/>
                <w:color w:val="auto"/>
                <w:kern w:val="0"/>
                <w:sz w:val="24"/>
                <w:highlight w:val="none"/>
              </w:rPr>
              <w:t>小型</w:t>
            </w:r>
          </w:p>
        </w:tc>
        <w:tc>
          <w:tcPr>
            <w:tcW w:w="925" w:type="dxa"/>
            <w:tcBorders>
              <w:top w:val="single" w:color="auto" w:sz="4" w:space="0"/>
              <w:left w:val="nil"/>
              <w:bottom w:val="single" w:color="auto" w:sz="4" w:space="0"/>
              <w:right w:val="single" w:color="auto" w:sz="4" w:space="0"/>
            </w:tcBorders>
            <w:vAlign w:val="center"/>
          </w:tcPr>
          <w:p>
            <w:pPr>
              <w:widowControl/>
              <w:jc w:val="left"/>
              <w:rPr>
                <w:rFonts w:ascii="仿宋_GB2312" w:hAnsi="仿宋" w:eastAsia="仿宋_GB2312" w:cs="宋体"/>
                <w:b/>
                <w:color w:val="auto"/>
                <w:kern w:val="0"/>
                <w:sz w:val="24"/>
                <w:highlight w:val="none"/>
              </w:rPr>
            </w:pPr>
            <w:r>
              <w:rPr>
                <w:rFonts w:hint="eastAsia" w:ascii="仿宋_GB2312" w:hAnsi="仿宋" w:eastAsia="仿宋_GB2312" w:cs="宋体"/>
                <w:b/>
                <w:color w:val="auto"/>
                <w:kern w:val="0"/>
                <w:sz w:val="24"/>
                <w:highlight w:val="none"/>
              </w:rPr>
              <w:t>微型</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农、林、牧、渔</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500≤Y＜20000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50≤Y＜500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工业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2000≤Y＜40000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建筑业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6000≤Y＜80000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300≤Y＜6000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Y＜300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5000≤Z＜80000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300≤Z＜5000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Z＜300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批发业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20≤X＜200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5≤X＜20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X＜5</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5000≤Y＜40000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1000≤Y＜5000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零售业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10≤X＜50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500≤Y＜20000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100≤Y＜500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交通运输业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200≤Y＜3000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Y＜200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仓储业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100≤X＜200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邮政业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2000≤Y＜30000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住宿业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餐饮业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100≤Y＜2000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信息传输业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100≤X＜2000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1000≤Y＜100000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软件和信息技术服务业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1000≤Y＜10000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房地产开发经营</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1000≤Y＜200000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5000≤Z＜10000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2000≤Y＜5000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Y＜2000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物业管理</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300≤X＜1000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100≤X＜300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营业收入（Y）</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1000≤Y＜5000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500≤Y＜1000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Y＜500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租赁和商务服务业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仿宋" w:eastAsia="仿宋_GB2312" w:cs="宋体"/>
                <w:b/>
                <w:bCs/>
                <w:color w:val="auto"/>
                <w:kern w:val="0"/>
                <w:sz w:val="18"/>
                <w:szCs w:val="18"/>
                <w:highlight w:val="none"/>
              </w:rPr>
            </w:pP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资产总额（Z）</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万元</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8000≤Z＜120000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100≤Z＜8000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Y＜100</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vAlign w:val="bottom"/>
          </w:tcPr>
          <w:p>
            <w:pPr>
              <w:widowControl/>
              <w:jc w:val="center"/>
              <w:rPr>
                <w:rFonts w:ascii="仿宋_GB2312" w:hAnsi="仿宋" w:eastAsia="仿宋_GB2312" w:cs="宋体"/>
                <w:b/>
                <w:bCs/>
                <w:color w:val="auto"/>
                <w:kern w:val="0"/>
                <w:sz w:val="18"/>
                <w:szCs w:val="18"/>
                <w:highlight w:val="none"/>
              </w:rPr>
            </w:pPr>
            <w:r>
              <w:rPr>
                <w:rFonts w:hint="eastAsia" w:ascii="仿宋_GB2312" w:hAnsi="仿宋" w:eastAsia="仿宋_GB2312" w:cs="宋体"/>
                <w:b/>
                <w:bCs/>
                <w:color w:val="auto"/>
                <w:kern w:val="0"/>
                <w:sz w:val="18"/>
                <w:szCs w:val="18"/>
                <w:highlight w:val="none"/>
              </w:rPr>
              <w:t>其他未列明行业</w:t>
            </w:r>
          </w:p>
        </w:tc>
        <w:tc>
          <w:tcPr>
            <w:tcW w:w="1384"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从业人员（X）</w:t>
            </w:r>
          </w:p>
        </w:tc>
        <w:tc>
          <w:tcPr>
            <w:tcW w:w="913"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人</w:t>
            </w:r>
          </w:p>
        </w:tc>
        <w:tc>
          <w:tcPr>
            <w:tcW w:w="162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100≤X＜300</w:t>
            </w:r>
          </w:p>
        </w:tc>
        <w:tc>
          <w:tcPr>
            <w:tcW w:w="1440"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10≤X＜100</w:t>
            </w:r>
          </w:p>
        </w:tc>
        <w:tc>
          <w:tcPr>
            <w:tcW w:w="925" w:type="dxa"/>
            <w:tcBorders>
              <w:top w:val="nil"/>
              <w:left w:val="nil"/>
              <w:bottom w:val="single" w:color="auto" w:sz="4" w:space="0"/>
              <w:right w:val="single" w:color="auto" w:sz="4" w:space="0"/>
            </w:tcBorders>
            <w:vAlign w:val="center"/>
          </w:tcPr>
          <w:p>
            <w:pPr>
              <w:widowControl/>
              <w:jc w:val="left"/>
              <w:rPr>
                <w:rFonts w:ascii="仿宋_GB2312" w:hAnsi="仿宋" w:eastAsia="仿宋_GB2312" w:cs="宋体"/>
                <w:color w:val="auto"/>
                <w:kern w:val="0"/>
                <w:sz w:val="18"/>
                <w:szCs w:val="18"/>
                <w:highlight w:val="none"/>
              </w:rPr>
            </w:pPr>
            <w:r>
              <w:rPr>
                <w:rFonts w:hint="eastAsia" w:ascii="仿宋_GB2312" w:hAnsi="仿宋" w:eastAsia="仿宋_GB2312" w:cs="宋体"/>
                <w:color w:val="auto"/>
                <w:kern w:val="0"/>
                <w:sz w:val="18"/>
                <w:szCs w:val="18"/>
                <w:highlight w:val="none"/>
              </w:rPr>
              <w:t>X＜10</w:t>
            </w:r>
          </w:p>
        </w:tc>
      </w:tr>
    </w:tbl>
    <w:p>
      <w:pPr>
        <w:spacing w:line="360" w:lineRule="auto"/>
        <w:ind w:firstLine="525" w:firstLineChars="250"/>
        <w:rPr>
          <w:rFonts w:ascii="仿宋_GB2312" w:hAnsi="仿宋" w:eastAsia="仿宋_GB2312"/>
          <w:color w:val="auto"/>
          <w:szCs w:val="21"/>
          <w:highlight w:val="none"/>
        </w:rPr>
      </w:pPr>
    </w:p>
    <w:p>
      <w:pPr>
        <w:spacing w:line="360" w:lineRule="auto"/>
        <w:ind w:firstLine="525" w:firstLineChars="250"/>
        <w:rPr>
          <w:rFonts w:ascii="仿宋_GB2312" w:hAnsi="仿宋" w:eastAsia="仿宋_GB2312"/>
          <w:color w:val="auto"/>
          <w:szCs w:val="21"/>
          <w:highlight w:val="none"/>
        </w:rPr>
      </w:pPr>
      <w:r>
        <w:rPr>
          <w:rFonts w:hint="eastAsia" w:ascii="仿宋_GB2312" w:hAnsi="仿宋" w:eastAsia="仿宋_GB2312"/>
          <w:color w:val="auto"/>
          <w:szCs w:val="21"/>
          <w:highlight w:val="none"/>
        </w:rPr>
        <w:t>说明：上述标准参照《关于印发中小企业划型标准规定的通知》（工信部联企业[2011]300号），大型、中型和小型企业须同时满足所列指标的下限，否则下划一档；微型企业只须满足所列指标中的一项即可。</w:t>
      </w:r>
    </w:p>
    <w:p>
      <w:pPr>
        <w:spacing w:line="520" w:lineRule="exact"/>
        <w:jc w:val="center"/>
        <w:rPr>
          <w:rFonts w:ascii="仿宋_GB2312" w:hAnsi="仿宋_GB2312" w:eastAsia="仿宋_GB2312" w:cs="仿宋_GB2312"/>
          <w:color w:val="auto"/>
          <w:sz w:val="32"/>
          <w:szCs w:val="32"/>
          <w:highlight w:val="none"/>
        </w:rPr>
      </w:pPr>
      <w:r>
        <w:rPr>
          <w:rFonts w:hint="eastAsia" w:ascii="方正小标宋简体" w:hAnsi="方正小标宋简体" w:eastAsia="方正小标宋简体" w:cs="方正小标宋简体"/>
          <w:color w:val="auto"/>
          <w:sz w:val="44"/>
          <w:szCs w:val="44"/>
          <w:highlight w:val="none"/>
        </w:rPr>
        <w:t>残疾人福利性单位声明函</w:t>
      </w:r>
    </w:p>
    <w:p>
      <w:pPr>
        <w:spacing w:line="360" w:lineRule="auto"/>
        <w:contextualSpacing/>
        <w:rPr>
          <w:rFonts w:ascii="仿宋_GB2312" w:hAnsi="仿宋_GB2312" w:eastAsia="仿宋_GB2312" w:cs="仿宋_GB2312"/>
          <w:color w:val="auto"/>
          <w:sz w:val="32"/>
          <w:szCs w:val="32"/>
          <w:highlight w:val="none"/>
        </w:rPr>
      </w:pP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单位的</w:t>
      </w:r>
      <w:r>
        <w:rPr>
          <w:rFonts w:hint="eastAsia" w:ascii="宋体" w:hAnsi="宋体" w:cs="仿宋_GB2312"/>
          <w:color w:val="auto"/>
          <w:sz w:val="24"/>
          <w:highlight w:val="none"/>
          <w:u w:val="single"/>
        </w:rPr>
        <w:t xml:space="preserve">        </w:t>
      </w:r>
      <w:r>
        <w:rPr>
          <w:rFonts w:hint="eastAsia" w:ascii="宋体" w:hAnsi="宋体"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contextualSpacing/>
        <w:rPr>
          <w:rFonts w:ascii="宋体" w:hAnsi="宋体" w:cs="仿宋_GB2312"/>
          <w:color w:val="auto"/>
          <w:sz w:val="24"/>
          <w:highlight w:val="none"/>
        </w:rPr>
      </w:pPr>
      <w:r>
        <w:rPr>
          <w:rFonts w:hint="eastAsia" w:ascii="宋体" w:hAnsi="宋体" w:cs="仿宋_GB2312"/>
          <w:color w:val="auto"/>
          <w:sz w:val="24"/>
          <w:highlight w:val="none"/>
        </w:rPr>
        <w:t>本单位对上述声明的真实性负责。如有虚假，将依法承担相应责任。</w:t>
      </w:r>
    </w:p>
    <w:p>
      <w:pPr>
        <w:spacing w:line="360" w:lineRule="auto"/>
        <w:contextualSpacing/>
        <w:rPr>
          <w:rFonts w:ascii="宋体" w:hAnsi="宋体" w:cs="仿宋_GB2312"/>
          <w:color w:val="auto"/>
          <w:sz w:val="24"/>
          <w:highlight w:val="none"/>
        </w:rPr>
      </w:pPr>
    </w:p>
    <w:p>
      <w:pPr>
        <w:spacing w:line="360" w:lineRule="auto"/>
        <w:contextualSpacing/>
        <w:rPr>
          <w:rFonts w:ascii="宋体" w:hAnsi="宋体" w:cs="仿宋_GB2312"/>
          <w:color w:val="auto"/>
          <w:sz w:val="24"/>
          <w:highlight w:val="none"/>
        </w:rPr>
      </w:pPr>
    </w:p>
    <w:p>
      <w:pPr>
        <w:spacing w:line="360" w:lineRule="auto"/>
        <w:contextualSpacing/>
        <w:rPr>
          <w:rFonts w:ascii="宋体" w:hAnsi="宋体" w:cs="仿宋_GB2312"/>
          <w:color w:val="auto"/>
          <w:sz w:val="24"/>
          <w:highlight w:val="none"/>
        </w:rPr>
      </w:pPr>
    </w:p>
    <w:p>
      <w:pPr>
        <w:spacing w:line="360" w:lineRule="auto"/>
        <w:ind w:firstLine="2400" w:firstLineChars="1000"/>
        <w:contextualSpacing/>
        <w:rPr>
          <w:rFonts w:ascii="宋体" w:hAnsi="宋体" w:cs="仿宋_GB2312"/>
          <w:color w:val="auto"/>
          <w:sz w:val="24"/>
          <w:highlight w:val="none"/>
        </w:rPr>
      </w:pPr>
      <w:r>
        <w:rPr>
          <w:rFonts w:hint="eastAsia" w:ascii="宋体" w:hAnsi="宋体" w:cs="仿宋_GB2312"/>
          <w:color w:val="auto"/>
          <w:sz w:val="24"/>
          <w:highlight w:val="none"/>
        </w:rPr>
        <w:t>单位名称（盖章）：</w:t>
      </w:r>
    </w:p>
    <w:p>
      <w:pPr>
        <w:spacing w:line="360" w:lineRule="auto"/>
        <w:ind w:firstLine="3600" w:firstLineChars="1500"/>
        <w:contextualSpacing/>
        <w:rPr>
          <w:rFonts w:ascii="宋体" w:hAnsi="宋体" w:cs="仿宋_GB2312"/>
          <w:color w:val="auto"/>
          <w:sz w:val="24"/>
          <w:highlight w:val="none"/>
        </w:rPr>
      </w:pPr>
      <w:r>
        <w:rPr>
          <w:rFonts w:hint="eastAsia" w:ascii="宋体" w:hAnsi="宋体" w:cs="仿宋_GB2312"/>
          <w:color w:val="auto"/>
          <w:sz w:val="24"/>
          <w:highlight w:val="none"/>
        </w:rPr>
        <w:t>日  期：</w:t>
      </w:r>
    </w:p>
    <w:p>
      <w:pPr>
        <w:spacing w:line="360" w:lineRule="auto"/>
        <w:contextualSpacing/>
        <w:rPr>
          <w:rFonts w:ascii="宋体" w:hAnsi="宋体" w:cs="仿宋_GB2312"/>
          <w:color w:val="auto"/>
          <w:sz w:val="24"/>
          <w:highlight w:val="none"/>
        </w:rPr>
      </w:pPr>
    </w:p>
    <w:p>
      <w:pPr>
        <w:spacing w:line="360" w:lineRule="auto"/>
        <w:contextualSpacing/>
        <w:rPr>
          <w:rFonts w:ascii="宋体" w:hAnsi="宋体" w:cs="仿宋_GB2312"/>
          <w:color w:val="auto"/>
          <w:sz w:val="24"/>
          <w:highlight w:val="none"/>
        </w:rPr>
      </w:pPr>
    </w:p>
    <w:p>
      <w:pPr>
        <w:spacing w:line="360" w:lineRule="auto"/>
        <w:contextualSpacing/>
        <w:rPr>
          <w:rFonts w:ascii="宋体" w:hAnsi="宋体" w:cs="仿宋_GB2312"/>
          <w:color w:val="auto"/>
          <w:sz w:val="24"/>
          <w:highlight w:val="none"/>
        </w:rPr>
      </w:pPr>
    </w:p>
    <w:p>
      <w:pPr>
        <w:spacing w:line="360" w:lineRule="auto"/>
        <w:contextualSpacing/>
        <w:rPr>
          <w:rFonts w:ascii="宋体" w:hAnsi="宋体" w:cs="仿宋_GB2312"/>
          <w:color w:val="auto"/>
          <w:sz w:val="24"/>
          <w:highlight w:val="none"/>
        </w:rPr>
      </w:pPr>
      <w:r>
        <w:rPr>
          <w:rFonts w:hint="eastAsia" w:ascii="宋体" w:hAnsi="宋体" w:cs="仿宋_GB2312"/>
          <w:color w:val="auto"/>
          <w:sz w:val="24"/>
          <w:highlight w:val="none"/>
        </w:rPr>
        <w:t>注：请根据自己的真实情况出具《残疾人福利性单位声明函》。依法享受中小企业优惠政策的，采购人或者采购代理机构在公告中标结果时，同时公告其《残疾人福利性单位声明函》，接受社会监督。</w:t>
      </w:r>
    </w:p>
    <w:p>
      <w:pPr>
        <w:spacing w:line="360" w:lineRule="auto"/>
        <w:jc w:val="center"/>
        <w:rPr>
          <w:rFonts w:ascii="宋体" w:hAnsi="宋体" w:cs="仿宋_GB2312"/>
          <w:color w:val="auto"/>
          <w:sz w:val="24"/>
          <w:highlight w:val="none"/>
        </w:rPr>
      </w:pPr>
      <w:r>
        <w:rPr>
          <w:rFonts w:ascii="宋体" w:hAnsi="宋体" w:cs="仿宋_GB2312"/>
          <w:color w:val="auto"/>
          <w:sz w:val="24"/>
          <w:highlight w:val="none"/>
        </w:rPr>
        <w:br w:type="page"/>
      </w:r>
    </w:p>
    <w:p>
      <w:pPr>
        <w:spacing w:line="360" w:lineRule="auto"/>
        <w:jc w:val="center"/>
        <w:rPr>
          <w:rFonts w:ascii="宋体" w:hAnsi="宋体"/>
          <w:b/>
          <w:bCs/>
          <w:color w:val="auto"/>
          <w:sz w:val="32"/>
          <w:szCs w:val="32"/>
          <w:highlight w:val="none"/>
        </w:rPr>
      </w:pPr>
      <w:r>
        <w:rPr>
          <w:rFonts w:hint="eastAsia" w:ascii="方正小标宋简体" w:hAnsi="方正小标宋简体" w:eastAsia="方正小标宋简体" w:cs="方正小标宋简体"/>
          <w:color w:val="auto"/>
          <w:sz w:val="44"/>
          <w:szCs w:val="44"/>
          <w:highlight w:val="none"/>
        </w:rPr>
        <w:t>质疑函</w:t>
      </w:r>
      <w:r>
        <w:rPr>
          <w:rFonts w:hint="eastAsia" w:ascii="方正小标宋简体" w:hAnsi="方正小标宋简体" w:eastAsia="方正小标宋简体" w:cs="方正小标宋简体"/>
          <w:color w:val="auto"/>
          <w:sz w:val="28"/>
          <w:szCs w:val="28"/>
          <w:highlight w:val="none"/>
        </w:rPr>
        <w:t>（格式）</w:t>
      </w:r>
    </w:p>
    <w:p>
      <w:pPr>
        <w:pStyle w:val="12"/>
        <w:spacing w:line="360" w:lineRule="auto"/>
        <w:ind w:firstLine="482" w:firstLineChars="200"/>
        <w:contextualSpacing/>
        <w:rPr>
          <w:rFonts w:hAnsi="宋体"/>
          <w:b/>
          <w:bCs/>
          <w:color w:val="auto"/>
          <w:sz w:val="24"/>
          <w:szCs w:val="24"/>
          <w:highlight w:val="none"/>
        </w:rPr>
      </w:pPr>
      <w:r>
        <w:rPr>
          <w:rFonts w:hint="eastAsia" w:hAnsi="宋体"/>
          <w:b/>
          <w:bCs/>
          <w:color w:val="auto"/>
          <w:sz w:val="24"/>
          <w:szCs w:val="24"/>
          <w:highlight w:val="none"/>
        </w:rPr>
        <w:t>一、质疑供应商基本信息：</w:t>
      </w:r>
    </w:p>
    <w:p>
      <w:pPr>
        <w:pStyle w:val="12"/>
        <w:spacing w:line="360" w:lineRule="auto"/>
        <w:ind w:firstLine="480" w:firstLineChars="200"/>
        <w:contextualSpacing/>
        <w:rPr>
          <w:rFonts w:hAnsi="宋体"/>
          <w:bCs/>
          <w:color w:val="auto"/>
          <w:sz w:val="24"/>
          <w:szCs w:val="24"/>
          <w:highlight w:val="none"/>
          <w:u w:val="single"/>
        </w:rPr>
      </w:pPr>
      <w:r>
        <w:rPr>
          <w:rFonts w:hint="eastAsia" w:hAnsi="宋体"/>
          <w:bCs/>
          <w:color w:val="auto"/>
          <w:sz w:val="24"/>
          <w:szCs w:val="24"/>
          <w:highlight w:val="none"/>
        </w:rPr>
        <w:t>质疑供应商：</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pacing w:line="360" w:lineRule="auto"/>
        <w:ind w:firstLine="480" w:firstLineChars="200"/>
        <w:contextualSpacing/>
        <w:rPr>
          <w:rFonts w:hAnsi="宋体"/>
          <w:bCs/>
          <w:color w:val="auto"/>
          <w:sz w:val="24"/>
          <w:szCs w:val="24"/>
          <w:highlight w:val="none"/>
        </w:rPr>
      </w:pPr>
      <w:r>
        <w:rPr>
          <w:rFonts w:hAnsi="宋体"/>
          <w:bCs/>
          <w:color w:val="auto"/>
          <w:sz w:val="24"/>
          <w:szCs w:val="24"/>
          <w:highlight w:val="none"/>
        </w:rPr>
        <w:t>地址</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Ansi="宋体"/>
          <w:bCs/>
          <w:color w:val="auto"/>
          <w:sz w:val="24"/>
          <w:szCs w:val="24"/>
          <w:highlight w:val="none"/>
        </w:rPr>
        <w:t>邮编</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pacing w:line="360" w:lineRule="auto"/>
        <w:ind w:firstLine="480" w:firstLineChars="200"/>
        <w:contextualSpacing/>
        <w:rPr>
          <w:rFonts w:hAnsi="宋体"/>
          <w:bCs/>
          <w:color w:val="auto"/>
          <w:sz w:val="24"/>
          <w:szCs w:val="24"/>
          <w:highlight w:val="none"/>
        </w:rPr>
      </w:pPr>
      <w:r>
        <w:rPr>
          <w:rFonts w:hAnsi="宋体"/>
          <w:bCs/>
          <w:color w:val="auto"/>
          <w:sz w:val="24"/>
          <w:szCs w:val="24"/>
          <w:highlight w:val="none"/>
        </w:rPr>
        <w:t>联系人</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Ansi="宋体"/>
          <w:bCs/>
          <w:color w:val="auto"/>
          <w:sz w:val="24"/>
          <w:szCs w:val="24"/>
          <w:highlight w:val="none"/>
        </w:rPr>
        <w:t>联系电话</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p>
    <w:p>
      <w:pPr>
        <w:pStyle w:val="12"/>
        <w:spacing w:line="360" w:lineRule="auto"/>
        <w:ind w:firstLine="480" w:firstLineChars="200"/>
        <w:contextualSpacing/>
        <w:rPr>
          <w:rFonts w:hAnsi="宋体"/>
          <w:bCs/>
          <w:color w:val="auto"/>
          <w:sz w:val="24"/>
          <w:szCs w:val="24"/>
          <w:highlight w:val="none"/>
        </w:rPr>
      </w:pPr>
      <w:r>
        <w:rPr>
          <w:rFonts w:hint="eastAsia" w:hAnsi="宋体"/>
          <w:bCs/>
          <w:color w:val="auto"/>
          <w:sz w:val="24"/>
          <w:szCs w:val="24"/>
          <w:highlight w:val="none"/>
        </w:rPr>
        <w:t>授权代表：</w:t>
      </w:r>
      <w:r>
        <w:rPr>
          <w:rFonts w:hint="eastAsia" w:hAnsi="宋体"/>
          <w:bCs/>
          <w:color w:val="auto"/>
          <w:sz w:val="24"/>
          <w:szCs w:val="24"/>
          <w:highlight w:val="none"/>
          <w:u w:val="single"/>
        </w:rPr>
        <w:t xml:space="preserve">                      </w:t>
      </w:r>
    </w:p>
    <w:p>
      <w:pPr>
        <w:pStyle w:val="12"/>
        <w:spacing w:line="360" w:lineRule="auto"/>
        <w:ind w:firstLine="480" w:firstLineChars="200"/>
        <w:contextualSpacing/>
        <w:rPr>
          <w:rFonts w:hAnsi="宋体"/>
          <w:bCs/>
          <w:color w:val="auto"/>
          <w:sz w:val="24"/>
          <w:szCs w:val="24"/>
          <w:highlight w:val="none"/>
          <w:u w:val="single"/>
        </w:rPr>
      </w:pPr>
      <w:r>
        <w:rPr>
          <w:rFonts w:hAnsi="宋体"/>
          <w:bCs/>
          <w:color w:val="auto"/>
          <w:sz w:val="24"/>
          <w:szCs w:val="24"/>
          <w:highlight w:val="none"/>
        </w:rPr>
        <w:t>联系</w:t>
      </w:r>
      <w:r>
        <w:rPr>
          <w:rFonts w:hint="eastAsia" w:hAnsi="宋体"/>
          <w:bCs/>
          <w:color w:val="auto"/>
          <w:sz w:val="24"/>
          <w:szCs w:val="24"/>
          <w:highlight w:val="none"/>
        </w:rPr>
        <w:t>电话：</w:t>
      </w:r>
      <w:r>
        <w:rPr>
          <w:rFonts w:hint="eastAsia" w:hAnsi="宋体"/>
          <w:bCs/>
          <w:color w:val="auto"/>
          <w:sz w:val="24"/>
          <w:szCs w:val="24"/>
          <w:highlight w:val="none"/>
          <w:u w:val="single"/>
        </w:rPr>
        <w:t xml:space="preserve">                      </w:t>
      </w:r>
    </w:p>
    <w:p>
      <w:pPr>
        <w:pStyle w:val="12"/>
        <w:spacing w:line="360" w:lineRule="auto"/>
        <w:ind w:firstLine="480" w:firstLineChars="200"/>
        <w:contextualSpacing/>
        <w:rPr>
          <w:rFonts w:hAnsi="宋体"/>
          <w:bCs/>
          <w:color w:val="auto"/>
          <w:sz w:val="24"/>
          <w:szCs w:val="24"/>
          <w:highlight w:val="none"/>
        </w:rPr>
      </w:pPr>
      <w:r>
        <w:rPr>
          <w:rFonts w:hAnsi="宋体"/>
          <w:bCs/>
          <w:color w:val="auto"/>
          <w:sz w:val="24"/>
          <w:szCs w:val="24"/>
          <w:highlight w:val="none"/>
        </w:rPr>
        <w:t>地址</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Ansi="宋体"/>
          <w:bCs/>
          <w:color w:val="auto"/>
          <w:sz w:val="24"/>
          <w:szCs w:val="24"/>
          <w:highlight w:val="none"/>
        </w:rPr>
        <w:t>邮编</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pacing w:line="360" w:lineRule="auto"/>
        <w:ind w:firstLine="482" w:firstLineChars="200"/>
        <w:contextualSpacing/>
        <w:rPr>
          <w:rFonts w:hAnsi="宋体"/>
          <w:b/>
          <w:bCs/>
          <w:color w:val="auto"/>
          <w:sz w:val="24"/>
          <w:szCs w:val="24"/>
          <w:highlight w:val="none"/>
        </w:rPr>
      </w:pPr>
      <w:r>
        <w:rPr>
          <w:rFonts w:hint="eastAsia" w:hAnsi="宋体"/>
          <w:b/>
          <w:bCs/>
          <w:color w:val="auto"/>
          <w:sz w:val="24"/>
          <w:szCs w:val="24"/>
          <w:highlight w:val="none"/>
        </w:rPr>
        <w:t>二、质疑项目基本情况：</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bCs/>
          <w:color w:val="auto"/>
          <w:sz w:val="24"/>
          <w:szCs w:val="24"/>
          <w:highlight w:val="none"/>
        </w:rPr>
        <w:t>质疑</w:t>
      </w:r>
      <w:r>
        <w:rPr>
          <w:rFonts w:hint="eastAsia" w:hAnsi="宋体"/>
          <w:color w:val="auto"/>
          <w:sz w:val="24"/>
          <w:szCs w:val="24"/>
          <w:highlight w:val="none"/>
        </w:rPr>
        <w:t>项目的名称：</w:t>
      </w:r>
      <w:r>
        <w:rPr>
          <w:rFonts w:hint="eastAsia" w:hAnsi="宋体"/>
          <w:bCs/>
          <w:color w:val="auto"/>
          <w:sz w:val="24"/>
          <w:szCs w:val="24"/>
          <w:highlight w:val="none"/>
          <w:u w:val="single"/>
        </w:rPr>
        <w:t xml:space="preserve">                                     </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bCs/>
          <w:color w:val="auto"/>
          <w:sz w:val="24"/>
          <w:szCs w:val="24"/>
          <w:highlight w:val="none"/>
        </w:rPr>
        <w:t>质疑</w:t>
      </w:r>
      <w:r>
        <w:rPr>
          <w:rFonts w:hint="eastAsia" w:hAnsi="宋体"/>
          <w:color w:val="auto"/>
          <w:sz w:val="24"/>
          <w:szCs w:val="24"/>
          <w:highlight w:val="none"/>
        </w:rPr>
        <w:t>项目的编号：</w:t>
      </w:r>
      <w:r>
        <w:rPr>
          <w:rFonts w:hint="eastAsia" w:hAnsi="宋体"/>
          <w:bCs/>
          <w:color w:val="auto"/>
          <w:sz w:val="24"/>
          <w:szCs w:val="24"/>
          <w:highlight w:val="none"/>
          <w:u w:val="single"/>
        </w:rPr>
        <w:t xml:space="preserve">                                     </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采购人名称：</w:t>
      </w:r>
      <w:r>
        <w:rPr>
          <w:rFonts w:hint="eastAsia" w:hAnsi="宋体"/>
          <w:bCs/>
          <w:color w:val="auto"/>
          <w:sz w:val="24"/>
          <w:szCs w:val="24"/>
          <w:highlight w:val="none"/>
          <w:u w:val="single"/>
        </w:rPr>
        <w:t xml:space="preserve">                                         </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质疑事项：</w:t>
      </w:r>
    </w:p>
    <w:p>
      <w:pPr>
        <w:pStyle w:val="12"/>
        <w:spacing w:line="360" w:lineRule="auto"/>
        <w:ind w:left="25" w:leftChars="12" w:firstLine="352" w:firstLineChars="147"/>
        <w:contextualSpacing/>
        <w:rPr>
          <w:rFonts w:hAnsi="宋体"/>
          <w:color w:val="auto"/>
          <w:sz w:val="24"/>
          <w:szCs w:val="24"/>
          <w:highlight w:val="none"/>
        </w:rPr>
      </w:pPr>
      <w:r>
        <w:rPr>
          <w:rFonts w:hint="eastAsia" w:hAnsi="宋体"/>
          <w:color w:val="auto"/>
          <w:sz w:val="24"/>
          <w:szCs w:val="24"/>
          <w:highlight w:val="none"/>
        </w:rPr>
        <w:t>□采购文件   采购文件获取日期：</w:t>
      </w:r>
      <w:r>
        <w:rPr>
          <w:rFonts w:hint="eastAsia" w:hAnsi="宋体"/>
          <w:bCs/>
          <w:color w:val="auto"/>
          <w:sz w:val="24"/>
          <w:szCs w:val="24"/>
          <w:highlight w:val="none"/>
          <w:u w:val="single"/>
        </w:rPr>
        <w:t xml:space="preserve">                                   </w:t>
      </w:r>
    </w:p>
    <w:p>
      <w:pPr>
        <w:pStyle w:val="12"/>
        <w:spacing w:line="360" w:lineRule="auto"/>
        <w:ind w:left="25" w:leftChars="12" w:firstLine="352" w:firstLineChars="147"/>
        <w:contextualSpacing/>
        <w:rPr>
          <w:rFonts w:hAnsi="宋体"/>
          <w:color w:val="auto"/>
          <w:sz w:val="24"/>
          <w:szCs w:val="24"/>
          <w:highlight w:val="none"/>
        </w:rPr>
      </w:pPr>
      <w:r>
        <w:rPr>
          <w:rFonts w:hint="eastAsia" w:hAnsi="宋体"/>
          <w:color w:val="auto"/>
          <w:sz w:val="24"/>
          <w:szCs w:val="24"/>
          <w:highlight w:val="none"/>
        </w:rPr>
        <w:t xml:space="preserve">□采购过程   </w:t>
      </w:r>
    </w:p>
    <w:p>
      <w:pPr>
        <w:pStyle w:val="12"/>
        <w:spacing w:line="360" w:lineRule="auto"/>
        <w:ind w:left="25" w:leftChars="12" w:firstLine="352" w:firstLineChars="147"/>
        <w:contextualSpacing/>
        <w:rPr>
          <w:rFonts w:hAnsi="宋体"/>
          <w:bCs/>
          <w:color w:val="auto"/>
          <w:sz w:val="24"/>
          <w:szCs w:val="24"/>
          <w:highlight w:val="none"/>
          <w:u w:val="single"/>
        </w:rPr>
      </w:pPr>
      <w:r>
        <w:rPr>
          <w:rFonts w:hint="eastAsia" w:hAnsi="宋体"/>
          <w:color w:val="auto"/>
          <w:sz w:val="24"/>
          <w:szCs w:val="24"/>
          <w:highlight w:val="none"/>
        </w:rPr>
        <w:t xml:space="preserve">□成交结果   </w:t>
      </w:r>
    </w:p>
    <w:p>
      <w:pPr>
        <w:pStyle w:val="12"/>
        <w:spacing w:line="360" w:lineRule="auto"/>
        <w:ind w:left="25" w:leftChars="12" w:firstLine="472" w:firstLineChars="196"/>
        <w:contextualSpacing/>
        <w:rPr>
          <w:rFonts w:hAnsi="宋体"/>
          <w:b/>
          <w:color w:val="auto"/>
          <w:sz w:val="24"/>
          <w:szCs w:val="24"/>
          <w:highlight w:val="none"/>
        </w:rPr>
      </w:pPr>
      <w:r>
        <w:rPr>
          <w:rFonts w:hint="eastAsia" w:hAnsi="宋体"/>
          <w:b/>
          <w:color w:val="auto"/>
          <w:sz w:val="24"/>
          <w:szCs w:val="24"/>
          <w:highlight w:val="none"/>
        </w:rPr>
        <w:t>三、质疑事项具体内容</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质疑事项1：</w:t>
      </w:r>
      <w:r>
        <w:rPr>
          <w:rFonts w:hint="eastAsia" w:hAnsi="宋体"/>
          <w:bCs/>
          <w:color w:val="auto"/>
          <w:sz w:val="24"/>
          <w:szCs w:val="24"/>
          <w:highlight w:val="none"/>
          <w:u w:val="single"/>
        </w:rPr>
        <w:t xml:space="preserve">                                                                    </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事实依据：</w:t>
      </w:r>
      <w:r>
        <w:rPr>
          <w:rFonts w:hint="eastAsia" w:hAnsi="宋体"/>
          <w:bCs/>
          <w:color w:val="auto"/>
          <w:sz w:val="24"/>
          <w:szCs w:val="24"/>
          <w:highlight w:val="none"/>
          <w:u w:val="single"/>
        </w:rPr>
        <w:t xml:space="preserve">                                                                      </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法律依据：</w:t>
      </w:r>
      <w:r>
        <w:rPr>
          <w:rFonts w:hint="eastAsia" w:hAnsi="宋体"/>
          <w:color w:val="auto"/>
          <w:sz w:val="24"/>
          <w:szCs w:val="24"/>
          <w:highlight w:val="none"/>
          <w:u w:val="single"/>
        </w:rPr>
        <w:t xml:space="preserve">                                                        </w:t>
      </w:r>
      <w:r>
        <w:rPr>
          <w:rFonts w:hint="eastAsia" w:hAnsi="宋体"/>
          <w:bCs/>
          <w:color w:val="auto"/>
          <w:sz w:val="24"/>
          <w:szCs w:val="24"/>
          <w:highlight w:val="none"/>
          <w:u w:val="single"/>
        </w:rPr>
        <w:t xml:space="preserve">               </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质疑事项2</w:t>
      </w:r>
    </w:p>
    <w:p>
      <w:pPr>
        <w:pStyle w:val="12"/>
        <w:spacing w:line="360" w:lineRule="auto"/>
        <w:ind w:left="25" w:leftChars="12" w:firstLine="472" w:firstLineChars="197"/>
        <w:contextualSpacing/>
        <w:rPr>
          <w:rFonts w:hAnsi="宋体"/>
          <w:color w:val="auto"/>
          <w:sz w:val="24"/>
          <w:szCs w:val="24"/>
          <w:highlight w:val="none"/>
        </w:rPr>
      </w:pPr>
      <w:r>
        <w:rPr>
          <w:rFonts w:hAnsi="宋体"/>
          <w:color w:val="auto"/>
          <w:sz w:val="24"/>
          <w:szCs w:val="24"/>
          <w:highlight w:val="none"/>
        </w:rPr>
        <w:t>……</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四、与质疑事项相关的质疑请求：</w:t>
      </w: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请求：</w:t>
      </w:r>
      <w:r>
        <w:rPr>
          <w:rFonts w:hint="eastAsia" w:hAnsi="宋体"/>
          <w:bCs/>
          <w:color w:val="auto"/>
          <w:sz w:val="24"/>
          <w:szCs w:val="24"/>
          <w:highlight w:val="none"/>
          <w:u w:val="single"/>
        </w:rPr>
        <w:t xml:space="preserve">                                                                </w:t>
      </w:r>
    </w:p>
    <w:p>
      <w:pPr>
        <w:pStyle w:val="12"/>
        <w:spacing w:line="360" w:lineRule="auto"/>
        <w:ind w:left="25" w:leftChars="12" w:firstLine="352" w:firstLineChars="147"/>
        <w:contextualSpacing/>
        <w:rPr>
          <w:rFonts w:hAnsi="宋体"/>
          <w:color w:val="auto"/>
          <w:sz w:val="24"/>
          <w:szCs w:val="24"/>
          <w:highlight w:val="none"/>
        </w:rPr>
      </w:pPr>
    </w:p>
    <w:p>
      <w:pPr>
        <w:pStyle w:val="12"/>
        <w:spacing w:line="360" w:lineRule="auto"/>
        <w:ind w:left="25" w:leftChars="12" w:firstLine="472" w:firstLineChars="197"/>
        <w:contextualSpacing/>
        <w:rPr>
          <w:rFonts w:hAnsi="宋体"/>
          <w:color w:val="auto"/>
          <w:sz w:val="24"/>
          <w:szCs w:val="24"/>
          <w:highlight w:val="none"/>
        </w:rPr>
      </w:pPr>
      <w:r>
        <w:rPr>
          <w:rFonts w:hint="eastAsia" w:hAnsi="宋体"/>
          <w:color w:val="auto"/>
          <w:sz w:val="24"/>
          <w:szCs w:val="24"/>
          <w:highlight w:val="none"/>
        </w:rPr>
        <w:t>签字（签章）：                                       公章：</w:t>
      </w:r>
    </w:p>
    <w:p>
      <w:pPr>
        <w:pStyle w:val="12"/>
        <w:spacing w:line="360" w:lineRule="auto"/>
        <w:ind w:firstLine="480" w:firstLineChars="200"/>
        <w:contextualSpacing/>
        <w:rPr>
          <w:rFonts w:hAnsi="宋体"/>
          <w:b/>
          <w:color w:val="auto"/>
          <w:sz w:val="24"/>
          <w:szCs w:val="24"/>
          <w:highlight w:val="none"/>
        </w:rPr>
      </w:pPr>
      <w:r>
        <w:rPr>
          <w:rFonts w:hint="eastAsia" w:hAnsi="宋体"/>
          <w:color w:val="auto"/>
          <w:sz w:val="24"/>
          <w:szCs w:val="24"/>
          <w:highlight w:val="none"/>
        </w:rPr>
        <w:t>日期：</w:t>
      </w:r>
    </w:p>
    <w:p>
      <w:pPr>
        <w:pStyle w:val="12"/>
        <w:spacing w:line="360" w:lineRule="auto"/>
        <w:contextualSpacing/>
        <w:rPr>
          <w:rFonts w:hAnsi="宋体"/>
          <w:b/>
          <w:color w:val="auto"/>
          <w:sz w:val="24"/>
          <w:szCs w:val="24"/>
          <w:highlight w:val="none"/>
        </w:rPr>
      </w:pPr>
      <w:r>
        <w:rPr>
          <w:rFonts w:hint="eastAsia" w:hAnsi="宋体"/>
          <w:b/>
          <w:color w:val="auto"/>
          <w:sz w:val="24"/>
          <w:szCs w:val="24"/>
          <w:highlight w:val="none"/>
        </w:rPr>
        <w:t>说明：</w:t>
      </w:r>
    </w:p>
    <w:p>
      <w:pPr>
        <w:pStyle w:val="12"/>
        <w:spacing w:line="360" w:lineRule="auto"/>
        <w:ind w:left="25" w:leftChars="12" w:firstLine="354" w:firstLineChars="147"/>
        <w:contextualSpacing/>
        <w:rPr>
          <w:rFonts w:hAnsi="宋体"/>
          <w:b/>
          <w:bCs/>
          <w:color w:val="auto"/>
          <w:sz w:val="24"/>
          <w:szCs w:val="24"/>
          <w:highlight w:val="none"/>
        </w:rPr>
      </w:pPr>
      <w:r>
        <w:rPr>
          <w:rFonts w:hint="eastAsia" w:hAnsi="宋体"/>
          <w:b/>
          <w:color w:val="auto"/>
          <w:sz w:val="24"/>
          <w:szCs w:val="24"/>
          <w:highlight w:val="none"/>
        </w:rPr>
        <w:t>1.供应商提出质疑时，应提交质疑函和必要的证明材料</w:t>
      </w:r>
      <w:r>
        <w:rPr>
          <w:rFonts w:hint="eastAsia" w:hAnsi="宋体"/>
          <w:b/>
          <w:bCs/>
          <w:color w:val="auto"/>
          <w:sz w:val="24"/>
          <w:szCs w:val="24"/>
          <w:highlight w:val="none"/>
        </w:rPr>
        <w:t>。</w:t>
      </w:r>
    </w:p>
    <w:p>
      <w:pPr>
        <w:pStyle w:val="12"/>
        <w:spacing w:line="360" w:lineRule="auto"/>
        <w:ind w:left="25" w:leftChars="12" w:firstLine="354" w:firstLineChars="147"/>
        <w:contextualSpacing/>
        <w:rPr>
          <w:rFonts w:hAnsi="宋体"/>
          <w:b/>
          <w:color w:val="auto"/>
          <w:sz w:val="24"/>
          <w:szCs w:val="24"/>
          <w:highlight w:val="none"/>
        </w:rPr>
      </w:pPr>
      <w:r>
        <w:rPr>
          <w:rFonts w:hint="eastAsia" w:hAnsi="宋体"/>
          <w:b/>
          <w:color w:val="auto"/>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2"/>
        <w:spacing w:line="360" w:lineRule="auto"/>
        <w:ind w:left="25" w:leftChars="12" w:firstLine="354" w:firstLineChars="147"/>
        <w:contextualSpacing/>
        <w:rPr>
          <w:rFonts w:hAnsi="宋体"/>
          <w:b/>
          <w:color w:val="auto"/>
          <w:sz w:val="24"/>
          <w:szCs w:val="24"/>
          <w:highlight w:val="none"/>
        </w:rPr>
      </w:pPr>
      <w:r>
        <w:rPr>
          <w:rFonts w:hint="eastAsia" w:hAnsi="宋体"/>
          <w:b/>
          <w:color w:val="auto"/>
          <w:sz w:val="24"/>
          <w:szCs w:val="24"/>
          <w:highlight w:val="none"/>
        </w:rPr>
        <w:t>3.质疑函的质疑事项应具体、明确，并有必要的事实依据和法律依据。</w:t>
      </w:r>
    </w:p>
    <w:p>
      <w:pPr>
        <w:pStyle w:val="12"/>
        <w:spacing w:line="360" w:lineRule="auto"/>
        <w:ind w:left="25" w:leftChars="12" w:firstLine="354" w:firstLineChars="147"/>
        <w:contextualSpacing/>
        <w:rPr>
          <w:rFonts w:hAnsi="宋体"/>
          <w:b/>
          <w:color w:val="auto"/>
          <w:sz w:val="24"/>
          <w:szCs w:val="24"/>
          <w:highlight w:val="none"/>
        </w:rPr>
      </w:pPr>
      <w:r>
        <w:rPr>
          <w:rFonts w:hint="eastAsia" w:hAnsi="宋体"/>
          <w:b/>
          <w:color w:val="auto"/>
          <w:sz w:val="24"/>
          <w:szCs w:val="24"/>
          <w:highlight w:val="none"/>
        </w:rPr>
        <w:t>4.质疑函的质疑请求应与质疑事项相关。</w:t>
      </w:r>
    </w:p>
    <w:p>
      <w:pPr>
        <w:pStyle w:val="12"/>
        <w:spacing w:line="360" w:lineRule="auto"/>
        <w:ind w:left="25" w:leftChars="12" w:firstLine="354" w:firstLineChars="147"/>
        <w:contextualSpacing/>
        <w:rPr>
          <w:rFonts w:hAnsi="宋体"/>
          <w:b/>
          <w:color w:val="auto"/>
          <w:highlight w:val="none"/>
        </w:rPr>
      </w:pPr>
      <w:r>
        <w:rPr>
          <w:rFonts w:hint="eastAsia" w:hAnsi="宋体"/>
          <w:b/>
          <w:color w:val="auto"/>
          <w:sz w:val="24"/>
          <w:szCs w:val="24"/>
          <w:highlight w:val="none"/>
        </w:rPr>
        <w:t>5.质疑供应商为法人或者其他组织的，质疑函应由法定代表人、主要负责人，或者其授权代表签字或者盖章，并加盖公章。</w:t>
      </w:r>
    </w:p>
    <w:p>
      <w:pPr>
        <w:pStyle w:val="12"/>
        <w:snapToGrid w:val="0"/>
        <w:rPr>
          <w:b/>
          <w:color w:val="auto"/>
          <w:sz w:val="24"/>
          <w:szCs w:val="24"/>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rPr>
          <w:color w:val="auto"/>
          <w:sz w:val="32"/>
          <w:szCs w:val="40"/>
          <w:highlight w:val="none"/>
        </w:rPr>
      </w:pPr>
    </w:p>
    <w:p>
      <w:pPr>
        <w:spacing w:line="360" w:lineRule="auto"/>
        <w:jc w:val="center"/>
        <w:rPr>
          <w:rFonts w:ascii="方正小标宋简体" w:hAnsi="方正小标宋简体" w:eastAsia="方正小标宋简体" w:cs="方正小标宋简体"/>
          <w:color w:val="auto"/>
          <w:sz w:val="24"/>
          <w:highlight w:val="none"/>
        </w:rPr>
      </w:pPr>
      <w:r>
        <w:rPr>
          <w:rFonts w:ascii="方正小标宋简体" w:hAnsi="方正小标宋简体" w:eastAsia="方正小标宋简体" w:cs="方正小标宋简体"/>
          <w:color w:val="auto"/>
          <w:sz w:val="44"/>
          <w:szCs w:val="44"/>
          <w:highlight w:val="none"/>
        </w:rPr>
        <w:br w:type="page"/>
      </w:r>
      <w:r>
        <w:rPr>
          <w:rFonts w:hint="eastAsia" w:ascii="方正小标宋简体" w:hAnsi="方正小标宋简体" w:eastAsia="方正小标宋简体" w:cs="方正小标宋简体"/>
          <w:color w:val="auto"/>
          <w:sz w:val="44"/>
          <w:szCs w:val="44"/>
          <w:highlight w:val="none"/>
        </w:rPr>
        <w:t>投诉书</w:t>
      </w:r>
      <w:r>
        <w:rPr>
          <w:rFonts w:hint="eastAsia" w:ascii="方正小标宋简体" w:hAnsi="方正小标宋简体" w:eastAsia="方正小标宋简体" w:cs="方正小标宋简体"/>
          <w:color w:val="auto"/>
          <w:sz w:val="28"/>
          <w:szCs w:val="28"/>
          <w:highlight w:val="none"/>
        </w:rPr>
        <w:t>（格式）</w:t>
      </w:r>
    </w:p>
    <w:p>
      <w:pPr>
        <w:pStyle w:val="12"/>
        <w:snapToGrid w:val="0"/>
        <w:spacing w:line="360" w:lineRule="auto"/>
        <w:ind w:firstLine="482" w:firstLineChars="200"/>
        <w:rPr>
          <w:rFonts w:hAnsi="宋体"/>
          <w:b/>
          <w:bCs/>
          <w:color w:val="auto"/>
          <w:sz w:val="24"/>
          <w:szCs w:val="24"/>
          <w:highlight w:val="none"/>
        </w:rPr>
      </w:pPr>
      <w:r>
        <w:rPr>
          <w:rFonts w:hint="eastAsia" w:hAnsi="宋体"/>
          <w:b/>
          <w:bCs/>
          <w:color w:val="auto"/>
          <w:sz w:val="24"/>
          <w:szCs w:val="24"/>
          <w:highlight w:val="none"/>
        </w:rPr>
        <w:t>一、投诉相关主体基本情况：</w:t>
      </w:r>
    </w:p>
    <w:p>
      <w:pPr>
        <w:pStyle w:val="12"/>
        <w:snapToGrid w:val="0"/>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供应商：</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napToGrid w:val="0"/>
        <w:spacing w:line="360" w:lineRule="auto"/>
        <w:ind w:firstLine="480" w:firstLineChars="200"/>
        <w:rPr>
          <w:rFonts w:hAnsi="宋体"/>
          <w:bCs/>
          <w:color w:val="auto"/>
          <w:sz w:val="24"/>
          <w:szCs w:val="24"/>
          <w:highlight w:val="none"/>
        </w:rPr>
      </w:pPr>
      <w:r>
        <w:rPr>
          <w:rFonts w:hAnsi="宋体"/>
          <w:bCs/>
          <w:color w:val="auto"/>
          <w:sz w:val="24"/>
          <w:szCs w:val="24"/>
          <w:highlight w:val="none"/>
        </w:rPr>
        <w:t>地址</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Ansi="宋体"/>
          <w:bCs/>
          <w:color w:val="auto"/>
          <w:sz w:val="24"/>
          <w:szCs w:val="24"/>
          <w:highlight w:val="none"/>
        </w:rPr>
        <w:t>邮编</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napToGrid w:val="0"/>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法定代表人/主要负责人：</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rPr>
      </w:pPr>
      <w:r>
        <w:rPr>
          <w:rFonts w:hAnsi="宋体"/>
          <w:bCs/>
          <w:color w:val="auto"/>
          <w:sz w:val="24"/>
          <w:szCs w:val="24"/>
          <w:highlight w:val="none"/>
        </w:rPr>
        <w:t>联系电话</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授权代表：</w:t>
      </w:r>
      <w:r>
        <w:rPr>
          <w:rFonts w:hint="eastAsia" w:hAnsi="宋体"/>
          <w:bCs/>
          <w:color w:val="auto"/>
          <w:sz w:val="24"/>
          <w:szCs w:val="24"/>
          <w:highlight w:val="none"/>
          <w:u w:val="single"/>
        </w:rPr>
        <w:t xml:space="preserve">                                         </w:t>
      </w:r>
      <w:r>
        <w:rPr>
          <w:rFonts w:hAnsi="宋体"/>
          <w:bCs/>
          <w:color w:val="auto"/>
          <w:sz w:val="24"/>
          <w:szCs w:val="24"/>
          <w:highlight w:val="none"/>
        </w:rPr>
        <w:t>联系</w:t>
      </w:r>
      <w:r>
        <w:rPr>
          <w:rFonts w:hint="eastAsia" w:hAnsi="宋体"/>
          <w:bCs/>
          <w:color w:val="auto"/>
          <w:sz w:val="24"/>
          <w:szCs w:val="24"/>
          <w:highlight w:val="none"/>
        </w:rPr>
        <w:t>电话：</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u w:val="single"/>
        </w:rPr>
      </w:pPr>
      <w:r>
        <w:rPr>
          <w:rFonts w:hAnsi="宋体"/>
          <w:bCs/>
          <w:color w:val="auto"/>
          <w:sz w:val="24"/>
          <w:szCs w:val="24"/>
          <w:highlight w:val="none"/>
        </w:rPr>
        <w:t>地址</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rPr>
      </w:pPr>
      <w:r>
        <w:rPr>
          <w:rFonts w:hAnsi="宋体"/>
          <w:bCs/>
          <w:color w:val="auto"/>
          <w:sz w:val="24"/>
          <w:szCs w:val="24"/>
          <w:highlight w:val="none"/>
        </w:rPr>
        <w:t>邮编</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napToGrid w:val="0"/>
        <w:spacing w:line="360" w:lineRule="auto"/>
        <w:ind w:firstLine="480" w:firstLineChars="200"/>
        <w:rPr>
          <w:rFonts w:hAnsi="宋体"/>
          <w:bCs/>
          <w:color w:val="auto"/>
          <w:sz w:val="24"/>
          <w:szCs w:val="24"/>
          <w:highlight w:val="none"/>
        </w:rPr>
      </w:pPr>
      <w:r>
        <w:rPr>
          <w:rFonts w:hint="eastAsia" w:hAnsi="宋体"/>
          <w:bCs/>
          <w:color w:val="auto"/>
          <w:sz w:val="24"/>
          <w:szCs w:val="24"/>
          <w:highlight w:val="none"/>
        </w:rPr>
        <w:t>被投诉人1：</w:t>
      </w:r>
    </w:p>
    <w:p>
      <w:pPr>
        <w:pStyle w:val="12"/>
        <w:snapToGrid w:val="0"/>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地址：</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rPr>
      </w:pPr>
      <w:r>
        <w:rPr>
          <w:rFonts w:hAnsi="宋体"/>
          <w:bCs/>
          <w:color w:val="auto"/>
          <w:sz w:val="24"/>
          <w:szCs w:val="24"/>
          <w:highlight w:val="none"/>
        </w:rPr>
        <w:t>邮编</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napToGrid w:val="0"/>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联系人：</w:t>
      </w:r>
      <w:r>
        <w:rPr>
          <w:rFonts w:hint="eastAsia" w:hAnsi="宋体"/>
          <w:bCs/>
          <w:color w:val="auto"/>
          <w:sz w:val="24"/>
          <w:szCs w:val="24"/>
          <w:highlight w:val="none"/>
          <w:u w:val="single"/>
        </w:rPr>
        <w:t xml:space="preserve">                                                </w:t>
      </w:r>
      <w:r>
        <w:rPr>
          <w:rFonts w:hAnsi="宋体"/>
          <w:bCs/>
          <w:color w:val="auto"/>
          <w:sz w:val="24"/>
          <w:szCs w:val="24"/>
          <w:highlight w:val="none"/>
        </w:rPr>
        <w:t>联系</w:t>
      </w:r>
      <w:r>
        <w:rPr>
          <w:rFonts w:hint="eastAsia" w:hAnsi="宋体"/>
          <w:bCs/>
          <w:color w:val="auto"/>
          <w:sz w:val="24"/>
          <w:szCs w:val="24"/>
          <w:highlight w:val="none"/>
        </w:rPr>
        <w:t>电话：</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rPr>
      </w:pPr>
      <w:r>
        <w:rPr>
          <w:rFonts w:hint="eastAsia" w:hAnsi="宋体"/>
          <w:bCs/>
          <w:color w:val="auto"/>
          <w:sz w:val="24"/>
          <w:szCs w:val="24"/>
          <w:highlight w:val="none"/>
        </w:rPr>
        <w:t>被投诉人2：</w:t>
      </w:r>
    </w:p>
    <w:p>
      <w:pPr>
        <w:pStyle w:val="12"/>
        <w:snapToGrid w:val="0"/>
        <w:spacing w:line="360" w:lineRule="auto"/>
        <w:ind w:firstLine="480" w:firstLineChars="200"/>
        <w:rPr>
          <w:rFonts w:hAnsi="宋体"/>
          <w:bCs/>
          <w:color w:val="auto"/>
          <w:sz w:val="24"/>
          <w:szCs w:val="24"/>
          <w:highlight w:val="none"/>
        </w:rPr>
      </w:pPr>
      <w:r>
        <w:rPr>
          <w:rFonts w:hAnsi="宋体"/>
          <w:bCs/>
          <w:color w:val="auto"/>
          <w:sz w:val="24"/>
          <w:szCs w:val="24"/>
          <w:highlight w:val="none"/>
        </w:rPr>
        <w:t>……</w:t>
      </w:r>
    </w:p>
    <w:p>
      <w:pPr>
        <w:pStyle w:val="12"/>
        <w:snapToGrid w:val="0"/>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相关供应商：</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u w:val="single"/>
        </w:rPr>
      </w:pPr>
      <w:r>
        <w:rPr>
          <w:rFonts w:hAnsi="宋体"/>
          <w:bCs/>
          <w:color w:val="auto"/>
          <w:sz w:val="24"/>
          <w:szCs w:val="24"/>
          <w:highlight w:val="none"/>
        </w:rPr>
        <w:t>地址</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r>
        <w:rPr>
          <w:rFonts w:hAnsi="宋体"/>
          <w:bCs/>
          <w:color w:val="auto"/>
          <w:sz w:val="24"/>
          <w:szCs w:val="24"/>
          <w:highlight w:val="none"/>
        </w:rPr>
        <w:t>邮编</w:t>
      </w:r>
      <w:r>
        <w:rPr>
          <w:rFonts w:hint="eastAsia" w:hAnsi="宋体"/>
          <w:bCs/>
          <w:color w:val="auto"/>
          <w:sz w:val="24"/>
          <w:szCs w:val="24"/>
          <w:highlight w:val="none"/>
        </w:rPr>
        <w:t>：</w:t>
      </w:r>
      <w:r>
        <w:rPr>
          <w:rFonts w:hint="eastAsia" w:hAnsi="宋体"/>
          <w:bCs/>
          <w:color w:val="auto"/>
          <w:sz w:val="24"/>
          <w:szCs w:val="24"/>
          <w:highlight w:val="none"/>
          <w:u w:val="single"/>
        </w:rPr>
        <w:t xml:space="preserve">                         </w:t>
      </w:r>
    </w:p>
    <w:p>
      <w:pPr>
        <w:pStyle w:val="12"/>
        <w:snapToGrid w:val="0"/>
        <w:spacing w:line="360" w:lineRule="auto"/>
        <w:ind w:firstLine="480" w:firstLineChars="200"/>
        <w:rPr>
          <w:rFonts w:hAnsi="宋体"/>
          <w:bCs/>
          <w:color w:val="auto"/>
          <w:sz w:val="24"/>
          <w:szCs w:val="24"/>
          <w:highlight w:val="none"/>
        </w:rPr>
      </w:pPr>
      <w:r>
        <w:rPr>
          <w:rFonts w:hint="eastAsia" w:hAnsi="宋体"/>
          <w:bCs/>
          <w:color w:val="auto"/>
          <w:sz w:val="24"/>
          <w:szCs w:val="24"/>
          <w:highlight w:val="none"/>
        </w:rPr>
        <w:t>联系人：</w:t>
      </w:r>
      <w:r>
        <w:rPr>
          <w:rFonts w:hint="eastAsia" w:hAnsi="宋体"/>
          <w:bCs/>
          <w:color w:val="auto"/>
          <w:sz w:val="24"/>
          <w:szCs w:val="24"/>
          <w:highlight w:val="none"/>
          <w:u w:val="single"/>
        </w:rPr>
        <w:t xml:space="preserve">                                            </w:t>
      </w:r>
      <w:r>
        <w:rPr>
          <w:rFonts w:hAnsi="宋体"/>
          <w:bCs/>
          <w:color w:val="auto"/>
          <w:sz w:val="24"/>
          <w:szCs w:val="24"/>
          <w:highlight w:val="none"/>
        </w:rPr>
        <w:t>联系</w:t>
      </w:r>
      <w:r>
        <w:rPr>
          <w:rFonts w:hint="eastAsia" w:hAnsi="宋体"/>
          <w:bCs/>
          <w:color w:val="auto"/>
          <w:sz w:val="24"/>
          <w:szCs w:val="24"/>
          <w:highlight w:val="none"/>
        </w:rPr>
        <w:t>电话：</w:t>
      </w:r>
      <w:r>
        <w:rPr>
          <w:rFonts w:hint="eastAsia" w:hAnsi="宋体"/>
          <w:bCs/>
          <w:color w:val="auto"/>
          <w:sz w:val="24"/>
          <w:szCs w:val="24"/>
          <w:highlight w:val="none"/>
          <w:u w:val="single"/>
        </w:rPr>
        <w:t xml:space="preserve">                     </w:t>
      </w:r>
      <w:r>
        <w:rPr>
          <w:rFonts w:hint="eastAsia" w:hAnsi="宋体"/>
          <w:bCs/>
          <w:color w:val="auto"/>
          <w:sz w:val="24"/>
          <w:szCs w:val="24"/>
          <w:highlight w:val="none"/>
        </w:rPr>
        <w:t xml:space="preserve">                </w:t>
      </w:r>
    </w:p>
    <w:p>
      <w:pPr>
        <w:pStyle w:val="12"/>
        <w:snapToGrid w:val="0"/>
        <w:spacing w:line="360" w:lineRule="auto"/>
        <w:ind w:firstLine="482" w:firstLineChars="200"/>
        <w:rPr>
          <w:rFonts w:hAnsi="宋体"/>
          <w:b/>
          <w:bCs/>
          <w:color w:val="auto"/>
          <w:sz w:val="24"/>
          <w:szCs w:val="24"/>
          <w:highlight w:val="none"/>
        </w:rPr>
      </w:pPr>
      <w:r>
        <w:rPr>
          <w:rFonts w:hint="eastAsia" w:hAnsi="宋体"/>
          <w:b/>
          <w:bCs/>
          <w:color w:val="auto"/>
          <w:sz w:val="24"/>
          <w:szCs w:val="24"/>
          <w:highlight w:val="none"/>
        </w:rPr>
        <w:t>二、投诉项目基本情况：</w:t>
      </w:r>
    </w:p>
    <w:p>
      <w:pPr>
        <w:pStyle w:val="12"/>
        <w:spacing w:line="360" w:lineRule="auto"/>
        <w:ind w:left="25" w:leftChars="12" w:firstLine="472" w:firstLineChars="197"/>
        <w:rPr>
          <w:rFonts w:hAnsi="宋体"/>
          <w:color w:val="auto"/>
          <w:sz w:val="24"/>
          <w:szCs w:val="24"/>
          <w:highlight w:val="none"/>
        </w:rPr>
      </w:pPr>
      <w:r>
        <w:rPr>
          <w:rFonts w:hint="eastAsia" w:hAnsi="宋体"/>
          <w:bCs/>
          <w:color w:val="auto"/>
          <w:sz w:val="24"/>
          <w:szCs w:val="24"/>
          <w:highlight w:val="none"/>
        </w:rPr>
        <w:t>采购</w:t>
      </w:r>
      <w:r>
        <w:rPr>
          <w:rFonts w:hint="eastAsia" w:hAnsi="宋体"/>
          <w:color w:val="auto"/>
          <w:sz w:val="24"/>
          <w:szCs w:val="24"/>
          <w:highlight w:val="none"/>
        </w:rPr>
        <w:t>项目的名称：</w:t>
      </w:r>
      <w:r>
        <w:rPr>
          <w:rFonts w:hint="eastAsia" w:hAnsi="宋体"/>
          <w:bCs/>
          <w:color w:val="auto"/>
          <w:sz w:val="24"/>
          <w:szCs w:val="24"/>
          <w:highlight w:val="none"/>
          <w:u w:val="single"/>
        </w:rPr>
        <w:t xml:space="preserve">                                                                   </w:t>
      </w:r>
    </w:p>
    <w:p>
      <w:pPr>
        <w:pStyle w:val="12"/>
        <w:spacing w:line="360" w:lineRule="auto"/>
        <w:ind w:left="25" w:leftChars="12" w:firstLine="472" w:firstLineChars="197"/>
        <w:rPr>
          <w:rFonts w:hAnsi="宋体"/>
          <w:color w:val="auto"/>
          <w:sz w:val="24"/>
          <w:szCs w:val="24"/>
          <w:highlight w:val="none"/>
        </w:rPr>
      </w:pPr>
      <w:r>
        <w:rPr>
          <w:rFonts w:hint="eastAsia" w:hAnsi="宋体"/>
          <w:bCs/>
          <w:color w:val="auto"/>
          <w:sz w:val="24"/>
          <w:szCs w:val="24"/>
          <w:highlight w:val="none"/>
        </w:rPr>
        <w:t>采购</w:t>
      </w:r>
      <w:r>
        <w:rPr>
          <w:rFonts w:hint="eastAsia" w:hAnsi="宋体"/>
          <w:color w:val="auto"/>
          <w:sz w:val="24"/>
          <w:szCs w:val="24"/>
          <w:highlight w:val="none"/>
        </w:rPr>
        <w:t>项目的编号：</w:t>
      </w:r>
      <w:r>
        <w:rPr>
          <w:rFonts w:hint="eastAsia" w:hAnsi="宋体"/>
          <w:bCs/>
          <w:color w:val="auto"/>
          <w:sz w:val="24"/>
          <w:szCs w:val="24"/>
          <w:highlight w:val="none"/>
          <w:u w:val="single"/>
        </w:rPr>
        <w:t xml:space="preserve">                                          </w:t>
      </w:r>
    </w:p>
    <w:p>
      <w:pPr>
        <w:pStyle w:val="12"/>
        <w:spacing w:line="360" w:lineRule="auto"/>
        <w:ind w:left="25" w:leftChars="12" w:firstLine="472" w:firstLineChars="197"/>
        <w:rPr>
          <w:rFonts w:hAnsi="宋体"/>
          <w:bCs/>
          <w:color w:val="auto"/>
          <w:sz w:val="24"/>
          <w:szCs w:val="24"/>
          <w:highlight w:val="none"/>
          <w:u w:val="single"/>
        </w:rPr>
      </w:pPr>
      <w:r>
        <w:rPr>
          <w:rFonts w:hint="eastAsia" w:hAnsi="宋体"/>
          <w:color w:val="auto"/>
          <w:sz w:val="24"/>
          <w:szCs w:val="24"/>
          <w:highlight w:val="none"/>
        </w:rPr>
        <w:t>采购人名称：</w:t>
      </w:r>
      <w:r>
        <w:rPr>
          <w:rFonts w:hint="eastAsia" w:hAnsi="宋体"/>
          <w:bCs/>
          <w:color w:val="auto"/>
          <w:sz w:val="24"/>
          <w:szCs w:val="24"/>
          <w:highlight w:val="none"/>
          <w:u w:val="single"/>
        </w:rPr>
        <w:t xml:space="preserve">                                                                        </w:t>
      </w:r>
    </w:p>
    <w:p>
      <w:pPr>
        <w:pStyle w:val="12"/>
        <w:spacing w:line="360" w:lineRule="auto"/>
        <w:ind w:left="25" w:leftChars="12" w:firstLine="472" w:firstLineChars="197"/>
        <w:rPr>
          <w:rFonts w:hAnsi="宋体"/>
          <w:bCs/>
          <w:color w:val="auto"/>
          <w:sz w:val="24"/>
          <w:szCs w:val="24"/>
          <w:highlight w:val="none"/>
          <w:u w:val="single"/>
        </w:rPr>
      </w:pPr>
      <w:r>
        <w:rPr>
          <w:rFonts w:hint="eastAsia" w:hAnsi="宋体"/>
          <w:color w:val="auto"/>
          <w:sz w:val="24"/>
          <w:szCs w:val="24"/>
          <w:highlight w:val="none"/>
        </w:rPr>
        <w:t>代理机构名称：</w:t>
      </w:r>
      <w:r>
        <w:rPr>
          <w:rFonts w:hint="eastAsia" w:hAnsi="宋体"/>
          <w:bCs/>
          <w:color w:val="auto"/>
          <w:sz w:val="24"/>
          <w:szCs w:val="24"/>
          <w:highlight w:val="none"/>
          <w:u w:val="single"/>
        </w:rPr>
        <w:t xml:space="preserve">                                                                      </w:t>
      </w:r>
    </w:p>
    <w:p>
      <w:pPr>
        <w:pStyle w:val="12"/>
        <w:spacing w:line="360" w:lineRule="auto"/>
        <w:ind w:left="25" w:leftChars="12" w:firstLine="472" w:firstLineChars="197"/>
        <w:rPr>
          <w:rFonts w:hAnsi="宋体"/>
          <w:bCs/>
          <w:color w:val="auto"/>
          <w:sz w:val="24"/>
          <w:szCs w:val="24"/>
          <w:highlight w:val="none"/>
          <w:u w:val="single"/>
        </w:rPr>
      </w:pPr>
      <w:r>
        <w:rPr>
          <w:rFonts w:hint="eastAsia" w:hAnsi="宋体"/>
          <w:bCs/>
          <w:color w:val="auto"/>
          <w:sz w:val="24"/>
          <w:szCs w:val="24"/>
          <w:highlight w:val="none"/>
        </w:rPr>
        <w:t>竞争性磋商文件公告：</w:t>
      </w:r>
      <w:r>
        <w:rPr>
          <w:rFonts w:hint="eastAsia" w:hAnsi="宋体"/>
          <w:bCs/>
          <w:color w:val="auto"/>
          <w:sz w:val="24"/>
          <w:szCs w:val="24"/>
          <w:highlight w:val="none"/>
          <w:u w:val="single"/>
        </w:rPr>
        <w:t>是/否</w:t>
      </w:r>
      <w:r>
        <w:rPr>
          <w:rFonts w:hint="eastAsia" w:hAnsi="宋体"/>
          <w:bCs/>
          <w:color w:val="auto"/>
          <w:sz w:val="24"/>
          <w:szCs w:val="24"/>
          <w:highlight w:val="none"/>
        </w:rPr>
        <w:t>公告期限：</w:t>
      </w:r>
      <w:r>
        <w:rPr>
          <w:rFonts w:hint="eastAsia" w:hAnsi="宋体"/>
          <w:bCs/>
          <w:color w:val="auto"/>
          <w:sz w:val="24"/>
          <w:szCs w:val="24"/>
          <w:highlight w:val="none"/>
          <w:u w:val="single"/>
        </w:rPr>
        <w:t xml:space="preserve">                                                       </w:t>
      </w:r>
    </w:p>
    <w:p>
      <w:pPr>
        <w:pStyle w:val="12"/>
        <w:spacing w:line="360" w:lineRule="auto"/>
        <w:ind w:left="25" w:leftChars="12" w:firstLine="472" w:firstLineChars="197"/>
        <w:rPr>
          <w:rFonts w:hAnsi="宋体"/>
          <w:b/>
          <w:color w:val="auto"/>
          <w:sz w:val="24"/>
          <w:szCs w:val="24"/>
          <w:highlight w:val="none"/>
        </w:rPr>
      </w:pPr>
      <w:r>
        <w:rPr>
          <w:rFonts w:hint="eastAsia" w:hAnsi="宋体"/>
          <w:bCs/>
          <w:color w:val="auto"/>
          <w:sz w:val="24"/>
          <w:szCs w:val="24"/>
          <w:highlight w:val="none"/>
        </w:rPr>
        <w:t>采购结果公告：</w:t>
      </w:r>
      <w:r>
        <w:rPr>
          <w:rFonts w:hint="eastAsia" w:hAnsi="宋体"/>
          <w:bCs/>
          <w:color w:val="auto"/>
          <w:sz w:val="24"/>
          <w:szCs w:val="24"/>
          <w:highlight w:val="none"/>
          <w:u w:val="single"/>
        </w:rPr>
        <w:t>是/否</w:t>
      </w:r>
      <w:r>
        <w:rPr>
          <w:rFonts w:hint="eastAsia" w:hAnsi="宋体"/>
          <w:bCs/>
          <w:color w:val="auto"/>
          <w:sz w:val="24"/>
          <w:szCs w:val="24"/>
          <w:highlight w:val="none"/>
        </w:rPr>
        <w:t>公告期限：</w:t>
      </w:r>
      <w:r>
        <w:rPr>
          <w:rFonts w:hint="eastAsia" w:hAnsi="宋体"/>
          <w:bCs/>
          <w:color w:val="auto"/>
          <w:sz w:val="24"/>
          <w:szCs w:val="24"/>
          <w:highlight w:val="none"/>
          <w:u w:val="single"/>
        </w:rPr>
        <w:t xml:space="preserve">                                                       </w:t>
      </w:r>
    </w:p>
    <w:p>
      <w:pPr>
        <w:pStyle w:val="12"/>
        <w:spacing w:line="360" w:lineRule="auto"/>
        <w:ind w:left="25" w:leftChars="12" w:firstLine="472" w:firstLineChars="196"/>
        <w:rPr>
          <w:rFonts w:hAnsi="宋体"/>
          <w:b/>
          <w:color w:val="auto"/>
          <w:sz w:val="24"/>
          <w:szCs w:val="24"/>
          <w:highlight w:val="none"/>
        </w:rPr>
      </w:pPr>
      <w:r>
        <w:rPr>
          <w:rFonts w:hint="eastAsia" w:hAnsi="宋体"/>
          <w:b/>
          <w:color w:val="auto"/>
          <w:sz w:val="24"/>
          <w:szCs w:val="24"/>
          <w:highlight w:val="none"/>
        </w:rPr>
        <w:t>三、质疑基本情况</w:t>
      </w:r>
    </w:p>
    <w:p>
      <w:pPr>
        <w:pStyle w:val="12"/>
        <w:spacing w:line="360" w:lineRule="auto"/>
        <w:ind w:firstLine="480" w:firstLineChars="200"/>
        <w:rPr>
          <w:rFonts w:hAnsi="宋体"/>
          <w:color w:val="auto"/>
          <w:sz w:val="24"/>
          <w:szCs w:val="24"/>
          <w:highlight w:val="none"/>
        </w:rPr>
      </w:pPr>
      <w:r>
        <w:rPr>
          <w:rFonts w:hint="eastAsia" w:hAnsi="宋体"/>
          <w:color w:val="auto"/>
          <w:sz w:val="24"/>
          <w:szCs w:val="24"/>
          <w:highlight w:val="none"/>
        </w:rPr>
        <w:t>投诉人于</w:t>
      </w:r>
      <w:r>
        <w:rPr>
          <w:rFonts w:hint="eastAsia" w:hAnsi="宋体"/>
          <w:color w:val="auto"/>
          <w:sz w:val="24"/>
          <w:szCs w:val="24"/>
          <w:highlight w:val="none"/>
          <w:u w:val="single"/>
        </w:rPr>
        <w:t xml:space="preserve">      </w:t>
      </w:r>
      <w:r>
        <w:rPr>
          <w:rFonts w:hint="eastAsia" w:hAnsi="宋体"/>
          <w:color w:val="auto"/>
          <w:sz w:val="24"/>
          <w:szCs w:val="24"/>
          <w:highlight w:val="none"/>
        </w:rPr>
        <w:t>年</w:t>
      </w:r>
      <w:r>
        <w:rPr>
          <w:rFonts w:hint="eastAsia" w:hAnsi="宋体"/>
          <w:color w:val="auto"/>
          <w:sz w:val="24"/>
          <w:szCs w:val="24"/>
          <w:highlight w:val="none"/>
          <w:u w:val="single"/>
        </w:rPr>
        <w:t xml:space="preserve">   </w:t>
      </w:r>
      <w:r>
        <w:rPr>
          <w:rFonts w:hint="eastAsia" w:hAnsi="宋体"/>
          <w:color w:val="auto"/>
          <w:sz w:val="24"/>
          <w:szCs w:val="24"/>
          <w:highlight w:val="none"/>
        </w:rPr>
        <w:t>月</w:t>
      </w:r>
      <w:r>
        <w:rPr>
          <w:rFonts w:hint="eastAsia" w:hAnsi="宋体"/>
          <w:color w:val="auto"/>
          <w:sz w:val="24"/>
          <w:szCs w:val="24"/>
          <w:highlight w:val="none"/>
          <w:u w:val="single"/>
        </w:rPr>
        <w:t xml:space="preserve">   </w:t>
      </w:r>
      <w:r>
        <w:rPr>
          <w:rFonts w:hint="eastAsia" w:hAnsi="宋体"/>
          <w:color w:val="auto"/>
          <w:sz w:val="24"/>
          <w:szCs w:val="24"/>
          <w:highlight w:val="none"/>
        </w:rPr>
        <w:t>日，向</w:t>
      </w:r>
      <w:r>
        <w:rPr>
          <w:rFonts w:hint="eastAsia" w:hAnsi="宋体"/>
          <w:color w:val="auto"/>
          <w:sz w:val="24"/>
          <w:szCs w:val="24"/>
          <w:highlight w:val="none"/>
          <w:u w:val="single"/>
        </w:rPr>
        <w:t xml:space="preserve">                                </w:t>
      </w:r>
      <w:r>
        <w:rPr>
          <w:rFonts w:hint="eastAsia" w:hAnsi="宋体"/>
          <w:color w:val="auto"/>
          <w:sz w:val="24"/>
          <w:szCs w:val="24"/>
          <w:highlight w:val="none"/>
        </w:rPr>
        <w:t>提出质疑，质疑事项为：</w:t>
      </w:r>
    </w:p>
    <w:p>
      <w:pPr>
        <w:pStyle w:val="12"/>
        <w:spacing w:line="360" w:lineRule="auto"/>
        <w:ind w:firstLine="241"/>
        <w:rPr>
          <w:rFonts w:hAnsi="宋体"/>
          <w:bCs/>
          <w:color w:val="auto"/>
          <w:sz w:val="24"/>
          <w:szCs w:val="24"/>
          <w:highlight w:val="none"/>
          <w:u w:val="single"/>
        </w:rPr>
      </w:pPr>
      <w:r>
        <w:rPr>
          <w:rFonts w:hint="eastAsia" w:hAnsi="宋体"/>
          <w:color w:val="auto"/>
          <w:sz w:val="24"/>
          <w:szCs w:val="24"/>
          <w:highlight w:val="none"/>
        </w:rPr>
        <w:t xml:space="preserve">    </w:t>
      </w:r>
      <w:r>
        <w:rPr>
          <w:rFonts w:hint="eastAsia" w:hAnsi="宋体"/>
          <w:bCs/>
          <w:color w:val="auto"/>
          <w:sz w:val="24"/>
          <w:szCs w:val="24"/>
          <w:highlight w:val="none"/>
          <w:u w:val="single"/>
        </w:rPr>
        <w:t xml:space="preserve">                                                                                      </w:t>
      </w:r>
    </w:p>
    <w:p>
      <w:pPr>
        <w:pStyle w:val="12"/>
        <w:spacing w:line="360" w:lineRule="auto"/>
        <w:ind w:firstLine="241"/>
        <w:rPr>
          <w:rFonts w:hAnsi="宋体"/>
          <w:bCs/>
          <w:color w:val="auto"/>
          <w:sz w:val="24"/>
          <w:szCs w:val="24"/>
          <w:highlight w:val="none"/>
          <w:u w:val="single"/>
        </w:rPr>
      </w:pPr>
      <w:r>
        <w:rPr>
          <w:rFonts w:hint="eastAsia" w:hAnsi="宋体"/>
          <w:bCs/>
          <w:color w:val="auto"/>
          <w:sz w:val="24"/>
          <w:szCs w:val="24"/>
          <w:highlight w:val="none"/>
        </w:rPr>
        <w:t xml:space="preserve">    </w:t>
      </w:r>
      <w:r>
        <w:rPr>
          <w:rFonts w:hint="eastAsia" w:hAnsi="宋体"/>
          <w:bCs/>
          <w:color w:val="auto"/>
          <w:sz w:val="24"/>
          <w:szCs w:val="24"/>
          <w:highlight w:val="none"/>
          <w:u w:val="single"/>
        </w:rPr>
        <w:t xml:space="preserve">                                                                                      </w:t>
      </w:r>
    </w:p>
    <w:p>
      <w:pPr>
        <w:pStyle w:val="12"/>
        <w:spacing w:line="360" w:lineRule="auto"/>
        <w:ind w:firstLine="480" w:firstLineChars="200"/>
        <w:rPr>
          <w:rFonts w:hAnsi="宋体"/>
          <w:color w:val="auto"/>
          <w:sz w:val="24"/>
          <w:szCs w:val="24"/>
          <w:highlight w:val="none"/>
        </w:rPr>
      </w:pPr>
      <w:r>
        <w:rPr>
          <w:rFonts w:hint="eastAsia" w:hAnsi="宋体"/>
          <w:bCs/>
          <w:color w:val="auto"/>
          <w:sz w:val="24"/>
          <w:szCs w:val="24"/>
          <w:highlight w:val="none"/>
          <w:u w:val="single"/>
        </w:rPr>
        <w:t>采购人/代理机构</w:t>
      </w:r>
      <w:r>
        <w:rPr>
          <w:rFonts w:hint="eastAsia" w:hAnsi="宋体"/>
          <w:bCs/>
          <w:color w:val="auto"/>
          <w:sz w:val="24"/>
          <w:szCs w:val="24"/>
          <w:highlight w:val="none"/>
        </w:rPr>
        <w:t>于</w:t>
      </w:r>
      <w:r>
        <w:rPr>
          <w:rFonts w:hint="eastAsia" w:hAnsi="宋体"/>
          <w:color w:val="auto"/>
          <w:sz w:val="24"/>
          <w:szCs w:val="24"/>
          <w:highlight w:val="none"/>
          <w:u w:val="single"/>
        </w:rPr>
        <w:t xml:space="preserve">      </w:t>
      </w:r>
      <w:r>
        <w:rPr>
          <w:rFonts w:hint="eastAsia" w:hAnsi="宋体"/>
          <w:color w:val="auto"/>
          <w:sz w:val="24"/>
          <w:szCs w:val="24"/>
          <w:highlight w:val="none"/>
        </w:rPr>
        <w:t>年</w:t>
      </w:r>
      <w:r>
        <w:rPr>
          <w:rFonts w:hint="eastAsia" w:hAnsi="宋体"/>
          <w:color w:val="auto"/>
          <w:sz w:val="24"/>
          <w:szCs w:val="24"/>
          <w:highlight w:val="none"/>
          <w:u w:val="single"/>
        </w:rPr>
        <w:t xml:space="preserve">   </w:t>
      </w:r>
      <w:r>
        <w:rPr>
          <w:rFonts w:hint="eastAsia" w:hAnsi="宋体"/>
          <w:color w:val="auto"/>
          <w:sz w:val="24"/>
          <w:szCs w:val="24"/>
          <w:highlight w:val="none"/>
        </w:rPr>
        <w:t>月</w:t>
      </w:r>
      <w:r>
        <w:rPr>
          <w:rFonts w:hint="eastAsia" w:hAnsi="宋体"/>
          <w:color w:val="auto"/>
          <w:sz w:val="24"/>
          <w:szCs w:val="24"/>
          <w:highlight w:val="none"/>
          <w:u w:val="single"/>
        </w:rPr>
        <w:t xml:space="preserve">   </w:t>
      </w:r>
      <w:r>
        <w:rPr>
          <w:rFonts w:hint="eastAsia" w:hAnsi="宋体"/>
          <w:color w:val="auto"/>
          <w:sz w:val="24"/>
          <w:szCs w:val="24"/>
          <w:highlight w:val="none"/>
        </w:rPr>
        <w:t>日，</w:t>
      </w:r>
      <w:r>
        <w:rPr>
          <w:rFonts w:hint="eastAsia" w:hAnsi="宋体"/>
          <w:bCs/>
          <w:color w:val="auto"/>
          <w:sz w:val="24"/>
          <w:szCs w:val="24"/>
          <w:highlight w:val="none"/>
        </w:rPr>
        <w:t xml:space="preserve">就质疑事项作出了答复/没有在法定期限内作出答复。                                                                                             </w:t>
      </w:r>
    </w:p>
    <w:p>
      <w:pPr>
        <w:pStyle w:val="12"/>
        <w:spacing w:line="360" w:lineRule="auto"/>
        <w:ind w:left="25" w:leftChars="12" w:firstLine="472" w:firstLineChars="196"/>
        <w:rPr>
          <w:rFonts w:hAnsi="宋体"/>
          <w:b/>
          <w:color w:val="auto"/>
          <w:sz w:val="24"/>
          <w:szCs w:val="24"/>
          <w:highlight w:val="none"/>
        </w:rPr>
      </w:pPr>
      <w:r>
        <w:rPr>
          <w:rFonts w:hint="eastAsia" w:hAnsi="宋体"/>
          <w:b/>
          <w:color w:val="auto"/>
          <w:sz w:val="24"/>
          <w:szCs w:val="24"/>
          <w:highlight w:val="none"/>
        </w:rPr>
        <w:t>四、投诉事项具体内容</w:t>
      </w:r>
    </w:p>
    <w:p>
      <w:pPr>
        <w:pStyle w:val="12"/>
        <w:spacing w:line="360" w:lineRule="auto"/>
        <w:ind w:left="25" w:leftChars="12" w:firstLine="472" w:firstLineChars="197"/>
        <w:rPr>
          <w:rFonts w:hAnsi="宋体"/>
          <w:bCs/>
          <w:color w:val="auto"/>
          <w:sz w:val="24"/>
          <w:szCs w:val="24"/>
          <w:highlight w:val="none"/>
          <w:u w:val="single"/>
        </w:rPr>
      </w:pPr>
      <w:r>
        <w:rPr>
          <w:rFonts w:hint="eastAsia" w:hAnsi="宋体"/>
          <w:color w:val="auto"/>
          <w:sz w:val="24"/>
          <w:szCs w:val="24"/>
          <w:highlight w:val="none"/>
        </w:rPr>
        <w:t>投诉事项1：</w:t>
      </w:r>
      <w:r>
        <w:rPr>
          <w:rFonts w:hint="eastAsia" w:hAnsi="宋体"/>
          <w:bCs/>
          <w:color w:val="auto"/>
          <w:sz w:val="24"/>
          <w:szCs w:val="24"/>
          <w:highlight w:val="none"/>
          <w:u w:val="single"/>
        </w:rPr>
        <w:t xml:space="preserve">                                                                           </w:t>
      </w:r>
    </w:p>
    <w:p>
      <w:pPr>
        <w:pStyle w:val="12"/>
        <w:spacing w:line="360" w:lineRule="auto"/>
        <w:ind w:firstLine="480" w:firstLineChars="200"/>
        <w:rPr>
          <w:rFonts w:hAnsi="宋体"/>
          <w:color w:val="auto"/>
          <w:sz w:val="24"/>
          <w:szCs w:val="24"/>
          <w:highlight w:val="none"/>
        </w:rPr>
      </w:pPr>
      <w:r>
        <w:rPr>
          <w:rFonts w:hint="eastAsia" w:hAnsi="宋体"/>
          <w:bCs/>
          <w:color w:val="auto"/>
          <w:sz w:val="24"/>
          <w:szCs w:val="24"/>
          <w:highlight w:val="none"/>
        </w:rPr>
        <w:t>事实依据：</w:t>
      </w:r>
      <w:r>
        <w:rPr>
          <w:rFonts w:hint="eastAsia" w:hAnsi="宋体"/>
          <w:color w:val="auto"/>
          <w:sz w:val="24"/>
          <w:szCs w:val="24"/>
          <w:highlight w:val="none"/>
        </w:rPr>
        <w:t xml:space="preserve"> </w:t>
      </w:r>
      <w:r>
        <w:rPr>
          <w:rFonts w:hint="eastAsia" w:hAnsi="宋体"/>
          <w:bCs/>
          <w:color w:val="auto"/>
          <w:sz w:val="24"/>
          <w:szCs w:val="24"/>
          <w:highlight w:val="none"/>
          <w:u w:val="single"/>
        </w:rPr>
        <w:t xml:space="preserve">                                                                                      </w:t>
      </w:r>
    </w:p>
    <w:p>
      <w:pPr>
        <w:pStyle w:val="12"/>
        <w:spacing w:line="360" w:lineRule="auto"/>
        <w:ind w:firstLine="480" w:firstLineChars="200"/>
        <w:rPr>
          <w:rFonts w:hAnsi="宋体"/>
          <w:bCs/>
          <w:color w:val="auto"/>
          <w:sz w:val="24"/>
          <w:szCs w:val="24"/>
          <w:highlight w:val="none"/>
          <w:u w:val="single"/>
        </w:rPr>
      </w:pPr>
      <w:r>
        <w:rPr>
          <w:rFonts w:hint="eastAsia" w:hAnsi="宋体"/>
          <w:bCs/>
          <w:color w:val="auto"/>
          <w:sz w:val="24"/>
          <w:szCs w:val="24"/>
          <w:highlight w:val="none"/>
        </w:rPr>
        <w:t>法律依据：</w:t>
      </w:r>
      <w:r>
        <w:rPr>
          <w:rFonts w:hint="eastAsia" w:hAnsi="宋体"/>
          <w:color w:val="auto"/>
          <w:sz w:val="24"/>
          <w:szCs w:val="24"/>
          <w:highlight w:val="none"/>
        </w:rPr>
        <w:t xml:space="preserve"> </w:t>
      </w:r>
      <w:r>
        <w:rPr>
          <w:rFonts w:hint="eastAsia" w:hAnsi="宋体"/>
          <w:bCs/>
          <w:color w:val="auto"/>
          <w:sz w:val="24"/>
          <w:szCs w:val="24"/>
          <w:highlight w:val="none"/>
          <w:u w:val="single"/>
        </w:rPr>
        <w:t xml:space="preserve">                                                                                      </w:t>
      </w:r>
    </w:p>
    <w:p>
      <w:pPr>
        <w:pStyle w:val="12"/>
        <w:spacing w:line="360" w:lineRule="auto"/>
        <w:ind w:left="25" w:leftChars="12" w:firstLine="472" w:firstLineChars="197"/>
        <w:rPr>
          <w:rFonts w:hAnsi="宋体"/>
          <w:bCs/>
          <w:color w:val="auto"/>
          <w:sz w:val="24"/>
          <w:szCs w:val="24"/>
          <w:highlight w:val="none"/>
        </w:rPr>
      </w:pPr>
      <w:r>
        <w:rPr>
          <w:rFonts w:hint="eastAsia" w:hAnsi="宋体"/>
          <w:color w:val="auto"/>
          <w:sz w:val="24"/>
          <w:szCs w:val="24"/>
          <w:highlight w:val="none"/>
        </w:rPr>
        <w:t xml:space="preserve">投诉事项2  </w:t>
      </w:r>
      <w:r>
        <w:rPr>
          <w:rFonts w:hint="eastAsia" w:hAnsi="宋体"/>
          <w:bCs/>
          <w:color w:val="auto"/>
          <w:sz w:val="24"/>
          <w:szCs w:val="24"/>
          <w:highlight w:val="none"/>
        </w:rPr>
        <w:t xml:space="preserve">  </w:t>
      </w:r>
    </w:p>
    <w:p>
      <w:pPr>
        <w:pStyle w:val="12"/>
        <w:spacing w:line="360" w:lineRule="auto"/>
        <w:ind w:left="25" w:leftChars="12" w:firstLine="472" w:firstLineChars="197"/>
        <w:rPr>
          <w:rFonts w:hAnsi="宋体"/>
          <w:bCs/>
          <w:color w:val="auto"/>
          <w:sz w:val="24"/>
          <w:szCs w:val="24"/>
          <w:highlight w:val="none"/>
        </w:rPr>
      </w:pPr>
      <w:r>
        <w:rPr>
          <w:rFonts w:hAnsi="宋体"/>
          <w:bCs/>
          <w:color w:val="auto"/>
          <w:sz w:val="24"/>
          <w:szCs w:val="24"/>
          <w:highlight w:val="none"/>
        </w:rPr>
        <w:t>……</w:t>
      </w:r>
    </w:p>
    <w:p>
      <w:pPr>
        <w:pStyle w:val="12"/>
        <w:spacing w:line="360" w:lineRule="auto"/>
        <w:ind w:left="25" w:leftChars="12" w:firstLine="472" w:firstLineChars="196"/>
        <w:rPr>
          <w:rFonts w:hAnsi="宋体"/>
          <w:b/>
          <w:color w:val="auto"/>
          <w:sz w:val="24"/>
          <w:szCs w:val="24"/>
          <w:highlight w:val="none"/>
        </w:rPr>
      </w:pPr>
      <w:r>
        <w:rPr>
          <w:rFonts w:hint="eastAsia" w:hAnsi="宋体"/>
          <w:b/>
          <w:color w:val="auto"/>
          <w:sz w:val="24"/>
          <w:szCs w:val="24"/>
          <w:highlight w:val="none"/>
        </w:rPr>
        <w:t>五、与投诉事项相关的投诉请求：</w:t>
      </w:r>
    </w:p>
    <w:p>
      <w:pPr>
        <w:pStyle w:val="12"/>
        <w:spacing w:line="360" w:lineRule="auto"/>
        <w:ind w:left="25" w:leftChars="12" w:firstLine="472" w:firstLineChars="197"/>
        <w:rPr>
          <w:rFonts w:hAnsi="宋体"/>
          <w:color w:val="auto"/>
          <w:sz w:val="24"/>
          <w:szCs w:val="24"/>
          <w:highlight w:val="none"/>
        </w:rPr>
      </w:pPr>
      <w:r>
        <w:rPr>
          <w:rFonts w:hint="eastAsia" w:hAnsi="宋体"/>
          <w:color w:val="auto"/>
          <w:sz w:val="24"/>
          <w:szCs w:val="24"/>
          <w:highlight w:val="none"/>
        </w:rPr>
        <w:t>请求：</w:t>
      </w:r>
      <w:r>
        <w:rPr>
          <w:rFonts w:hint="eastAsia" w:hAnsi="宋体"/>
          <w:bCs/>
          <w:color w:val="auto"/>
          <w:sz w:val="24"/>
          <w:szCs w:val="24"/>
          <w:highlight w:val="none"/>
          <w:u w:val="single"/>
        </w:rPr>
        <w:t xml:space="preserve">                                                                                 </w:t>
      </w:r>
    </w:p>
    <w:p>
      <w:pPr>
        <w:pStyle w:val="12"/>
        <w:spacing w:line="360" w:lineRule="auto"/>
        <w:ind w:left="25" w:leftChars="12" w:firstLine="352" w:firstLineChars="147"/>
        <w:rPr>
          <w:rFonts w:hAnsi="宋体"/>
          <w:color w:val="auto"/>
          <w:sz w:val="24"/>
          <w:szCs w:val="24"/>
          <w:highlight w:val="none"/>
        </w:rPr>
      </w:pPr>
    </w:p>
    <w:p>
      <w:pPr>
        <w:pStyle w:val="12"/>
        <w:spacing w:line="360" w:lineRule="auto"/>
        <w:ind w:left="25" w:leftChars="12" w:firstLine="472" w:firstLineChars="197"/>
        <w:rPr>
          <w:rFonts w:hAnsi="宋体"/>
          <w:color w:val="auto"/>
          <w:sz w:val="24"/>
          <w:szCs w:val="24"/>
          <w:highlight w:val="none"/>
        </w:rPr>
      </w:pPr>
      <w:r>
        <w:rPr>
          <w:rFonts w:hint="eastAsia" w:hAnsi="宋体"/>
          <w:color w:val="auto"/>
          <w:sz w:val="24"/>
          <w:szCs w:val="24"/>
          <w:highlight w:val="none"/>
        </w:rPr>
        <w:t>签字（签章）：                                       公章：</w:t>
      </w:r>
    </w:p>
    <w:p>
      <w:pPr>
        <w:pStyle w:val="12"/>
        <w:spacing w:line="360" w:lineRule="auto"/>
        <w:ind w:left="25" w:leftChars="12" w:firstLine="352" w:firstLineChars="147"/>
        <w:rPr>
          <w:rFonts w:hAnsi="宋体"/>
          <w:color w:val="auto"/>
          <w:sz w:val="24"/>
          <w:szCs w:val="24"/>
          <w:highlight w:val="none"/>
        </w:rPr>
      </w:pPr>
    </w:p>
    <w:p>
      <w:pPr>
        <w:pStyle w:val="12"/>
        <w:spacing w:line="360" w:lineRule="auto"/>
        <w:ind w:left="25" w:leftChars="12" w:firstLine="472" w:firstLineChars="197"/>
        <w:rPr>
          <w:rFonts w:hAnsi="宋体"/>
          <w:color w:val="auto"/>
          <w:sz w:val="24"/>
          <w:szCs w:val="24"/>
          <w:highlight w:val="none"/>
        </w:rPr>
      </w:pPr>
      <w:r>
        <w:rPr>
          <w:rFonts w:hint="eastAsia" w:hAnsi="宋体"/>
          <w:color w:val="auto"/>
          <w:sz w:val="24"/>
          <w:szCs w:val="24"/>
          <w:highlight w:val="none"/>
        </w:rPr>
        <w:t>日期：</w:t>
      </w:r>
    </w:p>
    <w:p>
      <w:pPr>
        <w:pStyle w:val="12"/>
        <w:spacing w:line="360" w:lineRule="auto"/>
        <w:ind w:left="25" w:leftChars="12" w:firstLine="472" w:firstLineChars="197"/>
        <w:rPr>
          <w:rFonts w:hAnsi="宋体"/>
          <w:b/>
          <w:color w:val="auto"/>
          <w:sz w:val="24"/>
          <w:szCs w:val="24"/>
          <w:highlight w:val="none"/>
        </w:rPr>
      </w:pPr>
      <w:r>
        <w:rPr>
          <w:rFonts w:hint="eastAsia" w:hAnsi="宋体"/>
          <w:bCs/>
          <w:color w:val="auto"/>
          <w:sz w:val="24"/>
          <w:szCs w:val="24"/>
          <w:highlight w:val="none"/>
        </w:rPr>
        <w:t xml:space="preserve">                                                                                 </w:t>
      </w:r>
    </w:p>
    <w:p>
      <w:pPr>
        <w:pStyle w:val="12"/>
        <w:snapToGrid w:val="0"/>
        <w:spacing w:line="360" w:lineRule="auto"/>
        <w:rPr>
          <w:rFonts w:hAnsi="宋体"/>
          <w:b/>
          <w:color w:val="auto"/>
          <w:sz w:val="24"/>
          <w:szCs w:val="24"/>
          <w:highlight w:val="none"/>
        </w:rPr>
      </w:pPr>
      <w:r>
        <w:rPr>
          <w:rFonts w:hint="eastAsia" w:hAnsi="宋体"/>
          <w:b/>
          <w:color w:val="auto"/>
          <w:sz w:val="24"/>
          <w:szCs w:val="24"/>
          <w:highlight w:val="none"/>
        </w:rPr>
        <w:t>说明：</w:t>
      </w:r>
    </w:p>
    <w:p>
      <w:pPr>
        <w:pStyle w:val="12"/>
        <w:spacing w:line="360" w:lineRule="auto"/>
        <w:ind w:left="25" w:leftChars="12" w:firstLine="354" w:firstLineChars="147"/>
        <w:rPr>
          <w:rFonts w:hAnsi="宋体"/>
          <w:b/>
          <w:bCs/>
          <w:color w:val="auto"/>
          <w:sz w:val="24"/>
          <w:szCs w:val="24"/>
          <w:highlight w:val="none"/>
        </w:rPr>
      </w:pPr>
      <w:r>
        <w:rPr>
          <w:rFonts w:hint="eastAsia" w:hAnsi="宋体"/>
          <w:b/>
          <w:color w:val="auto"/>
          <w:sz w:val="24"/>
          <w:szCs w:val="24"/>
          <w:highlight w:val="none"/>
        </w:rPr>
        <w:t>1.投诉人提起投诉时，应当提交投诉书和必要的证明材料，并按照被投诉人和与投诉事项有关的供应商数量提供投诉书副本</w:t>
      </w:r>
      <w:r>
        <w:rPr>
          <w:rFonts w:hint="eastAsia" w:hAnsi="宋体"/>
          <w:b/>
          <w:bCs/>
          <w:color w:val="auto"/>
          <w:sz w:val="24"/>
          <w:szCs w:val="24"/>
          <w:highlight w:val="none"/>
        </w:rPr>
        <w:t>。</w:t>
      </w:r>
    </w:p>
    <w:p>
      <w:pPr>
        <w:pStyle w:val="12"/>
        <w:spacing w:line="360" w:lineRule="auto"/>
        <w:ind w:left="25" w:leftChars="12" w:firstLine="354" w:firstLineChars="147"/>
        <w:rPr>
          <w:rFonts w:hAnsi="宋体"/>
          <w:b/>
          <w:color w:val="auto"/>
          <w:sz w:val="24"/>
          <w:szCs w:val="24"/>
          <w:highlight w:val="none"/>
        </w:rPr>
      </w:pPr>
      <w:r>
        <w:rPr>
          <w:rFonts w:hint="eastAsia" w:hAnsi="宋体"/>
          <w:b/>
          <w:color w:val="auto"/>
          <w:sz w:val="24"/>
          <w:szCs w:val="24"/>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2"/>
        <w:spacing w:line="360" w:lineRule="auto"/>
        <w:ind w:left="25" w:leftChars="12" w:firstLine="354" w:firstLineChars="147"/>
        <w:rPr>
          <w:rFonts w:hAnsi="宋体"/>
          <w:b/>
          <w:color w:val="auto"/>
          <w:sz w:val="24"/>
          <w:szCs w:val="24"/>
          <w:highlight w:val="none"/>
        </w:rPr>
      </w:pPr>
      <w:r>
        <w:rPr>
          <w:rFonts w:hint="eastAsia" w:hAnsi="宋体"/>
          <w:b/>
          <w:color w:val="auto"/>
          <w:sz w:val="24"/>
          <w:szCs w:val="24"/>
          <w:highlight w:val="none"/>
        </w:rPr>
        <w:t>3.投诉书应简要列明质疑事项，质疑函、质疑答复等作为附件材料提供。</w:t>
      </w:r>
    </w:p>
    <w:p>
      <w:pPr>
        <w:pStyle w:val="12"/>
        <w:spacing w:line="360" w:lineRule="auto"/>
        <w:ind w:left="25" w:leftChars="12" w:firstLine="354" w:firstLineChars="147"/>
        <w:rPr>
          <w:rFonts w:hAnsi="宋体"/>
          <w:b/>
          <w:color w:val="auto"/>
          <w:sz w:val="24"/>
          <w:szCs w:val="24"/>
          <w:highlight w:val="none"/>
        </w:rPr>
      </w:pPr>
      <w:r>
        <w:rPr>
          <w:rFonts w:hint="eastAsia" w:hAnsi="宋体"/>
          <w:b/>
          <w:color w:val="auto"/>
          <w:sz w:val="24"/>
          <w:szCs w:val="24"/>
          <w:highlight w:val="none"/>
        </w:rPr>
        <w:t>4.投诉书的投诉事项应具体、明确，并有必要的事实依据和法律依据。</w:t>
      </w:r>
    </w:p>
    <w:p>
      <w:pPr>
        <w:pStyle w:val="12"/>
        <w:spacing w:line="360" w:lineRule="auto"/>
        <w:ind w:left="25" w:leftChars="12" w:firstLine="354" w:firstLineChars="147"/>
        <w:rPr>
          <w:rFonts w:hAnsi="宋体"/>
          <w:b/>
          <w:color w:val="auto"/>
          <w:sz w:val="24"/>
          <w:szCs w:val="24"/>
          <w:highlight w:val="none"/>
        </w:rPr>
      </w:pPr>
      <w:r>
        <w:rPr>
          <w:rFonts w:hint="eastAsia" w:hAnsi="宋体"/>
          <w:b/>
          <w:color w:val="auto"/>
          <w:sz w:val="24"/>
          <w:szCs w:val="24"/>
          <w:highlight w:val="none"/>
        </w:rPr>
        <w:t>5.投诉书的投诉请求应与投诉事项相关。</w:t>
      </w:r>
    </w:p>
    <w:p>
      <w:pPr>
        <w:pStyle w:val="12"/>
        <w:spacing w:line="360" w:lineRule="auto"/>
        <w:ind w:left="25" w:leftChars="12" w:firstLine="354" w:firstLineChars="147"/>
        <w:rPr>
          <w:color w:val="auto"/>
          <w:highlight w:val="none"/>
        </w:rPr>
      </w:pPr>
      <w:r>
        <w:rPr>
          <w:rFonts w:hint="eastAsia" w:hAnsi="宋体"/>
          <w:b/>
          <w:color w:val="auto"/>
          <w:sz w:val="24"/>
          <w:szCs w:val="24"/>
          <w:highlight w:val="none"/>
        </w:rPr>
        <w:t>6.投诉人为法人或者其他组织的，投诉书应由法定代表人、主要负责人，或者其授权代表签字或者盖章，并加盖公章。</w:t>
      </w:r>
      <w:bookmarkStart w:id="143" w:name="_Toc74323461"/>
    </w:p>
    <w:p>
      <w:pPr>
        <w:spacing w:line="600" w:lineRule="exact"/>
        <w:jc w:val="center"/>
        <w:rPr>
          <w:color w:val="auto"/>
          <w:sz w:val="28"/>
          <w:szCs w:val="28"/>
          <w:highlight w:val="none"/>
        </w:rPr>
      </w:pPr>
      <w:r>
        <w:rPr>
          <w:rFonts w:hint="eastAsia"/>
          <w:color w:val="auto"/>
          <w:sz w:val="44"/>
          <w:szCs w:val="44"/>
          <w:highlight w:val="none"/>
        </w:rPr>
        <w:t>第六章</w:t>
      </w:r>
      <w:bookmarkEnd w:id="143"/>
    </w:p>
    <w:p>
      <w:pPr>
        <w:spacing w:line="600" w:lineRule="exact"/>
        <w:jc w:val="center"/>
        <w:rPr>
          <w:rFonts w:eastAsia="方正小标宋_GBK"/>
          <w:color w:val="auto"/>
          <w:kern w:val="0"/>
          <w:sz w:val="44"/>
          <w:szCs w:val="44"/>
          <w:highlight w:val="none"/>
        </w:rPr>
      </w:pPr>
      <w:r>
        <w:rPr>
          <w:rFonts w:eastAsia="方正小标宋_GBK"/>
          <w:color w:val="auto"/>
          <w:kern w:val="0"/>
          <w:sz w:val="44"/>
          <w:szCs w:val="44"/>
          <w:highlight w:val="none"/>
        </w:rPr>
        <w:t>政府采购技术服务合同</w:t>
      </w:r>
      <w:r>
        <w:rPr>
          <w:rFonts w:hint="eastAsia" w:eastAsia="方正小标宋_GBK"/>
          <w:color w:val="auto"/>
          <w:kern w:val="0"/>
          <w:sz w:val="44"/>
          <w:szCs w:val="44"/>
          <w:highlight w:val="none"/>
        </w:rPr>
        <w:t>（格式）</w:t>
      </w:r>
    </w:p>
    <w:p>
      <w:pPr>
        <w:spacing w:line="600" w:lineRule="exact"/>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szCs w:val="21"/>
          <w:highlight w:val="none"/>
        </w:rPr>
        <w:t>合同编号：</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采购计划号：</w:t>
      </w:r>
      <w:r>
        <w:rPr>
          <w:rFonts w:hint="eastAsia" w:asciiTheme="minorEastAsia" w:hAnsiTheme="minorEastAsia" w:eastAsiaTheme="minorEastAsia" w:cstheme="minorEastAsia"/>
          <w:color w:val="auto"/>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项目名称：</w:t>
      </w:r>
      <w:r>
        <w:rPr>
          <w:rFonts w:hint="eastAsia" w:asciiTheme="minorEastAsia" w:hAnsiTheme="minorEastAsia" w:eastAsiaTheme="minorEastAsia" w:cstheme="minorEastAsia"/>
          <w:color w:val="auto"/>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项目编号：</w:t>
      </w:r>
      <w:r>
        <w:rPr>
          <w:rFonts w:hint="eastAsia" w:asciiTheme="minorEastAsia" w:hAnsiTheme="minorEastAsia" w:eastAsiaTheme="minorEastAsia" w:cstheme="minorEastAsia"/>
          <w:color w:val="auto"/>
          <w:kern w:val="0"/>
          <w:szCs w:val="21"/>
          <w:highlight w:val="none"/>
          <w:u w:val="single"/>
        </w:rPr>
        <w:t xml:space="preserve"> </w:t>
      </w:r>
      <w:r>
        <w:rPr>
          <w:rFonts w:hint="eastAsia" w:asciiTheme="minorEastAsia" w:hAnsiTheme="minorEastAsia" w:eastAsiaTheme="minorEastAsia" w:cstheme="minorEastAsia"/>
          <w:color w:val="auto"/>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签订地点：</w:t>
      </w:r>
      <w:r>
        <w:rPr>
          <w:rFonts w:hint="eastAsia" w:asciiTheme="minorEastAsia" w:hAnsiTheme="minorEastAsia" w:eastAsiaTheme="minorEastAsia" w:cstheme="minorEastAsia"/>
          <w:color w:val="auto"/>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签订时间：</w:t>
      </w:r>
      <w:r>
        <w:rPr>
          <w:rFonts w:hint="eastAsia" w:asciiTheme="minorEastAsia" w:hAnsiTheme="minorEastAsia" w:eastAsiaTheme="minorEastAsia" w:cstheme="minorEastAsia"/>
          <w:color w:val="auto"/>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甲方（采购人）：</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住所地：</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法定代表人：</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通讯地址：</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联系电话：</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电子邮箱：</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乙方（供应商）：</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住所地：</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法定代表人：</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通讯地址：</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联系电话：</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rPr>
          <w:rFonts w:asciiTheme="minorEastAsia" w:hAnsiTheme="minorEastAsia" w:eastAsiaTheme="minorEastAsia" w:cstheme="minorEastAsia"/>
          <w:color w:val="auto"/>
          <w:kern w:val="0"/>
          <w:szCs w:val="21"/>
          <w:highlight w:val="none"/>
          <w:u w:val="single"/>
        </w:rPr>
      </w:pPr>
      <w:r>
        <w:rPr>
          <w:rFonts w:hint="eastAsia" w:asciiTheme="minorEastAsia" w:hAnsiTheme="minorEastAsia" w:eastAsiaTheme="minorEastAsia" w:cstheme="minorEastAsia"/>
          <w:color w:val="auto"/>
          <w:kern w:val="0"/>
          <w:szCs w:val="21"/>
          <w:highlight w:val="none"/>
        </w:rPr>
        <w:t>电子邮箱：</w:t>
      </w:r>
      <w:r>
        <w:rPr>
          <w:rFonts w:hint="eastAsia" w:asciiTheme="minorEastAsia" w:hAnsiTheme="minorEastAsia" w:eastAsiaTheme="minorEastAsia" w:cstheme="minorEastAsia"/>
          <w:color w:val="auto"/>
          <w:kern w:val="0"/>
          <w:szCs w:val="21"/>
          <w:highlight w:val="none"/>
          <w:u w:val="single"/>
        </w:rPr>
        <w:t xml:space="preserve">                                              </w:t>
      </w:r>
    </w:p>
    <w:p>
      <w:pPr>
        <w:spacing w:line="60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本合同为中小企业预留合同：（是/否）。</w:t>
      </w:r>
    </w:p>
    <w:p>
      <w:pPr>
        <w:spacing w:line="600" w:lineRule="exact"/>
        <w:ind w:firstLine="420" w:firstLineChars="200"/>
        <w:jc w:val="left"/>
        <w:rPr>
          <w:rFonts w:asciiTheme="minorEastAsia" w:hAnsiTheme="minorEastAsia" w:eastAsiaTheme="minorEastAsia" w:cstheme="minorEastAsia"/>
          <w:color w:val="auto"/>
          <w:szCs w:val="21"/>
          <w:highlight w:val="none"/>
        </w:rPr>
      </w:pPr>
    </w:p>
    <w:p>
      <w:pPr>
        <w:spacing w:line="600" w:lineRule="exact"/>
        <w:ind w:firstLine="420" w:firstLineChars="20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根据《中华人民共和国政府采购法》《中华人民共和国民法典》等法律、法规规定，按照招标文件（采购文件）规定条款和投标文件及承诺，甲乙双方签订本合同。</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第一条　合同标的</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服务一览表</w:t>
      </w:r>
    </w:p>
    <w:tbl>
      <w:tblPr>
        <w:tblStyle w:val="18"/>
        <w:tblW w:w="9465"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2074"/>
        <w:gridCol w:w="2564"/>
        <w:gridCol w:w="763"/>
        <w:gridCol w:w="941"/>
        <w:gridCol w:w="1350"/>
        <w:gridCol w:w="1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序号</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名称</w:t>
            </w: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服务内容</w:t>
            </w: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数量</w:t>
            </w: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单位</w:t>
            </w: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单  价</w:t>
            </w:r>
          </w:p>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（元）</w:t>
            </w: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总  价</w:t>
            </w:r>
          </w:p>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lang w:val="en"/>
              </w:rPr>
            </w:pP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w:t>
            </w:r>
          </w:p>
        </w:tc>
        <w:tc>
          <w:tcPr>
            <w:tcW w:w="207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2564"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763"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941"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1350"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c>
          <w:tcPr>
            <w:tcW w:w="1255" w:type="dxa"/>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9465" w:type="dxa"/>
            <w:gridSpan w:val="7"/>
            <w:tcBorders>
              <w:top w:val="single" w:color="auto" w:sz="4" w:space="0"/>
              <w:left w:val="single" w:color="auto" w:sz="4" w:space="0"/>
              <w:bottom w:val="single" w:color="auto" w:sz="4" w:space="0"/>
              <w:right w:val="single" w:color="auto" w:sz="4" w:space="0"/>
            </w:tcBorders>
            <w:vAlign w:val="center"/>
          </w:tcPr>
          <w:p>
            <w:pPr>
              <w:spacing w:line="600" w:lineRule="exac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合同合计金额（人民币，大写）：</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元整（￥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tc>
      </w:tr>
    </w:tbl>
    <w:p>
      <w:pPr>
        <w:spacing w:line="56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合同合计金额包括但不限于满足本次招标全部采购需求所应提供的服务，以及伴随的货物和工程（如有）的价格</w:t>
      </w:r>
      <w:r>
        <w:rPr>
          <w:rFonts w:hint="eastAsia" w:asciiTheme="minorEastAsia" w:hAnsiTheme="minorEastAsia" w:eastAsiaTheme="minorEastAsia" w:cstheme="minorEastAsia"/>
          <w:color w:val="auto"/>
          <w:kern w:val="0"/>
          <w:szCs w:val="21"/>
          <w:highlight w:val="none"/>
        </w:rPr>
        <w:t>，包括但不限于</w:t>
      </w:r>
      <w:r>
        <w:rPr>
          <w:rFonts w:hint="eastAsia" w:asciiTheme="minorEastAsia" w:hAnsiTheme="minorEastAsia" w:eastAsiaTheme="minorEastAsia" w:cstheme="minorEastAsia"/>
          <w:color w:val="auto"/>
          <w:szCs w:val="21"/>
          <w:highlight w:val="none"/>
        </w:rPr>
        <w:t>服务、货物、工程的成本、运输（含保险）、安装（如有）、调试、检验、技术服务、培训、税费、版权使用费（如有）等所有费用。</w:t>
      </w:r>
    </w:p>
    <w:p>
      <w:pPr>
        <w:spacing w:line="560" w:lineRule="exact"/>
        <w:ind w:firstLine="420" w:firstLineChars="200"/>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Cs/>
          <w:color w:val="auto"/>
          <w:szCs w:val="21"/>
          <w:highlight w:val="none"/>
        </w:rPr>
        <w:t>第二条　质量保证</w:t>
      </w:r>
    </w:p>
    <w:p>
      <w:pPr>
        <w:spacing w:line="56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乙方所提供的服务、服务质量及服务内容必须与合同、招标文件、投标文件及承诺相一致，有国家强制性标准的，还必须符合国家强制性标准的规定，没有国家强制性标准但有其他标准的，必须符合其他标准的规定。</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第三条　权利保证</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甲方有权随时向乙方了解服务进度和对服务资金使用情况进行监督、检查，并要求乙方提供相关资料。</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乙方应保证所提供服务在使用时不会侵犯任何第三方的专利权、商标权、工业设计权等知识产权及其他合法权利，且所有权、处分权等没有受到任何限制。</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pPr>
        <w:pStyle w:val="2"/>
        <w:spacing w:line="600" w:lineRule="exact"/>
        <w:rPr>
          <w:rFonts w:asciiTheme="minorEastAsia" w:hAnsiTheme="minorEastAsia" w:eastAsiaTheme="minorEastAsia" w:cstheme="minorEastAsia"/>
          <w:color w:val="auto"/>
          <w:sz w:val="21"/>
          <w:szCs w:val="21"/>
          <w:highlight w:val="none"/>
        </w:rPr>
      </w:pP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第四条　交付和验收</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服务时间：</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起至</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.服务地点：</w:t>
      </w:r>
      <w:r>
        <w:rPr>
          <w:rFonts w:hint="eastAsia" w:asciiTheme="minorEastAsia" w:hAnsiTheme="minorEastAsia" w:eastAsiaTheme="minorEastAsia" w:cstheme="minorEastAsia"/>
          <w:color w:val="auto"/>
          <w:szCs w:val="21"/>
          <w:highlight w:val="none"/>
          <w:u w:val="single"/>
          <w:lang w:val="en"/>
        </w:rPr>
        <w:t>　　　　　　　　　　　　　　　　　　</w:t>
      </w:r>
      <w:r>
        <w:rPr>
          <w:rFonts w:hint="eastAsia" w:asciiTheme="minorEastAsia" w:hAnsiTheme="minorEastAsia" w:eastAsiaTheme="minorEastAsia" w:cstheme="minorEastAsia"/>
          <w:color w:val="auto"/>
          <w:szCs w:val="21"/>
          <w:highlight w:val="none"/>
          <w:lang w:val="en"/>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乙方应按合同、招标文件、投标文件及承诺向甲方提供相应的服务，并提供服务质量和服务内容的相关技术资料。</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乙方提供不符合合同、招标文件、投标文件规定的服务成果，甲方有权拒绝接受。</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乙方在完成服务前应对服务作出全面检查和对验收文件进行整理，并列出清单，作为甲方服务验收的技术依据，清单应随提交的服务成果交给甲方。</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乙方完成服务后应及时书面通知甲方进行验收，甲方应在收到通知后七个工作日内进行验收，逾期不开始验收的，乙方可视同验收合格。</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乙双方应按照《广西壮族自治区政府采购项目履约验收管理办法》、合同、招标文件、投标文件验收，验收时乙方必须在现场，验收费用由乙方负责。服务质量和服务内容符合合同、招标文件、投标文件规定的要求的，由甲乙双方签署验收合格单并加盖甲方公章，甲乙双方各执一份。</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8</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方在初步验收或者最终验收过程中发现乙方提供的服务、服务质量或服务内容不满足合同、招标文件、投标文件规定的，可暂缓向乙方付款，直到乙方及时完善并提交相应的服务成果且经甲方验收合格后，方可办理付款。</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方验收时发现乙方提供的服务、服务质量或服务内容不满足合同、招标文件、投标文件规定并以书面形式提出异议的，乙方应自收到甲方书面异议后五个工作日内予以解决，否则甲方有权不出具验收合格单。乙方因解决异议问题而造成逾期的，按乙方逾期交付处理。</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第五条　售后服务、服务质量保证期及培训</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乙方应按照国家有关法律法规、合同、招标文件、投标文件所附的《服务承诺》要求为甲方提供相应的服务。</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乙方提供服务的质量保证期按交付服务成果验收合格并签署验收合格单之日起计算，为</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日，在质量保证期内因服务成果本身的技术问题，乙方应对服务出现的问题负责处理解决并承担一切费用。</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在质量保证期内发生技术服务问题，乙方应在接到甲方通知后24小时内到达甲方现场在甲方指定的期限内解决问题。</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乙方负责甲方有关人员的培训。</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培训时间：</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培训地点：</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b/>
          <w:color w:val="auto"/>
          <w:szCs w:val="21"/>
          <w:highlight w:val="none"/>
          <w:u w:val="single"/>
        </w:rPr>
      </w:pPr>
      <w:r>
        <w:rPr>
          <w:rFonts w:hint="eastAsia" w:asciiTheme="minorEastAsia" w:hAnsiTheme="minorEastAsia" w:eastAsiaTheme="minorEastAsia" w:cstheme="minorEastAsia"/>
          <w:bCs/>
          <w:color w:val="auto"/>
          <w:szCs w:val="21"/>
          <w:highlight w:val="none"/>
        </w:rPr>
        <w:t>第六条　付款方式</w:t>
      </w:r>
    </w:p>
    <w:p>
      <w:pPr>
        <w:spacing w:line="600" w:lineRule="exact"/>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资金性质：</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付款方式</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甲乙双方同意按以下方式支付合同合计金额：</w:t>
      </w:r>
    </w:p>
    <w:p>
      <w:pPr>
        <w:spacing w:line="600" w:lineRule="exact"/>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乙方指定以下账户为接受本合同价款的账户，并对其指定的下列账户信息真实性、安全性、准确性负责。</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账户名称：</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开户银行：</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银行账号：</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联系人：</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联系电话：</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如乙方上述账户信息发生变更，乙方应提前向甲方发送书面通知，未能提前书面通知而产生的不利后果由乙方自行承担。</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bCs/>
          <w:color w:val="auto"/>
          <w:szCs w:val="21"/>
          <w:highlight w:val="none"/>
        </w:rPr>
        <w:t>甲方在支付每笔款项前，乙方应当</w:t>
      </w:r>
      <w:r>
        <w:rPr>
          <w:rFonts w:hint="eastAsia" w:asciiTheme="minorEastAsia" w:hAnsiTheme="minorEastAsia" w:eastAsiaTheme="minorEastAsia" w:cstheme="minorEastAsia"/>
          <w:color w:val="auto"/>
          <w:szCs w:val="21"/>
          <w:highlight w:val="none"/>
        </w:rPr>
        <w:t>提供</w:t>
      </w:r>
      <w:r>
        <w:rPr>
          <w:rFonts w:hint="eastAsia" w:asciiTheme="minorEastAsia" w:hAnsiTheme="minorEastAsia" w:eastAsiaTheme="minorEastAsia" w:cstheme="minorEastAsia"/>
          <w:bCs/>
          <w:color w:val="auto"/>
          <w:szCs w:val="21"/>
          <w:highlight w:val="none"/>
        </w:rPr>
        <w:t>可供政府审计并且</w:t>
      </w:r>
      <w:r>
        <w:rPr>
          <w:rFonts w:hint="eastAsia" w:asciiTheme="minorEastAsia" w:hAnsiTheme="minorEastAsia" w:eastAsiaTheme="minorEastAsia" w:cstheme="minorEastAsia"/>
          <w:color w:val="auto"/>
          <w:szCs w:val="21"/>
          <w:highlight w:val="none"/>
        </w:rPr>
        <w:t>符合税务规定</w:t>
      </w:r>
      <w:r>
        <w:rPr>
          <w:rFonts w:hint="eastAsia" w:asciiTheme="minorEastAsia" w:hAnsiTheme="minorEastAsia" w:eastAsiaTheme="minorEastAsia" w:cstheme="minorEastAsia"/>
          <w:bCs/>
          <w:color w:val="auto"/>
          <w:szCs w:val="21"/>
          <w:highlight w:val="none"/>
        </w:rPr>
        <w:t>的正式发票，</w:t>
      </w:r>
      <w:r>
        <w:rPr>
          <w:rFonts w:hint="eastAsia" w:asciiTheme="minorEastAsia" w:hAnsiTheme="minorEastAsia" w:eastAsiaTheme="minorEastAsia" w:cstheme="minorEastAsia"/>
          <w:color w:val="auto"/>
          <w:spacing w:val="-6"/>
          <w:szCs w:val="21"/>
          <w:highlight w:val="none"/>
        </w:rPr>
        <w:t>否则甲方有权拒付相应款项直至乙方能提供符合规定的发票为止。</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第七条　履约保证金</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乙方提供的履约保证金金额为：</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履约保证金递交方式：支票、汇票、本票或者金融、担保机构出具的保函等非现金方式。</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履约保证金退付方式、时间及条件：由乙方向甲方提供《广西壮族自治区政府采购项目合同验收书》及《政府采购项目履约保证金退付意见书》，采购代理机构在收到合格材料后五个工作日内办理退还手续（不计利息）。</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第八条　税费</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合同执行中相关的一切税费均由乙方负担。</w:t>
      </w:r>
    </w:p>
    <w:p>
      <w:pPr>
        <w:spacing w:line="58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第九条　违约责任</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没有按照合同、招标文件、投标文件规定的时间或期限提供服务的，每逾期一日，应按合同合计金额的3‰向甲方支付逾期提供服务的违约金；逾期超过十日的，甲方有权单方解除合同，并要求乙方退还已收取的款项，同时乙方应按照合同合计金额的10%向甲方支付违约金并承担因此给甲方造成的经济损失。</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所提供的服务、服务质量、服务内容等不符合合同、招标文件、投标文件规定的要求的，应按甲方的要求、在甲方指定的期限内予以更换或改进，未在甲方指定的期限内更换或改进的，按乙方逾期提供服务承担违约责任。</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乙方因履行合同所发生的其他违约行为，每违约一次，应按合同合计金额的5%向甲方支付违约金，并赔偿甲方因此所造成全部损失。</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乙方支付的违约金不足以弥补甲方损失的，应承担赔偿责任，甲方有权继续向乙方追偿。乙方应支付给甲方的任何款项，甲方有权从任何应支付未支付给乙方的款项中直接抵扣。</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本合同所称的甲方经济损失或者甲方损失，包括甲方遭受的全部直接经济损失及为此支出的合理费用（包括但不限于为此支出的调查费、诉讼费、保全费、律师费、差旅费等）。</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甲方延期付款的，每天向乙方偿付延期款额3‰的违约金，但违约金累计不得超过延期款额的5%。</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第十条　知识产权归属</w:t>
      </w:r>
    </w:p>
    <w:p>
      <w:pPr>
        <w:widowControl/>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乙方保证，甲乙双方在本合同执行中形成的任何成果或知识产权的所有权，归甲方所有，而且乙方应当完成甲方知识产权所有权确认所必需的全部行为、证书和文件等，并提供相应的支持和协助。</w:t>
      </w:r>
    </w:p>
    <w:p>
      <w:pPr>
        <w:widowControl/>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第十一条　保密条款</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甲乙双方都负有保守对方的单位机密或商业秘密的义务，保密范围包括但不限于技术情报、数据资料及其他公开后对对方造成影响或损失的秘密。</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任何一方违反保密条款，给对方造成损失，应按对方的实际损失承担赔偿责任。</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本条款不因合同的变更、解除和终止而失效。</w:t>
      </w:r>
    </w:p>
    <w:p>
      <w:pPr>
        <w:spacing w:line="58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第十二条　不可抗力事件处理</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在合同有效期内，任何一方因不可抗力事件导致不能履行合同，则合同履行期可延长，其延长期与不可抗力影响期相同。</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不可抗力事件发生后，应立即通知对方，并寄送有关权威机构出具的证明。</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不可抗力事件延续一百二十天以上，双方应通过友好协商，确定是否继续履行合同。</w:t>
      </w:r>
    </w:p>
    <w:p>
      <w:pPr>
        <w:spacing w:line="58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合同履行过程中，因接受政府行政指令而无法履行的，接受政府行政指令的一方可以免除责任。</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第十三条　合同争议解决</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因服务质量问题发生争议的，甲方应提交具有相应资质的机构进行鉴定。服务符合标准的，鉴定费由甲方承担；服务不符合标准的，鉴定费由乙方承担。</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因履行本合同引起的或者与本合同有关的争议，甲乙双方应首先通过友好协商解决，如果协商不能解决，可向甲方所在地有管辖权人民法院提起诉讼。</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第十四条　合同生效及其他</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合同经甲乙双方法定代表人或者授权代表签字并加盖单位公章后生效。</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合同执行中涉及采购资金和采购内容修改或者补充的，须经政府采购监管部门审批，并签书面补充协议报政府采购监管部门备案，方可作为主合同不可分割的一部分。</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合同未尽事宜，遵照《中华人民共和国民法典》等相关法律、法规规定有关条文执行。</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第十五条　合同的变更、终止与转让</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除《中华人民共和国政府采购法》第五十条规定的情形外，本合同一经签订，甲乙双方不得擅自变更、中止或者终止。</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未经甲方书面同意，乙方不得擅自转让其应履行的合同义务。</w:t>
      </w:r>
    </w:p>
    <w:p>
      <w:pPr>
        <w:spacing w:line="600" w:lineRule="exact"/>
        <w:ind w:firstLine="420" w:firstLineChars="200"/>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Cs/>
          <w:color w:val="auto"/>
          <w:szCs w:val="21"/>
          <w:highlight w:val="none"/>
        </w:rPr>
        <w:t>第十六条</w:t>
      </w:r>
      <w:r>
        <w:rPr>
          <w:rFonts w:hint="eastAsia" w:asciiTheme="minorEastAsia" w:hAnsiTheme="minorEastAsia" w:eastAsiaTheme="minorEastAsia" w:cstheme="minorEastAsia"/>
          <w:b/>
          <w:color w:val="auto"/>
          <w:szCs w:val="21"/>
          <w:highlight w:val="none"/>
        </w:rPr>
        <w:t>　</w:t>
      </w:r>
      <w:r>
        <w:rPr>
          <w:rFonts w:hint="eastAsia" w:asciiTheme="minorEastAsia" w:hAnsiTheme="minorEastAsia" w:eastAsiaTheme="minorEastAsia" w:cstheme="minorEastAsia"/>
          <w:color w:val="auto"/>
          <w:spacing w:val="-2"/>
          <w:kern w:val="0"/>
          <w:szCs w:val="21"/>
          <w:highlight w:val="none"/>
        </w:rPr>
        <w:t>本</w:t>
      </w:r>
      <w:r>
        <w:rPr>
          <w:rFonts w:hint="eastAsia" w:asciiTheme="minorEastAsia" w:hAnsiTheme="minorEastAsia" w:eastAsiaTheme="minorEastAsia" w:cstheme="minorEastAsia"/>
          <w:color w:val="auto"/>
          <w:kern w:val="0"/>
          <w:szCs w:val="21"/>
          <w:highlight w:val="none"/>
        </w:rPr>
        <w:t>合同</w:t>
      </w:r>
      <w:r>
        <w:rPr>
          <w:rFonts w:hint="eastAsia" w:asciiTheme="minorEastAsia" w:hAnsiTheme="minorEastAsia" w:eastAsiaTheme="minorEastAsia" w:cstheme="minorEastAsia"/>
          <w:color w:val="auto"/>
          <w:spacing w:val="-2"/>
          <w:kern w:val="0"/>
          <w:szCs w:val="21"/>
          <w:highlight w:val="none"/>
        </w:rPr>
        <w:t>与</w:t>
      </w:r>
      <w:r>
        <w:rPr>
          <w:rFonts w:hint="eastAsia" w:asciiTheme="minorEastAsia" w:hAnsiTheme="minorEastAsia" w:eastAsiaTheme="minorEastAsia" w:cstheme="minorEastAsia"/>
          <w:color w:val="auto"/>
          <w:kern w:val="0"/>
          <w:szCs w:val="21"/>
          <w:highlight w:val="none"/>
        </w:rPr>
        <w:t>下</w:t>
      </w:r>
      <w:r>
        <w:rPr>
          <w:rFonts w:hint="eastAsia" w:asciiTheme="minorEastAsia" w:hAnsiTheme="minorEastAsia" w:eastAsiaTheme="minorEastAsia" w:cstheme="minorEastAsia"/>
          <w:color w:val="auto"/>
          <w:spacing w:val="-2"/>
          <w:kern w:val="0"/>
          <w:szCs w:val="21"/>
          <w:highlight w:val="none"/>
        </w:rPr>
        <w:t>列</w:t>
      </w:r>
      <w:r>
        <w:rPr>
          <w:rFonts w:hint="eastAsia" w:asciiTheme="minorEastAsia" w:hAnsiTheme="minorEastAsia" w:eastAsiaTheme="minorEastAsia" w:cstheme="minorEastAsia"/>
          <w:color w:val="auto"/>
          <w:kern w:val="0"/>
          <w:szCs w:val="21"/>
          <w:highlight w:val="none"/>
        </w:rPr>
        <w:t>文</w:t>
      </w:r>
      <w:r>
        <w:rPr>
          <w:rFonts w:hint="eastAsia" w:asciiTheme="minorEastAsia" w:hAnsiTheme="minorEastAsia" w:eastAsiaTheme="minorEastAsia" w:cstheme="minorEastAsia"/>
          <w:color w:val="auto"/>
          <w:spacing w:val="-2"/>
          <w:kern w:val="0"/>
          <w:szCs w:val="21"/>
          <w:highlight w:val="none"/>
        </w:rPr>
        <w:t>件一</w:t>
      </w:r>
      <w:r>
        <w:rPr>
          <w:rFonts w:hint="eastAsia" w:asciiTheme="minorEastAsia" w:hAnsiTheme="minorEastAsia" w:eastAsiaTheme="minorEastAsia" w:cstheme="minorEastAsia"/>
          <w:color w:val="auto"/>
          <w:kern w:val="0"/>
          <w:szCs w:val="21"/>
          <w:highlight w:val="none"/>
        </w:rPr>
        <w:t>起构</w:t>
      </w:r>
      <w:r>
        <w:rPr>
          <w:rFonts w:hint="eastAsia" w:asciiTheme="minorEastAsia" w:hAnsiTheme="minorEastAsia" w:eastAsiaTheme="minorEastAsia" w:cstheme="minorEastAsia"/>
          <w:color w:val="auto"/>
          <w:spacing w:val="-2"/>
          <w:kern w:val="0"/>
          <w:szCs w:val="21"/>
          <w:highlight w:val="none"/>
        </w:rPr>
        <w:t>成</w:t>
      </w:r>
      <w:r>
        <w:rPr>
          <w:rFonts w:hint="eastAsia" w:asciiTheme="minorEastAsia" w:hAnsiTheme="minorEastAsia" w:eastAsiaTheme="minorEastAsia" w:cstheme="minorEastAsia"/>
          <w:color w:val="auto"/>
          <w:kern w:val="0"/>
          <w:szCs w:val="21"/>
          <w:highlight w:val="none"/>
        </w:rPr>
        <w:t>合</w:t>
      </w:r>
      <w:r>
        <w:rPr>
          <w:rFonts w:hint="eastAsia" w:asciiTheme="minorEastAsia" w:hAnsiTheme="minorEastAsia" w:eastAsiaTheme="minorEastAsia" w:cstheme="minorEastAsia"/>
          <w:color w:val="auto"/>
          <w:spacing w:val="-2"/>
          <w:kern w:val="0"/>
          <w:szCs w:val="21"/>
          <w:highlight w:val="none"/>
        </w:rPr>
        <w:t>同</w:t>
      </w:r>
      <w:r>
        <w:rPr>
          <w:rFonts w:hint="eastAsia" w:asciiTheme="minorEastAsia" w:hAnsiTheme="minorEastAsia" w:eastAsiaTheme="minorEastAsia" w:cstheme="minorEastAsia"/>
          <w:color w:val="auto"/>
          <w:kern w:val="0"/>
          <w:szCs w:val="21"/>
          <w:highlight w:val="none"/>
        </w:rPr>
        <w:t>文</w:t>
      </w:r>
      <w:r>
        <w:rPr>
          <w:rFonts w:hint="eastAsia" w:asciiTheme="minorEastAsia" w:hAnsiTheme="minorEastAsia" w:eastAsiaTheme="minorEastAsia" w:cstheme="minorEastAsia"/>
          <w:color w:val="auto"/>
          <w:spacing w:val="-2"/>
          <w:kern w:val="0"/>
          <w:szCs w:val="21"/>
          <w:highlight w:val="none"/>
        </w:rPr>
        <w:t>件</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中标通知书；</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开标一览表；</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采购需求；</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投标函；</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商务条款偏离表和服务需求偏离表；</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服务方案；</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投标文件中的其他相关文件。</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上述合同文件互相补充和解释。如果合同文件之间存在矛盾或者不一致之处，以本合同、上述文件的排列顺序在先者为准。</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第十七条　其他约定事项</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本合同所有附件及相关文件均为本合同的有效组成部分，与本合同具有同等法律效力。若合同附件与本合同存在不一致的，则以本合同为准。</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en"/>
        </w:rPr>
        <w:t>.</w:t>
      </w:r>
      <w:r>
        <w:rPr>
          <w:rFonts w:hint="eastAsia" w:asciiTheme="minorEastAsia" w:hAnsiTheme="minorEastAsia" w:eastAsiaTheme="minorEastAsia" w:cstheme="minorEastAsia"/>
          <w:color w:val="auto"/>
          <w:szCs w:val="21"/>
          <w:highlight w:val="none"/>
        </w:rPr>
        <w:t>在履行本合同过程中，所有经甲乙双方签署确认的文件（包括会议纪要、补充协议、往来信函、电子邮件等）即成为本合同的有效组成部分。</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r>
        <w:rPr>
          <w:rFonts w:hint="eastAsia" w:asciiTheme="minorEastAsia" w:hAnsiTheme="minorEastAsia" w:eastAsiaTheme="minorEastAsia" w:cstheme="minorEastAsia"/>
          <w:color w:val="auto"/>
          <w:szCs w:val="21"/>
          <w:highlight w:val="none"/>
          <w:lang w:val="en"/>
        </w:rPr>
        <w:t>.甲乙</w:t>
      </w:r>
      <w:r>
        <w:rPr>
          <w:rFonts w:hint="eastAsia" w:asciiTheme="minorEastAsia" w:hAnsiTheme="minorEastAsia" w:eastAsiaTheme="minorEastAsia" w:cstheme="minorEastAsia"/>
          <w:color w:val="auto"/>
          <w:szCs w:val="21"/>
          <w:highlight w:val="none"/>
        </w:rPr>
        <w:t>双方确认，以下为各方真实有效通讯地址：</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甲方：</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，地址：</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，收件人：</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，联系电话：</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，电子邮箱：</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乙方：</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，地址：</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，收件人：</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，联系电话：</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，电子邮箱：</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en"/>
        </w:rPr>
        <w:t>4.</w:t>
      </w:r>
      <w:r>
        <w:rPr>
          <w:rFonts w:hint="eastAsia" w:asciiTheme="minorEastAsia" w:hAnsiTheme="minorEastAsia" w:eastAsiaTheme="minorEastAsia" w:cstheme="minorEastAsia"/>
          <w:color w:val="auto"/>
          <w:szCs w:val="21"/>
          <w:highlight w:val="none"/>
        </w:rPr>
        <w:t>本合同一式</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份，具有同等法律效力，政府采购监管部门、采购代理机构各一份，甲乙双方各</w:t>
      </w:r>
      <w:r>
        <w:rPr>
          <w:rFonts w:hint="eastAsia" w:asciiTheme="minorEastAsia" w:hAnsiTheme="minorEastAsia" w:eastAsiaTheme="minorEastAsia" w:cstheme="minorEastAsia"/>
          <w:color w:val="auto"/>
          <w:szCs w:val="21"/>
          <w:highlight w:val="none"/>
          <w:u w:val="single"/>
        </w:rPr>
        <w:t>　　</w:t>
      </w:r>
      <w:r>
        <w:rPr>
          <w:rFonts w:hint="eastAsia" w:asciiTheme="minorEastAsia" w:hAnsiTheme="minorEastAsia" w:eastAsiaTheme="minorEastAsia" w:cstheme="minorEastAsia"/>
          <w:color w:val="auto"/>
          <w:szCs w:val="21"/>
          <w:highlight w:val="none"/>
        </w:rPr>
        <w:t>份。</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本条款不因合同的变更、解除和终止而失效。</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本合同自签订之日起2个工作日内，甲方应当将采购合同在广西壮族自治区财政厅指定的媒体上公告。</w:t>
      </w:r>
    </w:p>
    <w:p>
      <w:pPr>
        <w:spacing w:line="600" w:lineRule="exact"/>
        <w:ind w:firstLine="420" w:firstLineChars="20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第十八条　合同附件</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附件一：</w:t>
      </w:r>
    </w:p>
    <w:p>
      <w:pPr>
        <w:spacing w:line="600" w:lineRule="exact"/>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附件二：</w:t>
      </w:r>
    </w:p>
    <w:p>
      <w:pPr>
        <w:spacing w:line="600" w:lineRule="exact"/>
        <w:rPr>
          <w:rFonts w:asciiTheme="minorEastAsia" w:hAnsiTheme="minorEastAsia" w:eastAsiaTheme="minorEastAsia" w:cstheme="minorEastAsia"/>
          <w:color w:val="auto"/>
          <w:szCs w:val="21"/>
          <w:highlight w:val="none"/>
        </w:rPr>
      </w:pPr>
    </w:p>
    <w:p>
      <w:pPr>
        <w:pStyle w:val="2"/>
        <w:spacing w:line="600" w:lineRule="exact"/>
        <w:rPr>
          <w:rFonts w:asciiTheme="minorEastAsia" w:hAnsiTheme="minorEastAsia" w:eastAsiaTheme="minorEastAsia" w:cstheme="minorEastAsia"/>
          <w:color w:val="auto"/>
          <w:sz w:val="21"/>
          <w:szCs w:val="21"/>
          <w:highlight w:val="none"/>
        </w:rPr>
      </w:pPr>
    </w:p>
    <w:p>
      <w:pPr>
        <w:spacing w:line="600" w:lineRule="exact"/>
        <w:rPr>
          <w:rFonts w:asciiTheme="minorEastAsia" w:hAnsiTheme="minorEastAsia" w:eastAsiaTheme="minorEastAsia" w:cstheme="minorEastAsia"/>
          <w:color w:val="auto"/>
          <w:szCs w:val="21"/>
          <w:highlight w:val="none"/>
        </w:rPr>
      </w:pPr>
    </w:p>
    <w:p>
      <w:pPr>
        <w:spacing w:line="600" w:lineRule="exact"/>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甲方：                             乙方：</w:t>
      </w:r>
    </w:p>
    <w:p>
      <w:pPr>
        <w:spacing w:line="600" w:lineRule="exact"/>
        <w:rPr>
          <w:rFonts w:asciiTheme="minorEastAsia" w:hAnsiTheme="minorEastAsia" w:eastAsiaTheme="minorEastAsia" w:cstheme="minorEastAsia"/>
          <w:b/>
          <w:bCs/>
          <w:color w:val="auto"/>
          <w:szCs w:val="21"/>
          <w:highlight w:val="none"/>
        </w:rPr>
      </w:pPr>
    </w:p>
    <w:p>
      <w:pPr>
        <w:spacing w:line="600" w:lineRule="exact"/>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法定代表人（负责人）：             法定代表人（负责人）：</w:t>
      </w:r>
    </w:p>
    <w:p>
      <w:pPr>
        <w:spacing w:line="600" w:lineRule="exact"/>
        <w:rPr>
          <w:rFonts w:asciiTheme="minorEastAsia" w:hAnsiTheme="minorEastAsia" w:eastAsiaTheme="minorEastAsia" w:cstheme="minorEastAsia"/>
          <w:b/>
          <w:bCs/>
          <w:color w:val="auto"/>
          <w:szCs w:val="21"/>
          <w:highlight w:val="none"/>
        </w:rPr>
      </w:pPr>
    </w:p>
    <w:p>
      <w:pPr>
        <w:spacing w:line="600" w:lineRule="exact"/>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授权代表：                       授权代表：</w:t>
      </w:r>
    </w:p>
    <w:p>
      <w:pPr>
        <w:spacing w:line="600" w:lineRule="exact"/>
        <w:rPr>
          <w:rFonts w:asciiTheme="minorEastAsia" w:hAnsiTheme="minorEastAsia" w:eastAsiaTheme="minorEastAsia" w:cstheme="minorEastAsia"/>
          <w:b/>
          <w:bCs/>
          <w:color w:val="auto"/>
          <w:szCs w:val="21"/>
          <w:highlight w:val="none"/>
        </w:rPr>
      </w:pPr>
    </w:p>
    <w:p>
      <w:pPr>
        <w:spacing w:line="600" w:lineRule="exact"/>
        <w:ind w:firstLine="422" w:firstLineChars="200"/>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年  月  日                        年  月  日</w:t>
      </w:r>
    </w:p>
    <w:p>
      <w:pPr>
        <w:rPr>
          <w:rFonts w:asciiTheme="minorEastAsia" w:hAnsiTheme="minorEastAsia" w:eastAsiaTheme="minorEastAsia" w:cstheme="minorEastAsia"/>
          <w:color w:val="auto"/>
          <w:szCs w:val="21"/>
          <w:highlight w:val="none"/>
        </w:rPr>
      </w:pPr>
    </w:p>
    <w:sectPr>
      <w:pgSz w:w="11906" w:h="16838"/>
      <w:pgMar w:top="1440" w:right="1361" w:bottom="1701" w:left="1474"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MS Mincho">
    <w:panose1 w:val="02020609040205080304"/>
    <w:charset w:val="80"/>
    <w:family w:val="modern"/>
    <w:pitch w:val="default"/>
    <w:sig w:usb0="E00002FF" w:usb1="6AC7FDFB" w:usb2="00000012" w:usb3="00000000" w:csb0="4002009F" w:csb1="DFD70000"/>
  </w:font>
  <w:font w:name="Segoe UI Symbol">
    <w:panose1 w:val="020B0502040204020203"/>
    <w:charset w:val="00"/>
    <w:family w:val="swiss"/>
    <w:pitch w:val="default"/>
    <w:sig w:usb0="8000006F" w:usb1="1200FBEF" w:usb2="0064C000" w:usb3="00000002" w:csb0="00000001" w:csb1="40000000"/>
  </w:font>
  <w:font w:name="等线">
    <w:altName w:val="微软雅黑"/>
    <w:panose1 w:val="02010600030101010101"/>
    <w:charset w:val="86"/>
    <w:family w:val="auto"/>
    <w:pitch w:val="default"/>
    <w:sig w:usb0="00000000" w:usb1="00000000" w:usb2="00000016" w:usb3="00000000" w:csb0="0004000F" w:csb1="00000000"/>
  </w:font>
  <w:font w:name="Arial Unicode MS">
    <w:altName w:val="Arial"/>
    <w:panose1 w:val="020B0604020202020204"/>
    <w:charset w:val="00"/>
    <w:family w:val="roman"/>
    <w:pitch w:val="default"/>
    <w:sig w:usb0="00000000" w:usb1="00000000" w:usb2="00000000" w:usb3="00000000" w:csb0="00000001" w:csb1="00000000"/>
  </w:font>
  <w:font w:name="方正小标宋_GBK">
    <w:altName w:val="微软雅黑"/>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jc w:val="both"/>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439"/>
        <w:tab w:val="clear" w:pos="4153"/>
      </w:tabs>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20</w:t>
    </w:r>
    <w:r>
      <w:rPr>
        <w:sz w:val="18"/>
        <w:szCs w:val="18"/>
        <w:lang w:val="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F16119"/>
    <w:multiLevelType w:val="multilevel"/>
    <w:tmpl w:val="16F1611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76D70ED"/>
    <w:multiLevelType w:val="multilevel"/>
    <w:tmpl w:val="176D70E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9CB3FFD"/>
    <w:multiLevelType w:val="multilevel"/>
    <w:tmpl w:val="19CB3FF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09F1CA2"/>
    <w:multiLevelType w:val="multilevel"/>
    <w:tmpl w:val="209F1CA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2EB568F"/>
    <w:multiLevelType w:val="multilevel"/>
    <w:tmpl w:val="22EB568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2432442E"/>
    <w:multiLevelType w:val="multilevel"/>
    <w:tmpl w:val="2432442E"/>
    <w:lvl w:ilvl="0" w:tentative="0">
      <w:start w:val="4"/>
      <w:numFmt w:val="decimal"/>
      <w:lvlText w:val="%1．"/>
      <w:lvlJc w:val="left"/>
      <w:pPr>
        <w:ind w:left="255" w:hanging="360"/>
      </w:pPr>
      <w:rPr>
        <w:rFonts w:hint="default"/>
      </w:rPr>
    </w:lvl>
    <w:lvl w:ilvl="1" w:tentative="0">
      <w:start w:val="1"/>
      <w:numFmt w:val="lowerLetter"/>
      <w:lvlText w:val="%2)"/>
      <w:lvlJc w:val="left"/>
      <w:pPr>
        <w:ind w:left="735" w:hanging="420"/>
      </w:pPr>
    </w:lvl>
    <w:lvl w:ilvl="2" w:tentative="0">
      <w:start w:val="1"/>
      <w:numFmt w:val="lowerRoman"/>
      <w:lvlText w:val="%3."/>
      <w:lvlJc w:val="right"/>
      <w:pPr>
        <w:ind w:left="1155" w:hanging="420"/>
      </w:pPr>
    </w:lvl>
    <w:lvl w:ilvl="3" w:tentative="0">
      <w:start w:val="1"/>
      <w:numFmt w:val="decimal"/>
      <w:lvlText w:val="%4."/>
      <w:lvlJc w:val="left"/>
      <w:pPr>
        <w:ind w:left="1575" w:hanging="420"/>
      </w:pPr>
    </w:lvl>
    <w:lvl w:ilvl="4" w:tentative="0">
      <w:start w:val="1"/>
      <w:numFmt w:val="lowerLetter"/>
      <w:lvlText w:val="%5)"/>
      <w:lvlJc w:val="left"/>
      <w:pPr>
        <w:ind w:left="1995" w:hanging="420"/>
      </w:pPr>
    </w:lvl>
    <w:lvl w:ilvl="5" w:tentative="0">
      <w:start w:val="1"/>
      <w:numFmt w:val="lowerRoman"/>
      <w:lvlText w:val="%6."/>
      <w:lvlJc w:val="right"/>
      <w:pPr>
        <w:ind w:left="2415" w:hanging="420"/>
      </w:pPr>
    </w:lvl>
    <w:lvl w:ilvl="6" w:tentative="0">
      <w:start w:val="1"/>
      <w:numFmt w:val="decimal"/>
      <w:lvlText w:val="%7."/>
      <w:lvlJc w:val="left"/>
      <w:pPr>
        <w:ind w:left="2835" w:hanging="420"/>
      </w:pPr>
    </w:lvl>
    <w:lvl w:ilvl="7" w:tentative="0">
      <w:start w:val="1"/>
      <w:numFmt w:val="lowerLetter"/>
      <w:lvlText w:val="%8)"/>
      <w:lvlJc w:val="left"/>
      <w:pPr>
        <w:ind w:left="3255" w:hanging="420"/>
      </w:pPr>
    </w:lvl>
    <w:lvl w:ilvl="8" w:tentative="0">
      <w:start w:val="1"/>
      <w:numFmt w:val="lowerRoman"/>
      <w:lvlText w:val="%9."/>
      <w:lvlJc w:val="right"/>
      <w:pPr>
        <w:ind w:left="3675" w:hanging="420"/>
      </w:pPr>
    </w:lvl>
  </w:abstractNum>
  <w:abstractNum w:abstractNumId="6">
    <w:nsid w:val="305452F8"/>
    <w:multiLevelType w:val="multilevel"/>
    <w:tmpl w:val="305452F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86C460F"/>
    <w:multiLevelType w:val="multilevel"/>
    <w:tmpl w:val="386C460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3F41598B"/>
    <w:multiLevelType w:val="multilevel"/>
    <w:tmpl w:val="3F41598B"/>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4EEF65B6"/>
    <w:multiLevelType w:val="multilevel"/>
    <w:tmpl w:val="4EEF65B6"/>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A6938F7"/>
    <w:multiLevelType w:val="multilevel"/>
    <w:tmpl w:val="5A6938F7"/>
    <w:lvl w:ilvl="0" w:tentative="0">
      <w:start w:val="7"/>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62BE4EB9"/>
    <w:multiLevelType w:val="multilevel"/>
    <w:tmpl w:val="62BE4EB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62CF667D"/>
    <w:multiLevelType w:val="multilevel"/>
    <w:tmpl w:val="62CF667D"/>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67061F35"/>
    <w:multiLevelType w:val="multilevel"/>
    <w:tmpl w:val="67061F3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67DD4AAC"/>
    <w:multiLevelType w:val="multilevel"/>
    <w:tmpl w:val="67DD4AA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6B7004B5"/>
    <w:multiLevelType w:val="multilevel"/>
    <w:tmpl w:val="6B7004B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770C69F2"/>
    <w:multiLevelType w:val="multilevel"/>
    <w:tmpl w:val="770C69F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7BF64DF5"/>
    <w:multiLevelType w:val="multilevel"/>
    <w:tmpl w:val="7BF64DF5"/>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4"/>
  </w:num>
  <w:num w:numId="2">
    <w:abstractNumId w:val="6"/>
  </w:num>
  <w:num w:numId="3">
    <w:abstractNumId w:val="10"/>
  </w:num>
  <w:num w:numId="4">
    <w:abstractNumId w:val="0"/>
  </w:num>
  <w:num w:numId="5">
    <w:abstractNumId w:val="16"/>
  </w:num>
  <w:num w:numId="6">
    <w:abstractNumId w:val="15"/>
  </w:num>
  <w:num w:numId="7">
    <w:abstractNumId w:val="11"/>
  </w:num>
  <w:num w:numId="8">
    <w:abstractNumId w:val="13"/>
  </w:num>
  <w:num w:numId="9">
    <w:abstractNumId w:val="7"/>
  </w:num>
  <w:num w:numId="10">
    <w:abstractNumId w:val="4"/>
  </w:num>
  <w:num w:numId="11">
    <w:abstractNumId w:val="9"/>
  </w:num>
  <w:num w:numId="12">
    <w:abstractNumId w:val="1"/>
  </w:num>
  <w:num w:numId="13">
    <w:abstractNumId w:val="3"/>
  </w:num>
  <w:num w:numId="14">
    <w:abstractNumId w:val="2"/>
  </w:num>
  <w:num w:numId="15">
    <w:abstractNumId w:val="12"/>
  </w:num>
  <w:num w:numId="16">
    <w:abstractNumId w:val="17"/>
  </w:num>
  <w:num w:numId="17">
    <w:abstractNumId w:val="8"/>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72A27"/>
    <w:rsid w:val="001A2ED6"/>
    <w:rsid w:val="004B1C5F"/>
    <w:rsid w:val="005368D2"/>
    <w:rsid w:val="006357B3"/>
    <w:rsid w:val="00653FB2"/>
    <w:rsid w:val="0066081D"/>
    <w:rsid w:val="006922FD"/>
    <w:rsid w:val="007273B5"/>
    <w:rsid w:val="00727C0D"/>
    <w:rsid w:val="007A1629"/>
    <w:rsid w:val="008B62B5"/>
    <w:rsid w:val="00C60C95"/>
    <w:rsid w:val="00C74D47"/>
    <w:rsid w:val="00CB0030"/>
    <w:rsid w:val="00D819BB"/>
    <w:rsid w:val="02E85F72"/>
    <w:rsid w:val="05C06E69"/>
    <w:rsid w:val="071F5FC3"/>
    <w:rsid w:val="08A72F68"/>
    <w:rsid w:val="0F777EAB"/>
    <w:rsid w:val="113C3B89"/>
    <w:rsid w:val="14C377BA"/>
    <w:rsid w:val="14FB2A5F"/>
    <w:rsid w:val="179C1CD1"/>
    <w:rsid w:val="17EB6080"/>
    <w:rsid w:val="18303A15"/>
    <w:rsid w:val="197A71AE"/>
    <w:rsid w:val="1AF66CC7"/>
    <w:rsid w:val="1B165A69"/>
    <w:rsid w:val="1B6F33E2"/>
    <w:rsid w:val="1E5E7A6C"/>
    <w:rsid w:val="1F4E10DC"/>
    <w:rsid w:val="23F85897"/>
    <w:rsid w:val="24166262"/>
    <w:rsid w:val="24D938C4"/>
    <w:rsid w:val="25012E7A"/>
    <w:rsid w:val="284249A6"/>
    <w:rsid w:val="2AD07052"/>
    <w:rsid w:val="2AE80BD1"/>
    <w:rsid w:val="2C317AAC"/>
    <w:rsid w:val="2EC102CF"/>
    <w:rsid w:val="2FBB15F2"/>
    <w:rsid w:val="306D73EE"/>
    <w:rsid w:val="335F0AF4"/>
    <w:rsid w:val="33E85AC1"/>
    <w:rsid w:val="3482405C"/>
    <w:rsid w:val="38B27966"/>
    <w:rsid w:val="3E175815"/>
    <w:rsid w:val="3F9A45A3"/>
    <w:rsid w:val="40814AC4"/>
    <w:rsid w:val="467A509E"/>
    <w:rsid w:val="4B876FC6"/>
    <w:rsid w:val="4D9A3C2A"/>
    <w:rsid w:val="4F956FB8"/>
    <w:rsid w:val="50807A31"/>
    <w:rsid w:val="5234518C"/>
    <w:rsid w:val="564451BE"/>
    <w:rsid w:val="57AC4B16"/>
    <w:rsid w:val="5A0F4559"/>
    <w:rsid w:val="5CFF3BED"/>
    <w:rsid w:val="5F11342E"/>
    <w:rsid w:val="602E5843"/>
    <w:rsid w:val="60BA2960"/>
    <w:rsid w:val="60C813E2"/>
    <w:rsid w:val="65DA7590"/>
    <w:rsid w:val="6754719E"/>
    <w:rsid w:val="677D74DE"/>
    <w:rsid w:val="67C16680"/>
    <w:rsid w:val="6C6677E4"/>
    <w:rsid w:val="6C6D7564"/>
    <w:rsid w:val="6D155B3B"/>
    <w:rsid w:val="6D9B5175"/>
    <w:rsid w:val="6F1150E7"/>
    <w:rsid w:val="6F9D1C52"/>
    <w:rsid w:val="709217A3"/>
    <w:rsid w:val="71B806CD"/>
    <w:rsid w:val="72F316A6"/>
    <w:rsid w:val="767A2AE5"/>
    <w:rsid w:val="77822FF8"/>
    <w:rsid w:val="77861FB4"/>
    <w:rsid w:val="7BAA1678"/>
    <w:rsid w:val="7BDD2EE3"/>
    <w:rsid w:val="7D4D1C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99"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4"/>
    <w:basedOn w:val="1"/>
    <w:next w:val="1"/>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1"/>
    <w:next w:val="6"/>
    <w:qFormat/>
    <w:uiPriority w:val="9"/>
    <w:pPr>
      <w:keepNext/>
      <w:keepLines/>
      <w:spacing w:before="280" w:after="290" w:line="376" w:lineRule="auto"/>
      <w:outlineLvl w:val="4"/>
    </w:pPr>
    <w:rPr>
      <w:b/>
      <w:bCs/>
      <w:sz w:val="28"/>
      <w:szCs w:val="28"/>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unhideWhenUsed/>
    <w:qFormat/>
    <w:uiPriority w:val="99"/>
    <w:pPr>
      <w:tabs>
        <w:tab w:val="center" w:pos="4153"/>
        <w:tab w:val="right" w:pos="8306"/>
      </w:tabs>
      <w:snapToGrid w:val="0"/>
      <w:jc w:val="left"/>
    </w:pPr>
    <w:rPr>
      <w:kern w:val="0"/>
      <w:sz w:val="18"/>
      <w:szCs w:val="18"/>
    </w:rPr>
  </w:style>
  <w:style w:type="paragraph" w:styleId="6">
    <w:name w:val="Normal Indent"/>
    <w:basedOn w:val="1"/>
    <w:qFormat/>
    <w:uiPriority w:val="0"/>
    <w:pPr>
      <w:ind w:firstLine="420"/>
    </w:pPr>
    <w:rPr>
      <w:szCs w:val="20"/>
    </w:rPr>
  </w:style>
  <w:style w:type="paragraph" w:styleId="7">
    <w:name w:val="annotation text"/>
    <w:basedOn w:val="1"/>
    <w:link w:val="25"/>
    <w:qFormat/>
    <w:uiPriority w:val="0"/>
    <w:pPr>
      <w:jc w:val="left"/>
    </w:pPr>
  </w:style>
  <w:style w:type="paragraph" w:styleId="8">
    <w:name w:val="Body Text 3"/>
    <w:basedOn w:val="1"/>
    <w:unhideWhenUsed/>
    <w:qFormat/>
    <w:uiPriority w:val="99"/>
    <w:pPr>
      <w:spacing w:after="120"/>
    </w:pPr>
    <w:rPr>
      <w:sz w:val="16"/>
      <w:szCs w:val="16"/>
    </w:rPr>
  </w:style>
  <w:style w:type="paragraph" w:styleId="9">
    <w:name w:val="Body Text"/>
    <w:basedOn w:val="1"/>
    <w:unhideWhenUsed/>
    <w:qFormat/>
    <w:uiPriority w:val="0"/>
    <w:pPr>
      <w:spacing w:after="120"/>
    </w:pPr>
  </w:style>
  <w:style w:type="paragraph" w:styleId="10">
    <w:name w:val="Body Text Indent"/>
    <w:basedOn w:val="1"/>
    <w:qFormat/>
    <w:uiPriority w:val="0"/>
    <w:pPr>
      <w:ind w:firstLine="830" w:firstLineChars="352"/>
    </w:pPr>
    <w:rPr>
      <w:rFonts w:ascii="仿宋_GB2312" w:eastAsia="仿宋_GB2312"/>
      <w:kern w:val="0"/>
      <w:sz w:val="32"/>
      <w:szCs w:val="20"/>
    </w:rPr>
  </w:style>
  <w:style w:type="paragraph" w:styleId="11">
    <w:name w:val="List 2"/>
    <w:basedOn w:val="1"/>
    <w:unhideWhenUsed/>
    <w:qFormat/>
    <w:uiPriority w:val="99"/>
    <w:pPr>
      <w:ind w:left="100" w:leftChars="200" w:hanging="200" w:hangingChars="200"/>
      <w:contextualSpacing/>
    </w:pPr>
  </w:style>
  <w:style w:type="paragraph" w:styleId="12">
    <w:name w:val="Plain Text"/>
    <w:basedOn w:val="1"/>
    <w:next w:val="4"/>
    <w:qFormat/>
    <w:uiPriority w:val="0"/>
    <w:rPr>
      <w:rFonts w:ascii="宋体" w:hAnsi="Courier New"/>
      <w:kern w:val="0"/>
      <w:sz w:val="20"/>
      <w:szCs w:val="21"/>
    </w:rPr>
  </w:style>
  <w:style w:type="paragraph" w:styleId="13">
    <w:name w:val="Balloon Text"/>
    <w:basedOn w:val="1"/>
    <w:link w:val="24"/>
    <w:qFormat/>
    <w:uiPriority w:val="0"/>
    <w:rPr>
      <w:sz w:val="18"/>
      <w:szCs w:val="18"/>
    </w:rPr>
  </w:style>
  <w:style w:type="paragraph" w:styleId="14">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toc 1"/>
    <w:basedOn w:val="1"/>
    <w:next w:val="1"/>
    <w:unhideWhenUsed/>
    <w:qFormat/>
    <w:uiPriority w:val="39"/>
  </w:style>
  <w:style w:type="paragraph" w:styleId="16">
    <w:name w:val="toc 2"/>
    <w:basedOn w:val="1"/>
    <w:next w:val="1"/>
    <w:unhideWhenUsed/>
    <w:qFormat/>
    <w:uiPriority w:val="39"/>
    <w:pPr>
      <w:tabs>
        <w:tab w:val="right" w:leader="dot" w:pos="8296"/>
      </w:tabs>
      <w:ind w:left="420" w:leftChars="200"/>
    </w:pPr>
  </w:style>
  <w:style w:type="paragraph" w:styleId="17">
    <w:name w:val="annotation subject"/>
    <w:basedOn w:val="7"/>
    <w:next w:val="7"/>
    <w:link w:val="26"/>
    <w:qFormat/>
    <w:uiPriority w:val="0"/>
    <w:rPr>
      <w:b/>
      <w:bCs/>
    </w:rPr>
  </w:style>
  <w:style w:type="table" w:styleId="19">
    <w:name w:val="Table Grid"/>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 w:type="character" w:styleId="21">
    <w:name w:val="Hyperlink"/>
    <w:unhideWhenUsed/>
    <w:qFormat/>
    <w:uiPriority w:val="99"/>
    <w:rPr>
      <w:color w:val="0000FF"/>
      <w:u w:val="single"/>
    </w:rPr>
  </w:style>
  <w:style w:type="character" w:styleId="22">
    <w:name w:val="annotation reference"/>
    <w:basedOn w:val="20"/>
    <w:qFormat/>
    <w:uiPriority w:val="0"/>
    <w:rPr>
      <w:sz w:val="21"/>
      <w:szCs w:val="21"/>
    </w:rPr>
  </w:style>
  <w:style w:type="paragraph" w:customStyle="1" w:styleId="23">
    <w:name w:val="列出段落1"/>
    <w:basedOn w:val="1"/>
    <w:qFormat/>
    <w:uiPriority w:val="34"/>
    <w:pPr>
      <w:ind w:firstLine="420" w:firstLineChars="200"/>
    </w:pPr>
  </w:style>
  <w:style w:type="character" w:customStyle="1" w:styleId="24">
    <w:name w:val="批注框文本 字符"/>
    <w:basedOn w:val="20"/>
    <w:link w:val="13"/>
    <w:qFormat/>
    <w:uiPriority w:val="0"/>
    <w:rPr>
      <w:kern w:val="2"/>
      <w:sz w:val="18"/>
      <w:szCs w:val="18"/>
    </w:rPr>
  </w:style>
  <w:style w:type="character" w:customStyle="1" w:styleId="25">
    <w:name w:val="批注文字 字符"/>
    <w:basedOn w:val="20"/>
    <w:link w:val="7"/>
    <w:qFormat/>
    <w:uiPriority w:val="0"/>
    <w:rPr>
      <w:kern w:val="2"/>
      <w:sz w:val="21"/>
      <w:szCs w:val="24"/>
    </w:rPr>
  </w:style>
  <w:style w:type="character" w:customStyle="1" w:styleId="26">
    <w:name w:val="批注主题 字符"/>
    <w:basedOn w:val="25"/>
    <w:link w:val="17"/>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112</Pages>
  <Words>65078</Words>
  <Characters>70742</Characters>
  <Lines>583</Lines>
  <Paragraphs>164</Paragraphs>
  <TotalTime>20</TotalTime>
  <ScaleCrop>false</ScaleCrop>
  <LinksUpToDate>false</LinksUpToDate>
  <CharactersWithSpaces>78008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2020-11-27T02:06:00Z</dcterms:created>
  <dc:creator>lenovo1</dc:creator>
  <cp:lastModifiedBy>睿在之</cp:lastModifiedBy>
  <dcterms:modified xsi:type="dcterms:W3CDTF">2022-04-15T07:52:19Z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52991ACFEA4248C3983B31B418B68C65</vt:lpwstr>
  </property>
</Properties>
</file>