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9"/>
        <w:kinsoku w:val="0"/>
        <w:spacing w:line="1220" w:lineRule="exact"/>
        <w:jc w:val="center"/>
        <w:rPr>
          <w:rFonts w:hAnsi="宋体" w:cs="宋体"/>
          <w:spacing w:val="-20"/>
          <w:sz w:val="52"/>
          <w:szCs w:val="52"/>
          <w:highlight w:val="none"/>
        </w:rPr>
      </w:pPr>
      <w:bookmarkStart w:id="91" w:name="_GoBack"/>
      <w:bookmarkEnd w:id="91"/>
    </w:p>
    <w:p>
      <w:pPr>
        <w:pStyle w:val="29"/>
        <w:kinsoku w:val="0"/>
        <w:spacing w:line="1220" w:lineRule="exact"/>
        <w:jc w:val="center"/>
        <w:rPr>
          <w:rFonts w:hAnsi="宋体" w:cs="宋体"/>
          <w:spacing w:val="-20"/>
          <w:sz w:val="52"/>
          <w:szCs w:val="52"/>
          <w:highlight w:val="none"/>
        </w:rPr>
      </w:pPr>
      <w:r>
        <w:rPr>
          <w:rFonts w:hint="eastAsia" w:hAnsi="宋体" w:cs="宋体"/>
          <w:spacing w:val="-20"/>
          <w:sz w:val="52"/>
          <w:szCs w:val="52"/>
          <w:highlight w:val="none"/>
        </w:rPr>
        <w:drawing>
          <wp:anchor distT="0" distB="0" distL="114300" distR="114300" simplePos="0" relativeHeight="251660288" behindDoc="0" locked="0" layoutInCell="1" allowOverlap="1">
            <wp:simplePos x="0" y="0"/>
            <wp:positionH relativeFrom="column">
              <wp:posOffset>228600</wp:posOffset>
            </wp:positionH>
            <wp:positionV relativeFrom="paragraph">
              <wp:posOffset>142240</wp:posOffset>
            </wp:positionV>
            <wp:extent cx="685800" cy="693420"/>
            <wp:effectExtent l="0" t="0" r="0" b="11430"/>
            <wp:wrapSquare wrapText="bothSides"/>
            <wp:docPr id="4"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3"/>
                    <pic:cNvPicPr>
                      <a:picLocks noChangeAspect="1"/>
                    </pic:cNvPicPr>
                  </pic:nvPicPr>
                  <pic:blipFill>
                    <a:blip r:embed="rId7"/>
                    <a:stretch>
                      <a:fillRect/>
                    </a:stretch>
                  </pic:blipFill>
                  <pic:spPr>
                    <a:xfrm>
                      <a:off x="0" y="0"/>
                      <a:ext cx="685800" cy="693420"/>
                    </a:xfrm>
                    <a:prstGeom prst="rect">
                      <a:avLst/>
                    </a:prstGeom>
                    <a:noFill/>
                    <a:ln>
                      <a:noFill/>
                    </a:ln>
                  </pic:spPr>
                </pic:pic>
              </a:graphicData>
            </a:graphic>
          </wp:anchor>
        </w:drawing>
      </w:r>
      <w:r>
        <w:rPr>
          <w:rFonts w:hint="eastAsia" w:hAnsi="宋体" w:cs="宋体"/>
          <w:spacing w:val="-20"/>
          <w:sz w:val="52"/>
          <w:szCs w:val="52"/>
          <w:highlight w:val="none"/>
        </w:rPr>
        <w:t>广西新宇建设项目管理有限公司</w:t>
      </w:r>
      <w:r>
        <w:rPr>
          <w:rFonts w:hint="eastAsia" w:hAnsi="宋体" w:cs="宋体"/>
          <w:spacing w:val="-20"/>
          <w:sz w:val="72"/>
          <w:highlight w:val="none"/>
        </w:rPr>
        <w:t xml:space="preserve"> </w:t>
      </w:r>
    </w:p>
    <w:p>
      <w:pPr>
        <w:pStyle w:val="29"/>
        <w:kinsoku w:val="0"/>
        <w:spacing w:line="400" w:lineRule="exact"/>
        <w:rPr>
          <w:rFonts w:hAnsi="宋体" w:cs="宋体"/>
          <w:spacing w:val="-20"/>
          <w:sz w:val="72"/>
          <w:highlight w:val="none"/>
        </w:rPr>
      </w:pPr>
    </w:p>
    <w:p>
      <w:pPr>
        <w:pStyle w:val="29"/>
        <w:kinsoku w:val="0"/>
        <w:spacing w:line="400" w:lineRule="exact"/>
        <w:jc w:val="center"/>
        <w:rPr>
          <w:rFonts w:hAnsi="宋体" w:cs="宋体"/>
          <w:spacing w:val="-20"/>
          <w:sz w:val="72"/>
          <w:highlight w:val="none"/>
        </w:rPr>
      </w:pPr>
    </w:p>
    <w:p>
      <w:pPr>
        <w:pStyle w:val="29"/>
        <w:kinsoku w:val="0"/>
        <w:spacing w:line="400" w:lineRule="exact"/>
        <w:jc w:val="center"/>
        <w:rPr>
          <w:rFonts w:hAnsi="宋体" w:cs="宋体"/>
          <w:spacing w:val="-20"/>
          <w:sz w:val="72"/>
          <w:highlight w:val="none"/>
        </w:rPr>
      </w:pPr>
      <w:r>
        <w:rPr>
          <w:rFonts w:hint="eastAsia" w:hAnsi="宋体" w:cs="宋体"/>
          <w:b/>
          <w:bCs/>
          <w:spacing w:val="-20"/>
          <w:sz w:val="32"/>
          <w:highlight w:val="none"/>
        </w:rPr>
        <mc:AlternateContent>
          <mc:Choice Requires="wpg">
            <w:drawing>
              <wp:inline distT="0" distB="0" distL="114300" distR="114300">
                <wp:extent cx="7694295" cy="1386840"/>
                <wp:effectExtent l="0" t="0" r="0" b="0"/>
                <wp:docPr id="1" name="组合 4"/>
                <wp:cNvGraphicFramePr/>
                <a:graphic xmlns:a="http://schemas.openxmlformats.org/drawingml/2006/main">
                  <a:graphicData uri="http://schemas.microsoft.com/office/word/2010/wordprocessingGroup">
                    <wpg:wgp>
                      <wpg:cNvGrpSpPr>
                        <a:grpSpLocks noRot="1"/>
                      </wpg:cNvGrpSpPr>
                      <wpg:grpSpPr>
                        <a:xfrm>
                          <a:off x="0" y="0"/>
                          <a:ext cx="7694546" cy="1386840"/>
                          <a:chOff x="0" y="0"/>
                          <a:chExt cx="8656" cy="1594"/>
                        </a:xfrm>
                        <a:effectLst/>
                      </wpg:grpSpPr>
                      <wps:wsp>
                        <wps:cNvPr id="2" name="图片 5"/>
                        <wps:cNvSpPr>
                          <a:spLocks noChangeAspect="1" noTextEdit="1"/>
                        </wps:cNvSpPr>
                        <wps:spPr>
                          <a:xfrm>
                            <a:off x="41" y="0"/>
                            <a:ext cx="8615" cy="1594"/>
                          </a:xfrm>
                          <a:prstGeom prst="rect">
                            <a:avLst/>
                          </a:prstGeom>
                          <a:noFill/>
                          <a:ln>
                            <a:noFill/>
                          </a:ln>
                          <a:effectLst/>
                        </wps:spPr>
                        <wps:bodyPr wrap="square" upright="1"/>
                      </wps:wsp>
                      <wps:wsp>
                        <wps:cNvPr id="3" name="直线 6"/>
                        <wps:cNvCnPr/>
                        <wps:spPr>
                          <a:xfrm>
                            <a:off x="0" y="1025"/>
                            <a:ext cx="6815" cy="1"/>
                          </a:xfrm>
                          <a:prstGeom prst="line">
                            <a:avLst/>
                          </a:prstGeom>
                          <a:ln w="57150" cap="flat" cmpd="thinThick">
                            <a:solidFill>
                              <a:srgbClr val="000000"/>
                            </a:solidFill>
                            <a:prstDash val="solid"/>
                            <a:headEnd type="none" w="med" len="med"/>
                            <a:tailEnd type="none" w="med" len="med"/>
                          </a:ln>
                          <a:effectLst/>
                        </wps:spPr>
                        <wps:bodyPr/>
                      </wps:wsp>
                    </wpg:wgp>
                  </a:graphicData>
                </a:graphic>
              </wp:inline>
            </w:drawing>
          </mc:Choice>
          <mc:Fallback>
            <w:pict>
              <v:group id="组合 4" o:spid="_x0000_s1026" o:spt="203" style="height:109.2pt;width:605.85pt;" coordsize="8656,1594" o:gfxdata="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">
                <o:lock v:ext="edit" rotation="t" aspectratio="f"/>
                <v:rect id="图片 5" o:spid="_x0000_s1026" o:spt="1" style="position:absolute;left:41;top:0;height:1594;width:8615;" filled="f" stroked="f" coordsize="21600,21600" o:gfxdata="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Dzqtzq8AAAA&#10;2gAAAA8AAAAAAAAAAQAgAAAAIgAAAGRycy9kb3ducmV2LnhtbFBLAQIUABQAAAAIAIdO4kAzLwWe&#10;OwAAADkAAAAQAAAAAAAAAAEAIAAAAAsBAABkcnMvc2hhcGV4bWwueG1sUEsFBgAAAAAGAAYAWwEA&#10;ALUDAAAAAA==&#10;">
                  <v:fill on="f" focussize="0,0"/>
                  <v:stroke on="f"/>
                  <v:imagedata o:title=""/>
                  <o:lock v:ext="edit" text="t" aspectratio="t"/>
                </v:rect>
                <v:line id="直线 6" o:spid="_x0000_s1026" o:spt="20" style="position:absolute;left:0;top:1025;height:1;width:6815;" filled="f" stroked="t" coordsize="21600,21600" o:gfxdata="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IQ2Xiu/&#10;AAAA2gAAAA8AAAAAAAAAAQAgAAAAIgAAAGRycy9kb3ducmV2LnhtbFBLAQIUABQAAAAIAIdO4kAz&#10;LwWeOwAAADkAAAAQAAAAAAAAAAEAIAAAAA4BAABkcnMvc2hhcGV4bWwueG1sUEsFBgAAAAAGAAYA&#10;WwEAALgDAAAAAA==&#10;">
                  <v:fill on="f" focussize="0,0"/>
                  <v:stroke weight="4.5pt" color="#000000" linestyle="thinThick" joinstyle="round"/>
                  <v:imagedata o:title=""/>
                  <o:lock v:ext="edit" aspectratio="f"/>
                </v:line>
                <w10:wrap type="none"/>
                <w10:anchorlock/>
              </v:group>
            </w:pict>
          </mc:Fallback>
        </mc:AlternateContent>
      </w:r>
    </w:p>
    <w:p>
      <w:pPr>
        <w:pStyle w:val="29"/>
        <w:kinsoku w:val="0"/>
        <w:spacing w:line="1040" w:lineRule="exact"/>
        <w:jc w:val="center"/>
        <w:rPr>
          <w:rFonts w:hAnsi="宋体" w:cs="宋体"/>
          <w:b/>
          <w:bCs/>
          <w:spacing w:val="-20"/>
          <w:sz w:val="32"/>
          <w:highlight w:val="none"/>
        </w:rPr>
      </w:pPr>
    </w:p>
    <w:p>
      <w:pPr>
        <w:pStyle w:val="29"/>
        <w:kinsoku w:val="0"/>
        <w:spacing w:line="1040" w:lineRule="exact"/>
        <w:jc w:val="center"/>
        <w:rPr>
          <w:rFonts w:hAnsi="宋体" w:cs="宋体"/>
          <w:spacing w:val="32"/>
          <w:sz w:val="84"/>
          <w:highlight w:val="none"/>
        </w:rPr>
      </w:pPr>
    </w:p>
    <w:p>
      <w:pPr>
        <w:pStyle w:val="29"/>
        <w:kinsoku w:val="0"/>
        <w:spacing w:line="1040" w:lineRule="exact"/>
        <w:jc w:val="center"/>
        <w:rPr>
          <w:rFonts w:hAnsi="宋体" w:cs="宋体"/>
          <w:spacing w:val="32"/>
          <w:sz w:val="96"/>
          <w:szCs w:val="96"/>
          <w:highlight w:val="none"/>
        </w:rPr>
      </w:pPr>
      <w:r>
        <w:rPr>
          <w:rFonts w:hint="eastAsia" w:hAnsi="宋体" w:cs="宋体"/>
          <w:spacing w:val="32"/>
          <w:sz w:val="84"/>
          <w:highlight w:val="none"/>
        </w:rPr>
        <w:t>竞争性磋商文件</w:t>
      </w:r>
    </w:p>
    <w:p>
      <w:pPr>
        <w:pStyle w:val="29"/>
        <w:kinsoku w:val="0"/>
        <w:spacing w:line="400" w:lineRule="exact"/>
        <w:jc w:val="center"/>
        <w:rPr>
          <w:rFonts w:hAnsi="宋体" w:cs="宋体"/>
          <w:sz w:val="44"/>
          <w:highlight w:val="none"/>
        </w:rPr>
      </w:pPr>
      <w:r>
        <w:rPr>
          <w:rFonts w:hint="eastAsia" w:hAnsi="宋体" w:cs="宋体"/>
          <w:sz w:val="44"/>
          <w:highlight w:val="none"/>
        </w:rPr>
        <w:cr/>
      </w:r>
    </w:p>
    <w:p>
      <w:pPr>
        <w:pStyle w:val="29"/>
        <w:kinsoku w:val="0"/>
        <w:spacing w:line="400" w:lineRule="exact"/>
        <w:jc w:val="center"/>
        <w:rPr>
          <w:rFonts w:hAnsi="宋体" w:cs="宋体"/>
          <w:sz w:val="44"/>
          <w:highlight w:val="none"/>
        </w:rPr>
      </w:pPr>
    </w:p>
    <w:p>
      <w:pPr>
        <w:pStyle w:val="29"/>
        <w:kinsoku w:val="0"/>
        <w:spacing w:line="400" w:lineRule="exact"/>
        <w:jc w:val="center"/>
        <w:rPr>
          <w:rFonts w:hAnsi="宋体" w:cs="宋体"/>
          <w:sz w:val="44"/>
          <w:highlight w:val="none"/>
        </w:rPr>
      </w:pPr>
    </w:p>
    <w:p>
      <w:pPr>
        <w:pStyle w:val="29"/>
        <w:kinsoku w:val="0"/>
        <w:spacing w:line="400" w:lineRule="exact"/>
        <w:rPr>
          <w:rFonts w:hAnsi="宋体" w:cs="宋体"/>
          <w:highlight w:val="none"/>
        </w:rPr>
      </w:pPr>
    </w:p>
    <w:p>
      <w:pPr>
        <w:pStyle w:val="29"/>
        <w:kinsoku w:val="0"/>
        <w:spacing w:line="400" w:lineRule="exact"/>
        <w:rPr>
          <w:rFonts w:hAnsi="宋体" w:cs="宋体"/>
          <w:highlight w:val="none"/>
        </w:rPr>
      </w:pPr>
    </w:p>
    <w:p>
      <w:pPr>
        <w:kinsoku w:val="0"/>
        <w:spacing w:line="640" w:lineRule="exact"/>
        <w:jc w:val="center"/>
        <w:rPr>
          <w:rFonts w:hint="eastAsia" w:ascii="宋体" w:hAnsi="宋体" w:eastAsia="宋体" w:cs="宋体"/>
          <w:sz w:val="32"/>
          <w:szCs w:val="32"/>
          <w:highlight w:val="none"/>
          <w:lang w:eastAsia="zh-CN"/>
        </w:rPr>
      </w:pPr>
      <w:r>
        <w:rPr>
          <w:rFonts w:hint="eastAsia" w:ascii="宋体" w:hAnsi="宋体" w:cs="宋体"/>
          <w:sz w:val="32"/>
          <w:szCs w:val="32"/>
          <w:highlight w:val="none"/>
        </w:rPr>
        <w:t>项目名称：</w:t>
      </w:r>
      <w:r>
        <w:rPr>
          <w:rFonts w:hint="eastAsia" w:ascii="宋体" w:hAnsi="宋体" w:cs="宋体"/>
          <w:sz w:val="32"/>
          <w:szCs w:val="32"/>
          <w:highlight w:val="none"/>
          <w:lang w:eastAsia="zh-CN"/>
        </w:rPr>
        <w:t>环境监测数据综合分析系统升级改造项目采购</w:t>
      </w:r>
    </w:p>
    <w:p>
      <w:pPr>
        <w:kinsoku w:val="0"/>
        <w:spacing w:line="640" w:lineRule="exact"/>
        <w:ind w:firstLine="2240" w:firstLineChars="700"/>
        <w:jc w:val="left"/>
        <w:rPr>
          <w:rFonts w:hAnsi="宋体" w:cs="宋体"/>
          <w:sz w:val="32"/>
          <w:szCs w:val="32"/>
          <w:highlight w:val="none"/>
        </w:rPr>
      </w:pPr>
      <w:r>
        <w:rPr>
          <w:rFonts w:hint="eastAsia" w:hAnsi="宋体" w:cs="宋体"/>
          <w:sz w:val="32"/>
          <w:szCs w:val="32"/>
          <w:highlight w:val="none"/>
        </w:rPr>
        <w:t>项目编号：</w:t>
      </w:r>
      <w:r>
        <w:rPr>
          <w:rFonts w:hint="eastAsia" w:ascii="宋体" w:hAnsi="宋体" w:cs="宋体"/>
          <w:sz w:val="32"/>
          <w:szCs w:val="32"/>
          <w:highlight w:val="none"/>
          <w:lang w:eastAsia="zh-CN"/>
        </w:rPr>
        <w:t>GXZC2022-C3-002794-GXXY</w:t>
      </w:r>
      <w:r>
        <w:rPr>
          <w:rFonts w:hint="eastAsia" w:ascii="宋体" w:hAnsi="宋体" w:cs="宋体"/>
          <w:sz w:val="32"/>
          <w:szCs w:val="32"/>
          <w:highlight w:val="none"/>
        </w:rPr>
        <w:t xml:space="preserve"> </w:t>
      </w:r>
      <w:r>
        <w:rPr>
          <w:rFonts w:hint="eastAsia" w:hAnsi="宋体" w:cs="宋体"/>
          <w:sz w:val="32"/>
          <w:szCs w:val="32"/>
          <w:highlight w:val="none"/>
        </w:rPr>
        <w:t xml:space="preserve">    </w:t>
      </w:r>
    </w:p>
    <w:p>
      <w:pPr>
        <w:pStyle w:val="29"/>
        <w:kinsoku w:val="0"/>
        <w:spacing w:line="200" w:lineRule="exact"/>
        <w:ind w:firstLine="2240" w:firstLineChars="700"/>
        <w:rPr>
          <w:rFonts w:hAnsi="宋体" w:cs="宋体"/>
          <w:sz w:val="32"/>
          <w:szCs w:val="32"/>
          <w:highlight w:val="none"/>
        </w:rPr>
      </w:pPr>
    </w:p>
    <w:tbl>
      <w:tblPr>
        <w:tblStyle w:val="58"/>
        <w:tblpPr w:leftFromText="180" w:rightFromText="180" w:vertAnchor="text" w:horzAnchor="margin" w:tblpXSpec="center" w:tblpY="174"/>
        <w:tblW w:w="9553" w:type="dxa"/>
        <w:tblInd w:w="0" w:type="dxa"/>
        <w:tblBorders>
          <w:top w:val="single" w:color="auto" w:sz="4"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9553"/>
      </w:tblGrid>
      <w:tr>
        <w:tblPrEx>
          <w:tblBorders>
            <w:top w:val="single" w:color="auto" w:sz="4"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 w:hRule="atLeast"/>
        </w:trPr>
        <w:tc>
          <w:tcPr>
            <w:tcW w:w="9553" w:type="dxa"/>
          </w:tcPr>
          <w:p>
            <w:pPr>
              <w:pStyle w:val="29"/>
              <w:kinsoku w:val="0"/>
              <w:spacing w:line="20" w:lineRule="exact"/>
              <w:rPr>
                <w:rFonts w:hAnsi="宋体" w:cs="宋体"/>
                <w:sz w:val="32"/>
                <w:szCs w:val="32"/>
                <w:highlight w:val="none"/>
              </w:rPr>
            </w:pPr>
          </w:p>
        </w:tc>
      </w:tr>
    </w:tbl>
    <w:p>
      <w:pPr>
        <w:pStyle w:val="29"/>
        <w:kinsoku w:val="0"/>
        <w:spacing w:line="700" w:lineRule="exact"/>
        <w:jc w:val="center"/>
        <w:rPr>
          <w:rFonts w:hint="eastAsia" w:hAnsi="宋体" w:eastAsia="宋体" w:cs="宋体"/>
          <w:spacing w:val="-8"/>
          <w:sz w:val="32"/>
          <w:szCs w:val="32"/>
          <w:highlight w:val="none"/>
          <w:lang w:eastAsia="zh-CN"/>
        </w:rPr>
      </w:pPr>
      <w:r>
        <w:rPr>
          <w:rFonts w:hint="eastAsia" w:hAnsi="宋体" w:cs="宋体"/>
          <w:sz w:val="32"/>
          <w:szCs w:val="32"/>
          <w:highlight w:val="none"/>
        </w:rPr>
        <w:t>采购人</w:t>
      </w:r>
      <w:r>
        <w:rPr>
          <w:rFonts w:hint="eastAsia" w:hAnsi="宋体" w:cs="宋体"/>
          <w:spacing w:val="-8"/>
          <w:sz w:val="32"/>
          <w:szCs w:val="32"/>
          <w:highlight w:val="none"/>
        </w:rPr>
        <w:t>：</w:t>
      </w:r>
      <w:r>
        <w:rPr>
          <w:rFonts w:hint="eastAsia" w:hAnsi="宋体" w:cs="宋体"/>
          <w:spacing w:val="-8"/>
          <w:sz w:val="32"/>
          <w:szCs w:val="32"/>
          <w:highlight w:val="none"/>
          <w:lang w:eastAsia="zh-CN"/>
        </w:rPr>
        <w:t>广西壮族自治区海洋环境监测中心站</w:t>
      </w:r>
    </w:p>
    <w:p>
      <w:pPr>
        <w:pStyle w:val="29"/>
        <w:kinsoku w:val="0"/>
        <w:spacing w:line="700" w:lineRule="exact"/>
        <w:jc w:val="center"/>
        <w:rPr>
          <w:rFonts w:hAnsi="宋体" w:cs="宋体"/>
          <w:sz w:val="32"/>
          <w:szCs w:val="32"/>
          <w:highlight w:val="none"/>
        </w:rPr>
      </w:pPr>
      <w:r>
        <w:rPr>
          <w:rFonts w:hint="eastAsia" w:hAnsi="宋体" w:cs="宋体"/>
          <w:sz w:val="32"/>
          <w:szCs w:val="32"/>
          <w:highlight w:val="none"/>
        </w:rPr>
        <w:t>采购代理机构：</w:t>
      </w:r>
      <w:r>
        <w:rPr>
          <w:rFonts w:hint="eastAsia" w:hAnsi="宋体" w:cs="宋体"/>
          <w:spacing w:val="-8"/>
          <w:sz w:val="32"/>
          <w:szCs w:val="32"/>
          <w:highlight w:val="none"/>
        </w:rPr>
        <w:t>广西新宇建设项目管理有限公司</w:t>
      </w:r>
    </w:p>
    <w:p>
      <w:pPr>
        <w:pStyle w:val="29"/>
        <w:kinsoku w:val="0"/>
        <w:spacing w:line="700" w:lineRule="exact"/>
        <w:jc w:val="center"/>
        <w:rPr>
          <w:rFonts w:hAnsi="宋体" w:cs="宋体"/>
          <w:sz w:val="32"/>
          <w:szCs w:val="32"/>
          <w:highlight w:val="none"/>
        </w:rPr>
      </w:pPr>
      <w:r>
        <w:rPr>
          <w:rFonts w:hint="eastAsia" w:hAnsi="宋体" w:cs="宋体"/>
          <w:sz w:val="32"/>
          <w:szCs w:val="32"/>
          <w:highlight w:val="none"/>
        </w:rPr>
        <w:t>二○二二年</w:t>
      </w:r>
      <w:r>
        <w:rPr>
          <w:rFonts w:hint="eastAsia" w:hAnsi="宋体" w:cs="宋体"/>
          <w:sz w:val="32"/>
          <w:szCs w:val="32"/>
          <w:highlight w:val="none"/>
          <w:lang w:eastAsia="zh-CN"/>
        </w:rPr>
        <w:t>八</w:t>
      </w:r>
      <w:r>
        <w:rPr>
          <w:rFonts w:hint="eastAsia" w:hAnsi="宋体" w:cs="宋体"/>
          <w:sz w:val="32"/>
          <w:szCs w:val="32"/>
          <w:highlight w:val="none"/>
        </w:rPr>
        <w:t>月</w:t>
      </w:r>
      <w:r>
        <w:rPr>
          <w:rFonts w:hint="eastAsia" w:hAnsi="宋体" w:cs="宋体"/>
          <w:sz w:val="32"/>
          <w:szCs w:val="32"/>
          <w:highlight w:val="none"/>
          <w:lang w:val="en-US" w:eastAsia="zh-CN"/>
        </w:rPr>
        <w:t>二十五</w:t>
      </w:r>
      <w:r>
        <w:rPr>
          <w:rFonts w:hint="eastAsia" w:hAnsi="宋体" w:cs="宋体"/>
          <w:sz w:val="32"/>
          <w:szCs w:val="32"/>
          <w:highlight w:val="none"/>
        </w:rPr>
        <w:t>日</w:t>
      </w:r>
    </w:p>
    <w:p>
      <w:pPr>
        <w:kinsoku w:val="0"/>
        <w:jc w:val="center"/>
        <w:rPr>
          <w:rFonts w:ascii="宋体" w:hAnsi="宋体" w:cs="宋体"/>
          <w:highlight w:val="none"/>
        </w:rPr>
      </w:pPr>
    </w:p>
    <w:p>
      <w:pPr>
        <w:kinsoku w:val="0"/>
        <w:spacing w:line="600" w:lineRule="exact"/>
        <w:jc w:val="both"/>
        <w:rPr>
          <w:rFonts w:ascii="宋体" w:hAnsi="宋体" w:cs="宋体"/>
          <w:sz w:val="36"/>
          <w:szCs w:val="36"/>
          <w:highlight w:val="none"/>
        </w:rPr>
      </w:pPr>
    </w:p>
    <w:p>
      <w:pPr>
        <w:kinsoku w:val="0"/>
        <w:spacing w:line="600" w:lineRule="exact"/>
        <w:jc w:val="center"/>
        <w:rPr>
          <w:rFonts w:hint="eastAsia" w:ascii="宋体" w:hAnsi="宋体" w:cs="宋体"/>
          <w:sz w:val="36"/>
          <w:szCs w:val="36"/>
          <w:highlight w:val="none"/>
        </w:rPr>
      </w:pPr>
    </w:p>
    <w:p>
      <w:pPr>
        <w:kinsoku w:val="0"/>
        <w:spacing w:line="600" w:lineRule="exact"/>
        <w:jc w:val="center"/>
        <w:rPr>
          <w:rFonts w:hint="eastAsia" w:ascii="宋体" w:hAnsi="宋体" w:cs="宋体"/>
          <w:sz w:val="36"/>
          <w:szCs w:val="36"/>
          <w:highlight w:val="none"/>
        </w:rPr>
      </w:pPr>
    </w:p>
    <w:p>
      <w:pPr>
        <w:kinsoku w:val="0"/>
        <w:spacing w:line="600" w:lineRule="exact"/>
        <w:jc w:val="center"/>
        <w:rPr>
          <w:rFonts w:ascii="宋体" w:hAnsi="宋体" w:cs="宋体"/>
          <w:sz w:val="36"/>
          <w:szCs w:val="36"/>
          <w:highlight w:val="none"/>
        </w:rPr>
      </w:pPr>
      <w:r>
        <w:rPr>
          <w:rFonts w:hint="eastAsia" w:ascii="宋体" w:hAnsi="宋体" w:cs="宋体"/>
          <w:sz w:val="36"/>
          <w:szCs w:val="36"/>
          <w:highlight w:val="none"/>
        </w:rPr>
        <w:t>目    录</w:t>
      </w:r>
    </w:p>
    <w:p>
      <w:pPr>
        <w:pStyle w:val="326"/>
        <w:keepNext w:val="0"/>
        <w:keepLines w:val="0"/>
        <w:widowControl w:val="0"/>
        <w:kinsoku w:val="0"/>
        <w:rPr>
          <w:rFonts w:ascii="宋体" w:hAnsi="宋体" w:cs="宋体"/>
          <w:sz w:val="21"/>
          <w:szCs w:val="21"/>
          <w:highlight w:val="none"/>
        </w:rPr>
      </w:pPr>
    </w:p>
    <w:p>
      <w:pPr>
        <w:pStyle w:val="326"/>
        <w:keepNext w:val="0"/>
        <w:keepLines w:val="0"/>
        <w:widowControl w:val="0"/>
        <w:kinsoku w:val="0"/>
        <w:spacing w:before="0" w:after="0" w:line="800" w:lineRule="exact"/>
        <w:rPr>
          <w:rFonts w:ascii="宋体" w:hAnsi="宋体" w:cs="宋体"/>
          <w:sz w:val="21"/>
          <w:szCs w:val="21"/>
          <w:highlight w:val="none"/>
        </w:rPr>
      </w:pPr>
      <w:r>
        <w:rPr>
          <w:highlight w:val="none"/>
        </w:rPr>
        <w:fldChar w:fldCharType="begin"/>
      </w:r>
      <w:r>
        <w:rPr>
          <w:highlight w:val="none"/>
        </w:rPr>
        <w:instrText xml:space="preserve"> HYPERLINK \l "_Toc405905872" </w:instrText>
      </w:r>
      <w:r>
        <w:rPr>
          <w:highlight w:val="none"/>
        </w:rPr>
        <w:fldChar w:fldCharType="separate"/>
      </w:r>
      <w:r>
        <w:rPr>
          <w:rStyle w:val="65"/>
          <w:rFonts w:hint="eastAsia" w:ascii="宋体" w:hAnsi="宋体" w:cs="宋体"/>
          <w:color w:val="auto"/>
          <w:sz w:val="21"/>
          <w:szCs w:val="21"/>
          <w:highlight w:val="none"/>
          <w:u w:val="none"/>
        </w:rPr>
        <w:t>第一章  竞争性磋商公告</w:t>
      </w:r>
      <w:r>
        <w:rPr>
          <w:rFonts w:hint="eastAsia" w:ascii="宋体" w:hAnsi="宋体" w:cs="宋体"/>
          <w:sz w:val="21"/>
          <w:szCs w:val="21"/>
          <w:highlight w:val="none"/>
        </w:rPr>
        <w:t>…………………………………………………………………………………… 2</w:t>
      </w:r>
      <w:r>
        <w:rPr>
          <w:rFonts w:hint="eastAsia" w:ascii="宋体" w:hAnsi="宋体" w:cs="宋体"/>
          <w:sz w:val="21"/>
          <w:szCs w:val="21"/>
          <w:highlight w:val="none"/>
        </w:rPr>
        <w:fldChar w:fldCharType="end"/>
      </w:r>
    </w:p>
    <w:p>
      <w:pPr>
        <w:pStyle w:val="326"/>
        <w:keepNext w:val="0"/>
        <w:keepLines w:val="0"/>
        <w:widowControl w:val="0"/>
        <w:kinsoku w:val="0"/>
        <w:spacing w:before="0" w:after="0" w:line="800" w:lineRule="exact"/>
        <w:rPr>
          <w:rFonts w:ascii="宋体" w:hAnsi="宋体" w:cs="宋体"/>
          <w:sz w:val="21"/>
          <w:szCs w:val="21"/>
          <w:highlight w:val="none"/>
        </w:rPr>
      </w:pPr>
      <w:r>
        <w:rPr>
          <w:highlight w:val="none"/>
        </w:rPr>
        <w:fldChar w:fldCharType="begin"/>
      </w:r>
      <w:r>
        <w:rPr>
          <w:highlight w:val="none"/>
        </w:rPr>
        <w:instrText xml:space="preserve"> HYPERLINK \l "_Toc405905873" </w:instrText>
      </w:r>
      <w:r>
        <w:rPr>
          <w:highlight w:val="none"/>
        </w:rPr>
        <w:fldChar w:fldCharType="separate"/>
      </w:r>
      <w:r>
        <w:rPr>
          <w:rStyle w:val="65"/>
          <w:rFonts w:hint="eastAsia" w:ascii="宋体" w:hAnsi="宋体" w:cs="宋体"/>
          <w:color w:val="auto"/>
          <w:sz w:val="21"/>
          <w:szCs w:val="21"/>
          <w:highlight w:val="none"/>
          <w:u w:val="none"/>
        </w:rPr>
        <w:t xml:space="preserve">第二章  投标人须知………………………………………………………………………………………… </w:t>
      </w:r>
      <w:r>
        <w:rPr>
          <w:rStyle w:val="65"/>
          <w:rFonts w:hint="eastAsia" w:ascii="宋体" w:hAnsi="宋体" w:cs="宋体"/>
          <w:color w:val="auto"/>
          <w:sz w:val="21"/>
          <w:szCs w:val="21"/>
          <w:highlight w:val="none"/>
          <w:u w:val="none"/>
        </w:rPr>
        <w:fldChar w:fldCharType="end"/>
      </w:r>
      <w:r>
        <w:rPr>
          <w:rFonts w:hint="eastAsia" w:ascii="宋体" w:hAnsi="宋体" w:cs="宋体"/>
          <w:sz w:val="21"/>
          <w:szCs w:val="21"/>
          <w:highlight w:val="none"/>
        </w:rPr>
        <w:t>5</w:t>
      </w:r>
    </w:p>
    <w:p>
      <w:pPr>
        <w:pStyle w:val="326"/>
        <w:keepNext w:val="0"/>
        <w:keepLines w:val="0"/>
        <w:widowControl w:val="0"/>
        <w:kinsoku w:val="0"/>
        <w:spacing w:before="0" w:after="0" w:line="800" w:lineRule="exact"/>
        <w:rPr>
          <w:rFonts w:ascii="宋体" w:hAnsi="宋体" w:cs="宋体"/>
          <w:sz w:val="21"/>
          <w:szCs w:val="21"/>
          <w:highlight w:val="none"/>
        </w:rPr>
      </w:pPr>
      <w:r>
        <w:rPr>
          <w:highlight w:val="none"/>
        </w:rPr>
        <w:fldChar w:fldCharType="begin"/>
      </w:r>
      <w:r>
        <w:rPr>
          <w:highlight w:val="none"/>
        </w:rPr>
        <w:instrText xml:space="preserve"> HYPERLINK \l "_Toc405905874" </w:instrText>
      </w:r>
      <w:r>
        <w:rPr>
          <w:highlight w:val="none"/>
        </w:rPr>
        <w:fldChar w:fldCharType="separate"/>
      </w:r>
      <w:r>
        <w:rPr>
          <w:rStyle w:val="63"/>
          <w:rFonts w:hint="eastAsia" w:ascii="宋体" w:hAnsi="宋体" w:cs="宋体"/>
          <w:color w:val="auto"/>
          <w:sz w:val="21"/>
          <w:szCs w:val="21"/>
          <w:highlight w:val="none"/>
          <w:u w:val="none"/>
        </w:rPr>
        <w:t>第三章  采购需求</w:t>
      </w:r>
      <w:r>
        <w:rPr>
          <w:rFonts w:hint="eastAsia" w:ascii="宋体" w:hAnsi="宋体" w:cs="宋体"/>
          <w:sz w:val="21"/>
          <w:szCs w:val="21"/>
          <w:highlight w:val="none"/>
        </w:rPr>
        <w:t xml:space="preserve">…………………………………………………………………………………………… </w:t>
      </w:r>
      <w:r>
        <w:rPr>
          <w:rFonts w:hint="eastAsia" w:ascii="宋体" w:hAnsi="宋体" w:cs="宋体"/>
          <w:sz w:val="21"/>
          <w:szCs w:val="21"/>
          <w:highlight w:val="none"/>
        </w:rPr>
        <w:fldChar w:fldCharType="end"/>
      </w:r>
      <w:r>
        <w:rPr>
          <w:rFonts w:hint="eastAsia" w:ascii="宋体" w:hAnsi="宋体" w:cs="宋体"/>
          <w:sz w:val="21"/>
          <w:szCs w:val="21"/>
          <w:highlight w:val="none"/>
        </w:rPr>
        <w:t>20</w:t>
      </w:r>
    </w:p>
    <w:p>
      <w:pPr>
        <w:pStyle w:val="326"/>
        <w:keepNext w:val="0"/>
        <w:keepLines w:val="0"/>
        <w:widowControl w:val="0"/>
        <w:kinsoku w:val="0"/>
        <w:spacing w:before="0" w:after="0" w:line="800" w:lineRule="exact"/>
        <w:rPr>
          <w:rStyle w:val="65"/>
          <w:rFonts w:hint="default" w:ascii="宋体" w:hAnsi="宋体" w:eastAsia="宋体" w:cs="宋体"/>
          <w:color w:val="auto"/>
          <w:sz w:val="21"/>
          <w:szCs w:val="21"/>
          <w:highlight w:val="none"/>
          <w:u w:val="none"/>
          <w:lang w:val="en-US" w:eastAsia="zh-CN"/>
        </w:rPr>
      </w:pPr>
      <w:r>
        <w:rPr>
          <w:highlight w:val="none"/>
        </w:rPr>
        <w:fldChar w:fldCharType="begin"/>
      </w:r>
      <w:r>
        <w:rPr>
          <w:highlight w:val="none"/>
        </w:rPr>
        <w:instrText xml:space="preserve"> HYPERLINK \l "_Toc405905875" </w:instrText>
      </w:r>
      <w:r>
        <w:rPr>
          <w:highlight w:val="none"/>
        </w:rPr>
        <w:fldChar w:fldCharType="separate"/>
      </w:r>
      <w:r>
        <w:rPr>
          <w:rStyle w:val="65"/>
          <w:rFonts w:hint="eastAsia" w:ascii="宋体" w:hAnsi="宋体" w:cs="宋体"/>
          <w:color w:val="auto"/>
          <w:sz w:val="21"/>
          <w:szCs w:val="21"/>
          <w:highlight w:val="none"/>
          <w:u w:val="none"/>
        </w:rPr>
        <w:t xml:space="preserve">第四章  竞争性磋商响应文件格式………………………………………………………………………… </w:t>
      </w:r>
      <w:r>
        <w:rPr>
          <w:rStyle w:val="65"/>
          <w:rFonts w:hint="eastAsia" w:ascii="宋体" w:hAnsi="宋体" w:cs="宋体"/>
          <w:color w:val="auto"/>
          <w:sz w:val="21"/>
          <w:szCs w:val="21"/>
          <w:highlight w:val="none"/>
          <w:u w:val="none"/>
        </w:rPr>
        <w:fldChar w:fldCharType="end"/>
      </w:r>
      <w:r>
        <w:rPr>
          <w:rFonts w:hint="eastAsia" w:ascii="宋体" w:hAnsi="宋体" w:cs="宋体"/>
          <w:sz w:val="21"/>
          <w:szCs w:val="21"/>
          <w:highlight w:val="none"/>
          <w:lang w:val="en-US" w:eastAsia="zh-CN"/>
        </w:rPr>
        <w:t>45</w:t>
      </w:r>
    </w:p>
    <w:p>
      <w:pPr>
        <w:pStyle w:val="326"/>
        <w:keepNext w:val="0"/>
        <w:keepLines w:val="0"/>
        <w:widowControl w:val="0"/>
        <w:kinsoku w:val="0"/>
        <w:spacing w:before="0" w:after="0" w:line="800" w:lineRule="exact"/>
        <w:rPr>
          <w:rStyle w:val="65"/>
          <w:rFonts w:hint="default" w:ascii="宋体" w:hAnsi="宋体" w:eastAsia="宋体" w:cs="宋体"/>
          <w:bCs/>
          <w:color w:val="auto"/>
          <w:sz w:val="21"/>
          <w:szCs w:val="21"/>
          <w:highlight w:val="none"/>
          <w:u w:val="none"/>
          <w:lang w:val="en-US" w:eastAsia="zh-CN"/>
        </w:rPr>
      </w:pPr>
      <w:r>
        <w:rPr>
          <w:rStyle w:val="65"/>
          <w:rFonts w:hint="eastAsia" w:ascii="宋体" w:hAnsi="宋体" w:cs="宋体"/>
          <w:color w:val="auto"/>
          <w:sz w:val="21"/>
          <w:szCs w:val="21"/>
          <w:highlight w:val="none"/>
          <w:u w:val="none"/>
        </w:rPr>
        <w:t>第五章  合同主要条款</w:t>
      </w:r>
      <w:r>
        <w:rPr>
          <w:highlight w:val="none"/>
        </w:rPr>
        <w:fldChar w:fldCharType="begin"/>
      </w:r>
      <w:r>
        <w:rPr>
          <w:highlight w:val="none"/>
        </w:rPr>
        <w:instrText xml:space="preserve"> HYPERLINK \l "_Toc405905875" </w:instrText>
      </w:r>
      <w:r>
        <w:rPr>
          <w:highlight w:val="none"/>
        </w:rPr>
        <w:fldChar w:fldCharType="separate"/>
      </w:r>
      <w:r>
        <w:rPr>
          <w:rStyle w:val="65"/>
          <w:rFonts w:hint="eastAsia" w:ascii="宋体" w:hAnsi="宋体" w:cs="宋体"/>
          <w:color w:val="auto"/>
          <w:sz w:val="21"/>
          <w:szCs w:val="21"/>
          <w:highlight w:val="none"/>
          <w:u w:val="none"/>
        </w:rPr>
        <w:t>………………………………………………………………………………………</w:t>
      </w:r>
      <w:r>
        <w:rPr>
          <w:rStyle w:val="65"/>
          <w:rFonts w:hint="eastAsia" w:ascii="宋体" w:hAnsi="宋体" w:cs="宋体"/>
          <w:color w:val="auto"/>
          <w:sz w:val="21"/>
          <w:szCs w:val="21"/>
          <w:highlight w:val="none"/>
          <w:u w:val="none"/>
        </w:rPr>
        <w:fldChar w:fldCharType="end"/>
      </w:r>
      <w:r>
        <w:rPr>
          <w:rStyle w:val="65"/>
          <w:rFonts w:hint="eastAsia" w:ascii="宋体" w:hAnsi="宋体" w:cs="宋体"/>
          <w:bCs/>
          <w:color w:val="auto"/>
          <w:sz w:val="21"/>
          <w:szCs w:val="21"/>
          <w:highlight w:val="none"/>
          <w:u w:val="none"/>
        </w:rPr>
        <w:t xml:space="preserve"> </w:t>
      </w:r>
      <w:r>
        <w:rPr>
          <w:rStyle w:val="65"/>
          <w:rFonts w:hint="eastAsia" w:ascii="宋体" w:hAnsi="宋体" w:cs="宋体"/>
          <w:bCs/>
          <w:color w:val="auto"/>
          <w:sz w:val="21"/>
          <w:szCs w:val="21"/>
          <w:highlight w:val="none"/>
          <w:u w:val="none"/>
          <w:lang w:val="en-US" w:eastAsia="zh-CN"/>
        </w:rPr>
        <w:t>51</w:t>
      </w:r>
    </w:p>
    <w:p>
      <w:pPr>
        <w:pStyle w:val="326"/>
        <w:keepNext w:val="0"/>
        <w:keepLines w:val="0"/>
        <w:widowControl w:val="0"/>
        <w:kinsoku w:val="0"/>
        <w:spacing w:before="0" w:after="0" w:line="800" w:lineRule="exact"/>
        <w:rPr>
          <w:rFonts w:hint="default" w:ascii="宋体" w:hAnsi="宋体" w:eastAsia="宋体" w:cs="宋体"/>
          <w:b/>
          <w:highlight w:val="none"/>
          <w:lang w:val="en-US" w:eastAsia="zh-CN"/>
        </w:rPr>
      </w:pPr>
      <w:r>
        <w:rPr>
          <w:highlight w:val="none"/>
        </w:rPr>
        <w:fldChar w:fldCharType="begin"/>
      </w:r>
      <w:r>
        <w:rPr>
          <w:highlight w:val="none"/>
        </w:rPr>
        <w:instrText xml:space="preserve"> HYPERLINK \l "_Toc405905894" </w:instrText>
      </w:r>
      <w:r>
        <w:rPr>
          <w:highlight w:val="none"/>
        </w:rPr>
        <w:fldChar w:fldCharType="separate"/>
      </w:r>
      <w:r>
        <w:rPr>
          <w:rStyle w:val="65"/>
          <w:rFonts w:hint="eastAsia" w:ascii="宋体" w:hAnsi="宋体" w:cs="宋体"/>
          <w:color w:val="auto"/>
          <w:kern w:val="0"/>
          <w:sz w:val="21"/>
          <w:szCs w:val="21"/>
          <w:highlight w:val="none"/>
          <w:u w:val="none"/>
        </w:rPr>
        <w:t>第六章  评标办法及评分标准</w:t>
      </w:r>
      <w:r>
        <w:rPr>
          <w:rFonts w:hint="eastAsia" w:ascii="宋体" w:hAnsi="宋体" w:cs="宋体"/>
          <w:sz w:val="21"/>
          <w:szCs w:val="21"/>
          <w:highlight w:val="none"/>
        </w:rPr>
        <w:t>……………………………………………………………………………</w:t>
      </w:r>
      <w:r>
        <w:rPr>
          <w:rFonts w:hint="eastAsia" w:ascii="宋体" w:hAnsi="宋体" w:cs="宋体"/>
          <w:sz w:val="21"/>
          <w:highlight w:val="none"/>
        </w:rPr>
        <w:t xml:space="preserve">… </w:t>
      </w:r>
      <w:r>
        <w:rPr>
          <w:rFonts w:hint="eastAsia" w:ascii="宋体" w:hAnsi="宋体" w:cs="宋体"/>
          <w:sz w:val="21"/>
          <w:highlight w:val="none"/>
        </w:rPr>
        <w:fldChar w:fldCharType="end"/>
      </w:r>
      <w:r>
        <w:rPr>
          <w:rFonts w:hint="eastAsia" w:ascii="宋体" w:hAnsi="宋体" w:cs="宋体"/>
          <w:sz w:val="21"/>
          <w:highlight w:val="none"/>
          <w:lang w:val="en-US" w:eastAsia="zh-CN"/>
        </w:rPr>
        <w:t>58</w:t>
      </w:r>
    </w:p>
    <w:p>
      <w:pPr>
        <w:kinsoku w:val="0"/>
        <w:spacing w:line="400" w:lineRule="exact"/>
        <w:jc w:val="center"/>
        <w:rPr>
          <w:rFonts w:ascii="宋体" w:hAnsi="宋体" w:cs="宋体"/>
          <w:b/>
          <w:sz w:val="30"/>
          <w:szCs w:val="30"/>
          <w:highlight w:val="none"/>
        </w:rPr>
      </w:pPr>
    </w:p>
    <w:p>
      <w:pPr>
        <w:kinsoku w:val="0"/>
        <w:spacing w:line="400" w:lineRule="exact"/>
        <w:jc w:val="center"/>
        <w:rPr>
          <w:rFonts w:ascii="宋体" w:hAnsi="宋体" w:cs="宋体"/>
          <w:b/>
          <w:sz w:val="30"/>
          <w:szCs w:val="30"/>
          <w:highlight w:val="none"/>
        </w:rPr>
      </w:pPr>
    </w:p>
    <w:p>
      <w:pPr>
        <w:kinsoku w:val="0"/>
        <w:spacing w:line="400" w:lineRule="exact"/>
        <w:jc w:val="center"/>
        <w:rPr>
          <w:rFonts w:hint="eastAsia" w:ascii="宋体" w:hAnsi="宋体" w:eastAsia="宋体" w:cs="宋体"/>
          <w:b/>
          <w:sz w:val="32"/>
          <w:szCs w:val="32"/>
          <w:highlight w:val="none"/>
          <w:lang w:val="en-US" w:eastAsia="zh-CN"/>
        </w:rPr>
      </w:pPr>
    </w:p>
    <w:p>
      <w:pPr>
        <w:kinsoku w:val="0"/>
        <w:spacing w:line="400" w:lineRule="exact"/>
        <w:jc w:val="center"/>
        <w:rPr>
          <w:rFonts w:ascii="宋体" w:hAnsi="宋体" w:cs="宋体"/>
          <w:b/>
          <w:sz w:val="32"/>
          <w:szCs w:val="32"/>
          <w:highlight w:val="none"/>
        </w:rPr>
      </w:pPr>
    </w:p>
    <w:p>
      <w:pPr>
        <w:kinsoku w:val="0"/>
        <w:spacing w:line="400" w:lineRule="exact"/>
        <w:jc w:val="center"/>
        <w:rPr>
          <w:rFonts w:ascii="宋体" w:hAnsi="宋体" w:cs="宋体"/>
          <w:b/>
          <w:sz w:val="32"/>
          <w:szCs w:val="32"/>
          <w:highlight w:val="none"/>
        </w:rPr>
      </w:pPr>
    </w:p>
    <w:p>
      <w:pPr>
        <w:kinsoku w:val="0"/>
        <w:spacing w:line="400" w:lineRule="exact"/>
        <w:jc w:val="center"/>
        <w:rPr>
          <w:rFonts w:ascii="宋体" w:hAnsi="宋体" w:cs="宋体"/>
          <w:b/>
          <w:sz w:val="32"/>
          <w:szCs w:val="32"/>
          <w:highlight w:val="none"/>
        </w:rPr>
      </w:pPr>
    </w:p>
    <w:p>
      <w:pPr>
        <w:kinsoku w:val="0"/>
        <w:spacing w:line="400" w:lineRule="exact"/>
        <w:jc w:val="center"/>
        <w:rPr>
          <w:rFonts w:ascii="宋体" w:hAnsi="宋体" w:cs="宋体"/>
          <w:b/>
          <w:sz w:val="32"/>
          <w:szCs w:val="32"/>
          <w:highlight w:val="none"/>
        </w:rPr>
      </w:pPr>
    </w:p>
    <w:p>
      <w:pPr>
        <w:kinsoku w:val="0"/>
        <w:spacing w:line="400" w:lineRule="exact"/>
        <w:jc w:val="center"/>
        <w:rPr>
          <w:rFonts w:ascii="宋体" w:hAnsi="宋体" w:cs="宋体"/>
          <w:b/>
          <w:sz w:val="32"/>
          <w:szCs w:val="32"/>
          <w:highlight w:val="none"/>
        </w:rPr>
      </w:pPr>
    </w:p>
    <w:p>
      <w:pPr>
        <w:kinsoku w:val="0"/>
        <w:spacing w:line="400" w:lineRule="exact"/>
        <w:jc w:val="center"/>
        <w:rPr>
          <w:rFonts w:ascii="宋体" w:hAnsi="宋体" w:cs="宋体"/>
          <w:b/>
          <w:sz w:val="32"/>
          <w:szCs w:val="32"/>
          <w:highlight w:val="none"/>
        </w:rPr>
      </w:pPr>
    </w:p>
    <w:p>
      <w:pPr>
        <w:kinsoku w:val="0"/>
        <w:spacing w:line="400" w:lineRule="exact"/>
        <w:jc w:val="center"/>
        <w:rPr>
          <w:rFonts w:ascii="宋体" w:hAnsi="宋体" w:cs="宋体"/>
          <w:b/>
          <w:sz w:val="32"/>
          <w:szCs w:val="32"/>
          <w:highlight w:val="none"/>
        </w:rPr>
      </w:pPr>
    </w:p>
    <w:p>
      <w:pPr>
        <w:kinsoku w:val="0"/>
        <w:spacing w:line="400" w:lineRule="exact"/>
        <w:jc w:val="center"/>
        <w:rPr>
          <w:rFonts w:ascii="宋体" w:hAnsi="宋体" w:cs="宋体"/>
          <w:b/>
          <w:sz w:val="32"/>
          <w:szCs w:val="32"/>
          <w:highlight w:val="none"/>
        </w:rPr>
      </w:pPr>
    </w:p>
    <w:p>
      <w:pPr>
        <w:kinsoku w:val="0"/>
        <w:spacing w:line="400" w:lineRule="exact"/>
        <w:jc w:val="center"/>
        <w:rPr>
          <w:rFonts w:ascii="宋体" w:hAnsi="宋体" w:cs="宋体"/>
          <w:b/>
          <w:sz w:val="32"/>
          <w:szCs w:val="32"/>
          <w:highlight w:val="none"/>
        </w:rPr>
      </w:pPr>
    </w:p>
    <w:p>
      <w:pPr>
        <w:kinsoku w:val="0"/>
        <w:spacing w:line="400" w:lineRule="exact"/>
        <w:jc w:val="center"/>
        <w:rPr>
          <w:rFonts w:ascii="宋体" w:hAnsi="宋体" w:cs="宋体"/>
          <w:b/>
          <w:sz w:val="32"/>
          <w:szCs w:val="32"/>
          <w:highlight w:val="none"/>
        </w:rPr>
      </w:pPr>
    </w:p>
    <w:p>
      <w:pPr>
        <w:kinsoku w:val="0"/>
        <w:spacing w:line="400" w:lineRule="exact"/>
        <w:jc w:val="center"/>
        <w:rPr>
          <w:rFonts w:ascii="宋体" w:hAnsi="宋体" w:cs="宋体"/>
          <w:b/>
          <w:sz w:val="32"/>
          <w:szCs w:val="32"/>
          <w:highlight w:val="none"/>
        </w:rPr>
      </w:pPr>
    </w:p>
    <w:p>
      <w:pPr>
        <w:pStyle w:val="2"/>
        <w:rPr>
          <w:rFonts w:ascii="宋体" w:hAnsi="宋体" w:cs="宋体"/>
          <w:b/>
          <w:sz w:val="32"/>
          <w:szCs w:val="32"/>
          <w:highlight w:val="none"/>
        </w:rPr>
      </w:pPr>
    </w:p>
    <w:p>
      <w:pPr>
        <w:pStyle w:val="2"/>
        <w:rPr>
          <w:rFonts w:ascii="宋体" w:hAnsi="宋体" w:cs="宋体"/>
          <w:b/>
          <w:sz w:val="32"/>
          <w:szCs w:val="32"/>
          <w:highlight w:val="none"/>
        </w:rPr>
      </w:pPr>
    </w:p>
    <w:p>
      <w:pPr>
        <w:kinsoku w:val="0"/>
        <w:spacing w:line="500" w:lineRule="exact"/>
        <w:outlineLvl w:val="0"/>
        <w:rPr>
          <w:rStyle w:val="61"/>
          <w:rFonts w:ascii="宋体" w:hAnsi="宋体" w:cs="宋体"/>
          <w:sz w:val="36"/>
          <w:szCs w:val="36"/>
          <w:highlight w:val="none"/>
        </w:rPr>
      </w:pPr>
    </w:p>
    <w:p>
      <w:pPr>
        <w:kinsoku w:val="0"/>
        <w:spacing w:line="600" w:lineRule="exact"/>
        <w:jc w:val="center"/>
        <w:outlineLvl w:val="0"/>
        <w:rPr>
          <w:rFonts w:ascii="宋体" w:hAnsi="宋体" w:cs="宋体"/>
          <w:b/>
          <w:bCs/>
          <w:sz w:val="36"/>
          <w:szCs w:val="36"/>
          <w:highlight w:val="none"/>
        </w:rPr>
      </w:pPr>
      <w:r>
        <w:rPr>
          <w:rStyle w:val="61"/>
          <w:rFonts w:hint="eastAsia" w:ascii="宋体" w:hAnsi="宋体" w:cs="宋体"/>
          <w:sz w:val="36"/>
          <w:szCs w:val="36"/>
          <w:highlight w:val="none"/>
        </w:rPr>
        <w:t>第一章 竞争性磋商公告</w:t>
      </w:r>
      <w:bookmarkStart w:id="0" w:name="_Toc405905873"/>
    </w:p>
    <w:p>
      <w:pPr>
        <w:pStyle w:val="3"/>
        <w:keepNext w:val="0"/>
        <w:keepLines w:val="0"/>
        <w:tabs>
          <w:tab w:val="left" w:pos="0"/>
        </w:tabs>
        <w:kinsoku w:val="0"/>
        <w:autoSpaceDE w:val="0"/>
        <w:autoSpaceDN w:val="0"/>
        <w:adjustRightInd w:val="0"/>
        <w:spacing w:before="0" w:after="0" w:line="500" w:lineRule="exact"/>
        <w:jc w:val="center"/>
        <w:rPr>
          <w:rFonts w:hint="eastAsia" w:ascii="宋体" w:hAnsi="宋体" w:eastAsia="宋体" w:cs="宋体"/>
          <w:sz w:val="32"/>
          <w:szCs w:val="32"/>
          <w:highlight w:val="none"/>
          <w:lang w:eastAsia="zh-CN"/>
        </w:rPr>
      </w:pPr>
      <w:r>
        <w:rPr>
          <w:rFonts w:hint="eastAsia" w:ascii="宋体" w:hAnsi="宋体" w:cs="宋体"/>
          <w:sz w:val="32"/>
          <w:szCs w:val="32"/>
          <w:highlight w:val="none"/>
          <w:lang w:eastAsia="zh-CN"/>
        </w:rPr>
        <w:t>环境监测数据综合分析系统升级改造项目采购</w:t>
      </w:r>
    </w:p>
    <w:p>
      <w:pPr>
        <w:pStyle w:val="3"/>
        <w:keepNext w:val="0"/>
        <w:keepLines w:val="0"/>
        <w:tabs>
          <w:tab w:val="left" w:pos="0"/>
        </w:tabs>
        <w:kinsoku w:val="0"/>
        <w:autoSpaceDE w:val="0"/>
        <w:autoSpaceDN w:val="0"/>
        <w:adjustRightInd w:val="0"/>
        <w:spacing w:before="0" w:after="0" w:line="500" w:lineRule="exact"/>
        <w:jc w:val="center"/>
        <w:rPr>
          <w:rFonts w:ascii="宋体" w:hAnsi="宋体" w:cs="宋体"/>
          <w:sz w:val="32"/>
          <w:szCs w:val="32"/>
          <w:highlight w:val="none"/>
        </w:rPr>
      </w:pPr>
      <w:r>
        <w:rPr>
          <w:rFonts w:hint="eastAsia" w:ascii="宋体" w:hAnsi="宋体" w:cs="宋体"/>
          <w:sz w:val="32"/>
          <w:szCs w:val="32"/>
          <w:highlight w:val="none"/>
        </w:rPr>
        <w:t>（</w:t>
      </w:r>
      <w:r>
        <w:rPr>
          <w:rFonts w:hint="eastAsia" w:ascii="宋体" w:hAnsi="宋体" w:cs="宋体"/>
          <w:sz w:val="32"/>
          <w:szCs w:val="32"/>
          <w:highlight w:val="none"/>
          <w:lang w:eastAsia="zh-CN"/>
        </w:rPr>
        <w:t>GXZC2022-C3-002794-GXXY</w:t>
      </w:r>
      <w:r>
        <w:rPr>
          <w:rFonts w:hint="eastAsia" w:ascii="宋体" w:hAnsi="宋体" w:cs="宋体"/>
          <w:sz w:val="32"/>
          <w:szCs w:val="32"/>
          <w:highlight w:val="none"/>
        </w:rPr>
        <w:t>）竞争性磋商公告</w:t>
      </w:r>
    </w:p>
    <w:p>
      <w:pPr>
        <w:pBdr>
          <w:top w:val="single" w:color="auto" w:sz="4" w:space="1"/>
          <w:left w:val="single" w:color="auto" w:sz="4" w:space="4"/>
          <w:bottom w:val="single" w:color="auto" w:sz="4" w:space="1"/>
          <w:right w:val="single" w:color="auto" w:sz="4" w:space="4"/>
        </w:pBdr>
        <w:kinsoku w:val="0"/>
        <w:spacing w:line="400" w:lineRule="exact"/>
        <w:ind w:firstLine="420" w:firstLineChars="200"/>
        <w:rPr>
          <w:rFonts w:ascii="宋体" w:hAnsi="宋体" w:cs="宋体"/>
          <w:szCs w:val="21"/>
          <w:highlight w:val="none"/>
        </w:rPr>
      </w:pPr>
      <w:r>
        <w:rPr>
          <w:rFonts w:hint="eastAsia" w:ascii="宋体" w:hAnsi="宋体" w:cs="宋体"/>
          <w:szCs w:val="21"/>
          <w:highlight w:val="none"/>
        </w:rPr>
        <w:t>项目概况</w:t>
      </w:r>
    </w:p>
    <w:p>
      <w:pPr>
        <w:pBdr>
          <w:top w:val="single" w:color="auto" w:sz="4" w:space="1"/>
          <w:left w:val="single" w:color="auto" w:sz="4" w:space="4"/>
          <w:bottom w:val="single" w:color="auto" w:sz="4" w:space="1"/>
          <w:right w:val="single" w:color="auto" w:sz="4" w:space="4"/>
        </w:pBdr>
        <w:kinsoku w:val="0"/>
        <w:spacing w:line="400" w:lineRule="exact"/>
        <w:ind w:firstLine="420" w:firstLineChars="200"/>
        <w:rPr>
          <w:rFonts w:ascii="宋体" w:hAnsi="宋体" w:cs="宋体"/>
          <w:szCs w:val="21"/>
          <w:highlight w:val="none"/>
        </w:rPr>
      </w:pPr>
      <w:r>
        <w:rPr>
          <w:rFonts w:hint="eastAsia" w:ascii="宋体" w:hAnsi="宋体" w:cs="宋体"/>
          <w:szCs w:val="21"/>
          <w:highlight w:val="none"/>
          <w:lang w:eastAsia="zh-CN"/>
        </w:rPr>
        <w:t>环境监测数据综合分析系统升级改造项目采购</w:t>
      </w:r>
      <w:r>
        <w:rPr>
          <w:rFonts w:hint="eastAsia" w:ascii="宋体" w:hAnsi="宋体" w:cs="宋体"/>
          <w:szCs w:val="21"/>
          <w:highlight w:val="none"/>
        </w:rPr>
        <w:t>采购项目的潜在投标人应在</w:t>
      </w:r>
      <w:r>
        <w:rPr>
          <w:rFonts w:hint="eastAsia" w:ascii="宋体" w:hAnsi="宋体" w:cs="宋体"/>
          <w:szCs w:val="21"/>
          <w:highlight w:val="none"/>
          <w:u w:val="single"/>
        </w:rPr>
        <w:t>广西政府采购网政采云平台（http://zfcg.gxzf.gov.cn/）</w:t>
      </w:r>
      <w:r>
        <w:rPr>
          <w:rFonts w:hint="eastAsia" w:ascii="宋体" w:hAnsi="宋体" w:cs="宋体"/>
          <w:szCs w:val="21"/>
          <w:highlight w:val="none"/>
        </w:rPr>
        <w:t>获取采购文件，并于</w:t>
      </w:r>
      <w:r>
        <w:rPr>
          <w:rFonts w:hint="eastAsia" w:ascii="宋体" w:hAnsi="宋体" w:cs="宋体"/>
          <w:szCs w:val="21"/>
          <w:highlight w:val="none"/>
          <w:u w:val="single"/>
        </w:rPr>
        <w:t>2022年</w:t>
      </w:r>
      <w:r>
        <w:rPr>
          <w:rFonts w:hint="eastAsia" w:ascii="宋体" w:hAnsi="宋体" w:cs="宋体"/>
          <w:szCs w:val="21"/>
          <w:highlight w:val="none"/>
          <w:u w:val="single"/>
          <w:lang w:val="en-US" w:eastAsia="zh-CN"/>
        </w:rPr>
        <w:t>9</w:t>
      </w:r>
      <w:r>
        <w:rPr>
          <w:rFonts w:hint="eastAsia" w:ascii="宋体" w:hAnsi="宋体" w:cs="宋体"/>
          <w:szCs w:val="21"/>
          <w:highlight w:val="none"/>
          <w:u w:val="single"/>
        </w:rPr>
        <w:t>月</w:t>
      </w:r>
      <w:r>
        <w:rPr>
          <w:rFonts w:hint="eastAsia" w:ascii="宋体" w:hAnsi="宋体" w:cs="宋体"/>
          <w:szCs w:val="21"/>
          <w:highlight w:val="none"/>
          <w:u w:val="single"/>
          <w:lang w:val="en-US" w:eastAsia="zh-CN"/>
        </w:rPr>
        <w:t>6</w:t>
      </w:r>
      <w:r>
        <w:rPr>
          <w:rFonts w:hint="eastAsia" w:ascii="宋体" w:hAnsi="宋体" w:cs="宋体"/>
          <w:szCs w:val="21"/>
          <w:highlight w:val="none"/>
          <w:u w:val="single"/>
        </w:rPr>
        <w:t>日</w:t>
      </w:r>
      <w:r>
        <w:rPr>
          <w:rFonts w:hint="eastAsia" w:ascii="宋体" w:hAnsi="宋体" w:cs="宋体"/>
          <w:szCs w:val="21"/>
          <w:highlight w:val="none"/>
          <w:u w:val="single"/>
          <w:lang w:val="en-US" w:eastAsia="zh-CN"/>
        </w:rPr>
        <w:t>9</w:t>
      </w:r>
      <w:r>
        <w:rPr>
          <w:rFonts w:hint="eastAsia" w:ascii="宋体" w:hAnsi="宋体" w:cs="宋体"/>
          <w:szCs w:val="21"/>
          <w:highlight w:val="none"/>
          <w:u w:val="single"/>
        </w:rPr>
        <w:t>点</w:t>
      </w:r>
      <w:r>
        <w:rPr>
          <w:rFonts w:hint="eastAsia" w:ascii="宋体" w:hAnsi="宋体" w:cs="宋体"/>
          <w:szCs w:val="21"/>
          <w:highlight w:val="none"/>
          <w:u w:val="single"/>
          <w:lang w:val="en-US" w:eastAsia="zh-CN"/>
        </w:rPr>
        <w:t>00</w:t>
      </w:r>
      <w:r>
        <w:rPr>
          <w:rFonts w:hint="eastAsia" w:ascii="宋体" w:hAnsi="宋体" w:cs="宋体"/>
          <w:szCs w:val="21"/>
          <w:highlight w:val="none"/>
          <w:u w:val="single"/>
        </w:rPr>
        <w:t>分</w:t>
      </w:r>
      <w:r>
        <w:rPr>
          <w:rFonts w:hint="eastAsia" w:ascii="宋体" w:hAnsi="宋体" w:cs="宋体"/>
          <w:bCs/>
          <w:szCs w:val="21"/>
          <w:highlight w:val="none"/>
        </w:rPr>
        <w:t>（北京时间）前提交响应文件</w:t>
      </w:r>
      <w:r>
        <w:rPr>
          <w:rFonts w:hint="eastAsia" w:ascii="宋体" w:hAnsi="宋体" w:cs="宋体"/>
          <w:szCs w:val="21"/>
          <w:highlight w:val="none"/>
        </w:rPr>
        <w:t>。</w:t>
      </w:r>
    </w:p>
    <w:p>
      <w:pPr>
        <w:pStyle w:val="4"/>
        <w:keepNext w:val="0"/>
        <w:keepLines w:val="0"/>
        <w:kinsoku w:val="0"/>
        <w:spacing w:before="0" w:after="0" w:line="400" w:lineRule="exact"/>
        <w:rPr>
          <w:rFonts w:ascii="宋体" w:hAnsi="宋体" w:eastAsia="宋体" w:cs="宋体"/>
          <w:bCs w:val="0"/>
          <w:szCs w:val="21"/>
          <w:highlight w:val="none"/>
        </w:rPr>
      </w:pPr>
      <w:bookmarkStart w:id="1" w:name="_Toc35393798"/>
      <w:bookmarkStart w:id="2" w:name="_Toc35393629"/>
      <w:bookmarkStart w:id="3" w:name="_Toc28359012"/>
      <w:bookmarkStart w:id="4" w:name="_Toc28359089"/>
      <w:r>
        <w:rPr>
          <w:rFonts w:hint="eastAsia" w:ascii="宋体" w:hAnsi="宋体" w:eastAsia="宋体" w:cs="宋体"/>
          <w:bCs w:val="0"/>
          <w:szCs w:val="21"/>
          <w:highlight w:val="none"/>
        </w:rPr>
        <w:t>一、项目基本情况</w:t>
      </w:r>
      <w:bookmarkEnd w:id="1"/>
      <w:bookmarkEnd w:id="2"/>
      <w:bookmarkEnd w:id="3"/>
      <w:bookmarkEnd w:id="4"/>
    </w:p>
    <w:p>
      <w:pPr>
        <w:kinsoku w:val="0"/>
        <w:spacing w:line="360" w:lineRule="exact"/>
        <w:ind w:firstLine="420" w:firstLineChars="200"/>
        <w:rPr>
          <w:rFonts w:hint="eastAsia" w:ascii="宋体" w:hAnsi="宋体" w:eastAsia="宋体" w:cs="仿宋_GB2312"/>
          <w:szCs w:val="21"/>
          <w:highlight w:val="none"/>
          <w:lang w:eastAsia="zh-CN"/>
        </w:rPr>
      </w:pPr>
      <w:r>
        <w:rPr>
          <w:rFonts w:hint="eastAsia" w:ascii="宋体" w:hAnsi="宋体" w:cs="宋体"/>
          <w:szCs w:val="21"/>
          <w:highlight w:val="none"/>
        </w:rPr>
        <w:t>1.项目编号：</w:t>
      </w:r>
      <w:r>
        <w:rPr>
          <w:rFonts w:hint="eastAsia" w:ascii="宋体" w:hAnsi="宋体" w:cs="仿宋_GB2312"/>
          <w:szCs w:val="21"/>
          <w:highlight w:val="none"/>
          <w:lang w:eastAsia="zh-CN"/>
        </w:rPr>
        <w:t>GXZC2022-C3-002794-GXXY</w:t>
      </w:r>
    </w:p>
    <w:p>
      <w:pPr>
        <w:kinsoku w:val="0"/>
        <w:spacing w:line="360" w:lineRule="exact"/>
        <w:ind w:firstLine="420" w:firstLineChars="200"/>
        <w:rPr>
          <w:rFonts w:hint="eastAsia" w:ascii="宋体" w:hAnsi="宋体" w:eastAsia="宋体" w:cs="仿宋_GB2312"/>
          <w:szCs w:val="21"/>
          <w:highlight w:val="none"/>
          <w:lang w:eastAsia="zh-CN"/>
        </w:rPr>
      </w:pPr>
      <w:r>
        <w:rPr>
          <w:rFonts w:hint="eastAsia" w:ascii="宋体" w:hAnsi="宋体" w:cs="仿宋_GB2312"/>
          <w:szCs w:val="21"/>
          <w:highlight w:val="none"/>
        </w:rPr>
        <w:t>2.项目名称：</w:t>
      </w:r>
      <w:r>
        <w:rPr>
          <w:rFonts w:hint="eastAsia" w:ascii="宋体" w:hAnsi="宋体" w:cs="仿宋_GB2312"/>
          <w:szCs w:val="21"/>
          <w:highlight w:val="none"/>
          <w:lang w:eastAsia="zh-CN"/>
        </w:rPr>
        <w:t>环境监测数据综合分析系统升级改造项目采购</w:t>
      </w:r>
    </w:p>
    <w:p>
      <w:pPr>
        <w:kinsoku w:val="0"/>
        <w:spacing w:line="400" w:lineRule="exact"/>
        <w:ind w:firstLine="420" w:firstLineChars="200"/>
        <w:rPr>
          <w:rFonts w:ascii="宋体" w:hAnsi="宋体" w:cs="宋体"/>
          <w:szCs w:val="21"/>
          <w:highlight w:val="none"/>
        </w:rPr>
      </w:pPr>
      <w:r>
        <w:rPr>
          <w:rFonts w:hint="eastAsia" w:ascii="宋体" w:hAnsi="宋体" w:cs="宋体"/>
          <w:szCs w:val="21"/>
          <w:highlight w:val="none"/>
        </w:rPr>
        <w:t>3.采购方式：□竞争性谈判 ☑竞争性磋商 □询价</w:t>
      </w:r>
    </w:p>
    <w:p>
      <w:pPr>
        <w:kinsoku w:val="0"/>
        <w:spacing w:line="360" w:lineRule="exact"/>
        <w:ind w:firstLine="420" w:firstLineChars="200"/>
        <w:rPr>
          <w:rFonts w:ascii="宋体" w:hAnsi="宋体" w:cs="宋体"/>
          <w:szCs w:val="21"/>
          <w:highlight w:val="none"/>
        </w:rPr>
      </w:pPr>
      <w:r>
        <w:rPr>
          <w:rFonts w:hint="eastAsia" w:ascii="宋体" w:hAnsi="宋体" w:cs="宋体"/>
          <w:szCs w:val="21"/>
          <w:highlight w:val="none"/>
        </w:rPr>
        <w:t>4.预算金额：壹佰贰拾玖万柒仟柒佰元整（¥1297700.00）。</w:t>
      </w:r>
    </w:p>
    <w:p>
      <w:pPr>
        <w:keepNext/>
        <w:spacing w:line="400" w:lineRule="exact"/>
        <w:ind w:firstLine="420" w:firstLineChars="200"/>
        <w:rPr>
          <w:rFonts w:ascii="宋体" w:hAnsi="宋体"/>
          <w:highlight w:val="none"/>
        </w:rPr>
      </w:pPr>
      <w:r>
        <w:rPr>
          <w:rFonts w:hint="eastAsia" w:ascii="宋体" w:hAnsi="宋体" w:cs="宋体"/>
          <w:szCs w:val="21"/>
          <w:highlight w:val="none"/>
        </w:rPr>
        <w:t>5.采购需求：</w:t>
      </w:r>
      <w:r>
        <w:rPr>
          <w:rFonts w:hint="eastAsia" w:ascii="宋体" w:hAnsi="宋体" w:cs="仿宋_GB2312"/>
          <w:szCs w:val="21"/>
          <w:highlight w:val="none"/>
        </w:rPr>
        <w:t>本项目</w:t>
      </w:r>
      <w:r>
        <w:rPr>
          <w:rFonts w:hint="eastAsia" w:ascii="宋体" w:hAnsi="宋体" w:cs="Arial"/>
          <w:szCs w:val="21"/>
          <w:highlight w:val="none"/>
        </w:rPr>
        <w:t>主要服务内容为：</w:t>
      </w:r>
      <w:r>
        <w:rPr>
          <w:rFonts w:hint="eastAsia" w:ascii="宋体" w:hAnsi="宋体" w:cs="仿宋_GB2312"/>
          <w:szCs w:val="21"/>
          <w:highlight w:val="none"/>
        </w:rPr>
        <w:t>根据采购人的工作实际，对海洋站环境监测数据综合分析系统进行一次较全面的升级改造，主要实现实验室管理系统、海洋环境监测数据综合管理系统、综合业务管理、移动监测、接口对接及数据共享、国产化适配六个部分的业务功能。如需进一步了解详细内容，详见本公告附件及本项目竞争性磋商文件。</w:t>
      </w:r>
    </w:p>
    <w:p>
      <w:pPr>
        <w:keepNext/>
        <w:spacing w:line="400" w:lineRule="exact"/>
        <w:ind w:firstLine="420" w:firstLineChars="200"/>
        <w:rPr>
          <w:rFonts w:ascii="宋体" w:hAnsi="宋体"/>
          <w:highlight w:val="none"/>
          <w:u w:val="single"/>
        </w:rPr>
      </w:pPr>
      <w:r>
        <w:rPr>
          <w:rFonts w:hint="eastAsia" w:ascii="宋体" w:hAnsi="宋体"/>
          <w:highlight w:val="none"/>
        </w:rPr>
        <w:t>6.合同履行期限：</w:t>
      </w:r>
      <w:r>
        <w:rPr>
          <w:rFonts w:hint="eastAsia" w:ascii="宋体" w:hAnsi="宋体"/>
          <w:highlight w:val="none"/>
          <w:lang w:val="en-US" w:eastAsia="zh-CN"/>
        </w:rPr>
        <w:t>7个月</w:t>
      </w:r>
      <w:r>
        <w:rPr>
          <w:rFonts w:hint="eastAsia" w:ascii="宋体" w:hAnsi="宋体"/>
          <w:highlight w:val="none"/>
        </w:rPr>
        <w:t>。</w:t>
      </w:r>
    </w:p>
    <w:p>
      <w:pPr>
        <w:kinsoku w:val="0"/>
        <w:spacing w:line="360" w:lineRule="exact"/>
        <w:ind w:firstLine="420" w:firstLineChars="200"/>
        <w:rPr>
          <w:rFonts w:ascii="宋体" w:hAnsi="宋体" w:cs="宋体"/>
          <w:szCs w:val="21"/>
          <w:highlight w:val="none"/>
        </w:rPr>
      </w:pPr>
      <w:r>
        <w:rPr>
          <w:rFonts w:hint="eastAsia" w:ascii="宋体" w:hAnsi="宋体"/>
          <w:highlight w:val="none"/>
        </w:rPr>
        <w:t>7.本项目不接受联合体投标</w:t>
      </w:r>
    </w:p>
    <w:p>
      <w:pPr>
        <w:pStyle w:val="4"/>
        <w:keepNext w:val="0"/>
        <w:keepLines w:val="0"/>
        <w:kinsoku w:val="0"/>
        <w:spacing w:before="0" w:after="0" w:line="400" w:lineRule="exact"/>
        <w:rPr>
          <w:rFonts w:ascii="宋体" w:hAnsi="宋体" w:eastAsia="宋体" w:cs="宋体"/>
          <w:b w:val="0"/>
          <w:szCs w:val="21"/>
          <w:highlight w:val="none"/>
        </w:rPr>
      </w:pPr>
      <w:bookmarkStart w:id="5" w:name="_Toc35393630"/>
      <w:bookmarkStart w:id="6" w:name="_Toc28359013"/>
      <w:bookmarkStart w:id="7" w:name="_Toc28359090"/>
      <w:bookmarkStart w:id="8" w:name="_Toc35393799"/>
      <w:r>
        <w:rPr>
          <w:rFonts w:hint="eastAsia" w:ascii="宋体" w:hAnsi="宋体" w:eastAsia="宋体" w:cs="宋体"/>
          <w:bCs w:val="0"/>
          <w:szCs w:val="21"/>
          <w:highlight w:val="none"/>
        </w:rPr>
        <w:t>二、申请人的资格要求：</w:t>
      </w:r>
      <w:bookmarkEnd w:id="5"/>
      <w:bookmarkEnd w:id="6"/>
      <w:bookmarkEnd w:id="7"/>
      <w:bookmarkEnd w:id="8"/>
    </w:p>
    <w:p>
      <w:pPr>
        <w:kinsoku w:val="0"/>
        <w:spacing w:line="400" w:lineRule="exact"/>
        <w:ind w:firstLine="420" w:firstLineChars="200"/>
        <w:rPr>
          <w:rFonts w:ascii="宋体" w:hAnsi="宋体" w:cs="宋体"/>
          <w:szCs w:val="21"/>
          <w:highlight w:val="none"/>
        </w:rPr>
      </w:pPr>
      <w:bookmarkStart w:id="9" w:name="_Toc28359091"/>
      <w:bookmarkStart w:id="10" w:name="_Toc28359014"/>
      <w:r>
        <w:rPr>
          <w:rFonts w:hint="eastAsia" w:ascii="宋体" w:hAnsi="宋体" w:cs="宋体"/>
          <w:szCs w:val="21"/>
          <w:highlight w:val="none"/>
        </w:rPr>
        <w:t>1.满足《中华人民共和国政府采购法》第二十二条规定；</w:t>
      </w:r>
    </w:p>
    <w:p>
      <w:pPr>
        <w:kinsoku w:val="0"/>
        <w:spacing w:line="400" w:lineRule="exact"/>
        <w:ind w:firstLine="420" w:firstLineChars="200"/>
        <w:rPr>
          <w:rFonts w:ascii="宋体" w:hAnsi="宋体" w:cs="宋体"/>
          <w:szCs w:val="21"/>
          <w:highlight w:val="none"/>
        </w:rPr>
      </w:pPr>
      <w:r>
        <w:rPr>
          <w:rFonts w:hint="eastAsia" w:ascii="宋体" w:hAnsi="宋体" w:cs="宋体"/>
          <w:szCs w:val="21"/>
          <w:highlight w:val="none"/>
        </w:rPr>
        <w:t>2.落实政府采购政策需满足的资格要求：</w:t>
      </w:r>
      <w:r>
        <w:rPr>
          <w:rFonts w:hint="eastAsia" w:ascii="宋体" w:hAnsi="宋体" w:cs="宋体"/>
          <w:color w:val="auto"/>
          <w:szCs w:val="21"/>
          <w:highlight w:val="none"/>
          <w:u w:val="none"/>
        </w:rPr>
        <w:t>本项目属于专门面向中小企业采购的项目，投标人须根据</w:t>
      </w:r>
      <w:r>
        <w:rPr>
          <w:rFonts w:hint="eastAsia" w:ascii="宋体" w:hAnsi="宋体" w:cs="宋体"/>
          <w:color w:val="auto"/>
          <w:highlight w:val="none"/>
          <w:u w:val="none"/>
        </w:rPr>
        <w:t>《广西壮族自治区财政厅关于贯彻落实政府采购支持中小企业发展政策的通知》（桂财采〔2022〕31号）、《政府采购促进中小企业发展管理办法》（财库[2020]46号）、</w:t>
      </w:r>
      <w:r>
        <w:rPr>
          <w:rFonts w:hint="eastAsia" w:ascii="宋体" w:hAnsi="宋体" w:cs="宋体"/>
          <w:bCs/>
          <w:color w:val="auto"/>
          <w:highlight w:val="none"/>
          <w:u w:val="none"/>
        </w:rPr>
        <w:t>《关于政府采购支持监狱企业发展有关问题的通知》（财库〔2014〕68号）、《关于促进残疾人就业政府采购政策的通知》（财库〔2017〕141号）等国家法律法规的规定，符合中小微企业、或监狱企业、或残疾人福利性单位的要求</w:t>
      </w:r>
      <w:r>
        <w:rPr>
          <w:rFonts w:hint="eastAsia" w:ascii="宋体" w:hAnsi="宋体" w:cs="宋体"/>
          <w:szCs w:val="21"/>
          <w:highlight w:val="none"/>
        </w:rPr>
        <w:t>；</w:t>
      </w:r>
    </w:p>
    <w:p>
      <w:pPr>
        <w:kinsoku w:val="0"/>
        <w:spacing w:line="400" w:lineRule="exact"/>
        <w:ind w:firstLine="420" w:firstLineChars="200"/>
        <w:rPr>
          <w:rFonts w:ascii="宋体" w:hAnsi="宋体" w:cs="宋体"/>
          <w:szCs w:val="21"/>
          <w:highlight w:val="none"/>
        </w:rPr>
      </w:pPr>
      <w:r>
        <w:rPr>
          <w:rFonts w:hint="eastAsia" w:ascii="宋体" w:hAnsi="宋体" w:cs="宋体"/>
          <w:szCs w:val="21"/>
          <w:highlight w:val="none"/>
        </w:rPr>
        <w:t>3.本项目的特定资格要求：无。</w:t>
      </w:r>
    </w:p>
    <w:p>
      <w:pPr>
        <w:pStyle w:val="4"/>
        <w:keepNext w:val="0"/>
        <w:keepLines w:val="0"/>
        <w:kinsoku w:val="0"/>
        <w:spacing w:before="0" w:after="0" w:line="400" w:lineRule="exact"/>
        <w:rPr>
          <w:rFonts w:ascii="宋体" w:hAnsi="宋体" w:eastAsia="宋体" w:cs="宋体"/>
          <w:bCs w:val="0"/>
          <w:szCs w:val="21"/>
          <w:highlight w:val="none"/>
        </w:rPr>
      </w:pPr>
      <w:bookmarkStart w:id="11" w:name="_Toc35393800"/>
      <w:bookmarkStart w:id="12" w:name="_Toc35393631"/>
      <w:r>
        <w:rPr>
          <w:rFonts w:hint="eastAsia" w:ascii="宋体" w:hAnsi="宋体" w:eastAsia="宋体" w:cs="宋体"/>
          <w:bCs w:val="0"/>
          <w:szCs w:val="21"/>
          <w:highlight w:val="none"/>
        </w:rPr>
        <w:t>三、获取采购文件</w:t>
      </w:r>
      <w:bookmarkEnd w:id="9"/>
      <w:bookmarkEnd w:id="10"/>
      <w:bookmarkEnd w:id="11"/>
      <w:bookmarkEnd w:id="12"/>
    </w:p>
    <w:p>
      <w:pPr>
        <w:kinsoku w:val="0"/>
        <w:spacing w:line="400" w:lineRule="exact"/>
        <w:ind w:firstLine="420" w:firstLineChars="200"/>
        <w:rPr>
          <w:rFonts w:ascii="宋体" w:hAnsi="宋体" w:cs="宋体"/>
          <w:szCs w:val="21"/>
          <w:highlight w:val="none"/>
        </w:rPr>
      </w:pPr>
      <w:r>
        <w:rPr>
          <w:rFonts w:hint="eastAsia" w:ascii="宋体" w:hAnsi="宋体" w:cs="宋体"/>
          <w:szCs w:val="21"/>
          <w:highlight w:val="none"/>
          <w:u w:val="single"/>
        </w:rPr>
        <w:t>2022年</w:t>
      </w:r>
      <w:r>
        <w:rPr>
          <w:rFonts w:hint="eastAsia" w:ascii="宋体" w:hAnsi="宋体" w:cs="宋体"/>
          <w:szCs w:val="21"/>
          <w:highlight w:val="none"/>
          <w:u w:val="single"/>
          <w:lang w:val="en-US" w:eastAsia="zh-CN"/>
        </w:rPr>
        <w:t>8</w:t>
      </w:r>
      <w:r>
        <w:rPr>
          <w:rFonts w:hint="eastAsia" w:ascii="宋体" w:hAnsi="宋体" w:cs="宋体"/>
          <w:szCs w:val="21"/>
          <w:highlight w:val="none"/>
          <w:u w:val="single"/>
        </w:rPr>
        <w:t>月</w:t>
      </w:r>
      <w:r>
        <w:rPr>
          <w:rFonts w:hint="eastAsia" w:ascii="宋体" w:hAnsi="宋体" w:cs="宋体"/>
          <w:szCs w:val="21"/>
          <w:highlight w:val="none"/>
          <w:u w:val="single"/>
          <w:lang w:val="en-US" w:eastAsia="zh-CN"/>
        </w:rPr>
        <w:t>26</w:t>
      </w:r>
      <w:r>
        <w:rPr>
          <w:rFonts w:hint="eastAsia" w:ascii="宋体" w:hAnsi="宋体" w:cs="宋体"/>
          <w:szCs w:val="21"/>
          <w:highlight w:val="none"/>
          <w:u w:val="single"/>
        </w:rPr>
        <w:t>日</w:t>
      </w:r>
      <w:r>
        <w:rPr>
          <w:rFonts w:hint="eastAsia" w:ascii="宋体" w:hAnsi="宋体" w:cs="宋体"/>
          <w:szCs w:val="21"/>
          <w:highlight w:val="none"/>
        </w:rPr>
        <w:t>至</w:t>
      </w:r>
      <w:r>
        <w:rPr>
          <w:rFonts w:hint="eastAsia" w:ascii="宋体" w:hAnsi="宋体" w:cs="宋体"/>
          <w:szCs w:val="21"/>
          <w:highlight w:val="none"/>
          <w:u w:val="single"/>
        </w:rPr>
        <w:t>2022年</w:t>
      </w:r>
      <w:r>
        <w:rPr>
          <w:rFonts w:hint="eastAsia" w:ascii="宋体" w:hAnsi="宋体" w:cs="宋体"/>
          <w:szCs w:val="21"/>
          <w:highlight w:val="none"/>
          <w:u w:val="single"/>
          <w:lang w:val="en-US" w:eastAsia="zh-CN"/>
        </w:rPr>
        <w:t>9</w:t>
      </w:r>
      <w:r>
        <w:rPr>
          <w:rFonts w:hint="eastAsia" w:ascii="宋体" w:hAnsi="宋体" w:cs="宋体"/>
          <w:szCs w:val="21"/>
          <w:highlight w:val="none"/>
          <w:u w:val="single"/>
        </w:rPr>
        <w:t>月</w:t>
      </w:r>
      <w:r>
        <w:rPr>
          <w:rFonts w:hint="eastAsia" w:ascii="宋体" w:hAnsi="宋体" w:cs="宋体"/>
          <w:szCs w:val="21"/>
          <w:highlight w:val="none"/>
          <w:u w:val="single"/>
          <w:lang w:val="en-US" w:eastAsia="zh-CN"/>
        </w:rPr>
        <w:t>1</w:t>
      </w:r>
      <w:r>
        <w:rPr>
          <w:rFonts w:hint="eastAsia" w:ascii="宋体" w:hAnsi="宋体" w:cs="宋体"/>
          <w:szCs w:val="21"/>
          <w:highlight w:val="none"/>
          <w:u w:val="single"/>
        </w:rPr>
        <w:t>日</w:t>
      </w:r>
      <w:r>
        <w:rPr>
          <w:rFonts w:hint="eastAsia" w:ascii="宋体" w:hAnsi="宋体" w:cs="宋体"/>
          <w:szCs w:val="21"/>
          <w:highlight w:val="none"/>
        </w:rPr>
        <w:t>，每天上午</w:t>
      </w:r>
      <w:r>
        <w:rPr>
          <w:rFonts w:hint="eastAsia" w:ascii="宋体" w:hAnsi="宋体" w:cs="宋体"/>
          <w:szCs w:val="21"/>
          <w:highlight w:val="none"/>
          <w:u w:val="single"/>
          <w:lang w:val="en-US" w:eastAsia="zh-CN"/>
        </w:rPr>
        <w:t>00</w:t>
      </w:r>
      <w:r>
        <w:rPr>
          <w:rFonts w:hint="eastAsia" w:ascii="宋体" w:hAnsi="宋体" w:cs="宋体"/>
          <w:szCs w:val="21"/>
          <w:highlight w:val="none"/>
          <w:u w:val="single"/>
        </w:rPr>
        <w:t>:00</w:t>
      </w:r>
      <w:r>
        <w:rPr>
          <w:rFonts w:hint="eastAsia" w:ascii="宋体" w:hAnsi="宋体" w:cs="宋体"/>
          <w:szCs w:val="21"/>
          <w:highlight w:val="none"/>
        </w:rPr>
        <w:t>至</w:t>
      </w:r>
      <w:r>
        <w:rPr>
          <w:rFonts w:hint="eastAsia" w:ascii="宋体" w:hAnsi="宋体" w:cs="宋体"/>
          <w:szCs w:val="21"/>
          <w:highlight w:val="none"/>
          <w:u w:val="single"/>
        </w:rPr>
        <w:t>12:00</w:t>
      </w:r>
      <w:r>
        <w:rPr>
          <w:rFonts w:hint="eastAsia" w:ascii="宋体" w:hAnsi="宋体" w:cs="宋体"/>
          <w:szCs w:val="21"/>
          <w:highlight w:val="none"/>
        </w:rPr>
        <w:t>，下午</w:t>
      </w:r>
      <w:r>
        <w:rPr>
          <w:rFonts w:hint="eastAsia" w:ascii="宋体" w:hAnsi="宋体" w:cs="宋体"/>
          <w:szCs w:val="21"/>
          <w:highlight w:val="none"/>
          <w:u w:val="single"/>
        </w:rPr>
        <w:t>1</w:t>
      </w:r>
      <w:r>
        <w:rPr>
          <w:rFonts w:hint="eastAsia" w:ascii="宋体" w:hAnsi="宋体" w:cs="宋体"/>
          <w:szCs w:val="21"/>
          <w:highlight w:val="none"/>
          <w:u w:val="single"/>
          <w:lang w:val="en-US" w:eastAsia="zh-CN"/>
        </w:rPr>
        <w:t>2</w:t>
      </w:r>
      <w:r>
        <w:rPr>
          <w:rFonts w:hint="eastAsia" w:ascii="宋体" w:hAnsi="宋体" w:cs="宋体"/>
          <w:szCs w:val="21"/>
          <w:highlight w:val="none"/>
          <w:u w:val="single"/>
        </w:rPr>
        <w:t>:00</w:t>
      </w:r>
      <w:r>
        <w:rPr>
          <w:rFonts w:hint="eastAsia" w:ascii="宋体" w:hAnsi="宋体" w:cs="宋体"/>
          <w:szCs w:val="21"/>
          <w:highlight w:val="none"/>
        </w:rPr>
        <w:t>至</w:t>
      </w:r>
      <w:r>
        <w:rPr>
          <w:rFonts w:hint="eastAsia" w:ascii="宋体" w:hAnsi="宋体" w:cs="宋体"/>
          <w:szCs w:val="21"/>
          <w:highlight w:val="none"/>
          <w:u w:val="single"/>
          <w:lang w:val="en-US" w:eastAsia="zh-CN"/>
        </w:rPr>
        <w:t>23</w:t>
      </w:r>
      <w:r>
        <w:rPr>
          <w:rFonts w:hint="eastAsia" w:ascii="宋体" w:hAnsi="宋体" w:cs="宋体"/>
          <w:szCs w:val="21"/>
          <w:highlight w:val="none"/>
          <w:u w:val="single"/>
        </w:rPr>
        <w:t>:</w:t>
      </w:r>
      <w:r>
        <w:rPr>
          <w:rFonts w:hint="eastAsia" w:ascii="宋体" w:hAnsi="宋体" w:cs="宋体"/>
          <w:szCs w:val="21"/>
          <w:highlight w:val="none"/>
          <w:u w:val="single"/>
          <w:lang w:val="en-US" w:eastAsia="zh-CN"/>
        </w:rPr>
        <w:t>59</w:t>
      </w:r>
      <w:r>
        <w:rPr>
          <w:rFonts w:hint="eastAsia" w:ascii="宋体" w:hAnsi="宋体" w:cs="宋体"/>
          <w:szCs w:val="21"/>
          <w:highlight w:val="none"/>
        </w:rPr>
        <w:t>（北京时间，法定节假日除外）</w:t>
      </w:r>
    </w:p>
    <w:p>
      <w:pPr>
        <w:kinsoku w:val="0"/>
        <w:spacing w:line="400" w:lineRule="exact"/>
        <w:ind w:firstLine="420" w:firstLineChars="200"/>
        <w:rPr>
          <w:rFonts w:ascii="宋体" w:hAnsi="宋体" w:cs="宋体"/>
          <w:szCs w:val="21"/>
          <w:highlight w:val="none"/>
          <w:u w:val="single"/>
        </w:rPr>
      </w:pPr>
      <w:r>
        <w:rPr>
          <w:rFonts w:hint="eastAsia" w:ascii="宋体" w:hAnsi="宋体" w:cs="宋体"/>
          <w:szCs w:val="21"/>
          <w:highlight w:val="none"/>
        </w:rPr>
        <w:t>地点：广西政府采购网政采云平台（http://zfcg.gxzf.gov.cn/）</w:t>
      </w:r>
    </w:p>
    <w:p>
      <w:pPr>
        <w:kinsoku w:val="0"/>
        <w:spacing w:line="400" w:lineRule="exact"/>
        <w:ind w:firstLine="420" w:firstLineChars="200"/>
        <w:rPr>
          <w:rFonts w:ascii="宋体" w:hAnsi="宋体" w:cs="宋体"/>
          <w:szCs w:val="21"/>
          <w:highlight w:val="none"/>
          <w:u w:val="single"/>
        </w:rPr>
      </w:pPr>
      <w:r>
        <w:rPr>
          <w:rFonts w:hint="eastAsia" w:ascii="宋体" w:hAnsi="宋体" w:cs="宋体"/>
          <w:szCs w:val="21"/>
          <w:highlight w:val="none"/>
        </w:rPr>
        <w:t>方式：潜在投标人登陆广西政府采购网政采云平台（http://zfcg.gxzf.gov.cn/），在线自行下载竞争性磋商文件电子版。</w:t>
      </w:r>
    </w:p>
    <w:p>
      <w:pPr>
        <w:kinsoku w:val="0"/>
        <w:spacing w:line="400" w:lineRule="exact"/>
        <w:ind w:firstLine="420" w:firstLineChars="200"/>
        <w:rPr>
          <w:rFonts w:ascii="宋体" w:hAnsi="宋体" w:cs="宋体"/>
          <w:szCs w:val="21"/>
          <w:highlight w:val="none"/>
        </w:rPr>
      </w:pPr>
      <w:r>
        <w:rPr>
          <w:rFonts w:hint="eastAsia" w:ascii="宋体" w:hAnsi="宋体" w:cs="宋体"/>
          <w:szCs w:val="21"/>
          <w:highlight w:val="none"/>
        </w:rPr>
        <w:t>售价：0.00元</w:t>
      </w:r>
    </w:p>
    <w:p>
      <w:pPr>
        <w:pStyle w:val="4"/>
        <w:keepNext w:val="0"/>
        <w:keepLines w:val="0"/>
        <w:kinsoku w:val="0"/>
        <w:spacing w:before="0" w:after="0" w:line="400" w:lineRule="exact"/>
        <w:rPr>
          <w:rFonts w:ascii="宋体" w:hAnsi="宋体" w:eastAsia="宋体" w:cs="宋体"/>
          <w:bCs w:val="0"/>
          <w:szCs w:val="21"/>
          <w:highlight w:val="none"/>
        </w:rPr>
      </w:pPr>
      <w:bookmarkStart w:id="13" w:name="_Toc28359092"/>
      <w:bookmarkStart w:id="14" w:name="_Toc35393801"/>
      <w:bookmarkStart w:id="15" w:name="_Toc35393632"/>
      <w:bookmarkStart w:id="16" w:name="_Toc28359015"/>
      <w:r>
        <w:rPr>
          <w:rFonts w:hint="eastAsia" w:ascii="宋体" w:hAnsi="宋体" w:eastAsia="宋体" w:cs="宋体"/>
          <w:bCs w:val="0"/>
          <w:szCs w:val="21"/>
          <w:highlight w:val="none"/>
        </w:rPr>
        <w:t>四、响应文件提交</w:t>
      </w:r>
      <w:bookmarkEnd w:id="13"/>
      <w:bookmarkEnd w:id="14"/>
      <w:bookmarkEnd w:id="15"/>
      <w:bookmarkEnd w:id="16"/>
    </w:p>
    <w:p>
      <w:pPr>
        <w:kinsoku w:val="0"/>
        <w:spacing w:line="400" w:lineRule="exact"/>
        <w:ind w:firstLine="420" w:firstLineChars="200"/>
        <w:rPr>
          <w:rFonts w:ascii="宋体" w:hAnsi="宋体" w:cs="宋体"/>
          <w:szCs w:val="21"/>
          <w:highlight w:val="none"/>
        </w:rPr>
      </w:pPr>
      <w:r>
        <w:rPr>
          <w:rFonts w:hint="eastAsia" w:ascii="宋体" w:hAnsi="宋体" w:cs="宋体"/>
          <w:szCs w:val="21"/>
          <w:highlight w:val="none"/>
        </w:rPr>
        <w:t>截止时间：</w:t>
      </w:r>
      <w:r>
        <w:rPr>
          <w:rFonts w:hint="eastAsia" w:ascii="宋体" w:hAnsi="宋体" w:cs="宋体"/>
          <w:szCs w:val="21"/>
          <w:highlight w:val="none"/>
          <w:u w:val="none"/>
        </w:rPr>
        <w:t>2022年</w:t>
      </w:r>
      <w:r>
        <w:rPr>
          <w:rFonts w:hint="eastAsia" w:ascii="宋体" w:hAnsi="宋体" w:cs="宋体"/>
          <w:szCs w:val="21"/>
          <w:highlight w:val="none"/>
          <w:u w:val="none"/>
          <w:lang w:val="en-US" w:eastAsia="zh-CN"/>
        </w:rPr>
        <w:t>9</w:t>
      </w:r>
      <w:r>
        <w:rPr>
          <w:rFonts w:hint="eastAsia" w:ascii="宋体" w:hAnsi="宋体" w:cs="宋体"/>
          <w:szCs w:val="21"/>
          <w:highlight w:val="none"/>
          <w:u w:val="none"/>
        </w:rPr>
        <w:t>月</w:t>
      </w:r>
      <w:r>
        <w:rPr>
          <w:rFonts w:hint="eastAsia" w:ascii="宋体" w:hAnsi="宋体" w:cs="宋体"/>
          <w:szCs w:val="21"/>
          <w:highlight w:val="none"/>
          <w:u w:val="none"/>
          <w:lang w:val="en-US" w:eastAsia="zh-CN"/>
        </w:rPr>
        <w:t>6</w:t>
      </w:r>
      <w:r>
        <w:rPr>
          <w:rFonts w:hint="eastAsia" w:ascii="宋体" w:hAnsi="宋体" w:cs="宋体"/>
          <w:szCs w:val="21"/>
          <w:highlight w:val="none"/>
          <w:u w:val="none"/>
        </w:rPr>
        <w:t>日</w:t>
      </w:r>
      <w:r>
        <w:rPr>
          <w:rFonts w:hint="eastAsia" w:ascii="宋体" w:hAnsi="宋体" w:cs="宋体"/>
          <w:szCs w:val="21"/>
          <w:highlight w:val="none"/>
          <w:lang w:val="en-US" w:eastAsia="zh-CN"/>
        </w:rPr>
        <w:t>9</w:t>
      </w:r>
      <w:r>
        <w:rPr>
          <w:rFonts w:hint="eastAsia" w:ascii="宋体" w:hAnsi="宋体" w:cs="宋体"/>
          <w:szCs w:val="21"/>
          <w:highlight w:val="none"/>
        </w:rPr>
        <w:t>点</w:t>
      </w:r>
      <w:r>
        <w:rPr>
          <w:rFonts w:hint="eastAsia" w:ascii="宋体" w:hAnsi="宋体" w:cs="宋体"/>
          <w:szCs w:val="21"/>
          <w:highlight w:val="none"/>
          <w:lang w:val="en-US" w:eastAsia="zh-CN"/>
        </w:rPr>
        <w:t>00</w:t>
      </w:r>
      <w:r>
        <w:rPr>
          <w:rFonts w:hint="eastAsia" w:ascii="宋体" w:hAnsi="宋体" w:cs="宋体"/>
          <w:szCs w:val="21"/>
          <w:highlight w:val="none"/>
        </w:rPr>
        <w:t>分</w:t>
      </w:r>
      <w:r>
        <w:rPr>
          <w:rFonts w:hint="eastAsia" w:ascii="宋体" w:hAnsi="宋体" w:cs="宋体"/>
          <w:bCs/>
          <w:szCs w:val="21"/>
          <w:highlight w:val="none"/>
        </w:rPr>
        <w:t>（北京时间）</w:t>
      </w:r>
      <w:r>
        <w:rPr>
          <w:rFonts w:hint="eastAsia" w:ascii="宋体" w:hAnsi="宋体" w:cs="宋体"/>
          <w:szCs w:val="21"/>
          <w:highlight w:val="none"/>
        </w:rPr>
        <w:t>；从本磋商文件开始发出之日起至投标人提交首次响应文件截止之日止不得少于10日。</w:t>
      </w:r>
    </w:p>
    <w:p>
      <w:pPr>
        <w:kinsoku w:val="0"/>
        <w:spacing w:line="400" w:lineRule="exact"/>
        <w:ind w:firstLine="420" w:firstLineChars="200"/>
        <w:rPr>
          <w:rFonts w:ascii="宋体" w:hAnsi="宋体" w:cs="宋体"/>
          <w:bCs/>
          <w:szCs w:val="21"/>
          <w:highlight w:val="none"/>
          <w:u w:val="single"/>
        </w:rPr>
      </w:pPr>
      <w:r>
        <w:rPr>
          <w:rFonts w:hint="eastAsia" w:ascii="宋体" w:hAnsi="宋体" w:cs="宋体"/>
          <w:szCs w:val="21"/>
          <w:highlight w:val="none"/>
        </w:rPr>
        <w:t>地点：通过政采云平台实行在线投标响应。</w:t>
      </w:r>
    </w:p>
    <w:p>
      <w:pPr>
        <w:pStyle w:val="4"/>
        <w:keepNext w:val="0"/>
        <w:keepLines w:val="0"/>
        <w:kinsoku w:val="0"/>
        <w:spacing w:before="0" w:after="0" w:line="400" w:lineRule="exact"/>
        <w:rPr>
          <w:rFonts w:ascii="宋体" w:hAnsi="宋体" w:eastAsia="宋体" w:cs="宋体"/>
          <w:bCs w:val="0"/>
          <w:szCs w:val="21"/>
          <w:highlight w:val="none"/>
        </w:rPr>
      </w:pPr>
      <w:bookmarkStart w:id="17" w:name="_Toc28359093"/>
      <w:bookmarkStart w:id="18" w:name="_Toc28359016"/>
      <w:bookmarkStart w:id="19" w:name="_Toc35393633"/>
      <w:bookmarkStart w:id="20" w:name="_Toc35393802"/>
      <w:r>
        <w:rPr>
          <w:rFonts w:hint="eastAsia" w:ascii="宋体" w:hAnsi="宋体" w:eastAsia="宋体" w:cs="宋体"/>
          <w:bCs w:val="0"/>
          <w:szCs w:val="21"/>
          <w:highlight w:val="none"/>
        </w:rPr>
        <w:t>五、开启</w:t>
      </w:r>
      <w:bookmarkEnd w:id="17"/>
      <w:bookmarkEnd w:id="18"/>
      <w:bookmarkEnd w:id="19"/>
      <w:bookmarkEnd w:id="20"/>
    </w:p>
    <w:p>
      <w:pPr>
        <w:kinsoku w:val="0"/>
        <w:spacing w:line="400" w:lineRule="exact"/>
        <w:ind w:firstLine="420" w:firstLineChars="200"/>
        <w:rPr>
          <w:rFonts w:ascii="宋体" w:hAnsi="宋体" w:cs="宋体"/>
          <w:bCs/>
          <w:szCs w:val="21"/>
          <w:highlight w:val="none"/>
          <w:u w:val="single"/>
        </w:rPr>
      </w:pPr>
      <w:r>
        <w:rPr>
          <w:rFonts w:hint="eastAsia" w:ascii="宋体" w:hAnsi="宋体" w:cs="宋体"/>
          <w:szCs w:val="21"/>
          <w:highlight w:val="none"/>
        </w:rPr>
        <w:t>时间：</w:t>
      </w:r>
      <w:r>
        <w:rPr>
          <w:rFonts w:hint="eastAsia" w:ascii="宋体" w:hAnsi="宋体" w:cs="宋体"/>
          <w:szCs w:val="21"/>
          <w:highlight w:val="none"/>
          <w:u w:val="none"/>
        </w:rPr>
        <w:t>2022年</w:t>
      </w:r>
      <w:r>
        <w:rPr>
          <w:rFonts w:hint="eastAsia" w:ascii="宋体" w:hAnsi="宋体" w:cs="宋体"/>
          <w:szCs w:val="21"/>
          <w:highlight w:val="none"/>
          <w:u w:val="none"/>
          <w:lang w:val="en-US" w:eastAsia="zh-CN"/>
        </w:rPr>
        <w:t>9</w:t>
      </w:r>
      <w:r>
        <w:rPr>
          <w:rFonts w:hint="eastAsia" w:ascii="宋体" w:hAnsi="宋体" w:cs="宋体"/>
          <w:szCs w:val="21"/>
          <w:highlight w:val="none"/>
          <w:u w:val="none"/>
        </w:rPr>
        <w:t>月</w:t>
      </w:r>
      <w:r>
        <w:rPr>
          <w:rFonts w:hint="eastAsia" w:ascii="宋体" w:hAnsi="宋体" w:cs="宋体"/>
          <w:szCs w:val="21"/>
          <w:highlight w:val="none"/>
          <w:u w:val="none"/>
          <w:lang w:val="en-US" w:eastAsia="zh-CN"/>
        </w:rPr>
        <w:t>6</w:t>
      </w:r>
      <w:r>
        <w:rPr>
          <w:rFonts w:hint="eastAsia" w:ascii="宋体" w:hAnsi="宋体" w:cs="宋体"/>
          <w:szCs w:val="21"/>
          <w:highlight w:val="none"/>
          <w:u w:val="none"/>
        </w:rPr>
        <w:t>日</w:t>
      </w:r>
      <w:r>
        <w:rPr>
          <w:rFonts w:hint="eastAsia" w:ascii="宋体" w:hAnsi="宋体" w:cs="宋体"/>
          <w:szCs w:val="21"/>
          <w:highlight w:val="none"/>
          <w:u w:val="none"/>
          <w:lang w:val="en-US" w:eastAsia="zh-CN"/>
        </w:rPr>
        <w:t>9</w:t>
      </w:r>
      <w:r>
        <w:rPr>
          <w:rFonts w:hint="eastAsia" w:ascii="宋体" w:hAnsi="宋体" w:cs="宋体"/>
          <w:szCs w:val="21"/>
          <w:highlight w:val="none"/>
          <w:u w:val="none"/>
        </w:rPr>
        <w:t>点</w:t>
      </w:r>
      <w:r>
        <w:rPr>
          <w:rFonts w:hint="eastAsia" w:ascii="宋体" w:hAnsi="宋体" w:cs="宋体"/>
          <w:szCs w:val="21"/>
          <w:highlight w:val="none"/>
          <w:u w:val="none"/>
          <w:lang w:val="en-US" w:eastAsia="zh-CN"/>
        </w:rPr>
        <w:t>00</w:t>
      </w:r>
      <w:r>
        <w:rPr>
          <w:rFonts w:hint="eastAsia" w:ascii="宋体" w:hAnsi="宋体" w:cs="宋体"/>
          <w:szCs w:val="21"/>
          <w:highlight w:val="none"/>
          <w:u w:val="none"/>
        </w:rPr>
        <w:t>分</w:t>
      </w:r>
      <w:r>
        <w:rPr>
          <w:rFonts w:hint="eastAsia" w:ascii="宋体" w:hAnsi="宋体" w:cs="宋体"/>
          <w:bCs/>
          <w:szCs w:val="21"/>
          <w:highlight w:val="none"/>
        </w:rPr>
        <w:t>（北京时间）</w:t>
      </w:r>
    </w:p>
    <w:p>
      <w:pPr>
        <w:kinsoku w:val="0"/>
        <w:spacing w:line="400" w:lineRule="exact"/>
        <w:ind w:firstLine="420" w:firstLineChars="200"/>
        <w:rPr>
          <w:rFonts w:ascii="宋体" w:hAnsi="宋体" w:cs="宋体"/>
          <w:bCs/>
          <w:szCs w:val="21"/>
          <w:highlight w:val="none"/>
          <w:u w:val="single"/>
        </w:rPr>
      </w:pPr>
      <w:r>
        <w:rPr>
          <w:rFonts w:hint="eastAsia" w:ascii="宋体" w:hAnsi="宋体" w:cs="宋体"/>
          <w:szCs w:val="21"/>
          <w:highlight w:val="none"/>
        </w:rPr>
        <w:t>地点：通过政采云平台实行在线解密开启。（开、评标现场地点：北海市北海大道（中段）177号市政务服务中心三楼）</w:t>
      </w:r>
    </w:p>
    <w:p>
      <w:pPr>
        <w:pStyle w:val="4"/>
        <w:keepNext w:val="0"/>
        <w:keepLines w:val="0"/>
        <w:kinsoku w:val="0"/>
        <w:spacing w:before="0" w:after="0" w:line="400" w:lineRule="exact"/>
        <w:rPr>
          <w:rFonts w:ascii="宋体" w:hAnsi="宋体" w:eastAsia="宋体" w:cs="宋体"/>
          <w:bCs w:val="0"/>
          <w:szCs w:val="21"/>
          <w:highlight w:val="none"/>
        </w:rPr>
      </w:pPr>
      <w:bookmarkStart w:id="21" w:name="_Toc35393634"/>
      <w:bookmarkStart w:id="22" w:name="_Toc35393803"/>
      <w:bookmarkStart w:id="23" w:name="_Toc28359017"/>
      <w:bookmarkStart w:id="24" w:name="_Toc28359094"/>
      <w:r>
        <w:rPr>
          <w:rFonts w:hint="eastAsia" w:ascii="宋体" w:hAnsi="宋体" w:eastAsia="宋体" w:cs="宋体"/>
          <w:bCs w:val="0"/>
          <w:szCs w:val="21"/>
          <w:highlight w:val="none"/>
        </w:rPr>
        <w:t>六、公告期限</w:t>
      </w:r>
      <w:bookmarkEnd w:id="21"/>
      <w:bookmarkEnd w:id="22"/>
      <w:bookmarkEnd w:id="23"/>
      <w:bookmarkEnd w:id="24"/>
    </w:p>
    <w:p>
      <w:pPr>
        <w:kinsoku w:val="0"/>
        <w:spacing w:line="400" w:lineRule="exact"/>
        <w:ind w:firstLine="420" w:firstLineChars="200"/>
        <w:rPr>
          <w:rFonts w:ascii="宋体" w:hAnsi="宋体" w:cs="宋体"/>
          <w:kern w:val="0"/>
          <w:szCs w:val="21"/>
          <w:highlight w:val="none"/>
        </w:rPr>
      </w:pPr>
      <w:r>
        <w:rPr>
          <w:rFonts w:hint="eastAsia" w:ascii="宋体" w:hAnsi="宋体" w:cs="宋体"/>
          <w:kern w:val="0"/>
          <w:szCs w:val="21"/>
          <w:highlight w:val="none"/>
        </w:rPr>
        <w:t>自本公告发布之日起3个工作日。</w:t>
      </w:r>
    </w:p>
    <w:p>
      <w:pPr>
        <w:pStyle w:val="4"/>
        <w:keepNext w:val="0"/>
        <w:keepLines w:val="0"/>
        <w:kinsoku w:val="0"/>
        <w:spacing w:before="0" w:after="0" w:line="400" w:lineRule="exact"/>
        <w:rPr>
          <w:rFonts w:ascii="宋体" w:hAnsi="宋体" w:eastAsia="宋体" w:cs="宋体"/>
          <w:bCs w:val="0"/>
          <w:szCs w:val="21"/>
          <w:highlight w:val="none"/>
        </w:rPr>
      </w:pPr>
      <w:bookmarkStart w:id="25" w:name="_Toc28359095"/>
      <w:bookmarkStart w:id="26" w:name="_Toc35393636"/>
      <w:bookmarkStart w:id="27" w:name="_Toc35393805"/>
      <w:bookmarkStart w:id="28" w:name="_Toc28359018"/>
      <w:r>
        <w:rPr>
          <w:rFonts w:hint="eastAsia" w:ascii="宋体" w:hAnsi="宋体" w:eastAsia="宋体" w:cs="宋体"/>
          <w:bCs w:val="0"/>
          <w:szCs w:val="21"/>
          <w:highlight w:val="none"/>
        </w:rPr>
        <w:t xml:space="preserve">七、其他补充事宜 </w:t>
      </w:r>
    </w:p>
    <w:p>
      <w:pPr>
        <w:pStyle w:val="4"/>
        <w:keepNext w:val="0"/>
        <w:keepLines w:val="0"/>
        <w:kinsoku w:val="0"/>
        <w:spacing w:before="0" w:after="0" w:line="400" w:lineRule="exact"/>
        <w:ind w:firstLine="422" w:firstLineChars="200"/>
        <w:rPr>
          <w:rFonts w:ascii="宋体" w:hAnsi="宋体" w:eastAsia="宋体" w:cs="宋体"/>
          <w:b w:val="0"/>
          <w:szCs w:val="21"/>
          <w:highlight w:val="none"/>
        </w:rPr>
      </w:pPr>
      <w:r>
        <w:rPr>
          <w:rFonts w:hint="eastAsia" w:ascii="宋体" w:hAnsi="宋体" w:eastAsia="宋体" w:cs="宋体"/>
          <w:b/>
          <w:bCs w:val="0"/>
          <w:szCs w:val="21"/>
          <w:highlight w:val="none"/>
        </w:rPr>
        <w:t>1.网上公告媒体查询：</w:t>
      </w:r>
      <w:r>
        <w:rPr>
          <w:rFonts w:hint="eastAsia" w:ascii="宋体" w:hAnsi="宋体" w:eastAsia="宋体" w:cs="宋体"/>
          <w:b w:val="0"/>
          <w:szCs w:val="21"/>
          <w:highlight w:val="none"/>
        </w:rPr>
        <w:t>中国政府采购网、广西壮族自治区政府采购网、</w:t>
      </w:r>
      <w:r>
        <w:rPr>
          <w:rFonts w:hint="eastAsia" w:ascii="宋体" w:hAnsi="宋体" w:eastAsia="宋体" w:cs="宋体"/>
          <w:b w:val="0"/>
          <w:szCs w:val="21"/>
          <w:highlight w:val="none"/>
          <w:lang w:eastAsia="zh-CN"/>
        </w:rPr>
        <w:t>北海市公共资源交易平台（广西.北海）</w:t>
      </w:r>
      <w:r>
        <w:rPr>
          <w:rFonts w:hint="eastAsia" w:ascii="宋体" w:hAnsi="宋体" w:eastAsia="宋体" w:cs="宋体"/>
          <w:b w:val="0"/>
          <w:szCs w:val="21"/>
          <w:highlight w:val="none"/>
        </w:rPr>
        <w:t>；</w:t>
      </w:r>
    </w:p>
    <w:p>
      <w:pPr>
        <w:pStyle w:val="4"/>
        <w:keepNext w:val="0"/>
        <w:keepLines w:val="0"/>
        <w:kinsoku w:val="0"/>
        <w:spacing w:before="0" w:after="0" w:line="400" w:lineRule="exact"/>
        <w:ind w:firstLine="422" w:firstLineChars="200"/>
        <w:rPr>
          <w:rFonts w:ascii="宋体" w:hAnsi="宋体" w:eastAsia="宋体" w:cs="宋体"/>
          <w:b/>
          <w:bCs w:val="0"/>
          <w:szCs w:val="21"/>
          <w:highlight w:val="none"/>
        </w:rPr>
      </w:pPr>
      <w:r>
        <w:rPr>
          <w:rFonts w:hint="eastAsia" w:ascii="宋体" w:hAnsi="宋体" w:eastAsia="宋体" w:cs="宋体"/>
          <w:b/>
          <w:bCs w:val="0"/>
          <w:szCs w:val="21"/>
          <w:highlight w:val="none"/>
        </w:rPr>
        <w:t>2.在线谈判响应（电子投标）说明：</w:t>
      </w:r>
    </w:p>
    <w:p>
      <w:pPr>
        <w:pStyle w:val="4"/>
        <w:keepNext w:val="0"/>
        <w:keepLines w:val="0"/>
        <w:kinsoku w:val="0"/>
        <w:spacing w:before="0" w:after="0" w:line="400" w:lineRule="exact"/>
        <w:ind w:firstLine="420" w:firstLineChars="200"/>
        <w:rPr>
          <w:rFonts w:ascii="宋体" w:hAnsi="宋体" w:eastAsia="宋体" w:cs="宋体"/>
          <w:b w:val="0"/>
          <w:szCs w:val="21"/>
          <w:highlight w:val="none"/>
        </w:rPr>
      </w:pPr>
      <w:r>
        <w:rPr>
          <w:rFonts w:hint="eastAsia" w:ascii="宋体" w:hAnsi="宋体" w:eastAsia="宋体" w:cs="宋体"/>
          <w:b w:val="0"/>
          <w:szCs w:val="21"/>
          <w:highlight w:val="none"/>
        </w:rPr>
        <w:t>（1）本项目通过政采云平台实行在线投标响应（电子投标），投标人需要先安装“政采云电子交易客户端”，并按照本磋商文件和政采云平台的要求，通过“政采云电子交易客户端”编制并加密响应文件。投标人未按规定编制并加密的响应文件，政采云平台将予以拒收。</w:t>
      </w:r>
    </w:p>
    <w:p>
      <w:pPr>
        <w:pStyle w:val="4"/>
        <w:keepNext w:val="0"/>
        <w:keepLines w:val="0"/>
        <w:kinsoku w:val="0"/>
        <w:spacing w:before="0" w:after="0" w:line="400" w:lineRule="exact"/>
        <w:ind w:firstLine="420" w:firstLineChars="200"/>
        <w:rPr>
          <w:rFonts w:ascii="宋体" w:hAnsi="宋体" w:eastAsia="宋体" w:cs="宋体"/>
          <w:b w:val="0"/>
          <w:szCs w:val="21"/>
          <w:highlight w:val="none"/>
        </w:rPr>
      </w:pPr>
      <w:r>
        <w:rPr>
          <w:rFonts w:hint="eastAsia" w:ascii="宋体" w:hAnsi="宋体" w:eastAsia="宋体" w:cs="宋体"/>
          <w:b w:val="0"/>
          <w:szCs w:val="21"/>
          <w:highlight w:val="none"/>
        </w:rPr>
        <w:t>“政采云电子交易客户端”请自行前往广西政府采购网下载并安装（http://zfcg.gxzf.gov.cn/OfficeService/DownloadArea/2455918.html?utm=sites_group_front.b8b6c91.0.0.c51f9820a48111eabb9bcbdf01af125e）；电子投标具体操作流程参考《政府采购项目电子交易管理操作指南-供应商》；在使用政采云投标客户端时，建议使用WIN7及以上操作系统,通过政采云平台参与在线投标时如遇平台技术问题详询400-881-7190。</w:t>
      </w:r>
    </w:p>
    <w:p>
      <w:pPr>
        <w:pStyle w:val="4"/>
        <w:keepNext w:val="0"/>
        <w:keepLines w:val="0"/>
        <w:kinsoku w:val="0"/>
        <w:spacing w:before="0" w:after="0" w:line="400" w:lineRule="exact"/>
        <w:ind w:firstLine="420" w:firstLineChars="200"/>
        <w:rPr>
          <w:rFonts w:ascii="宋体" w:hAnsi="宋体" w:eastAsia="宋体" w:cs="宋体"/>
          <w:b w:val="0"/>
          <w:szCs w:val="21"/>
          <w:highlight w:val="none"/>
        </w:rPr>
      </w:pPr>
      <w:r>
        <w:rPr>
          <w:rFonts w:hint="eastAsia" w:ascii="宋体" w:hAnsi="宋体" w:eastAsia="宋体" w:cs="宋体"/>
          <w:b w:val="0"/>
          <w:szCs w:val="21"/>
          <w:highlight w:val="none"/>
        </w:rPr>
        <w:t>（2）为确保网上操作合法、有效和安全，投标人应当在响应文件提交截止时间前完成在“政府采购云平台”的身份认证，确保在电子投标过程中能够对相关数据电文进行加密和使用电子签章。使用“政采云电子交易客户端”需要提前申领CA数字证书，申领流程请自行前往“北海市政府采购中心网站-相关下载- CA证书办理操作指南”进行查阅。（完成CA数字证书办理预计一周左右，建议投标人获取本磋商文件后立即办理。）</w:t>
      </w:r>
    </w:p>
    <w:p>
      <w:pPr>
        <w:pStyle w:val="4"/>
        <w:keepNext w:val="0"/>
        <w:keepLines w:val="0"/>
        <w:kinsoku w:val="0"/>
        <w:spacing w:before="0" w:after="0" w:line="400" w:lineRule="exact"/>
        <w:ind w:firstLine="420" w:firstLineChars="200"/>
        <w:rPr>
          <w:rFonts w:ascii="宋体" w:hAnsi="宋体" w:eastAsia="宋体" w:cs="宋体"/>
          <w:b w:val="0"/>
          <w:szCs w:val="21"/>
          <w:highlight w:val="none"/>
        </w:rPr>
      </w:pPr>
      <w:r>
        <w:rPr>
          <w:rFonts w:hint="eastAsia" w:ascii="宋体" w:hAnsi="宋体" w:eastAsia="宋体" w:cs="宋体"/>
          <w:b w:val="0"/>
          <w:szCs w:val="21"/>
          <w:highlight w:val="none"/>
        </w:rPr>
        <w:t>（3）投标人应当在响应文件提交截止时间前，将生成的“电子响应文件”上传提交至政采云平台。响应文件提交截止时间前可以补充、修改或者撤回电子响应文件。补充或者修改电子响应文件的，应当先行撤回原文件，补充、修改后重新传输提交，响应文件提交截止时间前未完成传输的，视为撤回响应文件。</w:t>
      </w:r>
    </w:p>
    <w:p>
      <w:pPr>
        <w:pStyle w:val="4"/>
        <w:keepNext w:val="0"/>
        <w:keepLines w:val="0"/>
        <w:kinsoku w:val="0"/>
        <w:spacing w:before="0" w:after="0" w:line="400" w:lineRule="exact"/>
        <w:ind w:firstLine="420" w:firstLineChars="200"/>
        <w:rPr>
          <w:rFonts w:ascii="宋体" w:hAnsi="宋体" w:eastAsia="宋体" w:cs="宋体"/>
          <w:b w:val="0"/>
          <w:szCs w:val="21"/>
          <w:highlight w:val="none"/>
        </w:rPr>
      </w:pPr>
      <w:r>
        <w:rPr>
          <w:rFonts w:hint="eastAsia" w:ascii="宋体" w:hAnsi="宋体" w:eastAsia="宋体" w:cs="宋体"/>
          <w:b w:val="0"/>
          <w:szCs w:val="21"/>
          <w:highlight w:val="none"/>
        </w:rPr>
        <w:t>（4）投标人可以提供以介质（U盘或光盘等）存储的数据电文形成的电子备份响应文件。电子备份响应文件应当在响应文件提交截止时间前按要求密封，以现场递交或邮寄的方式送达到采购代理机构工作人员手上（广西北海市北海大道158号北园公寓星辰座7楼A室，开标当天现场递交地址：北海市北海大道（中段）177号市政务服务中心三楼），逾期送达或未按要求密封将被拒收。电子备份响应文件应当密封包装并在包装上标注投标项目名称、单位名称并加盖公章。谈判供应商自行承担电子备份响应文件在邮寄过程中出现的所有安全问题。</w:t>
      </w:r>
    </w:p>
    <w:p>
      <w:pPr>
        <w:pStyle w:val="4"/>
        <w:keepNext w:val="0"/>
        <w:keepLines w:val="0"/>
        <w:kinsoku w:val="0"/>
        <w:spacing w:before="0" w:after="0" w:line="400" w:lineRule="exact"/>
        <w:ind w:firstLine="420" w:firstLineChars="200"/>
        <w:rPr>
          <w:rFonts w:ascii="宋体" w:hAnsi="宋体" w:eastAsia="宋体" w:cs="宋体"/>
          <w:b w:val="0"/>
          <w:szCs w:val="21"/>
          <w:highlight w:val="none"/>
        </w:rPr>
      </w:pPr>
      <w:r>
        <w:rPr>
          <w:rFonts w:hint="eastAsia" w:ascii="宋体" w:hAnsi="宋体" w:eastAsia="宋体" w:cs="宋体"/>
          <w:b w:val="0"/>
          <w:szCs w:val="21"/>
          <w:highlight w:val="none"/>
        </w:rPr>
        <w:t>邮寄地址：广西北海市北海大道158号北园公寓星辰座7楼A室，联系人：李方，电话：0779-3969698。</w:t>
      </w:r>
    </w:p>
    <w:p>
      <w:pPr>
        <w:pStyle w:val="4"/>
        <w:keepNext w:val="0"/>
        <w:keepLines w:val="0"/>
        <w:kinsoku w:val="0"/>
        <w:spacing w:before="0" w:after="0" w:line="400" w:lineRule="exact"/>
        <w:ind w:firstLine="420" w:firstLineChars="200"/>
        <w:rPr>
          <w:rFonts w:ascii="宋体" w:hAnsi="宋体" w:eastAsia="宋体" w:cs="宋体"/>
          <w:b w:val="0"/>
          <w:szCs w:val="21"/>
          <w:highlight w:val="none"/>
        </w:rPr>
      </w:pPr>
      <w:r>
        <w:rPr>
          <w:rFonts w:hint="eastAsia" w:ascii="宋体" w:hAnsi="宋体" w:eastAsia="宋体" w:cs="宋体"/>
          <w:b w:val="0"/>
          <w:szCs w:val="21"/>
          <w:highlight w:val="none"/>
        </w:rPr>
        <w:t>拒收到付邮件，通过邮寄方式送达的，请合理安排邮寄时间，因邮寄原因未能在规定时间内送达的后果由投标人自行承担。</w:t>
      </w:r>
    </w:p>
    <w:p>
      <w:pPr>
        <w:pStyle w:val="4"/>
        <w:keepNext w:val="0"/>
        <w:keepLines w:val="0"/>
        <w:kinsoku w:val="0"/>
        <w:spacing w:before="0" w:after="0" w:line="400" w:lineRule="exact"/>
        <w:ind w:firstLine="420" w:firstLineChars="200"/>
        <w:rPr>
          <w:rFonts w:ascii="宋体" w:hAnsi="宋体" w:eastAsia="宋体" w:cs="宋体"/>
          <w:b w:val="0"/>
          <w:szCs w:val="21"/>
          <w:highlight w:val="none"/>
        </w:rPr>
      </w:pPr>
      <w:r>
        <w:rPr>
          <w:rFonts w:hint="eastAsia" w:ascii="宋体" w:hAnsi="宋体" w:eastAsia="宋体" w:cs="宋体"/>
          <w:b w:val="0"/>
          <w:szCs w:val="21"/>
          <w:highlight w:val="none"/>
        </w:rPr>
        <w:t>（5）通过“政府采购云平台”上传提交的“电子加密响应文件”无法按时解密，投标人提交了电子备份响应文件的，以电子备份响应文件为依据，否则视为响应文件撤回。通过政采云平台上传提交的电子加密响应文件已按时解密的，电子备份响应文件自动失效。投标人仅提交电子备份响应文件的，磋商无效。</w:t>
      </w:r>
    </w:p>
    <w:p>
      <w:pPr>
        <w:pStyle w:val="4"/>
        <w:keepNext w:val="0"/>
        <w:keepLines w:val="0"/>
        <w:kinsoku w:val="0"/>
        <w:spacing w:before="0" w:after="0" w:line="400" w:lineRule="exact"/>
        <w:ind w:firstLine="422" w:firstLineChars="200"/>
        <w:rPr>
          <w:rFonts w:ascii="宋体" w:hAnsi="宋体" w:eastAsia="宋体" w:cs="宋体"/>
          <w:b w:val="0"/>
          <w:szCs w:val="21"/>
          <w:highlight w:val="none"/>
        </w:rPr>
      </w:pPr>
      <w:r>
        <w:rPr>
          <w:rFonts w:hint="eastAsia" w:ascii="宋体" w:hAnsi="宋体" w:eastAsia="宋体" w:cs="宋体"/>
          <w:bCs w:val="0"/>
          <w:szCs w:val="21"/>
          <w:highlight w:val="none"/>
        </w:rPr>
        <w:t>3.须落实的政府采购政策：</w:t>
      </w:r>
      <w:r>
        <w:rPr>
          <w:rFonts w:hint="eastAsia" w:ascii="宋体" w:hAnsi="宋体" w:eastAsia="宋体" w:cs="宋体"/>
          <w:b w:val="0"/>
          <w:szCs w:val="21"/>
          <w:highlight w:val="none"/>
        </w:rPr>
        <w:t>《中华人民共和国政府采购法》、《中华人民共和国政府采购法实施条例》等与政府采购相关的法律法规，其中包括但不限于：落实扶持中小企业政策：投标人为小型微型企业的，评审时对其磋商最终报价价格给予</w:t>
      </w:r>
      <w:r>
        <w:rPr>
          <w:rFonts w:hint="eastAsia" w:ascii="宋体" w:hAnsi="宋体" w:eastAsia="宋体" w:cs="宋体"/>
          <w:b w:val="0"/>
          <w:szCs w:val="21"/>
          <w:highlight w:val="none"/>
          <w:lang w:val="en-US" w:eastAsia="zh-CN"/>
        </w:rPr>
        <w:t>2</w:t>
      </w:r>
      <w:r>
        <w:rPr>
          <w:rFonts w:hint="eastAsia" w:ascii="宋体" w:hAnsi="宋体" w:eastAsia="宋体" w:cs="宋体"/>
          <w:b w:val="0"/>
          <w:szCs w:val="21"/>
          <w:highlight w:val="none"/>
        </w:rPr>
        <w:t>0%的扣除。监狱企业、残疾人福利性单位视同小型微型企业，评审时给予相同的价格扣除。</w:t>
      </w:r>
    </w:p>
    <w:p>
      <w:pPr>
        <w:pStyle w:val="4"/>
        <w:keepNext w:val="0"/>
        <w:keepLines w:val="0"/>
        <w:kinsoku w:val="0"/>
        <w:spacing w:before="0" w:after="0" w:line="400" w:lineRule="exact"/>
        <w:ind w:firstLine="422" w:firstLineChars="200"/>
        <w:rPr>
          <w:rFonts w:ascii="宋体" w:hAnsi="宋体" w:eastAsia="宋体" w:cs="宋体"/>
          <w:bCs w:val="0"/>
          <w:szCs w:val="21"/>
          <w:highlight w:val="none"/>
        </w:rPr>
      </w:pPr>
      <w:r>
        <w:rPr>
          <w:rFonts w:hint="eastAsia" w:ascii="宋体" w:hAnsi="宋体" w:eastAsia="宋体" w:cs="宋体"/>
          <w:bCs w:val="0"/>
          <w:szCs w:val="21"/>
          <w:highlight w:val="none"/>
        </w:rPr>
        <w:t>4.对投标人的其它要求：</w:t>
      </w:r>
    </w:p>
    <w:p>
      <w:pPr>
        <w:pStyle w:val="4"/>
        <w:keepNext w:val="0"/>
        <w:keepLines w:val="0"/>
        <w:kinsoku w:val="0"/>
        <w:spacing w:before="0" w:after="0" w:line="400" w:lineRule="exact"/>
        <w:ind w:firstLine="420" w:firstLineChars="200"/>
        <w:rPr>
          <w:rFonts w:ascii="宋体" w:hAnsi="宋体" w:eastAsia="宋体" w:cs="宋体"/>
          <w:b w:val="0"/>
          <w:szCs w:val="21"/>
          <w:highlight w:val="none"/>
        </w:rPr>
      </w:pPr>
      <w:r>
        <w:rPr>
          <w:rFonts w:hint="eastAsia" w:ascii="宋体" w:hAnsi="宋体" w:eastAsia="宋体" w:cs="宋体"/>
          <w:b w:val="0"/>
          <w:szCs w:val="21"/>
          <w:highlight w:val="none"/>
        </w:rPr>
        <w:t>（1）参加政府采购活动前三年内，在经营活动中没有重大违法记录和不良信用记录【被列入失信被执行人、政府采购严重违法失信行为记录名单、税收违法黑名单、被各级政府行政部门列入黑名单的投标人，将被拒绝其参与本次政府采购活动】。</w:t>
      </w:r>
    </w:p>
    <w:p>
      <w:pPr>
        <w:pStyle w:val="4"/>
        <w:keepNext w:val="0"/>
        <w:keepLines w:val="0"/>
        <w:kinsoku w:val="0"/>
        <w:spacing w:before="0" w:after="0" w:line="400" w:lineRule="exact"/>
        <w:ind w:firstLine="420" w:firstLineChars="200"/>
        <w:rPr>
          <w:rFonts w:ascii="宋体" w:hAnsi="宋体" w:eastAsia="宋体" w:cs="宋体"/>
          <w:b w:val="0"/>
          <w:szCs w:val="21"/>
          <w:highlight w:val="none"/>
        </w:rPr>
      </w:pPr>
      <w:r>
        <w:rPr>
          <w:rFonts w:hint="eastAsia" w:ascii="宋体" w:hAnsi="宋体" w:eastAsia="宋体" w:cs="宋体"/>
          <w:b w:val="0"/>
          <w:szCs w:val="21"/>
          <w:highlight w:val="none"/>
        </w:rPr>
        <w:t>（2）承诺履行竞争性磋商文件的各项规定，有能力提供本项目所需服务，参加政府采购活动前三年内，无违约或不恰当履约引起的合同中止、纠纷、争议、仲裁和诉讼记录。</w:t>
      </w:r>
    </w:p>
    <w:p>
      <w:pPr>
        <w:pStyle w:val="4"/>
        <w:keepNext w:val="0"/>
        <w:keepLines w:val="0"/>
        <w:kinsoku w:val="0"/>
        <w:spacing w:before="0" w:after="0" w:line="400" w:lineRule="exact"/>
        <w:rPr>
          <w:rFonts w:ascii="宋体" w:hAnsi="宋体" w:eastAsia="宋体" w:cs="宋体"/>
          <w:bCs w:val="0"/>
          <w:szCs w:val="21"/>
          <w:highlight w:val="none"/>
        </w:rPr>
      </w:pPr>
      <w:r>
        <w:rPr>
          <w:rFonts w:hint="eastAsia" w:ascii="宋体" w:hAnsi="宋体" w:eastAsia="宋体" w:cs="宋体"/>
          <w:bCs w:val="0"/>
          <w:szCs w:val="21"/>
          <w:highlight w:val="none"/>
        </w:rPr>
        <w:t>八、凡对本次采购提出询问，请按以下方式联系</w:t>
      </w:r>
      <w:bookmarkEnd w:id="25"/>
      <w:bookmarkEnd w:id="26"/>
      <w:bookmarkEnd w:id="27"/>
      <w:bookmarkEnd w:id="28"/>
    </w:p>
    <w:p>
      <w:pPr>
        <w:pStyle w:val="4"/>
        <w:keepNext w:val="0"/>
        <w:keepLines w:val="0"/>
        <w:kinsoku w:val="0"/>
        <w:spacing w:before="0" w:after="0" w:line="400" w:lineRule="exact"/>
        <w:ind w:firstLine="420" w:firstLineChars="200"/>
        <w:rPr>
          <w:rFonts w:ascii="宋体" w:hAnsi="宋体" w:eastAsia="宋体" w:cs="宋体"/>
          <w:b w:val="0"/>
          <w:szCs w:val="21"/>
          <w:highlight w:val="none"/>
        </w:rPr>
      </w:pPr>
      <w:bookmarkStart w:id="29" w:name="_Toc35393637"/>
      <w:bookmarkStart w:id="30" w:name="_Toc28359019"/>
      <w:bookmarkStart w:id="31" w:name="_Toc28359096"/>
      <w:bookmarkStart w:id="32" w:name="_Toc35393806"/>
      <w:r>
        <w:rPr>
          <w:rFonts w:hint="eastAsia" w:ascii="宋体" w:hAnsi="宋体" w:eastAsia="宋体" w:cs="宋体"/>
          <w:b w:val="0"/>
          <w:szCs w:val="21"/>
          <w:highlight w:val="none"/>
        </w:rPr>
        <w:t>1.采购人信息</w:t>
      </w:r>
      <w:bookmarkEnd w:id="29"/>
      <w:bookmarkEnd w:id="30"/>
      <w:bookmarkEnd w:id="31"/>
      <w:bookmarkEnd w:id="32"/>
    </w:p>
    <w:p>
      <w:pPr>
        <w:spacing w:line="400" w:lineRule="exact"/>
        <w:ind w:firstLine="630" w:firstLineChars="300"/>
        <w:jc w:val="left"/>
        <w:rPr>
          <w:rFonts w:hint="eastAsia" w:ascii="宋体" w:hAnsi="宋体" w:eastAsia="宋体" w:cs="宋体"/>
          <w:szCs w:val="21"/>
          <w:highlight w:val="none"/>
          <w:u w:val="single"/>
          <w:lang w:eastAsia="zh-CN"/>
        </w:rPr>
      </w:pPr>
      <w:bookmarkStart w:id="33" w:name="_Toc35393638"/>
      <w:bookmarkStart w:id="34" w:name="_Toc28359020"/>
      <w:bookmarkStart w:id="35" w:name="_Toc35393807"/>
      <w:bookmarkStart w:id="36" w:name="_Toc28359097"/>
      <w:r>
        <w:rPr>
          <w:rFonts w:hint="eastAsia" w:ascii="宋体" w:hAnsi="宋体" w:cs="宋体"/>
          <w:szCs w:val="21"/>
          <w:highlight w:val="none"/>
        </w:rPr>
        <w:t>名    称：</w:t>
      </w:r>
      <w:r>
        <w:rPr>
          <w:rFonts w:hint="eastAsia" w:ascii="宋体" w:hAnsi="宋体" w:cs="宋体"/>
          <w:szCs w:val="21"/>
          <w:highlight w:val="none"/>
          <w:u w:val="single"/>
          <w:lang w:eastAsia="zh-CN"/>
        </w:rPr>
        <w:t>广西壮族自治区海洋环境监测中心站</w:t>
      </w:r>
    </w:p>
    <w:p>
      <w:pPr>
        <w:spacing w:line="400" w:lineRule="exact"/>
        <w:ind w:firstLine="630" w:firstLineChars="300"/>
        <w:jc w:val="left"/>
        <w:rPr>
          <w:rFonts w:ascii="宋体" w:hAnsi="宋体" w:cs="宋体"/>
          <w:szCs w:val="21"/>
          <w:highlight w:val="none"/>
          <w:u w:val="single"/>
        </w:rPr>
      </w:pPr>
      <w:r>
        <w:rPr>
          <w:rFonts w:hint="eastAsia" w:ascii="宋体" w:hAnsi="宋体" w:cs="宋体"/>
          <w:szCs w:val="21"/>
          <w:highlight w:val="none"/>
        </w:rPr>
        <w:t>地    址：</w:t>
      </w:r>
      <w:r>
        <w:rPr>
          <w:rStyle w:val="377"/>
          <w:rFonts w:hint="eastAsia" w:ascii="宋体" w:hAnsi="宋体"/>
          <w:color w:val="000000"/>
          <w:highlight w:val="none"/>
          <w:u w:val="single"/>
        </w:rPr>
        <w:t>北海市公园路49号</w:t>
      </w:r>
    </w:p>
    <w:p>
      <w:pPr>
        <w:keepNext/>
        <w:spacing w:line="400" w:lineRule="exact"/>
        <w:ind w:firstLine="630" w:firstLineChars="300"/>
        <w:jc w:val="left"/>
        <w:rPr>
          <w:rFonts w:hint="default" w:ascii="宋体" w:hAnsi="宋体" w:eastAsia="宋体" w:cs="宋体"/>
          <w:szCs w:val="21"/>
          <w:highlight w:val="none"/>
          <w:lang w:val="en-US" w:eastAsia="zh-CN"/>
        </w:rPr>
      </w:pPr>
      <w:r>
        <w:rPr>
          <w:rFonts w:hint="eastAsia" w:ascii="宋体" w:hAnsi="宋体" w:cs="宋体"/>
          <w:szCs w:val="21"/>
          <w:highlight w:val="none"/>
        </w:rPr>
        <w:t>联系方式：</w:t>
      </w:r>
      <w:r>
        <w:rPr>
          <w:rFonts w:hint="eastAsia" w:ascii="宋体" w:hAnsi="宋体" w:cs="宋体"/>
          <w:szCs w:val="21"/>
          <w:highlight w:val="none"/>
          <w:u w:val="single"/>
          <w:lang w:eastAsia="zh-CN"/>
        </w:rPr>
        <w:t>彭工</w:t>
      </w:r>
      <w:r>
        <w:rPr>
          <w:rStyle w:val="377"/>
          <w:rFonts w:ascii="宋体" w:hAnsi="宋体"/>
          <w:highlight w:val="none"/>
          <w:u w:val="single"/>
        </w:rPr>
        <w:t xml:space="preserve">    联系电话：0779-</w:t>
      </w:r>
      <w:r>
        <w:rPr>
          <w:rStyle w:val="377"/>
          <w:rFonts w:hint="eastAsia" w:ascii="宋体" w:hAnsi="宋体"/>
          <w:highlight w:val="none"/>
          <w:u w:val="single"/>
          <w:lang w:val="en-US" w:eastAsia="zh-CN"/>
        </w:rPr>
        <w:t xml:space="preserve">6801303    </w:t>
      </w:r>
    </w:p>
    <w:p>
      <w:pPr>
        <w:pStyle w:val="4"/>
        <w:keepNext w:val="0"/>
        <w:keepLines w:val="0"/>
        <w:kinsoku w:val="0"/>
        <w:spacing w:before="0" w:after="0" w:line="400" w:lineRule="exact"/>
        <w:ind w:firstLine="420" w:firstLineChars="200"/>
        <w:rPr>
          <w:rFonts w:ascii="宋体" w:hAnsi="宋体" w:eastAsia="宋体" w:cs="宋体"/>
          <w:b w:val="0"/>
          <w:szCs w:val="21"/>
          <w:highlight w:val="none"/>
        </w:rPr>
      </w:pPr>
      <w:r>
        <w:rPr>
          <w:rFonts w:hint="eastAsia" w:ascii="宋体" w:hAnsi="宋体" w:eastAsia="宋体" w:cs="宋体"/>
          <w:b w:val="0"/>
          <w:szCs w:val="21"/>
          <w:highlight w:val="none"/>
        </w:rPr>
        <w:t>2.采购代理机构信息</w:t>
      </w:r>
      <w:bookmarkEnd w:id="33"/>
      <w:bookmarkEnd w:id="34"/>
      <w:bookmarkEnd w:id="35"/>
      <w:bookmarkEnd w:id="36"/>
    </w:p>
    <w:p>
      <w:pPr>
        <w:kinsoku w:val="0"/>
        <w:spacing w:line="400" w:lineRule="exact"/>
        <w:ind w:firstLine="630" w:firstLineChars="300"/>
        <w:rPr>
          <w:rFonts w:ascii="宋体" w:hAnsi="宋体" w:cs="宋体"/>
          <w:szCs w:val="21"/>
          <w:highlight w:val="none"/>
        </w:rPr>
      </w:pPr>
      <w:r>
        <w:rPr>
          <w:rFonts w:hint="eastAsia" w:ascii="宋体" w:hAnsi="宋体" w:cs="宋体"/>
          <w:szCs w:val="21"/>
          <w:highlight w:val="none"/>
        </w:rPr>
        <w:t>名    称：</w:t>
      </w:r>
      <w:r>
        <w:rPr>
          <w:rFonts w:hint="eastAsia" w:ascii="宋体" w:hAnsi="宋体" w:cs="宋体"/>
          <w:szCs w:val="21"/>
          <w:highlight w:val="none"/>
          <w:u w:val="single"/>
        </w:rPr>
        <w:t>广西新宇建设项目管理有限公司</w:t>
      </w:r>
    </w:p>
    <w:p>
      <w:pPr>
        <w:kinsoku w:val="0"/>
        <w:spacing w:line="400" w:lineRule="exact"/>
        <w:ind w:firstLine="630" w:firstLineChars="300"/>
        <w:rPr>
          <w:rFonts w:ascii="宋体" w:hAnsi="宋体" w:cs="宋体"/>
          <w:szCs w:val="21"/>
          <w:highlight w:val="none"/>
        </w:rPr>
      </w:pPr>
      <w:r>
        <w:rPr>
          <w:rFonts w:hint="eastAsia" w:ascii="宋体" w:hAnsi="宋体" w:cs="宋体"/>
          <w:szCs w:val="21"/>
          <w:highlight w:val="none"/>
        </w:rPr>
        <w:t>地　　址：</w:t>
      </w:r>
      <w:r>
        <w:rPr>
          <w:rFonts w:hint="eastAsia" w:ascii="宋体" w:hAnsi="宋体" w:cs="宋体"/>
          <w:szCs w:val="21"/>
          <w:highlight w:val="none"/>
          <w:u w:val="single"/>
        </w:rPr>
        <w:t>广西北海市北海大道158号北园公寓星辰座7楼A室</w:t>
      </w:r>
    </w:p>
    <w:p>
      <w:pPr>
        <w:kinsoku w:val="0"/>
        <w:spacing w:line="400" w:lineRule="exact"/>
        <w:ind w:firstLine="630" w:firstLineChars="300"/>
        <w:rPr>
          <w:rFonts w:ascii="宋体" w:hAnsi="宋体" w:cs="宋体"/>
          <w:szCs w:val="21"/>
          <w:highlight w:val="none"/>
          <w:u w:val="single"/>
        </w:rPr>
      </w:pPr>
      <w:r>
        <w:rPr>
          <w:rFonts w:hint="eastAsia" w:ascii="宋体" w:hAnsi="宋体" w:cs="宋体"/>
          <w:szCs w:val="21"/>
          <w:highlight w:val="none"/>
        </w:rPr>
        <w:t>联系方式：</w:t>
      </w:r>
      <w:r>
        <w:rPr>
          <w:rFonts w:hint="eastAsia" w:ascii="宋体" w:hAnsi="宋体" w:cs="宋体"/>
          <w:szCs w:val="21"/>
          <w:highlight w:val="none"/>
          <w:u w:val="single"/>
        </w:rPr>
        <w:t xml:space="preserve">李方      电话：0779-3969698 </w:t>
      </w:r>
    </w:p>
    <w:p>
      <w:pPr>
        <w:pStyle w:val="4"/>
        <w:keepNext w:val="0"/>
        <w:keepLines w:val="0"/>
        <w:kinsoku w:val="0"/>
        <w:spacing w:before="0" w:after="0" w:line="400" w:lineRule="exact"/>
        <w:ind w:firstLine="420" w:firstLineChars="200"/>
        <w:rPr>
          <w:rFonts w:ascii="宋体" w:hAnsi="宋体" w:eastAsia="宋体" w:cs="宋体"/>
          <w:b w:val="0"/>
          <w:szCs w:val="21"/>
          <w:highlight w:val="none"/>
        </w:rPr>
      </w:pPr>
      <w:bookmarkStart w:id="37" w:name="_Toc28359021"/>
      <w:bookmarkStart w:id="38" w:name="_Toc35393808"/>
      <w:bookmarkStart w:id="39" w:name="_Toc28359098"/>
      <w:bookmarkStart w:id="40" w:name="_Toc35393639"/>
      <w:r>
        <w:rPr>
          <w:rFonts w:hint="eastAsia" w:ascii="宋体" w:hAnsi="宋体" w:eastAsia="宋体" w:cs="宋体"/>
          <w:b w:val="0"/>
          <w:szCs w:val="21"/>
          <w:highlight w:val="none"/>
        </w:rPr>
        <w:t>3.项目联系方式</w:t>
      </w:r>
      <w:bookmarkEnd w:id="37"/>
      <w:bookmarkEnd w:id="38"/>
      <w:bookmarkEnd w:id="39"/>
      <w:bookmarkEnd w:id="40"/>
    </w:p>
    <w:p>
      <w:pPr>
        <w:pStyle w:val="29"/>
        <w:kinsoku w:val="0"/>
        <w:spacing w:line="400" w:lineRule="exact"/>
        <w:ind w:firstLine="630" w:firstLineChars="300"/>
        <w:rPr>
          <w:rFonts w:hAnsi="宋体" w:cs="宋体"/>
          <w:highlight w:val="none"/>
        </w:rPr>
      </w:pPr>
      <w:r>
        <w:rPr>
          <w:rFonts w:hint="eastAsia" w:hAnsi="宋体" w:cs="宋体"/>
          <w:highlight w:val="none"/>
        </w:rPr>
        <w:t>项目联系人：</w:t>
      </w:r>
      <w:r>
        <w:rPr>
          <w:rFonts w:hint="eastAsia" w:hAnsi="宋体" w:cs="宋体"/>
          <w:highlight w:val="none"/>
          <w:u w:val="single"/>
        </w:rPr>
        <w:t xml:space="preserve">李方 </w:t>
      </w:r>
    </w:p>
    <w:p>
      <w:pPr>
        <w:kinsoku w:val="0"/>
        <w:spacing w:line="400" w:lineRule="exact"/>
        <w:ind w:firstLine="630" w:firstLineChars="300"/>
        <w:rPr>
          <w:rFonts w:ascii="宋体" w:hAnsi="宋体"/>
          <w:kern w:val="0"/>
          <w:szCs w:val="21"/>
          <w:highlight w:val="none"/>
        </w:rPr>
      </w:pPr>
      <w:r>
        <w:rPr>
          <w:rFonts w:hint="eastAsia" w:ascii="宋体" w:hAnsi="宋体" w:cs="宋体"/>
          <w:szCs w:val="21"/>
          <w:highlight w:val="none"/>
        </w:rPr>
        <w:t>电　　  话：</w:t>
      </w:r>
      <w:r>
        <w:rPr>
          <w:rFonts w:hint="eastAsia" w:ascii="宋体" w:hAnsi="宋体" w:cs="宋体"/>
          <w:szCs w:val="21"/>
          <w:highlight w:val="none"/>
          <w:u w:val="single"/>
        </w:rPr>
        <w:t xml:space="preserve">0779-3969698 </w:t>
      </w:r>
    </w:p>
    <w:p>
      <w:pPr>
        <w:kinsoku w:val="0"/>
        <w:spacing w:line="400" w:lineRule="exact"/>
        <w:ind w:firstLine="5670" w:firstLineChars="2700"/>
        <w:rPr>
          <w:rFonts w:ascii="宋体" w:hAnsi="宋体"/>
          <w:kern w:val="0"/>
          <w:szCs w:val="21"/>
          <w:highlight w:val="none"/>
        </w:rPr>
      </w:pPr>
    </w:p>
    <w:p>
      <w:pPr>
        <w:kinsoku w:val="0"/>
        <w:spacing w:line="400" w:lineRule="exact"/>
        <w:ind w:firstLine="5670" w:firstLineChars="2700"/>
        <w:rPr>
          <w:rFonts w:ascii="宋体" w:hAnsi="宋体"/>
          <w:kern w:val="0"/>
          <w:szCs w:val="21"/>
          <w:highlight w:val="none"/>
        </w:rPr>
      </w:pPr>
    </w:p>
    <w:p>
      <w:pPr>
        <w:kinsoku w:val="0"/>
        <w:spacing w:line="400" w:lineRule="exact"/>
        <w:ind w:firstLine="5670" w:firstLineChars="2700"/>
        <w:rPr>
          <w:rFonts w:ascii="宋体" w:hAnsi="宋体"/>
          <w:kern w:val="0"/>
          <w:szCs w:val="21"/>
          <w:highlight w:val="none"/>
        </w:rPr>
      </w:pPr>
      <w:r>
        <w:rPr>
          <w:rFonts w:hint="eastAsia" w:ascii="宋体" w:hAnsi="宋体"/>
          <w:kern w:val="0"/>
          <w:szCs w:val="21"/>
          <w:highlight w:val="none"/>
        </w:rPr>
        <w:t xml:space="preserve">广西新宇建设项目管理有限公司      </w:t>
      </w:r>
    </w:p>
    <w:p>
      <w:pPr>
        <w:kinsoku w:val="0"/>
        <w:spacing w:line="400" w:lineRule="exact"/>
        <w:ind w:firstLine="6300" w:firstLineChars="3000"/>
        <w:rPr>
          <w:rFonts w:ascii="宋体" w:hAnsi="宋体"/>
          <w:kern w:val="0"/>
          <w:szCs w:val="21"/>
          <w:highlight w:val="none"/>
        </w:rPr>
      </w:pPr>
      <w:r>
        <w:rPr>
          <w:rFonts w:hint="eastAsia" w:ascii="宋体" w:hAnsi="宋体"/>
          <w:kern w:val="0"/>
          <w:szCs w:val="21"/>
          <w:highlight w:val="none"/>
        </w:rPr>
        <w:t>2022年</w:t>
      </w:r>
      <w:r>
        <w:rPr>
          <w:rFonts w:hint="eastAsia" w:ascii="宋体" w:hAnsi="宋体"/>
          <w:kern w:val="0"/>
          <w:szCs w:val="21"/>
          <w:highlight w:val="none"/>
          <w:lang w:val="en-US" w:eastAsia="zh-CN"/>
        </w:rPr>
        <w:t>8</w:t>
      </w:r>
      <w:r>
        <w:rPr>
          <w:rFonts w:hint="eastAsia" w:ascii="宋体" w:hAnsi="宋体"/>
          <w:kern w:val="0"/>
          <w:szCs w:val="21"/>
          <w:highlight w:val="none"/>
        </w:rPr>
        <w:t>月</w:t>
      </w:r>
      <w:r>
        <w:rPr>
          <w:rFonts w:hint="eastAsia" w:ascii="宋体" w:hAnsi="宋体"/>
          <w:kern w:val="0"/>
          <w:szCs w:val="21"/>
          <w:highlight w:val="none"/>
          <w:lang w:val="en-US" w:eastAsia="zh-CN"/>
        </w:rPr>
        <w:t>25</w:t>
      </w:r>
      <w:r>
        <w:rPr>
          <w:rFonts w:hint="eastAsia" w:ascii="宋体" w:hAnsi="宋体"/>
          <w:kern w:val="0"/>
          <w:szCs w:val="21"/>
          <w:highlight w:val="none"/>
        </w:rPr>
        <w:t>日</w:t>
      </w:r>
    </w:p>
    <w:bookmarkEnd w:id="0"/>
    <w:p>
      <w:pPr>
        <w:pStyle w:val="8"/>
        <w:ind w:firstLine="0"/>
        <w:rPr>
          <w:rFonts w:ascii="宋体" w:hAnsi="宋体" w:cs="宋体"/>
          <w:b/>
          <w:sz w:val="36"/>
          <w:szCs w:val="36"/>
          <w:highlight w:val="none"/>
        </w:rPr>
      </w:pPr>
    </w:p>
    <w:p>
      <w:pPr>
        <w:shd w:val="clear" w:color="auto" w:fill="FFFFFF"/>
        <w:tabs>
          <w:tab w:val="left" w:pos="9900"/>
        </w:tabs>
        <w:kinsoku w:val="0"/>
        <w:spacing w:line="500" w:lineRule="exact"/>
        <w:jc w:val="center"/>
        <w:rPr>
          <w:rFonts w:ascii="宋体" w:hAnsi="宋体" w:cs="宋体"/>
          <w:b/>
          <w:sz w:val="36"/>
          <w:szCs w:val="36"/>
          <w:highlight w:val="none"/>
        </w:rPr>
      </w:pPr>
    </w:p>
    <w:p>
      <w:pPr>
        <w:shd w:val="clear" w:color="auto" w:fill="FFFFFF"/>
        <w:tabs>
          <w:tab w:val="left" w:pos="9900"/>
        </w:tabs>
        <w:kinsoku w:val="0"/>
        <w:spacing w:line="500" w:lineRule="exact"/>
        <w:jc w:val="center"/>
        <w:rPr>
          <w:rFonts w:ascii="宋体" w:hAnsi="宋体" w:cs="宋体"/>
          <w:b/>
          <w:sz w:val="36"/>
          <w:szCs w:val="36"/>
          <w:highlight w:val="none"/>
        </w:rPr>
      </w:pPr>
    </w:p>
    <w:p>
      <w:pPr>
        <w:shd w:val="clear" w:color="auto" w:fill="FFFFFF"/>
        <w:tabs>
          <w:tab w:val="left" w:pos="9900"/>
        </w:tabs>
        <w:kinsoku w:val="0"/>
        <w:spacing w:line="500" w:lineRule="exact"/>
        <w:jc w:val="center"/>
        <w:rPr>
          <w:rFonts w:ascii="宋体" w:hAnsi="宋体" w:cs="宋体"/>
          <w:b/>
          <w:sz w:val="36"/>
          <w:szCs w:val="36"/>
          <w:highlight w:val="none"/>
        </w:rPr>
      </w:pPr>
    </w:p>
    <w:p>
      <w:pPr>
        <w:shd w:val="clear" w:color="auto" w:fill="FFFFFF"/>
        <w:tabs>
          <w:tab w:val="left" w:pos="9900"/>
        </w:tabs>
        <w:kinsoku w:val="0"/>
        <w:spacing w:line="500" w:lineRule="exact"/>
        <w:jc w:val="center"/>
        <w:rPr>
          <w:rFonts w:ascii="宋体" w:hAnsi="宋体" w:cs="宋体"/>
          <w:b/>
          <w:sz w:val="36"/>
          <w:szCs w:val="36"/>
          <w:highlight w:val="none"/>
        </w:rPr>
      </w:pPr>
    </w:p>
    <w:p>
      <w:pPr>
        <w:pStyle w:val="68"/>
        <w:ind w:firstLine="0" w:firstLineChars="0"/>
        <w:rPr>
          <w:highlight w:val="none"/>
        </w:rPr>
      </w:pPr>
    </w:p>
    <w:p>
      <w:pPr>
        <w:shd w:val="clear" w:color="auto" w:fill="FFFFFF"/>
        <w:tabs>
          <w:tab w:val="left" w:pos="9900"/>
        </w:tabs>
        <w:kinsoku w:val="0"/>
        <w:spacing w:line="500" w:lineRule="exact"/>
        <w:jc w:val="center"/>
        <w:rPr>
          <w:rFonts w:ascii="宋体" w:hAnsi="宋体" w:cs="宋体"/>
          <w:kern w:val="0"/>
          <w:szCs w:val="21"/>
          <w:highlight w:val="none"/>
        </w:rPr>
      </w:pPr>
      <w:r>
        <w:rPr>
          <w:rFonts w:hint="eastAsia" w:ascii="宋体" w:hAnsi="宋体" w:cs="宋体"/>
          <w:b/>
          <w:sz w:val="36"/>
          <w:szCs w:val="36"/>
          <w:highlight w:val="none"/>
        </w:rPr>
        <w:t>第二章  投标人须知</w:t>
      </w:r>
    </w:p>
    <w:p>
      <w:pPr>
        <w:kinsoku w:val="0"/>
        <w:spacing w:line="520" w:lineRule="exact"/>
        <w:jc w:val="center"/>
        <w:rPr>
          <w:rFonts w:ascii="宋体" w:hAnsi="宋体" w:cs="宋体"/>
          <w:sz w:val="32"/>
          <w:szCs w:val="32"/>
          <w:highlight w:val="none"/>
        </w:rPr>
      </w:pPr>
      <w:r>
        <w:rPr>
          <w:rFonts w:hint="eastAsia" w:ascii="宋体" w:hAnsi="宋体" w:cs="宋体"/>
          <w:sz w:val="32"/>
          <w:szCs w:val="32"/>
          <w:highlight w:val="none"/>
        </w:rPr>
        <w:t>投标人须知前附表</w:t>
      </w:r>
    </w:p>
    <w:tbl>
      <w:tblPr>
        <w:tblStyle w:val="58"/>
        <w:tblW w:w="988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64"/>
        <w:gridCol w:w="92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64" w:type="dxa"/>
            <w:vAlign w:val="center"/>
          </w:tcPr>
          <w:p>
            <w:pPr>
              <w:pStyle w:val="256"/>
              <w:kinsoku w:val="0"/>
              <w:adjustRightInd w:val="0"/>
              <w:snapToGrid w:val="0"/>
              <w:spacing w:line="360" w:lineRule="exact"/>
              <w:jc w:val="center"/>
              <w:rPr>
                <w:rFonts w:hAnsi="宋体" w:cs="宋体"/>
                <w:szCs w:val="21"/>
                <w:highlight w:val="none"/>
              </w:rPr>
            </w:pPr>
            <w:r>
              <w:rPr>
                <w:rFonts w:hint="eastAsia" w:hAnsi="宋体" w:cs="宋体"/>
                <w:szCs w:val="21"/>
                <w:highlight w:val="none"/>
              </w:rPr>
              <w:t>序号</w:t>
            </w:r>
          </w:p>
        </w:tc>
        <w:tc>
          <w:tcPr>
            <w:tcW w:w="9217" w:type="dxa"/>
            <w:vAlign w:val="center"/>
          </w:tcPr>
          <w:p>
            <w:pPr>
              <w:pStyle w:val="256"/>
              <w:kinsoku w:val="0"/>
              <w:adjustRightInd w:val="0"/>
              <w:snapToGrid w:val="0"/>
              <w:spacing w:line="360" w:lineRule="exact"/>
              <w:jc w:val="center"/>
              <w:rPr>
                <w:rFonts w:hAnsi="宋体" w:cs="宋体"/>
                <w:szCs w:val="21"/>
                <w:highlight w:val="none"/>
              </w:rPr>
            </w:pPr>
            <w:r>
              <w:rPr>
                <w:rFonts w:hint="eastAsia" w:hAnsi="宋体" w:cs="宋体"/>
                <w:szCs w:val="21"/>
                <w:highlight w:val="none"/>
              </w:rPr>
              <w:t>内    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9" w:hRule="atLeast"/>
          <w:jc w:val="center"/>
        </w:trPr>
        <w:tc>
          <w:tcPr>
            <w:tcW w:w="664" w:type="dxa"/>
            <w:vAlign w:val="center"/>
          </w:tcPr>
          <w:p>
            <w:pPr>
              <w:pStyle w:val="256"/>
              <w:kinsoku w:val="0"/>
              <w:adjustRightInd w:val="0"/>
              <w:snapToGrid w:val="0"/>
              <w:spacing w:line="360" w:lineRule="exact"/>
              <w:jc w:val="center"/>
              <w:rPr>
                <w:rFonts w:hAnsi="宋体" w:cs="宋体"/>
                <w:szCs w:val="21"/>
                <w:highlight w:val="none"/>
              </w:rPr>
            </w:pPr>
            <w:r>
              <w:rPr>
                <w:rFonts w:hint="eastAsia" w:hAnsi="宋体" w:cs="宋体"/>
                <w:szCs w:val="21"/>
                <w:highlight w:val="none"/>
              </w:rPr>
              <w:t>1</w:t>
            </w:r>
          </w:p>
        </w:tc>
        <w:tc>
          <w:tcPr>
            <w:tcW w:w="9217" w:type="dxa"/>
            <w:vAlign w:val="center"/>
          </w:tcPr>
          <w:p>
            <w:pPr>
              <w:pStyle w:val="256"/>
              <w:numPr>
                <w:ilvl w:val="0"/>
                <w:numId w:val="1"/>
              </w:numPr>
              <w:kinsoku w:val="0"/>
              <w:spacing w:line="360" w:lineRule="exact"/>
              <w:rPr>
                <w:rFonts w:hint="eastAsia" w:hAnsi="宋体" w:cs="宋体"/>
                <w:highlight w:val="none"/>
                <w:lang w:eastAsia="zh-CN"/>
              </w:rPr>
            </w:pPr>
            <w:r>
              <w:rPr>
                <w:rFonts w:hint="eastAsia" w:hAnsi="宋体" w:cs="宋体"/>
                <w:highlight w:val="none"/>
              </w:rPr>
              <w:t>项目名称：</w:t>
            </w:r>
            <w:r>
              <w:rPr>
                <w:rFonts w:hint="eastAsia" w:hAnsi="宋体" w:cs="宋体"/>
                <w:highlight w:val="none"/>
                <w:lang w:eastAsia="zh-CN"/>
              </w:rPr>
              <w:t>环境监测数据综合分析系统升级改造项目采购</w:t>
            </w:r>
          </w:p>
          <w:p>
            <w:pPr>
              <w:pStyle w:val="256"/>
              <w:numPr>
                <w:ilvl w:val="0"/>
                <w:numId w:val="0"/>
              </w:numPr>
              <w:kinsoku w:val="0"/>
              <w:spacing w:line="360" w:lineRule="exact"/>
              <w:rPr>
                <w:rFonts w:hint="eastAsia" w:hAnsi="宋体" w:eastAsia="宋体" w:cs="宋体"/>
                <w:highlight w:val="none"/>
                <w:lang w:eastAsia="zh-CN"/>
              </w:rPr>
            </w:pPr>
            <w:r>
              <w:rPr>
                <w:rFonts w:hint="eastAsia" w:hAnsi="宋体" w:cs="宋体"/>
                <w:highlight w:val="none"/>
              </w:rPr>
              <w:t>2.项目编号：</w:t>
            </w:r>
            <w:r>
              <w:rPr>
                <w:rFonts w:hint="eastAsia" w:hAnsi="宋体" w:cs="宋体"/>
                <w:highlight w:val="none"/>
                <w:lang w:eastAsia="zh-CN"/>
              </w:rPr>
              <w:t>GXZC2022-C3-002794-GXXY</w:t>
            </w:r>
          </w:p>
          <w:p>
            <w:pPr>
              <w:kinsoku w:val="0"/>
              <w:spacing w:line="340" w:lineRule="exact"/>
              <w:rPr>
                <w:rFonts w:ascii="宋体" w:hAnsi="宋体" w:cs="宋体"/>
                <w:szCs w:val="21"/>
                <w:highlight w:val="none"/>
              </w:rPr>
            </w:pPr>
            <w:r>
              <w:rPr>
                <w:rFonts w:hint="eastAsia" w:ascii="宋体" w:hAnsi="宋体" w:cs="宋体"/>
                <w:szCs w:val="20"/>
                <w:highlight w:val="none"/>
              </w:rPr>
              <w:t>3.预算金额：</w:t>
            </w:r>
            <w:r>
              <w:rPr>
                <w:rFonts w:hint="eastAsia" w:ascii="宋体" w:hAnsi="宋体" w:cs="宋体"/>
                <w:szCs w:val="21"/>
                <w:highlight w:val="none"/>
                <w:lang w:eastAsia="zh-CN"/>
              </w:rPr>
              <w:t>壹佰贰拾玖万柒仟柒佰元整（¥1297700.00）</w:t>
            </w:r>
            <w:r>
              <w:rPr>
                <w:rFonts w:hint="eastAsia" w:ascii="宋体" w:hAnsi="宋体" w:cs="宋体"/>
                <w:szCs w:val="21"/>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64" w:type="dxa"/>
            <w:vAlign w:val="center"/>
          </w:tcPr>
          <w:p>
            <w:pPr>
              <w:pStyle w:val="256"/>
              <w:kinsoku w:val="0"/>
              <w:adjustRightInd w:val="0"/>
              <w:snapToGrid w:val="0"/>
              <w:spacing w:line="360" w:lineRule="exact"/>
              <w:jc w:val="center"/>
              <w:rPr>
                <w:rFonts w:hAnsi="宋体" w:cs="宋体"/>
                <w:szCs w:val="21"/>
                <w:highlight w:val="none"/>
              </w:rPr>
            </w:pPr>
            <w:r>
              <w:rPr>
                <w:rFonts w:hint="eastAsia" w:hAnsi="宋体" w:cs="宋体"/>
                <w:szCs w:val="21"/>
                <w:highlight w:val="none"/>
              </w:rPr>
              <w:t>2</w:t>
            </w:r>
          </w:p>
        </w:tc>
        <w:tc>
          <w:tcPr>
            <w:tcW w:w="9217" w:type="dxa"/>
            <w:vAlign w:val="center"/>
          </w:tcPr>
          <w:p>
            <w:pPr>
              <w:kinsoku w:val="0"/>
              <w:spacing w:line="360" w:lineRule="exact"/>
              <w:rPr>
                <w:rFonts w:ascii="宋体" w:hAnsi="宋体" w:cs="宋体"/>
                <w:highlight w:val="none"/>
              </w:rPr>
            </w:pPr>
            <w:r>
              <w:rPr>
                <w:rFonts w:hint="eastAsia" w:ascii="宋体" w:hAnsi="宋体" w:cs="宋体"/>
                <w:highlight w:val="none"/>
              </w:rPr>
              <w:t>投标人资格：</w:t>
            </w:r>
          </w:p>
          <w:p>
            <w:pPr>
              <w:kinsoku w:val="0"/>
              <w:spacing w:line="360" w:lineRule="exact"/>
              <w:rPr>
                <w:rFonts w:ascii="宋体" w:hAnsi="宋体" w:cs="宋体"/>
                <w:szCs w:val="21"/>
                <w:highlight w:val="none"/>
              </w:rPr>
            </w:pPr>
            <w:r>
              <w:rPr>
                <w:rFonts w:hint="eastAsia" w:ascii="宋体" w:hAnsi="宋体" w:cs="宋体"/>
                <w:szCs w:val="21"/>
                <w:highlight w:val="none"/>
              </w:rPr>
              <w:t>1.满足《中华人民共和国政府采购法》第二十二条规定；</w:t>
            </w:r>
          </w:p>
          <w:p>
            <w:pPr>
              <w:kinsoku w:val="0"/>
              <w:spacing w:line="360" w:lineRule="exact"/>
              <w:ind w:left="210" w:hanging="210" w:hangingChars="100"/>
              <w:rPr>
                <w:rFonts w:ascii="宋体" w:hAnsi="宋体" w:cs="宋体"/>
                <w:szCs w:val="21"/>
                <w:highlight w:val="none"/>
              </w:rPr>
            </w:pPr>
            <w:r>
              <w:rPr>
                <w:rFonts w:hint="eastAsia" w:ascii="宋体" w:hAnsi="宋体" w:cs="宋体"/>
                <w:szCs w:val="21"/>
                <w:highlight w:val="none"/>
              </w:rPr>
              <w:t>2.落实采购政策需满足的资格要求：</w:t>
            </w:r>
            <w:r>
              <w:rPr>
                <w:rFonts w:hint="eastAsia" w:ascii="宋体" w:hAnsi="宋体" w:cs="宋体"/>
                <w:color w:val="auto"/>
                <w:szCs w:val="21"/>
                <w:highlight w:val="none"/>
                <w:u w:val="none"/>
              </w:rPr>
              <w:t>本项目属于专门面向中小企业采购的项目，投标人须根据</w:t>
            </w:r>
            <w:r>
              <w:rPr>
                <w:rFonts w:hint="eastAsia" w:ascii="宋体" w:hAnsi="宋体" w:cs="宋体"/>
                <w:color w:val="auto"/>
                <w:highlight w:val="none"/>
                <w:u w:val="none"/>
              </w:rPr>
              <w:t>《广西壮族自治区财政厅关于贯彻落实政府采购支持中小企业发展政策的通知》（桂财采〔2022〕31号）、《政府采购促进中小企业发展管理办法》（财库[2020]46号）、</w:t>
            </w:r>
            <w:r>
              <w:rPr>
                <w:rFonts w:hint="eastAsia" w:ascii="宋体" w:hAnsi="宋体" w:cs="宋体"/>
                <w:bCs/>
                <w:color w:val="auto"/>
                <w:highlight w:val="none"/>
                <w:u w:val="none"/>
              </w:rPr>
              <w:t>《关于政府采购支持监狱企业发展有关问题的通知》（财库〔2014〕68号）、《关于促进残疾人就业政府采购政策的通知》（财库〔2017〕141号）等国家法律法规的规定，符合中小微企业、或监狱企业、或残疾人福利性单位的要求</w:t>
            </w:r>
            <w:r>
              <w:rPr>
                <w:rFonts w:hint="eastAsia" w:ascii="宋体" w:hAnsi="宋体" w:cs="宋体"/>
                <w:szCs w:val="21"/>
                <w:highlight w:val="none"/>
              </w:rPr>
              <w:t>；</w:t>
            </w:r>
          </w:p>
          <w:p>
            <w:pPr>
              <w:kinsoku w:val="0"/>
              <w:spacing w:line="360" w:lineRule="exact"/>
              <w:rPr>
                <w:rFonts w:ascii="宋体" w:hAnsi="宋体" w:cs="宋体"/>
                <w:b/>
                <w:szCs w:val="21"/>
                <w:highlight w:val="none"/>
              </w:rPr>
            </w:pPr>
            <w:r>
              <w:rPr>
                <w:rFonts w:hint="eastAsia" w:ascii="宋体" w:hAnsi="宋体" w:cs="宋体"/>
                <w:szCs w:val="21"/>
                <w:highlight w:val="none"/>
              </w:rPr>
              <w:t>3.本项目的特定资格要求：无。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jc w:val="center"/>
        </w:trPr>
        <w:tc>
          <w:tcPr>
            <w:tcW w:w="664" w:type="dxa"/>
            <w:vAlign w:val="center"/>
          </w:tcPr>
          <w:p>
            <w:pPr>
              <w:pStyle w:val="256"/>
              <w:kinsoku w:val="0"/>
              <w:adjustRightInd w:val="0"/>
              <w:snapToGrid w:val="0"/>
              <w:spacing w:line="360" w:lineRule="exact"/>
              <w:jc w:val="center"/>
              <w:rPr>
                <w:rFonts w:hAnsi="宋体" w:cs="宋体"/>
                <w:szCs w:val="21"/>
                <w:highlight w:val="none"/>
              </w:rPr>
            </w:pPr>
            <w:r>
              <w:rPr>
                <w:rFonts w:hint="eastAsia" w:hAnsi="宋体" w:cs="宋体"/>
                <w:szCs w:val="21"/>
                <w:highlight w:val="none"/>
              </w:rPr>
              <w:t>3</w:t>
            </w:r>
          </w:p>
        </w:tc>
        <w:tc>
          <w:tcPr>
            <w:tcW w:w="9217" w:type="dxa"/>
            <w:vAlign w:val="center"/>
          </w:tcPr>
          <w:p>
            <w:pPr>
              <w:kinsoku w:val="0"/>
              <w:adjustRightInd w:val="0"/>
              <w:snapToGrid w:val="0"/>
              <w:spacing w:line="360" w:lineRule="exact"/>
              <w:rPr>
                <w:rFonts w:ascii="宋体" w:hAnsi="宋体" w:cs="宋体"/>
                <w:szCs w:val="21"/>
                <w:highlight w:val="none"/>
              </w:rPr>
            </w:pPr>
            <w:r>
              <w:rPr>
                <w:rFonts w:hint="eastAsia" w:ascii="宋体" w:hAnsi="宋体" w:cs="宋体"/>
                <w:szCs w:val="21"/>
                <w:highlight w:val="none"/>
              </w:rPr>
              <w:t>报价：投标人须就《采购需求》中所有的服务内容作完整唯一报价。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jc w:val="center"/>
        </w:trPr>
        <w:tc>
          <w:tcPr>
            <w:tcW w:w="664" w:type="dxa"/>
            <w:vAlign w:val="center"/>
          </w:tcPr>
          <w:p>
            <w:pPr>
              <w:pStyle w:val="256"/>
              <w:kinsoku w:val="0"/>
              <w:adjustRightInd w:val="0"/>
              <w:snapToGrid w:val="0"/>
              <w:spacing w:line="360" w:lineRule="exact"/>
              <w:jc w:val="center"/>
              <w:rPr>
                <w:rFonts w:hAnsi="宋体" w:cs="宋体"/>
                <w:szCs w:val="21"/>
                <w:highlight w:val="none"/>
              </w:rPr>
            </w:pPr>
            <w:r>
              <w:rPr>
                <w:rFonts w:hint="eastAsia" w:hAnsi="宋体" w:cs="宋体"/>
                <w:szCs w:val="21"/>
                <w:highlight w:val="none"/>
              </w:rPr>
              <w:t>4</w:t>
            </w:r>
          </w:p>
        </w:tc>
        <w:tc>
          <w:tcPr>
            <w:tcW w:w="9217" w:type="dxa"/>
            <w:vAlign w:val="center"/>
          </w:tcPr>
          <w:p>
            <w:pPr>
              <w:kinsoku w:val="0"/>
              <w:snapToGrid w:val="0"/>
              <w:spacing w:line="360" w:lineRule="exact"/>
              <w:rPr>
                <w:rFonts w:ascii="宋体" w:hAnsi="宋体" w:cs="宋体"/>
                <w:b/>
                <w:szCs w:val="21"/>
                <w:highlight w:val="none"/>
              </w:rPr>
            </w:pPr>
            <w:r>
              <w:rPr>
                <w:rFonts w:hint="eastAsia" w:ascii="宋体" w:hAnsi="宋体" w:cs="宋体"/>
                <w:b/>
                <w:szCs w:val="21"/>
                <w:highlight w:val="none"/>
              </w:rPr>
              <w:t>投标前准备：</w:t>
            </w:r>
          </w:p>
          <w:p>
            <w:pPr>
              <w:kinsoku w:val="0"/>
              <w:snapToGrid w:val="0"/>
              <w:spacing w:line="360" w:lineRule="exact"/>
              <w:rPr>
                <w:rFonts w:ascii="宋体" w:hAnsi="宋体" w:cs="宋体"/>
                <w:szCs w:val="21"/>
                <w:highlight w:val="none"/>
              </w:rPr>
            </w:pPr>
            <w:r>
              <w:rPr>
                <w:rFonts w:hint="eastAsia" w:ascii="宋体" w:hAnsi="宋体" w:cs="宋体"/>
                <w:szCs w:val="21"/>
                <w:highlight w:val="none"/>
              </w:rPr>
              <w:t>1.本项目实行网上磋商，采用电子响应文件。若投标人参与磋商，自行承担磋商一切费用。</w:t>
            </w:r>
          </w:p>
          <w:p>
            <w:pPr>
              <w:kinsoku w:val="0"/>
              <w:snapToGrid w:val="0"/>
              <w:spacing w:line="360" w:lineRule="exact"/>
              <w:ind w:left="210" w:hanging="210" w:hangingChars="100"/>
              <w:rPr>
                <w:rFonts w:ascii="宋体" w:hAnsi="宋体" w:cs="宋体"/>
                <w:szCs w:val="21"/>
                <w:highlight w:val="none"/>
              </w:rPr>
            </w:pPr>
            <w:r>
              <w:rPr>
                <w:rFonts w:hint="eastAsia" w:ascii="宋体" w:hAnsi="宋体" w:cs="宋体"/>
                <w:szCs w:val="21"/>
                <w:highlight w:val="none"/>
              </w:rPr>
              <w:t>2.各投标人应在响应文件提交截止时间前确保成为北海市政府采购中心网站正式注册入库供应商，并完成CA数字证书申领。因未注册入库、未办理CA数字证书等原因造成无法投标或投标失败等后果由投标人自行承担。</w:t>
            </w:r>
          </w:p>
          <w:p>
            <w:pPr>
              <w:kinsoku w:val="0"/>
              <w:spacing w:line="360" w:lineRule="exact"/>
              <w:ind w:left="210" w:hanging="210" w:hangingChars="100"/>
              <w:rPr>
                <w:rFonts w:ascii="宋体" w:hAnsi="宋体" w:cs="宋体"/>
                <w:szCs w:val="21"/>
                <w:highlight w:val="none"/>
              </w:rPr>
            </w:pPr>
            <w:r>
              <w:rPr>
                <w:rFonts w:hint="eastAsia" w:ascii="宋体" w:hAnsi="宋体" w:cs="宋体"/>
                <w:szCs w:val="21"/>
                <w:highlight w:val="none"/>
              </w:rPr>
              <w:t>3.投标人将政采云电子交易客户端下载、安装完成后，可通过账号密码或CA登录客户端进行响应文件制作。客户端请至北海市政府采购中心网站（https://www.zcygov.cn/）下载专区查看，如有问题可拨打政采云客户服务热线400-881-7190进行咨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jc w:val="center"/>
        </w:trPr>
        <w:tc>
          <w:tcPr>
            <w:tcW w:w="664" w:type="dxa"/>
            <w:vAlign w:val="center"/>
          </w:tcPr>
          <w:p>
            <w:pPr>
              <w:pStyle w:val="256"/>
              <w:kinsoku w:val="0"/>
              <w:adjustRightInd w:val="0"/>
              <w:snapToGrid w:val="0"/>
              <w:spacing w:line="360" w:lineRule="exact"/>
              <w:jc w:val="center"/>
              <w:rPr>
                <w:rFonts w:hAnsi="宋体" w:cs="宋体"/>
                <w:szCs w:val="21"/>
                <w:highlight w:val="none"/>
              </w:rPr>
            </w:pPr>
            <w:r>
              <w:rPr>
                <w:rFonts w:hint="eastAsia" w:hAnsi="宋体" w:cs="宋体"/>
                <w:szCs w:val="21"/>
                <w:highlight w:val="none"/>
              </w:rPr>
              <w:t>5</w:t>
            </w:r>
          </w:p>
        </w:tc>
        <w:tc>
          <w:tcPr>
            <w:tcW w:w="9217" w:type="dxa"/>
            <w:vAlign w:val="center"/>
          </w:tcPr>
          <w:p>
            <w:pPr>
              <w:kinsoku w:val="0"/>
              <w:autoSpaceDE w:val="0"/>
              <w:autoSpaceDN w:val="0"/>
              <w:snapToGrid w:val="0"/>
              <w:spacing w:line="360" w:lineRule="exact"/>
              <w:textAlignment w:val="bottom"/>
              <w:rPr>
                <w:rFonts w:ascii="宋体" w:hAnsi="宋体" w:cs="宋体"/>
                <w:b/>
                <w:szCs w:val="21"/>
                <w:highlight w:val="none"/>
              </w:rPr>
            </w:pPr>
            <w:r>
              <w:rPr>
                <w:rFonts w:hint="eastAsia" w:ascii="宋体" w:hAnsi="宋体" w:cs="宋体"/>
                <w:b/>
                <w:szCs w:val="21"/>
                <w:highlight w:val="none"/>
              </w:rPr>
              <w:t>投标人应在响应文件提交截止时间前提供电子响应文件，同时可以提供以介质存储的电子备份响应文件：</w:t>
            </w:r>
          </w:p>
          <w:p>
            <w:pPr>
              <w:kinsoku w:val="0"/>
              <w:autoSpaceDE w:val="0"/>
              <w:autoSpaceDN w:val="0"/>
              <w:snapToGrid w:val="0"/>
              <w:spacing w:line="360" w:lineRule="exact"/>
              <w:textAlignment w:val="bottom"/>
              <w:rPr>
                <w:rFonts w:ascii="宋体" w:hAnsi="宋体" w:cs="宋体"/>
                <w:bCs/>
                <w:szCs w:val="21"/>
                <w:highlight w:val="none"/>
              </w:rPr>
            </w:pPr>
            <w:r>
              <w:rPr>
                <w:rFonts w:hint="eastAsia" w:ascii="宋体" w:hAnsi="宋体" w:cs="宋体"/>
                <w:bCs/>
                <w:szCs w:val="21"/>
                <w:highlight w:val="none"/>
              </w:rPr>
              <w:t>1.电子响应文件按政采云平台要求及本磋商文件要求制作、加密并提交。</w:t>
            </w:r>
          </w:p>
          <w:p>
            <w:pPr>
              <w:kinsoku w:val="0"/>
              <w:autoSpaceDE w:val="0"/>
              <w:autoSpaceDN w:val="0"/>
              <w:snapToGrid w:val="0"/>
              <w:spacing w:line="360" w:lineRule="exact"/>
              <w:ind w:left="210" w:hanging="210" w:hangingChars="100"/>
              <w:textAlignment w:val="bottom"/>
              <w:rPr>
                <w:rFonts w:ascii="宋体" w:hAnsi="宋体" w:cs="宋体"/>
                <w:bCs/>
                <w:szCs w:val="21"/>
                <w:highlight w:val="none"/>
              </w:rPr>
            </w:pPr>
            <w:r>
              <w:rPr>
                <w:rFonts w:hint="eastAsia" w:ascii="宋体" w:hAnsi="宋体" w:cs="宋体"/>
                <w:bCs/>
                <w:szCs w:val="21"/>
                <w:highlight w:val="none"/>
              </w:rPr>
              <w:t>2.以介质存储的电子备份响应文件，按政采云平台项目采购-电子招投标操作指南中上传的电子投标文件格式，以DVD光盘或者U盘等形式提供，数量为1份。</w:t>
            </w:r>
          </w:p>
          <w:p>
            <w:pPr>
              <w:kinsoku w:val="0"/>
              <w:autoSpaceDE w:val="0"/>
              <w:autoSpaceDN w:val="0"/>
              <w:snapToGrid w:val="0"/>
              <w:spacing w:line="360" w:lineRule="exact"/>
              <w:ind w:left="210" w:hanging="210" w:hangingChars="100"/>
              <w:textAlignment w:val="bottom"/>
              <w:rPr>
                <w:rFonts w:ascii="宋体" w:hAnsi="宋体" w:cs="宋体"/>
                <w:bCs/>
                <w:szCs w:val="21"/>
                <w:highlight w:val="none"/>
              </w:rPr>
            </w:pPr>
            <w:r>
              <w:rPr>
                <w:rFonts w:hint="eastAsia" w:ascii="宋体" w:hAnsi="宋体" w:cs="宋体"/>
                <w:bCs/>
                <w:szCs w:val="21"/>
                <w:highlight w:val="none"/>
              </w:rPr>
              <w:t>3.响应文件启用顺序和效力：响应文件的启用，按先后顺位分别为电子响应文件、以介质存储的电子备份响应文件。顺位在先的电子响应文件已按时解密的，下一顺位的电子备份响应文件自动失效。在下一顺位的电子备份响应文件启用时，前一顺位的电子响应文件自动失效。</w:t>
            </w:r>
          </w:p>
          <w:p>
            <w:pPr>
              <w:kinsoku w:val="0"/>
              <w:autoSpaceDE w:val="0"/>
              <w:autoSpaceDN w:val="0"/>
              <w:snapToGrid w:val="0"/>
              <w:spacing w:line="360" w:lineRule="exact"/>
              <w:textAlignment w:val="bottom"/>
              <w:rPr>
                <w:rFonts w:ascii="宋体" w:hAnsi="宋体" w:cs="宋体"/>
                <w:bCs/>
                <w:szCs w:val="21"/>
                <w:highlight w:val="none"/>
              </w:rPr>
            </w:pPr>
            <w:r>
              <w:rPr>
                <w:rFonts w:hint="eastAsia" w:ascii="宋体" w:hAnsi="宋体" w:cs="宋体"/>
                <w:bCs/>
                <w:szCs w:val="21"/>
                <w:highlight w:val="none"/>
              </w:rPr>
              <w:t>4.未传输提交电子响应文件的，磋商无效。</w:t>
            </w:r>
          </w:p>
          <w:p>
            <w:pPr>
              <w:kinsoku w:val="0"/>
              <w:spacing w:line="360" w:lineRule="exact"/>
              <w:ind w:left="210" w:hanging="210" w:hangingChars="100"/>
              <w:rPr>
                <w:rFonts w:ascii="宋体" w:hAnsi="宋体" w:cs="宋体"/>
                <w:szCs w:val="21"/>
                <w:highlight w:val="none"/>
              </w:rPr>
            </w:pPr>
            <w:r>
              <w:rPr>
                <w:rFonts w:hint="eastAsia" w:ascii="宋体" w:hAnsi="宋体" w:cs="宋体"/>
                <w:bCs/>
                <w:szCs w:val="21"/>
                <w:highlight w:val="none"/>
              </w:rPr>
              <w:t>5.未提供符合要求的电子备份响应文件，造成项目开评标活动无法进行下去的，后果自负。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jc w:val="center"/>
        </w:trPr>
        <w:tc>
          <w:tcPr>
            <w:tcW w:w="664" w:type="dxa"/>
            <w:vAlign w:val="center"/>
          </w:tcPr>
          <w:p>
            <w:pPr>
              <w:pStyle w:val="256"/>
              <w:kinsoku w:val="0"/>
              <w:adjustRightInd w:val="0"/>
              <w:snapToGrid w:val="0"/>
              <w:spacing w:line="360" w:lineRule="exact"/>
              <w:jc w:val="center"/>
              <w:rPr>
                <w:rFonts w:hAnsi="宋体" w:cs="宋体"/>
                <w:szCs w:val="21"/>
                <w:highlight w:val="none"/>
              </w:rPr>
            </w:pPr>
            <w:r>
              <w:rPr>
                <w:rFonts w:hint="eastAsia" w:hAnsi="宋体" w:cs="宋体"/>
                <w:szCs w:val="21"/>
                <w:highlight w:val="none"/>
              </w:rPr>
              <w:t>6</w:t>
            </w:r>
          </w:p>
        </w:tc>
        <w:tc>
          <w:tcPr>
            <w:tcW w:w="9217" w:type="dxa"/>
            <w:vAlign w:val="center"/>
          </w:tcPr>
          <w:p>
            <w:pPr>
              <w:pStyle w:val="256"/>
              <w:kinsoku w:val="0"/>
              <w:adjustRightInd w:val="0"/>
              <w:snapToGrid w:val="0"/>
              <w:spacing w:line="360" w:lineRule="exact"/>
              <w:rPr>
                <w:rFonts w:hAnsi="宋体" w:cs="宋体"/>
                <w:b/>
                <w:kern w:val="0"/>
                <w:szCs w:val="21"/>
                <w:highlight w:val="none"/>
              </w:rPr>
            </w:pPr>
            <w:r>
              <w:rPr>
                <w:rFonts w:hint="eastAsia" w:hAnsi="宋体" w:cs="宋体"/>
                <w:b/>
                <w:szCs w:val="21"/>
                <w:highlight w:val="none"/>
              </w:rPr>
              <w:t>1.响应文件提交截止时间：</w:t>
            </w:r>
            <w:r>
              <w:rPr>
                <w:rFonts w:hint="eastAsia" w:ascii="宋体" w:hAnsi="宋体" w:cs="宋体"/>
                <w:szCs w:val="21"/>
                <w:highlight w:val="none"/>
                <w:u w:val="none"/>
              </w:rPr>
              <w:t>2022年</w:t>
            </w:r>
            <w:r>
              <w:rPr>
                <w:rFonts w:hint="eastAsia" w:ascii="宋体" w:hAnsi="宋体" w:cs="宋体"/>
                <w:szCs w:val="21"/>
                <w:highlight w:val="none"/>
                <w:u w:val="none"/>
                <w:lang w:val="en-US" w:eastAsia="zh-CN"/>
              </w:rPr>
              <w:t>9</w:t>
            </w:r>
            <w:r>
              <w:rPr>
                <w:rFonts w:hint="eastAsia" w:ascii="宋体" w:hAnsi="宋体" w:cs="宋体"/>
                <w:szCs w:val="21"/>
                <w:highlight w:val="none"/>
                <w:u w:val="none"/>
              </w:rPr>
              <w:t>月</w:t>
            </w:r>
            <w:r>
              <w:rPr>
                <w:rFonts w:hint="eastAsia" w:ascii="宋体" w:hAnsi="宋体" w:cs="宋体"/>
                <w:szCs w:val="21"/>
                <w:highlight w:val="none"/>
                <w:u w:val="none"/>
                <w:lang w:val="en-US" w:eastAsia="zh-CN"/>
              </w:rPr>
              <w:t>6</w:t>
            </w:r>
            <w:r>
              <w:rPr>
                <w:rFonts w:hint="eastAsia" w:ascii="宋体" w:hAnsi="宋体" w:cs="宋体"/>
                <w:szCs w:val="21"/>
                <w:highlight w:val="none"/>
                <w:u w:val="none"/>
              </w:rPr>
              <w:t>日</w:t>
            </w:r>
            <w:r>
              <w:rPr>
                <w:rFonts w:hint="eastAsia" w:ascii="宋体" w:hAnsi="宋体" w:cs="宋体"/>
                <w:szCs w:val="21"/>
                <w:highlight w:val="none"/>
                <w:lang w:val="en-US" w:eastAsia="zh-CN"/>
              </w:rPr>
              <w:t>9</w:t>
            </w:r>
            <w:r>
              <w:rPr>
                <w:rFonts w:hint="eastAsia" w:ascii="宋体" w:hAnsi="宋体" w:cs="宋体"/>
                <w:szCs w:val="21"/>
                <w:highlight w:val="none"/>
              </w:rPr>
              <w:t>点</w:t>
            </w:r>
            <w:r>
              <w:rPr>
                <w:rFonts w:hint="eastAsia" w:ascii="宋体" w:hAnsi="宋体" w:cs="宋体"/>
                <w:szCs w:val="21"/>
                <w:highlight w:val="none"/>
                <w:lang w:val="en-US" w:eastAsia="zh-CN"/>
              </w:rPr>
              <w:t>00</w:t>
            </w:r>
            <w:r>
              <w:rPr>
                <w:rFonts w:hint="eastAsia" w:ascii="宋体" w:hAnsi="宋体" w:cs="宋体"/>
                <w:szCs w:val="21"/>
                <w:highlight w:val="none"/>
              </w:rPr>
              <w:t>分</w:t>
            </w:r>
            <w:r>
              <w:rPr>
                <w:rFonts w:hint="eastAsia" w:hAnsi="宋体" w:cs="宋体"/>
                <w:b/>
                <w:kern w:val="0"/>
                <w:szCs w:val="21"/>
                <w:highlight w:val="none"/>
              </w:rPr>
              <w:t>。</w:t>
            </w:r>
          </w:p>
          <w:p>
            <w:pPr>
              <w:kinsoku w:val="0"/>
              <w:spacing w:line="360" w:lineRule="exact"/>
              <w:rPr>
                <w:rFonts w:ascii="宋体" w:hAnsi="宋体" w:cs="宋体"/>
                <w:b/>
                <w:szCs w:val="21"/>
                <w:highlight w:val="none"/>
              </w:rPr>
            </w:pPr>
            <w:r>
              <w:rPr>
                <w:rFonts w:hint="eastAsia" w:ascii="宋体" w:hAnsi="宋体" w:cs="宋体"/>
                <w:b/>
                <w:szCs w:val="21"/>
                <w:highlight w:val="none"/>
              </w:rPr>
              <w:t>2.地址：通过政采云平台实行在线截标。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9" w:hRule="atLeast"/>
          <w:jc w:val="center"/>
        </w:trPr>
        <w:tc>
          <w:tcPr>
            <w:tcW w:w="664" w:type="dxa"/>
            <w:vAlign w:val="center"/>
          </w:tcPr>
          <w:p>
            <w:pPr>
              <w:pStyle w:val="256"/>
              <w:kinsoku w:val="0"/>
              <w:adjustRightInd w:val="0"/>
              <w:snapToGrid w:val="0"/>
              <w:spacing w:line="360" w:lineRule="exact"/>
              <w:jc w:val="center"/>
              <w:rPr>
                <w:rFonts w:hAnsi="宋体" w:cs="宋体"/>
                <w:szCs w:val="21"/>
                <w:highlight w:val="none"/>
              </w:rPr>
            </w:pPr>
            <w:r>
              <w:rPr>
                <w:rFonts w:hint="eastAsia" w:hAnsi="宋体" w:cs="宋体"/>
                <w:szCs w:val="21"/>
                <w:highlight w:val="none"/>
              </w:rPr>
              <w:t>7</w:t>
            </w:r>
          </w:p>
        </w:tc>
        <w:tc>
          <w:tcPr>
            <w:tcW w:w="9217" w:type="dxa"/>
            <w:vAlign w:val="center"/>
          </w:tcPr>
          <w:p>
            <w:pPr>
              <w:kinsoku w:val="0"/>
              <w:spacing w:line="360" w:lineRule="exact"/>
              <w:ind w:left="211" w:hanging="211" w:hangingChars="100"/>
              <w:rPr>
                <w:rFonts w:ascii="宋体" w:hAnsi="宋体" w:cs="宋体"/>
                <w:b/>
                <w:szCs w:val="21"/>
                <w:highlight w:val="none"/>
              </w:rPr>
            </w:pPr>
            <w:r>
              <w:rPr>
                <w:rFonts w:hint="eastAsia" w:ascii="宋体" w:hAnsi="宋体" w:cs="宋体"/>
                <w:b/>
                <w:szCs w:val="21"/>
                <w:highlight w:val="none"/>
              </w:rPr>
              <w:t>磋商响应文件解密时间：</w:t>
            </w:r>
          </w:p>
          <w:p>
            <w:pPr>
              <w:pStyle w:val="29"/>
              <w:kinsoku w:val="0"/>
              <w:adjustRightInd w:val="0"/>
              <w:snapToGrid w:val="0"/>
              <w:spacing w:line="360" w:lineRule="exact"/>
              <w:rPr>
                <w:rFonts w:hAnsi="宋体" w:cs="宋体"/>
                <w:highlight w:val="none"/>
              </w:rPr>
            </w:pPr>
            <w:r>
              <w:rPr>
                <w:rFonts w:hint="eastAsia" w:hAnsi="宋体" w:cs="宋体"/>
                <w:kern w:val="0"/>
                <w:highlight w:val="none"/>
              </w:rPr>
              <w:t>截标时间后30分钟内投标人可以登录政采云平台，用“项目采购-开标评标”功能进行解密响应文件。若投标人在规定时间内无法解密或解密失败，可以以电子备份响应文件作为依据，若电子备份响应文件与政采云平台上传的电子响应文件被识别为不一致的，以电子备份响应文件作为评审依据；投标人按时在线解密响应文件的，以在线解密的响应文件作为评审依据。若投标人在规定时间内无法解密或解密失败且未提供电子备份响应文件的，视为投标文件撤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664" w:type="dxa"/>
            <w:vAlign w:val="center"/>
          </w:tcPr>
          <w:p>
            <w:pPr>
              <w:pStyle w:val="256"/>
              <w:kinsoku w:val="0"/>
              <w:adjustRightInd w:val="0"/>
              <w:snapToGrid w:val="0"/>
              <w:spacing w:line="360" w:lineRule="exact"/>
              <w:jc w:val="center"/>
              <w:rPr>
                <w:rFonts w:hAnsi="宋体" w:cs="宋体"/>
                <w:szCs w:val="21"/>
                <w:highlight w:val="none"/>
              </w:rPr>
            </w:pPr>
            <w:r>
              <w:rPr>
                <w:rFonts w:hint="eastAsia" w:hAnsi="宋体" w:cs="宋体"/>
                <w:szCs w:val="21"/>
                <w:highlight w:val="none"/>
              </w:rPr>
              <w:t>8</w:t>
            </w:r>
          </w:p>
        </w:tc>
        <w:tc>
          <w:tcPr>
            <w:tcW w:w="9217" w:type="dxa"/>
            <w:vAlign w:val="center"/>
          </w:tcPr>
          <w:p>
            <w:pPr>
              <w:pStyle w:val="256"/>
              <w:kinsoku w:val="0"/>
              <w:adjustRightInd w:val="0"/>
              <w:snapToGrid w:val="0"/>
              <w:spacing w:line="360" w:lineRule="exact"/>
              <w:rPr>
                <w:rFonts w:hAnsi="宋体" w:cs="宋体"/>
                <w:szCs w:val="21"/>
                <w:highlight w:val="none"/>
              </w:rPr>
            </w:pPr>
            <w:r>
              <w:rPr>
                <w:rFonts w:hint="eastAsia" w:hAnsi="宋体" w:cs="宋体"/>
                <w:szCs w:val="21"/>
                <w:highlight w:val="none"/>
              </w:rPr>
              <w:t>磋商有效期：响应文件提交截止日期后</w:t>
            </w:r>
            <w:r>
              <w:rPr>
                <w:rFonts w:hint="eastAsia" w:hAnsi="宋体" w:cs="宋体"/>
                <w:szCs w:val="21"/>
                <w:highlight w:val="none"/>
                <w:u w:val="single"/>
              </w:rPr>
              <w:t xml:space="preserve"> 60 </w:t>
            </w:r>
            <w:r>
              <w:rPr>
                <w:rFonts w:hint="eastAsia" w:hAnsi="宋体" w:cs="宋体"/>
                <w:szCs w:val="21"/>
                <w:highlight w:val="none"/>
              </w:rPr>
              <w:t>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19" w:hRule="atLeast"/>
          <w:jc w:val="center"/>
        </w:trPr>
        <w:tc>
          <w:tcPr>
            <w:tcW w:w="664" w:type="dxa"/>
            <w:vAlign w:val="center"/>
          </w:tcPr>
          <w:p>
            <w:pPr>
              <w:pStyle w:val="256"/>
              <w:kinsoku w:val="0"/>
              <w:adjustRightInd w:val="0"/>
              <w:snapToGrid w:val="0"/>
              <w:spacing w:line="360" w:lineRule="exact"/>
              <w:jc w:val="center"/>
              <w:rPr>
                <w:rFonts w:hAnsi="宋体" w:cs="宋体"/>
                <w:szCs w:val="21"/>
                <w:highlight w:val="none"/>
              </w:rPr>
            </w:pPr>
            <w:r>
              <w:rPr>
                <w:rFonts w:hint="eastAsia" w:hAnsi="宋体" w:cs="宋体"/>
                <w:szCs w:val="21"/>
                <w:highlight w:val="none"/>
              </w:rPr>
              <w:t>9</w:t>
            </w:r>
          </w:p>
        </w:tc>
        <w:tc>
          <w:tcPr>
            <w:tcW w:w="9217" w:type="dxa"/>
            <w:vAlign w:val="center"/>
          </w:tcPr>
          <w:p>
            <w:pPr>
              <w:pStyle w:val="29"/>
              <w:kinsoku w:val="0"/>
              <w:adjustRightInd w:val="0"/>
              <w:snapToGrid w:val="0"/>
              <w:spacing w:line="360" w:lineRule="exact"/>
              <w:ind w:left="210" w:hanging="210" w:hangingChars="100"/>
              <w:rPr>
                <w:rFonts w:hAnsi="宋体" w:cs="宋体"/>
                <w:highlight w:val="none"/>
              </w:rPr>
            </w:pPr>
            <w:r>
              <w:rPr>
                <w:rFonts w:hint="eastAsia" w:hAnsi="宋体" w:cs="宋体"/>
                <w:highlight w:val="none"/>
              </w:rPr>
              <w:t>磋商保证金：</w:t>
            </w:r>
          </w:p>
          <w:p>
            <w:pPr>
              <w:pStyle w:val="29"/>
              <w:kinsoku w:val="0"/>
              <w:adjustRightInd w:val="0"/>
              <w:snapToGrid w:val="0"/>
              <w:spacing w:line="360" w:lineRule="exact"/>
              <w:ind w:left="210" w:hanging="210" w:hangingChars="100"/>
              <w:jc w:val="left"/>
              <w:rPr>
                <w:rFonts w:hAnsi="宋体" w:cs="宋体"/>
                <w:highlight w:val="none"/>
              </w:rPr>
            </w:pPr>
            <w:r>
              <w:rPr>
                <w:rFonts w:hint="eastAsia" w:hAnsi="宋体" w:cs="宋体"/>
                <w:highlight w:val="none"/>
              </w:rPr>
              <w:t>1.根据《北海市财政局关于明确政府采购保证金管理工作的通知》（北财采【2020】27号）文件中关于“不得向诚信记录良好的供应商收取投标保证金”的要求，投标人无须交纳磋商保证金。</w:t>
            </w:r>
          </w:p>
          <w:p>
            <w:pPr>
              <w:pStyle w:val="29"/>
              <w:kinsoku w:val="0"/>
              <w:adjustRightInd w:val="0"/>
              <w:snapToGrid w:val="0"/>
              <w:spacing w:line="360" w:lineRule="exact"/>
              <w:ind w:left="210" w:hanging="210" w:hangingChars="100"/>
              <w:rPr>
                <w:rFonts w:hAnsi="宋体" w:cs="宋体"/>
                <w:highlight w:val="none"/>
              </w:rPr>
            </w:pPr>
            <w:r>
              <w:rPr>
                <w:rFonts w:hint="eastAsia" w:hAnsi="宋体" w:cs="宋体"/>
                <w:highlight w:val="none"/>
              </w:rPr>
              <w:t>2.投标人按本竞争性磋商文件第二章“附件1”的格式要求提供《诚信记录良好承诺函》。《诚信记录良好承诺函》交纳方式见《投标人须知》11项。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9" w:hRule="atLeast"/>
          <w:jc w:val="center"/>
        </w:trPr>
        <w:tc>
          <w:tcPr>
            <w:tcW w:w="664" w:type="dxa"/>
            <w:vAlign w:val="center"/>
          </w:tcPr>
          <w:p>
            <w:pPr>
              <w:pStyle w:val="256"/>
              <w:kinsoku w:val="0"/>
              <w:adjustRightInd w:val="0"/>
              <w:snapToGrid w:val="0"/>
              <w:spacing w:line="360" w:lineRule="exact"/>
              <w:jc w:val="center"/>
              <w:rPr>
                <w:rFonts w:hAnsi="宋体" w:cs="宋体"/>
                <w:szCs w:val="21"/>
                <w:highlight w:val="none"/>
              </w:rPr>
            </w:pPr>
            <w:r>
              <w:rPr>
                <w:rFonts w:hint="eastAsia" w:hAnsi="宋体" w:cs="宋体"/>
                <w:szCs w:val="21"/>
                <w:highlight w:val="none"/>
              </w:rPr>
              <w:t>10</w:t>
            </w:r>
          </w:p>
        </w:tc>
        <w:tc>
          <w:tcPr>
            <w:tcW w:w="9217" w:type="dxa"/>
            <w:vAlign w:val="center"/>
          </w:tcPr>
          <w:p>
            <w:pPr>
              <w:pStyle w:val="256"/>
              <w:kinsoku w:val="0"/>
              <w:adjustRightInd w:val="0"/>
              <w:snapToGrid w:val="0"/>
              <w:spacing w:line="360" w:lineRule="exact"/>
              <w:ind w:left="240" w:hanging="240" w:hangingChars="114"/>
              <w:rPr>
                <w:rFonts w:hAnsi="宋体" w:cs="宋体"/>
                <w:b/>
                <w:bCs/>
                <w:szCs w:val="21"/>
                <w:highlight w:val="none"/>
              </w:rPr>
            </w:pPr>
            <w:r>
              <w:rPr>
                <w:rFonts w:hint="eastAsia" w:hAnsi="宋体" w:cs="宋体"/>
                <w:b/>
                <w:bCs/>
                <w:szCs w:val="21"/>
                <w:highlight w:val="none"/>
              </w:rPr>
              <w:t>1.磋商时间：</w:t>
            </w:r>
            <w:r>
              <w:rPr>
                <w:rFonts w:hint="eastAsia" w:ascii="宋体" w:hAnsi="宋体" w:cs="宋体"/>
                <w:szCs w:val="21"/>
                <w:highlight w:val="none"/>
                <w:u w:val="none"/>
              </w:rPr>
              <w:t>2022年</w:t>
            </w:r>
            <w:r>
              <w:rPr>
                <w:rFonts w:hint="eastAsia" w:ascii="宋体" w:hAnsi="宋体" w:cs="宋体"/>
                <w:szCs w:val="21"/>
                <w:highlight w:val="none"/>
                <w:u w:val="none"/>
                <w:lang w:val="en-US" w:eastAsia="zh-CN"/>
              </w:rPr>
              <w:t>9</w:t>
            </w:r>
            <w:r>
              <w:rPr>
                <w:rFonts w:hint="eastAsia" w:ascii="宋体" w:hAnsi="宋体" w:cs="宋体"/>
                <w:szCs w:val="21"/>
                <w:highlight w:val="none"/>
                <w:u w:val="none"/>
              </w:rPr>
              <w:t>月</w:t>
            </w:r>
            <w:r>
              <w:rPr>
                <w:rFonts w:hint="eastAsia" w:ascii="宋体" w:hAnsi="宋体" w:cs="宋体"/>
                <w:szCs w:val="21"/>
                <w:highlight w:val="none"/>
                <w:u w:val="none"/>
                <w:lang w:val="en-US" w:eastAsia="zh-CN"/>
              </w:rPr>
              <w:t>6</w:t>
            </w:r>
            <w:r>
              <w:rPr>
                <w:rFonts w:hint="eastAsia" w:ascii="宋体" w:hAnsi="宋体" w:cs="宋体"/>
                <w:szCs w:val="21"/>
                <w:highlight w:val="none"/>
                <w:u w:val="none"/>
              </w:rPr>
              <w:t>日</w:t>
            </w:r>
            <w:r>
              <w:rPr>
                <w:rFonts w:hint="eastAsia" w:ascii="宋体" w:hAnsi="宋体" w:cs="宋体"/>
                <w:szCs w:val="21"/>
                <w:highlight w:val="none"/>
                <w:lang w:val="en-US" w:eastAsia="zh-CN"/>
              </w:rPr>
              <w:t>9</w:t>
            </w:r>
            <w:r>
              <w:rPr>
                <w:rFonts w:hint="eastAsia" w:ascii="宋体" w:hAnsi="宋体" w:cs="宋体"/>
                <w:szCs w:val="21"/>
                <w:highlight w:val="none"/>
              </w:rPr>
              <w:t>点</w:t>
            </w:r>
            <w:r>
              <w:rPr>
                <w:rFonts w:hint="eastAsia" w:ascii="宋体" w:hAnsi="宋体" w:cs="宋体"/>
                <w:szCs w:val="21"/>
                <w:highlight w:val="none"/>
                <w:lang w:val="en-US" w:eastAsia="zh-CN"/>
              </w:rPr>
              <w:t>00</w:t>
            </w:r>
            <w:r>
              <w:rPr>
                <w:rFonts w:hint="eastAsia" w:ascii="宋体" w:hAnsi="宋体" w:cs="宋体"/>
                <w:szCs w:val="21"/>
                <w:highlight w:val="none"/>
              </w:rPr>
              <w:t>分</w:t>
            </w:r>
            <w:r>
              <w:rPr>
                <w:rFonts w:hint="eastAsia" w:hAnsi="宋体" w:cs="宋体"/>
                <w:szCs w:val="21"/>
                <w:highlight w:val="none"/>
              </w:rPr>
              <w:t>截标后</w:t>
            </w:r>
            <w:r>
              <w:rPr>
                <w:rFonts w:hint="eastAsia" w:hAnsi="宋体" w:cs="宋体"/>
                <w:b/>
                <w:bCs/>
                <w:szCs w:val="21"/>
                <w:highlight w:val="none"/>
              </w:rPr>
              <w:t>。</w:t>
            </w:r>
          </w:p>
          <w:p>
            <w:pPr>
              <w:pStyle w:val="256"/>
              <w:tabs>
                <w:tab w:val="center" w:pos="4500"/>
              </w:tabs>
              <w:kinsoku w:val="0"/>
              <w:adjustRightInd w:val="0"/>
              <w:snapToGrid w:val="0"/>
              <w:spacing w:line="360" w:lineRule="exact"/>
              <w:ind w:left="207" w:hanging="207" w:hangingChars="98"/>
              <w:rPr>
                <w:rFonts w:hAnsi="宋体" w:cs="宋体"/>
                <w:szCs w:val="21"/>
                <w:highlight w:val="none"/>
              </w:rPr>
            </w:pPr>
            <w:r>
              <w:rPr>
                <w:rFonts w:hint="eastAsia" w:hAnsi="宋体" w:cs="宋体"/>
                <w:b/>
                <w:bCs/>
                <w:szCs w:val="21"/>
                <w:highlight w:val="none"/>
              </w:rPr>
              <w:t>2.磋商地点：通过政采云平台实行在线磋商。</w:t>
            </w:r>
            <w:r>
              <w:rPr>
                <w:rFonts w:hint="eastAsia"/>
                <w:highlight w:val="none"/>
              </w:rPr>
              <w:t>（开、评标现场地点：北海市北海大道（中段）177号市政务服务中心三楼）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4" w:hRule="atLeast"/>
          <w:jc w:val="center"/>
        </w:trPr>
        <w:tc>
          <w:tcPr>
            <w:tcW w:w="664" w:type="dxa"/>
            <w:vAlign w:val="center"/>
          </w:tcPr>
          <w:p>
            <w:pPr>
              <w:pStyle w:val="256"/>
              <w:kinsoku w:val="0"/>
              <w:adjustRightInd w:val="0"/>
              <w:snapToGrid w:val="0"/>
              <w:spacing w:line="360" w:lineRule="exact"/>
              <w:jc w:val="center"/>
              <w:rPr>
                <w:rFonts w:hAnsi="宋体" w:cs="宋体"/>
                <w:szCs w:val="21"/>
                <w:highlight w:val="none"/>
              </w:rPr>
            </w:pPr>
            <w:r>
              <w:rPr>
                <w:rFonts w:hint="eastAsia" w:hAnsi="宋体" w:cs="宋体"/>
                <w:szCs w:val="21"/>
                <w:highlight w:val="none"/>
              </w:rPr>
              <w:t>11</w:t>
            </w:r>
          </w:p>
        </w:tc>
        <w:tc>
          <w:tcPr>
            <w:tcW w:w="9217" w:type="dxa"/>
            <w:vAlign w:val="center"/>
          </w:tcPr>
          <w:p>
            <w:pPr>
              <w:pStyle w:val="256"/>
              <w:kinsoku w:val="0"/>
              <w:adjustRightInd w:val="0"/>
              <w:snapToGrid w:val="0"/>
              <w:spacing w:line="360" w:lineRule="exact"/>
              <w:rPr>
                <w:rFonts w:hAnsi="宋体" w:cs="宋体"/>
                <w:szCs w:val="21"/>
                <w:highlight w:val="none"/>
              </w:rPr>
            </w:pPr>
            <w:r>
              <w:rPr>
                <w:rFonts w:hint="eastAsia" w:hAnsi="宋体" w:cs="宋体"/>
                <w:szCs w:val="21"/>
                <w:highlight w:val="none"/>
              </w:rPr>
              <w:t>评标办法：综合评分法（详细见第六章）</w:t>
            </w:r>
          </w:p>
        </w:tc>
      </w:tr>
    </w:tbl>
    <w:p>
      <w:pPr>
        <w:kinsoku w:val="0"/>
        <w:spacing w:line="600" w:lineRule="exact"/>
        <w:jc w:val="center"/>
        <w:rPr>
          <w:rFonts w:ascii="宋体" w:hAnsi="宋体" w:cs="宋体"/>
          <w:b/>
          <w:sz w:val="32"/>
          <w:szCs w:val="32"/>
          <w:highlight w:val="none"/>
        </w:rPr>
      </w:pPr>
    </w:p>
    <w:p>
      <w:pPr>
        <w:kinsoku w:val="0"/>
        <w:spacing w:line="600" w:lineRule="exact"/>
        <w:jc w:val="center"/>
        <w:rPr>
          <w:rFonts w:ascii="宋体" w:hAnsi="宋体" w:cs="宋体"/>
          <w:b/>
          <w:szCs w:val="21"/>
          <w:highlight w:val="none"/>
        </w:rPr>
      </w:pPr>
      <w:r>
        <w:rPr>
          <w:rFonts w:hint="eastAsia" w:ascii="宋体" w:hAnsi="宋体" w:cs="宋体"/>
          <w:b/>
          <w:sz w:val="32"/>
          <w:szCs w:val="32"/>
          <w:highlight w:val="none"/>
        </w:rPr>
        <w:t>投标人须知</w:t>
      </w:r>
    </w:p>
    <w:p>
      <w:pPr>
        <w:kinsoku w:val="0"/>
        <w:adjustRightInd w:val="0"/>
        <w:snapToGrid w:val="0"/>
        <w:spacing w:line="372" w:lineRule="exact"/>
        <w:jc w:val="center"/>
        <w:rPr>
          <w:rFonts w:ascii="宋体" w:hAnsi="宋体" w:cs="宋体"/>
          <w:b/>
          <w:szCs w:val="21"/>
          <w:highlight w:val="none"/>
        </w:rPr>
      </w:pPr>
      <w:r>
        <w:rPr>
          <w:rFonts w:hint="eastAsia" w:ascii="宋体" w:hAnsi="宋体" w:cs="宋体"/>
          <w:b/>
          <w:szCs w:val="21"/>
          <w:highlight w:val="none"/>
        </w:rPr>
        <w:t>一.总　则</w:t>
      </w:r>
    </w:p>
    <w:p>
      <w:pPr>
        <w:kinsoku w:val="0"/>
        <w:adjustRightInd w:val="0"/>
        <w:snapToGrid w:val="0"/>
        <w:spacing w:line="400" w:lineRule="exact"/>
        <w:rPr>
          <w:rFonts w:ascii="宋体" w:hAnsi="宋体" w:cs="宋体"/>
          <w:b/>
          <w:szCs w:val="21"/>
          <w:highlight w:val="none"/>
        </w:rPr>
      </w:pPr>
      <w:r>
        <w:rPr>
          <w:rFonts w:hint="eastAsia" w:ascii="宋体" w:hAnsi="宋体" w:cs="宋体"/>
          <w:b/>
          <w:szCs w:val="21"/>
          <w:highlight w:val="none"/>
        </w:rPr>
        <w:t>1. 适用范围</w:t>
      </w:r>
    </w:p>
    <w:p>
      <w:pPr>
        <w:kinsoku w:val="0"/>
        <w:adjustRightInd w:val="0"/>
        <w:snapToGrid w:val="0"/>
        <w:spacing w:line="400" w:lineRule="exact"/>
        <w:ind w:firstLine="315" w:firstLineChars="150"/>
        <w:rPr>
          <w:rFonts w:hint="eastAsia" w:ascii="宋体" w:hAnsi="宋体" w:eastAsia="宋体" w:cs="宋体"/>
          <w:szCs w:val="21"/>
          <w:highlight w:val="none"/>
          <w:lang w:eastAsia="zh-CN"/>
        </w:rPr>
      </w:pPr>
      <w:r>
        <w:rPr>
          <w:rFonts w:hint="eastAsia" w:ascii="宋体" w:hAnsi="宋体" w:cs="宋体"/>
          <w:highlight w:val="none"/>
        </w:rPr>
        <w:t>1.1</w:t>
      </w:r>
      <w:r>
        <w:rPr>
          <w:rFonts w:hint="eastAsia" w:ascii="宋体" w:hAnsi="宋体" w:cs="宋体"/>
          <w:b/>
          <w:szCs w:val="21"/>
          <w:highlight w:val="none"/>
        </w:rPr>
        <w:t xml:space="preserve"> 项目名称：</w:t>
      </w:r>
      <w:r>
        <w:rPr>
          <w:rFonts w:hint="eastAsia" w:ascii="宋体" w:hAnsi="宋体" w:cs="宋体"/>
          <w:b/>
          <w:szCs w:val="21"/>
          <w:highlight w:val="none"/>
          <w:lang w:eastAsia="zh-CN"/>
        </w:rPr>
        <w:t>环境监测数据综合分析系统升级改造项目采购</w:t>
      </w:r>
    </w:p>
    <w:p>
      <w:pPr>
        <w:kinsoku w:val="0"/>
        <w:adjustRightInd w:val="0"/>
        <w:snapToGrid w:val="0"/>
        <w:spacing w:line="400" w:lineRule="exact"/>
        <w:ind w:firstLine="738" w:firstLineChars="350"/>
        <w:rPr>
          <w:rFonts w:ascii="宋体" w:hAnsi="宋体" w:cs="宋体"/>
          <w:szCs w:val="21"/>
          <w:highlight w:val="none"/>
        </w:rPr>
      </w:pPr>
      <w:r>
        <w:rPr>
          <w:rFonts w:hint="eastAsia" w:ascii="宋体" w:hAnsi="宋体" w:cs="宋体"/>
          <w:b/>
          <w:bCs/>
          <w:szCs w:val="21"/>
          <w:highlight w:val="none"/>
        </w:rPr>
        <w:t>项目编号：</w:t>
      </w:r>
      <w:r>
        <w:rPr>
          <w:rFonts w:hint="eastAsia" w:hAnsi="宋体" w:cs="宋体"/>
          <w:highlight w:val="none"/>
          <w:lang w:eastAsia="zh-CN"/>
        </w:rPr>
        <w:t>GXZC2022-C3-002794-GXXY</w:t>
      </w:r>
      <w:r>
        <w:rPr>
          <w:rFonts w:hint="eastAsia" w:ascii="宋体" w:hAnsi="宋体" w:cs="宋体"/>
          <w:szCs w:val="21"/>
          <w:highlight w:val="none"/>
        </w:rPr>
        <w:t xml:space="preserve">   </w:t>
      </w:r>
    </w:p>
    <w:p>
      <w:pPr>
        <w:kinsoku w:val="0"/>
        <w:adjustRightInd w:val="0"/>
        <w:snapToGrid w:val="0"/>
        <w:spacing w:line="400" w:lineRule="exact"/>
        <w:ind w:firstLine="315" w:firstLineChars="150"/>
        <w:rPr>
          <w:rFonts w:ascii="宋体" w:hAnsi="宋体" w:cs="宋体"/>
          <w:szCs w:val="21"/>
          <w:highlight w:val="none"/>
        </w:rPr>
      </w:pPr>
      <w:r>
        <w:rPr>
          <w:rFonts w:hint="eastAsia" w:ascii="宋体" w:hAnsi="宋体" w:cs="宋体"/>
          <w:szCs w:val="21"/>
          <w:highlight w:val="none"/>
        </w:rPr>
        <w:t>1.2本文件仅适用于本文件中所叙述的服务类采购项目。</w:t>
      </w:r>
    </w:p>
    <w:p>
      <w:pPr>
        <w:kinsoku w:val="0"/>
        <w:adjustRightInd w:val="0"/>
        <w:snapToGrid w:val="0"/>
        <w:spacing w:line="400" w:lineRule="exact"/>
        <w:rPr>
          <w:rFonts w:ascii="宋体" w:hAnsi="宋体" w:cs="宋体"/>
          <w:b/>
          <w:szCs w:val="21"/>
          <w:highlight w:val="none"/>
        </w:rPr>
      </w:pPr>
      <w:r>
        <w:rPr>
          <w:rFonts w:hint="eastAsia" w:ascii="宋体" w:hAnsi="宋体" w:cs="宋体"/>
          <w:b/>
          <w:szCs w:val="21"/>
          <w:highlight w:val="none"/>
        </w:rPr>
        <w:t>2. 定义</w:t>
      </w:r>
    </w:p>
    <w:p>
      <w:pPr>
        <w:kinsoku w:val="0"/>
        <w:adjustRightInd w:val="0"/>
        <w:snapToGrid w:val="0"/>
        <w:spacing w:line="400" w:lineRule="exact"/>
        <w:ind w:firstLine="420" w:firstLineChars="200"/>
        <w:rPr>
          <w:rFonts w:ascii="宋体" w:hAnsi="宋体" w:cs="宋体"/>
          <w:szCs w:val="21"/>
          <w:highlight w:val="none"/>
        </w:rPr>
      </w:pPr>
      <w:r>
        <w:rPr>
          <w:rFonts w:hint="eastAsia" w:ascii="宋体" w:hAnsi="宋体" w:cs="宋体"/>
          <w:szCs w:val="21"/>
          <w:highlight w:val="none"/>
        </w:rPr>
        <w:t>2.1“采购人”是指：</w:t>
      </w:r>
      <w:r>
        <w:rPr>
          <w:rFonts w:hint="eastAsia" w:ascii="宋体" w:hAnsi="宋体" w:cs="宋体"/>
          <w:highlight w:val="none"/>
          <w:lang w:eastAsia="zh-CN"/>
        </w:rPr>
        <w:t>广西壮族自治区海洋环境监测中心站</w:t>
      </w:r>
      <w:r>
        <w:rPr>
          <w:rFonts w:hint="eastAsia" w:ascii="宋体" w:hAnsi="宋体" w:cs="宋体"/>
          <w:szCs w:val="21"/>
          <w:highlight w:val="none"/>
        </w:rPr>
        <w:t>。</w:t>
      </w:r>
    </w:p>
    <w:p>
      <w:pPr>
        <w:kinsoku w:val="0"/>
        <w:adjustRightInd w:val="0"/>
        <w:snapToGrid w:val="0"/>
        <w:spacing w:line="400" w:lineRule="exact"/>
        <w:ind w:firstLine="420" w:firstLineChars="200"/>
        <w:rPr>
          <w:rFonts w:ascii="宋体" w:hAnsi="宋体" w:cs="宋体"/>
          <w:szCs w:val="21"/>
          <w:highlight w:val="none"/>
        </w:rPr>
      </w:pPr>
      <w:r>
        <w:rPr>
          <w:rFonts w:hint="eastAsia" w:ascii="宋体" w:hAnsi="宋体" w:cs="宋体"/>
          <w:szCs w:val="21"/>
          <w:highlight w:val="none"/>
        </w:rPr>
        <w:t>2.2“采购代理机构”是指：</w:t>
      </w:r>
      <w:r>
        <w:rPr>
          <w:rFonts w:hint="eastAsia" w:ascii="宋体" w:hAnsi="宋体" w:cs="宋体"/>
          <w:spacing w:val="-4"/>
          <w:szCs w:val="21"/>
          <w:highlight w:val="none"/>
        </w:rPr>
        <w:t>广西新宇建设项目管理有限公司</w:t>
      </w:r>
      <w:r>
        <w:rPr>
          <w:rFonts w:hint="eastAsia" w:ascii="宋体" w:hAnsi="宋体" w:cs="宋体"/>
          <w:highlight w:val="none"/>
        </w:rPr>
        <w:t>。</w:t>
      </w:r>
    </w:p>
    <w:p>
      <w:pPr>
        <w:kinsoku w:val="0"/>
        <w:adjustRightInd w:val="0"/>
        <w:snapToGrid w:val="0"/>
        <w:spacing w:line="400" w:lineRule="exact"/>
        <w:ind w:firstLine="420" w:firstLineChars="200"/>
        <w:rPr>
          <w:rFonts w:ascii="宋体" w:hAnsi="宋体" w:cs="宋体"/>
          <w:szCs w:val="21"/>
          <w:highlight w:val="none"/>
        </w:rPr>
      </w:pPr>
      <w:r>
        <w:rPr>
          <w:rFonts w:hint="eastAsia" w:ascii="宋体" w:hAnsi="宋体" w:cs="宋体"/>
          <w:szCs w:val="21"/>
          <w:highlight w:val="none"/>
        </w:rPr>
        <w:t>2.3“投标人”是指响应本文件要求，参加磋商的法人或者其他组织和自然人。如果该投标人在本次磋商中成交,即成为“成交供应商”。</w:t>
      </w:r>
    </w:p>
    <w:p>
      <w:pPr>
        <w:kinsoku w:val="0"/>
        <w:adjustRightInd w:val="0"/>
        <w:snapToGrid w:val="0"/>
        <w:spacing w:line="400" w:lineRule="exact"/>
        <w:ind w:firstLine="420" w:firstLineChars="200"/>
        <w:rPr>
          <w:rFonts w:ascii="宋体" w:hAnsi="宋体" w:cs="宋体"/>
          <w:szCs w:val="21"/>
          <w:highlight w:val="none"/>
        </w:rPr>
      </w:pPr>
      <w:r>
        <w:rPr>
          <w:rFonts w:hint="eastAsia" w:ascii="宋体" w:hAnsi="宋体" w:cs="宋体"/>
          <w:szCs w:val="21"/>
          <w:highlight w:val="none"/>
        </w:rPr>
        <w:t>2.4“货物”是指各种形态和种类的物品，包括原材料、燃料、设备、产品等。</w:t>
      </w:r>
    </w:p>
    <w:p>
      <w:pPr>
        <w:kinsoku w:val="0"/>
        <w:adjustRightInd w:val="0"/>
        <w:snapToGrid w:val="0"/>
        <w:spacing w:line="400" w:lineRule="exact"/>
        <w:ind w:firstLine="420" w:firstLineChars="200"/>
        <w:rPr>
          <w:rFonts w:ascii="宋体" w:hAnsi="宋体" w:cs="宋体"/>
          <w:szCs w:val="21"/>
          <w:highlight w:val="none"/>
        </w:rPr>
      </w:pPr>
      <w:r>
        <w:rPr>
          <w:rFonts w:hint="eastAsia" w:ascii="宋体" w:hAnsi="宋体" w:cs="宋体"/>
          <w:szCs w:val="21"/>
          <w:highlight w:val="none"/>
        </w:rPr>
        <w:t>2.5“服务”是指除货物和工程以外的其他采购对象。</w:t>
      </w:r>
    </w:p>
    <w:p>
      <w:pPr>
        <w:kinsoku w:val="0"/>
        <w:adjustRightInd w:val="0"/>
        <w:snapToGrid w:val="0"/>
        <w:spacing w:line="400" w:lineRule="exact"/>
        <w:ind w:firstLine="420" w:firstLineChars="200"/>
        <w:rPr>
          <w:rFonts w:ascii="宋体" w:hAnsi="宋体" w:cs="宋体"/>
          <w:szCs w:val="21"/>
          <w:highlight w:val="none"/>
        </w:rPr>
      </w:pPr>
      <w:r>
        <w:rPr>
          <w:rFonts w:hint="eastAsia" w:ascii="宋体" w:hAnsi="宋体" w:cs="宋体"/>
          <w:szCs w:val="21"/>
          <w:highlight w:val="none"/>
        </w:rPr>
        <w:t>2.6“竞争性磋商响应文件”是指：投标人根据本文件要求，编制包含报价、技术和服务等所有内容的文件（本项目中简称：响应文件）。</w:t>
      </w:r>
    </w:p>
    <w:p>
      <w:pPr>
        <w:kinsoku w:val="0"/>
        <w:adjustRightInd w:val="0"/>
        <w:snapToGrid w:val="0"/>
        <w:spacing w:line="400" w:lineRule="exact"/>
        <w:ind w:firstLine="420" w:firstLineChars="200"/>
        <w:rPr>
          <w:rFonts w:ascii="宋体" w:hAnsi="宋体" w:cs="宋体"/>
          <w:szCs w:val="21"/>
          <w:highlight w:val="none"/>
        </w:rPr>
      </w:pPr>
      <w:r>
        <w:rPr>
          <w:rFonts w:hint="eastAsia" w:ascii="宋体" w:hAnsi="宋体" w:cs="宋体"/>
          <w:szCs w:val="21"/>
          <w:highlight w:val="none"/>
        </w:rPr>
        <w:t>2.7“▲”系指实质性要求条款。</w:t>
      </w:r>
    </w:p>
    <w:p>
      <w:pPr>
        <w:kinsoku w:val="0"/>
        <w:adjustRightInd w:val="0"/>
        <w:snapToGrid w:val="0"/>
        <w:spacing w:line="400" w:lineRule="exact"/>
        <w:rPr>
          <w:rFonts w:ascii="宋体" w:hAnsi="宋体" w:cs="宋体"/>
          <w:b/>
          <w:szCs w:val="21"/>
          <w:highlight w:val="none"/>
        </w:rPr>
      </w:pPr>
      <w:r>
        <w:rPr>
          <w:rFonts w:hint="eastAsia" w:ascii="宋体" w:hAnsi="宋体" w:cs="宋体"/>
          <w:b/>
          <w:szCs w:val="21"/>
          <w:highlight w:val="none"/>
        </w:rPr>
        <w:t>3. 投标人的基本条件</w:t>
      </w:r>
    </w:p>
    <w:p>
      <w:pPr>
        <w:kinsoku w:val="0"/>
        <w:adjustRightInd w:val="0"/>
        <w:snapToGrid w:val="0"/>
        <w:spacing w:line="400" w:lineRule="exact"/>
        <w:ind w:firstLine="420" w:firstLineChars="200"/>
        <w:jc w:val="left"/>
        <w:rPr>
          <w:rFonts w:ascii="宋体" w:hAnsi="宋体" w:cs="宋体"/>
          <w:szCs w:val="21"/>
          <w:highlight w:val="none"/>
        </w:rPr>
      </w:pPr>
      <w:r>
        <w:rPr>
          <w:rFonts w:hint="eastAsia" w:ascii="宋体" w:hAnsi="宋体" w:cs="宋体"/>
          <w:szCs w:val="21"/>
          <w:highlight w:val="none"/>
        </w:rPr>
        <w:t>3.1满足《中华人民共和国政府采购法》第二十二条规定；</w:t>
      </w:r>
    </w:p>
    <w:p>
      <w:pPr>
        <w:kinsoku w:val="0"/>
        <w:adjustRightInd w:val="0"/>
        <w:snapToGrid w:val="0"/>
        <w:spacing w:line="400" w:lineRule="exact"/>
        <w:ind w:firstLine="420" w:firstLineChars="200"/>
        <w:jc w:val="left"/>
        <w:rPr>
          <w:rFonts w:ascii="宋体" w:hAnsi="宋体" w:cs="宋体"/>
          <w:szCs w:val="21"/>
          <w:highlight w:val="none"/>
        </w:rPr>
      </w:pPr>
      <w:r>
        <w:rPr>
          <w:rFonts w:hint="eastAsia" w:ascii="宋体" w:hAnsi="宋体" w:cs="宋体"/>
          <w:szCs w:val="21"/>
          <w:highlight w:val="none"/>
        </w:rPr>
        <w:t>3.2落实政府采购政策需满足的资格要求：无；</w:t>
      </w:r>
    </w:p>
    <w:p>
      <w:pPr>
        <w:kinsoku w:val="0"/>
        <w:adjustRightInd w:val="0"/>
        <w:snapToGrid w:val="0"/>
        <w:spacing w:line="400" w:lineRule="exact"/>
        <w:ind w:firstLine="420" w:firstLineChars="200"/>
        <w:jc w:val="left"/>
        <w:rPr>
          <w:rFonts w:ascii="宋体" w:hAnsi="宋体" w:cs="宋体"/>
          <w:szCs w:val="21"/>
          <w:highlight w:val="none"/>
        </w:rPr>
      </w:pPr>
      <w:r>
        <w:rPr>
          <w:rFonts w:hint="eastAsia" w:ascii="宋体" w:hAnsi="宋体" w:cs="宋体"/>
          <w:szCs w:val="21"/>
          <w:highlight w:val="none"/>
        </w:rPr>
        <w:t>3.3本项目的特定资格要求：无。</w:t>
      </w:r>
    </w:p>
    <w:p>
      <w:pPr>
        <w:kinsoku w:val="0"/>
        <w:adjustRightInd w:val="0"/>
        <w:snapToGrid w:val="0"/>
        <w:spacing w:line="400" w:lineRule="exact"/>
        <w:ind w:firstLine="422" w:firstLineChars="200"/>
        <w:jc w:val="left"/>
        <w:rPr>
          <w:rFonts w:ascii="宋体" w:hAnsi="宋体" w:cs="宋体"/>
          <w:b/>
          <w:szCs w:val="21"/>
          <w:highlight w:val="none"/>
        </w:rPr>
      </w:pPr>
      <w:bookmarkStart w:id="41" w:name="_Toc405905874"/>
      <w:r>
        <w:rPr>
          <w:rFonts w:hint="eastAsia" w:ascii="宋体" w:hAnsi="宋体" w:cs="宋体"/>
          <w:b/>
          <w:szCs w:val="21"/>
          <w:highlight w:val="none"/>
        </w:rPr>
        <w:t>注：特别说明：</w:t>
      </w:r>
    </w:p>
    <w:p>
      <w:pPr>
        <w:kinsoku w:val="0"/>
        <w:adjustRightInd w:val="0"/>
        <w:snapToGrid w:val="0"/>
        <w:spacing w:line="400" w:lineRule="exact"/>
        <w:ind w:firstLine="420" w:firstLineChars="200"/>
        <w:jc w:val="left"/>
        <w:rPr>
          <w:rFonts w:ascii="宋体" w:hAnsi="宋体" w:cs="宋体"/>
          <w:szCs w:val="21"/>
          <w:highlight w:val="none"/>
        </w:rPr>
      </w:pPr>
      <w:r>
        <w:rPr>
          <w:rFonts w:hint="eastAsia" w:ascii="宋体" w:hAnsi="宋体" w:cs="宋体"/>
          <w:szCs w:val="21"/>
          <w:highlight w:val="none"/>
        </w:rPr>
        <w:t>▲说明1.</w:t>
      </w:r>
      <w:r>
        <w:rPr>
          <w:rFonts w:hint="eastAsia" w:ascii="宋体" w:hAnsi="宋体" w:cs="宋体"/>
          <w:kern w:val="0"/>
          <w:szCs w:val="21"/>
          <w:highlight w:val="none"/>
        </w:rPr>
        <w:t xml:space="preserve"> 多家投标人参加磋商时：</w:t>
      </w:r>
    </w:p>
    <w:p>
      <w:pPr>
        <w:kinsoku w:val="0"/>
        <w:adjustRightInd w:val="0"/>
        <w:snapToGrid w:val="0"/>
        <w:spacing w:line="400" w:lineRule="exact"/>
        <w:ind w:firstLine="420" w:firstLineChars="200"/>
        <w:rPr>
          <w:rFonts w:ascii="宋体" w:hAnsi="宋体" w:cs="宋体"/>
          <w:szCs w:val="21"/>
          <w:highlight w:val="none"/>
        </w:rPr>
      </w:pPr>
      <w:r>
        <w:rPr>
          <w:rFonts w:hint="eastAsia" w:ascii="宋体" w:hAnsi="宋体" w:cs="宋体"/>
          <w:szCs w:val="21"/>
          <w:highlight w:val="none"/>
        </w:rPr>
        <w:t>（1）单一产品采购项目中，提供相同品牌产品的不同投标人参加同一合同项下磋商采购的，以其中通过资格审查、符合性审查且报价最低的参加磋商，报价相同的按技术指标优劣顺序排列，得分高的参加磋商，报价与技术指标优劣评价得分均相同的，以磋商小组成员少数服从多数方式确定参加磋商</w:t>
      </w:r>
      <w:r>
        <w:rPr>
          <w:rFonts w:hint="eastAsia" w:ascii="宋体" w:hAnsi="宋体" w:cs="宋体"/>
          <w:kern w:val="0"/>
          <w:szCs w:val="21"/>
          <w:highlight w:val="none"/>
        </w:rPr>
        <w:t>投标人</w:t>
      </w:r>
      <w:r>
        <w:rPr>
          <w:rFonts w:hint="eastAsia" w:ascii="宋体" w:hAnsi="宋体" w:cs="宋体"/>
          <w:szCs w:val="21"/>
          <w:highlight w:val="none"/>
        </w:rPr>
        <w:t>，其他参加磋商采购无效。</w:t>
      </w:r>
    </w:p>
    <w:p>
      <w:pPr>
        <w:kinsoku w:val="0"/>
        <w:adjustRightInd w:val="0"/>
        <w:snapToGrid w:val="0"/>
        <w:spacing w:line="400" w:lineRule="exact"/>
        <w:ind w:firstLine="420"/>
        <w:rPr>
          <w:rFonts w:ascii="宋体" w:hAnsi="宋体" w:cs="宋体"/>
          <w:szCs w:val="21"/>
          <w:highlight w:val="none"/>
        </w:rPr>
      </w:pPr>
      <w:r>
        <w:rPr>
          <w:rFonts w:hint="eastAsia" w:ascii="宋体" w:hAnsi="宋体" w:cs="宋体"/>
          <w:szCs w:val="21"/>
          <w:highlight w:val="none"/>
        </w:rPr>
        <w:t>（2）非单一产品采购项目中，多家投标人提供的核心产品品牌相同的，视为提供相同品牌产品。</w:t>
      </w:r>
    </w:p>
    <w:p>
      <w:pPr>
        <w:kinsoku w:val="0"/>
        <w:adjustRightInd w:val="0"/>
        <w:snapToGrid w:val="0"/>
        <w:spacing w:line="400" w:lineRule="exact"/>
        <w:ind w:firstLine="420" w:firstLineChars="200"/>
        <w:jc w:val="left"/>
        <w:rPr>
          <w:rFonts w:ascii="宋体" w:hAnsi="宋体" w:cs="宋体"/>
          <w:kern w:val="0"/>
          <w:szCs w:val="21"/>
          <w:highlight w:val="none"/>
        </w:rPr>
      </w:pPr>
      <w:r>
        <w:rPr>
          <w:rFonts w:hint="eastAsia" w:ascii="宋体" w:hAnsi="宋体" w:cs="宋体"/>
          <w:kern w:val="0"/>
          <w:szCs w:val="21"/>
          <w:highlight w:val="none"/>
        </w:rPr>
        <w:t>（3）多家代理商或经销商参加磋商，如其中两家或两家以上投标人存在分级代理或代销关系，且提供的是其所代理品牌产品的，磋商时，磋商小组按上述规定确定其中一家为有效投标人。</w:t>
      </w:r>
    </w:p>
    <w:p>
      <w:pPr>
        <w:kinsoku w:val="0"/>
        <w:adjustRightInd w:val="0"/>
        <w:snapToGrid w:val="0"/>
        <w:spacing w:line="400" w:lineRule="exact"/>
        <w:ind w:firstLine="420"/>
        <w:rPr>
          <w:rFonts w:ascii="宋体" w:hAnsi="宋体" w:cs="宋体"/>
          <w:szCs w:val="21"/>
          <w:highlight w:val="none"/>
        </w:rPr>
      </w:pPr>
      <w:r>
        <w:rPr>
          <w:rFonts w:hint="eastAsia" w:ascii="宋体" w:hAnsi="宋体" w:cs="宋体"/>
          <w:szCs w:val="21"/>
          <w:highlight w:val="none"/>
        </w:rPr>
        <w:t>▲说明2.关联投标人不得参加同一合同项下政府采购活动，否则其响应文件将被视为无效：</w:t>
      </w:r>
    </w:p>
    <w:p>
      <w:pPr>
        <w:kinsoku w:val="0"/>
        <w:adjustRightInd w:val="0"/>
        <w:snapToGrid w:val="0"/>
        <w:spacing w:line="400" w:lineRule="exact"/>
        <w:ind w:firstLine="420"/>
        <w:rPr>
          <w:rFonts w:ascii="宋体" w:hAnsi="宋体" w:cs="宋体"/>
          <w:szCs w:val="21"/>
          <w:highlight w:val="none"/>
        </w:rPr>
      </w:pPr>
      <w:r>
        <w:rPr>
          <w:rFonts w:hint="eastAsia" w:ascii="宋体" w:hAnsi="宋体" w:cs="宋体"/>
          <w:szCs w:val="21"/>
          <w:highlight w:val="none"/>
        </w:rPr>
        <w:t>（1）单位负责人为同一人或者存在直接控股、管理关系的不同投标人，不得参加同一合同项下的政府采购活动；</w:t>
      </w:r>
    </w:p>
    <w:p>
      <w:pPr>
        <w:kinsoku w:val="0"/>
        <w:adjustRightInd w:val="0"/>
        <w:snapToGrid w:val="0"/>
        <w:spacing w:line="400" w:lineRule="exact"/>
        <w:ind w:firstLine="420"/>
        <w:rPr>
          <w:rFonts w:ascii="宋体" w:hAnsi="宋体" w:cs="宋体"/>
          <w:szCs w:val="21"/>
          <w:highlight w:val="none"/>
        </w:rPr>
      </w:pPr>
      <w:r>
        <w:rPr>
          <w:rFonts w:hint="eastAsia" w:ascii="宋体" w:hAnsi="宋体" w:cs="宋体"/>
          <w:szCs w:val="21"/>
          <w:highlight w:val="none"/>
        </w:rPr>
        <w:t>（2）生产厂商授权给投标人后自己不得参加同一合同项下的政府采购活动；生产厂商对同一品牌同一型号的货物，仅能委托一个代理商参加磋商。</w:t>
      </w:r>
    </w:p>
    <w:p>
      <w:pPr>
        <w:pStyle w:val="29"/>
        <w:kinsoku w:val="0"/>
        <w:adjustRightInd w:val="0"/>
        <w:snapToGrid w:val="0"/>
        <w:spacing w:line="400" w:lineRule="exact"/>
        <w:ind w:left="2" w:leftChars="1" w:firstLine="420" w:firstLineChars="200"/>
        <w:rPr>
          <w:rFonts w:hAnsi="宋体" w:cs="宋体"/>
          <w:highlight w:val="none"/>
        </w:rPr>
      </w:pPr>
      <w:r>
        <w:rPr>
          <w:rFonts w:hint="eastAsia" w:hAnsi="宋体" w:cs="宋体"/>
          <w:highlight w:val="none"/>
        </w:rPr>
        <w:t>▲说明3.投标人所使用的资格、信誉、荣誉、业绩与企业认证必须为本法人所拥有。投标人为自然人（包括个体工商户）的仅允许经营者本人投标，否则视为无效投标。</w:t>
      </w:r>
    </w:p>
    <w:p>
      <w:pPr>
        <w:kinsoku w:val="0"/>
        <w:adjustRightInd w:val="0"/>
        <w:snapToGrid w:val="0"/>
        <w:spacing w:line="400" w:lineRule="exact"/>
        <w:ind w:left="2" w:leftChars="1" w:firstLine="420" w:firstLineChars="200"/>
        <w:rPr>
          <w:rFonts w:ascii="宋体" w:hAnsi="宋体" w:cs="宋体"/>
          <w:szCs w:val="21"/>
          <w:highlight w:val="none"/>
        </w:rPr>
      </w:pPr>
      <w:r>
        <w:rPr>
          <w:rFonts w:hint="eastAsia" w:ascii="宋体" w:hAnsi="宋体" w:cs="宋体"/>
          <w:szCs w:val="21"/>
          <w:highlight w:val="none"/>
        </w:rPr>
        <w:t>▲说明4.投标人应仔细阅读竞争性磋商文件的所有内容，按照竞争性磋商文件的要求提交磋商响应文件，并对所提供的全部资料的真实性承担法律责任。</w:t>
      </w:r>
    </w:p>
    <w:p>
      <w:pPr>
        <w:kinsoku w:val="0"/>
        <w:spacing w:line="400" w:lineRule="exact"/>
        <w:ind w:firstLine="420" w:firstLineChars="200"/>
        <w:rPr>
          <w:rFonts w:ascii="宋体" w:hAnsi="宋体" w:cs="宋体"/>
          <w:szCs w:val="21"/>
          <w:highlight w:val="none"/>
        </w:rPr>
      </w:pPr>
      <w:r>
        <w:rPr>
          <w:rFonts w:hint="eastAsia" w:ascii="宋体" w:hAnsi="宋体" w:cs="宋体"/>
          <w:highlight w:val="none"/>
        </w:rPr>
        <w:t>▲</w:t>
      </w:r>
      <w:r>
        <w:rPr>
          <w:rFonts w:hint="eastAsia" w:ascii="宋体" w:hAnsi="宋体" w:cs="宋体"/>
          <w:szCs w:val="21"/>
          <w:highlight w:val="none"/>
        </w:rPr>
        <w:t>说明</w:t>
      </w:r>
      <w:r>
        <w:rPr>
          <w:rFonts w:hint="eastAsia" w:ascii="宋体" w:hAnsi="宋体" w:cs="宋体"/>
          <w:highlight w:val="none"/>
        </w:rPr>
        <w:t>5.投标人在投标活动中提供任何虚假材料,其投标或成交无效，并报监管部门查处。</w:t>
      </w:r>
      <w:r>
        <w:rPr>
          <w:rFonts w:hint="eastAsia" w:ascii="宋体" w:hAnsi="宋体" w:cs="宋体"/>
          <w:szCs w:val="21"/>
          <w:highlight w:val="none"/>
        </w:rPr>
        <w:t>成交后发现的,成交供应商须依照《中华人民共和国消费者权益保护法》第49条之规定双倍赔偿采购人，且民事赔偿并不免除违法投标人的行政与刑事责任。</w:t>
      </w:r>
    </w:p>
    <w:p>
      <w:pPr>
        <w:kinsoku w:val="0"/>
        <w:adjustRightInd w:val="0"/>
        <w:snapToGrid w:val="0"/>
        <w:spacing w:line="400" w:lineRule="exact"/>
        <w:ind w:firstLine="420"/>
        <w:rPr>
          <w:rFonts w:ascii="宋体" w:hAnsi="宋体" w:cs="宋体"/>
          <w:szCs w:val="21"/>
          <w:highlight w:val="none"/>
        </w:rPr>
      </w:pPr>
      <w:r>
        <w:rPr>
          <w:rFonts w:hint="eastAsia" w:ascii="宋体" w:hAnsi="宋体" w:cs="宋体"/>
          <w:szCs w:val="21"/>
          <w:highlight w:val="none"/>
        </w:rPr>
        <w:t>说明6. 至</w:t>
      </w:r>
      <w:r>
        <w:rPr>
          <w:rFonts w:hint="eastAsia" w:ascii="宋体" w:hAnsi="宋体" w:cs="宋体"/>
          <w:bCs/>
          <w:kern w:val="0"/>
          <w:szCs w:val="21"/>
          <w:highlight w:val="none"/>
        </w:rPr>
        <w:t>竞争性磋商文件的获取</w:t>
      </w:r>
      <w:r>
        <w:rPr>
          <w:rFonts w:hint="eastAsia" w:ascii="宋体" w:hAnsi="宋体" w:cs="宋体"/>
          <w:szCs w:val="21"/>
          <w:highlight w:val="none"/>
        </w:rPr>
        <w:t>截止时间止，购买竞争性磋商文件的投标人不足三家的，采购代理机构可延长购买竞争性磋商文件的时间，并延迟响应文件提交截止时间和响应文件开启会时间，同时书面通知已购买竞争性磋商文件的投标人，并在相关的采购信息发布媒体上发布变更公告。</w:t>
      </w:r>
    </w:p>
    <w:p>
      <w:pPr>
        <w:kinsoku w:val="0"/>
        <w:adjustRightInd w:val="0"/>
        <w:snapToGrid w:val="0"/>
        <w:spacing w:line="400" w:lineRule="exact"/>
        <w:ind w:firstLine="420"/>
        <w:rPr>
          <w:rFonts w:ascii="宋体" w:hAnsi="宋体" w:cs="宋体"/>
          <w:b/>
          <w:szCs w:val="21"/>
          <w:highlight w:val="none"/>
        </w:rPr>
      </w:pPr>
      <w:r>
        <w:rPr>
          <w:rFonts w:hint="eastAsia" w:ascii="宋体" w:hAnsi="宋体" w:cs="宋体"/>
          <w:szCs w:val="21"/>
          <w:highlight w:val="none"/>
        </w:rPr>
        <w:t>说明</w:t>
      </w:r>
      <w:r>
        <w:rPr>
          <w:rFonts w:hint="eastAsia" w:ascii="宋体" w:hAnsi="宋体" w:cs="宋体"/>
          <w:b/>
          <w:szCs w:val="21"/>
          <w:highlight w:val="none"/>
        </w:rPr>
        <w:t>7.在政府采购活动中，采购人员及相关人员与投标人有下列利害关系之一的，应当回避：</w:t>
      </w:r>
    </w:p>
    <w:p>
      <w:pPr>
        <w:kinsoku w:val="0"/>
        <w:adjustRightInd w:val="0"/>
        <w:snapToGrid w:val="0"/>
        <w:spacing w:line="400" w:lineRule="exact"/>
        <w:ind w:firstLine="420"/>
        <w:rPr>
          <w:rFonts w:ascii="宋体" w:hAnsi="宋体" w:cs="宋体"/>
          <w:szCs w:val="21"/>
          <w:highlight w:val="none"/>
        </w:rPr>
      </w:pPr>
      <w:r>
        <w:rPr>
          <w:rFonts w:hint="eastAsia" w:ascii="宋体" w:hAnsi="宋体" w:cs="宋体"/>
          <w:szCs w:val="21"/>
          <w:highlight w:val="none"/>
        </w:rPr>
        <w:t>（1）参加采购活动前3年内与投标人存在劳动关系；</w:t>
      </w:r>
    </w:p>
    <w:p>
      <w:pPr>
        <w:kinsoku w:val="0"/>
        <w:adjustRightInd w:val="0"/>
        <w:snapToGrid w:val="0"/>
        <w:spacing w:line="400" w:lineRule="exact"/>
        <w:ind w:firstLine="420"/>
        <w:rPr>
          <w:rFonts w:ascii="宋体" w:hAnsi="宋体" w:cs="宋体"/>
          <w:szCs w:val="21"/>
          <w:highlight w:val="none"/>
        </w:rPr>
      </w:pPr>
      <w:r>
        <w:rPr>
          <w:rFonts w:hint="eastAsia" w:ascii="宋体" w:hAnsi="宋体" w:cs="宋体"/>
          <w:szCs w:val="21"/>
          <w:highlight w:val="none"/>
        </w:rPr>
        <w:t>（2）参加采购活动前3年内担任投标人的董事、监事；</w:t>
      </w:r>
    </w:p>
    <w:p>
      <w:pPr>
        <w:kinsoku w:val="0"/>
        <w:adjustRightInd w:val="0"/>
        <w:snapToGrid w:val="0"/>
        <w:spacing w:line="400" w:lineRule="exact"/>
        <w:ind w:firstLine="420"/>
        <w:rPr>
          <w:rFonts w:ascii="宋体" w:hAnsi="宋体" w:cs="宋体"/>
          <w:szCs w:val="21"/>
          <w:highlight w:val="none"/>
        </w:rPr>
      </w:pPr>
      <w:r>
        <w:rPr>
          <w:rFonts w:hint="eastAsia" w:ascii="宋体" w:hAnsi="宋体" w:cs="宋体"/>
          <w:szCs w:val="21"/>
          <w:highlight w:val="none"/>
        </w:rPr>
        <w:t>（3）参加采购活动前3年内是投标人的控股股东或者实际控制人；</w:t>
      </w:r>
    </w:p>
    <w:p>
      <w:pPr>
        <w:kinsoku w:val="0"/>
        <w:adjustRightInd w:val="0"/>
        <w:snapToGrid w:val="0"/>
        <w:spacing w:line="400" w:lineRule="exact"/>
        <w:ind w:firstLine="420"/>
        <w:rPr>
          <w:rFonts w:ascii="宋体" w:hAnsi="宋体" w:cs="宋体"/>
          <w:szCs w:val="21"/>
          <w:highlight w:val="none"/>
        </w:rPr>
      </w:pPr>
      <w:r>
        <w:rPr>
          <w:rFonts w:hint="eastAsia" w:ascii="宋体" w:hAnsi="宋体" w:cs="宋体"/>
          <w:szCs w:val="21"/>
          <w:highlight w:val="none"/>
        </w:rPr>
        <w:t>（4）与投标人的法定代表人或者负责人有夫妻、直系血亲、三代以内旁系血亲或者近姻亲关系；</w:t>
      </w:r>
    </w:p>
    <w:p>
      <w:pPr>
        <w:kinsoku w:val="0"/>
        <w:adjustRightInd w:val="0"/>
        <w:snapToGrid w:val="0"/>
        <w:spacing w:line="400" w:lineRule="exact"/>
        <w:ind w:firstLine="420"/>
        <w:rPr>
          <w:rFonts w:ascii="宋体" w:hAnsi="宋体" w:cs="宋体"/>
          <w:szCs w:val="21"/>
          <w:highlight w:val="none"/>
        </w:rPr>
      </w:pPr>
      <w:r>
        <w:rPr>
          <w:rFonts w:hint="eastAsia" w:ascii="宋体" w:hAnsi="宋体" w:cs="宋体"/>
          <w:szCs w:val="21"/>
          <w:highlight w:val="none"/>
        </w:rPr>
        <w:t>（5）与投标人有其他可能影响政府采购活动公平、公正进行的关系。</w:t>
      </w:r>
    </w:p>
    <w:p>
      <w:pPr>
        <w:kinsoku w:val="0"/>
        <w:adjustRightInd w:val="0"/>
        <w:snapToGrid w:val="0"/>
        <w:spacing w:line="400" w:lineRule="exact"/>
        <w:ind w:firstLine="420" w:firstLineChars="200"/>
        <w:rPr>
          <w:rFonts w:ascii="宋体" w:hAnsi="宋体" w:cs="宋体"/>
          <w:highlight w:val="none"/>
        </w:rPr>
      </w:pPr>
      <w:r>
        <w:rPr>
          <w:rFonts w:hint="eastAsia" w:ascii="宋体" w:hAnsi="宋体" w:cs="宋体"/>
          <w:highlight w:val="none"/>
        </w:rPr>
        <w:t>投标人认为采购人员及相关人员与其他投标人有利害关系的，可以向采购人或者采购代理机构书面提出回避申请，并说明理由。采购人或者采购代理机构应当及时询问被申请回避人员，有利害关系的被申请回避人员应当回避。</w:t>
      </w:r>
    </w:p>
    <w:p>
      <w:pPr>
        <w:kinsoku w:val="0"/>
        <w:adjustRightInd w:val="0"/>
        <w:snapToGrid w:val="0"/>
        <w:spacing w:line="400" w:lineRule="exact"/>
        <w:rPr>
          <w:rFonts w:ascii="宋体" w:hAnsi="宋体" w:cs="宋体"/>
          <w:b/>
          <w:szCs w:val="21"/>
          <w:highlight w:val="none"/>
        </w:rPr>
      </w:pPr>
      <w:r>
        <w:rPr>
          <w:rFonts w:hint="eastAsia" w:ascii="宋体" w:hAnsi="宋体" w:cs="宋体"/>
          <w:b/>
          <w:szCs w:val="21"/>
          <w:highlight w:val="none"/>
        </w:rPr>
        <w:t>4. 磋商费用、竞争性磋商公告、竞争性磋商文件的澄清和修改</w:t>
      </w:r>
    </w:p>
    <w:p>
      <w:pPr>
        <w:kinsoku w:val="0"/>
        <w:adjustRightInd w:val="0"/>
        <w:snapToGrid w:val="0"/>
        <w:spacing w:line="400" w:lineRule="exact"/>
        <w:ind w:firstLine="420" w:firstLineChars="200"/>
        <w:rPr>
          <w:rFonts w:ascii="宋体" w:hAnsi="宋体" w:cs="宋体"/>
          <w:szCs w:val="21"/>
          <w:highlight w:val="none"/>
        </w:rPr>
      </w:pPr>
      <w:r>
        <w:rPr>
          <w:rFonts w:hint="eastAsia" w:ascii="宋体" w:hAnsi="宋体" w:cs="宋体"/>
          <w:szCs w:val="21"/>
          <w:highlight w:val="none"/>
        </w:rPr>
        <w:t>4.1磋商费用：投标人应自行承担所有与编写和提交响应文件有关的费用，不论磋商结果如何，采购人和</w:t>
      </w:r>
      <w:r>
        <w:rPr>
          <w:rFonts w:hint="eastAsia" w:ascii="宋体" w:hAnsi="宋体" w:cs="宋体"/>
          <w:highlight w:val="none"/>
        </w:rPr>
        <w:t>采购代理机构</w:t>
      </w:r>
      <w:r>
        <w:rPr>
          <w:rFonts w:hint="eastAsia" w:ascii="宋体" w:hAnsi="宋体" w:cs="宋体"/>
          <w:szCs w:val="21"/>
          <w:highlight w:val="none"/>
        </w:rPr>
        <w:t>在任何情况下无义务和责任承担此类费用。</w:t>
      </w:r>
    </w:p>
    <w:p>
      <w:pPr>
        <w:kinsoku w:val="0"/>
        <w:adjustRightInd w:val="0"/>
        <w:snapToGrid w:val="0"/>
        <w:spacing w:line="400" w:lineRule="exact"/>
        <w:ind w:firstLine="420"/>
        <w:rPr>
          <w:rFonts w:ascii="宋体" w:hAnsi="宋体" w:cs="宋体"/>
          <w:szCs w:val="21"/>
          <w:highlight w:val="none"/>
        </w:rPr>
      </w:pPr>
      <w:r>
        <w:rPr>
          <w:rFonts w:hint="eastAsia" w:ascii="宋体" w:hAnsi="宋体" w:cs="宋体"/>
          <w:szCs w:val="21"/>
          <w:highlight w:val="none"/>
        </w:rPr>
        <w:t>4.2竞争性磋商公告：见</w:t>
      </w:r>
      <w:r>
        <w:rPr>
          <w:rFonts w:hint="eastAsia" w:ascii="宋体" w:hAnsi="宋体" w:cs="宋体"/>
          <w:bCs/>
          <w:szCs w:val="21"/>
          <w:highlight w:val="none"/>
          <w:u w:val="none"/>
        </w:rPr>
        <w:t>2022年</w:t>
      </w:r>
      <w:r>
        <w:rPr>
          <w:rFonts w:hint="eastAsia" w:ascii="宋体" w:hAnsi="宋体" w:cs="宋体"/>
          <w:bCs/>
          <w:szCs w:val="21"/>
          <w:highlight w:val="none"/>
          <w:u w:val="none"/>
          <w:lang w:val="en-US" w:eastAsia="zh-CN"/>
        </w:rPr>
        <w:t>8</w:t>
      </w:r>
      <w:r>
        <w:rPr>
          <w:rFonts w:hint="eastAsia" w:ascii="宋体" w:hAnsi="宋体" w:cs="宋体"/>
          <w:bCs/>
          <w:szCs w:val="21"/>
          <w:highlight w:val="none"/>
          <w:u w:val="none"/>
        </w:rPr>
        <w:t>月</w:t>
      </w:r>
      <w:r>
        <w:rPr>
          <w:rFonts w:hint="eastAsia" w:ascii="宋体" w:hAnsi="宋体" w:cs="宋体"/>
          <w:bCs/>
          <w:szCs w:val="21"/>
          <w:highlight w:val="none"/>
          <w:u w:val="none"/>
          <w:lang w:val="en-US" w:eastAsia="zh-CN"/>
        </w:rPr>
        <w:t>25</w:t>
      </w:r>
      <w:r>
        <w:rPr>
          <w:rFonts w:hint="eastAsia" w:ascii="宋体" w:hAnsi="宋体" w:cs="宋体"/>
          <w:bCs/>
          <w:szCs w:val="21"/>
          <w:highlight w:val="none"/>
          <w:u w:val="none"/>
        </w:rPr>
        <w:t>日</w:t>
      </w:r>
      <w:r>
        <w:rPr>
          <w:rFonts w:hint="eastAsia" w:ascii="宋体" w:hAnsi="宋体" w:cs="宋体"/>
          <w:szCs w:val="21"/>
          <w:highlight w:val="none"/>
        </w:rPr>
        <w:t>中国政府采购网(</w:t>
      </w:r>
      <w:r>
        <w:rPr>
          <w:highlight w:val="none"/>
        </w:rPr>
        <w:fldChar w:fldCharType="begin"/>
      </w:r>
      <w:r>
        <w:rPr>
          <w:highlight w:val="none"/>
        </w:rPr>
        <w:instrText xml:space="preserve"> HYPERLINK "http://www.ccgp.gov.cn" </w:instrText>
      </w:r>
      <w:r>
        <w:rPr>
          <w:highlight w:val="none"/>
        </w:rPr>
        <w:fldChar w:fldCharType="separate"/>
      </w:r>
      <w:r>
        <w:rPr>
          <w:rFonts w:hint="eastAsia" w:ascii="宋体" w:hAnsi="宋体" w:cs="宋体"/>
          <w:szCs w:val="21"/>
          <w:highlight w:val="none"/>
        </w:rPr>
        <w:t>www.ccgp.gov.cn</w:t>
      </w:r>
      <w:r>
        <w:rPr>
          <w:rFonts w:hint="eastAsia" w:ascii="宋体" w:hAnsi="宋体" w:cs="宋体"/>
          <w:szCs w:val="21"/>
          <w:highlight w:val="none"/>
        </w:rPr>
        <w:fldChar w:fldCharType="end"/>
      </w:r>
      <w:r>
        <w:rPr>
          <w:rFonts w:hint="eastAsia" w:ascii="宋体" w:hAnsi="宋体" w:cs="宋体"/>
          <w:szCs w:val="21"/>
          <w:highlight w:val="none"/>
        </w:rPr>
        <w:t>) 、广西政府采购网（http://zfcg.gxzf.gov.cn/）、</w:t>
      </w:r>
      <w:r>
        <w:rPr>
          <w:rFonts w:hint="eastAsia" w:ascii="宋体" w:hAnsi="宋体" w:cs="宋体"/>
          <w:szCs w:val="21"/>
          <w:highlight w:val="none"/>
          <w:lang w:eastAsia="zh-CN"/>
        </w:rPr>
        <w:t>北海市公共资源交易平台（广西.北海）http://ggzy.jgswj.gxzf.gov.cn/bhggzy/</w:t>
      </w:r>
      <w:r>
        <w:rPr>
          <w:rFonts w:hint="eastAsia" w:ascii="宋体" w:hAnsi="宋体" w:cs="宋体"/>
          <w:szCs w:val="21"/>
          <w:highlight w:val="none"/>
        </w:rPr>
        <w:t>）。</w:t>
      </w:r>
    </w:p>
    <w:p>
      <w:pPr>
        <w:kinsoku w:val="0"/>
        <w:adjustRightInd w:val="0"/>
        <w:snapToGrid w:val="0"/>
        <w:spacing w:line="400" w:lineRule="exact"/>
        <w:ind w:firstLine="422" w:firstLineChars="200"/>
        <w:rPr>
          <w:rFonts w:ascii="宋体" w:hAnsi="宋体" w:cs="宋体"/>
          <w:highlight w:val="none"/>
        </w:rPr>
      </w:pPr>
      <w:r>
        <w:rPr>
          <w:rFonts w:hint="eastAsia" w:ascii="宋体" w:hAnsi="宋体" w:cs="宋体"/>
          <w:b/>
          <w:bCs/>
          <w:highlight w:val="none"/>
        </w:rPr>
        <w:t>4.3</w:t>
      </w:r>
      <w:r>
        <w:rPr>
          <w:rFonts w:hint="eastAsia" w:ascii="宋体" w:hAnsi="宋体" w:cs="宋体"/>
          <w:highlight w:val="none"/>
        </w:rPr>
        <w:t>竞争性磋商文件的澄清和修改：</w:t>
      </w:r>
    </w:p>
    <w:p>
      <w:pPr>
        <w:kinsoku w:val="0"/>
        <w:adjustRightInd w:val="0"/>
        <w:snapToGrid w:val="0"/>
        <w:spacing w:line="400" w:lineRule="exact"/>
        <w:ind w:firstLine="420"/>
        <w:rPr>
          <w:rFonts w:ascii="宋体" w:hAnsi="宋体" w:cs="宋体"/>
          <w:highlight w:val="none"/>
        </w:rPr>
      </w:pPr>
      <w:r>
        <w:rPr>
          <w:rFonts w:hint="eastAsia" w:ascii="宋体" w:hAnsi="宋体" w:cs="宋体"/>
          <w:highlight w:val="none"/>
        </w:rPr>
        <w:t>4.3.1投标人应认真审核《采购需求》中的技术参数、配置及要求，如发现表中技术参数、配置有误或要求不合理的，投标人必须在规定的时间前要求澄清，否则，由此产生的后果由投标人负责。</w:t>
      </w:r>
    </w:p>
    <w:p>
      <w:pPr>
        <w:kinsoku w:val="0"/>
        <w:adjustRightInd w:val="0"/>
        <w:snapToGrid w:val="0"/>
        <w:spacing w:line="400" w:lineRule="exact"/>
        <w:ind w:firstLine="420"/>
        <w:rPr>
          <w:rFonts w:ascii="宋体" w:hAnsi="宋体" w:cs="宋体"/>
          <w:highlight w:val="none"/>
        </w:rPr>
      </w:pPr>
      <w:r>
        <w:rPr>
          <w:rFonts w:hint="eastAsia" w:ascii="宋体" w:hAnsi="宋体" w:cs="宋体"/>
          <w:highlight w:val="none"/>
        </w:rPr>
        <w:t>4.3.2任何要求澄清竞争性磋商文件的投标人，均应在响应文件提交截止日期</w:t>
      </w:r>
      <w:r>
        <w:rPr>
          <w:rFonts w:hint="eastAsia" w:ascii="宋体" w:hAnsi="宋体" w:cs="宋体"/>
          <w:highlight w:val="none"/>
          <w:u w:val="single"/>
        </w:rPr>
        <w:t xml:space="preserve"> 三 </w:t>
      </w:r>
      <w:r>
        <w:rPr>
          <w:rFonts w:hint="eastAsia" w:ascii="宋体" w:hAnsi="宋体" w:cs="宋体"/>
          <w:highlight w:val="none"/>
        </w:rPr>
        <w:t>日前的正常工作时间以传真等书面形式通知采购代理机构，同时认定其他澄清方式为无效。采购代理机构将以书面形式予以答复。</w:t>
      </w:r>
    </w:p>
    <w:p>
      <w:pPr>
        <w:kinsoku w:val="0"/>
        <w:adjustRightInd w:val="0"/>
        <w:snapToGrid w:val="0"/>
        <w:spacing w:line="400" w:lineRule="exact"/>
        <w:ind w:firstLine="420"/>
        <w:jc w:val="left"/>
        <w:rPr>
          <w:rFonts w:ascii="宋体" w:hAnsi="宋体" w:cs="宋体"/>
          <w:highlight w:val="none"/>
        </w:rPr>
      </w:pPr>
      <w:r>
        <w:rPr>
          <w:rFonts w:hint="eastAsia" w:ascii="宋体" w:hAnsi="宋体" w:cs="宋体"/>
          <w:highlight w:val="none"/>
        </w:rPr>
        <w:t>4.3.3采购代理机构对已发出的竞争性磋商文件进行必要澄清或者修改的，在竞争性磋商文件要求提交响应文件截止时间五个工作日前（不足五个工作日顺延），在中国政府采购网(www.ccgp.gov.cn) 、广西政府采购网（http://zfcg.gxzf.gov.cn/）、</w:t>
      </w:r>
      <w:r>
        <w:rPr>
          <w:rFonts w:hint="eastAsia" w:ascii="宋体" w:hAnsi="宋体" w:cs="宋体"/>
          <w:highlight w:val="none"/>
          <w:lang w:eastAsia="zh-CN"/>
        </w:rPr>
        <w:t>北海市公共资源交易平台（广西.北海）</w:t>
      </w:r>
      <w:r>
        <w:rPr>
          <w:rFonts w:hint="eastAsia" w:ascii="宋体" w:hAnsi="宋体" w:cs="宋体"/>
          <w:spacing w:val="-20"/>
          <w:highlight w:val="none"/>
          <w:lang w:eastAsia="zh-CN"/>
        </w:rPr>
        <w:t>http://ggzy.jgswj.gxzf.gov.cn/bhggzy/</w:t>
      </w:r>
      <w:r>
        <w:rPr>
          <w:rFonts w:hint="eastAsia" w:ascii="宋体" w:hAnsi="宋体" w:cs="宋体"/>
          <w:spacing w:val="-20"/>
          <w:highlight w:val="none"/>
        </w:rPr>
        <w:t>）</w:t>
      </w:r>
      <w:r>
        <w:rPr>
          <w:rFonts w:hint="eastAsia" w:ascii="宋体" w:hAnsi="宋体" w:cs="宋体"/>
          <w:highlight w:val="none"/>
        </w:rPr>
        <w:t>上发布更正公告，并以书面形式通知所有竞争性磋商文件收受人。该澄清或者修改的内容为竞争性磋商文件的组成部分。</w:t>
      </w:r>
    </w:p>
    <w:p>
      <w:pPr>
        <w:kinsoku w:val="0"/>
        <w:adjustRightInd w:val="0"/>
        <w:snapToGrid w:val="0"/>
        <w:spacing w:line="400" w:lineRule="exact"/>
        <w:ind w:firstLine="420" w:firstLineChars="200"/>
        <w:rPr>
          <w:rFonts w:ascii="宋体" w:hAnsi="宋体" w:cs="宋体"/>
          <w:highlight w:val="none"/>
        </w:rPr>
      </w:pPr>
      <w:r>
        <w:rPr>
          <w:rFonts w:hint="eastAsia" w:ascii="宋体" w:hAnsi="宋体" w:cs="宋体"/>
          <w:highlight w:val="none"/>
        </w:rPr>
        <w:t>4.3.4采购代理机构可视具体情况，延长响应文件提交截止时间和磋商时间。采购代理机构至少在竞争性磋商文件要求提交响应文件的截止时间一日前，将变更时间书面通知所有竞争性磋商文件收受人，并在中国政府采购网(www.ccgp.gov.cn) 、广西政府采购网（http://zfcg.gxzf.gov.cn/）、</w:t>
      </w:r>
      <w:r>
        <w:rPr>
          <w:rFonts w:hint="eastAsia" w:ascii="宋体" w:hAnsi="宋体" w:cs="宋体"/>
          <w:highlight w:val="none"/>
          <w:lang w:eastAsia="zh-CN"/>
        </w:rPr>
        <w:t>北海市公共资源交易平台（广西.北海）http://ggzy.jgswj.gxzf.gov.cn/bhggzy/</w:t>
      </w:r>
      <w:r>
        <w:rPr>
          <w:rFonts w:hint="eastAsia" w:ascii="宋体" w:hAnsi="宋体" w:cs="宋体"/>
          <w:highlight w:val="none"/>
        </w:rPr>
        <w:t>）上发布变更公告。</w:t>
      </w:r>
    </w:p>
    <w:p>
      <w:pPr>
        <w:kinsoku w:val="0"/>
        <w:spacing w:line="400" w:lineRule="exact"/>
        <w:ind w:firstLine="420" w:firstLineChars="200"/>
        <w:rPr>
          <w:rFonts w:ascii="宋体" w:hAnsi="宋体" w:cs="宋体"/>
          <w:bCs/>
          <w:szCs w:val="21"/>
          <w:highlight w:val="none"/>
        </w:rPr>
      </w:pPr>
      <w:r>
        <w:rPr>
          <w:rFonts w:hint="eastAsia" w:ascii="宋体" w:hAnsi="宋体" w:cs="宋体"/>
          <w:highlight w:val="none"/>
        </w:rPr>
        <w:t>4.4</w:t>
      </w:r>
      <w:r>
        <w:rPr>
          <w:rFonts w:hint="eastAsia" w:ascii="宋体" w:hAnsi="宋体" w:cs="宋体"/>
          <w:b/>
          <w:szCs w:val="21"/>
          <w:highlight w:val="none"/>
        </w:rPr>
        <w:t>质疑：</w:t>
      </w:r>
      <w:r>
        <w:rPr>
          <w:rFonts w:hint="eastAsia" w:ascii="宋体" w:hAnsi="宋体" w:cs="宋体"/>
          <w:bCs/>
          <w:szCs w:val="21"/>
          <w:highlight w:val="none"/>
        </w:rPr>
        <w:t>投标人认为竞争性磋商文件、采购过程和成交结果使自己的合法权益受到损害的，可以在知道或者应知其权益受到损害之日起7个工作日内以书面材料形式向采购人、采购代理机构一次性提出针对同一采购程序环节的质疑。具体计算时间如下：</w:t>
      </w:r>
    </w:p>
    <w:p>
      <w:pPr>
        <w:kinsoku w:val="0"/>
        <w:spacing w:line="400" w:lineRule="exact"/>
        <w:ind w:firstLine="420" w:firstLineChars="200"/>
        <w:rPr>
          <w:rFonts w:ascii="宋体" w:hAnsi="宋体" w:cs="宋体"/>
          <w:bCs/>
          <w:szCs w:val="21"/>
          <w:highlight w:val="none"/>
        </w:rPr>
      </w:pPr>
      <w:r>
        <w:rPr>
          <w:rFonts w:hint="eastAsia" w:ascii="宋体" w:hAnsi="宋体" w:cs="宋体"/>
          <w:bCs/>
          <w:szCs w:val="21"/>
          <w:highlight w:val="none"/>
        </w:rPr>
        <w:t>4.4.1对可以质疑的竞争性磋商文件提出质疑的，为收到竞争性磋商文件之日；</w:t>
      </w:r>
    </w:p>
    <w:p>
      <w:pPr>
        <w:kinsoku w:val="0"/>
        <w:spacing w:line="400" w:lineRule="exact"/>
        <w:ind w:firstLine="420" w:firstLineChars="200"/>
        <w:rPr>
          <w:rFonts w:ascii="宋体" w:hAnsi="宋体" w:cs="宋体"/>
          <w:bCs/>
          <w:szCs w:val="21"/>
          <w:highlight w:val="none"/>
        </w:rPr>
      </w:pPr>
      <w:r>
        <w:rPr>
          <w:rFonts w:hint="eastAsia" w:ascii="宋体" w:hAnsi="宋体" w:cs="宋体"/>
          <w:bCs/>
          <w:szCs w:val="21"/>
          <w:highlight w:val="none"/>
        </w:rPr>
        <w:t>4.4.2对采购过程提出质疑的，为各采购程序环节结束之日；</w:t>
      </w:r>
    </w:p>
    <w:p>
      <w:pPr>
        <w:kinsoku w:val="0"/>
        <w:spacing w:line="400" w:lineRule="exact"/>
        <w:ind w:firstLine="420" w:firstLineChars="200"/>
        <w:rPr>
          <w:rFonts w:ascii="宋体" w:hAnsi="宋体" w:cs="宋体"/>
          <w:highlight w:val="none"/>
        </w:rPr>
      </w:pPr>
      <w:r>
        <w:rPr>
          <w:rFonts w:hint="eastAsia" w:ascii="宋体" w:hAnsi="宋体" w:cs="宋体"/>
          <w:bCs/>
          <w:szCs w:val="21"/>
          <w:highlight w:val="none"/>
        </w:rPr>
        <w:t>4.4.3对成交结果提出质疑的，为成交结果公告期限届满之日。投标人对采购人的质疑答复不满意或者采购人未在规定时间内作出答复的，可以在答复期满后十五个工作日内向同级政府采购监管部门投诉。</w:t>
      </w:r>
    </w:p>
    <w:p>
      <w:pPr>
        <w:kinsoku w:val="0"/>
        <w:spacing w:line="400" w:lineRule="exact"/>
        <w:ind w:firstLine="413" w:firstLineChars="196"/>
        <w:rPr>
          <w:rFonts w:ascii="宋体" w:hAnsi="宋体" w:cs="宋体"/>
          <w:b/>
          <w:kern w:val="0"/>
          <w:szCs w:val="21"/>
          <w:highlight w:val="none"/>
        </w:rPr>
      </w:pPr>
      <w:r>
        <w:rPr>
          <w:rFonts w:hint="eastAsia" w:ascii="宋体" w:hAnsi="宋体" w:cs="宋体"/>
          <w:b/>
          <w:kern w:val="0"/>
          <w:szCs w:val="21"/>
          <w:highlight w:val="none"/>
        </w:rPr>
        <w:t>4.5.踏勘现场</w:t>
      </w:r>
    </w:p>
    <w:p>
      <w:pPr>
        <w:kinsoku w:val="0"/>
        <w:autoSpaceDE w:val="0"/>
        <w:autoSpaceDN w:val="0"/>
        <w:adjustRightInd w:val="0"/>
        <w:spacing w:line="400" w:lineRule="exact"/>
        <w:ind w:firstLine="420" w:firstLineChars="200"/>
        <w:rPr>
          <w:rFonts w:ascii="宋体" w:hAnsi="宋体" w:cs="宋体"/>
          <w:kern w:val="0"/>
          <w:szCs w:val="21"/>
          <w:highlight w:val="none"/>
        </w:rPr>
      </w:pPr>
      <w:r>
        <w:rPr>
          <w:rFonts w:hint="eastAsia" w:ascii="宋体" w:hAnsi="宋体" w:cs="宋体"/>
          <w:kern w:val="0"/>
          <w:szCs w:val="21"/>
          <w:highlight w:val="none"/>
        </w:rPr>
        <w:t>4.5.1按本须知前附表规定，</w:t>
      </w:r>
      <w:r>
        <w:rPr>
          <w:rFonts w:hint="eastAsia" w:ascii="宋体" w:hAnsi="宋体" w:cs="宋体"/>
          <w:bCs/>
          <w:szCs w:val="21"/>
          <w:highlight w:val="none"/>
        </w:rPr>
        <w:t>投标人</w:t>
      </w:r>
      <w:r>
        <w:rPr>
          <w:rFonts w:hint="eastAsia" w:ascii="宋体" w:hAnsi="宋体" w:cs="宋体"/>
          <w:kern w:val="0"/>
          <w:szCs w:val="21"/>
          <w:highlight w:val="none"/>
        </w:rPr>
        <w:t>自行对工程现场及周围环境进行踏勘，以便获取编制响应文件和签署合同所需的资料，并承担勘察现场所发生的自身费用。</w:t>
      </w:r>
    </w:p>
    <w:p>
      <w:pPr>
        <w:kinsoku w:val="0"/>
        <w:autoSpaceDE w:val="0"/>
        <w:autoSpaceDN w:val="0"/>
        <w:adjustRightInd w:val="0"/>
        <w:spacing w:line="400" w:lineRule="exact"/>
        <w:ind w:firstLine="420" w:firstLineChars="200"/>
        <w:rPr>
          <w:rFonts w:ascii="宋体" w:hAnsi="宋体" w:cs="宋体"/>
          <w:kern w:val="0"/>
          <w:szCs w:val="21"/>
          <w:highlight w:val="none"/>
        </w:rPr>
      </w:pPr>
      <w:r>
        <w:rPr>
          <w:rFonts w:hint="eastAsia" w:ascii="宋体" w:hAnsi="宋体" w:cs="宋体"/>
          <w:kern w:val="0"/>
          <w:szCs w:val="21"/>
          <w:highlight w:val="none"/>
        </w:rPr>
        <w:t>4.5.2采购人向</w:t>
      </w:r>
      <w:r>
        <w:rPr>
          <w:rFonts w:hint="eastAsia" w:ascii="宋体" w:hAnsi="宋体" w:cs="宋体"/>
          <w:bCs/>
          <w:szCs w:val="21"/>
          <w:highlight w:val="none"/>
        </w:rPr>
        <w:t>投标人</w:t>
      </w:r>
      <w:r>
        <w:rPr>
          <w:rFonts w:hint="eastAsia" w:ascii="宋体" w:hAnsi="宋体" w:cs="宋体"/>
          <w:kern w:val="0"/>
          <w:szCs w:val="21"/>
          <w:highlight w:val="none"/>
        </w:rPr>
        <w:t>提供的有关施工现场的资料和数据，供</w:t>
      </w:r>
      <w:r>
        <w:rPr>
          <w:rFonts w:hint="eastAsia" w:ascii="宋体" w:hAnsi="宋体" w:cs="宋体"/>
          <w:bCs/>
          <w:szCs w:val="21"/>
          <w:highlight w:val="none"/>
        </w:rPr>
        <w:t>投标人</w:t>
      </w:r>
      <w:r>
        <w:rPr>
          <w:rFonts w:hint="eastAsia" w:ascii="宋体" w:hAnsi="宋体" w:cs="宋体"/>
          <w:kern w:val="0"/>
          <w:szCs w:val="21"/>
          <w:highlight w:val="none"/>
        </w:rPr>
        <w:t>设计响应文件时参考，采购人不对</w:t>
      </w:r>
      <w:r>
        <w:rPr>
          <w:rFonts w:hint="eastAsia" w:ascii="宋体" w:hAnsi="宋体" w:cs="宋体"/>
          <w:bCs/>
          <w:szCs w:val="21"/>
          <w:highlight w:val="none"/>
        </w:rPr>
        <w:t>投标人</w:t>
      </w:r>
      <w:r>
        <w:rPr>
          <w:rFonts w:hint="eastAsia" w:ascii="宋体" w:hAnsi="宋体" w:cs="宋体"/>
          <w:kern w:val="0"/>
          <w:szCs w:val="21"/>
          <w:highlight w:val="none"/>
        </w:rPr>
        <w:t>由此而做出的推论、理解和结论负责。</w:t>
      </w:r>
    </w:p>
    <w:p>
      <w:pPr>
        <w:kinsoku w:val="0"/>
        <w:adjustRightInd w:val="0"/>
        <w:snapToGrid w:val="0"/>
        <w:spacing w:line="400" w:lineRule="exact"/>
        <w:ind w:firstLine="420" w:firstLineChars="200"/>
        <w:rPr>
          <w:rFonts w:ascii="宋体" w:hAnsi="宋体" w:cs="宋体"/>
          <w:b/>
          <w:szCs w:val="21"/>
          <w:highlight w:val="none"/>
        </w:rPr>
      </w:pPr>
      <w:r>
        <w:rPr>
          <w:rFonts w:hint="eastAsia" w:ascii="宋体" w:hAnsi="宋体" w:cs="宋体"/>
          <w:kern w:val="0"/>
          <w:szCs w:val="21"/>
          <w:highlight w:val="none"/>
        </w:rPr>
        <w:t>4.5.3经采购人允许，</w:t>
      </w:r>
      <w:r>
        <w:rPr>
          <w:rFonts w:hint="eastAsia" w:ascii="宋体" w:hAnsi="宋体" w:cs="宋体"/>
          <w:bCs/>
          <w:szCs w:val="21"/>
          <w:highlight w:val="none"/>
        </w:rPr>
        <w:t>投标人</w:t>
      </w:r>
      <w:r>
        <w:rPr>
          <w:rFonts w:hint="eastAsia" w:ascii="宋体" w:hAnsi="宋体" w:cs="宋体"/>
          <w:kern w:val="0"/>
          <w:szCs w:val="21"/>
          <w:highlight w:val="none"/>
        </w:rPr>
        <w:t>可为踏勘目的进入采购人的项目现场，但</w:t>
      </w:r>
      <w:r>
        <w:rPr>
          <w:rFonts w:hint="eastAsia" w:ascii="宋体" w:hAnsi="宋体" w:cs="宋体"/>
          <w:bCs/>
          <w:szCs w:val="21"/>
          <w:highlight w:val="none"/>
        </w:rPr>
        <w:t>投标人</w:t>
      </w:r>
      <w:r>
        <w:rPr>
          <w:rFonts w:hint="eastAsia" w:ascii="宋体" w:hAnsi="宋体" w:cs="宋体"/>
          <w:kern w:val="0"/>
          <w:szCs w:val="21"/>
          <w:highlight w:val="none"/>
        </w:rPr>
        <w:t>不得因此使采购人承担有关的责任和蒙受损失。</w:t>
      </w:r>
      <w:r>
        <w:rPr>
          <w:rFonts w:hint="eastAsia" w:ascii="宋体" w:hAnsi="宋体" w:cs="宋体"/>
          <w:bCs/>
          <w:szCs w:val="21"/>
          <w:highlight w:val="none"/>
        </w:rPr>
        <w:t>投标人</w:t>
      </w:r>
      <w:r>
        <w:rPr>
          <w:rFonts w:hint="eastAsia" w:ascii="宋体" w:hAnsi="宋体" w:cs="宋体"/>
          <w:kern w:val="0"/>
          <w:szCs w:val="21"/>
          <w:highlight w:val="none"/>
        </w:rPr>
        <w:t>应自行承担踏勘现场的责任和风险。</w:t>
      </w:r>
    </w:p>
    <w:p>
      <w:pPr>
        <w:kinsoku w:val="0"/>
        <w:adjustRightInd w:val="0"/>
        <w:snapToGrid w:val="0"/>
        <w:spacing w:line="400" w:lineRule="exact"/>
        <w:jc w:val="center"/>
        <w:rPr>
          <w:rFonts w:ascii="宋体" w:hAnsi="宋体" w:cs="宋体"/>
          <w:b/>
          <w:szCs w:val="21"/>
          <w:highlight w:val="none"/>
        </w:rPr>
      </w:pPr>
      <w:r>
        <w:rPr>
          <w:rFonts w:hint="eastAsia" w:ascii="宋体" w:hAnsi="宋体" w:cs="宋体"/>
          <w:b/>
          <w:szCs w:val="21"/>
          <w:highlight w:val="none"/>
        </w:rPr>
        <w:t>二、响应文件的编制</w:t>
      </w:r>
    </w:p>
    <w:p>
      <w:pPr>
        <w:kinsoku w:val="0"/>
        <w:adjustRightInd w:val="0"/>
        <w:snapToGrid w:val="0"/>
        <w:spacing w:line="400" w:lineRule="exact"/>
        <w:rPr>
          <w:rFonts w:ascii="宋体" w:hAnsi="宋体" w:cs="宋体"/>
          <w:b/>
          <w:szCs w:val="21"/>
          <w:highlight w:val="none"/>
        </w:rPr>
      </w:pPr>
      <w:r>
        <w:rPr>
          <w:rFonts w:hint="eastAsia" w:ascii="宋体" w:hAnsi="宋体" w:cs="宋体"/>
          <w:b/>
          <w:szCs w:val="21"/>
          <w:highlight w:val="none"/>
        </w:rPr>
        <w:t>5.响应文件编制基本要求</w:t>
      </w:r>
    </w:p>
    <w:p>
      <w:pPr>
        <w:kinsoku w:val="0"/>
        <w:adjustRightInd w:val="0"/>
        <w:snapToGrid w:val="0"/>
        <w:spacing w:line="400" w:lineRule="exact"/>
        <w:ind w:firstLine="420" w:firstLineChars="200"/>
        <w:rPr>
          <w:rFonts w:ascii="宋体" w:hAnsi="宋体" w:cs="宋体"/>
          <w:szCs w:val="21"/>
          <w:highlight w:val="none"/>
        </w:rPr>
      </w:pPr>
      <w:r>
        <w:rPr>
          <w:rFonts w:hint="eastAsia" w:ascii="宋体" w:hAnsi="宋体" w:cs="宋体"/>
          <w:szCs w:val="21"/>
          <w:highlight w:val="none"/>
        </w:rPr>
        <w:t>5.1本项目实行电子投标响应，投标人应提供电子响应文件，同时可以提供以介质存储的电子备份响应文件：</w:t>
      </w:r>
    </w:p>
    <w:p>
      <w:pPr>
        <w:kinsoku w:val="0"/>
        <w:adjustRightInd w:val="0"/>
        <w:snapToGrid w:val="0"/>
        <w:spacing w:line="400" w:lineRule="exact"/>
        <w:ind w:firstLine="420" w:firstLineChars="200"/>
        <w:rPr>
          <w:rFonts w:ascii="宋体" w:hAnsi="宋体" w:cs="宋体"/>
          <w:szCs w:val="21"/>
          <w:highlight w:val="none"/>
        </w:rPr>
      </w:pPr>
      <w:r>
        <w:rPr>
          <w:rFonts w:hint="eastAsia" w:ascii="宋体" w:hAnsi="宋体" w:cs="宋体"/>
          <w:szCs w:val="21"/>
          <w:highlight w:val="none"/>
        </w:rPr>
        <w:t>5.1.1电子响应文件按政采云平台要求及本磋商文件要求制作、加密并提交。具体操作流程可参考《政府采购项目电子交易管理操作指南-供应商》，指南可在“北海市政府采购中心网站-办事指南-政府采购项目电子交易管理操作指南”下载。</w:t>
      </w:r>
    </w:p>
    <w:p>
      <w:pPr>
        <w:kinsoku w:val="0"/>
        <w:adjustRightInd w:val="0"/>
        <w:snapToGrid w:val="0"/>
        <w:spacing w:line="400" w:lineRule="exact"/>
        <w:ind w:firstLine="420" w:firstLineChars="200"/>
        <w:rPr>
          <w:rFonts w:ascii="宋体" w:hAnsi="宋体" w:cs="宋体"/>
          <w:szCs w:val="21"/>
          <w:highlight w:val="none"/>
        </w:rPr>
      </w:pPr>
      <w:r>
        <w:rPr>
          <w:rFonts w:hint="eastAsia" w:ascii="宋体" w:hAnsi="宋体" w:cs="宋体"/>
          <w:szCs w:val="21"/>
          <w:highlight w:val="none"/>
        </w:rPr>
        <w:t>5.1.2 电子备份响应文件是上传政采云平台的响应文件电子版，按照本磋商文件要求制作。</w:t>
      </w:r>
    </w:p>
    <w:p>
      <w:pPr>
        <w:kinsoku w:val="0"/>
        <w:adjustRightInd w:val="0"/>
        <w:snapToGrid w:val="0"/>
        <w:spacing w:line="400" w:lineRule="exact"/>
        <w:ind w:firstLine="422" w:firstLineChars="200"/>
        <w:rPr>
          <w:rFonts w:ascii="宋体" w:hAnsi="宋体" w:cs="宋体"/>
          <w:b/>
          <w:bCs/>
          <w:szCs w:val="21"/>
          <w:highlight w:val="none"/>
        </w:rPr>
      </w:pPr>
      <w:r>
        <w:rPr>
          <w:rFonts w:hint="eastAsia" w:ascii="宋体" w:hAnsi="宋体" w:cs="宋体"/>
          <w:b/>
          <w:bCs/>
          <w:szCs w:val="21"/>
          <w:highlight w:val="none"/>
        </w:rPr>
        <w:t>5.1.3响应文件启用顺序和效力：响应文件的启用，按先后顺位分别为电子响应文件、以介质存储的电子备份响应文件。全部投标人的电子响应文件均已按时解密的，以介质存储的电子备份响应文件自动失效。如果某位投标人的电子响应文件无法按时解密的，其电子响应文件为无效，启用以介质存储的电子备份响应文件。投标人仅提交电子备份响应文件的，磋商无效。</w:t>
      </w:r>
    </w:p>
    <w:p>
      <w:pPr>
        <w:kinsoku w:val="0"/>
        <w:adjustRightInd w:val="0"/>
        <w:snapToGrid w:val="0"/>
        <w:spacing w:line="400" w:lineRule="exact"/>
        <w:ind w:firstLine="420" w:firstLineChars="200"/>
        <w:rPr>
          <w:rFonts w:ascii="宋体" w:hAnsi="宋体" w:cs="宋体"/>
          <w:szCs w:val="21"/>
          <w:highlight w:val="none"/>
        </w:rPr>
      </w:pPr>
      <w:r>
        <w:rPr>
          <w:rFonts w:hint="eastAsia" w:ascii="宋体" w:hAnsi="宋体" w:cs="宋体"/>
          <w:szCs w:val="21"/>
          <w:highlight w:val="none"/>
        </w:rPr>
        <w:t>5.2投标人提交的响应文件以及投标人与</w:t>
      </w:r>
      <w:r>
        <w:rPr>
          <w:rFonts w:hint="eastAsia" w:ascii="宋体" w:hAnsi="宋体" w:cs="宋体"/>
          <w:highlight w:val="none"/>
        </w:rPr>
        <w:t>采购代理机构</w:t>
      </w:r>
      <w:r>
        <w:rPr>
          <w:rFonts w:hint="eastAsia" w:ascii="宋体" w:hAnsi="宋体" w:cs="宋体"/>
          <w:szCs w:val="21"/>
          <w:highlight w:val="none"/>
        </w:rPr>
        <w:t>和采购人就有关磋商的所有来往函电均应使用中文。投标人提交的支持文件和印刷的文献可以使用别的语言，但其相应内容必须附有中文翻译文本，在解释响应文件时以翻译文本为主。</w:t>
      </w:r>
    </w:p>
    <w:p>
      <w:pPr>
        <w:kinsoku w:val="0"/>
        <w:adjustRightInd w:val="0"/>
        <w:snapToGrid w:val="0"/>
        <w:spacing w:line="400" w:lineRule="exact"/>
        <w:ind w:firstLine="420" w:firstLineChars="200"/>
        <w:rPr>
          <w:rFonts w:ascii="宋体" w:hAnsi="宋体" w:cs="宋体"/>
          <w:szCs w:val="21"/>
          <w:highlight w:val="none"/>
        </w:rPr>
      </w:pPr>
      <w:r>
        <w:rPr>
          <w:rFonts w:hint="eastAsia" w:ascii="宋体" w:hAnsi="宋体" w:cs="宋体"/>
          <w:szCs w:val="21"/>
          <w:highlight w:val="none"/>
        </w:rPr>
        <w:t>5.3投标人应认真阅读、并充分理解本文件的全部内容（包括所有的</w:t>
      </w:r>
      <w:r>
        <w:rPr>
          <w:rFonts w:hint="eastAsia" w:ascii="宋体" w:hAnsi="宋体" w:cs="宋体"/>
          <w:highlight w:val="none"/>
        </w:rPr>
        <w:t>澄清、</w:t>
      </w:r>
      <w:r>
        <w:rPr>
          <w:rFonts w:hint="eastAsia" w:ascii="宋体" w:hAnsi="宋体" w:cs="宋体"/>
          <w:szCs w:val="21"/>
          <w:highlight w:val="none"/>
        </w:rPr>
        <w:t>更改、补充、答疑等内容），承诺并履行本文件中各项条款规定及要求。</w:t>
      </w:r>
    </w:p>
    <w:p>
      <w:pPr>
        <w:kinsoku w:val="0"/>
        <w:adjustRightInd w:val="0"/>
        <w:snapToGrid w:val="0"/>
        <w:spacing w:line="400" w:lineRule="exact"/>
        <w:ind w:firstLine="420" w:firstLineChars="200"/>
        <w:rPr>
          <w:rFonts w:ascii="宋体" w:hAnsi="宋体" w:cs="宋体"/>
          <w:szCs w:val="21"/>
          <w:highlight w:val="none"/>
        </w:rPr>
      </w:pPr>
      <w:r>
        <w:rPr>
          <w:rFonts w:hint="eastAsia" w:ascii="宋体" w:hAnsi="宋体" w:cs="宋体"/>
          <w:szCs w:val="21"/>
          <w:highlight w:val="none"/>
        </w:rPr>
        <w:t>5.4响应文件必须按本文件的全部内容，包括所有的</w:t>
      </w:r>
      <w:r>
        <w:rPr>
          <w:rFonts w:hint="eastAsia" w:ascii="宋体" w:hAnsi="宋体" w:cs="宋体"/>
          <w:highlight w:val="none"/>
        </w:rPr>
        <w:t>澄清、</w:t>
      </w:r>
      <w:r>
        <w:rPr>
          <w:rFonts w:hint="eastAsia" w:ascii="宋体" w:hAnsi="宋体" w:cs="宋体"/>
          <w:szCs w:val="21"/>
          <w:highlight w:val="none"/>
        </w:rPr>
        <w:t>更改、补充、答疑等内容及附件进行编制。</w:t>
      </w:r>
    </w:p>
    <w:p>
      <w:pPr>
        <w:kinsoku w:val="0"/>
        <w:adjustRightInd w:val="0"/>
        <w:snapToGrid w:val="0"/>
        <w:spacing w:line="400" w:lineRule="exact"/>
        <w:ind w:firstLine="420" w:firstLineChars="200"/>
        <w:rPr>
          <w:rFonts w:ascii="宋体" w:hAnsi="宋体" w:cs="宋体"/>
          <w:szCs w:val="21"/>
          <w:highlight w:val="none"/>
        </w:rPr>
      </w:pPr>
      <w:r>
        <w:rPr>
          <w:rFonts w:hint="eastAsia" w:ascii="宋体" w:hAnsi="宋体" w:cs="宋体"/>
          <w:szCs w:val="21"/>
          <w:highlight w:val="none"/>
        </w:rPr>
        <w:t>5.5如因投标人只填写和提供了本文件要求的部分内容和附件，而给磋商小组评审造成困难，其可能导致的结果和责任由投标人自行承担。</w:t>
      </w:r>
    </w:p>
    <w:p>
      <w:pPr>
        <w:kinsoku w:val="0"/>
        <w:adjustRightInd w:val="0"/>
        <w:snapToGrid w:val="0"/>
        <w:spacing w:line="400" w:lineRule="exact"/>
        <w:ind w:firstLine="420" w:firstLineChars="200"/>
        <w:rPr>
          <w:rFonts w:ascii="宋体" w:hAnsi="宋体" w:cs="宋体"/>
          <w:color w:val="0000FF"/>
          <w:szCs w:val="21"/>
          <w:highlight w:val="none"/>
        </w:rPr>
      </w:pPr>
      <w:r>
        <w:rPr>
          <w:rFonts w:hint="eastAsia" w:ascii="宋体" w:hAnsi="宋体" w:cs="宋体"/>
          <w:szCs w:val="21"/>
          <w:highlight w:val="none"/>
        </w:rPr>
        <w:t>5.6响应文件的组成：响应文件应分为价格文件、资格审查文件和商务技术文件三个部分组成。投标人应仔细阅读本磋商文件的所有内容，按本磋商文件的要求，详细编制响应文件。</w:t>
      </w:r>
    </w:p>
    <w:p>
      <w:pPr>
        <w:kinsoku w:val="0"/>
        <w:adjustRightInd w:val="0"/>
        <w:snapToGrid w:val="0"/>
        <w:spacing w:line="400" w:lineRule="exact"/>
        <w:ind w:firstLine="422" w:firstLineChars="200"/>
        <w:rPr>
          <w:rFonts w:ascii="宋体" w:hAnsi="宋体" w:cs="宋体"/>
          <w:b/>
          <w:szCs w:val="21"/>
          <w:highlight w:val="none"/>
        </w:rPr>
      </w:pPr>
      <w:r>
        <w:rPr>
          <w:rFonts w:hint="eastAsia" w:ascii="宋体" w:hAnsi="宋体" w:cs="宋体"/>
          <w:b/>
          <w:szCs w:val="21"/>
          <w:highlight w:val="none"/>
        </w:rPr>
        <w:t>5.6.1价格文件</w:t>
      </w:r>
    </w:p>
    <w:p>
      <w:pPr>
        <w:kinsoku w:val="0"/>
        <w:adjustRightInd w:val="0"/>
        <w:snapToGrid w:val="0"/>
        <w:spacing w:line="400" w:lineRule="exact"/>
        <w:ind w:firstLine="420" w:firstLineChars="200"/>
        <w:rPr>
          <w:rFonts w:ascii="宋体" w:hAnsi="宋体" w:cs="宋体"/>
          <w:szCs w:val="21"/>
          <w:highlight w:val="none"/>
        </w:rPr>
      </w:pPr>
      <w:r>
        <w:rPr>
          <w:rFonts w:hint="eastAsia" w:ascii="宋体" w:hAnsi="宋体" w:cs="宋体"/>
          <w:szCs w:val="21"/>
          <w:highlight w:val="none"/>
        </w:rPr>
        <w:t>▲（1）报价表（见第四章 附件2）</w:t>
      </w:r>
      <w:r>
        <w:rPr>
          <w:rFonts w:hint="eastAsia" w:ascii="宋体" w:hAnsi="宋体" w:cs="宋体"/>
          <w:b/>
          <w:szCs w:val="21"/>
          <w:highlight w:val="none"/>
        </w:rPr>
        <w:t>。（必须提供）</w:t>
      </w:r>
    </w:p>
    <w:p>
      <w:pPr>
        <w:kinsoku w:val="0"/>
        <w:spacing w:line="400" w:lineRule="exact"/>
        <w:ind w:firstLine="422" w:firstLineChars="200"/>
        <w:rPr>
          <w:rFonts w:ascii="宋体" w:hAnsi="宋体" w:cs="宋体"/>
          <w:b/>
          <w:bCs/>
          <w:szCs w:val="21"/>
          <w:highlight w:val="none"/>
        </w:rPr>
      </w:pPr>
      <w:r>
        <w:rPr>
          <w:rFonts w:hint="eastAsia" w:ascii="宋体" w:hAnsi="宋体" w:cs="宋体"/>
          <w:b/>
          <w:szCs w:val="21"/>
          <w:highlight w:val="none"/>
        </w:rPr>
        <w:t xml:space="preserve">5.6.2 </w:t>
      </w:r>
      <w:r>
        <w:rPr>
          <w:rFonts w:hint="eastAsia" w:ascii="宋体" w:hAnsi="宋体" w:cs="宋体"/>
          <w:b/>
          <w:bCs/>
          <w:szCs w:val="21"/>
          <w:highlight w:val="none"/>
        </w:rPr>
        <w:t>资格审查文件</w:t>
      </w:r>
    </w:p>
    <w:p>
      <w:pPr>
        <w:kinsoku w:val="0"/>
        <w:snapToGrid w:val="0"/>
        <w:spacing w:line="400" w:lineRule="exact"/>
        <w:ind w:firstLine="420" w:firstLineChars="200"/>
        <w:jc w:val="left"/>
        <w:rPr>
          <w:rFonts w:ascii="宋体" w:hAnsi="宋体" w:cs="宋体"/>
          <w:szCs w:val="21"/>
          <w:highlight w:val="none"/>
        </w:rPr>
      </w:pPr>
      <w:r>
        <w:rPr>
          <w:rFonts w:hint="eastAsia" w:ascii="宋体" w:hAnsi="宋体" w:cs="宋体"/>
          <w:szCs w:val="21"/>
          <w:highlight w:val="none"/>
        </w:rPr>
        <w:t>▲（1）法定代表人（负责人）授权委托书原件和委托代理人身份证复印件</w:t>
      </w:r>
      <w:r>
        <w:rPr>
          <w:rFonts w:hint="eastAsia" w:ascii="宋体" w:hAnsi="宋体" w:cs="宋体"/>
          <w:b/>
          <w:szCs w:val="21"/>
          <w:highlight w:val="none"/>
        </w:rPr>
        <w:t>（委托代理时必须提供）</w:t>
      </w:r>
      <w:r>
        <w:rPr>
          <w:rFonts w:hint="eastAsia" w:ascii="宋体" w:hAnsi="宋体" w:cs="宋体"/>
          <w:szCs w:val="21"/>
          <w:highlight w:val="none"/>
        </w:rPr>
        <w:t xml:space="preserve">；（见第四章 附件4）； </w:t>
      </w:r>
    </w:p>
    <w:p>
      <w:pPr>
        <w:kinsoku w:val="0"/>
        <w:spacing w:line="400" w:lineRule="exact"/>
        <w:ind w:firstLine="420" w:firstLineChars="200"/>
        <w:rPr>
          <w:rFonts w:ascii="宋体" w:hAnsi="宋体" w:cs="宋体"/>
          <w:szCs w:val="21"/>
          <w:highlight w:val="none"/>
        </w:rPr>
      </w:pPr>
      <w:r>
        <w:rPr>
          <w:rFonts w:hint="eastAsia" w:ascii="宋体" w:hAnsi="宋体" w:cs="宋体"/>
          <w:szCs w:val="21"/>
          <w:highlight w:val="none"/>
        </w:rPr>
        <w:t>▲（2）法定代表人（负责人）身份证复印件</w:t>
      </w:r>
      <w:r>
        <w:rPr>
          <w:rFonts w:hint="eastAsia" w:ascii="宋体" w:hAnsi="宋体" w:cs="宋体"/>
          <w:bCs/>
          <w:highlight w:val="none"/>
        </w:rPr>
        <w:t>；</w:t>
      </w:r>
      <w:r>
        <w:rPr>
          <w:rFonts w:hint="eastAsia" w:ascii="宋体" w:hAnsi="宋体" w:cs="宋体"/>
          <w:b/>
          <w:szCs w:val="21"/>
          <w:highlight w:val="none"/>
        </w:rPr>
        <w:t>（必须提供）</w:t>
      </w:r>
    </w:p>
    <w:p>
      <w:pPr>
        <w:kinsoku w:val="0"/>
        <w:spacing w:line="400" w:lineRule="exact"/>
        <w:ind w:firstLine="420" w:firstLineChars="200"/>
        <w:rPr>
          <w:rFonts w:hint="eastAsia" w:ascii="宋体" w:hAnsi="宋体" w:cs="宋体"/>
          <w:szCs w:val="21"/>
          <w:highlight w:val="none"/>
        </w:rPr>
      </w:pPr>
      <w:r>
        <w:rPr>
          <w:rFonts w:hint="eastAsia" w:ascii="宋体" w:hAnsi="宋体" w:cs="宋体"/>
          <w:szCs w:val="21"/>
          <w:highlight w:val="none"/>
        </w:rPr>
        <w:t>▲（3）投标人有效的法人或其他组织的营业执照、事业单位法人证书等证明文件复印件或自然人的身份证明；（必须提供）</w:t>
      </w:r>
    </w:p>
    <w:p>
      <w:pPr>
        <w:kinsoku w:val="0"/>
        <w:spacing w:line="400" w:lineRule="exact"/>
        <w:ind w:firstLine="420" w:firstLineChars="200"/>
        <w:rPr>
          <w:rFonts w:ascii="宋体" w:hAnsi="宋体" w:cs="宋体"/>
          <w:szCs w:val="21"/>
          <w:highlight w:val="none"/>
        </w:rPr>
      </w:pPr>
      <w:r>
        <w:rPr>
          <w:rFonts w:hint="eastAsia" w:ascii="宋体" w:hAnsi="宋体" w:cs="宋体"/>
          <w:szCs w:val="21"/>
          <w:highlight w:val="none"/>
        </w:rPr>
        <w:t>▲（4）投标人2021年年度财务报表，或2022年1月份以来连续三个月的财务报表（必须提供）；（新注册成立的企业按实提供）</w:t>
      </w:r>
    </w:p>
    <w:p>
      <w:pPr>
        <w:kinsoku w:val="0"/>
        <w:snapToGrid w:val="0"/>
        <w:spacing w:line="400" w:lineRule="exact"/>
        <w:ind w:firstLine="420" w:firstLineChars="200"/>
        <w:jc w:val="left"/>
        <w:rPr>
          <w:rFonts w:ascii="宋体" w:hAnsi="宋体" w:cs="宋体"/>
          <w:b/>
          <w:szCs w:val="21"/>
          <w:highlight w:val="none"/>
        </w:rPr>
      </w:pPr>
      <w:r>
        <w:rPr>
          <w:rFonts w:hint="eastAsia" w:ascii="宋体" w:hAnsi="宋体" w:cs="宋体"/>
          <w:szCs w:val="21"/>
          <w:highlight w:val="none"/>
        </w:rPr>
        <w:t>▲（5）</w:t>
      </w:r>
      <w:r>
        <w:rPr>
          <w:rFonts w:hint="eastAsia" w:ascii="宋体" w:hAnsi="宋体"/>
          <w:szCs w:val="21"/>
          <w:highlight w:val="none"/>
        </w:rPr>
        <w:t>2022年1月份以来</w:t>
      </w:r>
      <w:r>
        <w:rPr>
          <w:rFonts w:hint="eastAsia" w:ascii="宋体" w:hAnsi="宋体" w:cs="宋体"/>
          <w:szCs w:val="21"/>
          <w:highlight w:val="none"/>
        </w:rPr>
        <w:t>投标人连续三个月依法缴纳税费或依法免缴税费的证明</w:t>
      </w:r>
      <w:r>
        <w:rPr>
          <w:rFonts w:hint="eastAsia" w:ascii="宋体" w:hAnsi="宋体" w:cs="宋体"/>
          <w:b/>
          <w:szCs w:val="21"/>
          <w:highlight w:val="none"/>
        </w:rPr>
        <w:t>复印件</w:t>
      </w:r>
      <w:r>
        <w:rPr>
          <w:rFonts w:hint="eastAsia" w:ascii="宋体" w:hAnsi="宋体" w:cs="宋体"/>
          <w:bCs/>
          <w:szCs w:val="21"/>
          <w:highlight w:val="none"/>
        </w:rPr>
        <w:t>，</w:t>
      </w:r>
      <w:r>
        <w:rPr>
          <w:rFonts w:hint="eastAsia" w:ascii="宋体" w:hAnsi="宋体" w:cs="宋体"/>
          <w:szCs w:val="21"/>
          <w:highlight w:val="none"/>
        </w:rPr>
        <w:t>无纳税记录的，应提供由投标人所在地主管税务部门出具的《依法纳税或依法免税证明》</w:t>
      </w:r>
      <w:r>
        <w:rPr>
          <w:rFonts w:hint="eastAsia" w:ascii="宋体" w:hAnsi="宋体" w:cs="宋体"/>
          <w:bCs/>
          <w:highlight w:val="none"/>
        </w:rPr>
        <w:t>；</w:t>
      </w:r>
      <w:r>
        <w:rPr>
          <w:rFonts w:hint="eastAsia" w:ascii="宋体" w:hAnsi="宋体" w:cs="宋体"/>
          <w:b/>
          <w:szCs w:val="21"/>
          <w:highlight w:val="none"/>
        </w:rPr>
        <w:t>（必须提供）</w:t>
      </w:r>
      <w:r>
        <w:rPr>
          <w:rFonts w:hint="eastAsia" w:ascii="宋体" w:hAnsi="宋体" w:cs="宋体"/>
          <w:szCs w:val="21"/>
          <w:highlight w:val="none"/>
        </w:rPr>
        <w:t>（新注册成立的单位按实提供）</w:t>
      </w:r>
    </w:p>
    <w:p>
      <w:pPr>
        <w:kinsoku w:val="0"/>
        <w:snapToGrid w:val="0"/>
        <w:spacing w:line="400" w:lineRule="exact"/>
        <w:ind w:firstLine="420" w:firstLineChars="200"/>
        <w:jc w:val="left"/>
        <w:rPr>
          <w:rFonts w:ascii="宋体" w:hAnsi="宋体" w:cs="宋体"/>
          <w:szCs w:val="21"/>
          <w:highlight w:val="none"/>
        </w:rPr>
      </w:pPr>
      <w:r>
        <w:rPr>
          <w:rFonts w:hint="eastAsia" w:ascii="宋体" w:hAnsi="宋体" w:cs="宋体"/>
          <w:szCs w:val="21"/>
          <w:highlight w:val="none"/>
        </w:rPr>
        <w:t>▲</w:t>
      </w:r>
      <w:r>
        <w:rPr>
          <w:rFonts w:hint="eastAsia" w:ascii="宋体" w:hAnsi="宋体" w:cs="宋体"/>
          <w:bCs/>
          <w:szCs w:val="21"/>
          <w:highlight w:val="none"/>
        </w:rPr>
        <w:t>（6）</w:t>
      </w:r>
      <w:r>
        <w:rPr>
          <w:rFonts w:hint="eastAsia" w:ascii="宋体" w:hAnsi="宋体"/>
          <w:szCs w:val="21"/>
          <w:highlight w:val="none"/>
        </w:rPr>
        <w:t>2022年1月份以来</w:t>
      </w:r>
      <w:r>
        <w:rPr>
          <w:rFonts w:hint="eastAsia" w:ascii="宋体" w:hAnsi="宋体" w:cs="宋体"/>
          <w:szCs w:val="21"/>
          <w:highlight w:val="none"/>
        </w:rPr>
        <w:t>投标人连续三个月</w:t>
      </w:r>
      <w:r>
        <w:rPr>
          <w:rFonts w:hint="eastAsia" w:ascii="宋体" w:hAnsi="宋体"/>
          <w:szCs w:val="21"/>
          <w:highlight w:val="none"/>
        </w:rPr>
        <w:t>依法缴纳社保费的缴费凭证复印件</w:t>
      </w:r>
      <w:r>
        <w:rPr>
          <w:rFonts w:hint="eastAsia" w:ascii="宋体" w:hAnsi="宋体" w:cs="宋体"/>
          <w:bCs/>
          <w:szCs w:val="21"/>
          <w:highlight w:val="none"/>
        </w:rPr>
        <w:t>，</w:t>
      </w:r>
      <w:r>
        <w:rPr>
          <w:rFonts w:hint="eastAsia" w:ascii="宋体" w:hAnsi="宋体" w:cs="宋体"/>
          <w:szCs w:val="21"/>
          <w:highlight w:val="none"/>
        </w:rPr>
        <w:t>无缴费记录的，应提供由投标人所在地社保部门出具的《依法缴纳或依法免缴社保费证明》</w:t>
      </w:r>
      <w:r>
        <w:rPr>
          <w:rFonts w:hint="eastAsia" w:ascii="宋体" w:hAnsi="宋体" w:cs="宋体"/>
          <w:bCs/>
          <w:highlight w:val="none"/>
        </w:rPr>
        <w:t>；</w:t>
      </w:r>
      <w:r>
        <w:rPr>
          <w:rFonts w:hint="eastAsia" w:ascii="宋体" w:hAnsi="宋体" w:cs="宋体"/>
          <w:b/>
          <w:szCs w:val="21"/>
          <w:highlight w:val="none"/>
        </w:rPr>
        <w:t>（必须提供）</w:t>
      </w:r>
      <w:r>
        <w:rPr>
          <w:rFonts w:hint="eastAsia" w:ascii="宋体" w:hAnsi="宋体" w:cs="宋体"/>
          <w:szCs w:val="21"/>
          <w:highlight w:val="none"/>
        </w:rPr>
        <w:t>（新注册成立的单位按实提供）</w:t>
      </w:r>
    </w:p>
    <w:p>
      <w:pPr>
        <w:kinsoku w:val="0"/>
        <w:spacing w:line="400" w:lineRule="exact"/>
        <w:ind w:firstLine="420"/>
        <w:rPr>
          <w:rFonts w:ascii="宋体" w:hAnsi="宋体" w:cs="宋体"/>
          <w:szCs w:val="20"/>
          <w:highlight w:val="none"/>
        </w:rPr>
      </w:pPr>
      <w:r>
        <w:rPr>
          <w:rFonts w:hint="eastAsia" w:ascii="宋体" w:hAnsi="宋体" w:cs="宋体"/>
          <w:szCs w:val="21"/>
          <w:highlight w:val="none"/>
        </w:rPr>
        <w:t>▲（7）</w:t>
      </w:r>
      <w:r>
        <w:rPr>
          <w:rFonts w:hint="eastAsia" w:ascii="宋体" w:hAnsi="宋体" w:cs="宋体"/>
          <w:kern w:val="0"/>
          <w:szCs w:val="21"/>
          <w:highlight w:val="none"/>
        </w:rPr>
        <w:t>参加政府采购活动前三年内在经营活动中没有重大违法记录的书面声明</w:t>
      </w:r>
      <w:r>
        <w:rPr>
          <w:rFonts w:hint="eastAsia" w:ascii="宋体" w:hAnsi="宋体" w:cs="宋体"/>
          <w:bCs/>
          <w:szCs w:val="21"/>
          <w:highlight w:val="none"/>
        </w:rPr>
        <w:t>；</w:t>
      </w:r>
      <w:r>
        <w:rPr>
          <w:rFonts w:hint="eastAsia" w:ascii="宋体" w:hAnsi="宋体" w:cs="宋体"/>
          <w:bCs/>
          <w:kern w:val="0"/>
          <w:szCs w:val="21"/>
          <w:highlight w:val="none"/>
        </w:rPr>
        <w:t>（</w:t>
      </w:r>
      <w:r>
        <w:rPr>
          <w:rFonts w:hint="eastAsia" w:ascii="宋体" w:hAnsi="宋体" w:cs="宋体"/>
          <w:szCs w:val="21"/>
          <w:highlight w:val="none"/>
        </w:rPr>
        <w:t>见第四章 附件5</w:t>
      </w:r>
      <w:r>
        <w:rPr>
          <w:rFonts w:hint="eastAsia" w:ascii="宋体" w:hAnsi="宋体" w:cs="宋体"/>
          <w:kern w:val="0"/>
          <w:szCs w:val="21"/>
          <w:highlight w:val="none"/>
        </w:rPr>
        <w:t>）（</w:t>
      </w:r>
      <w:r>
        <w:rPr>
          <w:rFonts w:hint="eastAsia" w:ascii="宋体" w:hAnsi="宋体" w:cs="宋体"/>
          <w:b/>
          <w:szCs w:val="21"/>
          <w:highlight w:val="none"/>
        </w:rPr>
        <w:t>必须提供）</w:t>
      </w:r>
    </w:p>
    <w:p>
      <w:pPr>
        <w:kinsoku w:val="0"/>
        <w:spacing w:line="400" w:lineRule="exact"/>
        <w:ind w:firstLine="420" w:firstLineChars="200"/>
        <w:rPr>
          <w:rFonts w:hint="eastAsia" w:ascii="宋体" w:hAnsi="宋体" w:cs="宋体"/>
          <w:b/>
          <w:bCs/>
          <w:szCs w:val="21"/>
          <w:highlight w:val="none"/>
        </w:rPr>
      </w:pPr>
      <w:r>
        <w:rPr>
          <w:rFonts w:hint="eastAsia" w:ascii="宋体" w:hAnsi="宋体" w:cs="宋体"/>
          <w:szCs w:val="21"/>
          <w:highlight w:val="none"/>
        </w:rPr>
        <w:t>▲</w:t>
      </w:r>
      <w:r>
        <w:rPr>
          <w:rFonts w:hint="eastAsia" w:ascii="宋体" w:hAnsi="宋体" w:cs="宋体"/>
          <w:kern w:val="0"/>
          <w:szCs w:val="21"/>
          <w:highlight w:val="none"/>
        </w:rPr>
        <w:t>（8）</w:t>
      </w:r>
      <w:r>
        <w:rPr>
          <w:rFonts w:hint="eastAsia" w:ascii="宋体" w:hAnsi="宋体" w:cs="宋体"/>
          <w:szCs w:val="21"/>
          <w:highlight w:val="none"/>
        </w:rPr>
        <w:t>《诚信记录良好承诺函》；</w:t>
      </w:r>
      <w:r>
        <w:rPr>
          <w:rFonts w:hint="eastAsia" w:ascii="宋体" w:hAnsi="宋体" w:cs="宋体"/>
          <w:bCs/>
          <w:szCs w:val="21"/>
          <w:highlight w:val="none"/>
        </w:rPr>
        <w:t>（</w:t>
      </w:r>
      <w:r>
        <w:rPr>
          <w:rFonts w:hint="eastAsia" w:ascii="宋体" w:hAnsi="宋体" w:cs="宋体"/>
          <w:b/>
          <w:bCs/>
          <w:szCs w:val="21"/>
          <w:highlight w:val="none"/>
        </w:rPr>
        <w:t>必须提供）</w:t>
      </w:r>
    </w:p>
    <w:p>
      <w:pPr>
        <w:kinsoku w:val="0"/>
        <w:spacing w:line="400" w:lineRule="exact"/>
        <w:ind w:firstLine="420" w:firstLineChars="200"/>
        <w:rPr>
          <w:rFonts w:hint="eastAsia" w:ascii="宋体" w:hAnsi="宋体" w:cs="宋体"/>
          <w:b/>
          <w:bCs/>
          <w:szCs w:val="21"/>
          <w:highlight w:val="none"/>
        </w:rPr>
      </w:pPr>
      <w:r>
        <w:rPr>
          <w:rFonts w:hint="eastAsia" w:ascii="宋体" w:hAnsi="宋体" w:cs="宋体"/>
          <w:szCs w:val="21"/>
          <w:highlight w:val="none"/>
        </w:rPr>
        <w:t>▲（</w:t>
      </w:r>
      <w:r>
        <w:rPr>
          <w:rFonts w:hint="eastAsia" w:ascii="宋体" w:hAnsi="宋体" w:cs="宋体"/>
          <w:szCs w:val="21"/>
          <w:highlight w:val="none"/>
          <w:lang w:val="en-US" w:eastAsia="zh-CN"/>
        </w:rPr>
        <w:t>9</w:t>
      </w:r>
      <w:r>
        <w:rPr>
          <w:rFonts w:hint="eastAsia" w:ascii="宋体" w:hAnsi="宋体" w:cs="宋体"/>
          <w:szCs w:val="21"/>
          <w:highlight w:val="none"/>
        </w:rPr>
        <w:t>）中小企业声明函（格式见第四章 附件6）</w:t>
      </w:r>
      <w:r>
        <w:rPr>
          <w:rFonts w:hint="eastAsia" w:ascii="宋体" w:hAnsi="宋体" w:cs="宋体"/>
          <w:szCs w:val="21"/>
          <w:highlight w:val="none"/>
          <w:lang w:eastAsia="zh-CN"/>
        </w:rPr>
        <w:t>或</w:t>
      </w:r>
      <w:r>
        <w:rPr>
          <w:rFonts w:hint="eastAsia" w:ascii="宋体" w:hAnsi="宋体" w:cs="宋体"/>
          <w:szCs w:val="21"/>
          <w:highlight w:val="none"/>
        </w:rPr>
        <w:t>残疾人福利性单位声明函（格式见第四章 附件7）</w:t>
      </w:r>
      <w:r>
        <w:rPr>
          <w:rFonts w:hint="eastAsia" w:ascii="宋体" w:hAnsi="宋体" w:cs="宋体"/>
          <w:szCs w:val="21"/>
          <w:highlight w:val="none"/>
          <w:lang w:eastAsia="zh-CN"/>
        </w:rPr>
        <w:t>或有效的</w:t>
      </w:r>
      <w:r>
        <w:rPr>
          <w:rFonts w:hint="eastAsia" w:hAnsi="宋体"/>
          <w:bCs/>
          <w:color w:val="auto"/>
          <w:highlight w:val="none"/>
        </w:rPr>
        <w:t>监狱企业的</w:t>
      </w:r>
      <w:r>
        <w:rPr>
          <w:rFonts w:hint="eastAsia" w:hAnsi="宋体"/>
          <w:bCs/>
          <w:color w:val="auto"/>
          <w:highlight w:val="none"/>
          <w:lang w:eastAsia="zh-CN"/>
        </w:rPr>
        <w:t>相关</w:t>
      </w:r>
      <w:r>
        <w:rPr>
          <w:rFonts w:hint="eastAsia" w:hAnsi="宋体"/>
          <w:bCs/>
          <w:color w:val="auto"/>
          <w:highlight w:val="none"/>
        </w:rPr>
        <w:t>证明文件</w:t>
      </w:r>
      <w:r>
        <w:rPr>
          <w:rFonts w:hint="eastAsia" w:hAnsi="宋体"/>
          <w:bCs/>
          <w:color w:val="auto"/>
          <w:highlight w:val="none"/>
          <w:lang w:eastAsia="zh-CN"/>
        </w:rPr>
        <w:t>等</w:t>
      </w:r>
      <w:r>
        <w:rPr>
          <w:rFonts w:hint="eastAsia" w:hAnsi="宋体"/>
          <w:b/>
          <w:bCs w:val="0"/>
          <w:color w:val="auto"/>
          <w:highlight w:val="none"/>
          <w:lang w:eastAsia="zh-CN"/>
        </w:rPr>
        <w:t>（格式自拟）</w:t>
      </w:r>
      <w:r>
        <w:rPr>
          <w:rFonts w:hint="eastAsia" w:ascii="宋体" w:hAnsi="宋体" w:cs="宋体"/>
          <w:szCs w:val="21"/>
          <w:highlight w:val="none"/>
        </w:rPr>
        <w:t>。</w:t>
      </w:r>
      <w:r>
        <w:rPr>
          <w:rFonts w:hint="eastAsia" w:ascii="宋体" w:hAnsi="宋体" w:cs="宋体"/>
          <w:b/>
          <w:bCs/>
          <w:szCs w:val="21"/>
          <w:highlight w:val="none"/>
        </w:rPr>
        <w:t>（必须提供）</w:t>
      </w:r>
    </w:p>
    <w:p>
      <w:pPr>
        <w:kinsoku w:val="0"/>
        <w:spacing w:line="400" w:lineRule="exact"/>
        <w:ind w:firstLine="422" w:firstLineChars="200"/>
        <w:rPr>
          <w:rFonts w:ascii="宋体" w:hAnsi="宋体" w:cs="宋体"/>
          <w:szCs w:val="21"/>
          <w:highlight w:val="none"/>
        </w:rPr>
      </w:pPr>
      <w:r>
        <w:rPr>
          <w:rFonts w:hint="eastAsia" w:ascii="宋体" w:hAnsi="宋体" w:cs="宋体"/>
          <w:b/>
          <w:szCs w:val="21"/>
          <w:highlight w:val="none"/>
        </w:rPr>
        <w:t>5.6.3 商务技术文件</w:t>
      </w:r>
    </w:p>
    <w:p>
      <w:pPr>
        <w:kinsoku w:val="0"/>
        <w:spacing w:line="400" w:lineRule="exact"/>
        <w:ind w:firstLine="420" w:firstLineChars="200"/>
        <w:rPr>
          <w:rFonts w:ascii="宋体" w:hAnsi="宋体" w:cs="宋体"/>
          <w:szCs w:val="21"/>
          <w:highlight w:val="none"/>
        </w:rPr>
      </w:pPr>
      <w:r>
        <w:rPr>
          <w:rFonts w:hint="eastAsia" w:ascii="宋体" w:hAnsi="宋体" w:cs="宋体"/>
          <w:szCs w:val="21"/>
          <w:highlight w:val="none"/>
        </w:rPr>
        <w:t>▲（1）磋商书</w:t>
      </w:r>
      <w:r>
        <w:rPr>
          <w:rFonts w:hint="eastAsia" w:ascii="宋体" w:hAnsi="宋体" w:cs="宋体"/>
          <w:b/>
          <w:szCs w:val="21"/>
          <w:highlight w:val="none"/>
        </w:rPr>
        <w:t>；</w:t>
      </w:r>
      <w:r>
        <w:rPr>
          <w:rFonts w:hint="eastAsia" w:ascii="宋体" w:hAnsi="宋体" w:cs="宋体"/>
          <w:szCs w:val="21"/>
          <w:highlight w:val="none"/>
        </w:rPr>
        <w:t>（见第四章 附件1）</w:t>
      </w:r>
      <w:r>
        <w:rPr>
          <w:rFonts w:hint="eastAsia" w:ascii="宋体" w:hAnsi="宋体" w:cs="宋体"/>
          <w:b/>
          <w:szCs w:val="21"/>
          <w:highlight w:val="none"/>
        </w:rPr>
        <w:t>（必须提供）</w:t>
      </w:r>
    </w:p>
    <w:p>
      <w:pPr>
        <w:kinsoku w:val="0"/>
        <w:spacing w:line="400" w:lineRule="exact"/>
        <w:ind w:firstLine="420" w:firstLineChars="200"/>
        <w:rPr>
          <w:rFonts w:ascii="宋体" w:hAnsi="宋体" w:cs="宋体"/>
          <w:b/>
          <w:szCs w:val="21"/>
          <w:highlight w:val="none"/>
        </w:rPr>
      </w:pPr>
      <w:r>
        <w:rPr>
          <w:rFonts w:hint="eastAsia" w:ascii="宋体" w:hAnsi="宋体" w:cs="宋体"/>
          <w:szCs w:val="21"/>
          <w:highlight w:val="none"/>
        </w:rPr>
        <w:t>▲（2）商务服务（技术）响应、偏离情况说明表</w:t>
      </w:r>
      <w:r>
        <w:rPr>
          <w:rFonts w:hint="eastAsia" w:ascii="宋体" w:hAnsi="宋体" w:cs="宋体"/>
          <w:b/>
          <w:szCs w:val="21"/>
          <w:highlight w:val="none"/>
        </w:rPr>
        <w:t>；</w:t>
      </w:r>
      <w:r>
        <w:rPr>
          <w:rFonts w:hint="eastAsia" w:ascii="宋体" w:hAnsi="宋体" w:cs="宋体"/>
          <w:szCs w:val="21"/>
          <w:highlight w:val="none"/>
        </w:rPr>
        <w:t>（见第四章 附件3）</w:t>
      </w:r>
      <w:r>
        <w:rPr>
          <w:rFonts w:hint="eastAsia" w:ascii="宋体" w:hAnsi="宋体" w:cs="宋体"/>
          <w:b/>
          <w:szCs w:val="21"/>
          <w:highlight w:val="none"/>
        </w:rPr>
        <w:t>（必须提供）</w:t>
      </w:r>
    </w:p>
    <w:p>
      <w:pPr>
        <w:kinsoku w:val="0"/>
        <w:snapToGrid w:val="0"/>
        <w:spacing w:line="400" w:lineRule="exact"/>
        <w:ind w:firstLine="420" w:firstLineChars="200"/>
        <w:jc w:val="left"/>
        <w:rPr>
          <w:rFonts w:hint="eastAsia" w:ascii="宋体" w:hAnsi="宋体"/>
          <w:szCs w:val="21"/>
          <w:highlight w:val="none"/>
        </w:rPr>
      </w:pPr>
      <w:r>
        <w:rPr>
          <w:rFonts w:hint="eastAsia" w:ascii="宋体" w:hAnsi="宋体"/>
          <w:szCs w:val="21"/>
          <w:highlight w:val="none"/>
        </w:rPr>
        <w:t>▲（3）</w:t>
      </w:r>
      <w:r>
        <w:rPr>
          <w:rFonts w:hint="eastAsia" w:ascii="宋体" w:hAnsi="宋体" w:cs="宋体"/>
          <w:color w:val="auto"/>
          <w:szCs w:val="21"/>
          <w:highlight w:val="none"/>
        </w:rPr>
        <w:t>技术方案</w:t>
      </w:r>
      <w:r>
        <w:rPr>
          <w:rFonts w:hint="eastAsia" w:ascii="宋体" w:hAnsi="宋体"/>
          <w:szCs w:val="21"/>
          <w:highlight w:val="none"/>
        </w:rPr>
        <w:t>；（格式自拟，</w:t>
      </w:r>
      <w:r>
        <w:rPr>
          <w:rFonts w:hint="eastAsia" w:ascii="宋体" w:hAnsi="宋体"/>
          <w:b/>
          <w:bCs/>
          <w:szCs w:val="21"/>
          <w:highlight w:val="none"/>
        </w:rPr>
        <w:t>必须提供</w:t>
      </w:r>
      <w:r>
        <w:rPr>
          <w:rFonts w:hint="eastAsia" w:ascii="宋体" w:hAnsi="宋体"/>
          <w:szCs w:val="21"/>
          <w:highlight w:val="none"/>
        </w:rPr>
        <w:t>）</w:t>
      </w:r>
    </w:p>
    <w:p>
      <w:pPr>
        <w:kinsoku w:val="0"/>
        <w:snapToGrid w:val="0"/>
        <w:spacing w:line="400" w:lineRule="exact"/>
        <w:ind w:firstLine="420" w:firstLineChars="200"/>
        <w:jc w:val="left"/>
        <w:rPr>
          <w:rFonts w:ascii="宋体" w:hAnsi="宋体"/>
          <w:szCs w:val="21"/>
          <w:highlight w:val="none"/>
        </w:rPr>
      </w:pPr>
      <w:r>
        <w:rPr>
          <w:rFonts w:hint="eastAsia" w:ascii="宋体" w:hAnsi="宋体"/>
          <w:szCs w:val="21"/>
          <w:highlight w:val="none"/>
        </w:rPr>
        <w:t>▲（</w:t>
      </w:r>
      <w:r>
        <w:rPr>
          <w:rFonts w:hint="eastAsia" w:ascii="宋体" w:hAnsi="宋体"/>
          <w:szCs w:val="21"/>
          <w:highlight w:val="none"/>
          <w:lang w:val="en-US" w:eastAsia="zh-CN"/>
        </w:rPr>
        <w:t>4</w:t>
      </w:r>
      <w:r>
        <w:rPr>
          <w:rFonts w:hint="eastAsia" w:ascii="宋体" w:hAnsi="宋体"/>
          <w:szCs w:val="21"/>
          <w:highlight w:val="none"/>
        </w:rPr>
        <w:t>）</w:t>
      </w:r>
      <w:r>
        <w:rPr>
          <w:rFonts w:hint="eastAsia" w:ascii="宋体" w:hAnsi="宋体"/>
          <w:szCs w:val="21"/>
          <w:highlight w:val="none"/>
          <w:lang w:eastAsia="zh-CN"/>
        </w:rPr>
        <w:t>项目</w:t>
      </w:r>
      <w:r>
        <w:rPr>
          <w:rFonts w:hint="eastAsia" w:ascii="宋体" w:hAnsi="宋体"/>
          <w:szCs w:val="21"/>
          <w:highlight w:val="none"/>
        </w:rPr>
        <w:t>实施方案；（格式自拟，</w:t>
      </w:r>
      <w:r>
        <w:rPr>
          <w:rFonts w:hint="eastAsia" w:ascii="宋体" w:hAnsi="宋体"/>
          <w:b/>
          <w:bCs/>
          <w:szCs w:val="21"/>
          <w:highlight w:val="none"/>
        </w:rPr>
        <w:t>必须提供</w:t>
      </w:r>
      <w:r>
        <w:rPr>
          <w:rFonts w:hint="eastAsia" w:ascii="宋体" w:hAnsi="宋体"/>
          <w:szCs w:val="21"/>
          <w:highlight w:val="none"/>
        </w:rPr>
        <w:t>）</w:t>
      </w:r>
    </w:p>
    <w:p>
      <w:pPr>
        <w:kinsoku w:val="0"/>
        <w:snapToGrid w:val="0"/>
        <w:spacing w:line="400" w:lineRule="exact"/>
        <w:ind w:firstLine="420" w:firstLineChars="200"/>
        <w:jc w:val="left"/>
        <w:rPr>
          <w:rFonts w:hint="eastAsia" w:ascii="宋体" w:hAnsi="宋体" w:eastAsia="宋体"/>
          <w:szCs w:val="21"/>
          <w:highlight w:val="none"/>
          <w:lang w:eastAsia="zh-CN"/>
        </w:rPr>
      </w:pPr>
      <w:r>
        <w:rPr>
          <w:rFonts w:hint="eastAsia" w:ascii="宋体" w:hAnsi="宋体"/>
          <w:szCs w:val="21"/>
          <w:highlight w:val="none"/>
        </w:rPr>
        <w:t>▲（</w:t>
      </w:r>
      <w:r>
        <w:rPr>
          <w:rFonts w:hint="eastAsia" w:ascii="宋体" w:hAnsi="宋体"/>
          <w:szCs w:val="21"/>
          <w:highlight w:val="none"/>
          <w:lang w:val="en-US" w:eastAsia="zh-CN"/>
        </w:rPr>
        <w:t>5</w:t>
      </w:r>
      <w:r>
        <w:rPr>
          <w:rFonts w:hint="eastAsia" w:ascii="宋体" w:hAnsi="宋体"/>
          <w:szCs w:val="21"/>
          <w:highlight w:val="none"/>
        </w:rPr>
        <w:t>）</w:t>
      </w:r>
      <w:r>
        <w:rPr>
          <w:rFonts w:hint="eastAsia" w:ascii="宋体" w:hAnsi="宋体"/>
          <w:szCs w:val="21"/>
          <w:highlight w:val="none"/>
          <w:lang w:eastAsia="zh-CN"/>
        </w:rPr>
        <w:t>项目售后服务方案：</w:t>
      </w:r>
      <w:r>
        <w:rPr>
          <w:rFonts w:hint="eastAsia" w:ascii="宋体" w:hAnsi="宋体"/>
          <w:szCs w:val="21"/>
          <w:highlight w:val="none"/>
        </w:rPr>
        <w:t>（格式自拟，</w:t>
      </w:r>
      <w:r>
        <w:rPr>
          <w:rFonts w:hint="eastAsia" w:ascii="宋体" w:hAnsi="宋体"/>
          <w:b/>
          <w:bCs/>
          <w:szCs w:val="21"/>
          <w:highlight w:val="none"/>
        </w:rPr>
        <w:t>必须提供</w:t>
      </w:r>
      <w:r>
        <w:rPr>
          <w:rFonts w:hint="eastAsia" w:ascii="宋体" w:hAnsi="宋体"/>
          <w:szCs w:val="21"/>
          <w:highlight w:val="none"/>
        </w:rPr>
        <w:t>）</w:t>
      </w:r>
    </w:p>
    <w:p>
      <w:pPr>
        <w:kinsoku w:val="0"/>
        <w:snapToGrid w:val="0"/>
        <w:spacing w:line="400" w:lineRule="exact"/>
        <w:ind w:firstLine="420" w:firstLineChars="200"/>
        <w:jc w:val="left"/>
        <w:rPr>
          <w:rFonts w:ascii="宋体" w:hAnsi="宋体"/>
          <w:szCs w:val="21"/>
          <w:highlight w:val="none"/>
        </w:rPr>
      </w:pPr>
      <w:r>
        <w:rPr>
          <w:rFonts w:hint="eastAsia" w:ascii="宋体" w:hAnsi="宋体"/>
          <w:szCs w:val="21"/>
          <w:highlight w:val="none"/>
        </w:rPr>
        <w:t>▲（</w:t>
      </w:r>
      <w:r>
        <w:rPr>
          <w:rFonts w:hint="eastAsia" w:ascii="宋体" w:hAnsi="宋体"/>
          <w:szCs w:val="21"/>
          <w:highlight w:val="none"/>
          <w:lang w:val="en-US" w:eastAsia="zh-CN"/>
        </w:rPr>
        <w:t>6</w:t>
      </w:r>
      <w:r>
        <w:rPr>
          <w:rFonts w:hint="eastAsia" w:ascii="宋体" w:hAnsi="宋体"/>
          <w:szCs w:val="21"/>
          <w:highlight w:val="none"/>
        </w:rPr>
        <w:t>）</w:t>
      </w:r>
      <w:r>
        <w:rPr>
          <w:rFonts w:hint="eastAsia" w:ascii="宋体" w:hAnsi="宋体"/>
          <w:highlight w:val="none"/>
        </w:rPr>
        <w:t>具备履行合同所必需的设备和专业技术能力的材料；</w:t>
      </w:r>
      <w:r>
        <w:rPr>
          <w:rFonts w:hint="eastAsia" w:ascii="宋体" w:hAnsi="宋体"/>
          <w:szCs w:val="21"/>
          <w:highlight w:val="none"/>
        </w:rPr>
        <w:t>（格式自拟，</w:t>
      </w:r>
      <w:r>
        <w:rPr>
          <w:rFonts w:hint="eastAsia" w:ascii="宋体" w:hAnsi="宋体"/>
          <w:b/>
          <w:bCs/>
          <w:szCs w:val="21"/>
          <w:highlight w:val="none"/>
        </w:rPr>
        <w:t>必须提供</w:t>
      </w:r>
      <w:r>
        <w:rPr>
          <w:rFonts w:hint="eastAsia" w:ascii="宋体" w:hAnsi="宋体"/>
          <w:szCs w:val="21"/>
          <w:highlight w:val="none"/>
        </w:rPr>
        <w:t>）</w:t>
      </w:r>
    </w:p>
    <w:p>
      <w:pPr>
        <w:kinsoku w:val="0"/>
        <w:snapToGrid w:val="0"/>
        <w:spacing w:line="400" w:lineRule="exact"/>
        <w:ind w:firstLine="630" w:firstLineChars="300"/>
        <w:jc w:val="left"/>
        <w:rPr>
          <w:rFonts w:ascii="宋体" w:hAnsi="宋体" w:cs="宋体"/>
          <w:b/>
          <w:szCs w:val="21"/>
          <w:highlight w:val="none"/>
        </w:rPr>
      </w:pPr>
      <w:r>
        <w:rPr>
          <w:rFonts w:hint="eastAsia" w:ascii="宋体" w:hAnsi="宋体"/>
          <w:szCs w:val="21"/>
          <w:highlight w:val="none"/>
        </w:rPr>
        <w:t>（</w:t>
      </w:r>
      <w:r>
        <w:rPr>
          <w:rFonts w:hint="eastAsia" w:ascii="宋体" w:hAnsi="宋体"/>
          <w:szCs w:val="21"/>
          <w:highlight w:val="none"/>
          <w:lang w:val="en-US" w:eastAsia="zh-CN"/>
        </w:rPr>
        <w:t>7</w:t>
      </w:r>
      <w:r>
        <w:rPr>
          <w:rFonts w:hint="eastAsia" w:ascii="宋体" w:hAnsi="宋体"/>
          <w:szCs w:val="21"/>
          <w:highlight w:val="none"/>
        </w:rPr>
        <w:t>）具备法律、行政法规</w:t>
      </w:r>
      <w:r>
        <w:rPr>
          <w:rFonts w:hint="eastAsia" w:ascii="宋体" w:hAnsi="宋体" w:cs="宋体"/>
          <w:szCs w:val="21"/>
          <w:highlight w:val="none"/>
        </w:rPr>
        <w:t>规定的其他条件的证明材料</w:t>
      </w:r>
      <w:r>
        <w:rPr>
          <w:rFonts w:hint="eastAsia" w:ascii="宋体" w:hAnsi="宋体" w:cs="宋体"/>
          <w:b/>
          <w:szCs w:val="21"/>
          <w:highlight w:val="none"/>
        </w:rPr>
        <w:t>（如相关法律、行政法规有规定,则必须提供）</w:t>
      </w:r>
    </w:p>
    <w:p>
      <w:pPr>
        <w:kinsoku w:val="0"/>
        <w:spacing w:line="400" w:lineRule="exact"/>
        <w:ind w:left="420" w:leftChars="200" w:firstLine="210" w:firstLineChars="100"/>
        <w:rPr>
          <w:rFonts w:ascii="宋体" w:hAnsi="宋体" w:cs="宋体"/>
          <w:szCs w:val="21"/>
          <w:highlight w:val="none"/>
        </w:rPr>
      </w:pPr>
      <w:r>
        <w:rPr>
          <w:rFonts w:hint="eastAsia" w:ascii="宋体" w:hAnsi="宋体" w:cs="宋体"/>
          <w:szCs w:val="21"/>
          <w:highlight w:val="none"/>
        </w:rPr>
        <w:t>（</w:t>
      </w:r>
      <w:r>
        <w:rPr>
          <w:rFonts w:hint="eastAsia" w:ascii="宋体" w:hAnsi="宋体" w:cs="宋体"/>
          <w:szCs w:val="21"/>
          <w:highlight w:val="none"/>
          <w:lang w:val="en-US" w:eastAsia="zh-CN"/>
        </w:rPr>
        <w:t>8</w:t>
      </w:r>
      <w:r>
        <w:rPr>
          <w:rFonts w:hint="eastAsia" w:ascii="宋体" w:hAnsi="宋体" w:cs="宋体"/>
          <w:szCs w:val="21"/>
          <w:highlight w:val="none"/>
        </w:rPr>
        <w:t>）本项目第三章中要求提供的相关资料（</w:t>
      </w:r>
      <w:r>
        <w:rPr>
          <w:rFonts w:hint="eastAsia" w:ascii="宋体" w:hAnsi="宋体" w:cs="宋体"/>
          <w:b/>
          <w:szCs w:val="21"/>
          <w:highlight w:val="none"/>
        </w:rPr>
        <w:t>如本项目第三章中有要求的,则必须提供</w:t>
      </w:r>
      <w:r>
        <w:rPr>
          <w:rFonts w:hint="eastAsia" w:ascii="宋体" w:hAnsi="宋体" w:cs="宋体"/>
          <w:szCs w:val="21"/>
          <w:highlight w:val="none"/>
        </w:rPr>
        <w:t>）</w:t>
      </w:r>
    </w:p>
    <w:p>
      <w:pPr>
        <w:kinsoku w:val="0"/>
        <w:spacing w:line="400" w:lineRule="exact"/>
        <w:ind w:left="420" w:leftChars="200" w:firstLine="210" w:firstLineChars="100"/>
        <w:rPr>
          <w:rFonts w:ascii="宋体" w:hAnsi="宋体" w:cs="宋体"/>
          <w:szCs w:val="21"/>
          <w:highlight w:val="none"/>
        </w:rPr>
      </w:pPr>
      <w:r>
        <w:rPr>
          <w:rFonts w:hint="eastAsia" w:ascii="宋体" w:hAnsi="宋体" w:cs="宋体"/>
          <w:szCs w:val="21"/>
          <w:highlight w:val="none"/>
        </w:rPr>
        <w:t>（</w:t>
      </w:r>
      <w:r>
        <w:rPr>
          <w:rFonts w:hint="eastAsia" w:ascii="宋体" w:hAnsi="宋体" w:cs="宋体"/>
          <w:szCs w:val="21"/>
          <w:highlight w:val="none"/>
          <w:lang w:val="en-US" w:eastAsia="zh-CN"/>
        </w:rPr>
        <w:t>9</w:t>
      </w:r>
      <w:r>
        <w:rPr>
          <w:rFonts w:hint="eastAsia" w:ascii="宋体" w:hAnsi="宋体" w:cs="宋体"/>
          <w:szCs w:val="21"/>
          <w:highlight w:val="none"/>
        </w:rPr>
        <w:t>）投标人认为需要提供的有关资料。</w:t>
      </w:r>
    </w:p>
    <w:p>
      <w:pPr>
        <w:kinsoku w:val="0"/>
        <w:adjustRightInd w:val="0"/>
        <w:snapToGrid w:val="0"/>
        <w:spacing w:line="400" w:lineRule="exact"/>
        <w:ind w:firstLine="413" w:firstLineChars="196"/>
        <w:rPr>
          <w:rFonts w:ascii="宋体" w:hAnsi="宋体" w:cs="宋体"/>
          <w:b/>
          <w:highlight w:val="none"/>
        </w:rPr>
      </w:pPr>
      <w:r>
        <w:rPr>
          <w:rFonts w:hint="eastAsia" w:ascii="宋体" w:hAnsi="宋体" w:cs="宋体"/>
          <w:b/>
          <w:highlight w:val="none"/>
        </w:rPr>
        <w:t>特别说明：</w:t>
      </w:r>
    </w:p>
    <w:p>
      <w:pPr>
        <w:kinsoku w:val="0"/>
        <w:adjustRightInd w:val="0"/>
        <w:snapToGrid w:val="0"/>
        <w:spacing w:line="400" w:lineRule="exact"/>
        <w:ind w:firstLine="413" w:firstLineChars="196"/>
        <w:rPr>
          <w:rFonts w:ascii="宋体" w:hAnsi="宋体" w:cs="宋体"/>
          <w:b/>
          <w:highlight w:val="none"/>
          <w:u w:val="single"/>
        </w:rPr>
      </w:pPr>
      <w:r>
        <w:rPr>
          <w:rFonts w:hint="eastAsia" w:ascii="宋体" w:hAnsi="宋体" w:cs="宋体"/>
          <w:b/>
          <w:highlight w:val="none"/>
          <w:u w:val="single"/>
        </w:rPr>
        <w:t>①电子响应文件中所须加盖公章部分均采用CA签章。若本磋商文件中有专门标注的某关联点，并要求投标人在电子投标系统中作出投标响应的，如投标人未对关联点进行响应或者在响应文件其它内容进行描述，造成电子评审不能查询的责任由投标人自行承担。</w:t>
      </w:r>
    </w:p>
    <w:p>
      <w:pPr>
        <w:kinsoku w:val="0"/>
        <w:adjustRightInd w:val="0"/>
        <w:snapToGrid w:val="0"/>
        <w:spacing w:line="400" w:lineRule="exact"/>
        <w:ind w:firstLine="413" w:firstLineChars="196"/>
        <w:rPr>
          <w:rFonts w:ascii="宋体" w:hAnsi="宋体" w:cs="宋体"/>
          <w:b/>
          <w:highlight w:val="none"/>
          <w:u w:val="single"/>
        </w:rPr>
      </w:pPr>
      <w:r>
        <w:rPr>
          <w:rFonts w:hint="eastAsia" w:ascii="宋体" w:hAnsi="宋体" w:cs="宋体"/>
          <w:b/>
          <w:highlight w:val="none"/>
          <w:u w:val="single"/>
        </w:rPr>
        <w:t>②本磋商文件要求提供的的各种复印件，须加盖投标人CA签章，否则其磋商无效。</w:t>
      </w:r>
    </w:p>
    <w:p>
      <w:pPr>
        <w:kinsoku w:val="0"/>
        <w:adjustRightInd w:val="0"/>
        <w:snapToGrid w:val="0"/>
        <w:spacing w:line="400" w:lineRule="exact"/>
        <w:ind w:firstLine="413" w:firstLineChars="196"/>
        <w:rPr>
          <w:rFonts w:ascii="宋体" w:hAnsi="宋体" w:cs="宋体"/>
          <w:b/>
          <w:highlight w:val="none"/>
          <w:u w:val="single"/>
        </w:rPr>
      </w:pPr>
      <w:r>
        <w:rPr>
          <w:rFonts w:hint="eastAsia" w:ascii="宋体" w:hAnsi="宋体" w:cs="宋体"/>
          <w:b/>
          <w:highlight w:val="none"/>
          <w:u w:val="single"/>
        </w:rPr>
        <w:t>③本磋商文件要求在响应文件中“必须提供”的证明等材料，投标人必须全部提供，缺一不可，否则按磋商无效处理。</w:t>
      </w:r>
    </w:p>
    <w:p>
      <w:pPr>
        <w:kinsoku w:val="0"/>
        <w:adjustRightInd w:val="0"/>
        <w:snapToGrid w:val="0"/>
        <w:spacing w:line="400" w:lineRule="exact"/>
        <w:ind w:firstLine="422" w:firstLineChars="200"/>
        <w:rPr>
          <w:rFonts w:ascii="宋体" w:hAnsi="宋体" w:cs="宋体"/>
          <w:b/>
          <w:highlight w:val="none"/>
          <w:u w:val="single"/>
        </w:rPr>
      </w:pPr>
      <w:r>
        <w:rPr>
          <w:rFonts w:hint="eastAsia" w:ascii="宋体" w:hAnsi="宋体" w:cs="宋体"/>
          <w:b/>
          <w:highlight w:val="none"/>
          <w:u w:val="single"/>
        </w:rPr>
        <w:t>④本磋商文件要求法定代表人（负责人）或委托代理人签字的部分必须由本人签字然后扫描或者拍照做成pdf格式上传，无签字的视为参加磋商采购无效。</w:t>
      </w:r>
    </w:p>
    <w:p>
      <w:pPr>
        <w:numPr>
          <w:ilvl w:val="0"/>
          <w:numId w:val="2"/>
        </w:numPr>
        <w:kinsoku w:val="0"/>
        <w:adjustRightInd w:val="0"/>
        <w:snapToGrid w:val="0"/>
        <w:spacing w:line="400" w:lineRule="exact"/>
        <w:rPr>
          <w:rFonts w:ascii="宋体" w:hAnsi="宋体" w:cs="宋体"/>
          <w:b/>
          <w:szCs w:val="21"/>
          <w:highlight w:val="none"/>
        </w:rPr>
      </w:pPr>
      <w:r>
        <w:rPr>
          <w:rFonts w:hint="eastAsia" w:ascii="宋体" w:hAnsi="宋体" w:cs="宋体"/>
          <w:b/>
          <w:szCs w:val="21"/>
          <w:highlight w:val="none"/>
        </w:rPr>
        <w:t>计量单位</w:t>
      </w:r>
    </w:p>
    <w:p>
      <w:pPr>
        <w:kinsoku w:val="0"/>
        <w:adjustRightInd w:val="0"/>
        <w:snapToGrid w:val="0"/>
        <w:spacing w:line="400" w:lineRule="exact"/>
        <w:ind w:firstLine="420" w:firstLineChars="200"/>
        <w:rPr>
          <w:rFonts w:ascii="宋体" w:hAnsi="宋体" w:cs="宋体"/>
          <w:b/>
          <w:szCs w:val="21"/>
          <w:highlight w:val="none"/>
        </w:rPr>
      </w:pPr>
      <w:r>
        <w:rPr>
          <w:rFonts w:hint="eastAsia" w:ascii="宋体" w:hAnsi="宋体" w:cs="宋体"/>
          <w:szCs w:val="21"/>
          <w:highlight w:val="none"/>
        </w:rPr>
        <w:t>6.1除技术要求中另有规定外，本文件所要求使用的计量单位均应采用国家法定计量单见位。</w:t>
      </w:r>
    </w:p>
    <w:p>
      <w:pPr>
        <w:kinsoku w:val="0"/>
        <w:adjustRightInd w:val="0"/>
        <w:snapToGrid w:val="0"/>
        <w:spacing w:line="400" w:lineRule="exact"/>
        <w:jc w:val="center"/>
        <w:rPr>
          <w:rFonts w:ascii="宋体" w:hAnsi="宋体" w:cs="宋体"/>
          <w:b/>
          <w:szCs w:val="21"/>
          <w:highlight w:val="none"/>
        </w:rPr>
      </w:pPr>
      <w:r>
        <w:rPr>
          <w:rFonts w:hint="eastAsia" w:ascii="宋体" w:hAnsi="宋体" w:cs="宋体"/>
          <w:b/>
          <w:szCs w:val="21"/>
          <w:highlight w:val="none"/>
        </w:rPr>
        <w:t>三.报价要求</w:t>
      </w:r>
    </w:p>
    <w:p>
      <w:pPr>
        <w:kinsoku w:val="0"/>
        <w:adjustRightInd w:val="0"/>
        <w:snapToGrid w:val="0"/>
        <w:spacing w:line="400" w:lineRule="exact"/>
        <w:ind w:firstLine="420" w:firstLineChars="200"/>
        <w:rPr>
          <w:rFonts w:ascii="宋体" w:hAnsi="宋体" w:cs="宋体"/>
          <w:szCs w:val="21"/>
          <w:highlight w:val="none"/>
        </w:rPr>
      </w:pPr>
      <w:r>
        <w:rPr>
          <w:rFonts w:hint="eastAsia" w:ascii="宋体" w:hAnsi="宋体" w:cs="宋体"/>
          <w:szCs w:val="21"/>
          <w:highlight w:val="none"/>
        </w:rPr>
        <w:t>7.1对于本文件中未列明，而投标人认为必需的费用也需列入总报价。在合同实施时，采购人将不予支付成交供应商没有列入的项目费用，并认为此项目的费用已包括在总报价中。</w:t>
      </w:r>
    </w:p>
    <w:p>
      <w:pPr>
        <w:kinsoku w:val="0"/>
        <w:adjustRightInd w:val="0"/>
        <w:snapToGrid w:val="0"/>
        <w:spacing w:line="400" w:lineRule="exact"/>
        <w:ind w:firstLine="420" w:firstLineChars="200"/>
        <w:rPr>
          <w:rFonts w:ascii="宋体" w:hAnsi="宋体" w:cs="宋体"/>
          <w:szCs w:val="21"/>
          <w:highlight w:val="none"/>
        </w:rPr>
      </w:pPr>
      <w:r>
        <w:rPr>
          <w:rFonts w:hint="eastAsia" w:ascii="宋体" w:hAnsi="宋体" w:cs="宋体"/>
          <w:szCs w:val="21"/>
          <w:highlight w:val="none"/>
        </w:rPr>
        <w:t>7.2成交供应商负责本项目所需服务及售后服务等全部工作。</w:t>
      </w:r>
    </w:p>
    <w:p>
      <w:pPr>
        <w:kinsoku w:val="0"/>
        <w:adjustRightInd w:val="0"/>
        <w:snapToGrid w:val="0"/>
        <w:spacing w:line="400" w:lineRule="exact"/>
        <w:ind w:firstLine="420"/>
        <w:rPr>
          <w:rFonts w:ascii="宋体" w:hAnsi="宋体" w:cs="宋体"/>
          <w:spacing w:val="-4"/>
          <w:szCs w:val="21"/>
          <w:highlight w:val="none"/>
        </w:rPr>
      </w:pPr>
      <w:r>
        <w:rPr>
          <w:rFonts w:hint="eastAsia" w:ascii="宋体" w:hAnsi="宋体" w:cs="宋体"/>
          <w:szCs w:val="21"/>
          <w:highlight w:val="none"/>
        </w:rPr>
        <w:t>7.3</w:t>
      </w:r>
      <w:r>
        <w:rPr>
          <w:rFonts w:hint="eastAsia" w:ascii="宋体" w:hAnsi="宋体" w:cs="宋体"/>
          <w:spacing w:val="-4"/>
          <w:szCs w:val="21"/>
          <w:highlight w:val="none"/>
        </w:rPr>
        <w:t>投标人应在报价表上标明单价和总价。大写金额和小写金额不一致的，以大写金额为准；总价金额与按单价汇总金额不一致的，以单价金额计算结果为准；单价金额小数点有明显错位的，应以总价为准，并修改单价；对不同文字文本响应文件的解释发生异议的，以中文文本为准。除上述原因以外，如果因投标人原因引起的报价失误，并在磋商时被接受，其后果由投标人自负。</w:t>
      </w:r>
    </w:p>
    <w:p>
      <w:pPr>
        <w:kinsoku w:val="0"/>
        <w:adjustRightInd w:val="0"/>
        <w:snapToGrid w:val="0"/>
        <w:spacing w:line="400" w:lineRule="exact"/>
        <w:ind w:firstLine="420" w:firstLineChars="200"/>
        <w:rPr>
          <w:rFonts w:ascii="宋体" w:hAnsi="宋体" w:cs="宋体"/>
          <w:b/>
          <w:szCs w:val="21"/>
          <w:highlight w:val="none"/>
        </w:rPr>
      </w:pPr>
      <w:r>
        <w:rPr>
          <w:rFonts w:hint="eastAsia" w:ascii="宋体" w:hAnsi="宋体" w:cs="宋体"/>
          <w:highlight w:val="none"/>
        </w:rPr>
        <w:t>7.4报价：</w:t>
      </w:r>
      <w:r>
        <w:rPr>
          <w:rFonts w:hint="eastAsia" w:ascii="宋体" w:hAnsi="宋体" w:cs="宋体"/>
          <w:szCs w:val="21"/>
          <w:highlight w:val="none"/>
        </w:rPr>
        <w:t>投标人须就《采购项目需求》中所有的服务内容作完整唯一报价。</w:t>
      </w:r>
    </w:p>
    <w:p>
      <w:pPr>
        <w:kinsoku w:val="0"/>
        <w:adjustRightInd w:val="0"/>
        <w:snapToGrid w:val="0"/>
        <w:spacing w:line="400" w:lineRule="exact"/>
        <w:jc w:val="center"/>
        <w:rPr>
          <w:rFonts w:ascii="宋体" w:hAnsi="宋体" w:cs="宋体"/>
          <w:b/>
          <w:szCs w:val="21"/>
          <w:highlight w:val="none"/>
        </w:rPr>
      </w:pPr>
      <w:r>
        <w:rPr>
          <w:rFonts w:hint="eastAsia" w:ascii="宋体" w:hAnsi="宋体" w:cs="宋体"/>
          <w:b/>
          <w:szCs w:val="21"/>
          <w:highlight w:val="none"/>
        </w:rPr>
        <w:t>四.响应文件的份数、封装和提交</w:t>
      </w:r>
    </w:p>
    <w:p>
      <w:pPr>
        <w:kinsoku w:val="0"/>
        <w:adjustRightInd w:val="0"/>
        <w:snapToGrid w:val="0"/>
        <w:spacing w:line="400" w:lineRule="exact"/>
        <w:rPr>
          <w:rFonts w:ascii="宋体" w:hAnsi="宋体" w:cs="宋体"/>
          <w:b/>
          <w:szCs w:val="21"/>
          <w:highlight w:val="none"/>
        </w:rPr>
      </w:pPr>
      <w:r>
        <w:rPr>
          <w:rFonts w:hint="eastAsia" w:ascii="宋体" w:hAnsi="宋体" w:cs="宋体"/>
          <w:b/>
          <w:szCs w:val="21"/>
          <w:highlight w:val="none"/>
        </w:rPr>
        <w:t>8. 响应文件的封装</w:t>
      </w:r>
    </w:p>
    <w:p>
      <w:pPr>
        <w:kinsoku w:val="0"/>
        <w:adjustRightInd w:val="0"/>
        <w:snapToGrid w:val="0"/>
        <w:spacing w:line="400" w:lineRule="exact"/>
        <w:ind w:firstLine="420"/>
        <w:rPr>
          <w:rFonts w:ascii="宋体" w:hAnsi="宋体" w:cs="宋体"/>
          <w:szCs w:val="21"/>
          <w:highlight w:val="none"/>
        </w:rPr>
      </w:pPr>
      <w:r>
        <w:rPr>
          <w:rFonts w:hint="eastAsia" w:ascii="宋体" w:hAnsi="宋体" w:cs="宋体"/>
          <w:szCs w:val="21"/>
          <w:highlight w:val="none"/>
        </w:rPr>
        <w:t>8.1投标人应按照磋商文件的要求编制完整的响应文件，响应文件须对磋商文件中的内容做出实质性和完整的响应，混乱的编排导致响应文件被误读、漏读或查找不到相关内容的，响应文件留有空项的地方，其磋商将会被按无效处理。</w:t>
      </w:r>
    </w:p>
    <w:p>
      <w:pPr>
        <w:kinsoku w:val="0"/>
        <w:adjustRightInd w:val="0"/>
        <w:snapToGrid w:val="0"/>
        <w:spacing w:line="400" w:lineRule="exact"/>
        <w:ind w:firstLine="420"/>
        <w:rPr>
          <w:rFonts w:ascii="宋体" w:hAnsi="宋体" w:cs="宋体"/>
          <w:b/>
          <w:szCs w:val="21"/>
          <w:highlight w:val="none"/>
        </w:rPr>
      </w:pPr>
      <w:r>
        <w:rPr>
          <w:rFonts w:hint="eastAsia" w:ascii="宋体" w:hAnsi="宋体" w:cs="宋体"/>
          <w:szCs w:val="21"/>
          <w:highlight w:val="none"/>
        </w:rPr>
        <w:t>8.2电子响应文件中须加盖投标人公章部分均采用 CA 签章，并根据“政府采购项目电子交易管理操作指南-供应商”及本磋商文件规定的格式和顺序编制电子响应文件并进行关联定位，以便磋商小组在评审时，点击评分项可直接定位到该评分项内容。如对本磋商文件的某项要求，投标人的电子响应文件未能关联定位提供相应的内容与其对应，则磋商小组在评审时如做出对投标人不利的评审由投标人自行承担。电子响应文件如内容不完整、编排混乱导致响应文件被误读、漏读，或者在按本磋商文件规定的部位查找不到相关内容的，由投标人自行承担。</w:t>
      </w:r>
    </w:p>
    <w:p>
      <w:pPr>
        <w:kinsoku w:val="0"/>
        <w:adjustRightInd w:val="0"/>
        <w:snapToGrid w:val="0"/>
        <w:spacing w:line="400" w:lineRule="exact"/>
        <w:ind w:firstLine="420" w:firstLineChars="200"/>
        <w:rPr>
          <w:rFonts w:ascii="宋体" w:hAnsi="宋体" w:cs="宋体"/>
          <w:b/>
          <w:highlight w:val="none"/>
        </w:rPr>
      </w:pPr>
      <w:r>
        <w:rPr>
          <w:rFonts w:hint="eastAsia" w:ascii="宋体" w:hAnsi="宋体" w:cs="宋体"/>
          <w:szCs w:val="21"/>
          <w:highlight w:val="none"/>
        </w:rPr>
        <w:t xml:space="preserve">8.3 </w:t>
      </w:r>
      <w:r>
        <w:rPr>
          <w:rFonts w:hint="eastAsia" w:ascii="宋体" w:hAnsi="宋体" w:cs="宋体"/>
          <w:highlight w:val="none"/>
        </w:rPr>
        <w:t>CA签章上目前没有法人（负责人）或授权代表签字信息，</w:t>
      </w:r>
      <w:r>
        <w:rPr>
          <w:rFonts w:hint="eastAsia" w:ascii="宋体" w:hAnsi="宋体" w:cs="宋体"/>
          <w:szCs w:val="21"/>
          <w:highlight w:val="none"/>
        </w:rPr>
        <w:t>投标人</w:t>
      </w:r>
      <w:r>
        <w:rPr>
          <w:rFonts w:hint="eastAsia" w:ascii="宋体" w:hAnsi="宋体" w:cs="宋体"/>
          <w:highlight w:val="none"/>
        </w:rPr>
        <w:t>在响应文件中涉及到签字的位置线下签好字然后扫描或者拍照做成PDF的格式即可。响应文件中涉及到签字的位置未按要求签字的，提供的材料视为无效。</w:t>
      </w:r>
    </w:p>
    <w:p>
      <w:pPr>
        <w:kinsoku w:val="0"/>
        <w:adjustRightInd w:val="0"/>
        <w:snapToGrid w:val="0"/>
        <w:spacing w:line="400" w:lineRule="exact"/>
        <w:ind w:firstLine="420" w:firstLineChars="200"/>
        <w:rPr>
          <w:rFonts w:ascii="宋体" w:hAnsi="宋体" w:cs="宋体"/>
          <w:szCs w:val="21"/>
          <w:highlight w:val="none"/>
        </w:rPr>
      </w:pPr>
      <w:r>
        <w:rPr>
          <w:rFonts w:hint="eastAsia" w:ascii="宋体" w:hAnsi="宋体" w:cs="宋体"/>
          <w:szCs w:val="21"/>
          <w:highlight w:val="none"/>
        </w:rPr>
        <w:t>8.4响应文件不得涂改，若有修改错漏处，须加盖单位公章或法定代表人（负责人）或授权委托人签字。响应文件因字迹潦草或表达不清所引起的后果由投标人负责。</w:t>
      </w:r>
    </w:p>
    <w:p>
      <w:pPr>
        <w:kinsoku w:val="0"/>
        <w:adjustRightInd w:val="0"/>
        <w:snapToGrid w:val="0"/>
        <w:spacing w:line="400" w:lineRule="exact"/>
        <w:rPr>
          <w:rFonts w:ascii="宋体" w:hAnsi="宋体" w:cs="宋体"/>
          <w:b/>
          <w:bCs/>
          <w:szCs w:val="21"/>
          <w:highlight w:val="none"/>
        </w:rPr>
      </w:pPr>
      <w:r>
        <w:rPr>
          <w:rFonts w:hint="eastAsia" w:ascii="宋体" w:hAnsi="宋体" w:cs="宋体"/>
          <w:b/>
          <w:bCs/>
          <w:szCs w:val="21"/>
          <w:highlight w:val="none"/>
        </w:rPr>
        <w:t xml:space="preserve">    </w:t>
      </w:r>
      <w:r>
        <w:rPr>
          <w:rFonts w:hint="eastAsia" w:ascii="宋体" w:hAnsi="宋体" w:cs="宋体"/>
          <w:szCs w:val="21"/>
          <w:highlight w:val="none"/>
        </w:rPr>
        <w:t>8.5投标人</w:t>
      </w:r>
      <w:r>
        <w:rPr>
          <w:rFonts w:hint="eastAsia" w:ascii="宋体" w:hAnsi="宋体" w:cs="宋体"/>
          <w:highlight w:val="none"/>
        </w:rPr>
        <w:t>应将电子备份响应文件装入到一个响应文件袋内加以密封（要求文件袋无明显缝隙露出袋内文件）；电子备份响应文件袋在每一封贴处密封签章【公章、密封章、法定代表人（负责人）、委托代理人签字等均可】。</w:t>
      </w:r>
    </w:p>
    <w:p>
      <w:pPr>
        <w:kinsoku w:val="0"/>
        <w:adjustRightInd w:val="0"/>
        <w:snapToGrid w:val="0"/>
        <w:spacing w:line="400" w:lineRule="exact"/>
        <w:ind w:firstLine="420" w:firstLineChars="200"/>
        <w:rPr>
          <w:rFonts w:ascii="宋体" w:hAnsi="宋体" w:cs="宋体"/>
          <w:highlight w:val="none"/>
        </w:rPr>
      </w:pPr>
      <w:r>
        <w:rPr>
          <w:rFonts w:hint="eastAsia" w:ascii="宋体" w:hAnsi="宋体" w:cs="宋体"/>
          <w:highlight w:val="none"/>
        </w:rPr>
        <w:t>8.6逾期送达或者未按照磋商文件要求密封的电子备份响应文件将被拒绝，由此造成电子备份响应文件被误投或提前拆封的风险由投标人承担。</w:t>
      </w:r>
    </w:p>
    <w:p>
      <w:pPr>
        <w:kinsoku w:val="0"/>
        <w:adjustRightInd w:val="0"/>
        <w:snapToGrid w:val="0"/>
        <w:spacing w:line="400" w:lineRule="exact"/>
        <w:ind w:firstLine="420" w:firstLineChars="200"/>
        <w:rPr>
          <w:rFonts w:ascii="宋体" w:hAnsi="宋体" w:cs="宋体"/>
          <w:highlight w:val="none"/>
        </w:rPr>
      </w:pPr>
      <w:r>
        <w:rPr>
          <w:rFonts w:hint="eastAsia" w:ascii="宋体" w:hAnsi="宋体" w:cs="宋体"/>
          <w:highlight w:val="none"/>
        </w:rPr>
        <w:t>8.7投标人已经被推荐为第一成交候选供应商后撤回响应文件或放弃成交的，给采购人造成损失的，应当赔偿损失，并作为不良行为记录在案。</w:t>
      </w:r>
    </w:p>
    <w:p>
      <w:pPr>
        <w:kinsoku w:val="0"/>
        <w:adjustRightInd w:val="0"/>
        <w:snapToGrid w:val="0"/>
        <w:spacing w:line="400" w:lineRule="exact"/>
        <w:rPr>
          <w:rFonts w:ascii="宋体" w:hAnsi="宋体" w:cs="宋体"/>
          <w:b/>
          <w:bCs/>
          <w:szCs w:val="21"/>
          <w:highlight w:val="none"/>
        </w:rPr>
      </w:pPr>
      <w:r>
        <w:rPr>
          <w:rFonts w:hint="eastAsia" w:ascii="宋体" w:hAnsi="宋体" w:cs="宋体"/>
          <w:b/>
          <w:bCs/>
          <w:szCs w:val="21"/>
          <w:highlight w:val="none"/>
        </w:rPr>
        <w:t>9. 响应文件的提交</w:t>
      </w:r>
    </w:p>
    <w:p>
      <w:pPr>
        <w:kinsoku w:val="0"/>
        <w:adjustRightInd w:val="0"/>
        <w:snapToGrid w:val="0"/>
        <w:spacing w:line="400" w:lineRule="exact"/>
        <w:ind w:firstLine="420" w:firstLineChars="200"/>
        <w:rPr>
          <w:rFonts w:ascii="宋体" w:hAnsi="宋体" w:cs="宋体"/>
          <w:szCs w:val="21"/>
          <w:highlight w:val="none"/>
        </w:rPr>
      </w:pPr>
      <w:r>
        <w:rPr>
          <w:rFonts w:hint="eastAsia" w:ascii="宋体" w:hAnsi="宋体" w:cs="宋体"/>
          <w:szCs w:val="21"/>
          <w:highlight w:val="none"/>
        </w:rPr>
        <w:t>9.1所有响应文件（包括电子响应文件及电子备份响应文件）应于竞争性磋商文件中规定的时间前上传提交至政采云平台。</w:t>
      </w:r>
    </w:p>
    <w:p>
      <w:pPr>
        <w:kinsoku w:val="0"/>
        <w:adjustRightInd w:val="0"/>
        <w:snapToGrid w:val="0"/>
        <w:spacing w:line="400" w:lineRule="exact"/>
        <w:ind w:firstLine="420" w:firstLineChars="200"/>
        <w:rPr>
          <w:rFonts w:ascii="宋体" w:hAnsi="宋体" w:cs="宋体"/>
          <w:szCs w:val="21"/>
          <w:highlight w:val="none"/>
        </w:rPr>
      </w:pPr>
      <w:r>
        <w:rPr>
          <w:rFonts w:hint="eastAsia" w:ascii="宋体" w:hAnsi="宋体" w:cs="宋体"/>
          <w:szCs w:val="21"/>
          <w:highlight w:val="none"/>
        </w:rPr>
        <w:t>电子响应文件的相关说明</w:t>
      </w:r>
    </w:p>
    <w:p>
      <w:pPr>
        <w:kinsoku w:val="0"/>
        <w:adjustRightInd w:val="0"/>
        <w:snapToGrid w:val="0"/>
        <w:spacing w:line="400" w:lineRule="exact"/>
        <w:ind w:firstLine="420" w:firstLineChars="200"/>
        <w:rPr>
          <w:rFonts w:ascii="宋体" w:hAnsi="宋体" w:cs="宋体"/>
          <w:szCs w:val="21"/>
          <w:highlight w:val="none"/>
        </w:rPr>
      </w:pPr>
      <w:r>
        <w:rPr>
          <w:rFonts w:hint="eastAsia" w:ascii="宋体" w:hAnsi="宋体" w:cs="宋体"/>
          <w:szCs w:val="21"/>
          <w:highlight w:val="none"/>
        </w:rPr>
        <w:t>（1）投标人进行电子投标应安装客户端软件，并按照本磋商文件和电子交易平台的要求编制并加密响应文件。投标人未按规定加密的响应文件，电子交易平台将拒收。投标人应当在响应文件提交截止时间前完成响应文件的传输提交，且可以补充、修改或者撤回响应文件。补充或者修改响应文件的，应当先行撤回原文件，补充、修改后重新传输提交。</w:t>
      </w:r>
      <w:r>
        <w:rPr>
          <w:rFonts w:hint="eastAsia" w:ascii="宋体" w:hAnsi="宋体" w:cs="宋体"/>
          <w:bCs/>
          <w:szCs w:val="21"/>
          <w:highlight w:val="none"/>
        </w:rPr>
        <w:t>响应文件提交</w:t>
      </w:r>
      <w:r>
        <w:rPr>
          <w:rFonts w:hint="eastAsia" w:ascii="宋体" w:hAnsi="宋体" w:cs="宋体"/>
          <w:szCs w:val="21"/>
          <w:highlight w:val="none"/>
        </w:rPr>
        <w:t>截止时间前未完成传输的，视为撤回响应文件。</w:t>
      </w:r>
      <w:r>
        <w:rPr>
          <w:rFonts w:hint="eastAsia" w:ascii="宋体" w:hAnsi="宋体" w:cs="宋体"/>
          <w:bCs/>
          <w:szCs w:val="21"/>
          <w:highlight w:val="none"/>
        </w:rPr>
        <w:t>响应文件提交</w:t>
      </w:r>
      <w:r>
        <w:rPr>
          <w:rFonts w:hint="eastAsia" w:ascii="宋体" w:hAnsi="宋体" w:cs="宋体"/>
          <w:szCs w:val="21"/>
          <w:highlight w:val="none"/>
        </w:rPr>
        <w:t>截止时间后提交的响应文件，电子交易平台将拒收。</w:t>
      </w:r>
    </w:p>
    <w:p>
      <w:pPr>
        <w:kinsoku w:val="0"/>
        <w:adjustRightInd w:val="0"/>
        <w:snapToGrid w:val="0"/>
        <w:spacing w:line="400" w:lineRule="exact"/>
        <w:ind w:firstLine="420" w:firstLineChars="200"/>
        <w:rPr>
          <w:rFonts w:ascii="宋体" w:hAnsi="宋体" w:cs="宋体"/>
          <w:szCs w:val="21"/>
          <w:highlight w:val="none"/>
        </w:rPr>
      </w:pPr>
      <w:r>
        <w:rPr>
          <w:rFonts w:hint="eastAsia" w:ascii="宋体" w:hAnsi="宋体" w:cs="宋体"/>
          <w:szCs w:val="21"/>
          <w:highlight w:val="none"/>
        </w:rPr>
        <w:t>（2）如有特殊情况，采购代理机构延长</w:t>
      </w:r>
      <w:r>
        <w:rPr>
          <w:rFonts w:hint="eastAsia" w:ascii="宋体" w:hAnsi="宋体" w:cs="宋体"/>
          <w:bCs/>
          <w:szCs w:val="21"/>
          <w:highlight w:val="none"/>
        </w:rPr>
        <w:t>响应文件提交</w:t>
      </w:r>
      <w:r>
        <w:rPr>
          <w:rFonts w:hint="eastAsia" w:ascii="宋体" w:hAnsi="宋体" w:cs="宋体"/>
          <w:szCs w:val="21"/>
          <w:highlight w:val="none"/>
        </w:rPr>
        <w:t>截止时间和开标时间，采购代理机构和投标人的权利和义务将受到新的截止时间和开标时间的约束。</w:t>
      </w:r>
    </w:p>
    <w:p>
      <w:pPr>
        <w:kinsoku w:val="0"/>
        <w:adjustRightInd w:val="0"/>
        <w:snapToGrid w:val="0"/>
        <w:spacing w:line="400" w:lineRule="exact"/>
        <w:ind w:firstLine="420" w:firstLineChars="200"/>
        <w:rPr>
          <w:rFonts w:ascii="宋体" w:hAnsi="宋体" w:cs="宋体"/>
          <w:szCs w:val="21"/>
          <w:highlight w:val="none"/>
        </w:rPr>
      </w:pPr>
      <w:r>
        <w:rPr>
          <w:rFonts w:hint="eastAsia" w:ascii="宋体" w:hAnsi="宋体" w:cs="宋体"/>
          <w:szCs w:val="21"/>
          <w:highlight w:val="none"/>
        </w:rPr>
        <w:t>电子备份响应文件的相关说明</w:t>
      </w:r>
    </w:p>
    <w:p>
      <w:pPr>
        <w:kinsoku w:val="0"/>
        <w:adjustRightInd w:val="0"/>
        <w:snapToGrid w:val="0"/>
        <w:spacing w:line="400" w:lineRule="exact"/>
        <w:ind w:firstLine="420" w:firstLineChars="200"/>
        <w:rPr>
          <w:rFonts w:ascii="宋体" w:hAnsi="宋体" w:cs="宋体"/>
          <w:highlight w:val="none"/>
        </w:rPr>
      </w:pPr>
      <w:r>
        <w:rPr>
          <w:rFonts w:hint="eastAsia" w:ascii="宋体" w:hAnsi="宋体" w:cs="宋体"/>
          <w:highlight w:val="none"/>
        </w:rPr>
        <w:t>（1）提供电子备份谈判响应文件的，应当在响应文件提交截止时间前按要求密封，以现场提交或邮寄的方式送达到采购代理机构工作人员手上（广西北海市北海大道158号北园公寓星辰座7楼A室</w:t>
      </w:r>
      <w:r>
        <w:rPr>
          <w:rFonts w:hint="eastAsia" w:ascii="宋体" w:hAnsi="宋体" w:cs="宋体"/>
          <w:szCs w:val="21"/>
          <w:highlight w:val="none"/>
        </w:rPr>
        <w:t>，开标当天现场递交地址：北海市北海大道（中段）177号市政务服务中心三楼</w:t>
      </w:r>
      <w:r>
        <w:rPr>
          <w:rFonts w:hint="eastAsia" w:ascii="宋体" w:hAnsi="宋体" w:cs="宋体"/>
          <w:highlight w:val="none"/>
        </w:rPr>
        <w:t>），逾期送达或未按要求密封将被拒收。</w:t>
      </w:r>
    </w:p>
    <w:p>
      <w:pPr>
        <w:kinsoku w:val="0"/>
        <w:spacing w:line="400" w:lineRule="exact"/>
        <w:ind w:firstLine="420"/>
        <w:rPr>
          <w:rFonts w:ascii="宋体" w:hAnsi="宋体" w:cs="宋体"/>
          <w:szCs w:val="20"/>
          <w:highlight w:val="none"/>
        </w:rPr>
      </w:pPr>
      <w:r>
        <w:rPr>
          <w:rFonts w:hint="eastAsia" w:ascii="宋体" w:hAnsi="宋体" w:cs="宋体"/>
          <w:szCs w:val="20"/>
          <w:highlight w:val="none"/>
        </w:rPr>
        <w:t>邮寄地址：广西北海市北海大道158号北园公寓星辰座7楼A室， 联系人：李方   电话：0779-3969698。</w:t>
      </w:r>
    </w:p>
    <w:p>
      <w:pPr>
        <w:kinsoku w:val="0"/>
        <w:spacing w:line="400" w:lineRule="exact"/>
        <w:ind w:firstLine="420"/>
        <w:rPr>
          <w:rFonts w:ascii="宋体" w:hAnsi="宋体" w:cs="宋体"/>
          <w:szCs w:val="20"/>
          <w:highlight w:val="none"/>
        </w:rPr>
      </w:pPr>
      <w:r>
        <w:rPr>
          <w:rFonts w:hint="eastAsia" w:ascii="宋体" w:hAnsi="宋体" w:cs="宋体"/>
          <w:szCs w:val="20"/>
          <w:highlight w:val="none"/>
        </w:rPr>
        <w:t>拒收到付邮件，通过邮寄方式送达的，请合理安排邮寄时间，因邮寄原因未能在规定时间内送达的后果由投标人自行承担。</w:t>
      </w:r>
    </w:p>
    <w:p>
      <w:pPr>
        <w:kinsoku w:val="0"/>
        <w:adjustRightInd w:val="0"/>
        <w:snapToGrid w:val="0"/>
        <w:spacing w:line="400" w:lineRule="exact"/>
        <w:ind w:firstLine="420" w:firstLineChars="200"/>
        <w:rPr>
          <w:rFonts w:ascii="宋体" w:hAnsi="宋体" w:cs="宋体"/>
          <w:highlight w:val="none"/>
        </w:rPr>
      </w:pPr>
      <w:r>
        <w:rPr>
          <w:rFonts w:hint="eastAsia" w:ascii="宋体" w:hAnsi="宋体" w:cs="宋体"/>
          <w:highlight w:val="none"/>
        </w:rPr>
        <w:t>投标人自行承担电子备份响应文件在邮寄过程中出现的所有安全问题。</w:t>
      </w:r>
    </w:p>
    <w:p>
      <w:pPr>
        <w:kinsoku w:val="0"/>
        <w:adjustRightInd w:val="0"/>
        <w:snapToGrid w:val="0"/>
        <w:spacing w:line="400" w:lineRule="exact"/>
        <w:ind w:firstLine="420" w:firstLineChars="200"/>
        <w:rPr>
          <w:rFonts w:ascii="宋体" w:hAnsi="宋体" w:cs="宋体"/>
          <w:szCs w:val="21"/>
          <w:highlight w:val="none"/>
        </w:rPr>
      </w:pPr>
      <w:r>
        <w:rPr>
          <w:rFonts w:hint="eastAsia" w:ascii="宋体" w:hAnsi="宋体" w:cs="宋体"/>
          <w:highlight w:val="none"/>
        </w:rPr>
        <w:t>（2）投标人在响应文件提交截止时间之前，可以对已提交的电子备份响应文件进行修改或撤回，并书面通知采购人；响应文件提交截止时间后，投标人不得撤回、修改电子备份响应文件。修改后重新提交的电子备份响应文件应当按本磋商文件的要求签署、盖章和密封。</w:t>
      </w:r>
    </w:p>
    <w:p>
      <w:pPr>
        <w:kinsoku w:val="0"/>
        <w:adjustRightInd w:val="0"/>
        <w:snapToGrid w:val="0"/>
        <w:spacing w:line="400" w:lineRule="exact"/>
        <w:ind w:firstLine="420" w:firstLineChars="200"/>
        <w:rPr>
          <w:rFonts w:ascii="宋体" w:hAnsi="宋体" w:cs="宋体"/>
          <w:szCs w:val="21"/>
          <w:highlight w:val="none"/>
        </w:rPr>
      </w:pPr>
      <w:r>
        <w:rPr>
          <w:rFonts w:hint="eastAsia" w:ascii="宋体" w:hAnsi="宋体" w:cs="宋体"/>
          <w:szCs w:val="21"/>
          <w:highlight w:val="none"/>
        </w:rPr>
        <w:t>9.2响应文件</w:t>
      </w:r>
      <w:r>
        <w:rPr>
          <w:rFonts w:hint="eastAsia" w:ascii="宋体" w:hAnsi="宋体" w:cs="宋体"/>
          <w:highlight w:val="none"/>
        </w:rPr>
        <w:t>从响应文件提交截止日期后</w:t>
      </w:r>
      <w:r>
        <w:rPr>
          <w:rFonts w:hint="eastAsia" w:ascii="宋体" w:hAnsi="宋体" w:cs="宋体"/>
          <w:highlight w:val="none"/>
          <w:u w:val="single"/>
        </w:rPr>
        <w:t xml:space="preserve"> 60 </w:t>
      </w:r>
      <w:r>
        <w:rPr>
          <w:rFonts w:hint="eastAsia" w:ascii="宋体" w:hAnsi="宋体" w:cs="宋体"/>
          <w:highlight w:val="none"/>
        </w:rPr>
        <w:t>天内有效。</w:t>
      </w:r>
    </w:p>
    <w:p>
      <w:pPr>
        <w:kinsoku w:val="0"/>
        <w:adjustRightInd w:val="0"/>
        <w:snapToGrid w:val="0"/>
        <w:spacing w:line="400" w:lineRule="exact"/>
        <w:rPr>
          <w:rFonts w:ascii="宋体" w:hAnsi="宋体" w:cs="宋体"/>
          <w:b/>
          <w:bCs/>
          <w:szCs w:val="21"/>
          <w:highlight w:val="none"/>
        </w:rPr>
      </w:pPr>
      <w:r>
        <w:rPr>
          <w:rFonts w:hint="eastAsia" w:ascii="宋体" w:hAnsi="宋体" w:cs="宋体"/>
          <w:b/>
          <w:bCs/>
          <w:szCs w:val="21"/>
          <w:highlight w:val="none"/>
        </w:rPr>
        <w:t>10.迟交的响应文件</w:t>
      </w:r>
    </w:p>
    <w:p>
      <w:pPr>
        <w:kinsoku w:val="0"/>
        <w:adjustRightInd w:val="0"/>
        <w:snapToGrid w:val="0"/>
        <w:spacing w:line="400" w:lineRule="exact"/>
        <w:ind w:firstLine="420" w:firstLineChars="200"/>
        <w:rPr>
          <w:rFonts w:ascii="宋体" w:hAnsi="宋体" w:cs="宋体"/>
          <w:szCs w:val="21"/>
          <w:highlight w:val="none"/>
        </w:rPr>
      </w:pPr>
      <w:r>
        <w:rPr>
          <w:rFonts w:hint="eastAsia" w:ascii="宋体" w:hAnsi="宋体" w:cs="宋体"/>
          <w:szCs w:val="21"/>
          <w:highlight w:val="none"/>
        </w:rPr>
        <w:t>10.1在本文件要求响应文件提交截止时间后送达的响应文件为无效文件，采购代理机构将拒收。</w:t>
      </w:r>
    </w:p>
    <w:p>
      <w:pPr>
        <w:kinsoku w:val="0"/>
        <w:spacing w:line="400" w:lineRule="exact"/>
        <w:jc w:val="left"/>
        <w:rPr>
          <w:rFonts w:ascii="宋体" w:hAnsi="宋体" w:cs="宋体"/>
          <w:b/>
          <w:bCs/>
          <w:szCs w:val="21"/>
          <w:highlight w:val="none"/>
        </w:rPr>
      </w:pPr>
      <w:r>
        <w:rPr>
          <w:rFonts w:hint="eastAsia" w:ascii="宋体" w:hAnsi="宋体" w:cs="宋体"/>
          <w:b/>
          <w:bCs/>
          <w:szCs w:val="21"/>
          <w:highlight w:val="none"/>
        </w:rPr>
        <w:t>11.</w:t>
      </w:r>
      <w:r>
        <w:rPr>
          <w:rFonts w:hint="eastAsia" w:ascii="宋体" w:hAnsi="宋体" w:cs="宋体"/>
          <w:b/>
          <w:bCs/>
          <w:highlight w:val="none"/>
        </w:rPr>
        <w:t>诚信承诺</w:t>
      </w:r>
    </w:p>
    <w:p>
      <w:pPr>
        <w:kinsoku w:val="0"/>
        <w:adjustRightInd w:val="0"/>
        <w:snapToGrid w:val="0"/>
        <w:spacing w:line="400" w:lineRule="exact"/>
        <w:ind w:firstLine="420" w:firstLineChars="200"/>
        <w:rPr>
          <w:rFonts w:ascii="宋体" w:hAnsi="宋体" w:cs="宋体"/>
          <w:highlight w:val="none"/>
        </w:rPr>
      </w:pPr>
      <w:r>
        <w:rPr>
          <w:rFonts w:hint="eastAsia" w:ascii="宋体" w:hAnsi="宋体" w:cs="宋体"/>
          <w:highlight w:val="none"/>
        </w:rPr>
        <w:t>投标人须于</w:t>
      </w:r>
      <w:r>
        <w:rPr>
          <w:rFonts w:hint="eastAsia" w:ascii="宋体" w:hAnsi="宋体" w:cs="宋体"/>
          <w:b/>
          <w:bCs/>
          <w:highlight w:val="none"/>
        </w:rPr>
        <w:t>响应文件提交截止时间前</w:t>
      </w:r>
      <w:r>
        <w:rPr>
          <w:rFonts w:hint="eastAsia" w:ascii="宋体" w:hAnsi="宋体" w:cs="宋体"/>
          <w:highlight w:val="none"/>
        </w:rPr>
        <w:t>将《诚信记录良好承诺函》盖章扫描</w:t>
      </w:r>
      <w:r>
        <w:rPr>
          <w:rFonts w:hint="eastAsia" w:ascii="宋体" w:hAnsi="宋体" w:cs="宋体"/>
          <w:b/>
          <w:bCs/>
          <w:highlight w:val="none"/>
        </w:rPr>
        <w:t>发至采购代理机构的邮箱945048556@qq.com</w:t>
      </w:r>
      <w:r>
        <w:rPr>
          <w:rFonts w:hint="eastAsia" w:ascii="宋体" w:hAnsi="宋体" w:cs="宋体"/>
          <w:highlight w:val="none"/>
        </w:rPr>
        <w:t>），并将《诚信记录良好承诺函》复印件装订于响应文件中。</w:t>
      </w:r>
    </w:p>
    <w:p>
      <w:pPr>
        <w:kinsoku w:val="0"/>
        <w:adjustRightInd w:val="0"/>
        <w:snapToGrid w:val="0"/>
        <w:spacing w:line="400" w:lineRule="exact"/>
        <w:ind w:firstLine="422" w:firstLineChars="200"/>
        <w:jc w:val="left"/>
        <w:rPr>
          <w:rFonts w:ascii="宋体" w:hAnsi="宋体" w:cs="宋体"/>
          <w:b/>
          <w:szCs w:val="21"/>
          <w:highlight w:val="none"/>
        </w:rPr>
      </w:pPr>
      <w:r>
        <w:rPr>
          <w:rFonts w:hint="eastAsia" w:ascii="宋体" w:hAnsi="宋体" w:cs="宋体"/>
          <w:b/>
          <w:bCs/>
          <w:szCs w:val="21"/>
          <w:highlight w:val="none"/>
        </w:rPr>
        <w:t>注：</w:t>
      </w:r>
      <w:r>
        <w:rPr>
          <w:rFonts w:hint="eastAsia" w:ascii="宋体" w:hAnsi="宋体" w:cs="宋体"/>
          <w:kern w:val="0"/>
          <w:szCs w:val="21"/>
          <w:highlight w:val="none"/>
        </w:rPr>
        <w:t>在采购过程中符合竞争要求的供应商或者报价未超过采购预算的供应商不足3家的</w:t>
      </w:r>
      <w:r>
        <w:rPr>
          <w:rFonts w:hint="eastAsia" w:ascii="宋体" w:hAnsi="宋体" w:cs="宋体"/>
          <w:bCs/>
          <w:szCs w:val="21"/>
          <w:highlight w:val="none"/>
        </w:rPr>
        <w:t>，采购代理机构将按政府采购管理的有关规定处理。</w:t>
      </w:r>
    </w:p>
    <w:p>
      <w:pPr>
        <w:kinsoku w:val="0"/>
        <w:adjustRightInd w:val="0"/>
        <w:snapToGrid w:val="0"/>
        <w:spacing w:line="400" w:lineRule="exact"/>
        <w:jc w:val="center"/>
        <w:rPr>
          <w:rFonts w:ascii="宋体" w:hAnsi="宋体" w:cs="宋体"/>
          <w:b/>
          <w:highlight w:val="none"/>
        </w:rPr>
      </w:pPr>
      <w:r>
        <w:rPr>
          <w:rFonts w:hint="eastAsia" w:ascii="宋体" w:hAnsi="宋体" w:cs="宋体"/>
          <w:b/>
          <w:szCs w:val="21"/>
          <w:highlight w:val="none"/>
        </w:rPr>
        <w:t>五</w:t>
      </w:r>
      <w:r>
        <w:rPr>
          <w:rFonts w:hint="eastAsia" w:ascii="宋体" w:hAnsi="宋体" w:cs="宋体"/>
          <w:b/>
          <w:highlight w:val="none"/>
        </w:rPr>
        <w:t>.磋商程序及评定标准</w:t>
      </w:r>
    </w:p>
    <w:p>
      <w:pPr>
        <w:kinsoku w:val="0"/>
        <w:adjustRightInd w:val="0"/>
        <w:snapToGrid w:val="0"/>
        <w:spacing w:line="400" w:lineRule="exact"/>
        <w:ind w:firstLine="412" w:firstLineChars="200"/>
        <w:rPr>
          <w:rFonts w:ascii="宋体" w:hAnsi="宋体" w:cs="Courier New"/>
          <w:bCs/>
          <w:spacing w:val="-2"/>
          <w:szCs w:val="21"/>
          <w:highlight w:val="none"/>
        </w:rPr>
      </w:pPr>
      <w:r>
        <w:rPr>
          <w:rFonts w:hint="eastAsia" w:ascii="宋体" w:hAnsi="宋体" w:cs="Courier New"/>
          <w:bCs/>
          <w:spacing w:val="-2"/>
          <w:szCs w:val="21"/>
          <w:highlight w:val="none"/>
        </w:rPr>
        <w:t>开启会的准备工作由采购代理机构负责落实。</w:t>
      </w:r>
    </w:p>
    <w:p>
      <w:pPr>
        <w:kinsoku w:val="0"/>
        <w:adjustRightInd w:val="0"/>
        <w:snapToGrid w:val="0"/>
        <w:spacing w:line="400" w:lineRule="exact"/>
        <w:ind w:firstLine="412" w:firstLineChars="200"/>
        <w:rPr>
          <w:rFonts w:ascii="宋体" w:hAnsi="宋体" w:cs="Courier New"/>
          <w:bCs/>
          <w:spacing w:val="-2"/>
          <w:szCs w:val="21"/>
          <w:highlight w:val="none"/>
        </w:rPr>
      </w:pPr>
      <w:r>
        <w:rPr>
          <w:rFonts w:hint="eastAsia" w:ascii="宋体" w:hAnsi="宋体" w:cs="Courier New"/>
          <w:bCs/>
          <w:spacing w:val="-2"/>
          <w:szCs w:val="21"/>
          <w:highlight w:val="none"/>
        </w:rPr>
        <w:t>采购代理机构将按照磋商文件规定的时间通过“政府采购云平台”组织开启会、开启响应文件，所有投标人均应当准时在线参加。投标人如不参加开启会的，视同认可开启会结果，事后不得对采购相关人员、开启会过程和开启会结果提出异议，同时投标人因未在线参加开启会而导致其响应文件无法按时解密等一切后果由投标人自行承担。</w:t>
      </w:r>
    </w:p>
    <w:p>
      <w:pPr>
        <w:kinsoku w:val="0"/>
        <w:adjustRightInd w:val="0"/>
        <w:snapToGrid w:val="0"/>
        <w:spacing w:line="400" w:lineRule="exact"/>
        <w:ind w:firstLine="422" w:firstLineChars="200"/>
        <w:rPr>
          <w:rFonts w:ascii="宋体" w:hAnsi="宋体" w:cs="宋体"/>
          <w:b/>
          <w:bCs/>
          <w:szCs w:val="21"/>
          <w:highlight w:val="none"/>
        </w:rPr>
      </w:pPr>
      <w:r>
        <w:rPr>
          <w:rFonts w:hint="eastAsia" w:ascii="宋体" w:hAnsi="宋体" w:cs="宋体"/>
          <w:b/>
          <w:bCs/>
          <w:szCs w:val="21"/>
          <w:highlight w:val="none"/>
        </w:rPr>
        <w:t>12.磋商程序</w:t>
      </w:r>
    </w:p>
    <w:p>
      <w:pPr>
        <w:kinsoku w:val="0"/>
        <w:adjustRightInd w:val="0"/>
        <w:snapToGrid w:val="0"/>
        <w:spacing w:line="400" w:lineRule="exact"/>
        <w:ind w:firstLine="420" w:firstLineChars="200"/>
        <w:rPr>
          <w:rFonts w:ascii="宋体" w:hAnsi="宋体" w:cs="宋体"/>
          <w:szCs w:val="21"/>
          <w:highlight w:val="none"/>
        </w:rPr>
      </w:pPr>
      <w:r>
        <w:rPr>
          <w:rFonts w:hint="eastAsia" w:ascii="宋体" w:hAnsi="宋体" w:cs="宋体"/>
          <w:szCs w:val="21"/>
          <w:highlight w:val="none"/>
        </w:rPr>
        <w:t>12.1响应文件提交截止时间后，主持人宣布磋商开始。</w:t>
      </w:r>
    </w:p>
    <w:p>
      <w:pPr>
        <w:kinsoku w:val="0"/>
        <w:adjustRightInd w:val="0"/>
        <w:snapToGrid w:val="0"/>
        <w:spacing w:line="400" w:lineRule="exact"/>
        <w:ind w:firstLine="420" w:firstLineChars="200"/>
        <w:rPr>
          <w:rFonts w:ascii="宋体" w:hAnsi="宋体" w:cs="宋体"/>
          <w:szCs w:val="21"/>
          <w:highlight w:val="none"/>
        </w:rPr>
      </w:pPr>
      <w:r>
        <w:rPr>
          <w:rFonts w:hint="eastAsia" w:ascii="宋体" w:hAnsi="宋体" w:cs="宋体"/>
          <w:szCs w:val="21"/>
          <w:highlight w:val="none"/>
        </w:rPr>
        <w:t>12.2向投标人发出电子加密响应文件【开始解密】通知，由投标人登录政采云平台，用“项目采购-开标评标”功能按竞争性磋商文件规定的时间内自行进行对响应文件在线解密。投标人在规定的时间内无法完成已提交的“电子加密响应文件”解密的，如已按规定提交了电子备份响应文件的，将由采购代理机构按“政府采购云平台”操作规范将备份响应文件上传至“政府采购云平台”，上传成功后，“电子加密响应文件”自动失效。如未提供电子备份响应文件，将不进行再次解密程序。无法在线解密视为投标人放弃竞标。在线解密时间为30分钟。</w:t>
      </w:r>
    </w:p>
    <w:p>
      <w:pPr>
        <w:kinsoku w:val="0"/>
        <w:adjustRightInd w:val="0"/>
        <w:snapToGrid w:val="0"/>
        <w:spacing w:line="400" w:lineRule="exact"/>
        <w:ind w:firstLine="420" w:firstLineChars="200"/>
        <w:rPr>
          <w:rFonts w:ascii="宋体" w:hAnsi="宋体" w:cs="宋体"/>
          <w:szCs w:val="21"/>
          <w:highlight w:val="none"/>
        </w:rPr>
      </w:pPr>
      <w:r>
        <w:rPr>
          <w:rFonts w:hint="eastAsia" w:ascii="宋体" w:hAnsi="宋体" w:cs="宋体"/>
          <w:szCs w:val="21"/>
          <w:highlight w:val="none"/>
        </w:rPr>
        <w:t>12.3磋商小组对响应文件进行评估和比较。</w:t>
      </w:r>
    </w:p>
    <w:p>
      <w:pPr>
        <w:kinsoku w:val="0"/>
        <w:adjustRightInd w:val="0"/>
        <w:snapToGrid w:val="0"/>
        <w:spacing w:line="400" w:lineRule="exact"/>
        <w:ind w:firstLine="420" w:firstLineChars="200"/>
        <w:rPr>
          <w:rFonts w:ascii="宋体" w:hAnsi="宋体" w:cs="宋体"/>
          <w:szCs w:val="21"/>
          <w:highlight w:val="none"/>
        </w:rPr>
      </w:pPr>
      <w:r>
        <w:rPr>
          <w:rFonts w:hint="eastAsia" w:ascii="宋体" w:hAnsi="宋体" w:cs="宋体"/>
          <w:szCs w:val="21"/>
          <w:highlight w:val="none"/>
        </w:rPr>
        <w:t>12.4以政采云平台中“项目采购”应用模块获取本磋商文件顺序确定各投标人磋商、顺序。</w:t>
      </w:r>
    </w:p>
    <w:p>
      <w:pPr>
        <w:kinsoku w:val="0"/>
        <w:adjustRightInd w:val="0"/>
        <w:snapToGrid w:val="0"/>
        <w:spacing w:line="400" w:lineRule="exact"/>
        <w:ind w:firstLine="420" w:firstLineChars="200"/>
        <w:rPr>
          <w:rFonts w:ascii="宋体" w:hAnsi="宋体" w:cs="宋体"/>
          <w:szCs w:val="21"/>
          <w:highlight w:val="none"/>
        </w:rPr>
      </w:pPr>
      <w:r>
        <w:rPr>
          <w:rFonts w:hint="eastAsia" w:ascii="宋体" w:hAnsi="宋体" w:cs="宋体"/>
          <w:szCs w:val="21"/>
          <w:highlight w:val="none"/>
        </w:rPr>
        <w:t>12.5磋商小组与单一投标人分别进行磋商。（磋商时投标人的技术资料、价格和其他信息在评审、磋商过程中保密）</w:t>
      </w:r>
    </w:p>
    <w:p>
      <w:pPr>
        <w:kinsoku w:val="0"/>
        <w:adjustRightInd w:val="0"/>
        <w:snapToGrid w:val="0"/>
        <w:spacing w:line="400" w:lineRule="exact"/>
        <w:ind w:firstLine="420" w:firstLineChars="200"/>
        <w:rPr>
          <w:rFonts w:ascii="宋体" w:hAnsi="宋体" w:cs="宋体"/>
          <w:szCs w:val="21"/>
          <w:highlight w:val="none"/>
        </w:rPr>
      </w:pPr>
      <w:r>
        <w:rPr>
          <w:rFonts w:hint="eastAsia" w:ascii="宋体" w:hAnsi="宋体" w:cs="宋体"/>
          <w:szCs w:val="21"/>
          <w:highlight w:val="none"/>
        </w:rPr>
        <w:t>12.6磋商小组要求所有实质性响应的投标人在规定时间内提交最后报价（只公开最后报价，最后报价原则上不得高于初次报价）。</w:t>
      </w:r>
    </w:p>
    <w:p>
      <w:pPr>
        <w:kinsoku w:val="0"/>
        <w:adjustRightInd w:val="0"/>
        <w:snapToGrid w:val="0"/>
        <w:spacing w:line="400" w:lineRule="exact"/>
        <w:ind w:firstLine="420" w:firstLineChars="200"/>
        <w:rPr>
          <w:rFonts w:ascii="宋体" w:hAnsi="宋体" w:cs="宋体"/>
          <w:szCs w:val="21"/>
          <w:highlight w:val="none"/>
        </w:rPr>
      </w:pPr>
      <w:r>
        <w:rPr>
          <w:rFonts w:hint="eastAsia" w:ascii="宋体" w:hAnsi="宋体" w:cs="宋体"/>
          <w:szCs w:val="21"/>
          <w:highlight w:val="none"/>
        </w:rPr>
        <w:t>12.7由磋商小组采用综合评分法对提交最后报价的投标人的响应文件和最后报价进行综合评审，在符合采购需求、质量和服务要求的前提下，按评审得分从高到低顺序推荐确定成交候选人。</w:t>
      </w:r>
    </w:p>
    <w:p>
      <w:pPr>
        <w:kinsoku w:val="0"/>
        <w:adjustRightInd w:val="0"/>
        <w:snapToGrid w:val="0"/>
        <w:spacing w:line="400" w:lineRule="exact"/>
        <w:ind w:firstLine="420" w:firstLineChars="200"/>
        <w:rPr>
          <w:rFonts w:ascii="宋体" w:hAnsi="宋体" w:cs="宋体"/>
          <w:b/>
          <w:bCs/>
          <w:szCs w:val="21"/>
          <w:highlight w:val="none"/>
        </w:rPr>
      </w:pPr>
      <w:r>
        <w:rPr>
          <w:rFonts w:hint="eastAsia" w:ascii="宋体" w:hAnsi="宋体" w:cs="宋体"/>
          <w:szCs w:val="21"/>
          <w:highlight w:val="none"/>
        </w:rPr>
        <w:t>特别说明：政采云公司如对电子化磋商及评审程序有调整的，按调整后的程序操作。</w:t>
      </w:r>
      <w:r>
        <w:rPr>
          <w:rFonts w:hint="eastAsia" w:ascii="宋体" w:hAnsi="Courier New" w:cs="Courier New"/>
          <w:szCs w:val="21"/>
          <w:highlight w:val="none"/>
        </w:rPr>
        <w:t>在响应文件评审及磋商过程中，</w:t>
      </w:r>
      <w:r>
        <w:rPr>
          <w:rFonts w:hint="eastAsia" w:ascii="宋体" w:hAnsi="Courier New"/>
          <w:szCs w:val="21"/>
          <w:highlight w:val="none"/>
        </w:rPr>
        <w:t>投标人须自行做好随时进行磋商或报价的准备，因投标人的自身原因，未能够在规定时间内与磋商小组进行磋商、提交报价的，后果自负。</w:t>
      </w:r>
    </w:p>
    <w:p>
      <w:pPr>
        <w:kinsoku w:val="0"/>
        <w:adjustRightInd w:val="0"/>
        <w:snapToGrid w:val="0"/>
        <w:spacing w:line="400" w:lineRule="exact"/>
        <w:rPr>
          <w:rFonts w:ascii="宋体" w:hAnsi="宋体" w:cs="宋体"/>
          <w:b/>
          <w:bCs/>
          <w:szCs w:val="21"/>
          <w:highlight w:val="none"/>
        </w:rPr>
      </w:pPr>
      <w:r>
        <w:rPr>
          <w:rFonts w:hint="eastAsia" w:ascii="宋体" w:hAnsi="宋体" w:cs="宋体"/>
          <w:b/>
          <w:bCs/>
          <w:szCs w:val="21"/>
          <w:highlight w:val="none"/>
        </w:rPr>
        <w:t>13.采购过程中出现以下情形，导致电子交易平台无法正常运行，或者无法保证电子交易的公平、公正和安</w:t>
      </w:r>
    </w:p>
    <w:p>
      <w:pPr>
        <w:kinsoku w:val="0"/>
        <w:adjustRightInd w:val="0"/>
        <w:snapToGrid w:val="0"/>
        <w:spacing w:line="400" w:lineRule="exact"/>
        <w:ind w:firstLine="316" w:firstLineChars="150"/>
        <w:rPr>
          <w:rFonts w:ascii="宋体" w:hAnsi="宋体" w:cs="宋体"/>
          <w:b/>
          <w:bCs/>
          <w:szCs w:val="21"/>
          <w:highlight w:val="none"/>
        </w:rPr>
      </w:pPr>
      <w:r>
        <w:rPr>
          <w:rFonts w:hint="eastAsia" w:ascii="宋体" w:hAnsi="宋体" w:cs="宋体"/>
          <w:b/>
          <w:bCs/>
          <w:szCs w:val="21"/>
          <w:highlight w:val="none"/>
        </w:rPr>
        <w:t>全时，采购组织机构可中止电子交易活动：</w:t>
      </w:r>
    </w:p>
    <w:p>
      <w:pPr>
        <w:kinsoku w:val="0"/>
        <w:adjustRightInd w:val="0"/>
        <w:snapToGrid w:val="0"/>
        <w:spacing w:line="400" w:lineRule="exact"/>
        <w:ind w:firstLine="420" w:firstLineChars="200"/>
        <w:rPr>
          <w:rFonts w:ascii="宋体" w:hAnsi="宋体" w:cs="宋体"/>
          <w:szCs w:val="21"/>
          <w:highlight w:val="none"/>
        </w:rPr>
      </w:pPr>
      <w:r>
        <w:rPr>
          <w:rFonts w:hint="eastAsia" w:ascii="宋体" w:hAnsi="宋体" w:cs="宋体"/>
          <w:szCs w:val="21"/>
          <w:highlight w:val="none"/>
        </w:rPr>
        <w:t xml:space="preserve">13.1电子交易平台发生故障而无法登录访问的； </w:t>
      </w:r>
    </w:p>
    <w:p>
      <w:pPr>
        <w:kinsoku w:val="0"/>
        <w:adjustRightInd w:val="0"/>
        <w:snapToGrid w:val="0"/>
        <w:spacing w:line="400" w:lineRule="exact"/>
        <w:ind w:firstLine="420" w:firstLineChars="200"/>
        <w:rPr>
          <w:rFonts w:ascii="宋体" w:hAnsi="宋体" w:cs="宋体"/>
          <w:szCs w:val="21"/>
          <w:highlight w:val="none"/>
        </w:rPr>
      </w:pPr>
      <w:r>
        <w:rPr>
          <w:rFonts w:hint="eastAsia" w:ascii="宋体" w:hAnsi="宋体" w:cs="宋体"/>
          <w:szCs w:val="21"/>
          <w:highlight w:val="none"/>
        </w:rPr>
        <w:t>13.2电子交易平台应用或数据库出现错误，不能进行正常操作的；</w:t>
      </w:r>
    </w:p>
    <w:p>
      <w:pPr>
        <w:kinsoku w:val="0"/>
        <w:adjustRightInd w:val="0"/>
        <w:snapToGrid w:val="0"/>
        <w:spacing w:line="400" w:lineRule="exact"/>
        <w:ind w:firstLine="420" w:firstLineChars="200"/>
        <w:rPr>
          <w:rFonts w:ascii="宋体" w:hAnsi="宋体" w:cs="宋体"/>
          <w:szCs w:val="21"/>
          <w:highlight w:val="none"/>
        </w:rPr>
      </w:pPr>
      <w:r>
        <w:rPr>
          <w:rFonts w:hint="eastAsia" w:ascii="宋体" w:hAnsi="宋体" w:cs="宋体"/>
          <w:szCs w:val="21"/>
          <w:highlight w:val="none"/>
        </w:rPr>
        <w:t>13.3电子交易平台发现严重安全漏洞，有潜在泄密危险的；</w:t>
      </w:r>
    </w:p>
    <w:p>
      <w:pPr>
        <w:kinsoku w:val="0"/>
        <w:adjustRightInd w:val="0"/>
        <w:snapToGrid w:val="0"/>
        <w:spacing w:line="400" w:lineRule="exact"/>
        <w:ind w:firstLine="420" w:firstLineChars="200"/>
        <w:rPr>
          <w:rFonts w:ascii="宋体" w:hAnsi="宋体" w:cs="宋体"/>
          <w:szCs w:val="21"/>
          <w:highlight w:val="none"/>
        </w:rPr>
      </w:pPr>
      <w:r>
        <w:rPr>
          <w:rFonts w:hint="eastAsia" w:ascii="宋体" w:hAnsi="宋体" w:cs="宋体"/>
          <w:szCs w:val="21"/>
          <w:highlight w:val="none"/>
        </w:rPr>
        <w:t xml:space="preserve">13.4病毒发作导致不能进行正常操作的； </w:t>
      </w:r>
    </w:p>
    <w:p>
      <w:pPr>
        <w:kinsoku w:val="0"/>
        <w:adjustRightInd w:val="0"/>
        <w:snapToGrid w:val="0"/>
        <w:spacing w:line="400" w:lineRule="exact"/>
        <w:ind w:firstLine="420" w:firstLineChars="200"/>
        <w:rPr>
          <w:rFonts w:ascii="宋体" w:hAnsi="宋体" w:cs="宋体"/>
          <w:szCs w:val="21"/>
          <w:highlight w:val="none"/>
        </w:rPr>
      </w:pPr>
      <w:r>
        <w:rPr>
          <w:rFonts w:hint="eastAsia" w:ascii="宋体" w:hAnsi="宋体" w:cs="宋体"/>
          <w:szCs w:val="21"/>
          <w:highlight w:val="none"/>
        </w:rPr>
        <w:t>13.5其他无法保证电子交易的公平、公正和安全的情况。</w:t>
      </w:r>
    </w:p>
    <w:p>
      <w:pPr>
        <w:kinsoku w:val="0"/>
        <w:adjustRightInd w:val="0"/>
        <w:snapToGrid w:val="0"/>
        <w:spacing w:line="400" w:lineRule="exact"/>
        <w:ind w:firstLine="420" w:firstLineChars="200"/>
        <w:rPr>
          <w:rFonts w:ascii="宋体" w:hAnsi="宋体" w:cs="宋体"/>
          <w:szCs w:val="21"/>
          <w:highlight w:val="none"/>
        </w:rPr>
      </w:pPr>
      <w:r>
        <w:rPr>
          <w:rFonts w:hint="eastAsia" w:ascii="宋体" w:hAnsi="宋体" w:cs="宋体"/>
          <w:szCs w:val="21"/>
          <w:highlight w:val="none"/>
        </w:rPr>
        <w:t>出现前款规定情形，不影响采购公平、公正性的，采购组织机构可以待上述情形消除后继续组织电子交易活动，也可以决定某些环节以纸质形式进行；影响或可能影响采购公平、公正性的，应当重新采购。</w:t>
      </w:r>
    </w:p>
    <w:p>
      <w:pPr>
        <w:kinsoku w:val="0"/>
        <w:adjustRightInd w:val="0"/>
        <w:snapToGrid w:val="0"/>
        <w:spacing w:line="400" w:lineRule="exact"/>
        <w:rPr>
          <w:rFonts w:ascii="宋体" w:hAnsi="宋体" w:cs="宋体"/>
          <w:b/>
          <w:bCs/>
          <w:szCs w:val="21"/>
          <w:highlight w:val="none"/>
        </w:rPr>
      </w:pPr>
      <w:r>
        <w:rPr>
          <w:rFonts w:hint="eastAsia" w:ascii="宋体" w:hAnsi="宋体" w:cs="宋体"/>
          <w:b/>
          <w:bCs/>
          <w:szCs w:val="21"/>
          <w:highlight w:val="none"/>
        </w:rPr>
        <w:t>14.磋商内容</w:t>
      </w:r>
    </w:p>
    <w:p>
      <w:pPr>
        <w:kinsoku w:val="0"/>
        <w:adjustRightInd w:val="0"/>
        <w:snapToGrid w:val="0"/>
        <w:spacing w:line="400" w:lineRule="exact"/>
        <w:ind w:firstLine="420" w:firstLineChars="200"/>
        <w:rPr>
          <w:rFonts w:ascii="宋体" w:hAnsi="宋体" w:cs="宋体"/>
          <w:szCs w:val="21"/>
          <w:highlight w:val="none"/>
        </w:rPr>
      </w:pPr>
      <w:r>
        <w:rPr>
          <w:rFonts w:hint="eastAsia" w:ascii="宋体" w:hAnsi="宋体" w:cs="宋体"/>
          <w:szCs w:val="21"/>
          <w:highlight w:val="none"/>
        </w:rPr>
        <w:t>14.1本次磋商内容为在本磋商文件范围内就投标人的响应文件，磋商小组与投标人在技术、价格、服务、合同等问题进行磋商，最终确定成交与否。</w:t>
      </w:r>
    </w:p>
    <w:p>
      <w:pPr>
        <w:kinsoku w:val="0"/>
        <w:adjustRightInd w:val="0"/>
        <w:snapToGrid w:val="0"/>
        <w:spacing w:line="400" w:lineRule="exact"/>
        <w:ind w:firstLine="420" w:firstLineChars="200"/>
        <w:rPr>
          <w:rFonts w:ascii="宋体" w:hAnsi="宋体" w:cs="宋体"/>
          <w:szCs w:val="21"/>
          <w:highlight w:val="none"/>
        </w:rPr>
      </w:pPr>
      <w:r>
        <w:rPr>
          <w:rFonts w:hint="eastAsia" w:ascii="宋体" w:hAnsi="宋体" w:cs="宋体"/>
          <w:szCs w:val="21"/>
          <w:highlight w:val="none"/>
        </w:rPr>
        <w:t>14.2磋商应作书面记录，投标人并就磋商内容作出书面承诺，并由投标人法定代表人（负责人）或其授权委托人签字后生效，作为响应文件的一部分。</w:t>
      </w:r>
    </w:p>
    <w:p>
      <w:pPr>
        <w:kinsoku w:val="0"/>
        <w:adjustRightInd w:val="0"/>
        <w:snapToGrid w:val="0"/>
        <w:spacing w:line="400" w:lineRule="exact"/>
        <w:ind w:firstLine="420" w:firstLineChars="200"/>
        <w:rPr>
          <w:rFonts w:ascii="宋体" w:hAnsi="宋体" w:cs="宋体"/>
          <w:szCs w:val="21"/>
          <w:highlight w:val="none"/>
        </w:rPr>
      </w:pPr>
      <w:r>
        <w:rPr>
          <w:rFonts w:hint="eastAsia" w:ascii="宋体" w:hAnsi="宋体" w:cs="宋体"/>
          <w:szCs w:val="21"/>
          <w:highlight w:val="none"/>
        </w:rPr>
        <w:t>14.3本磋商文件有实质性变动的，磋商小组以书面形式通知所有参加磋商的投标人。</w:t>
      </w:r>
    </w:p>
    <w:p>
      <w:pPr>
        <w:kinsoku w:val="0"/>
        <w:adjustRightInd w:val="0"/>
        <w:snapToGrid w:val="0"/>
        <w:spacing w:line="400" w:lineRule="exact"/>
        <w:rPr>
          <w:rFonts w:ascii="宋体" w:hAnsi="宋体" w:cs="宋体"/>
          <w:b/>
          <w:bCs/>
          <w:szCs w:val="21"/>
          <w:highlight w:val="none"/>
        </w:rPr>
      </w:pPr>
      <w:r>
        <w:rPr>
          <w:rFonts w:hint="eastAsia" w:ascii="宋体" w:hAnsi="宋体" w:cs="宋体"/>
          <w:b/>
          <w:bCs/>
          <w:szCs w:val="21"/>
          <w:highlight w:val="none"/>
        </w:rPr>
        <w:t>15.磋商</w:t>
      </w:r>
    </w:p>
    <w:p>
      <w:pPr>
        <w:kinsoku w:val="0"/>
        <w:adjustRightInd w:val="0"/>
        <w:snapToGrid w:val="0"/>
        <w:spacing w:line="400" w:lineRule="exact"/>
        <w:ind w:firstLine="420" w:firstLineChars="200"/>
        <w:rPr>
          <w:rFonts w:ascii="宋体" w:hAnsi="宋体" w:cs="宋体"/>
          <w:szCs w:val="21"/>
          <w:highlight w:val="none"/>
        </w:rPr>
      </w:pPr>
      <w:r>
        <w:rPr>
          <w:rFonts w:hint="eastAsia" w:ascii="宋体" w:hAnsi="宋体" w:cs="宋体"/>
          <w:szCs w:val="21"/>
          <w:highlight w:val="none"/>
        </w:rPr>
        <w:t>15.1磋商小组由采购人、采购代理机构依法组建，负责评审活动。磋商小组遵循公开、公平、公正、科学合理、竞争择优的原则。</w:t>
      </w:r>
    </w:p>
    <w:p>
      <w:pPr>
        <w:kinsoku w:val="0"/>
        <w:adjustRightInd w:val="0"/>
        <w:snapToGrid w:val="0"/>
        <w:spacing w:line="400" w:lineRule="exact"/>
        <w:ind w:firstLine="420" w:firstLineChars="200"/>
        <w:rPr>
          <w:rFonts w:ascii="宋体" w:hAnsi="宋体" w:cs="宋体"/>
          <w:szCs w:val="21"/>
          <w:highlight w:val="none"/>
        </w:rPr>
      </w:pPr>
      <w:r>
        <w:rPr>
          <w:rFonts w:hint="eastAsia" w:ascii="宋体" w:hAnsi="宋体" w:cs="宋体"/>
          <w:szCs w:val="21"/>
          <w:highlight w:val="none"/>
        </w:rPr>
        <w:t>15.2磋商小组由采购人代表和有关方面专家组成，成员人数为3人以上单数。</w:t>
      </w:r>
    </w:p>
    <w:p>
      <w:pPr>
        <w:kinsoku w:val="0"/>
        <w:adjustRightInd w:val="0"/>
        <w:snapToGrid w:val="0"/>
        <w:spacing w:line="400" w:lineRule="exact"/>
        <w:ind w:firstLine="420" w:firstLineChars="200"/>
        <w:rPr>
          <w:rFonts w:ascii="宋体" w:hAnsi="宋体" w:cs="宋体"/>
          <w:szCs w:val="21"/>
          <w:highlight w:val="none"/>
        </w:rPr>
      </w:pPr>
      <w:r>
        <w:rPr>
          <w:rFonts w:hint="eastAsia" w:ascii="宋体" w:hAnsi="宋体" w:cs="宋体"/>
          <w:szCs w:val="21"/>
          <w:highlight w:val="none"/>
        </w:rPr>
        <w:t>15.3磋商小组负责对投标人资格的最终审定。</w:t>
      </w:r>
    </w:p>
    <w:p>
      <w:pPr>
        <w:kinsoku w:val="0"/>
        <w:adjustRightInd w:val="0"/>
        <w:snapToGrid w:val="0"/>
        <w:spacing w:line="400" w:lineRule="exact"/>
        <w:rPr>
          <w:rFonts w:ascii="宋体" w:hAnsi="宋体" w:cs="宋体"/>
          <w:b/>
          <w:bCs/>
          <w:szCs w:val="21"/>
          <w:highlight w:val="none"/>
        </w:rPr>
      </w:pPr>
      <w:r>
        <w:rPr>
          <w:rFonts w:hint="eastAsia" w:ascii="宋体" w:hAnsi="宋体" w:cs="宋体"/>
          <w:b/>
          <w:bCs/>
          <w:szCs w:val="21"/>
          <w:highlight w:val="none"/>
        </w:rPr>
        <w:t>16.磋商响应文件的初审鉴定</w:t>
      </w:r>
    </w:p>
    <w:p>
      <w:pPr>
        <w:kinsoku w:val="0"/>
        <w:adjustRightInd w:val="0"/>
        <w:snapToGrid w:val="0"/>
        <w:spacing w:line="400" w:lineRule="exact"/>
        <w:ind w:firstLine="420"/>
        <w:rPr>
          <w:rFonts w:ascii="宋体" w:hAnsi="Courier New" w:cs="Courier New"/>
          <w:highlight w:val="none"/>
        </w:rPr>
      </w:pPr>
      <w:r>
        <w:rPr>
          <w:rFonts w:hint="eastAsia" w:ascii="宋体" w:hAnsi="Courier New" w:cs="Courier New"/>
          <w:b/>
          <w:bCs/>
          <w:highlight w:val="none"/>
        </w:rPr>
        <w:t>16.1</w:t>
      </w:r>
      <w:r>
        <w:rPr>
          <w:rFonts w:ascii="宋体" w:hAnsi="Courier New" w:cs="Courier New"/>
          <w:b/>
          <w:bCs/>
          <w:highlight w:val="none"/>
        </w:rPr>
        <w:t>资格性审查</w:t>
      </w:r>
    </w:p>
    <w:p>
      <w:pPr>
        <w:kinsoku w:val="0"/>
        <w:adjustRightInd w:val="0"/>
        <w:snapToGrid w:val="0"/>
        <w:spacing w:line="400" w:lineRule="exact"/>
        <w:ind w:firstLine="420"/>
        <w:rPr>
          <w:rFonts w:ascii="宋体" w:hAnsi="Courier New" w:cs="Courier New"/>
          <w:highlight w:val="none"/>
        </w:rPr>
      </w:pPr>
      <w:r>
        <w:rPr>
          <w:rFonts w:hint="eastAsia" w:ascii="宋体" w:hAnsi="Courier New" w:cs="Courier New"/>
          <w:highlight w:val="none"/>
        </w:rPr>
        <w:t>16.1.1</w:t>
      </w:r>
      <w:r>
        <w:rPr>
          <w:rFonts w:hint="eastAsia" w:ascii="宋体" w:hAnsi="宋体" w:cs="Courier New"/>
          <w:szCs w:val="21"/>
          <w:highlight w:val="none"/>
        </w:rPr>
        <w:t>由磋商小组</w:t>
      </w:r>
      <w:r>
        <w:rPr>
          <w:rFonts w:ascii="宋体" w:hAnsi="Courier New" w:cs="Courier New"/>
          <w:highlight w:val="none"/>
        </w:rPr>
        <w:t>依据法律、法规和</w:t>
      </w:r>
      <w:r>
        <w:rPr>
          <w:rFonts w:hint="eastAsia" w:ascii="宋体" w:hAnsi="Courier New" w:cs="Courier New"/>
          <w:highlight w:val="none"/>
        </w:rPr>
        <w:t>本磋商文件</w:t>
      </w:r>
      <w:r>
        <w:rPr>
          <w:rFonts w:ascii="宋体" w:hAnsi="Courier New" w:cs="Courier New"/>
          <w:highlight w:val="none"/>
        </w:rPr>
        <w:t>规定，对响应文件中对资格证明等进行审查，以确定</w:t>
      </w:r>
      <w:r>
        <w:rPr>
          <w:rFonts w:hint="eastAsia" w:ascii="宋体" w:hAnsi="Courier New" w:cs="Courier New"/>
          <w:highlight w:val="none"/>
        </w:rPr>
        <w:t>投标人</w:t>
      </w:r>
      <w:r>
        <w:rPr>
          <w:rFonts w:ascii="宋体" w:hAnsi="Courier New" w:cs="Courier New"/>
          <w:highlight w:val="none"/>
        </w:rPr>
        <w:t>是否具备磋商资格。</w:t>
      </w:r>
    </w:p>
    <w:p>
      <w:pPr>
        <w:kinsoku w:val="0"/>
        <w:spacing w:line="400" w:lineRule="exact"/>
        <w:rPr>
          <w:rFonts w:ascii="宋体" w:hAnsi="Courier New" w:cs="Courier New"/>
          <w:highlight w:val="none"/>
        </w:rPr>
      </w:pPr>
      <w:r>
        <w:rPr>
          <w:rFonts w:hint="eastAsia"/>
          <w:highlight w:val="none"/>
        </w:rPr>
        <w:t xml:space="preserve">  </w:t>
      </w:r>
      <w:r>
        <w:rPr>
          <w:rFonts w:hint="eastAsia" w:ascii="宋体" w:hAnsi="Courier New" w:cs="Courier New"/>
          <w:highlight w:val="none"/>
        </w:rPr>
        <w:t xml:space="preserve">  16.1.2通过资格审查的合格投标人不足3家的，不得进入符合性审查环节，采购人或采购代理机构应当重新开展采购活动。</w:t>
      </w:r>
    </w:p>
    <w:p>
      <w:pPr>
        <w:kinsoku w:val="0"/>
        <w:adjustRightInd w:val="0"/>
        <w:snapToGrid w:val="0"/>
        <w:spacing w:line="400" w:lineRule="exact"/>
        <w:ind w:firstLine="420"/>
        <w:rPr>
          <w:rFonts w:ascii="宋体" w:hAnsi="Courier New" w:cs="Courier New"/>
          <w:b/>
          <w:bCs/>
          <w:highlight w:val="none"/>
        </w:rPr>
      </w:pPr>
      <w:r>
        <w:rPr>
          <w:rFonts w:hint="eastAsia" w:ascii="宋体" w:hAnsi="Courier New" w:cs="Courier New"/>
          <w:b/>
          <w:bCs/>
          <w:highlight w:val="none"/>
        </w:rPr>
        <w:t>16.2</w:t>
      </w:r>
      <w:r>
        <w:rPr>
          <w:rFonts w:ascii="宋体" w:hAnsi="Courier New" w:cs="Courier New"/>
          <w:b/>
          <w:bCs/>
          <w:highlight w:val="none"/>
        </w:rPr>
        <w:t>符合性审查</w:t>
      </w:r>
    </w:p>
    <w:p>
      <w:pPr>
        <w:kinsoku w:val="0"/>
        <w:adjustRightInd w:val="0"/>
        <w:snapToGrid w:val="0"/>
        <w:spacing w:line="400" w:lineRule="exact"/>
        <w:ind w:firstLine="420"/>
        <w:rPr>
          <w:rFonts w:ascii="宋体" w:hAnsi="Courier New" w:cs="Courier New"/>
          <w:highlight w:val="none"/>
        </w:rPr>
      </w:pPr>
      <w:r>
        <w:rPr>
          <w:rFonts w:hint="eastAsia" w:ascii="宋体" w:hAnsi="Courier New" w:cs="Courier New"/>
          <w:highlight w:val="none"/>
        </w:rPr>
        <w:t>16.2.1磋商时，磋商小组将首先评定每份响应文件是否在实质上响应了本磋商文件要求。所谓实质上的响应，是指响应文件与本磋商文件的所有实质性条款、条件和要求相符，无显著差异或保留，或者对合同中约定的采购人的权利和投标人的义务方面造成重大的限制，纠正这些显著差异或保留将会对其他实质上响应本磋商文件要求的投标人的竞争地位产生不公正的影响。</w:t>
      </w:r>
    </w:p>
    <w:p>
      <w:pPr>
        <w:kinsoku w:val="0"/>
        <w:spacing w:line="400" w:lineRule="exact"/>
        <w:rPr>
          <w:rFonts w:ascii="宋体" w:hAnsi="Courier New" w:cs="Courier New"/>
          <w:highlight w:val="none"/>
        </w:rPr>
      </w:pPr>
      <w:r>
        <w:rPr>
          <w:rFonts w:hint="eastAsia"/>
          <w:highlight w:val="none"/>
        </w:rPr>
        <w:t xml:space="preserve">    </w:t>
      </w:r>
      <w:r>
        <w:rPr>
          <w:rFonts w:hint="eastAsia" w:ascii="宋体" w:hAnsi="Courier New" w:cs="Courier New"/>
          <w:highlight w:val="none"/>
        </w:rPr>
        <w:t>16.2.2通过符合性审查的合格投标人不足3家的，不得进入磋商环节，采购人或采购代理机构应当重新开展采购活动。</w:t>
      </w:r>
    </w:p>
    <w:p>
      <w:pPr>
        <w:kinsoku w:val="0"/>
        <w:adjustRightInd w:val="0"/>
        <w:snapToGrid w:val="0"/>
        <w:spacing w:line="400" w:lineRule="exact"/>
        <w:ind w:firstLine="420"/>
        <w:rPr>
          <w:rFonts w:ascii="宋体" w:hAnsi="Courier New" w:cs="Courier New"/>
          <w:highlight w:val="none"/>
        </w:rPr>
      </w:pPr>
      <w:r>
        <w:rPr>
          <w:rFonts w:hint="eastAsia" w:ascii="宋体" w:hAnsi="Courier New" w:cs="Courier New"/>
          <w:highlight w:val="none"/>
        </w:rPr>
        <w:t>16.3</w:t>
      </w:r>
      <w:r>
        <w:rPr>
          <w:rFonts w:ascii="宋体" w:hAnsi="Courier New" w:cs="Courier New"/>
          <w:highlight w:val="none"/>
        </w:rPr>
        <w:t>如果响应文件实质不响应</w:t>
      </w:r>
      <w:r>
        <w:rPr>
          <w:rFonts w:hint="eastAsia" w:ascii="宋体" w:hAnsi="Courier New" w:cs="Courier New"/>
          <w:highlight w:val="none"/>
        </w:rPr>
        <w:t>本磋商文件</w:t>
      </w:r>
      <w:r>
        <w:rPr>
          <w:rFonts w:ascii="宋体" w:hAnsi="Courier New" w:cs="Courier New"/>
          <w:highlight w:val="none"/>
        </w:rPr>
        <w:t>的各项要求，磋商小组将予以拒绝，并且不允许</w:t>
      </w:r>
      <w:r>
        <w:rPr>
          <w:rFonts w:hint="eastAsia" w:ascii="宋体" w:hAnsi="Courier New" w:cs="Courier New"/>
          <w:highlight w:val="none"/>
        </w:rPr>
        <w:t>投标人</w:t>
      </w:r>
      <w:r>
        <w:rPr>
          <w:rFonts w:ascii="宋体" w:hAnsi="Courier New" w:cs="Courier New"/>
          <w:highlight w:val="none"/>
        </w:rPr>
        <w:t>通过修改或撤销其不符合要求的差异或保留，使之成为具有响应性的磋商。</w:t>
      </w:r>
    </w:p>
    <w:p>
      <w:pPr>
        <w:kinsoku w:val="0"/>
        <w:adjustRightInd w:val="0"/>
        <w:snapToGrid w:val="0"/>
        <w:spacing w:line="400" w:lineRule="exact"/>
        <w:rPr>
          <w:rFonts w:ascii="宋体" w:hAnsi="宋体" w:cs="宋体"/>
          <w:b/>
          <w:bCs/>
          <w:szCs w:val="21"/>
          <w:highlight w:val="none"/>
        </w:rPr>
      </w:pPr>
      <w:r>
        <w:rPr>
          <w:rFonts w:hint="eastAsia" w:ascii="宋体" w:hAnsi="宋体" w:cs="宋体"/>
          <w:b/>
          <w:bCs/>
          <w:szCs w:val="21"/>
          <w:highlight w:val="none"/>
        </w:rPr>
        <w:t>17.对明显的文字和计算错误的修正原则</w:t>
      </w:r>
    </w:p>
    <w:p>
      <w:pPr>
        <w:kinsoku w:val="0"/>
        <w:adjustRightInd w:val="0"/>
        <w:snapToGrid w:val="0"/>
        <w:spacing w:line="400" w:lineRule="exact"/>
        <w:ind w:firstLine="420"/>
        <w:rPr>
          <w:rFonts w:ascii="宋体" w:hAnsi="Courier New" w:cs="Courier New"/>
          <w:highlight w:val="none"/>
        </w:rPr>
      </w:pPr>
      <w:r>
        <w:rPr>
          <w:rFonts w:hint="eastAsia" w:ascii="宋体" w:hAnsi="Courier New" w:cs="Courier New"/>
          <w:highlight w:val="none"/>
        </w:rPr>
        <w:t>17.1</w:t>
      </w:r>
      <w:r>
        <w:rPr>
          <w:rFonts w:ascii="宋体" w:hAnsi="Courier New" w:cs="Courier New"/>
          <w:highlight w:val="none"/>
        </w:rPr>
        <w:t>响应文件中报价一览表（报价表）内容与响应文件中相应内容不一致的，以报价一览表（报价表）为准；</w:t>
      </w:r>
    </w:p>
    <w:p>
      <w:pPr>
        <w:kinsoku w:val="0"/>
        <w:adjustRightInd w:val="0"/>
        <w:snapToGrid w:val="0"/>
        <w:spacing w:line="400" w:lineRule="exact"/>
        <w:ind w:firstLine="420"/>
        <w:rPr>
          <w:rFonts w:ascii="宋体" w:hAnsi="Courier New" w:cs="Courier New"/>
          <w:highlight w:val="none"/>
        </w:rPr>
      </w:pPr>
      <w:r>
        <w:rPr>
          <w:rFonts w:hint="eastAsia" w:ascii="宋体" w:hAnsi="Courier New" w:cs="Courier New"/>
          <w:highlight w:val="none"/>
        </w:rPr>
        <w:t>17.2</w:t>
      </w:r>
      <w:r>
        <w:rPr>
          <w:rFonts w:ascii="宋体" w:hAnsi="Courier New" w:cs="Courier New"/>
          <w:highlight w:val="none"/>
        </w:rPr>
        <w:t>大写金额和小写金额不一致的，以大写金额为准；</w:t>
      </w:r>
    </w:p>
    <w:p>
      <w:pPr>
        <w:kinsoku w:val="0"/>
        <w:adjustRightInd w:val="0"/>
        <w:snapToGrid w:val="0"/>
        <w:spacing w:line="400" w:lineRule="exact"/>
        <w:ind w:firstLine="420"/>
        <w:rPr>
          <w:rFonts w:ascii="宋体" w:hAnsi="Courier New" w:cs="Courier New"/>
          <w:highlight w:val="none"/>
        </w:rPr>
      </w:pPr>
      <w:r>
        <w:rPr>
          <w:rFonts w:hint="eastAsia" w:ascii="宋体" w:hAnsi="Courier New" w:cs="Courier New"/>
          <w:highlight w:val="none"/>
        </w:rPr>
        <w:t>17.3</w:t>
      </w:r>
      <w:r>
        <w:rPr>
          <w:rFonts w:ascii="宋体" w:hAnsi="Courier New" w:cs="Courier New"/>
          <w:highlight w:val="none"/>
        </w:rPr>
        <w:t>单价金额小数点或者百分比有明显错位的，以开标一览表的总价为准，并修改单价；</w:t>
      </w:r>
    </w:p>
    <w:p>
      <w:pPr>
        <w:kinsoku w:val="0"/>
        <w:adjustRightInd w:val="0"/>
        <w:snapToGrid w:val="0"/>
        <w:spacing w:line="400" w:lineRule="exact"/>
        <w:ind w:firstLine="420"/>
        <w:rPr>
          <w:rFonts w:ascii="宋体" w:hAnsi="Courier New" w:cs="Courier New"/>
          <w:highlight w:val="none"/>
        </w:rPr>
      </w:pPr>
      <w:r>
        <w:rPr>
          <w:rFonts w:hint="eastAsia" w:ascii="宋体" w:hAnsi="Courier New" w:cs="Courier New"/>
          <w:highlight w:val="none"/>
        </w:rPr>
        <w:t>17.4</w:t>
      </w:r>
      <w:r>
        <w:rPr>
          <w:rFonts w:ascii="宋体" w:hAnsi="Courier New" w:cs="Courier New"/>
          <w:highlight w:val="none"/>
        </w:rPr>
        <w:t>总价金额与按单价汇总金额不一致的，以单价金额计算结果为准。</w:t>
      </w:r>
    </w:p>
    <w:p>
      <w:pPr>
        <w:kinsoku w:val="0"/>
        <w:adjustRightInd w:val="0"/>
        <w:snapToGrid w:val="0"/>
        <w:spacing w:line="400" w:lineRule="exact"/>
        <w:ind w:firstLine="420"/>
        <w:rPr>
          <w:rFonts w:ascii="宋体" w:hAnsi="Courier New" w:cs="Courier New"/>
          <w:highlight w:val="none"/>
        </w:rPr>
      </w:pPr>
      <w:r>
        <w:rPr>
          <w:rFonts w:ascii="宋体" w:hAnsi="Courier New" w:cs="Courier New"/>
          <w:highlight w:val="none"/>
        </w:rPr>
        <w:t>同时出现两种以上不一致的，按照前款规定的顺序修正。修正后的报价经</w:t>
      </w:r>
      <w:r>
        <w:rPr>
          <w:rFonts w:hint="eastAsia" w:ascii="宋体" w:hAnsi="Courier New" w:cs="Courier New"/>
          <w:highlight w:val="none"/>
        </w:rPr>
        <w:t>投标</w:t>
      </w:r>
      <w:r>
        <w:rPr>
          <w:rFonts w:ascii="宋体" w:hAnsi="Courier New" w:cs="Courier New"/>
          <w:highlight w:val="none"/>
        </w:rPr>
        <w:t>人确认后产生约束力，</w:t>
      </w:r>
      <w:r>
        <w:rPr>
          <w:rFonts w:hint="eastAsia" w:ascii="宋体" w:hAnsi="Courier New" w:cs="Courier New"/>
          <w:highlight w:val="none"/>
        </w:rPr>
        <w:t>投标人</w:t>
      </w:r>
      <w:r>
        <w:rPr>
          <w:rFonts w:ascii="宋体" w:hAnsi="Courier New" w:cs="Courier New"/>
          <w:highlight w:val="none"/>
        </w:rPr>
        <w:t>不确认的，其</w:t>
      </w:r>
      <w:r>
        <w:rPr>
          <w:rFonts w:hint="eastAsia" w:ascii="宋体" w:hAnsi="Courier New" w:cs="Courier New"/>
          <w:highlight w:val="none"/>
        </w:rPr>
        <w:t>磋商</w:t>
      </w:r>
      <w:r>
        <w:rPr>
          <w:rFonts w:ascii="宋体" w:hAnsi="Courier New" w:cs="Courier New"/>
          <w:highlight w:val="none"/>
        </w:rPr>
        <w:t>无效。</w:t>
      </w:r>
    </w:p>
    <w:p>
      <w:pPr>
        <w:kinsoku w:val="0"/>
        <w:adjustRightInd w:val="0"/>
        <w:snapToGrid w:val="0"/>
        <w:spacing w:line="400" w:lineRule="exact"/>
        <w:rPr>
          <w:rFonts w:ascii="宋体" w:hAnsi="宋体" w:cs="宋体"/>
          <w:b/>
          <w:bCs/>
          <w:szCs w:val="21"/>
          <w:highlight w:val="none"/>
        </w:rPr>
      </w:pPr>
      <w:r>
        <w:rPr>
          <w:rFonts w:hint="eastAsia" w:ascii="宋体" w:hAnsi="宋体" w:cs="宋体"/>
          <w:b/>
          <w:bCs/>
          <w:szCs w:val="21"/>
          <w:highlight w:val="none"/>
        </w:rPr>
        <w:t>18.响应文件的评审、比较和否决</w:t>
      </w:r>
    </w:p>
    <w:p>
      <w:pPr>
        <w:kinsoku w:val="0"/>
        <w:adjustRightInd w:val="0"/>
        <w:snapToGrid w:val="0"/>
        <w:spacing w:line="400" w:lineRule="exact"/>
        <w:ind w:firstLine="420"/>
        <w:rPr>
          <w:rFonts w:ascii="宋体" w:hAnsi="Courier New" w:cs="Courier New"/>
          <w:highlight w:val="none"/>
        </w:rPr>
      </w:pPr>
      <w:r>
        <w:rPr>
          <w:rFonts w:hint="eastAsia" w:ascii="宋体" w:hAnsi="Courier New" w:cs="Courier New"/>
          <w:highlight w:val="none"/>
        </w:rPr>
        <w:t>18.1磋商小组按照“投标人须知前附表” 确定的顺序，集中与单一投标人分别进行磋商，并给予所有参加磋商的投标人平等的磋商机会。投标人应当在采购人或采购代理机构发出磋商通知（包括开启新一轮报价）后在政采云平台设定的时间内进行响应，否则视同放弃参加磋商权利，后果自负。</w:t>
      </w:r>
    </w:p>
    <w:p>
      <w:pPr>
        <w:kinsoku w:val="0"/>
        <w:adjustRightInd w:val="0"/>
        <w:snapToGrid w:val="0"/>
        <w:spacing w:line="400" w:lineRule="exact"/>
        <w:ind w:firstLine="420"/>
        <w:rPr>
          <w:rFonts w:ascii="宋体" w:hAnsi="Courier New" w:cs="Courier New"/>
          <w:highlight w:val="none"/>
        </w:rPr>
      </w:pPr>
      <w:r>
        <w:rPr>
          <w:rFonts w:hint="eastAsia" w:ascii="宋体" w:hAnsi="Courier New" w:cs="Courier New"/>
          <w:highlight w:val="none"/>
        </w:rPr>
        <w:t>18.2在磋商过程中，磋商小组可以根据本磋商文件和磋商情况实质性变动采购需求中的技术、服务要求以及合同草案条款，但不得变动本磋商文件中的其他内容。实质性变动的内容，须经采购人代表确认。</w:t>
      </w:r>
    </w:p>
    <w:p>
      <w:pPr>
        <w:kinsoku w:val="0"/>
        <w:adjustRightInd w:val="0"/>
        <w:snapToGrid w:val="0"/>
        <w:spacing w:line="400" w:lineRule="exact"/>
        <w:ind w:firstLine="420"/>
        <w:rPr>
          <w:rFonts w:ascii="宋体" w:hAnsi="Courier New" w:cs="Courier New"/>
          <w:highlight w:val="none"/>
        </w:rPr>
      </w:pPr>
      <w:r>
        <w:rPr>
          <w:rFonts w:hint="eastAsia" w:ascii="宋体" w:hAnsi="Courier New" w:cs="Courier New"/>
          <w:highlight w:val="none"/>
        </w:rPr>
        <w:t>18.3</w:t>
      </w:r>
      <w:r>
        <w:rPr>
          <w:rFonts w:ascii="宋体" w:hAnsi="Courier New" w:cs="Courier New"/>
          <w:highlight w:val="none"/>
        </w:rPr>
        <w:t>在</w:t>
      </w:r>
      <w:r>
        <w:rPr>
          <w:rFonts w:hint="eastAsia" w:ascii="宋体" w:hAnsi="Courier New" w:cs="Courier New"/>
          <w:highlight w:val="none"/>
        </w:rPr>
        <w:t>对竞争性磋商文件作出的实质性变动是竞争性磋商文件的有效组成部分，由磋商小组及时以书面形式同时通知所有参加磋商的投标人。</w:t>
      </w:r>
    </w:p>
    <w:p>
      <w:pPr>
        <w:kinsoku w:val="0"/>
        <w:adjustRightInd w:val="0"/>
        <w:snapToGrid w:val="0"/>
        <w:spacing w:line="400" w:lineRule="exact"/>
        <w:ind w:firstLine="420"/>
        <w:rPr>
          <w:rFonts w:ascii="宋体" w:hAnsi="Courier New" w:cs="Courier New"/>
          <w:highlight w:val="none"/>
        </w:rPr>
      </w:pPr>
      <w:r>
        <w:rPr>
          <w:rFonts w:hint="eastAsia" w:ascii="宋体" w:hAnsi="Courier New" w:cs="Courier New"/>
          <w:highlight w:val="none"/>
        </w:rPr>
        <w:t>18.4投标人应当按照竞争性磋商文件的变动情况和磋商小组的要求重新提交响应文件，并由其法定代表人或授权代表签字或者加盖公章。由授权代表签字的，应当附法定代表人授权书（若委托代理人为响应文件中承诺的授权委托代理人的，无须出示法定代表人授权委托书）。投标人为自然人的，应当由本人签字并附身份证明。参加磋商的投标人未在规定时间内重新提交响应文件的，视同退出磋商。</w:t>
      </w:r>
    </w:p>
    <w:p>
      <w:pPr>
        <w:kinsoku w:val="0"/>
        <w:adjustRightInd w:val="0"/>
        <w:snapToGrid w:val="0"/>
        <w:spacing w:line="400" w:lineRule="exact"/>
        <w:ind w:firstLine="420"/>
        <w:rPr>
          <w:rFonts w:ascii="宋体" w:hAnsi="Courier New" w:cs="Courier New"/>
          <w:highlight w:val="none"/>
        </w:rPr>
      </w:pPr>
      <w:r>
        <w:rPr>
          <w:rFonts w:hint="eastAsia" w:ascii="宋体" w:hAnsi="Courier New" w:cs="Courier New"/>
          <w:highlight w:val="none"/>
        </w:rPr>
        <w:t>18.5采购代理机构对磋商过程和重要磋商内容进行记录，磋商双方应在记录上签字确认。</w:t>
      </w:r>
    </w:p>
    <w:p>
      <w:pPr>
        <w:kinsoku w:val="0"/>
        <w:adjustRightInd w:val="0"/>
        <w:snapToGrid w:val="0"/>
        <w:spacing w:line="400" w:lineRule="exact"/>
        <w:ind w:firstLine="420"/>
        <w:rPr>
          <w:rFonts w:ascii="宋体" w:hAnsi="Courier New" w:cs="Courier New"/>
          <w:highlight w:val="none"/>
        </w:rPr>
      </w:pPr>
      <w:r>
        <w:rPr>
          <w:rFonts w:hint="eastAsia" w:ascii="宋体" w:hAnsi="Courier New" w:cs="Courier New"/>
          <w:highlight w:val="none"/>
        </w:rPr>
        <w:t>18.6磋商过程中重新提交的响应文件，投标人可以在该响应文件开启前补充、修改</w:t>
      </w:r>
      <w:r>
        <w:rPr>
          <w:rFonts w:ascii="宋体" w:hAnsi="Courier New" w:cs="Courier New"/>
          <w:highlight w:val="none"/>
        </w:rPr>
        <w:t>。</w:t>
      </w:r>
    </w:p>
    <w:p>
      <w:pPr>
        <w:kinsoku w:val="0"/>
        <w:adjustRightInd w:val="0"/>
        <w:snapToGrid w:val="0"/>
        <w:spacing w:line="400" w:lineRule="exact"/>
        <w:ind w:firstLine="420"/>
        <w:rPr>
          <w:rFonts w:ascii="宋体" w:hAnsi="Courier New" w:cs="Courier New"/>
          <w:highlight w:val="none"/>
        </w:rPr>
      </w:pPr>
      <w:r>
        <w:rPr>
          <w:rFonts w:hint="eastAsia" w:ascii="宋体" w:hAnsi="Courier New" w:cs="Courier New"/>
          <w:highlight w:val="none"/>
        </w:rPr>
        <w:t>18.7根据《财政部关于政府采购竞争性磋商采购方式管理暂行办法有关问题的补充通知》（财库〔2015〕124号）的规定，采用竞争性磋商采购方式采购的政府购买服务项目（含政府和社会资本合作项目），在采购过程中符合要求的供应商（社会资本）只有2家的，竞争性磋商采购活动可以继续进行。采购过程中符合要求的供应商（社会资本）只有1家的，采购人（项目实施机构）或者采购代理机构应当终止竞争性磋商采购活动，发布项目终止公告并说明原因，重新开展采购活动。</w:t>
      </w:r>
    </w:p>
    <w:p>
      <w:pPr>
        <w:kinsoku w:val="0"/>
        <w:adjustRightInd w:val="0"/>
        <w:snapToGrid w:val="0"/>
        <w:spacing w:line="400" w:lineRule="exact"/>
        <w:ind w:firstLine="420"/>
        <w:rPr>
          <w:rFonts w:ascii="宋体" w:hAnsi="Courier New" w:cs="Courier New"/>
          <w:highlight w:val="none"/>
        </w:rPr>
      </w:pPr>
      <w:r>
        <w:rPr>
          <w:rFonts w:hint="eastAsia" w:ascii="宋体" w:hAnsi="Courier New" w:cs="Courier New"/>
          <w:highlight w:val="none"/>
        </w:rPr>
        <w:t>18.8对磋商过程提交的响应文件进行有效性、完整性和响应程度审查，通过审查的合格供应商不足3家的，除本须知正文第18.7条的情形外，采购人或采购代理机构应当重新开展采购活动。</w:t>
      </w:r>
    </w:p>
    <w:p>
      <w:pPr>
        <w:kinsoku w:val="0"/>
        <w:adjustRightInd w:val="0"/>
        <w:snapToGrid w:val="0"/>
        <w:spacing w:line="400" w:lineRule="exact"/>
        <w:rPr>
          <w:rFonts w:ascii="宋体" w:hAnsi="宋体" w:cs="宋体"/>
          <w:b/>
          <w:bCs/>
          <w:szCs w:val="21"/>
          <w:highlight w:val="none"/>
        </w:rPr>
      </w:pPr>
      <w:r>
        <w:rPr>
          <w:rFonts w:hint="eastAsia" w:ascii="宋体" w:hAnsi="宋体" w:cs="宋体"/>
          <w:b/>
          <w:bCs/>
          <w:szCs w:val="21"/>
          <w:highlight w:val="none"/>
        </w:rPr>
        <w:t>19.最后报价</w:t>
      </w:r>
    </w:p>
    <w:p>
      <w:pPr>
        <w:kinsoku w:val="0"/>
        <w:adjustRightInd w:val="0"/>
        <w:snapToGrid w:val="0"/>
        <w:spacing w:line="400" w:lineRule="exact"/>
        <w:ind w:firstLine="420" w:firstLineChars="200"/>
        <w:rPr>
          <w:rFonts w:ascii="宋体" w:hAnsi="Courier New" w:cs="Courier New"/>
          <w:szCs w:val="21"/>
          <w:highlight w:val="none"/>
        </w:rPr>
      </w:pPr>
      <w:r>
        <w:rPr>
          <w:rFonts w:hint="eastAsia" w:ascii="宋体" w:hAnsi="Courier New" w:cs="Courier New"/>
          <w:szCs w:val="21"/>
          <w:highlight w:val="none"/>
        </w:rPr>
        <w:t>19.1竞争性磋商文件能够详细列明采购标的的技术、服务要求的，磋商结束后，由磋商小组要求所有继续参加磋商的投标人在政采云平台设定的时间内提交最后报价，提交最后报价的供应商不得少于3家。</w:t>
      </w:r>
    </w:p>
    <w:p>
      <w:pPr>
        <w:kinsoku w:val="0"/>
        <w:spacing w:line="400" w:lineRule="exact"/>
        <w:ind w:firstLine="420" w:firstLineChars="200"/>
        <w:rPr>
          <w:rFonts w:ascii="宋体" w:hAnsi="Courier New" w:cs="Courier New"/>
          <w:szCs w:val="21"/>
          <w:highlight w:val="none"/>
        </w:rPr>
      </w:pPr>
      <w:r>
        <w:rPr>
          <w:rFonts w:hint="eastAsia" w:ascii="宋体" w:hAnsi="Courier New" w:cs="Courier New"/>
          <w:szCs w:val="21"/>
          <w:highlight w:val="none"/>
        </w:rPr>
        <w:t>竞争性磋商文件不能详细列明采购标的的技术、服务要求，需经磋商由投标人提供最后设计方案或解决方案的，磋商结束后，由磋商小组按照少数服从多数的原则投票推荐3家以上投标人的设计方案或者解决方案，并要求其在规定时间内密封提交最后报价。</w:t>
      </w:r>
    </w:p>
    <w:p>
      <w:pPr>
        <w:kinsoku w:val="0"/>
        <w:spacing w:line="400" w:lineRule="exact"/>
        <w:ind w:firstLine="420" w:firstLineChars="200"/>
        <w:rPr>
          <w:rFonts w:ascii="宋体" w:hAnsi="Courier New" w:cs="Courier New"/>
          <w:szCs w:val="21"/>
          <w:highlight w:val="none"/>
        </w:rPr>
      </w:pPr>
      <w:r>
        <w:rPr>
          <w:rFonts w:hint="eastAsia" w:ascii="宋体" w:hAnsi="Courier New" w:cs="Courier New"/>
          <w:szCs w:val="21"/>
          <w:highlight w:val="none"/>
        </w:rPr>
        <w:t>19.2最后报价是投标人响应文件的有效组成部分。符合《政府采购竞争性磋商采购方式管理暂行办法》（财库〔2014〕214号）第三条第四项“市场竞争不充分的科研项目，以及需要扶持的科技成果转化项目”和本须知正文第18.7条情形的，提交最后报价的供应商可以为2家。</w:t>
      </w:r>
    </w:p>
    <w:p>
      <w:pPr>
        <w:kinsoku w:val="0"/>
        <w:spacing w:line="400" w:lineRule="exact"/>
        <w:ind w:firstLine="420" w:firstLineChars="200"/>
        <w:rPr>
          <w:rFonts w:ascii="宋体" w:hAnsi="Courier New" w:cs="Courier New"/>
          <w:szCs w:val="21"/>
          <w:highlight w:val="none"/>
        </w:rPr>
      </w:pPr>
      <w:r>
        <w:rPr>
          <w:rFonts w:hint="eastAsia" w:ascii="宋体" w:hAnsi="Courier New" w:cs="Courier New"/>
          <w:szCs w:val="21"/>
          <w:highlight w:val="none"/>
        </w:rPr>
        <w:t>19.3已经提交响应文件的投标人，在提交最后报价之前，可以根据磋商情况退出磋商，退出磋商的投标人的响应文件按无效响应处理。</w:t>
      </w:r>
    </w:p>
    <w:p>
      <w:pPr>
        <w:kinsoku w:val="0"/>
        <w:spacing w:line="400" w:lineRule="exact"/>
        <w:ind w:firstLine="420" w:firstLineChars="200"/>
        <w:rPr>
          <w:rFonts w:ascii="宋体" w:hAnsi="Courier New" w:cs="Courier New"/>
          <w:szCs w:val="21"/>
          <w:highlight w:val="none"/>
        </w:rPr>
      </w:pPr>
      <w:r>
        <w:rPr>
          <w:rFonts w:hint="eastAsia" w:ascii="宋体" w:hAnsi="Courier New" w:cs="Courier New"/>
          <w:szCs w:val="21"/>
          <w:highlight w:val="none"/>
        </w:rPr>
        <w:t>19.4投标人未在规定时间内提交最后报价的，后果自负。</w:t>
      </w:r>
    </w:p>
    <w:p>
      <w:pPr>
        <w:kinsoku w:val="0"/>
        <w:spacing w:line="400" w:lineRule="exact"/>
        <w:ind w:firstLine="420" w:firstLineChars="200"/>
        <w:rPr>
          <w:rFonts w:ascii="宋体" w:hAnsi="Courier New" w:cs="Courier New"/>
          <w:szCs w:val="21"/>
          <w:highlight w:val="none"/>
        </w:rPr>
      </w:pPr>
      <w:r>
        <w:rPr>
          <w:rFonts w:hint="eastAsia" w:ascii="宋体" w:hAnsi="Courier New" w:cs="Courier New"/>
          <w:szCs w:val="21"/>
          <w:highlight w:val="none"/>
        </w:rPr>
        <w:t>19.5磋商小组收齐某一分标最后报价后统一开启。</w:t>
      </w:r>
    </w:p>
    <w:p>
      <w:pPr>
        <w:kinsoku w:val="0"/>
        <w:spacing w:line="400" w:lineRule="exact"/>
        <w:ind w:firstLine="420" w:firstLineChars="200"/>
        <w:rPr>
          <w:rFonts w:ascii="宋体" w:hAnsi="Courier New" w:cs="Courier New"/>
          <w:szCs w:val="21"/>
          <w:highlight w:val="none"/>
        </w:rPr>
      </w:pPr>
      <w:r>
        <w:rPr>
          <w:rFonts w:hint="eastAsia" w:ascii="宋体" w:hAnsi="Courier New" w:cs="Courier New"/>
          <w:szCs w:val="21"/>
          <w:highlight w:val="none"/>
        </w:rPr>
        <w:t xml:space="preserve">19.6响应文件最后报价出现前后不一致的，按照本正文第17条的规定修正。 </w:t>
      </w:r>
    </w:p>
    <w:p>
      <w:pPr>
        <w:kinsoku w:val="0"/>
        <w:spacing w:line="400" w:lineRule="exact"/>
        <w:ind w:firstLine="420" w:firstLineChars="200"/>
        <w:rPr>
          <w:rFonts w:ascii="宋体" w:hAnsi="Courier New" w:cs="Courier New"/>
          <w:szCs w:val="21"/>
          <w:highlight w:val="none"/>
        </w:rPr>
      </w:pPr>
      <w:r>
        <w:rPr>
          <w:rFonts w:hint="eastAsia" w:ascii="宋体" w:hAnsi="Courier New" w:cs="Courier New"/>
          <w:szCs w:val="21"/>
          <w:highlight w:val="none"/>
        </w:rPr>
        <w:t>19.7修正后的报价出现下列情形的，按无效响应处理：</w:t>
      </w:r>
    </w:p>
    <w:p>
      <w:pPr>
        <w:kinsoku w:val="0"/>
        <w:spacing w:line="400" w:lineRule="exact"/>
        <w:ind w:firstLine="420" w:firstLineChars="200"/>
        <w:rPr>
          <w:rFonts w:ascii="宋体" w:hAnsi="Courier New" w:cs="Courier New"/>
          <w:szCs w:val="21"/>
          <w:highlight w:val="none"/>
        </w:rPr>
      </w:pPr>
      <w:r>
        <w:rPr>
          <w:rFonts w:hint="eastAsia" w:ascii="宋体" w:hAnsi="Courier New" w:cs="Courier New"/>
          <w:szCs w:val="21"/>
          <w:highlight w:val="none"/>
        </w:rPr>
        <w:t>（1）投标人不确认的；</w:t>
      </w:r>
    </w:p>
    <w:p>
      <w:pPr>
        <w:kinsoku w:val="0"/>
        <w:spacing w:line="400" w:lineRule="exact"/>
        <w:ind w:firstLine="420" w:firstLineChars="200"/>
        <w:rPr>
          <w:rFonts w:ascii="宋体" w:hAnsi="Courier New" w:cs="Courier New"/>
          <w:szCs w:val="21"/>
          <w:highlight w:val="none"/>
        </w:rPr>
      </w:pPr>
      <w:r>
        <w:rPr>
          <w:rFonts w:hint="eastAsia" w:ascii="宋体" w:hAnsi="Courier New" w:cs="Courier New"/>
          <w:szCs w:val="21"/>
          <w:highlight w:val="none"/>
        </w:rPr>
        <w:t>（2）经投标人确认修正后的磋商报价（包含首次报价、最后报价）超过所磋商分标规定的采购预算金额或分项采购预算金额或最高限价的（如本项目公布了最高限价）或未按本项目磋商文件要求的报价的。</w:t>
      </w:r>
    </w:p>
    <w:p>
      <w:pPr>
        <w:kinsoku w:val="0"/>
        <w:spacing w:line="400" w:lineRule="exact"/>
        <w:ind w:firstLine="420" w:firstLineChars="200"/>
        <w:rPr>
          <w:rFonts w:ascii="宋体" w:hAnsi="Courier New" w:cs="Courier New"/>
          <w:szCs w:val="21"/>
          <w:highlight w:val="none"/>
        </w:rPr>
      </w:pPr>
      <w:r>
        <w:rPr>
          <w:rFonts w:hint="eastAsia" w:ascii="宋体" w:hAnsi="Courier New" w:cs="Courier New"/>
          <w:szCs w:val="21"/>
          <w:highlight w:val="none"/>
        </w:rPr>
        <w:t>19.8经投标人确认修正后的最后报价作为评审及签订合同的依据。</w:t>
      </w:r>
    </w:p>
    <w:p>
      <w:pPr>
        <w:kinsoku w:val="0"/>
        <w:spacing w:line="400" w:lineRule="exact"/>
        <w:ind w:firstLine="420" w:firstLineChars="200"/>
        <w:rPr>
          <w:rFonts w:ascii="宋体" w:hAnsi="Courier New" w:cs="Courier New"/>
          <w:szCs w:val="21"/>
          <w:highlight w:val="none"/>
        </w:rPr>
      </w:pPr>
      <w:r>
        <w:rPr>
          <w:rFonts w:hint="eastAsia" w:ascii="宋体" w:hAnsi="Courier New" w:cs="Courier New"/>
          <w:szCs w:val="21"/>
          <w:highlight w:val="none"/>
        </w:rPr>
        <w:t>19.9最后报价结束后，磋商小组不得再与投标人进行任何形式的商谈。</w:t>
      </w:r>
    </w:p>
    <w:p>
      <w:pPr>
        <w:kinsoku w:val="0"/>
        <w:spacing w:line="400" w:lineRule="exact"/>
        <w:rPr>
          <w:rFonts w:ascii="宋体" w:hAnsi="Courier New" w:cs="Courier New"/>
          <w:b/>
          <w:bCs/>
          <w:szCs w:val="21"/>
          <w:highlight w:val="none"/>
        </w:rPr>
      </w:pPr>
      <w:r>
        <w:rPr>
          <w:rFonts w:hint="eastAsia" w:ascii="宋体" w:hAnsi="Courier New" w:cs="Courier New"/>
          <w:b/>
          <w:bCs/>
          <w:szCs w:val="21"/>
          <w:highlight w:val="none"/>
        </w:rPr>
        <w:t>20.比较与评价</w:t>
      </w:r>
    </w:p>
    <w:p>
      <w:pPr>
        <w:kinsoku w:val="0"/>
        <w:spacing w:line="400" w:lineRule="exact"/>
        <w:ind w:firstLine="420" w:firstLineChars="200"/>
        <w:rPr>
          <w:rFonts w:ascii="宋体" w:hAnsi="Courier New" w:cs="Courier New"/>
          <w:szCs w:val="21"/>
          <w:highlight w:val="none"/>
        </w:rPr>
      </w:pPr>
      <w:r>
        <w:rPr>
          <w:rFonts w:hint="eastAsia" w:ascii="宋体" w:hAnsi="Courier New" w:cs="Courier New"/>
          <w:szCs w:val="21"/>
          <w:highlight w:val="none"/>
        </w:rPr>
        <w:t>20.1评审方法：综合评分法。</w:t>
      </w:r>
    </w:p>
    <w:p>
      <w:pPr>
        <w:kinsoku w:val="0"/>
        <w:spacing w:line="400" w:lineRule="exact"/>
        <w:ind w:firstLine="420" w:firstLineChars="200"/>
        <w:rPr>
          <w:rFonts w:ascii="宋体" w:hAnsi="Courier New" w:cs="Courier New"/>
          <w:szCs w:val="21"/>
          <w:highlight w:val="none"/>
        </w:rPr>
      </w:pPr>
      <w:r>
        <w:rPr>
          <w:rFonts w:hint="eastAsia" w:ascii="宋体" w:hAnsi="Courier New" w:cs="Courier New"/>
          <w:szCs w:val="21"/>
          <w:highlight w:val="none"/>
        </w:rPr>
        <w:t>20.2经磋商确定最终采购需求和提交最后报价的投标人后，由磋商小组采用综合评分法对提交最后报价的投标人的响应文件和最后报价进行综合评分。</w:t>
      </w:r>
    </w:p>
    <w:p>
      <w:pPr>
        <w:kinsoku w:val="0"/>
        <w:spacing w:line="400" w:lineRule="exact"/>
        <w:ind w:firstLine="420" w:firstLineChars="200"/>
        <w:rPr>
          <w:rFonts w:ascii="宋体" w:hAnsi="Courier New" w:cs="Courier New"/>
          <w:szCs w:val="21"/>
          <w:highlight w:val="none"/>
        </w:rPr>
      </w:pPr>
      <w:r>
        <w:rPr>
          <w:rFonts w:hint="eastAsia" w:ascii="宋体" w:hAnsi="Courier New" w:cs="Courier New"/>
          <w:szCs w:val="21"/>
          <w:highlight w:val="none"/>
        </w:rPr>
        <w:t>20.3评审时，磋商小组各成员应当独立对每个有效的响应文件进行评价、打分，然后汇总每个投标人每项评分因素的得分。</w:t>
      </w:r>
    </w:p>
    <w:p>
      <w:pPr>
        <w:kinsoku w:val="0"/>
        <w:spacing w:line="400" w:lineRule="exact"/>
        <w:ind w:firstLine="420" w:firstLineChars="200"/>
        <w:rPr>
          <w:rFonts w:ascii="宋体" w:hAnsi="Courier New" w:cs="Courier New"/>
          <w:szCs w:val="21"/>
          <w:highlight w:val="none"/>
        </w:rPr>
      </w:pPr>
      <w:r>
        <w:rPr>
          <w:rFonts w:hint="eastAsia" w:ascii="宋体" w:hAnsi="Courier New" w:cs="Courier New"/>
          <w:szCs w:val="21"/>
          <w:highlight w:val="none"/>
        </w:rPr>
        <w:t>20.4由磋商小组根据综合评分情况，按照评审得分由高到低顺序推荐3名以上成交候选人。符合本须知正文第19.2条情形的，可以推荐2家成交候选供应商。评审得分相同的，按照评标价由低到高的顺序推荐。评审得分且评标价相同的，按照技术指标优劣顺序推荐。</w:t>
      </w:r>
    </w:p>
    <w:p>
      <w:pPr>
        <w:kinsoku w:val="0"/>
        <w:spacing w:line="400" w:lineRule="exact"/>
        <w:ind w:firstLine="420" w:firstLineChars="200"/>
        <w:rPr>
          <w:rFonts w:ascii="宋体" w:hAnsi="Courier New" w:cs="Courier New"/>
          <w:szCs w:val="21"/>
          <w:highlight w:val="none"/>
        </w:rPr>
      </w:pPr>
      <w:r>
        <w:rPr>
          <w:rFonts w:hint="eastAsia" w:ascii="宋体" w:hAnsi="Courier New" w:cs="Courier New"/>
          <w:szCs w:val="21"/>
          <w:highlight w:val="none"/>
        </w:rPr>
        <w:t>20.5评审报告应当由磋商小组全体人员签字认可。磋商小组成员对评审报告有异议的，磋商小组按照少数服从多数的原则推荐成交候选人，采购程序继续进行。对评审报告有异议的磋商小组成员，应当在报告上签署不同意见并说明理由，由磋商小组书面记录相关情况。磋商小组成员拒绝在报告上签字又不书面说明其不同意见和理由的，视为同意评审报告。</w:t>
      </w:r>
    </w:p>
    <w:p>
      <w:pPr>
        <w:kinsoku w:val="0"/>
        <w:adjustRightInd w:val="0"/>
        <w:snapToGrid w:val="0"/>
        <w:spacing w:line="400" w:lineRule="exact"/>
        <w:rPr>
          <w:rFonts w:ascii="宋体" w:hAnsi="宋体" w:cs="宋体"/>
          <w:b/>
          <w:bCs/>
          <w:szCs w:val="21"/>
          <w:highlight w:val="none"/>
        </w:rPr>
      </w:pPr>
      <w:r>
        <w:rPr>
          <w:rFonts w:hint="eastAsia" w:ascii="宋体" w:hAnsi="宋体" w:cs="宋体"/>
          <w:b/>
          <w:bCs/>
          <w:szCs w:val="21"/>
          <w:highlight w:val="none"/>
        </w:rPr>
        <w:t>21.响应文件的澄清</w:t>
      </w:r>
    </w:p>
    <w:p>
      <w:pPr>
        <w:kinsoku w:val="0"/>
        <w:adjustRightInd w:val="0"/>
        <w:snapToGrid w:val="0"/>
        <w:spacing w:line="400" w:lineRule="exact"/>
        <w:ind w:firstLine="420" w:firstLineChars="200"/>
        <w:rPr>
          <w:rFonts w:ascii="宋体" w:hAnsi="宋体" w:cs="宋体"/>
          <w:szCs w:val="21"/>
          <w:highlight w:val="none"/>
        </w:rPr>
      </w:pPr>
      <w:r>
        <w:rPr>
          <w:rFonts w:hint="eastAsia" w:ascii="宋体" w:hAnsi="宋体" w:cs="宋体"/>
          <w:szCs w:val="21"/>
          <w:highlight w:val="none"/>
        </w:rPr>
        <w:t>21.1为有利于对响应文件的比较和评议，磋商小组可要求投标人对响应文件进行澄清，必要时磋商小组可要求投标人对澄清的问题作出书面答复。</w:t>
      </w:r>
    </w:p>
    <w:p>
      <w:pPr>
        <w:kinsoku w:val="0"/>
        <w:adjustRightInd w:val="0"/>
        <w:snapToGrid w:val="0"/>
        <w:spacing w:line="400" w:lineRule="exact"/>
        <w:ind w:firstLine="420" w:firstLineChars="200"/>
        <w:rPr>
          <w:rFonts w:ascii="宋体" w:hAnsi="宋体" w:cs="宋体"/>
          <w:szCs w:val="21"/>
          <w:highlight w:val="none"/>
        </w:rPr>
      </w:pPr>
      <w:r>
        <w:rPr>
          <w:rFonts w:hint="eastAsia" w:ascii="宋体" w:hAnsi="宋体" w:cs="宋体"/>
          <w:szCs w:val="21"/>
          <w:highlight w:val="none"/>
        </w:rPr>
        <w:t>21.2评审中需要投标人对响应文件作出澄清、说明或者补正的，磋商小组和投标人应当通过政采云平台交换数据电文。给予投标人提交澄清说明或补正的时间不少于半小时，投标人已经明确表示澄清说明或补正完毕的除外。</w:t>
      </w:r>
    </w:p>
    <w:p>
      <w:pPr>
        <w:kinsoku w:val="0"/>
        <w:adjustRightInd w:val="0"/>
        <w:snapToGrid w:val="0"/>
        <w:spacing w:line="400" w:lineRule="exact"/>
        <w:ind w:firstLine="420" w:firstLineChars="200"/>
        <w:rPr>
          <w:rFonts w:ascii="宋体" w:hAnsi="宋体" w:cs="宋体"/>
          <w:szCs w:val="21"/>
          <w:highlight w:val="none"/>
        </w:rPr>
      </w:pPr>
      <w:r>
        <w:rPr>
          <w:rFonts w:hint="eastAsia" w:ascii="宋体" w:hAnsi="宋体" w:cs="宋体"/>
          <w:szCs w:val="21"/>
          <w:highlight w:val="none"/>
        </w:rPr>
        <w:t>21.3投标人通过政采云平台交换的数据电文必须进行电子签章。</w:t>
      </w:r>
    </w:p>
    <w:p>
      <w:pPr>
        <w:kinsoku w:val="0"/>
        <w:adjustRightInd w:val="0"/>
        <w:snapToGrid w:val="0"/>
        <w:spacing w:line="400" w:lineRule="exact"/>
        <w:jc w:val="center"/>
        <w:rPr>
          <w:rFonts w:ascii="宋体" w:hAnsi="宋体" w:cs="宋体"/>
          <w:b/>
          <w:szCs w:val="21"/>
          <w:highlight w:val="none"/>
        </w:rPr>
      </w:pPr>
      <w:r>
        <w:rPr>
          <w:rFonts w:hint="eastAsia" w:ascii="宋体" w:hAnsi="宋体" w:cs="宋体"/>
          <w:b/>
          <w:szCs w:val="21"/>
          <w:highlight w:val="none"/>
        </w:rPr>
        <w:t>六.无效磋商条款</w:t>
      </w:r>
    </w:p>
    <w:p>
      <w:pPr>
        <w:kinsoku w:val="0"/>
        <w:adjustRightInd w:val="0"/>
        <w:snapToGrid w:val="0"/>
        <w:spacing w:line="400" w:lineRule="exact"/>
        <w:ind w:firstLine="420" w:firstLineChars="200"/>
        <w:jc w:val="left"/>
        <w:rPr>
          <w:rFonts w:ascii="宋体" w:hAnsi="宋体" w:cs="宋体"/>
          <w:szCs w:val="21"/>
          <w:highlight w:val="none"/>
        </w:rPr>
      </w:pPr>
      <w:r>
        <w:rPr>
          <w:rFonts w:hint="eastAsia" w:ascii="宋体" w:hAnsi="宋体" w:cs="宋体"/>
          <w:szCs w:val="21"/>
          <w:highlight w:val="none"/>
        </w:rPr>
        <w:t>22.1磋商响应文件如有下列情况之一，在评审中按照无效磋商处理：</w:t>
      </w:r>
    </w:p>
    <w:p>
      <w:pPr>
        <w:kinsoku w:val="0"/>
        <w:adjustRightInd w:val="0"/>
        <w:snapToGrid w:val="0"/>
        <w:spacing w:line="400" w:lineRule="exact"/>
        <w:ind w:firstLine="210" w:firstLineChars="100"/>
        <w:jc w:val="left"/>
        <w:rPr>
          <w:rFonts w:ascii="宋体" w:hAnsi="宋体" w:cs="宋体"/>
          <w:szCs w:val="21"/>
          <w:highlight w:val="none"/>
        </w:rPr>
      </w:pPr>
      <w:r>
        <w:rPr>
          <w:rFonts w:hint="eastAsia" w:ascii="宋体" w:hAnsi="宋体" w:cs="宋体"/>
          <w:szCs w:val="21"/>
          <w:highlight w:val="none"/>
        </w:rPr>
        <w:t xml:space="preserve">  （1）应交未交《诚信记录良好承诺函》的；</w:t>
      </w:r>
    </w:p>
    <w:p>
      <w:pPr>
        <w:kinsoku w:val="0"/>
        <w:adjustRightInd w:val="0"/>
        <w:snapToGrid w:val="0"/>
        <w:spacing w:line="400" w:lineRule="exact"/>
        <w:ind w:firstLine="420" w:firstLineChars="200"/>
        <w:jc w:val="left"/>
        <w:rPr>
          <w:rFonts w:ascii="宋体" w:hAnsi="宋体" w:cs="宋体"/>
          <w:szCs w:val="21"/>
          <w:highlight w:val="none"/>
        </w:rPr>
      </w:pPr>
      <w:r>
        <w:rPr>
          <w:rFonts w:hint="eastAsia" w:ascii="宋体" w:hAnsi="宋体" w:cs="宋体"/>
          <w:szCs w:val="21"/>
          <w:highlight w:val="none"/>
        </w:rPr>
        <w:t>（2）未按照竞争性磋商文件规定要求密封、签署、盖章的；</w:t>
      </w:r>
    </w:p>
    <w:p>
      <w:pPr>
        <w:kinsoku w:val="0"/>
        <w:adjustRightInd w:val="0"/>
        <w:snapToGrid w:val="0"/>
        <w:spacing w:line="400" w:lineRule="exact"/>
        <w:jc w:val="left"/>
        <w:rPr>
          <w:rFonts w:ascii="宋体" w:hAnsi="宋体" w:cs="宋体"/>
          <w:szCs w:val="21"/>
          <w:highlight w:val="none"/>
        </w:rPr>
      </w:pPr>
      <w:r>
        <w:rPr>
          <w:rFonts w:hint="eastAsia" w:ascii="宋体" w:hAnsi="宋体" w:cs="宋体"/>
          <w:szCs w:val="21"/>
          <w:highlight w:val="none"/>
        </w:rPr>
        <w:t xml:space="preserve">    （3）不具备竞争性磋商文件中规定资格要求的；</w:t>
      </w:r>
    </w:p>
    <w:p>
      <w:pPr>
        <w:kinsoku w:val="0"/>
        <w:adjustRightInd w:val="0"/>
        <w:snapToGrid w:val="0"/>
        <w:spacing w:line="400" w:lineRule="exact"/>
        <w:ind w:firstLine="420"/>
        <w:jc w:val="left"/>
        <w:rPr>
          <w:rFonts w:ascii="宋体" w:hAnsi="宋体" w:cs="宋体"/>
          <w:szCs w:val="21"/>
          <w:highlight w:val="none"/>
        </w:rPr>
      </w:pPr>
      <w:r>
        <w:rPr>
          <w:rFonts w:hint="eastAsia" w:ascii="宋体" w:hAnsi="宋体" w:cs="宋体"/>
          <w:szCs w:val="21"/>
          <w:highlight w:val="none"/>
        </w:rPr>
        <w:t>（4）不符合法律、法规的；</w:t>
      </w:r>
    </w:p>
    <w:p>
      <w:pPr>
        <w:kinsoku w:val="0"/>
        <w:adjustRightInd w:val="0"/>
        <w:snapToGrid w:val="0"/>
        <w:spacing w:line="400" w:lineRule="exact"/>
        <w:ind w:firstLine="420"/>
        <w:jc w:val="left"/>
        <w:rPr>
          <w:rFonts w:ascii="宋体" w:hAnsi="宋体" w:cs="宋体"/>
          <w:szCs w:val="21"/>
          <w:highlight w:val="none"/>
        </w:rPr>
      </w:pPr>
      <w:r>
        <w:rPr>
          <w:rFonts w:hint="eastAsia" w:ascii="宋体" w:hAnsi="宋体" w:cs="宋体"/>
          <w:szCs w:val="21"/>
          <w:highlight w:val="none"/>
        </w:rPr>
        <w:t>（5）不符合竞争性磋商文件中规定的实质性要求并且在磋商规定的时间内无法说明和补充的。</w:t>
      </w:r>
    </w:p>
    <w:p>
      <w:pPr>
        <w:kinsoku w:val="0"/>
        <w:adjustRightInd w:val="0"/>
        <w:snapToGrid w:val="0"/>
        <w:spacing w:line="400" w:lineRule="exact"/>
        <w:ind w:firstLine="420"/>
        <w:rPr>
          <w:rFonts w:ascii="宋体" w:hAnsi="宋体" w:cs="宋体"/>
          <w:szCs w:val="21"/>
          <w:highlight w:val="none"/>
        </w:rPr>
      </w:pPr>
      <w:r>
        <w:rPr>
          <w:rFonts w:hint="eastAsia" w:ascii="宋体" w:hAnsi="宋体" w:cs="宋体"/>
          <w:szCs w:val="21"/>
          <w:highlight w:val="none"/>
        </w:rPr>
        <w:t>22.2有下列情形之一的视为投标人互相串通参加磋商采购，其响应文件将被视为无效：</w:t>
      </w:r>
    </w:p>
    <w:p>
      <w:pPr>
        <w:kinsoku w:val="0"/>
        <w:adjustRightInd w:val="0"/>
        <w:snapToGrid w:val="0"/>
        <w:spacing w:line="400" w:lineRule="exact"/>
        <w:ind w:firstLine="420"/>
        <w:rPr>
          <w:rFonts w:ascii="宋体" w:hAnsi="宋体" w:cs="宋体"/>
          <w:szCs w:val="21"/>
          <w:highlight w:val="none"/>
        </w:rPr>
      </w:pPr>
      <w:r>
        <w:rPr>
          <w:rFonts w:hint="eastAsia" w:ascii="宋体" w:hAnsi="宋体" w:cs="宋体"/>
          <w:szCs w:val="21"/>
          <w:highlight w:val="none"/>
        </w:rPr>
        <w:t>（1）不同投标人的响应文件由同一单位或者个人编制；或不同投标人报名的IP地址一致的；</w:t>
      </w:r>
    </w:p>
    <w:p>
      <w:pPr>
        <w:kinsoku w:val="0"/>
        <w:adjustRightInd w:val="0"/>
        <w:snapToGrid w:val="0"/>
        <w:spacing w:line="400" w:lineRule="exact"/>
        <w:ind w:firstLine="420"/>
        <w:rPr>
          <w:rFonts w:ascii="宋体" w:hAnsi="宋体" w:cs="宋体"/>
          <w:szCs w:val="21"/>
          <w:highlight w:val="none"/>
        </w:rPr>
      </w:pPr>
      <w:r>
        <w:rPr>
          <w:rFonts w:hint="eastAsia" w:ascii="宋体" w:hAnsi="宋体" w:cs="宋体"/>
          <w:szCs w:val="21"/>
          <w:highlight w:val="none"/>
        </w:rPr>
        <w:t>（2）不同投标人委托同一单位或者个人办理投标事宜；</w:t>
      </w:r>
    </w:p>
    <w:p>
      <w:pPr>
        <w:kinsoku w:val="0"/>
        <w:adjustRightInd w:val="0"/>
        <w:snapToGrid w:val="0"/>
        <w:spacing w:line="400" w:lineRule="exact"/>
        <w:ind w:firstLine="420"/>
        <w:rPr>
          <w:rFonts w:ascii="宋体" w:hAnsi="宋体" w:cs="宋体"/>
          <w:szCs w:val="21"/>
          <w:highlight w:val="none"/>
        </w:rPr>
      </w:pPr>
      <w:r>
        <w:rPr>
          <w:rFonts w:hint="eastAsia" w:ascii="宋体" w:hAnsi="宋体" w:cs="宋体"/>
          <w:szCs w:val="21"/>
          <w:highlight w:val="none"/>
        </w:rPr>
        <w:t>（3）不同投标人的响应文件载明的项目管理员为同一人；</w:t>
      </w:r>
    </w:p>
    <w:p>
      <w:pPr>
        <w:kinsoku w:val="0"/>
        <w:adjustRightInd w:val="0"/>
        <w:snapToGrid w:val="0"/>
        <w:spacing w:line="400" w:lineRule="exact"/>
        <w:ind w:firstLine="420"/>
        <w:rPr>
          <w:rFonts w:ascii="宋体" w:hAnsi="宋体" w:cs="宋体"/>
          <w:szCs w:val="21"/>
          <w:highlight w:val="none"/>
        </w:rPr>
      </w:pPr>
      <w:r>
        <w:rPr>
          <w:rFonts w:hint="eastAsia" w:ascii="宋体" w:hAnsi="宋体" w:cs="宋体"/>
          <w:szCs w:val="21"/>
          <w:highlight w:val="none"/>
        </w:rPr>
        <w:t>（4）不同投标人的响应文件异常一致或磋商报价呈规律性差异；</w:t>
      </w:r>
    </w:p>
    <w:p>
      <w:pPr>
        <w:kinsoku w:val="0"/>
        <w:adjustRightInd w:val="0"/>
        <w:snapToGrid w:val="0"/>
        <w:spacing w:line="400" w:lineRule="exact"/>
        <w:ind w:firstLine="420"/>
        <w:rPr>
          <w:rFonts w:ascii="宋体" w:hAnsi="宋体" w:cs="宋体"/>
          <w:szCs w:val="21"/>
          <w:highlight w:val="none"/>
        </w:rPr>
      </w:pPr>
      <w:r>
        <w:rPr>
          <w:rFonts w:hint="eastAsia" w:ascii="宋体" w:hAnsi="宋体" w:cs="宋体"/>
          <w:szCs w:val="21"/>
          <w:highlight w:val="none"/>
        </w:rPr>
        <w:t>（5）不同投标人的响应文件相互混装。</w:t>
      </w:r>
    </w:p>
    <w:p>
      <w:pPr>
        <w:kinsoku w:val="0"/>
        <w:adjustRightInd w:val="0"/>
        <w:snapToGrid w:val="0"/>
        <w:spacing w:line="400" w:lineRule="exact"/>
        <w:ind w:firstLine="411" w:firstLineChars="196"/>
        <w:rPr>
          <w:rFonts w:ascii="宋体" w:hAnsi="宋体" w:cs="宋体"/>
          <w:szCs w:val="21"/>
          <w:highlight w:val="none"/>
        </w:rPr>
      </w:pPr>
      <w:r>
        <w:rPr>
          <w:rFonts w:hint="eastAsia" w:ascii="宋体" w:hAnsi="宋体" w:cs="宋体"/>
          <w:szCs w:val="21"/>
          <w:highlight w:val="none"/>
        </w:rPr>
        <w:t>22.3废止条款</w:t>
      </w:r>
    </w:p>
    <w:p>
      <w:pPr>
        <w:kinsoku w:val="0"/>
        <w:adjustRightInd w:val="0"/>
        <w:snapToGrid w:val="0"/>
        <w:spacing w:line="400" w:lineRule="exact"/>
        <w:ind w:firstLine="411" w:firstLineChars="196"/>
        <w:rPr>
          <w:rFonts w:ascii="宋体" w:hAnsi="宋体" w:cs="宋体"/>
          <w:szCs w:val="21"/>
          <w:highlight w:val="none"/>
        </w:rPr>
      </w:pPr>
      <w:r>
        <w:rPr>
          <w:rFonts w:hint="eastAsia" w:ascii="宋体" w:hAnsi="宋体" w:cs="宋体"/>
          <w:szCs w:val="21"/>
          <w:highlight w:val="none"/>
        </w:rPr>
        <w:t>磋商采购项目出现下列情形之一的，磋商予以废止：</w:t>
      </w:r>
    </w:p>
    <w:p>
      <w:pPr>
        <w:kinsoku w:val="0"/>
        <w:adjustRightInd w:val="0"/>
        <w:snapToGrid w:val="0"/>
        <w:spacing w:line="400" w:lineRule="exact"/>
        <w:ind w:left="420" w:leftChars="200" w:firstLine="4" w:firstLineChars="2"/>
        <w:jc w:val="left"/>
        <w:rPr>
          <w:rFonts w:ascii="宋体" w:hAnsi="宋体" w:cs="宋体"/>
          <w:bCs/>
          <w:szCs w:val="21"/>
          <w:highlight w:val="none"/>
        </w:rPr>
      </w:pPr>
      <w:r>
        <w:rPr>
          <w:rFonts w:hint="eastAsia" w:ascii="宋体" w:hAnsi="宋体" w:cs="宋体"/>
          <w:szCs w:val="21"/>
          <w:highlight w:val="none"/>
        </w:rPr>
        <w:t>（1）出现影响采购公正的违法、违规行为的；</w:t>
      </w:r>
    </w:p>
    <w:p>
      <w:pPr>
        <w:kinsoku w:val="0"/>
        <w:adjustRightInd w:val="0"/>
        <w:snapToGrid w:val="0"/>
        <w:spacing w:line="400" w:lineRule="exact"/>
        <w:ind w:firstLine="420"/>
        <w:rPr>
          <w:rFonts w:ascii="宋体" w:hAnsi="宋体" w:cs="宋体"/>
          <w:szCs w:val="21"/>
          <w:highlight w:val="none"/>
        </w:rPr>
      </w:pPr>
      <w:r>
        <w:rPr>
          <w:rFonts w:hint="eastAsia" w:ascii="宋体" w:hAnsi="宋体" w:cs="宋体"/>
          <w:szCs w:val="21"/>
          <w:highlight w:val="none"/>
        </w:rPr>
        <w:t>（2）投标人的最终报价均超过了</w:t>
      </w:r>
      <w:r>
        <w:rPr>
          <w:rFonts w:hint="eastAsia" w:ascii="宋体" w:hAnsi="宋体" w:cs="宋体"/>
          <w:bCs/>
          <w:szCs w:val="21"/>
          <w:highlight w:val="none"/>
        </w:rPr>
        <w:t>本项目采购预算</w:t>
      </w:r>
      <w:r>
        <w:rPr>
          <w:rFonts w:hint="eastAsia" w:ascii="宋体" w:hAnsi="宋体" w:cs="宋体"/>
          <w:szCs w:val="21"/>
          <w:highlight w:val="none"/>
        </w:rPr>
        <w:t>，采购人不能支付的；</w:t>
      </w:r>
    </w:p>
    <w:p>
      <w:pPr>
        <w:kinsoku w:val="0"/>
        <w:adjustRightInd w:val="0"/>
        <w:snapToGrid w:val="0"/>
        <w:spacing w:line="400" w:lineRule="exact"/>
        <w:ind w:firstLine="420"/>
        <w:rPr>
          <w:rFonts w:ascii="宋体" w:hAnsi="宋体" w:cs="宋体"/>
          <w:szCs w:val="21"/>
          <w:highlight w:val="none"/>
        </w:rPr>
      </w:pPr>
      <w:r>
        <w:rPr>
          <w:rFonts w:hint="eastAsia" w:ascii="宋体" w:hAnsi="宋体" w:cs="宋体"/>
          <w:szCs w:val="21"/>
          <w:highlight w:val="none"/>
        </w:rPr>
        <w:t>（3）因重大变故，采购任务取消的。</w:t>
      </w:r>
    </w:p>
    <w:p>
      <w:pPr>
        <w:kinsoku w:val="0"/>
        <w:spacing w:line="400" w:lineRule="exact"/>
        <w:ind w:left="420" w:leftChars="200"/>
        <w:rPr>
          <w:rFonts w:ascii="宋体" w:hAnsi="宋体" w:cs="宋体"/>
          <w:kern w:val="0"/>
          <w:szCs w:val="21"/>
          <w:highlight w:val="none"/>
        </w:rPr>
      </w:pPr>
      <w:r>
        <w:rPr>
          <w:rFonts w:hint="eastAsia" w:ascii="宋体" w:hAnsi="宋体" w:cs="宋体"/>
          <w:szCs w:val="21"/>
          <w:highlight w:val="none"/>
        </w:rPr>
        <w:t>22.4</w:t>
      </w:r>
      <w:r>
        <w:rPr>
          <w:rFonts w:hint="eastAsia" w:ascii="宋体" w:hAnsi="宋体" w:cs="宋体"/>
          <w:kern w:val="0"/>
          <w:szCs w:val="21"/>
          <w:highlight w:val="none"/>
        </w:rPr>
        <w:t>有下列情形之一的，属于恶意串通，对投标人根据政府采购法第七十七条第一款的规定追究法律</w:t>
      </w:r>
    </w:p>
    <w:p>
      <w:pPr>
        <w:kinsoku w:val="0"/>
        <w:spacing w:line="400" w:lineRule="exact"/>
        <w:ind w:left="420" w:hanging="420" w:hangingChars="200"/>
        <w:rPr>
          <w:rFonts w:ascii="宋体" w:hAnsi="宋体" w:cs="宋体"/>
          <w:kern w:val="0"/>
          <w:szCs w:val="21"/>
          <w:highlight w:val="none"/>
        </w:rPr>
      </w:pPr>
      <w:r>
        <w:rPr>
          <w:rFonts w:hint="eastAsia" w:ascii="宋体" w:hAnsi="宋体" w:cs="宋体"/>
          <w:kern w:val="0"/>
          <w:szCs w:val="21"/>
          <w:highlight w:val="none"/>
        </w:rPr>
        <w:t>责任，对采购人、采购代理机构及其工作人员根据政府采购法第七十二条的规定追究法律责任：</w:t>
      </w:r>
      <w:r>
        <w:rPr>
          <w:rFonts w:hint="eastAsia" w:ascii="宋体" w:hAnsi="宋体" w:cs="宋体"/>
          <w:kern w:val="0"/>
          <w:szCs w:val="21"/>
          <w:highlight w:val="none"/>
        </w:rPr>
        <w:br w:type="textWrapping"/>
      </w:r>
      <w:r>
        <w:rPr>
          <w:rFonts w:hint="eastAsia" w:ascii="宋体" w:hAnsi="宋体" w:cs="宋体"/>
          <w:kern w:val="0"/>
          <w:szCs w:val="21"/>
          <w:highlight w:val="none"/>
        </w:rPr>
        <w:t>（1）投标人直接或者间接从采购人或者采购代理机构处获得其他投标人的相关情况并修改其投标文件</w:t>
      </w:r>
    </w:p>
    <w:p>
      <w:pPr>
        <w:kinsoku w:val="0"/>
        <w:spacing w:line="400" w:lineRule="exact"/>
        <w:ind w:left="420" w:hanging="420" w:hangingChars="200"/>
        <w:rPr>
          <w:rFonts w:ascii="宋体" w:hAnsi="宋体" w:cs="宋体"/>
          <w:kern w:val="0"/>
          <w:szCs w:val="21"/>
          <w:highlight w:val="none"/>
        </w:rPr>
      </w:pPr>
      <w:r>
        <w:rPr>
          <w:rFonts w:hint="eastAsia" w:ascii="宋体" w:hAnsi="宋体" w:cs="宋体"/>
          <w:kern w:val="0"/>
          <w:szCs w:val="21"/>
          <w:highlight w:val="none"/>
        </w:rPr>
        <w:t>或者响应文件；</w:t>
      </w:r>
      <w:r>
        <w:rPr>
          <w:rFonts w:hint="eastAsia" w:ascii="宋体" w:hAnsi="宋体" w:cs="宋体"/>
          <w:kern w:val="0"/>
          <w:szCs w:val="21"/>
          <w:highlight w:val="none"/>
        </w:rPr>
        <w:br w:type="textWrapping"/>
      </w:r>
      <w:r>
        <w:rPr>
          <w:rFonts w:hint="eastAsia" w:ascii="宋体" w:hAnsi="宋体" w:cs="宋体"/>
          <w:kern w:val="0"/>
          <w:szCs w:val="21"/>
          <w:highlight w:val="none"/>
        </w:rPr>
        <w:t>（2）投标人按照采购人或者采购代理机构的授意撤换、修改投标文件或者响应文件；</w:t>
      </w:r>
      <w:r>
        <w:rPr>
          <w:rFonts w:hint="eastAsia" w:ascii="宋体" w:hAnsi="宋体" w:cs="宋体"/>
          <w:kern w:val="0"/>
          <w:szCs w:val="21"/>
          <w:highlight w:val="none"/>
        </w:rPr>
        <w:br w:type="textWrapping"/>
      </w:r>
      <w:r>
        <w:rPr>
          <w:rFonts w:hint="eastAsia" w:ascii="宋体" w:hAnsi="宋体" w:cs="宋体"/>
          <w:kern w:val="0"/>
          <w:szCs w:val="21"/>
          <w:highlight w:val="none"/>
        </w:rPr>
        <w:t>（3）投标人之间协商报价、技术方案等投标文件或者响应文件的实质性内容；</w:t>
      </w:r>
      <w:r>
        <w:rPr>
          <w:rFonts w:hint="eastAsia" w:ascii="宋体" w:hAnsi="宋体" w:cs="宋体"/>
          <w:kern w:val="0"/>
          <w:szCs w:val="21"/>
          <w:highlight w:val="none"/>
        </w:rPr>
        <w:br w:type="textWrapping"/>
      </w:r>
      <w:r>
        <w:rPr>
          <w:rFonts w:hint="eastAsia" w:ascii="宋体" w:hAnsi="宋体" w:cs="宋体"/>
          <w:kern w:val="0"/>
          <w:szCs w:val="21"/>
          <w:highlight w:val="none"/>
        </w:rPr>
        <w:t>（4）属于同一集团、协会、商会等组织成员的投标人按照该组织要求协同参加政府采购活动；</w:t>
      </w:r>
      <w:r>
        <w:rPr>
          <w:rFonts w:hint="eastAsia" w:ascii="宋体" w:hAnsi="宋体" w:cs="宋体"/>
          <w:kern w:val="0"/>
          <w:szCs w:val="21"/>
          <w:highlight w:val="none"/>
        </w:rPr>
        <w:br w:type="textWrapping"/>
      </w:r>
      <w:r>
        <w:rPr>
          <w:rFonts w:hint="eastAsia" w:ascii="宋体" w:hAnsi="宋体" w:cs="宋体"/>
          <w:kern w:val="0"/>
          <w:szCs w:val="21"/>
          <w:highlight w:val="none"/>
        </w:rPr>
        <w:t>（5）投标人之间事先约定由某一特定投标人中标、成交；</w:t>
      </w:r>
      <w:r>
        <w:rPr>
          <w:rFonts w:hint="eastAsia" w:ascii="宋体" w:hAnsi="宋体" w:cs="宋体"/>
          <w:kern w:val="0"/>
          <w:szCs w:val="21"/>
          <w:highlight w:val="none"/>
        </w:rPr>
        <w:br w:type="textWrapping"/>
      </w:r>
      <w:r>
        <w:rPr>
          <w:rFonts w:hint="eastAsia" w:ascii="宋体" w:hAnsi="宋体" w:cs="宋体"/>
          <w:kern w:val="0"/>
          <w:szCs w:val="21"/>
          <w:highlight w:val="none"/>
        </w:rPr>
        <w:t>（6）投标人之间商定部分投标人放弃参加政府采购活动或者放弃中标、成交；</w:t>
      </w:r>
      <w:r>
        <w:rPr>
          <w:rFonts w:hint="eastAsia" w:ascii="宋体" w:hAnsi="宋体" w:cs="宋体"/>
          <w:kern w:val="0"/>
          <w:szCs w:val="21"/>
          <w:highlight w:val="none"/>
        </w:rPr>
        <w:br w:type="textWrapping"/>
      </w:r>
      <w:r>
        <w:rPr>
          <w:rFonts w:hint="eastAsia" w:ascii="宋体" w:hAnsi="宋体" w:cs="宋体"/>
          <w:kern w:val="0"/>
          <w:szCs w:val="21"/>
          <w:highlight w:val="none"/>
        </w:rPr>
        <w:t>（7）投标人与采购人或者采购代理机构之间、投标人相互之间，为谋求特定投标人中标、成交或者排</w:t>
      </w:r>
    </w:p>
    <w:p>
      <w:pPr>
        <w:kinsoku w:val="0"/>
        <w:spacing w:line="400" w:lineRule="exact"/>
        <w:rPr>
          <w:rFonts w:ascii="宋体" w:hAnsi="宋体" w:cs="宋体"/>
          <w:kern w:val="0"/>
          <w:szCs w:val="21"/>
          <w:highlight w:val="none"/>
        </w:rPr>
      </w:pPr>
      <w:r>
        <w:rPr>
          <w:rFonts w:hint="eastAsia" w:ascii="宋体" w:hAnsi="宋体" w:cs="宋体"/>
          <w:kern w:val="0"/>
          <w:highlight w:val="none"/>
        </w:rPr>
        <w:t>斥其他投标人的其他串通行为。</w:t>
      </w:r>
    </w:p>
    <w:p>
      <w:pPr>
        <w:kinsoku w:val="0"/>
        <w:adjustRightInd w:val="0"/>
        <w:snapToGrid w:val="0"/>
        <w:spacing w:line="400" w:lineRule="exact"/>
        <w:jc w:val="center"/>
        <w:rPr>
          <w:rFonts w:ascii="宋体" w:hAnsi="宋体" w:cs="宋体"/>
          <w:b/>
          <w:szCs w:val="21"/>
          <w:highlight w:val="none"/>
        </w:rPr>
      </w:pPr>
      <w:r>
        <w:rPr>
          <w:rFonts w:hint="eastAsia" w:ascii="宋体" w:hAnsi="宋体" w:cs="宋体"/>
          <w:b/>
          <w:szCs w:val="21"/>
          <w:highlight w:val="none"/>
        </w:rPr>
        <w:t>七.确定成交供应商办法</w:t>
      </w:r>
    </w:p>
    <w:p>
      <w:pPr>
        <w:kinsoku w:val="0"/>
        <w:adjustRightInd w:val="0"/>
        <w:snapToGrid w:val="0"/>
        <w:spacing w:line="400" w:lineRule="exact"/>
        <w:ind w:firstLine="420" w:firstLineChars="200"/>
        <w:jc w:val="left"/>
        <w:rPr>
          <w:rFonts w:ascii="宋体" w:hAnsi="宋体" w:cs="宋体"/>
          <w:kern w:val="0"/>
          <w:szCs w:val="21"/>
          <w:highlight w:val="none"/>
        </w:rPr>
      </w:pPr>
      <w:r>
        <w:rPr>
          <w:rFonts w:hint="eastAsia" w:ascii="宋体" w:hAnsi="宋体" w:cs="宋体"/>
          <w:kern w:val="0"/>
          <w:szCs w:val="21"/>
          <w:highlight w:val="none"/>
        </w:rPr>
        <w:t>23.1 根据以下原则确定成交供应商：</w:t>
      </w:r>
    </w:p>
    <w:p>
      <w:pPr>
        <w:kinsoku w:val="0"/>
        <w:adjustRightInd w:val="0"/>
        <w:snapToGrid w:val="0"/>
        <w:spacing w:line="400" w:lineRule="exact"/>
        <w:ind w:firstLine="420" w:firstLineChars="200"/>
        <w:jc w:val="left"/>
        <w:rPr>
          <w:rFonts w:ascii="宋体" w:hAnsi="宋体" w:cs="宋体"/>
          <w:kern w:val="0"/>
          <w:szCs w:val="21"/>
          <w:highlight w:val="none"/>
        </w:rPr>
      </w:pPr>
      <w:r>
        <w:rPr>
          <w:rFonts w:hint="eastAsia" w:ascii="宋体" w:hAnsi="宋体" w:cs="宋体"/>
          <w:kern w:val="0"/>
          <w:highlight w:val="none"/>
        </w:rPr>
        <w:t>23.2在质量和服务均能满足</w:t>
      </w:r>
      <w:r>
        <w:rPr>
          <w:rFonts w:hint="eastAsia" w:ascii="宋体" w:hAnsi="宋体" w:cs="宋体"/>
          <w:highlight w:val="none"/>
        </w:rPr>
        <w:t>竞争性磋商文件</w:t>
      </w:r>
      <w:r>
        <w:rPr>
          <w:rFonts w:hint="eastAsia" w:ascii="宋体" w:hAnsi="宋体" w:cs="宋体"/>
          <w:kern w:val="0"/>
          <w:highlight w:val="none"/>
        </w:rPr>
        <w:t>实质性响应要求的投标人中按第六章的评标办法及评分标准确定的原则确定成交供应商。</w:t>
      </w:r>
    </w:p>
    <w:p>
      <w:pPr>
        <w:kinsoku w:val="0"/>
        <w:adjustRightInd w:val="0"/>
        <w:snapToGrid w:val="0"/>
        <w:spacing w:line="400" w:lineRule="exact"/>
        <w:jc w:val="center"/>
        <w:rPr>
          <w:rFonts w:ascii="宋体" w:hAnsi="宋体" w:cs="宋体"/>
          <w:b/>
          <w:szCs w:val="21"/>
          <w:highlight w:val="none"/>
        </w:rPr>
      </w:pPr>
      <w:r>
        <w:rPr>
          <w:rFonts w:hint="eastAsia" w:ascii="宋体" w:hAnsi="宋体" w:cs="宋体"/>
          <w:b/>
          <w:szCs w:val="21"/>
          <w:highlight w:val="none"/>
        </w:rPr>
        <w:t>八.成交公告</w:t>
      </w:r>
    </w:p>
    <w:p>
      <w:pPr>
        <w:kinsoku w:val="0"/>
        <w:adjustRightInd w:val="0"/>
        <w:snapToGrid w:val="0"/>
        <w:spacing w:line="400" w:lineRule="exact"/>
        <w:ind w:firstLine="420" w:firstLineChars="200"/>
        <w:rPr>
          <w:rFonts w:ascii="宋体" w:hAnsi="宋体" w:cs="宋体"/>
          <w:szCs w:val="21"/>
          <w:highlight w:val="none"/>
        </w:rPr>
      </w:pPr>
      <w:r>
        <w:rPr>
          <w:rFonts w:hint="eastAsia" w:ascii="宋体" w:hAnsi="宋体" w:cs="宋体"/>
          <w:szCs w:val="21"/>
          <w:highlight w:val="none"/>
        </w:rPr>
        <w:t>24.1采购代理机构在评审结束后2个工作日内将磋商评审报告送采购人确认，</w:t>
      </w:r>
      <w:r>
        <w:rPr>
          <w:rFonts w:hint="eastAsia" w:ascii="宋体" w:hAnsi="宋体" w:cs="宋体"/>
          <w:kern w:val="0"/>
          <w:szCs w:val="21"/>
          <w:highlight w:val="none"/>
        </w:rPr>
        <w:t>采购人</w:t>
      </w:r>
      <w:r>
        <w:rPr>
          <w:rFonts w:hint="eastAsia" w:ascii="宋体" w:hAnsi="宋体" w:cs="宋体"/>
          <w:szCs w:val="21"/>
          <w:highlight w:val="none"/>
        </w:rPr>
        <w:t>确认后，成交公告将在中国政府采购网(www.ccgp.gov.cn) 、广西政府采购网（http://zfcg.gxzf.gov.cn/）、</w:t>
      </w:r>
      <w:r>
        <w:rPr>
          <w:rFonts w:hint="eastAsia" w:ascii="宋体" w:hAnsi="宋体" w:cs="宋体"/>
          <w:szCs w:val="21"/>
          <w:highlight w:val="none"/>
          <w:lang w:eastAsia="zh-CN"/>
        </w:rPr>
        <w:t>北海市公共资源交易平台（广西.北海）http://ggzy.jgswj.gxzf.gov.cn/bhggzy/</w:t>
      </w:r>
      <w:r>
        <w:rPr>
          <w:rFonts w:hint="eastAsia" w:ascii="宋体" w:hAnsi="宋体" w:cs="宋体"/>
          <w:szCs w:val="21"/>
          <w:highlight w:val="none"/>
        </w:rPr>
        <w:t>）上发布，</w:t>
      </w:r>
      <w:r>
        <w:rPr>
          <w:rFonts w:hint="eastAsia" w:ascii="宋体" w:hAnsi="宋体" w:cs="宋体"/>
          <w:kern w:val="0"/>
          <w:szCs w:val="21"/>
          <w:highlight w:val="none"/>
        </w:rPr>
        <w:t>同时向成交供应商发出成交通知书</w:t>
      </w:r>
      <w:r>
        <w:rPr>
          <w:rFonts w:hint="eastAsia" w:ascii="宋体" w:hAnsi="宋体" w:cs="宋体"/>
          <w:szCs w:val="21"/>
          <w:highlight w:val="none"/>
        </w:rPr>
        <w:t>。</w:t>
      </w:r>
    </w:p>
    <w:p>
      <w:pPr>
        <w:kinsoku w:val="0"/>
        <w:adjustRightInd w:val="0"/>
        <w:snapToGrid w:val="0"/>
        <w:spacing w:line="400" w:lineRule="exact"/>
        <w:ind w:left="105" w:firstLine="315"/>
        <w:rPr>
          <w:rFonts w:ascii="宋体" w:hAnsi="宋体" w:cs="宋体"/>
          <w:bCs/>
          <w:szCs w:val="21"/>
          <w:highlight w:val="none"/>
        </w:rPr>
      </w:pPr>
      <w:r>
        <w:rPr>
          <w:rFonts w:hint="eastAsia" w:ascii="宋体" w:hAnsi="宋体" w:cs="宋体"/>
          <w:szCs w:val="21"/>
          <w:highlight w:val="none"/>
        </w:rPr>
        <w:t>24.2投标人如对成交公告有异议，可</w:t>
      </w:r>
      <w:r>
        <w:rPr>
          <w:rFonts w:hint="eastAsia" w:ascii="宋体" w:hAnsi="宋体" w:cs="宋体"/>
          <w:bCs/>
          <w:szCs w:val="21"/>
          <w:highlight w:val="none"/>
        </w:rPr>
        <w:t>以在成交公告期满之日起七个工作日内以书面形式向采购代理机构提出质疑。采购代理机构将在收到</w:t>
      </w:r>
      <w:r>
        <w:rPr>
          <w:rFonts w:hint="eastAsia" w:ascii="宋体" w:hAnsi="宋体" w:cs="宋体"/>
          <w:szCs w:val="21"/>
          <w:highlight w:val="none"/>
        </w:rPr>
        <w:t>投标人</w:t>
      </w:r>
      <w:r>
        <w:rPr>
          <w:rFonts w:hint="eastAsia" w:ascii="宋体" w:hAnsi="宋体" w:cs="宋体"/>
          <w:bCs/>
          <w:szCs w:val="21"/>
          <w:highlight w:val="none"/>
        </w:rPr>
        <w:t>的书面质疑后七个工作日内做出答复，但答复的内容不得涉及商业秘密。</w:t>
      </w:r>
    </w:p>
    <w:p>
      <w:pPr>
        <w:kinsoku w:val="0"/>
        <w:adjustRightInd w:val="0"/>
        <w:snapToGrid w:val="0"/>
        <w:spacing w:line="400" w:lineRule="exact"/>
        <w:ind w:firstLine="420" w:firstLineChars="200"/>
        <w:rPr>
          <w:rFonts w:ascii="宋体" w:hAnsi="宋体" w:cs="宋体"/>
          <w:szCs w:val="21"/>
          <w:highlight w:val="none"/>
        </w:rPr>
      </w:pPr>
      <w:r>
        <w:rPr>
          <w:rFonts w:hint="eastAsia" w:ascii="宋体" w:hAnsi="宋体" w:cs="宋体"/>
          <w:szCs w:val="21"/>
          <w:highlight w:val="none"/>
        </w:rPr>
        <w:t>质疑联系部门及电话为：广西新宇建设项目管理有限公司          0779-3969698</w:t>
      </w:r>
    </w:p>
    <w:p>
      <w:pPr>
        <w:kinsoku w:val="0"/>
        <w:spacing w:line="400" w:lineRule="exact"/>
        <w:ind w:firstLine="420" w:firstLineChars="200"/>
        <w:rPr>
          <w:rFonts w:ascii="宋体" w:hAnsi="宋体" w:cs="宋体"/>
          <w:b/>
          <w:szCs w:val="21"/>
          <w:highlight w:val="none"/>
        </w:rPr>
      </w:pPr>
      <w:r>
        <w:rPr>
          <w:rFonts w:hint="eastAsia" w:ascii="宋体" w:hAnsi="宋体" w:cs="宋体"/>
          <w:szCs w:val="21"/>
          <w:highlight w:val="none"/>
        </w:rPr>
        <w:t>投诉联系部门及电话为：</w:t>
      </w:r>
      <w:r>
        <w:rPr>
          <w:rFonts w:hint="eastAsia" w:hAnsi="宋体" w:cs="宋体"/>
          <w:kern w:val="0"/>
          <w:highlight w:val="none"/>
        </w:rPr>
        <w:t>广西壮族自治区财政厅政府采购监督管理处</w:t>
      </w:r>
      <w:r>
        <w:rPr>
          <w:rFonts w:hint="eastAsia" w:ascii="宋体" w:hAnsi="宋体" w:cs="宋体"/>
          <w:szCs w:val="21"/>
          <w:highlight w:val="none"/>
        </w:rPr>
        <w:t xml:space="preserve">  0771-5331544</w:t>
      </w:r>
    </w:p>
    <w:p>
      <w:pPr>
        <w:kinsoku w:val="0"/>
        <w:spacing w:line="400" w:lineRule="exact"/>
        <w:jc w:val="center"/>
        <w:rPr>
          <w:rFonts w:ascii="宋体" w:hAnsi="宋体" w:cs="宋体"/>
          <w:b/>
          <w:szCs w:val="21"/>
          <w:highlight w:val="none"/>
        </w:rPr>
      </w:pPr>
      <w:r>
        <w:rPr>
          <w:rFonts w:hint="eastAsia" w:ascii="宋体" w:hAnsi="宋体" w:cs="宋体"/>
          <w:b/>
          <w:szCs w:val="21"/>
          <w:highlight w:val="none"/>
        </w:rPr>
        <w:t>九、履约金</w:t>
      </w:r>
    </w:p>
    <w:p>
      <w:pPr>
        <w:kinsoku w:val="0"/>
        <w:adjustRightInd w:val="0"/>
        <w:snapToGrid w:val="0"/>
        <w:spacing w:line="400" w:lineRule="exact"/>
        <w:ind w:firstLine="420" w:firstLineChars="200"/>
        <w:rPr>
          <w:rFonts w:hint="eastAsia" w:ascii="宋体" w:hAnsi="宋体" w:cs="宋体"/>
          <w:color w:val="auto"/>
          <w:kern w:val="2"/>
          <w:sz w:val="21"/>
          <w:szCs w:val="21"/>
          <w:highlight w:val="none"/>
        </w:rPr>
      </w:pPr>
      <w:r>
        <w:rPr>
          <w:rFonts w:hint="eastAsia" w:ascii="宋体" w:hAnsi="宋体" w:cs="宋体"/>
          <w:szCs w:val="21"/>
          <w:highlight w:val="none"/>
        </w:rPr>
        <w:t>25.</w:t>
      </w:r>
      <w:r>
        <w:rPr>
          <w:rFonts w:hint="eastAsia" w:ascii="宋体" w:hAnsi="宋体" w:cs="宋体"/>
          <w:color w:val="auto"/>
          <w:kern w:val="2"/>
          <w:sz w:val="21"/>
          <w:szCs w:val="21"/>
          <w:highlight w:val="none"/>
        </w:rPr>
        <w:t>本合同签订以及具备实施条件后 15 个日历日内，成交供应商向采购人提供合同总金额2%的履约保证金，履约保证金收取形式为银行保函，有效期不少于20个月。如成交供应商不按合同约定的内容履约，则扣除其履约金，履约金不足以赔偿损失的，按实际损失赔偿。</w:t>
      </w:r>
    </w:p>
    <w:p>
      <w:pPr>
        <w:kinsoku w:val="0"/>
        <w:adjustRightInd w:val="0"/>
        <w:snapToGrid w:val="0"/>
        <w:spacing w:line="400" w:lineRule="exact"/>
        <w:ind w:firstLine="420" w:firstLineChars="200"/>
        <w:rPr>
          <w:rFonts w:hint="eastAsia" w:ascii="宋体" w:hAnsi="宋体" w:cs="宋体"/>
          <w:color w:val="auto"/>
          <w:kern w:val="2"/>
          <w:sz w:val="21"/>
          <w:szCs w:val="21"/>
          <w:highlight w:val="none"/>
        </w:rPr>
      </w:pPr>
      <w:r>
        <w:rPr>
          <w:rFonts w:hint="eastAsia" w:ascii="宋体" w:hAnsi="宋体" w:cs="宋体"/>
          <w:color w:val="auto"/>
          <w:kern w:val="2"/>
          <w:sz w:val="21"/>
          <w:szCs w:val="21"/>
          <w:highlight w:val="none"/>
        </w:rPr>
        <w:t>合同期限满后，由成交供应商向采购人提供《广西壮族自治区政府采购项目合同验收书》及《政府采购项目履约保证金退付意见书》，采购人在收到合格材料后15个工作日内办理退还手续（不计利息），将因违约（如有）被扣除后剩余的履约金无息退还给成交供应商。成交供应商不及时办理退还履约金手续所造成的一切后果，由成交供应商自行承担。</w:t>
      </w:r>
    </w:p>
    <w:p>
      <w:pPr>
        <w:kinsoku w:val="0"/>
        <w:adjustRightInd w:val="0"/>
        <w:snapToGrid w:val="0"/>
        <w:spacing w:line="400" w:lineRule="exact"/>
        <w:ind w:firstLine="420" w:firstLineChars="200"/>
        <w:rPr>
          <w:rFonts w:ascii="宋体" w:hAnsi="宋体" w:cs="宋体"/>
          <w:bCs/>
          <w:szCs w:val="21"/>
          <w:highlight w:val="none"/>
        </w:rPr>
      </w:pPr>
      <w:r>
        <w:rPr>
          <w:rFonts w:hint="eastAsia" w:ascii="宋体" w:hAnsi="宋体" w:cs="宋体"/>
          <w:color w:val="auto"/>
          <w:kern w:val="2"/>
          <w:sz w:val="21"/>
          <w:szCs w:val="21"/>
          <w:highlight w:val="none"/>
        </w:rPr>
        <w:t>履约金因违约等原因被扣除，数额不足的，成交供应商应及时补足。</w:t>
      </w:r>
    </w:p>
    <w:p>
      <w:pPr>
        <w:kinsoku w:val="0"/>
        <w:adjustRightInd w:val="0"/>
        <w:snapToGrid w:val="0"/>
        <w:spacing w:line="400" w:lineRule="exact"/>
        <w:jc w:val="center"/>
        <w:rPr>
          <w:rFonts w:ascii="宋体" w:hAnsi="宋体" w:cs="宋体"/>
          <w:b/>
          <w:szCs w:val="21"/>
          <w:highlight w:val="none"/>
        </w:rPr>
      </w:pPr>
      <w:r>
        <w:rPr>
          <w:rFonts w:hint="eastAsia" w:ascii="宋体" w:hAnsi="宋体" w:cs="宋体"/>
          <w:b/>
          <w:szCs w:val="21"/>
          <w:highlight w:val="none"/>
        </w:rPr>
        <w:t>十、签订合同</w:t>
      </w:r>
    </w:p>
    <w:p>
      <w:pPr>
        <w:kinsoku w:val="0"/>
        <w:adjustRightInd w:val="0"/>
        <w:snapToGrid w:val="0"/>
        <w:spacing w:line="400" w:lineRule="exact"/>
        <w:ind w:firstLine="420" w:firstLineChars="200"/>
        <w:rPr>
          <w:rFonts w:ascii="宋体" w:hAnsi="宋体" w:cs="宋体"/>
          <w:highlight w:val="none"/>
        </w:rPr>
      </w:pPr>
      <w:r>
        <w:rPr>
          <w:rFonts w:hint="eastAsia" w:ascii="宋体" w:hAnsi="宋体" w:cs="宋体"/>
          <w:highlight w:val="none"/>
        </w:rPr>
        <w:t>26.1成交供应商</w:t>
      </w:r>
      <w:r>
        <w:rPr>
          <w:rFonts w:hint="eastAsia" w:ascii="宋体" w:hAnsi="宋体" w:cs="宋体"/>
          <w:kern w:val="0"/>
          <w:szCs w:val="21"/>
          <w:highlight w:val="none"/>
        </w:rPr>
        <w:t>自成交公告发出之日起</w:t>
      </w:r>
      <w:r>
        <w:rPr>
          <w:rFonts w:hint="eastAsia" w:ascii="宋体" w:hAnsi="宋体" w:cs="宋体"/>
          <w:kern w:val="0"/>
          <w:szCs w:val="21"/>
          <w:highlight w:val="none"/>
          <w:u w:val="single"/>
        </w:rPr>
        <w:t xml:space="preserve"> </w:t>
      </w:r>
      <w:r>
        <w:rPr>
          <w:rFonts w:hint="eastAsia" w:ascii="宋体" w:hAnsi="宋体" w:cs="宋体"/>
          <w:kern w:val="0"/>
          <w:szCs w:val="21"/>
          <w:highlight w:val="none"/>
          <w:u w:val="single"/>
          <w:lang w:val="en-US" w:eastAsia="zh-CN"/>
        </w:rPr>
        <w:t>8</w:t>
      </w:r>
      <w:r>
        <w:rPr>
          <w:rFonts w:hint="eastAsia" w:ascii="宋体" w:hAnsi="宋体" w:cs="宋体"/>
          <w:kern w:val="0"/>
          <w:szCs w:val="21"/>
          <w:highlight w:val="none"/>
        </w:rPr>
        <w:t>个工作日内与采购人签订</w:t>
      </w:r>
      <w:r>
        <w:rPr>
          <w:rFonts w:hint="eastAsia" w:ascii="宋体" w:hAnsi="宋体" w:cs="宋体"/>
          <w:highlight w:val="none"/>
        </w:rPr>
        <w:t>采购合同。</w:t>
      </w:r>
    </w:p>
    <w:p>
      <w:pPr>
        <w:kinsoku w:val="0"/>
        <w:adjustRightInd w:val="0"/>
        <w:snapToGrid w:val="0"/>
        <w:spacing w:line="400" w:lineRule="exact"/>
        <w:ind w:firstLine="420" w:firstLineChars="200"/>
        <w:rPr>
          <w:rFonts w:ascii="宋体" w:hAnsi="宋体" w:cs="宋体"/>
          <w:highlight w:val="none"/>
        </w:rPr>
      </w:pPr>
      <w:r>
        <w:rPr>
          <w:rFonts w:hint="eastAsia" w:ascii="宋体" w:hAnsi="宋体" w:cs="宋体"/>
          <w:highlight w:val="none"/>
        </w:rPr>
        <w:t>26.2</w:t>
      </w:r>
      <w:r>
        <w:rPr>
          <w:rFonts w:hint="eastAsia" w:ascii="宋体" w:hAnsi="宋体" w:cs="宋体"/>
          <w:b/>
          <w:bCs/>
          <w:highlight w:val="none"/>
        </w:rPr>
        <w:t>成交供应商须在合同签订生效之日起1个工作日内，将政府采购合同扫描件发送到采购代理机构邮箱，并将政府采购合同原件2份送达到采购代理机构。</w:t>
      </w:r>
    </w:p>
    <w:p>
      <w:pPr>
        <w:kinsoku w:val="0"/>
        <w:adjustRightInd w:val="0"/>
        <w:snapToGrid w:val="0"/>
        <w:spacing w:line="400" w:lineRule="exact"/>
        <w:ind w:firstLine="420" w:firstLineChars="200"/>
        <w:rPr>
          <w:rFonts w:ascii="宋体" w:hAnsi="宋体" w:cs="宋体"/>
          <w:highlight w:val="none"/>
        </w:rPr>
      </w:pPr>
      <w:r>
        <w:rPr>
          <w:rFonts w:hint="eastAsia" w:ascii="宋体" w:hAnsi="宋体" w:cs="宋体"/>
          <w:highlight w:val="none"/>
        </w:rPr>
        <w:t>26.3</w:t>
      </w:r>
      <w:r>
        <w:rPr>
          <w:rFonts w:hint="eastAsia" w:ascii="宋体" w:hAnsi="宋体" w:cs="宋体"/>
          <w:kern w:val="0"/>
          <w:szCs w:val="21"/>
          <w:highlight w:val="none"/>
        </w:rPr>
        <w:t>成交供应商</w:t>
      </w:r>
      <w:r>
        <w:rPr>
          <w:rFonts w:hint="eastAsia" w:ascii="宋体" w:hAnsi="宋体" w:cs="宋体"/>
          <w:highlight w:val="none"/>
        </w:rPr>
        <w:t>拒绝或因故不能签订采购合同或不能履行合同的，采购人可以根据磋商评审报告确定成交供应商之后排名第一的成交候选人</w:t>
      </w:r>
      <w:r>
        <w:rPr>
          <w:rFonts w:hint="eastAsia" w:ascii="宋体" w:hAnsi="宋体" w:cs="宋体"/>
          <w:kern w:val="0"/>
          <w:szCs w:val="21"/>
          <w:highlight w:val="none"/>
        </w:rPr>
        <w:t>作为</w:t>
      </w:r>
      <w:r>
        <w:rPr>
          <w:rFonts w:hint="eastAsia" w:ascii="宋体" w:hAnsi="宋体" w:cs="宋体"/>
          <w:highlight w:val="none"/>
        </w:rPr>
        <w:t>成交供应商</w:t>
      </w:r>
      <w:r>
        <w:rPr>
          <w:rFonts w:hint="eastAsia" w:ascii="宋体" w:hAnsi="宋体" w:cs="宋体"/>
          <w:kern w:val="0"/>
          <w:szCs w:val="21"/>
          <w:highlight w:val="none"/>
        </w:rPr>
        <w:t>并签订采购合同，也可以重新开展政府采购活动。无正当理由拒绝签订政府采购合同的成交供应商不得参加该项目重新开展的采购活动。</w:t>
      </w:r>
    </w:p>
    <w:p>
      <w:pPr>
        <w:kinsoku w:val="0"/>
        <w:adjustRightInd w:val="0"/>
        <w:snapToGrid w:val="0"/>
        <w:spacing w:line="400" w:lineRule="exact"/>
        <w:ind w:firstLine="420" w:firstLineChars="200"/>
        <w:rPr>
          <w:rFonts w:ascii="宋体" w:hAnsi="宋体" w:cs="宋体"/>
          <w:kern w:val="0"/>
          <w:szCs w:val="21"/>
          <w:highlight w:val="none"/>
        </w:rPr>
      </w:pPr>
      <w:r>
        <w:rPr>
          <w:rFonts w:hint="eastAsia" w:ascii="宋体" w:hAnsi="宋体" w:cs="宋体"/>
          <w:highlight w:val="none"/>
        </w:rPr>
        <w:t>26.4</w:t>
      </w:r>
      <w:r>
        <w:rPr>
          <w:rFonts w:hint="eastAsia" w:ascii="宋体" w:hAnsi="宋体" w:cs="宋体"/>
          <w:kern w:val="0"/>
          <w:highlight w:val="none"/>
        </w:rPr>
        <w:t>采购人或采购代理机构应当自政府采购合同签订之日起1个工作日内，将政府采购合同在省级以上人民政府财政部门指定的媒体上公告，但政府采购合同中涉及国家秘密、商业秘密的内容除外。</w:t>
      </w:r>
      <w:r>
        <w:rPr>
          <w:rFonts w:hint="eastAsia" w:ascii="宋体" w:hAnsi="宋体" w:cs="宋体"/>
          <w:b/>
          <w:bCs/>
          <w:highlight w:val="none"/>
        </w:rPr>
        <w:t>成交</w:t>
      </w:r>
      <w:r>
        <w:rPr>
          <w:rFonts w:hint="eastAsia" w:ascii="宋体" w:hAnsi="宋体" w:cs="宋体"/>
          <w:b/>
          <w:bCs/>
          <w:kern w:val="0"/>
          <w:highlight w:val="none"/>
        </w:rPr>
        <w:t>供应商在签订合同时，必须成为政采云网上交易平台的正式入驻供应商，</w:t>
      </w:r>
      <w:r>
        <w:rPr>
          <w:rFonts w:hint="eastAsia" w:ascii="宋体" w:hAnsi="宋体" w:cs="宋体"/>
          <w:kern w:val="0"/>
          <w:highlight w:val="none"/>
        </w:rPr>
        <w:t>否则由此使采购人或采购代理机构不能按要求及时在相关媒体上发布合同公告所造成的一切后果及损失均由该成交供应商承担和赔偿，采购人有权单方面解除合同，同时有权按国家相关法律法规追究该成交供应商虚假应标的相关责任。</w:t>
      </w:r>
    </w:p>
    <w:p>
      <w:pPr>
        <w:kinsoku w:val="0"/>
        <w:adjustRightInd w:val="0"/>
        <w:snapToGrid w:val="0"/>
        <w:spacing w:line="400" w:lineRule="exact"/>
        <w:jc w:val="center"/>
        <w:rPr>
          <w:rFonts w:ascii="宋体" w:hAnsi="宋体" w:cs="宋体"/>
          <w:b/>
          <w:szCs w:val="21"/>
          <w:highlight w:val="none"/>
        </w:rPr>
      </w:pPr>
      <w:r>
        <w:rPr>
          <w:rFonts w:hint="eastAsia" w:ascii="宋体" w:hAnsi="宋体" w:cs="宋体"/>
          <w:b/>
          <w:szCs w:val="21"/>
          <w:highlight w:val="none"/>
        </w:rPr>
        <w:t>十一、适用法律</w:t>
      </w:r>
    </w:p>
    <w:p>
      <w:pPr>
        <w:kinsoku w:val="0"/>
        <w:adjustRightInd w:val="0"/>
        <w:snapToGrid w:val="0"/>
        <w:spacing w:line="400" w:lineRule="exact"/>
        <w:ind w:firstLine="420" w:firstLineChars="200"/>
        <w:rPr>
          <w:rFonts w:ascii="宋体" w:hAnsi="宋体" w:cs="宋体"/>
          <w:kern w:val="0"/>
          <w:szCs w:val="21"/>
          <w:highlight w:val="none"/>
        </w:rPr>
      </w:pPr>
      <w:r>
        <w:rPr>
          <w:rFonts w:hint="eastAsia" w:ascii="宋体" w:hAnsi="宋体" w:cs="宋体"/>
          <w:szCs w:val="21"/>
          <w:highlight w:val="none"/>
        </w:rPr>
        <w:t>27.详见本项目磋商采购公告。</w:t>
      </w:r>
    </w:p>
    <w:p>
      <w:pPr>
        <w:kinsoku w:val="0"/>
        <w:adjustRightInd w:val="0"/>
        <w:snapToGrid w:val="0"/>
        <w:spacing w:line="400" w:lineRule="exact"/>
        <w:jc w:val="center"/>
        <w:rPr>
          <w:rFonts w:ascii="宋体" w:hAnsi="宋体" w:cs="宋体"/>
          <w:b/>
          <w:szCs w:val="21"/>
          <w:highlight w:val="none"/>
        </w:rPr>
      </w:pPr>
      <w:r>
        <w:rPr>
          <w:rFonts w:hint="eastAsia" w:ascii="宋体" w:hAnsi="宋体" w:cs="宋体"/>
          <w:b/>
          <w:szCs w:val="21"/>
          <w:highlight w:val="none"/>
        </w:rPr>
        <w:t>十二、其他事项</w:t>
      </w:r>
    </w:p>
    <w:p>
      <w:pPr>
        <w:kinsoku w:val="0"/>
        <w:adjustRightInd w:val="0"/>
        <w:snapToGrid w:val="0"/>
        <w:spacing w:line="400" w:lineRule="exact"/>
        <w:ind w:firstLine="420" w:firstLineChars="200"/>
        <w:rPr>
          <w:rFonts w:ascii="宋体" w:hAnsi="宋体" w:cs="宋体"/>
          <w:kern w:val="0"/>
          <w:szCs w:val="21"/>
          <w:highlight w:val="none"/>
        </w:rPr>
      </w:pPr>
      <w:r>
        <w:rPr>
          <w:rFonts w:hint="eastAsia" w:ascii="宋体" w:hAnsi="宋体" w:cs="宋体"/>
          <w:szCs w:val="21"/>
          <w:highlight w:val="none"/>
        </w:rPr>
        <w:t>28.1</w:t>
      </w:r>
      <w:r>
        <w:rPr>
          <w:rFonts w:hint="eastAsia" w:ascii="宋体" w:hAnsi="宋体" w:cs="宋体"/>
          <w:b/>
          <w:bCs/>
          <w:kern w:val="0"/>
          <w:szCs w:val="21"/>
          <w:highlight w:val="none"/>
        </w:rPr>
        <w:t>采购代理服务费的收取。</w:t>
      </w:r>
      <w:r>
        <w:rPr>
          <w:rFonts w:hint="eastAsia" w:ascii="宋体" w:hAnsi="宋体" w:cs="宋体"/>
          <w:kern w:val="0"/>
          <w:szCs w:val="21"/>
          <w:highlight w:val="none"/>
        </w:rPr>
        <w:t>代理服务费由成交供应商支付；收费标准按国家发展改革委《关于进一步放开建设项目专业服务价格的通知》（发改价格[2015]299号）的规定实行市场调节。签订合同前，成交供应商应向采购代理机构一次性付清招标代理服务费。本项目代理服务费为：人民币壹万柒仟陆佰元整（¥17600.00）。</w:t>
      </w:r>
    </w:p>
    <w:p>
      <w:pPr>
        <w:kinsoku w:val="0"/>
        <w:adjustRightInd w:val="0"/>
        <w:snapToGrid w:val="0"/>
        <w:spacing w:line="400" w:lineRule="exact"/>
        <w:ind w:firstLine="420"/>
        <w:rPr>
          <w:rFonts w:ascii="宋体" w:hAnsi="宋体" w:cs="宋体"/>
          <w:kern w:val="0"/>
          <w:szCs w:val="21"/>
          <w:highlight w:val="none"/>
        </w:rPr>
      </w:pPr>
      <w:r>
        <w:rPr>
          <w:rFonts w:hint="eastAsia" w:ascii="宋体" w:hAnsi="宋体" w:cs="宋体"/>
          <w:b/>
          <w:bCs/>
          <w:kern w:val="0"/>
          <w:szCs w:val="21"/>
          <w:highlight w:val="none"/>
        </w:rPr>
        <w:t>28.2验收：采购人按本磋商文件的规定和要求组织履约验收，成交供应商须予以配合。验收通过的，签署政府采购项目合同验收书【格式见本章附件2】，成交供应商须在验收书签署后1个工作日内将验收书发送至采购代理机构邮箱或送（寄）到采购代理机构。</w:t>
      </w:r>
    </w:p>
    <w:p>
      <w:pPr>
        <w:kinsoku w:val="0"/>
        <w:adjustRightInd w:val="0"/>
        <w:snapToGrid w:val="0"/>
        <w:spacing w:line="400" w:lineRule="exact"/>
        <w:ind w:firstLine="422" w:firstLineChars="200"/>
        <w:rPr>
          <w:rFonts w:ascii="宋体" w:hAnsi="宋体" w:cs="宋体"/>
          <w:bCs/>
          <w:szCs w:val="21"/>
          <w:highlight w:val="none"/>
        </w:rPr>
      </w:pPr>
      <w:r>
        <w:rPr>
          <w:rFonts w:hint="eastAsia" w:ascii="宋体" w:hAnsi="宋体" w:cs="宋体"/>
          <w:b/>
          <w:szCs w:val="21"/>
          <w:highlight w:val="none"/>
        </w:rPr>
        <w:t>28.3成交供应商在成交公告发布后须按采购代理机构的要求向采购标代理机构提供完整的电子备份投标文件纸质版3份。</w:t>
      </w:r>
    </w:p>
    <w:p>
      <w:pPr>
        <w:kinsoku w:val="0"/>
        <w:adjustRightInd w:val="0"/>
        <w:snapToGrid w:val="0"/>
        <w:spacing w:line="400" w:lineRule="exact"/>
        <w:ind w:firstLine="420" w:firstLineChars="200"/>
        <w:rPr>
          <w:rFonts w:ascii="宋体" w:hAnsi="宋体" w:cs="宋体"/>
          <w:bCs/>
          <w:szCs w:val="21"/>
          <w:highlight w:val="none"/>
        </w:rPr>
      </w:pPr>
      <w:r>
        <w:rPr>
          <w:rFonts w:hint="eastAsia" w:ascii="宋体" w:hAnsi="宋体" w:cs="宋体"/>
          <w:bCs/>
          <w:szCs w:val="21"/>
          <w:highlight w:val="none"/>
        </w:rPr>
        <w:t>28.4解释权</w:t>
      </w:r>
    </w:p>
    <w:p>
      <w:pPr>
        <w:kinsoku w:val="0"/>
        <w:adjustRightInd w:val="0"/>
        <w:snapToGrid w:val="0"/>
        <w:spacing w:line="400" w:lineRule="exact"/>
        <w:ind w:firstLine="404" w:firstLineChars="200"/>
        <w:rPr>
          <w:rFonts w:ascii="宋体" w:hAnsi="宋体" w:cs="宋体"/>
          <w:spacing w:val="-4"/>
          <w:szCs w:val="21"/>
          <w:highlight w:val="none"/>
        </w:rPr>
      </w:pPr>
      <w:r>
        <w:rPr>
          <w:rFonts w:hint="eastAsia" w:ascii="宋体" w:hAnsi="宋体" w:cs="宋体"/>
          <w:spacing w:val="-4"/>
          <w:szCs w:val="21"/>
          <w:highlight w:val="none"/>
        </w:rPr>
        <w:t>本</w:t>
      </w:r>
      <w:r>
        <w:rPr>
          <w:rFonts w:hint="eastAsia" w:ascii="宋体" w:hAnsi="宋体" w:cs="宋体"/>
          <w:szCs w:val="21"/>
          <w:highlight w:val="none"/>
        </w:rPr>
        <w:t>竞争性磋商文件解</w:t>
      </w:r>
      <w:r>
        <w:rPr>
          <w:rFonts w:hint="eastAsia" w:ascii="宋体" w:hAnsi="宋体" w:cs="宋体"/>
          <w:spacing w:val="-4"/>
          <w:szCs w:val="21"/>
          <w:highlight w:val="none"/>
        </w:rPr>
        <w:t>释权属采购代理机构。</w:t>
      </w:r>
    </w:p>
    <w:p>
      <w:pPr>
        <w:kinsoku w:val="0"/>
        <w:adjustRightInd w:val="0"/>
        <w:snapToGrid w:val="0"/>
        <w:spacing w:line="400" w:lineRule="exact"/>
        <w:ind w:firstLine="420" w:firstLineChars="200"/>
        <w:rPr>
          <w:rFonts w:ascii="宋体" w:hAnsi="宋体" w:cs="宋体"/>
          <w:bCs/>
          <w:szCs w:val="21"/>
          <w:highlight w:val="none"/>
        </w:rPr>
      </w:pPr>
      <w:r>
        <w:rPr>
          <w:rFonts w:hint="eastAsia" w:ascii="宋体" w:hAnsi="宋体" w:cs="宋体"/>
          <w:bCs/>
          <w:szCs w:val="21"/>
          <w:highlight w:val="none"/>
        </w:rPr>
        <w:t>28.5有关事宜</w:t>
      </w:r>
    </w:p>
    <w:p>
      <w:pPr>
        <w:kinsoku w:val="0"/>
        <w:adjustRightInd w:val="0"/>
        <w:snapToGrid w:val="0"/>
        <w:spacing w:line="400" w:lineRule="exact"/>
        <w:ind w:firstLine="413" w:firstLineChars="197"/>
        <w:rPr>
          <w:rFonts w:ascii="宋体" w:hAnsi="宋体" w:cs="宋体"/>
          <w:szCs w:val="21"/>
          <w:highlight w:val="none"/>
        </w:rPr>
      </w:pPr>
      <w:r>
        <w:rPr>
          <w:rFonts w:hint="eastAsia" w:ascii="宋体" w:hAnsi="宋体" w:cs="宋体"/>
          <w:szCs w:val="21"/>
          <w:highlight w:val="none"/>
        </w:rPr>
        <w:t>所有与本竞争性磋商文件有关的函件请按下列通讯地址联系：</w:t>
      </w:r>
    </w:p>
    <w:p>
      <w:pPr>
        <w:kinsoku w:val="0"/>
        <w:adjustRightInd w:val="0"/>
        <w:snapToGrid w:val="0"/>
        <w:spacing w:line="400" w:lineRule="exact"/>
        <w:ind w:firstLine="420" w:firstLineChars="200"/>
        <w:rPr>
          <w:rFonts w:ascii="宋体" w:hAnsi="宋体" w:cs="宋体"/>
          <w:szCs w:val="21"/>
          <w:highlight w:val="none"/>
        </w:rPr>
      </w:pPr>
      <w:r>
        <w:rPr>
          <w:rFonts w:hint="eastAsia" w:ascii="宋体" w:hAnsi="宋体" w:cs="宋体"/>
          <w:szCs w:val="21"/>
          <w:highlight w:val="none"/>
        </w:rPr>
        <w:t>采购代理机构名称：</w:t>
      </w:r>
      <w:r>
        <w:rPr>
          <w:rFonts w:hint="eastAsia" w:ascii="宋体" w:hAnsi="宋体" w:cs="宋体"/>
          <w:spacing w:val="-4"/>
          <w:szCs w:val="21"/>
          <w:highlight w:val="none"/>
        </w:rPr>
        <w:t>广西新宇建设项目管理有限公司</w:t>
      </w:r>
      <w:r>
        <w:rPr>
          <w:rFonts w:hint="eastAsia" w:ascii="宋体" w:hAnsi="宋体" w:cs="宋体"/>
          <w:szCs w:val="21"/>
          <w:highlight w:val="none"/>
        </w:rPr>
        <w:t xml:space="preserve">               邮政编码：536000</w:t>
      </w:r>
    </w:p>
    <w:p>
      <w:pPr>
        <w:kinsoku w:val="0"/>
        <w:spacing w:line="400" w:lineRule="exact"/>
        <w:ind w:firstLine="420" w:firstLineChars="200"/>
        <w:rPr>
          <w:rFonts w:ascii="宋体" w:hAnsi="宋体" w:cs="宋体"/>
          <w:szCs w:val="21"/>
          <w:highlight w:val="none"/>
        </w:rPr>
      </w:pPr>
      <w:r>
        <w:rPr>
          <w:rFonts w:hint="eastAsia" w:ascii="宋体" w:hAnsi="宋体" w:cs="宋体"/>
          <w:szCs w:val="21"/>
          <w:highlight w:val="none"/>
        </w:rPr>
        <w:t xml:space="preserve">开户名称：广西新宇建设项目管理有限公司北海分公司                     </w:t>
      </w:r>
    </w:p>
    <w:p>
      <w:pPr>
        <w:kinsoku w:val="0"/>
        <w:spacing w:line="400" w:lineRule="exact"/>
        <w:ind w:firstLine="420" w:firstLineChars="200"/>
        <w:rPr>
          <w:rFonts w:ascii="宋体" w:hAnsi="宋体" w:cs="宋体"/>
          <w:highlight w:val="none"/>
        </w:rPr>
      </w:pPr>
      <w:r>
        <w:rPr>
          <w:rFonts w:hint="eastAsia" w:ascii="宋体" w:hAnsi="宋体" w:cs="宋体"/>
          <w:szCs w:val="21"/>
          <w:highlight w:val="none"/>
        </w:rPr>
        <w:t xml:space="preserve">开户银行：中国银行北海市北京南路支行  </w:t>
      </w:r>
      <w:r>
        <w:rPr>
          <w:rFonts w:hint="eastAsia" w:ascii="宋体" w:hAnsi="宋体" w:cs="宋体"/>
          <w:highlight w:val="none"/>
        </w:rPr>
        <w:t xml:space="preserve">银行账号：622366865643         </w:t>
      </w:r>
    </w:p>
    <w:p>
      <w:pPr>
        <w:kinsoku w:val="0"/>
        <w:spacing w:line="400" w:lineRule="exact"/>
        <w:ind w:firstLine="420" w:firstLineChars="200"/>
        <w:outlineLvl w:val="0"/>
        <w:rPr>
          <w:rFonts w:ascii="宋体" w:hAnsi="宋体" w:cs="宋体"/>
          <w:b/>
          <w:bCs/>
          <w:kern w:val="44"/>
          <w:sz w:val="44"/>
          <w:szCs w:val="44"/>
          <w:highlight w:val="none"/>
        </w:rPr>
      </w:pPr>
      <w:r>
        <w:rPr>
          <w:rFonts w:hint="eastAsia" w:ascii="宋体" w:hAnsi="宋体" w:cs="宋体"/>
          <w:szCs w:val="21"/>
          <w:highlight w:val="none"/>
        </w:rPr>
        <w:t xml:space="preserve">通讯地址：广西北海市北海大道158号北园公寓星辰座7楼A室     电话：0779-3969698 </w:t>
      </w:r>
      <w:r>
        <w:rPr>
          <w:rFonts w:hint="eastAsia" w:ascii="宋体" w:hAnsi="宋体" w:cs="宋体"/>
          <w:b/>
          <w:bCs/>
          <w:kern w:val="44"/>
          <w:sz w:val="44"/>
          <w:szCs w:val="44"/>
          <w:highlight w:val="none"/>
        </w:rPr>
        <w:t xml:space="preserve"> </w:t>
      </w:r>
    </w:p>
    <w:p>
      <w:pPr>
        <w:shd w:val="clear" w:color="auto" w:fill="FFFFFF"/>
        <w:kinsoku w:val="0"/>
        <w:spacing w:line="480" w:lineRule="atLeast"/>
        <w:rPr>
          <w:rFonts w:hint="eastAsia" w:ascii="宋体" w:hAnsi="宋体" w:cs="黑体"/>
          <w:b/>
          <w:kern w:val="0"/>
          <w:sz w:val="28"/>
          <w:szCs w:val="28"/>
          <w:highlight w:val="none"/>
        </w:rPr>
      </w:pPr>
    </w:p>
    <w:p>
      <w:pPr>
        <w:shd w:val="clear" w:color="auto" w:fill="FFFFFF"/>
        <w:kinsoku w:val="0"/>
        <w:spacing w:line="480" w:lineRule="atLeast"/>
        <w:rPr>
          <w:rFonts w:hint="eastAsia" w:ascii="宋体" w:hAnsi="宋体" w:cs="黑体"/>
          <w:b/>
          <w:kern w:val="0"/>
          <w:sz w:val="28"/>
          <w:szCs w:val="28"/>
          <w:highlight w:val="none"/>
        </w:rPr>
      </w:pPr>
    </w:p>
    <w:p>
      <w:pPr>
        <w:shd w:val="clear" w:color="auto" w:fill="FFFFFF"/>
        <w:kinsoku w:val="0"/>
        <w:spacing w:line="480" w:lineRule="atLeast"/>
        <w:rPr>
          <w:rFonts w:hint="eastAsia" w:ascii="宋体" w:hAnsi="宋体" w:cs="黑体"/>
          <w:b/>
          <w:kern w:val="0"/>
          <w:sz w:val="28"/>
          <w:szCs w:val="28"/>
          <w:highlight w:val="none"/>
        </w:rPr>
      </w:pPr>
    </w:p>
    <w:p>
      <w:pPr>
        <w:shd w:val="clear" w:color="auto" w:fill="FFFFFF"/>
        <w:kinsoku w:val="0"/>
        <w:spacing w:line="480" w:lineRule="atLeast"/>
        <w:rPr>
          <w:rFonts w:ascii="宋体" w:hAnsi="宋体" w:cs="黑体"/>
          <w:b/>
          <w:kern w:val="0"/>
          <w:sz w:val="28"/>
          <w:szCs w:val="28"/>
          <w:highlight w:val="none"/>
        </w:rPr>
      </w:pPr>
      <w:r>
        <w:rPr>
          <w:rFonts w:hint="eastAsia" w:ascii="宋体" w:hAnsi="宋体" w:cs="黑体"/>
          <w:b/>
          <w:kern w:val="0"/>
          <w:sz w:val="28"/>
          <w:szCs w:val="28"/>
          <w:highlight w:val="none"/>
        </w:rPr>
        <w:t>附件1：</w:t>
      </w:r>
    </w:p>
    <w:p>
      <w:pPr>
        <w:shd w:val="clear" w:color="auto" w:fill="FFFFFF"/>
        <w:kinsoku w:val="0"/>
        <w:spacing w:line="480" w:lineRule="atLeast"/>
        <w:jc w:val="center"/>
        <w:rPr>
          <w:rFonts w:ascii="宋体" w:hAnsi="宋体" w:cs="黑体"/>
          <w:kern w:val="0"/>
          <w:sz w:val="32"/>
          <w:szCs w:val="32"/>
          <w:highlight w:val="none"/>
        </w:rPr>
      </w:pPr>
      <w:r>
        <w:rPr>
          <w:rFonts w:hint="eastAsia" w:ascii="宋体" w:hAnsi="宋体" w:cs="黑体"/>
          <w:kern w:val="0"/>
          <w:sz w:val="32"/>
          <w:szCs w:val="32"/>
          <w:highlight w:val="none"/>
        </w:rPr>
        <w:t>诚信记录良好承诺函</w:t>
      </w:r>
    </w:p>
    <w:p>
      <w:pPr>
        <w:kinsoku w:val="0"/>
        <w:spacing w:line="480" w:lineRule="exact"/>
        <w:rPr>
          <w:rFonts w:ascii="宋体" w:hAnsi="宋体"/>
          <w:kern w:val="0"/>
          <w:szCs w:val="21"/>
          <w:highlight w:val="none"/>
        </w:rPr>
      </w:pPr>
      <w:r>
        <w:rPr>
          <w:rFonts w:hint="eastAsia" w:ascii="宋体" w:hAnsi="宋体"/>
          <w:kern w:val="0"/>
          <w:szCs w:val="21"/>
          <w:highlight w:val="none"/>
        </w:rPr>
        <w:t>致</w:t>
      </w:r>
      <w:r>
        <w:rPr>
          <w:rFonts w:hint="eastAsia" w:ascii="宋体" w:hAnsi="宋体"/>
          <w:kern w:val="0"/>
          <w:szCs w:val="21"/>
          <w:highlight w:val="none"/>
          <w:u w:val="single"/>
        </w:rPr>
        <w:t xml:space="preserve">   （采购代理机构）       </w:t>
      </w:r>
      <w:r>
        <w:rPr>
          <w:rFonts w:hint="eastAsia" w:ascii="宋体" w:hAnsi="宋体"/>
          <w:kern w:val="0"/>
          <w:szCs w:val="21"/>
          <w:highlight w:val="none"/>
        </w:rPr>
        <w:t>：</w:t>
      </w:r>
    </w:p>
    <w:p>
      <w:pPr>
        <w:kinsoku w:val="0"/>
        <w:spacing w:line="480" w:lineRule="exact"/>
        <w:ind w:firstLine="420" w:firstLineChars="200"/>
        <w:rPr>
          <w:rFonts w:ascii="宋体" w:hAnsi="宋体"/>
          <w:kern w:val="0"/>
          <w:szCs w:val="21"/>
          <w:highlight w:val="none"/>
        </w:rPr>
      </w:pPr>
      <w:r>
        <w:rPr>
          <w:rFonts w:hint="eastAsia" w:ascii="宋体" w:hAnsi="宋体"/>
          <w:kern w:val="0"/>
          <w:szCs w:val="21"/>
          <w:highlight w:val="none"/>
        </w:rPr>
        <w:t>我公司现参加</w:t>
      </w:r>
      <w:r>
        <w:rPr>
          <w:rFonts w:hint="eastAsia" w:ascii="宋体" w:hAnsi="宋体"/>
          <w:kern w:val="0"/>
          <w:szCs w:val="21"/>
          <w:highlight w:val="none"/>
          <w:u w:val="single"/>
        </w:rPr>
        <w:t xml:space="preserve">   （项目名称及项目编号）   </w:t>
      </w:r>
      <w:r>
        <w:rPr>
          <w:rFonts w:hint="eastAsia" w:ascii="宋体" w:hAnsi="宋体"/>
          <w:kern w:val="0"/>
          <w:szCs w:val="21"/>
          <w:highlight w:val="none"/>
        </w:rPr>
        <w:t>项目采购，在此向贵方承诺：</w:t>
      </w:r>
    </w:p>
    <w:p>
      <w:pPr>
        <w:kinsoku w:val="0"/>
        <w:spacing w:line="480" w:lineRule="exact"/>
        <w:ind w:firstLine="420" w:firstLineChars="200"/>
        <w:rPr>
          <w:rFonts w:ascii="宋体" w:hAnsi="宋体"/>
          <w:kern w:val="0"/>
          <w:szCs w:val="21"/>
          <w:highlight w:val="none"/>
        </w:rPr>
      </w:pPr>
      <w:r>
        <w:rPr>
          <w:rFonts w:hint="eastAsia" w:ascii="宋体" w:hAnsi="宋体"/>
          <w:kern w:val="0"/>
          <w:szCs w:val="21"/>
          <w:highlight w:val="none"/>
        </w:rPr>
        <w:t>我公司的诚信记录良好，无任何关于诚信的失信行为（包括但不限于被列入</w:t>
      </w:r>
      <w:r>
        <w:rPr>
          <w:rFonts w:hint="eastAsia" w:ascii="宋体" w:hAnsi="宋体" w:cs="宋体"/>
          <w:szCs w:val="21"/>
          <w:highlight w:val="none"/>
        </w:rPr>
        <w:t>失信被执行人、政府采购严重违法失信行为记录名单、税收违法黑名单</w:t>
      </w:r>
      <w:r>
        <w:rPr>
          <w:rFonts w:hint="eastAsia" w:ascii="宋体" w:hAnsi="宋体"/>
          <w:kern w:val="0"/>
          <w:szCs w:val="21"/>
          <w:highlight w:val="none"/>
        </w:rPr>
        <w:t>、被各级政府行政部门列入黑名单等），无违约或不恰当履约引起的合同中止、纠纷、争议、仲裁和诉讼记录。我公司对此承诺函的真实性负责，如有虚假我方自愿依法承担相应的经济责任和法律责任。</w:t>
      </w:r>
    </w:p>
    <w:p>
      <w:pPr>
        <w:kinsoku w:val="0"/>
        <w:adjustRightInd w:val="0"/>
        <w:snapToGrid w:val="0"/>
        <w:spacing w:line="480" w:lineRule="exact"/>
        <w:ind w:firstLine="422" w:firstLineChars="201"/>
        <w:rPr>
          <w:rFonts w:ascii="宋体" w:hAnsi="宋体" w:cs="Courier New"/>
          <w:szCs w:val="21"/>
          <w:highlight w:val="none"/>
        </w:rPr>
      </w:pPr>
    </w:p>
    <w:p>
      <w:pPr>
        <w:kinsoku w:val="0"/>
        <w:adjustRightInd w:val="0"/>
        <w:snapToGrid w:val="0"/>
        <w:spacing w:line="480" w:lineRule="exact"/>
        <w:ind w:firstLine="422" w:firstLineChars="201"/>
        <w:rPr>
          <w:rFonts w:ascii="宋体" w:hAnsi="宋体" w:cs="宋体"/>
          <w:spacing w:val="2"/>
          <w:szCs w:val="21"/>
          <w:highlight w:val="none"/>
        </w:rPr>
      </w:pPr>
      <w:r>
        <w:rPr>
          <w:rFonts w:hint="eastAsia" w:ascii="宋体" w:hAnsi="宋体" w:cs="Courier New"/>
          <w:szCs w:val="21"/>
          <w:highlight w:val="none"/>
        </w:rPr>
        <w:t xml:space="preserve">投标人（公章）：                                        </w:t>
      </w:r>
    </w:p>
    <w:p>
      <w:pPr>
        <w:tabs>
          <w:tab w:val="left" w:pos="353"/>
        </w:tabs>
        <w:kinsoku w:val="0"/>
        <w:adjustRightInd w:val="0"/>
        <w:snapToGrid w:val="0"/>
        <w:spacing w:line="480" w:lineRule="exact"/>
        <w:ind w:firstLine="430" w:firstLineChars="201"/>
        <w:rPr>
          <w:rFonts w:ascii="宋体" w:hAnsi="宋体" w:cs="Courier New"/>
          <w:szCs w:val="21"/>
          <w:highlight w:val="none"/>
        </w:rPr>
      </w:pPr>
      <w:r>
        <w:rPr>
          <w:rFonts w:hint="eastAsia" w:ascii="宋体" w:hAnsi="宋体" w:cs="宋体"/>
          <w:spacing w:val="2"/>
          <w:szCs w:val="21"/>
          <w:highlight w:val="none"/>
        </w:rPr>
        <w:t>法定代表人（负责人）</w:t>
      </w:r>
      <w:r>
        <w:rPr>
          <w:rFonts w:hint="eastAsia" w:ascii="宋体" w:hAnsi="宋体" w:cs="Courier New"/>
          <w:szCs w:val="21"/>
          <w:highlight w:val="none"/>
        </w:rPr>
        <w:t xml:space="preserve">（签字）：                          </w:t>
      </w:r>
    </w:p>
    <w:p>
      <w:pPr>
        <w:shd w:val="clear" w:color="auto" w:fill="FFFFFF"/>
        <w:kinsoku w:val="0"/>
        <w:spacing w:line="480" w:lineRule="atLeast"/>
        <w:ind w:firstLine="420" w:firstLineChars="200"/>
        <w:rPr>
          <w:rFonts w:hAnsi="宋体"/>
          <w:highlight w:val="none"/>
        </w:rPr>
      </w:pPr>
      <w:r>
        <w:rPr>
          <w:rFonts w:hint="eastAsia" w:hAnsi="宋体"/>
          <w:highlight w:val="none"/>
        </w:rPr>
        <w:t>日期：</w:t>
      </w:r>
    </w:p>
    <w:p>
      <w:pPr>
        <w:shd w:val="clear" w:color="auto" w:fill="FFFFFF"/>
        <w:kinsoku w:val="0"/>
        <w:spacing w:line="480" w:lineRule="atLeast"/>
        <w:rPr>
          <w:rFonts w:ascii="宋体" w:hAnsi="宋体" w:cs="宋体"/>
          <w:b/>
          <w:kern w:val="0"/>
          <w:sz w:val="24"/>
          <w:highlight w:val="none"/>
        </w:rPr>
      </w:pPr>
    </w:p>
    <w:p>
      <w:pPr>
        <w:shd w:val="clear" w:color="auto" w:fill="FFFFFF"/>
        <w:kinsoku w:val="0"/>
        <w:spacing w:line="480" w:lineRule="atLeast"/>
        <w:rPr>
          <w:rFonts w:ascii="宋体" w:hAnsi="宋体" w:cs="宋体"/>
          <w:b/>
          <w:kern w:val="0"/>
          <w:sz w:val="24"/>
          <w:highlight w:val="none"/>
        </w:rPr>
      </w:pPr>
    </w:p>
    <w:p>
      <w:pPr>
        <w:shd w:val="clear" w:color="auto" w:fill="FFFFFF"/>
        <w:kinsoku w:val="0"/>
        <w:spacing w:line="480" w:lineRule="atLeast"/>
        <w:rPr>
          <w:rFonts w:ascii="宋体" w:hAnsi="宋体" w:cs="宋体"/>
          <w:b/>
          <w:kern w:val="0"/>
          <w:sz w:val="24"/>
          <w:highlight w:val="none"/>
        </w:rPr>
      </w:pPr>
    </w:p>
    <w:p>
      <w:pPr>
        <w:shd w:val="clear" w:color="auto" w:fill="FFFFFF"/>
        <w:kinsoku w:val="0"/>
        <w:spacing w:line="480" w:lineRule="atLeast"/>
        <w:rPr>
          <w:rFonts w:ascii="宋体" w:hAnsi="宋体" w:cs="宋体"/>
          <w:b/>
          <w:kern w:val="0"/>
          <w:sz w:val="24"/>
          <w:highlight w:val="none"/>
        </w:rPr>
      </w:pPr>
    </w:p>
    <w:p>
      <w:pPr>
        <w:shd w:val="clear" w:color="auto" w:fill="FFFFFF"/>
        <w:kinsoku w:val="0"/>
        <w:spacing w:line="480" w:lineRule="atLeast"/>
        <w:rPr>
          <w:rFonts w:ascii="宋体" w:hAnsi="宋体" w:cs="宋体"/>
          <w:b/>
          <w:kern w:val="0"/>
          <w:sz w:val="24"/>
          <w:highlight w:val="none"/>
        </w:rPr>
      </w:pPr>
    </w:p>
    <w:p>
      <w:pPr>
        <w:shd w:val="clear" w:color="auto" w:fill="FFFFFF"/>
        <w:kinsoku w:val="0"/>
        <w:spacing w:line="480" w:lineRule="atLeast"/>
        <w:rPr>
          <w:rFonts w:ascii="宋体" w:hAnsi="宋体" w:cs="宋体"/>
          <w:b/>
          <w:kern w:val="0"/>
          <w:sz w:val="24"/>
          <w:highlight w:val="none"/>
        </w:rPr>
      </w:pPr>
    </w:p>
    <w:p>
      <w:pPr>
        <w:shd w:val="clear" w:color="auto" w:fill="FFFFFF"/>
        <w:kinsoku w:val="0"/>
        <w:spacing w:line="480" w:lineRule="atLeast"/>
        <w:rPr>
          <w:rFonts w:ascii="宋体" w:hAnsi="宋体" w:cs="黑体"/>
          <w:b/>
          <w:kern w:val="0"/>
          <w:sz w:val="28"/>
          <w:szCs w:val="28"/>
          <w:highlight w:val="none"/>
        </w:rPr>
      </w:pPr>
      <w:r>
        <w:rPr>
          <w:rFonts w:hint="eastAsia" w:ascii="宋体" w:hAnsi="宋体" w:cs="黑体"/>
          <w:b/>
          <w:kern w:val="0"/>
          <w:sz w:val="28"/>
          <w:szCs w:val="28"/>
          <w:highlight w:val="none"/>
        </w:rPr>
        <w:t>附件2：</w:t>
      </w:r>
    </w:p>
    <w:p>
      <w:pPr>
        <w:shd w:val="clear" w:color="auto" w:fill="FFFFFF"/>
        <w:kinsoku w:val="0"/>
        <w:spacing w:line="480" w:lineRule="atLeast"/>
        <w:jc w:val="center"/>
        <w:rPr>
          <w:rFonts w:ascii="宋体" w:hAnsi="宋体" w:cs="宋体"/>
          <w:b/>
          <w:kern w:val="0"/>
          <w:sz w:val="32"/>
          <w:szCs w:val="32"/>
          <w:highlight w:val="none"/>
        </w:rPr>
      </w:pPr>
      <w:r>
        <w:rPr>
          <w:rFonts w:hint="eastAsia" w:ascii="宋体" w:hAnsi="宋体" w:cs="宋体"/>
          <w:b/>
          <w:kern w:val="0"/>
          <w:sz w:val="32"/>
          <w:szCs w:val="32"/>
          <w:highlight w:val="none"/>
        </w:rPr>
        <w:t>广西壮族自治区政府采购项目合同验收书（格式）</w:t>
      </w:r>
    </w:p>
    <w:p>
      <w:pPr>
        <w:shd w:val="clear" w:color="auto" w:fill="FFFFFF"/>
        <w:kinsoku w:val="0"/>
        <w:spacing w:line="480" w:lineRule="atLeast"/>
        <w:jc w:val="center"/>
        <w:rPr>
          <w:rFonts w:ascii="宋体" w:hAnsi="宋体" w:cs="宋体"/>
          <w:kern w:val="0"/>
          <w:sz w:val="32"/>
          <w:szCs w:val="32"/>
          <w:highlight w:val="none"/>
        </w:rPr>
      </w:pPr>
    </w:p>
    <w:p>
      <w:pPr>
        <w:shd w:val="clear" w:color="auto" w:fill="FFFFFF"/>
        <w:kinsoku w:val="0"/>
        <w:snapToGrid w:val="0"/>
        <w:spacing w:line="320" w:lineRule="atLeast"/>
        <w:ind w:firstLine="480"/>
        <w:jc w:val="left"/>
        <w:rPr>
          <w:rFonts w:ascii="宋体" w:hAnsi="宋体" w:cs="宋体"/>
          <w:kern w:val="0"/>
          <w:szCs w:val="21"/>
          <w:highlight w:val="none"/>
        </w:rPr>
      </w:pPr>
      <w:r>
        <w:rPr>
          <w:rFonts w:hint="eastAsia" w:ascii="宋体" w:hAnsi="宋体" w:cs="宋体"/>
          <w:kern w:val="0"/>
          <w:szCs w:val="21"/>
          <w:highlight w:val="none"/>
        </w:rPr>
        <w:t>根据采购项目（</w:t>
      </w:r>
      <w:r>
        <w:rPr>
          <w:rFonts w:hint="eastAsia" w:ascii="宋体" w:hAnsi="宋体" w:cs="宋体"/>
          <w:kern w:val="0"/>
          <w:szCs w:val="21"/>
          <w:highlight w:val="none"/>
          <w:u w:val="single"/>
        </w:rPr>
        <w:t>采购合同编号：</w:t>
      </w:r>
      <w:r>
        <w:rPr>
          <w:rFonts w:hint="eastAsia" w:ascii="宋体" w:hAnsi="宋体" w:cs="宋体"/>
          <w:kern w:val="0"/>
          <w:szCs w:val="21"/>
          <w:highlight w:val="none"/>
          <w:u w:val="single"/>
        </w:rPr>
        <w:softHyphen/>
      </w:r>
      <w:r>
        <w:rPr>
          <w:rFonts w:hint="eastAsia" w:ascii="宋体" w:hAnsi="宋体" w:cs="宋体"/>
          <w:kern w:val="0"/>
          <w:szCs w:val="21"/>
          <w:highlight w:val="none"/>
          <w:u w:val="single"/>
        </w:rPr>
        <w:t xml:space="preserve"> </w:t>
      </w:r>
      <w:r>
        <w:rPr>
          <w:rFonts w:hint="eastAsia" w:ascii="宋体" w:hAnsi="宋体" w:cs="宋体"/>
          <w:kern w:val="0"/>
          <w:szCs w:val="21"/>
          <w:highlight w:val="none"/>
        </w:rPr>
        <w:t>）的约定，我单位对（</w:t>
      </w:r>
      <w:r>
        <w:rPr>
          <w:rFonts w:hint="eastAsia" w:ascii="宋体" w:hAnsi="宋体" w:cs="宋体"/>
          <w:kern w:val="0"/>
          <w:szCs w:val="21"/>
          <w:highlight w:val="none"/>
          <w:u w:val="single"/>
        </w:rPr>
        <w:t xml:space="preserve"> 项目名称 </w:t>
      </w:r>
      <w:r>
        <w:rPr>
          <w:rFonts w:hint="eastAsia" w:ascii="宋体" w:hAnsi="宋体" w:cs="宋体"/>
          <w:kern w:val="0"/>
          <w:szCs w:val="21"/>
          <w:highlight w:val="none"/>
        </w:rPr>
        <w:t>）采购项目中标（或成交）供应商（</w:t>
      </w:r>
      <w:r>
        <w:rPr>
          <w:rFonts w:hint="eastAsia" w:ascii="宋体" w:hAnsi="宋体" w:cs="宋体"/>
          <w:kern w:val="0"/>
          <w:szCs w:val="21"/>
          <w:highlight w:val="none"/>
          <w:u w:val="single"/>
        </w:rPr>
        <w:t xml:space="preserve"> 公司名称 </w:t>
      </w:r>
      <w:r>
        <w:rPr>
          <w:rFonts w:hint="eastAsia" w:ascii="宋体" w:hAnsi="宋体" w:cs="宋体"/>
          <w:kern w:val="0"/>
          <w:szCs w:val="21"/>
          <w:highlight w:val="none"/>
        </w:rPr>
        <w:t>） 提供的货物（或工程、服务）进行了验收，验收情况如下：</w:t>
      </w:r>
    </w:p>
    <w:tbl>
      <w:tblPr>
        <w:tblStyle w:val="58"/>
        <w:tblW w:w="9371" w:type="dxa"/>
        <w:jc w:val="center"/>
        <w:tblLayout w:type="fixed"/>
        <w:tblCellMar>
          <w:top w:w="0" w:type="dxa"/>
          <w:left w:w="0" w:type="dxa"/>
          <w:bottom w:w="0" w:type="dxa"/>
          <w:right w:w="0" w:type="dxa"/>
        </w:tblCellMar>
      </w:tblPr>
      <w:tblGrid>
        <w:gridCol w:w="1331"/>
        <w:gridCol w:w="1921"/>
        <w:gridCol w:w="798"/>
        <w:gridCol w:w="102"/>
        <w:gridCol w:w="2002"/>
        <w:gridCol w:w="178"/>
        <w:gridCol w:w="685"/>
        <w:gridCol w:w="2354"/>
      </w:tblGrid>
      <w:tr>
        <w:tblPrEx>
          <w:tblCellMar>
            <w:top w:w="0" w:type="dxa"/>
            <w:left w:w="0" w:type="dxa"/>
            <w:bottom w:w="0" w:type="dxa"/>
            <w:right w:w="0" w:type="dxa"/>
          </w:tblCellMar>
        </w:tblPrEx>
        <w:trPr>
          <w:trHeight w:val="497" w:hRule="atLeast"/>
          <w:jc w:val="center"/>
        </w:trPr>
        <w:tc>
          <w:tcPr>
            <w:tcW w:w="3252" w:type="dxa"/>
            <w:gridSpan w:val="2"/>
            <w:tcBorders>
              <w:top w:val="single" w:color="auto" w:sz="8" w:space="0"/>
              <w:left w:val="single" w:color="auto" w:sz="8" w:space="0"/>
              <w:bottom w:val="single" w:color="auto" w:sz="8" w:space="0"/>
              <w:right w:val="single" w:color="auto" w:sz="8" w:space="0"/>
            </w:tcBorders>
            <w:vAlign w:val="center"/>
          </w:tcPr>
          <w:p>
            <w:pPr>
              <w:kinsoku w:val="0"/>
              <w:snapToGrid w:val="0"/>
              <w:spacing w:before="100" w:beforeAutospacing="1" w:after="100" w:afterAutospacing="1" w:line="320" w:lineRule="atLeast"/>
              <w:ind w:firstLine="5"/>
              <w:jc w:val="center"/>
              <w:rPr>
                <w:rFonts w:ascii="宋体" w:hAnsi="宋体" w:cs="宋体"/>
                <w:kern w:val="0"/>
                <w:szCs w:val="21"/>
                <w:highlight w:val="none"/>
              </w:rPr>
            </w:pPr>
            <w:r>
              <w:rPr>
                <w:rFonts w:hint="eastAsia" w:ascii="宋体" w:hAnsi="宋体" w:cs="宋体"/>
                <w:kern w:val="0"/>
                <w:szCs w:val="21"/>
                <w:highlight w:val="none"/>
              </w:rPr>
              <w:t>验收方式：</w:t>
            </w:r>
          </w:p>
        </w:tc>
        <w:tc>
          <w:tcPr>
            <w:tcW w:w="6119" w:type="dxa"/>
            <w:gridSpan w:val="6"/>
            <w:tcBorders>
              <w:top w:val="single" w:color="auto" w:sz="8" w:space="0"/>
              <w:left w:val="nil"/>
              <w:bottom w:val="single" w:color="auto" w:sz="8" w:space="0"/>
              <w:right w:val="single" w:color="auto" w:sz="8" w:space="0"/>
            </w:tcBorders>
            <w:vAlign w:val="center"/>
          </w:tcPr>
          <w:p>
            <w:pPr>
              <w:kinsoku w:val="0"/>
              <w:snapToGrid w:val="0"/>
              <w:spacing w:before="100" w:beforeAutospacing="1" w:after="100" w:afterAutospacing="1" w:line="320" w:lineRule="atLeast"/>
              <w:ind w:firstLine="480"/>
              <w:jc w:val="center"/>
              <w:rPr>
                <w:rFonts w:ascii="宋体" w:hAnsi="宋体" w:cs="宋体"/>
                <w:kern w:val="0"/>
                <w:szCs w:val="21"/>
                <w:highlight w:val="none"/>
              </w:rPr>
            </w:pPr>
            <w:r>
              <w:rPr>
                <w:rFonts w:hint="eastAsia" w:ascii="宋体" w:hAnsi="宋体" w:cs="宋体"/>
                <w:kern w:val="0"/>
                <w:szCs w:val="21"/>
                <w:highlight w:val="none"/>
              </w:rPr>
              <w:t>□自行验收 □委托验收</w:t>
            </w:r>
          </w:p>
        </w:tc>
      </w:tr>
      <w:tr>
        <w:tblPrEx>
          <w:tblCellMar>
            <w:top w:w="0" w:type="dxa"/>
            <w:left w:w="0" w:type="dxa"/>
            <w:bottom w:w="0" w:type="dxa"/>
            <w:right w:w="0" w:type="dxa"/>
          </w:tblCellMar>
        </w:tblPrEx>
        <w:trPr>
          <w:trHeight w:val="622" w:hRule="atLeast"/>
          <w:jc w:val="center"/>
        </w:trPr>
        <w:tc>
          <w:tcPr>
            <w:tcW w:w="1331" w:type="dxa"/>
            <w:tcBorders>
              <w:top w:val="nil"/>
              <w:left w:val="single" w:color="auto" w:sz="8" w:space="0"/>
              <w:bottom w:val="single" w:color="auto" w:sz="8" w:space="0"/>
              <w:right w:val="single" w:color="auto" w:sz="8" w:space="0"/>
            </w:tcBorders>
            <w:vAlign w:val="center"/>
          </w:tcPr>
          <w:p>
            <w:pPr>
              <w:kinsoku w:val="0"/>
              <w:snapToGrid w:val="0"/>
              <w:spacing w:before="100" w:beforeAutospacing="1" w:after="100" w:afterAutospacing="1" w:line="320" w:lineRule="atLeast"/>
              <w:ind w:firstLine="2"/>
              <w:jc w:val="center"/>
              <w:rPr>
                <w:rFonts w:ascii="宋体" w:hAnsi="宋体" w:cs="宋体"/>
                <w:kern w:val="0"/>
                <w:szCs w:val="21"/>
                <w:highlight w:val="none"/>
              </w:rPr>
            </w:pPr>
            <w:r>
              <w:rPr>
                <w:rFonts w:hint="eastAsia" w:ascii="宋体" w:hAnsi="宋体" w:cs="宋体"/>
                <w:kern w:val="0"/>
                <w:szCs w:val="21"/>
                <w:highlight w:val="none"/>
              </w:rPr>
              <w:t>序号</w:t>
            </w:r>
          </w:p>
        </w:tc>
        <w:tc>
          <w:tcPr>
            <w:tcW w:w="1921" w:type="dxa"/>
            <w:tcBorders>
              <w:top w:val="nil"/>
              <w:left w:val="nil"/>
              <w:bottom w:val="single" w:color="auto" w:sz="8" w:space="0"/>
              <w:right w:val="single" w:color="auto" w:sz="8" w:space="0"/>
            </w:tcBorders>
            <w:vAlign w:val="center"/>
          </w:tcPr>
          <w:p>
            <w:pPr>
              <w:kinsoku w:val="0"/>
              <w:snapToGrid w:val="0"/>
              <w:spacing w:before="100" w:beforeAutospacing="1" w:after="100" w:afterAutospacing="1" w:line="320" w:lineRule="atLeast"/>
              <w:ind w:firstLine="2"/>
              <w:jc w:val="center"/>
              <w:rPr>
                <w:rFonts w:ascii="宋体" w:hAnsi="宋体" w:cs="宋体"/>
                <w:kern w:val="0"/>
                <w:szCs w:val="21"/>
                <w:highlight w:val="none"/>
              </w:rPr>
            </w:pPr>
            <w:r>
              <w:rPr>
                <w:rFonts w:hint="eastAsia" w:ascii="宋体" w:hAnsi="宋体" w:cs="宋体"/>
                <w:kern w:val="0"/>
                <w:szCs w:val="21"/>
                <w:highlight w:val="none"/>
              </w:rPr>
              <w:t>名 称</w:t>
            </w:r>
          </w:p>
        </w:tc>
        <w:tc>
          <w:tcPr>
            <w:tcW w:w="2902" w:type="dxa"/>
            <w:gridSpan w:val="3"/>
            <w:tcBorders>
              <w:top w:val="nil"/>
              <w:left w:val="nil"/>
              <w:bottom w:val="single" w:color="auto" w:sz="8" w:space="0"/>
              <w:right w:val="single" w:color="auto" w:sz="8" w:space="0"/>
            </w:tcBorders>
            <w:vAlign w:val="center"/>
          </w:tcPr>
          <w:p>
            <w:pPr>
              <w:kinsoku w:val="0"/>
              <w:snapToGrid w:val="0"/>
              <w:spacing w:before="100" w:beforeAutospacing="1" w:after="100" w:afterAutospacing="1" w:line="320" w:lineRule="atLeast"/>
              <w:ind w:firstLine="2"/>
              <w:jc w:val="center"/>
              <w:rPr>
                <w:rFonts w:ascii="宋体" w:hAnsi="宋体" w:cs="宋体"/>
                <w:kern w:val="0"/>
                <w:szCs w:val="21"/>
                <w:highlight w:val="none"/>
              </w:rPr>
            </w:pPr>
            <w:r>
              <w:rPr>
                <w:rFonts w:hint="eastAsia" w:ascii="宋体" w:hAnsi="宋体" w:cs="宋体"/>
                <w:kern w:val="0"/>
                <w:szCs w:val="21"/>
                <w:highlight w:val="none"/>
              </w:rPr>
              <w:t>货物型号规格、标准及配置等（或服务内容、标准）</w:t>
            </w:r>
          </w:p>
        </w:tc>
        <w:tc>
          <w:tcPr>
            <w:tcW w:w="863" w:type="dxa"/>
            <w:gridSpan w:val="2"/>
            <w:tcBorders>
              <w:top w:val="nil"/>
              <w:left w:val="nil"/>
              <w:bottom w:val="single" w:color="auto" w:sz="8" w:space="0"/>
              <w:right w:val="single" w:color="auto" w:sz="8" w:space="0"/>
            </w:tcBorders>
            <w:vAlign w:val="center"/>
          </w:tcPr>
          <w:p>
            <w:pPr>
              <w:kinsoku w:val="0"/>
              <w:snapToGrid w:val="0"/>
              <w:spacing w:before="100" w:beforeAutospacing="1" w:after="100" w:afterAutospacing="1" w:line="320" w:lineRule="atLeast"/>
              <w:jc w:val="center"/>
              <w:rPr>
                <w:rFonts w:ascii="宋体" w:hAnsi="宋体" w:cs="宋体"/>
                <w:kern w:val="0"/>
                <w:szCs w:val="21"/>
                <w:highlight w:val="none"/>
              </w:rPr>
            </w:pPr>
            <w:r>
              <w:rPr>
                <w:rFonts w:hint="eastAsia" w:ascii="宋体" w:hAnsi="宋体" w:cs="宋体"/>
                <w:kern w:val="0"/>
                <w:szCs w:val="21"/>
                <w:highlight w:val="none"/>
              </w:rPr>
              <w:t>数量</w:t>
            </w:r>
          </w:p>
        </w:tc>
        <w:tc>
          <w:tcPr>
            <w:tcW w:w="2354" w:type="dxa"/>
            <w:tcBorders>
              <w:top w:val="nil"/>
              <w:left w:val="nil"/>
              <w:bottom w:val="single" w:color="auto" w:sz="8" w:space="0"/>
              <w:right w:val="single" w:color="auto" w:sz="8" w:space="0"/>
            </w:tcBorders>
            <w:vAlign w:val="center"/>
          </w:tcPr>
          <w:p>
            <w:pPr>
              <w:kinsoku w:val="0"/>
              <w:snapToGrid w:val="0"/>
              <w:spacing w:before="100" w:beforeAutospacing="1" w:after="100" w:afterAutospacing="1" w:line="320" w:lineRule="atLeast"/>
              <w:ind w:firstLine="2"/>
              <w:jc w:val="center"/>
              <w:rPr>
                <w:rFonts w:ascii="宋体" w:hAnsi="宋体" w:cs="宋体"/>
                <w:kern w:val="0"/>
                <w:szCs w:val="21"/>
                <w:highlight w:val="none"/>
              </w:rPr>
            </w:pPr>
            <w:r>
              <w:rPr>
                <w:rFonts w:hint="eastAsia" w:ascii="宋体" w:hAnsi="宋体" w:cs="宋体"/>
                <w:kern w:val="0"/>
                <w:szCs w:val="21"/>
                <w:highlight w:val="none"/>
              </w:rPr>
              <w:t>金 额</w:t>
            </w:r>
          </w:p>
        </w:tc>
      </w:tr>
      <w:tr>
        <w:tblPrEx>
          <w:tblCellMar>
            <w:top w:w="0" w:type="dxa"/>
            <w:left w:w="0" w:type="dxa"/>
            <w:bottom w:w="0" w:type="dxa"/>
            <w:right w:w="0" w:type="dxa"/>
          </w:tblCellMar>
        </w:tblPrEx>
        <w:trPr>
          <w:trHeight w:val="487" w:hRule="atLeast"/>
          <w:jc w:val="center"/>
        </w:trPr>
        <w:tc>
          <w:tcPr>
            <w:tcW w:w="1331" w:type="dxa"/>
            <w:tcBorders>
              <w:top w:val="nil"/>
              <w:left w:val="single" w:color="auto" w:sz="8" w:space="0"/>
              <w:bottom w:val="single" w:color="auto" w:sz="8" w:space="0"/>
              <w:right w:val="single" w:color="auto" w:sz="8" w:space="0"/>
            </w:tcBorders>
            <w:vAlign w:val="center"/>
          </w:tcPr>
          <w:p>
            <w:pPr>
              <w:kinsoku w:val="0"/>
              <w:spacing w:before="100" w:beforeAutospacing="1" w:after="100" w:afterAutospacing="1" w:line="240" w:lineRule="atLeast"/>
              <w:jc w:val="center"/>
              <w:rPr>
                <w:rFonts w:ascii="宋体" w:hAnsi="宋体" w:cs="宋体"/>
                <w:kern w:val="0"/>
                <w:szCs w:val="21"/>
                <w:highlight w:val="none"/>
              </w:rPr>
            </w:pPr>
          </w:p>
        </w:tc>
        <w:tc>
          <w:tcPr>
            <w:tcW w:w="1921" w:type="dxa"/>
            <w:tcBorders>
              <w:top w:val="nil"/>
              <w:left w:val="nil"/>
              <w:bottom w:val="single" w:color="auto" w:sz="8" w:space="0"/>
              <w:right w:val="single" w:color="auto" w:sz="8" w:space="0"/>
            </w:tcBorders>
            <w:vAlign w:val="center"/>
          </w:tcPr>
          <w:p>
            <w:pPr>
              <w:kinsoku w:val="0"/>
              <w:spacing w:before="100" w:beforeAutospacing="1" w:after="100" w:afterAutospacing="1" w:line="240" w:lineRule="atLeast"/>
              <w:jc w:val="center"/>
              <w:rPr>
                <w:rFonts w:ascii="宋体" w:hAnsi="宋体" w:cs="宋体"/>
                <w:kern w:val="0"/>
                <w:szCs w:val="21"/>
                <w:highlight w:val="none"/>
              </w:rPr>
            </w:pPr>
          </w:p>
        </w:tc>
        <w:tc>
          <w:tcPr>
            <w:tcW w:w="2902" w:type="dxa"/>
            <w:gridSpan w:val="3"/>
            <w:tcBorders>
              <w:top w:val="nil"/>
              <w:left w:val="nil"/>
              <w:bottom w:val="single" w:color="auto" w:sz="8" w:space="0"/>
              <w:right w:val="single" w:color="auto" w:sz="8" w:space="0"/>
            </w:tcBorders>
            <w:vAlign w:val="center"/>
          </w:tcPr>
          <w:p>
            <w:pPr>
              <w:kinsoku w:val="0"/>
              <w:spacing w:before="100" w:beforeAutospacing="1" w:after="100" w:afterAutospacing="1" w:line="240" w:lineRule="atLeast"/>
              <w:jc w:val="center"/>
              <w:rPr>
                <w:rFonts w:ascii="宋体" w:hAnsi="宋体" w:cs="宋体"/>
                <w:kern w:val="0"/>
                <w:szCs w:val="21"/>
                <w:highlight w:val="none"/>
              </w:rPr>
            </w:pPr>
          </w:p>
        </w:tc>
        <w:tc>
          <w:tcPr>
            <w:tcW w:w="863" w:type="dxa"/>
            <w:gridSpan w:val="2"/>
            <w:tcBorders>
              <w:top w:val="nil"/>
              <w:left w:val="nil"/>
              <w:bottom w:val="single" w:color="auto" w:sz="8" w:space="0"/>
              <w:right w:val="single" w:color="auto" w:sz="8" w:space="0"/>
            </w:tcBorders>
            <w:vAlign w:val="center"/>
          </w:tcPr>
          <w:p>
            <w:pPr>
              <w:kinsoku w:val="0"/>
              <w:spacing w:before="100" w:beforeAutospacing="1" w:after="100" w:afterAutospacing="1" w:line="240" w:lineRule="atLeast"/>
              <w:jc w:val="center"/>
              <w:rPr>
                <w:rFonts w:ascii="宋体" w:hAnsi="宋体" w:cs="宋体"/>
                <w:kern w:val="0"/>
                <w:szCs w:val="21"/>
                <w:highlight w:val="none"/>
              </w:rPr>
            </w:pPr>
          </w:p>
        </w:tc>
        <w:tc>
          <w:tcPr>
            <w:tcW w:w="2354" w:type="dxa"/>
            <w:tcBorders>
              <w:top w:val="nil"/>
              <w:left w:val="nil"/>
              <w:bottom w:val="single" w:color="auto" w:sz="8" w:space="0"/>
              <w:right w:val="single" w:color="auto" w:sz="8" w:space="0"/>
            </w:tcBorders>
            <w:vAlign w:val="center"/>
          </w:tcPr>
          <w:p>
            <w:pPr>
              <w:kinsoku w:val="0"/>
              <w:spacing w:before="100" w:beforeAutospacing="1" w:after="100" w:afterAutospacing="1" w:line="240" w:lineRule="atLeast"/>
              <w:jc w:val="center"/>
              <w:rPr>
                <w:rFonts w:ascii="宋体" w:hAnsi="宋体" w:cs="宋体"/>
                <w:kern w:val="0"/>
                <w:szCs w:val="21"/>
                <w:highlight w:val="none"/>
              </w:rPr>
            </w:pPr>
          </w:p>
        </w:tc>
      </w:tr>
      <w:tr>
        <w:tblPrEx>
          <w:tblCellMar>
            <w:top w:w="0" w:type="dxa"/>
            <w:left w:w="0" w:type="dxa"/>
            <w:bottom w:w="0" w:type="dxa"/>
            <w:right w:w="0" w:type="dxa"/>
          </w:tblCellMar>
        </w:tblPrEx>
        <w:trPr>
          <w:trHeight w:val="487" w:hRule="atLeast"/>
          <w:jc w:val="center"/>
        </w:trPr>
        <w:tc>
          <w:tcPr>
            <w:tcW w:w="1331" w:type="dxa"/>
            <w:tcBorders>
              <w:top w:val="nil"/>
              <w:left w:val="single" w:color="auto" w:sz="8" w:space="0"/>
              <w:bottom w:val="single" w:color="auto" w:sz="8" w:space="0"/>
              <w:right w:val="single" w:color="auto" w:sz="8" w:space="0"/>
            </w:tcBorders>
            <w:vAlign w:val="center"/>
          </w:tcPr>
          <w:p>
            <w:pPr>
              <w:kinsoku w:val="0"/>
              <w:spacing w:before="100" w:beforeAutospacing="1" w:after="100" w:afterAutospacing="1" w:line="240" w:lineRule="atLeast"/>
              <w:jc w:val="center"/>
              <w:rPr>
                <w:rFonts w:ascii="宋体" w:hAnsi="宋体" w:cs="宋体"/>
                <w:kern w:val="0"/>
                <w:szCs w:val="21"/>
                <w:highlight w:val="none"/>
              </w:rPr>
            </w:pPr>
          </w:p>
        </w:tc>
        <w:tc>
          <w:tcPr>
            <w:tcW w:w="1921" w:type="dxa"/>
            <w:tcBorders>
              <w:top w:val="nil"/>
              <w:left w:val="nil"/>
              <w:bottom w:val="single" w:color="auto" w:sz="8" w:space="0"/>
              <w:right w:val="single" w:color="auto" w:sz="8" w:space="0"/>
            </w:tcBorders>
            <w:vAlign w:val="center"/>
          </w:tcPr>
          <w:p>
            <w:pPr>
              <w:kinsoku w:val="0"/>
              <w:spacing w:before="100" w:beforeAutospacing="1" w:after="100" w:afterAutospacing="1" w:line="240" w:lineRule="atLeast"/>
              <w:jc w:val="center"/>
              <w:rPr>
                <w:rFonts w:ascii="宋体" w:hAnsi="宋体" w:cs="宋体"/>
                <w:kern w:val="0"/>
                <w:szCs w:val="21"/>
                <w:highlight w:val="none"/>
              </w:rPr>
            </w:pPr>
          </w:p>
        </w:tc>
        <w:tc>
          <w:tcPr>
            <w:tcW w:w="2902" w:type="dxa"/>
            <w:gridSpan w:val="3"/>
            <w:tcBorders>
              <w:top w:val="nil"/>
              <w:left w:val="nil"/>
              <w:bottom w:val="single" w:color="auto" w:sz="8" w:space="0"/>
              <w:right w:val="single" w:color="auto" w:sz="8" w:space="0"/>
            </w:tcBorders>
            <w:vAlign w:val="center"/>
          </w:tcPr>
          <w:p>
            <w:pPr>
              <w:kinsoku w:val="0"/>
              <w:spacing w:before="100" w:beforeAutospacing="1" w:after="100" w:afterAutospacing="1" w:line="240" w:lineRule="atLeast"/>
              <w:jc w:val="center"/>
              <w:rPr>
                <w:rFonts w:ascii="宋体" w:hAnsi="宋体" w:cs="宋体"/>
                <w:kern w:val="0"/>
                <w:szCs w:val="21"/>
                <w:highlight w:val="none"/>
              </w:rPr>
            </w:pPr>
          </w:p>
        </w:tc>
        <w:tc>
          <w:tcPr>
            <w:tcW w:w="863" w:type="dxa"/>
            <w:gridSpan w:val="2"/>
            <w:tcBorders>
              <w:top w:val="nil"/>
              <w:left w:val="nil"/>
              <w:bottom w:val="single" w:color="auto" w:sz="8" w:space="0"/>
              <w:right w:val="single" w:color="auto" w:sz="8" w:space="0"/>
            </w:tcBorders>
            <w:vAlign w:val="center"/>
          </w:tcPr>
          <w:p>
            <w:pPr>
              <w:kinsoku w:val="0"/>
              <w:spacing w:before="100" w:beforeAutospacing="1" w:after="100" w:afterAutospacing="1" w:line="240" w:lineRule="atLeast"/>
              <w:jc w:val="center"/>
              <w:rPr>
                <w:rFonts w:ascii="宋体" w:hAnsi="宋体" w:cs="宋体"/>
                <w:kern w:val="0"/>
                <w:szCs w:val="21"/>
                <w:highlight w:val="none"/>
              </w:rPr>
            </w:pPr>
          </w:p>
        </w:tc>
        <w:tc>
          <w:tcPr>
            <w:tcW w:w="2354" w:type="dxa"/>
            <w:tcBorders>
              <w:top w:val="nil"/>
              <w:left w:val="nil"/>
              <w:bottom w:val="single" w:color="auto" w:sz="8" w:space="0"/>
              <w:right w:val="single" w:color="auto" w:sz="8" w:space="0"/>
            </w:tcBorders>
            <w:vAlign w:val="center"/>
          </w:tcPr>
          <w:p>
            <w:pPr>
              <w:kinsoku w:val="0"/>
              <w:spacing w:before="100" w:beforeAutospacing="1" w:after="100" w:afterAutospacing="1" w:line="240" w:lineRule="atLeast"/>
              <w:jc w:val="center"/>
              <w:rPr>
                <w:rFonts w:ascii="宋体" w:hAnsi="宋体" w:cs="宋体"/>
                <w:kern w:val="0"/>
                <w:szCs w:val="21"/>
                <w:highlight w:val="none"/>
              </w:rPr>
            </w:pPr>
          </w:p>
        </w:tc>
      </w:tr>
      <w:tr>
        <w:tblPrEx>
          <w:tblCellMar>
            <w:top w:w="0" w:type="dxa"/>
            <w:left w:w="0" w:type="dxa"/>
            <w:bottom w:w="0" w:type="dxa"/>
            <w:right w:w="0" w:type="dxa"/>
          </w:tblCellMar>
        </w:tblPrEx>
        <w:trPr>
          <w:trHeight w:val="487" w:hRule="atLeast"/>
          <w:jc w:val="center"/>
        </w:trPr>
        <w:tc>
          <w:tcPr>
            <w:tcW w:w="1331" w:type="dxa"/>
            <w:tcBorders>
              <w:top w:val="nil"/>
              <w:left w:val="single" w:color="auto" w:sz="8" w:space="0"/>
              <w:bottom w:val="single" w:color="auto" w:sz="8" w:space="0"/>
              <w:right w:val="single" w:color="auto" w:sz="8" w:space="0"/>
            </w:tcBorders>
            <w:vAlign w:val="center"/>
          </w:tcPr>
          <w:p>
            <w:pPr>
              <w:kinsoku w:val="0"/>
              <w:spacing w:before="100" w:beforeAutospacing="1" w:after="100" w:afterAutospacing="1" w:line="240" w:lineRule="atLeast"/>
              <w:jc w:val="center"/>
              <w:rPr>
                <w:rFonts w:ascii="宋体" w:hAnsi="宋体" w:cs="宋体"/>
                <w:kern w:val="0"/>
                <w:szCs w:val="21"/>
                <w:highlight w:val="none"/>
              </w:rPr>
            </w:pPr>
          </w:p>
        </w:tc>
        <w:tc>
          <w:tcPr>
            <w:tcW w:w="1921" w:type="dxa"/>
            <w:tcBorders>
              <w:top w:val="nil"/>
              <w:left w:val="nil"/>
              <w:bottom w:val="single" w:color="auto" w:sz="8" w:space="0"/>
              <w:right w:val="single" w:color="auto" w:sz="8" w:space="0"/>
            </w:tcBorders>
            <w:vAlign w:val="center"/>
          </w:tcPr>
          <w:p>
            <w:pPr>
              <w:kinsoku w:val="0"/>
              <w:spacing w:before="100" w:beforeAutospacing="1" w:after="100" w:afterAutospacing="1" w:line="240" w:lineRule="atLeast"/>
              <w:jc w:val="center"/>
              <w:rPr>
                <w:rFonts w:ascii="宋体" w:hAnsi="宋体" w:cs="宋体"/>
                <w:kern w:val="0"/>
                <w:szCs w:val="21"/>
                <w:highlight w:val="none"/>
              </w:rPr>
            </w:pPr>
          </w:p>
        </w:tc>
        <w:tc>
          <w:tcPr>
            <w:tcW w:w="2902" w:type="dxa"/>
            <w:gridSpan w:val="3"/>
            <w:tcBorders>
              <w:top w:val="nil"/>
              <w:left w:val="nil"/>
              <w:bottom w:val="single" w:color="auto" w:sz="8" w:space="0"/>
              <w:right w:val="single" w:color="auto" w:sz="8" w:space="0"/>
            </w:tcBorders>
            <w:vAlign w:val="center"/>
          </w:tcPr>
          <w:p>
            <w:pPr>
              <w:kinsoku w:val="0"/>
              <w:spacing w:before="100" w:beforeAutospacing="1" w:after="100" w:afterAutospacing="1" w:line="240" w:lineRule="atLeast"/>
              <w:jc w:val="center"/>
              <w:rPr>
                <w:rFonts w:ascii="宋体" w:hAnsi="宋体" w:cs="宋体"/>
                <w:kern w:val="0"/>
                <w:szCs w:val="21"/>
                <w:highlight w:val="none"/>
              </w:rPr>
            </w:pPr>
          </w:p>
        </w:tc>
        <w:tc>
          <w:tcPr>
            <w:tcW w:w="863" w:type="dxa"/>
            <w:gridSpan w:val="2"/>
            <w:tcBorders>
              <w:top w:val="nil"/>
              <w:left w:val="nil"/>
              <w:bottom w:val="single" w:color="auto" w:sz="8" w:space="0"/>
              <w:right w:val="single" w:color="auto" w:sz="8" w:space="0"/>
            </w:tcBorders>
            <w:vAlign w:val="center"/>
          </w:tcPr>
          <w:p>
            <w:pPr>
              <w:kinsoku w:val="0"/>
              <w:spacing w:before="100" w:beforeAutospacing="1" w:after="100" w:afterAutospacing="1" w:line="240" w:lineRule="atLeast"/>
              <w:jc w:val="center"/>
              <w:rPr>
                <w:rFonts w:ascii="宋体" w:hAnsi="宋体" w:cs="宋体"/>
                <w:kern w:val="0"/>
                <w:szCs w:val="21"/>
                <w:highlight w:val="none"/>
              </w:rPr>
            </w:pPr>
          </w:p>
        </w:tc>
        <w:tc>
          <w:tcPr>
            <w:tcW w:w="2354" w:type="dxa"/>
            <w:tcBorders>
              <w:top w:val="nil"/>
              <w:left w:val="nil"/>
              <w:bottom w:val="single" w:color="auto" w:sz="8" w:space="0"/>
              <w:right w:val="single" w:color="auto" w:sz="8" w:space="0"/>
            </w:tcBorders>
            <w:vAlign w:val="center"/>
          </w:tcPr>
          <w:p>
            <w:pPr>
              <w:kinsoku w:val="0"/>
              <w:spacing w:before="100" w:beforeAutospacing="1" w:after="100" w:afterAutospacing="1" w:line="240" w:lineRule="atLeast"/>
              <w:jc w:val="center"/>
              <w:rPr>
                <w:rFonts w:ascii="宋体" w:hAnsi="宋体" w:cs="宋体"/>
                <w:kern w:val="0"/>
                <w:szCs w:val="21"/>
                <w:highlight w:val="none"/>
              </w:rPr>
            </w:pPr>
          </w:p>
        </w:tc>
      </w:tr>
      <w:tr>
        <w:tblPrEx>
          <w:tblCellMar>
            <w:top w:w="0" w:type="dxa"/>
            <w:left w:w="0" w:type="dxa"/>
            <w:bottom w:w="0" w:type="dxa"/>
            <w:right w:w="0" w:type="dxa"/>
          </w:tblCellMar>
        </w:tblPrEx>
        <w:trPr>
          <w:trHeight w:val="487" w:hRule="atLeast"/>
          <w:jc w:val="center"/>
        </w:trPr>
        <w:tc>
          <w:tcPr>
            <w:tcW w:w="6154" w:type="dxa"/>
            <w:gridSpan w:val="5"/>
            <w:tcBorders>
              <w:top w:val="nil"/>
              <w:left w:val="single" w:color="auto" w:sz="8" w:space="0"/>
              <w:bottom w:val="single" w:color="auto" w:sz="8" w:space="0"/>
              <w:right w:val="single" w:color="auto" w:sz="8" w:space="0"/>
            </w:tcBorders>
            <w:vAlign w:val="center"/>
          </w:tcPr>
          <w:p>
            <w:pPr>
              <w:kinsoku w:val="0"/>
              <w:snapToGrid w:val="0"/>
              <w:spacing w:before="100" w:beforeAutospacing="1" w:after="100" w:afterAutospacing="1" w:line="320" w:lineRule="atLeast"/>
              <w:ind w:firstLine="5"/>
              <w:jc w:val="center"/>
              <w:rPr>
                <w:rFonts w:ascii="宋体" w:hAnsi="宋体" w:cs="宋体"/>
                <w:kern w:val="0"/>
                <w:szCs w:val="21"/>
                <w:highlight w:val="none"/>
              </w:rPr>
            </w:pPr>
            <w:r>
              <w:rPr>
                <w:rFonts w:hint="eastAsia" w:ascii="宋体" w:hAnsi="宋体" w:cs="宋体"/>
                <w:kern w:val="0"/>
                <w:szCs w:val="21"/>
                <w:highlight w:val="none"/>
              </w:rPr>
              <w:t>合 计</w:t>
            </w:r>
          </w:p>
        </w:tc>
        <w:tc>
          <w:tcPr>
            <w:tcW w:w="863" w:type="dxa"/>
            <w:gridSpan w:val="2"/>
            <w:tcBorders>
              <w:top w:val="nil"/>
              <w:left w:val="nil"/>
              <w:bottom w:val="single" w:color="auto" w:sz="8" w:space="0"/>
              <w:right w:val="single" w:color="auto" w:sz="8" w:space="0"/>
            </w:tcBorders>
            <w:vAlign w:val="center"/>
          </w:tcPr>
          <w:p>
            <w:pPr>
              <w:kinsoku w:val="0"/>
              <w:spacing w:before="100" w:beforeAutospacing="1" w:after="100" w:afterAutospacing="1" w:line="240" w:lineRule="atLeast"/>
              <w:jc w:val="center"/>
              <w:rPr>
                <w:rFonts w:ascii="宋体" w:hAnsi="宋体" w:cs="宋体"/>
                <w:kern w:val="0"/>
                <w:szCs w:val="21"/>
                <w:highlight w:val="none"/>
              </w:rPr>
            </w:pPr>
          </w:p>
        </w:tc>
        <w:tc>
          <w:tcPr>
            <w:tcW w:w="2354" w:type="dxa"/>
            <w:tcBorders>
              <w:top w:val="nil"/>
              <w:left w:val="nil"/>
              <w:bottom w:val="single" w:color="auto" w:sz="8" w:space="0"/>
              <w:right w:val="single" w:color="auto" w:sz="8" w:space="0"/>
            </w:tcBorders>
            <w:vAlign w:val="center"/>
          </w:tcPr>
          <w:p>
            <w:pPr>
              <w:kinsoku w:val="0"/>
              <w:spacing w:before="100" w:beforeAutospacing="1" w:after="100" w:afterAutospacing="1" w:line="240" w:lineRule="atLeast"/>
              <w:jc w:val="center"/>
              <w:rPr>
                <w:rFonts w:ascii="宋体" w:hAnsi="宋体" w:cs="宋体"/>
                <w:kern w:val="0"/>
                <w:szCs w:val="21"/>
                <w:highlight w:val="none"/>
              </w:rPr>
            </w:pPr>
          </w:p>
        </w:tc>
      </w:tr>
      <w:tr>
        <w:tblPrEx>
          <w:tblCellMar>
            <w:top w:w="0" w:type="dxa"/>
            <w:left w:w="0" w:type="dxa"/>
            <w:bottom w:w="0" w:type="dxa"/>
            <w:right w:w="0" w:type="dxa"/>
          </w:tblCellMar>
        </w:tblPrEx>
        <w:trPr>
          <w:trHeight w:val="641" w:hRule="atLeast"/>
          <w:jc w:val="center"/>
        </w:trPr>
        <w:tc>
          <w:tcPr>
            <w:tcW w:w="9371" w:type="dxa"/>
            <w:gridSpan w:val="8"/>
            <w:tcBorders>
              <w:top w:val="nil"/>
              <w:left w:val="single" w:color="auto" w:sz="8" w:space="0"/>
              <w:bottom w:val="single" w:color="auto" w:sz="8" w:space="0"/>
              <w:right w:val="single" w:color="auto" w:sz="8" w:space="0"/>
            </w:tcBorders>
            <w:vAlign w:val="center"/>
          </w:tcPr>
          <w:p>
            <w:pPr>
              <w:kinsoku w:val="0"/>
              <w:snapToGrid w:val="0"/>
              <w:spacing w:before="100" w:beforeAutospacing="1" w:after="100" w:afterAutospacing="1" w:line="320" w:lineRule="atLeast"/>
              <w:ind w:firstLine="2"/>
              <w:jc w:val="left"/>
              <w:rPr>
                <w:rFonts w:ascii="宋体" w:hAnsi="宋体" w:cs="宋体"/>
                <w:kern w:val="0"/>
                <w:szCs w:val="21"/>
                <w:highlight w:val="none"/>
              </w:rPr>
            </w:pPr>
            <w:r>
              <w:rPr>
                <w:rFonts w:hint="eastAsia" w:ascii="宋体" w:hAnsi="宋体" w:cs="宋体"/>
                <w:kern w:val="0"/>
                <w:szCs w:val="21"/>
                <w:highlight w:val="none"/>
              </w:rPr>
              <w:t>合计大写金额： 仟 佰 拾 万 仟 佰 拾 元</w:t>
            </w:r>
          </w:p>
        </w:tc>
      </w:tr>
      <w:tr>
        <w:tblPrEx>
          <w:tblCellMar>
            <w:top w:w="0" w:type="dxa"/>
            <w:left w:w="0" w:type="dxa"/>
            <w:bottom w:w="0" w:type="dxa"/>
            <w:right w:w="0" w:type="dxa"/>
          </w:tblCellMar>
        </w:tblPrEx>
        <w:trPr>
          <w:trHeight w:val="641" w:hRule="atLeast"/>
          <w:jc w:val="center"/>
        </w:trPr>
        <w:tc>
          <w:tcPr>
            <w:tcW w:w="1331" w:type="dxa"/>
            <w:tcBorders>
              <w:top w:val="nil"/>
              <w:left w:val="single" w:color="auto" w:sz="8" w:space="0"/>
              <w:bottom w:val="single" w:color="auto" w:sz="8" w:space="0"/>
              <w:right w:val="single" w:color="auto" w:sz="8" w:space="0"/>
            </w:tcBorders>
            <w:vAlign w:val="center"/>
          </w:tcPr>
          <w:p>
            <w:pPr>
              <w:kinsoku w:val="0"/>
              <w:snapToGrid w:val="0"/>
              <w:spacing w:before="100" w:beforeAutospacing="1" w:after="100" w:afterAutospacing="1" w:line="320" w:lineRule="atLeast"/>
              <w:ind w:firstLine="2"/>
              <w:jc w:val="center"/>
              <w:rPr>
                <w:rFonts w:ascii="宋体" w:hAnsi="宋体" w:cs="宋体"/>
                <w:kern w:val="0"/>
                <w:szCs w:val="21"/>
                <w:highlight w:val="none"/>
              </w:rPr>
            </w:pPr>
            <w:r>
              <w:rPr>
                <w:rFonts w:hint="eastAsia" w:ascii="宋体" w:hAnsi="宋体" w:cs="宋体"/>
                <w:kern w:val="0"/>
                <w:szCs w:val="21"/>
                <w:highlight w:val="none"/>
              </w:rPr>
              <w:t>实际供货日期</w:t>
            </w:r>
          </w:p>
        </w:tc>
        <w:tc>
          <w:tcPr>
            <w:tcW w:w="2719" w:type="dxa"/>
            <w:gridSpan w:val="2"/>
            <w:tcBorders>
              <w:top w:val="nil"/>
              <w:left w:val="nil"/>
              <w:bottom w:val="single" w:color="auto" w:sz="8" w:space="0"/>
              <w:right w:val="single" w:color="auto" w:sz="8" w:space="0"/>
            </w:tcBorders>
            <w:vAlign w:val="center"/>
          </w:tcPr>
          <w:p>
            <w:pPr>
              <w:kinsoku w:val="0"/>
              <w:spacing w:before="100" w:beforeAutospacing="1" w:after="100" w:afterAutospacing="1" w:line="240" w:lineRule="atLeast"/>
              <w:jc w:val="center"/>
              <w:rPr>
                <w:rFonts w:ascii="宋体" w:hAnsi="宋体" w:cs="宋体"/>
                <w:kern w:val="0"/>
                <w:szCs w:val="21"/>
                <w:highlight w:val="none"/>
              </w:rPr>
            </w:pPr>
          </w:p>
        </w:tc>
        <w:tc>
          <w:tcPr>
            <w:tcW w:w="2282" w:type="dxa"/>
            <w:gridSpan w:val="3"/>
            <w:tcBorders>
              <w:top w:val="nil"/>
              <w:left w:val="nil"/>
              <w:bottom w:val="single" w:color="auto" w:sz="8" w:space="0"/>
              <w:right w:val="single" w:color="auto" w:sz="8" w:space="0"/>
            </w:tcBorders>
            <w:vAlign w:val="center"/>
          </w:tcPr>
          <w:p>
            <w:pPr>
              <w:kinsoku w:val="0"/>
              <w:snapToGrid w:val="0"/>
              <w:spacing w:before="100" w:beforeAutospacing="1" w:after="100" w:afterAutospacing="1" w:line="320" w:lineRule="atLeast"/>
              <w:ind w:firstLine="46"/>
              <w:jc w:val="center"/>
              <w:rPr>
                <w:rFonts w:ascii="宋体" w:hAnsi="宋体" w:cs="宋体"/>
                <w:kern w:val="0"/>
                <w:szCs w:val="21"/>
                <w:highlight w:val="none"/>
              </w:rPr>
            </w:pPr>
            <w:r>
              <w:rPr>
                <w:rFonts w:hint="eastAsia" w:ascii="宋体" w:hAnsi="宋体" w:cs="宋体"/>
                <w:kern w:val="0"/>
                <w:szCs w:val="21"/>
                <w:highlight w:val="none"/>
              </w:rPr>
              <w:t>合同交货验收日期</w:t>
            </w:r>
          </w:p>
        </w:tc>
        <w:tc>
          <w:tcPr>
            <w:tcW w:w="3039" w:type="dxa"/>
            <w:gridSpan w:val="2"/>
            <w:tcBorders>
              <w:top w:val="nil"/>
              <w:left w:val="nil"/>
              <w:bottom w:val="single" w:color="auto" w:sz="8" w:space="0"/>
              <w:right w:val="single" w:color="auto" w:sz="8" w:space="0"/>
            </w:tcBorders>
            <w:vAlign w:val="center"/>
          </w:tcPr>
          <w:p>
            <w:pPr>
              <w:kinsoku w:val="0"/>
              <w:spacing w:before="100" w:beforeAutospacing="1" w:after="100" w:afterAutospacing="1" w:line="240" w:lineRule="atLeast"/>
              <w:jc w:val="center"/>
              <w:rPr>
                <w:rFonts w:ascii="宋体" w:hAnsi="宋体" w:cs="宋体"/>
                <w:kern w:val="0"/>
                <w:szCs w:val="21"/>
                <w:highlight w:val="none"/>
              </w:rPr>
            </w:pPr>
          </w:p>
        </w:tc>
      </w:tr>
      <w:tr>
        <w:tblPrEx>
          <w:tblCellMar>
            <w:top w:w="0" w:type="dxa"/>
            <w:left w:w="0" w:type="dxa"/>
            <w:bottom w:w="0" w:type="dxa"/>
            <w:right w:w="0" w:type="dxa"/>
          </w:tblCellMar>
        </w:tblPrEx>
        <w:trPr>
          <w:trHeight w:val="394" w:hRule="atLeast"/>
          <w:jc w:val="center"/>
        </w:trPr>
        <w:tc>
          <w:tcPr>
            <w:tcW w:w="1331" w:type="dxa"/>
            <w:tcBorders>
              <w:top w:val="nil"/>
              <w:left w:val="single" w:color="auto" w:sz="8" w:space="0"/>
              <w:bottom w:val="single" w:color="auto" w:sz="8" w:space="0"/>
              <w:right w:val="single" w:color="auto" w:sz="8" w:space="0"/>
            </w:tcBorders>
            <w:vAlign w:val="center"/>
          </w:tcPr>
          <w:p>
            <w:pPr>
              <w:kinsoku w:val="0"/>
              <w:spacing w:before="100" w:beforeAutospacing="1" w:after="100" w:afterAutospacing="1" w:line="240" w:lineRule="atLeast"/>
              <w:jc w:val="center"/>
              <w:rPr>
                <w:rFonts w:ascii="宋体" w:hAnsi="宋体" w:cs="宋体"/>
                <w:kern w:val="0"/>
                <w:szCs w:val="21"/>
                <w:highlight w:val="none"/>
              </w:rPr>
            </w:pPr>
          </w:p>
        </w:tc>
        <w:tc>
          <w:tcPr>
            <w:tcW w:w="2719" w:type="dxa"/>
            <w:gridSpan w:val="2"/>
            <w:tcBorders>
              <w:top w:val="nil"/>
              <w:left w:val="nil"/>
              <w:bottom w:val="single" w:color="auto" w:sz="8" w:space="0"/>
              <w:right w:val="single" w:color="auto" w:sz="8" w:space="0"/>
            </w:tcBorders>
            <w:vAlign w:val="center"/>
          </w:tcPr>
          <w:p>
            <w:pPr>
              <w:kinsoku w:val="0"/>
              <w:spacing w:before="100" w:beforeAutospacing="1" w:after="100" w:afterAutospacing="1" w:line="240" w:lineRule="atLeast"/>
              <w:jc w:val="center"/>
              <w:rPr>
                <w:rFonts w:ascii="宋体" w:hAnsi="宋体" w:cs="宋体"/>
                <w:kern w:val="0"/>
                <w:szCs w:val="21"/>
                <w:highlight w:val="none"/>
              </w:rPr>
            </w:pPr>
          </w:p>
        </w:tc>
        <w:tc>
          <w:tcPr>
            <w:tcW w:w="2282" w:type="dxa"/>
            <w:gridSpan w:val="3"/>
            <w:tcBorders>
              <w:top w:val="nil"/>
              <w:left w:val="nil"/>
              <w:bottom w:val="single" w:color="auto" w:sz="8" w:space="0"/>
              <w:right w:val="single" w:color="auto" w:sz="8" w:space="0"/>
            </w:tcBorders>
            <w:vAlign w:val="center"/>
          </w:tcPr>
          <w:p>
            <w:pPr>
              <w:kinsoku w:val="0"/>
              <w:spacing w:before="100" w:beforeAutospacing="1" w:after="100" w:afterAutospacing="1" w:line="240" w:lineRule="atLeast"/>
              <w:jc w:val="center"/>
              <w:rPr>
                <w:rFonts w:ascii="宋体" w:hAnsi="宋体" w:cs="宋体"/>
                <w:kern w:val="0"/>
                <w:szCs w:val="21"/>
                <w:highlight w:val="none"/>
              </w:rPr>
            </w:pPr>
          </w:p>
        </w:tc>
        <w:tc>
          <w:tcPr>
            <w:tcW w:w="3039" w:type="dxa"/>
            <w:gridSpan w:val="2"/>
            <w:tcBorders>
              <w:top w:val="nil"/>
              <w:left w:val="nil"/>
              <w:bottom w:val="single" w:color="auto" w:sz="8" w:space="0"/>
              <w:right w:val="single" w:color="auto" w:sz="8" w:space="0"/>
            </w:tcBorders>
            <w:vAlign w:val="center"/>
          </w:tcPr>
          <w:p>
            <w:pPr>
              <w:kinsoku w:val="0"/>
              <w:spacing w:before="100" w:beforeAutospacing="1" w:after="100" w:afterAutospacing="1" w:line="240" w:lineRule="atLeast"/>
              <w:jc w:val="center"/>
              <w:rPr>
                <w:rFonts w:ascii="宋体" w:hAnsi="宋体" w:cs="宋体"/>
                <w:kern w:val="0"/>
                <w:szCs w:val="21"/>
                <w:highlight w:val="none"/>
              </w:rPr>
            </w:pPr>
          </w:p>
        </w:tc>
      </w:tr>
      <w:tr>
        <w:tblPrEx>
          <w:tblCellMar>
            <w:top w:w="0" w:type="dxa"/>
            <w:left w:w="0" w:type="dxa"/>
            <w:bottom w:w="0" w:type="dxa"/>
            <w:right w:w="0" w:type="dxa"/>
          </w:tblCellMar>
        </w:tblPrEx>
        <w:trPr>
          <w:trHeight w:val="693" w:hRule="atLeast"/>
          <w:jc w:val="center"/>
        </w:trPr>
        <w:tc>
          <w:tcPr>
            <w:tcW w:w="1331" w:type="dxa"/>
            <w:tcBorders>
              <w:top w:val="nil"/>
              <w:left w:val="single" w:color="auto" w:sz="8" w:space="0"/>
              <w:bottom w:val="single" w:color="auto" w:sz="8" w:space="0"/>
              <w:right w:val="single" w:color="auto" w:sz="8" w:space="0"/>
            </w:tcBorders>
            <w:tcMar>
              <w:top w:w="0" w:type="dxa"/>
              <w:left w:w="108" w:type="dxa"/>
              <w:bottom w:w="0" w:type="dxa"/>
              <w:right w:w="108" w:type="dxa"/>
            </w:tcMar>
            <w:vAlign w:val="center"/>
          </w:tcPr>
          <w:p>
            <w:pPr>
              <w:kinsoku w:val="0"/>
              <w:snapToGrid w:val="0"/>
              <w:spacing w:before="100" w:beforeAutospacing="1" w:after="100" w:afterAutospacing="1" w:line="320" w:lineRule="atLeast"/>
              <w:jc w:val="left"/>
              <w:rPr>
                <w:rFonts w:ascii="宋体" w:hAnsi="宋体" w:cs="宋体"/>
                <w:kern w:val="0"/>
                <w:szCs w:val="21"/>
                <w:highlight w:val="none"/>
              </w:rPr>
            </w:pPr>
            <w:r>
              <w:rPr>
                <w:rFonts w:hint="eastAsia" w:ascii="宋体" w:hAnsi="宋体" w:cs="宋体"/>
                <w:kern w:val="0"/>
                <w:szCs w:val="21"/>
                <w:highlight w:val="none"/>
              </w:rPr>
              <w:t>验收具体内容</w:t>
            </w:r>
          </w:p>
        </w:tc>
        <w:tc>
          <w:tcPr>
            <w:tcW w:w="8040" w:type="dxa"/>
            <w:gridSpan w:val="7"/>
            <w:tcBorders>
              <w:top w:val="nil"/>
              <w:left w:val="nil"/>
              <w:bottom w:val="single" w:color="auto" w:sz="8" w:space="0"/>
              <w:right w:val="single" w:color="auto" w:sz="8" w:space="0"/>
            </w:tcBorders>
            <w:tcMar>
              <w:top w:w="0" w:type="dxa"/>
              <w:left w:w="108" w:type="dxa"/>
              <w:bottom w:w="0" w:type="dxa"/>
              <w:right w:w="108" w:type="dxa"/>
            </w:tcMar>
            <w:vAlign w:val="center"/>
          </w:tcPr>
          <w:p>
            <w:pPr>
              <w:kinsoku w:val="0"/>
              <w:rPr>
                <w:rFonts w:ascii="宋体" w:hAnsi="宋体" w:cs="宋体"/>
                <w:highlight w:val="none"/>
              </w:rPr>
            </w:pPr>
            <w:r>
              <w:rPr>
                <w:rFonts w:hint="eastAsia" w:ascii="宋体" w:hAnsi="宋体" w:cs="宋体"/>
                <w:highlight w:val="none"/>
              </w:rPr>
              <w:t>（应按采购合同、磋商文件、投标响应文件及验收方案等进行验收；并核对成交供应商提供的服务质量保证证明材料是否齐全、应有的服务质量是否达到合同约定等。可附件)</w:t>
            </w:r>
          </w:p>
        </w:tc>
      </w:tr>
      <w:tr>
        <w:tblPrEx>
          <w:tblCellMar>
            <w:top w:w="0" w:type="dxa"/>
            <w:left w:w="0" w:type="dxa"/>
            <w:bottom w:w="0" w:type="dxa"/>
            <w:right w:w="0" w:type="dxa"/>
          </w:tblCellMar>
        </w:tblPrEx>
        <w:trPr>
          <w:trHeight w:val="1281" w:hRule="atLeast"/>
          <w:jc w:val="center"/>
        </w:trPr>
        <w:tc>
          <w:tcPr>
            <w:tcW w:w="1331" w:type="dxa"/>
            <w:vMerge w:val="restart"/>
            <w:tcBorders>
              <w:top w:val="nil"/>
              <w:left w:val="single" w:color="auto" w:sz="8" w:space="0"/>
              <w:bottom w:val="single" w:color="auto" w:sz="8" w:space="0"/>
              <w:right w:val="single" w:color="auto" w:sz="8" w:space="0"/>
            </w:tcBorders>
            <w:tcMar>
              <w:top w:w="0" w:type="dxa"/>
              <w:left w:w="108" w:type="dxa"/>
              <w:bottom w:w="0" w:type="dxa"/>
              <w:right w:w="108" w:type="dxa"/>
            </w:tcMar>
            <w:vAlign w:val="center"/>
          </w:tcPr>
          <w:p>
            <w:pPr>
              <w:kinsoku w:val="0"/>
              <w:spacing w:before="100" w:beforeAutospacing="1" w:after="100" w:afterAutospacing="1" w:line="320" w:lineRule="atLeast"/>
              <w:jc w:val="left"/>
              <w:rPr>
                <w:rFonts w:ascii="宋体" w:hAnsi="宋体" w:cs="宋体"/>
                <w:kern w:val="0"/>
                <w:szCs w:val="21"/>
                <w:highlight w:val="none"/>
              </w:rPr>
            </w:pPr>
            <w:r>
              <w:rPr>
                <w:rFonts w:hint="eastAsia" w:ascii="宋体" w:hAnsi="宋体" w:cs="宋体"/>
                <w:kern w:val="0"/>
                <w:szCs w:val="21"/>
                <w:highlight w:val="none"/>
              </w:rPr>
              <w:t>验收小组意见</w:t>
            </w:r>
          </w:p>
        </w:tc>
        <w:tc>
          <w:tcPr>
            <w:tcW w:w="8040" w:type="dxa"/>
            <w:gridSpan w:val="7"/>
            <w:tcBorders>
              <w:top w:val="nil"/>
              <w:left w:val="nil"/>
              <w:bottom w:val="single" w:color="auto" w:sz="8" w:space="0"/>
              <w:right w:val="single" w:color="auto" w:sz="8" w:space="0"/>
            </w:tcBorders>
            <w:vAlign w:val="center"/>
          </w:tcPr>
          <w:p>
            <w:pPr>
              <w:kinsoku w:val="0"/>
              <w:spacing w:before="100" w:beforeAutospacing="1" w:after="100" w:afterAutospacing="1" w:line="320" w:lineRule="atLeast"/>
              <w:jc w:val="left"/>
              <w:rPr>
                <w:rFonts w:ascii="宋体" w:hAnsi="宋体" w:cs="宋体"/>
                <w:kern w:val="0"/>
                <w:szCs w:val="21"/>
                <w:highlight w:val="none"/>
              </w:rPr>
            </w:pPr>
            <w:r>
              <w:rPr>
                <w:rFonts w:hint="eastAsia" w:ascii="宋体" w:hAnsi="宋体" w:cs="宋体"/>
                <w:kern w:val="0"/>
                <w:szCs w:val="21"/>
                <w:highlight w:val="none"/>
              </w:rPr>
              <w:t>验收结论性意见：</w:t>
            </w:r>
          </w:p>
        </w:tc>
      </w:tr>
      <w:tr>
        <w:tblPrEx>
          <w:tblCellMar>
            <w:top w:w="0" w:type="dxa"/>
            <w:left w:w="0" w:type="dxa"/>
            <w:bottom w:w="0" w:type="dxa"/>
            <w:right w:w="0" w:type="dxa"/>
          </w:tblCellMar>
        </w:tblPrEx>
        <w:trPr>
          <w:trHeight w:val="607" w:hRule="atLeast"/>
          <w:jc w:val="center"/>
        </w:trPr>
        <w:tc>
          <w:tcPr>
            <w:tcW w:w="1331" w:type="dxa"/>
            <w:vMerge w:val="continue"/>
            <w:tcBorders>
              <w:top w:val="nil"/>
              <w:left w:val="single" w:color="auto" w:sz="8" w:space="0"/>
              <w:bottom w:val="single" w:color="auto" w:sz="8" w:space="0"/>
              <w:right w:val="single" w:color="auto" w:sz="8" w:space="0"/>
            </w:tcBorders>
            <w:vAlign w:val="center"/>
          </w:tcPr>
          <w:p>
            <w:pPr>
              <w:kinsoku w:val="0"/>
              <w:jc w:val="left"/>
              <w:rPr>
                <w:rFonts w:ascii="宋体" w:hAnsi="宋体" w:cs="宋体"/>
                <w:kern w:val="0"/>
                <w:szCs w:val="21"/>
                <w:highlight w:val="none"/>
              </w:rPr>
            </w:pPr>
          </w:p>
        </w:tc>
        <w:tc>
          <w:tcPr>
            <w:tcW w:w="8040" w:type="dxa"/>
            <w:gridSpan w:val="7"/>
            <w:tcBorders>
              <w:top w:val="nil"/>
              <w:left w:val="nil"/>
              <w:bottom w:val="single" w:color="auto" w:sz="8" w:space="0"/>
              <w:right w:val="single" w:color="auto" w:sz="8" w:space="0"/>
            </w:tcBorders>
            <w:vAlign w:val="center"/>
          </w:tcPr>
          <w:p>
            <w:pPr>
              <w:kinsoku w:val="0"/>
              <w:spacing w:before="100" w:beforeAutospacing="1" w:after="100" w:afterAutospacing="1" w:line="320" w:lineRule="atLeast"/>
              <w:ind w:firstLine="96"/>
              <w:jc w:val="left"/>
              <w:rPr>
                <w:rFonts w:ascii="宋体" w:hAnsi="宋体" w:cs="宋体"/>
                <w:kern w:val="0"/>
                <w:szCs w:val="21"/>
                <w:highlight w:val="none"/>
              </w:rPr>
            </w:pPr>
            <w:r>
              <w:rPr>
                <w:rFonts w:hint="eastAsia" w:ascii="宋体" w:hAnsi="宋体" w:cs="宋体"/>
                <w:kern w:val="0"/>
                <w:szCs w:val="21"/>
                <w:highlight w:val="none"/>
              </w:rPr>
              <w:t>有异议的意见和说明理由：</w:t>
            </w:r>
          </w:p>
          <w:p>
            <w:pPr>
              <w:kinsoku w:val="0"/>
              <w:spacing w:before="100" w:beforeAutospacing="1" w:after="100" w:afterAutospacing="1" w:line="320" w:lineRule="atLeast"/>
              <w:jc w:val="left"/>
              <w:rPr>
                <w:rFonts w:ascii="宋体" w:hAnsi="宋体" w:cs="宋体"/>
                <w:kern w:val="0"/>
                <w:szCs w:val="21"/>
                <w:highlight w:val="none"/>
              </w:rPr>
            </w:pPr>
            <w:r>
              <w:rPr>
                <w:rFonts w:hint="eastAsia" w:ascii="宋体" w:hAnsi="宋体" w:cs="宋体"/>
                <w:kern w:val="0"/>
                <w:szCs w:val="21"/>
                <w:highlight w:val="none"/>
              </w:rPr>
              <w:t>签字：</w:t>
            </w:r>
          </w:p>
        </w:tc>
      </w:tr>
      <w:tr>
        <w:tblPrEx>
          <w:tblCellMar>
            <w:top w:w="0" w:type="dxa"/>
            <w:left w:w="0" w:type="dxa"/>
            <w:bottom w:w="0" w:type="dxa"/>
            <w:right w:w="0" w:type="dxa"/>
          </w:tblCellMar>
        </w:tblPrEx>
        <w:trPr>
          <w:trHeight w:val="507" w:hRule="atLeast"/>
          <w:jc w:val="center"/>
        </w:trPr>
        <w:tc>
          <w:tcPr>
            <w:tcW w:w="9371" w:type="dxa"/>
            <w:gridSpan w:val="8"/>
            <w:tcBorders>
              <w:top w:val="nil"/>
              <w:left w:val="single" w:color="auto" w:sz="8" w:space="0"/>
              <w:bottom w:val="single" w:color="auto" w:sz="8" w:space="0"/>
              <w:right w:val="single" w:color="auto" w:sz="8" w:space="0"/>
            </w:tcBorders>
            <w:tcMar>
              <w:top w:w="0" w:type="dxa"/>
              <w:left w:w="108" w:type="dxa"/>
              <w:bottom w:w="0" w:type="dxa"/>
              <w:right w:w="108" w:type="dxa"/>
            </w:tcMar>
            <w:vAlign w:val="center"/>
          </w:tcPr>
          <w:p>
            <w:pPr>
              <w:kinsoku w:val="0"/>
              <w:spacing w:before="100" w:beforeAutospacing="1" w:after="100" w:afterAutospacing="1" w:line="320" w:lineRule="atLeast"/>
              <w:jc w:val="left"/>
              <w:rPr>
                <w:rFonts w:ascii="宋体" w:hAnsi="宋体" w:cs="宋体"/>
                <w:kern w:val="0"/>
                <w:szCs w:val="21"/>
                <w:highlight w:val="none"/>
              </w:rPr>
            </w:pPr>
            <w:r>
              <w:rPr>
                <w:rFonts w:hint="eastAsia" w:ascii="宋体" w:hAnsi="宋体" w:cs="宋体"/>
                <w:kern w:val="0"/>
                <w:szCs w:val="21"/>
                <w:highlight w:val="none"/>
              </w:rPr>
              <w:t>验收小组成员签字：</w:t>
            </w:r>
          </w:p>
        </w:tc>
      </w:tr>
      <w:tr>
        <w:tblPrEx>
          <w:tblCellMar>
            <w:top w:w="0" w:type="dxa"/>
            <w:left w:w="0" w:type="dxa"/>
            <w:bottom w:w="0" w:type="dxa"/>
            <w:right w:w="0" w:type="dxa"/>
          </w:tblCellMar>
        </w:tblPrEx>
        <w:trPr>
          <w:trHeight w:val="736" w:hRule="atLeast"/>
          <w:jc w:val="center"/>
        </w:trPr>
        <w:tc>
          <w:tcPr>
            <w:tcW w:w="9371" w:type="dxa"/>
            <w:gridSpan w:val="8"/>
            <w:tcBorders>
              <w:top w:val="nil"/>
              <w:left w:val="single" w:color="auto" w:sz="8" w:space="0"/>
              <w:bottom w:val="single" w:color="auto" w:sz="4" w:space="0"/>
              <w:right w:val="single" w:color="auto" w:sz="8" w:space="0"/>
            </w:tcBorders>
            <w:tcMar>
              <w:top w:w="0" w:type="dxa"/>
              <w:left w:w="108" w:type="dxa"/>
              <w:bottom w:w="0" w:type="dxa"/>
              <w:right w:w="108" w:type="dxa"/>
            </w:tcMar>
            <w:vAlign w:val="center"/>
          </w:tcPr>
          <w:p>
            <w:pPr>
              <w:kinsoku w:val="0"/>
              <w:spacing w:before="100" w:beforeAutospacing="1" w:after="100" w:afterAutospacing="1" w:line="320" w:lineRule="atLeast"/>
              <w:jc w:val="left"/>
              <w:rPr>
                <w:rFonts w:ascii="宋体" w:hAnsi="宋体" w:cs="宋体"/>
                <w:kern w:val="0"/>
                <w:szCs w:val="21"/>
                <w:highlight w:val="none"/>
              </w:rPr>
            </w:pPr>
            <w:r>
              <w:rPr>
                <w:rFonts w:hint="eastAsia" w:ascii="宋体" w:hAnsi="宋体" w:cs="宋体"/>
                <w:kern w:val="0"/>
                <w:szCs w:val="21"/>
                <w:highlight w:val="none"/>
              </w:rPr>
              <w:t>监督人员或其他相关人员签字：</w:t>
            </w:r>
          </w:p>
          <w:p>
            <w:pPr>
              <w:kinsoku w:val="0"/>
              <w:spacing w:before="100" w:beforeAutospacing="1" w:after="100" w:afterAutospacing="1" w:line="320" w:lineRule="atLeast"/>
              <w:ind w:firstLine="74"/>
              <w:jc w:val="left"/>
              <w:rPr>
                <w:rFonts w:ascii="宋体" w:hAnsi="宋体" w:cs="宋体"/>
                <w:kern w:val="0"/>
                <w:szCs w:val="21"/>
                <w:highlight w:val="none"/>
              </w:rPr>
            </w:pPr>
            <w:r>
              <w:rPr>
                <w:rFonts w:hint="eastAsia" w:ascii="宋体" w:hAnsi="宋体" w:cs="宋体"/>
                <w:kern w:val="0"/>
                <w:szCs w:val="21"/>
                <w:highlight w:val="none"/>
              </w:rPr>
              <w:t>或受邀机构的意见（盖章）：</w:t>
            </w:r>
          </w:p>
        </w:tc>
      </w:tr>
      <w:tr>
        <w:tblPrEx>
          <w:tblCellMar>
            <w:top w:w="0" w:type="dxa"/>
            <w:left w:w="0" w:type="dxa"/>
            <w:bottom w:w="0" w:type="dxa"/>
            <w:right w:w="0" w:type="dxa"/>
          </w:tblCellMar>
        </w:tblPrEx>
        <w:trPr>
          <w:trHeight w:val="1351" w:hRule="atLeast"/>
          <w:jc w:val="center"/>
        </w:trPr>
        <w:tc>
          <w:tcPr>
            <w:tcW w:w="4152" w:type="dxa"/>
            <w:gridSpan w:val="4"/>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kinsoku w:val="0"/>
              <w:spacing w:before="100" w:beforeAutospacing="1" w:after="100" w:afterAutospacing="1" w:line="320" w:lineRule="atLeast"/>
              <w:ind w:firstLine="74"/>
              <w:jc w:val="left"/>
              <w:rPr>
                <w:rFonts w:ascii="宋体" w:hAnsi="宋体" w:cs="宋体"/>
                <w:kern w:val="0"/>
                <w:szCs w:val="21"/>
                <w:highlight w:val="none"/>
              </w:rPr>
            </w:pPr>
            <w:r>
              <w:rPr>
                <w:rFonts w:hint="eastAsia" w:ascii="宋体" w:hAnsi="宋体" w:cs="宋体"/>
                <w:kern w:val="0"/>
                <w:szCs w:val="21"/>
                <w:highlight w:val="none"/>
              </w:rPr>
              <w:t>中标或者成交供应商负责人签字或盖章：</w:t>
            </w:r>
          </w:p>
          <w:p>
            <w:pPr>
              <w:kinsoku w:val="0"/>
              <w:spacing w:before="100" w:beforeAutospacing="1" w:after="100" w:afterAutospacing="1" w:line="320" w:lineRule="atLeast"/>
              <w:ind w:firstLine="74"/>
              <w:jc w:val="left"/>
              <w:rPr>
                <w:rFonts w:ascii="宋体" w:hAnsi="宋体" w:cs="宋体"/>
                <w:kern w:val="0"/>
                <w:szCs w:val="21"/>
                <w:highlight w:val="none"/>
              </w:rPr>
            </w:pPr>
          </w:p>
          <w:p>
            <w:pPr>
              <w:kinsoku w:val="0"/>
              <w:spacing w:before="100" w:beforeAutospacing="1" w:after="100" w:afterAutospacing="1" w:line="320" w:lineRule="atLeast"/>
              <w:jc w:val="left"/>
              <w:rPr>
                <w:rFonts w:ascii="宋体" w:hAnsi="宋体" w:cs="宋体"/>
                <w:kern w:val="0"/>
                <w:szCs w:val="21"/>
                <w:highlight w:val="none"/>
              </w:rPr>
            </w:pPr>
            <w:r>
              <w:rPr>
                <w:rFonts w:hint="eastAsia" w:ascii="宋体" w:hAnsi="宋体" w:cs="宋体"/>
                <w:kern w:val="0"/>
                <w:szCs w:val="21"/>
                <w:highlight w:val="none"/>
              </w:rPr>
              <w:t>联系电话： 年 月 日</w:t>
            </w:r>
          </w:p>
        </w:tc>
        <w:tc>
          <w:tcPr>
            <w:tcW w:w="5219" w:type="dxa"/>
            <w:gridSpan w:val="4"/>
            <w:tcBorders>
              <w:top w:val="single" w:color="auto" w:sz="4" w:space="0"/>
              <w:left w:val="single" w:color="auto" w:sz="4" w:space="0"/>
              <w:bottom w:val="single" w:color="auto" w:sz="4" w:space="0"/>
              <w:right w:val="single" w:color="auto" w:sz="4" w:space="0"/>
            </w:tcBorders>
            <w:vAlign w:val="center"/>
          </w:tcPr>
          <w:p>
            <w:pPr>
              <w:kinsoku w:val="0"/>
              <w:spacing w:before="100" w:beforeAutospacing="1" w:after="100" w:afterAutospacing="1" w:line="320" w:lineRule="atLeast"/>
              <w:jc w:val="left"/>
              <w:rPr>
                <w:rFonts w:ascii="宋体" w:hAnsi="宋体" w:cs="宋体"/>
                <w:kern w:val="0"/>
                <w:szCs w:val="21"/>
                <w:highlight w:val="none"/>
              </w:rPr>
            </w:pPr>
            <w:r>
              <w:rPr>
                <w:rFonts w:hint="eastAsia" w:ascii="宋体" w:hAnsi="宋体" w:cs="宋体"/>
                <w:kern w:val="0"/>
                <w:szCs w:val="21"/>
                <w:highlight w:val="none"/>
              </w:rPr>
              <w:t>采购人或受托机构的意见（盖章）：</w:t>
            </w:r>
          </w:p>
          <w:p>
            <w:pPr>
              <w:kinsoku w:val="0"/>
              <w:spacing w:before="100" w:beforeAutospacing="1" w:after="100" w:afterAutospacing="1" w:line="320" w:lineRule="atLeast"/>
              <w:jc w:val="left"/>
              <w:rPr>
                <w:rFonts w:ascii="宋体" w:hAnsi="宋体" w:cs="宋体"/>
                <w:kern w:val="0"/>
                <w:szCs w:val="21"/>
                <w:highlight w:val="none"/>
              </w:rPr>
            </w:pPr>
          </w:p>
          <w:p>
            <w:pPr>
              <w:kinsoku w:val="0"/>
              <w:spacing w:before="100" w:beforeAutospacing="1" w:after="100" w:afterAutospacing="1" w:line="320" w:lineRule="atLeast"/>
              <w:jc w:val="left"/>
              <w:rPr>
                <w:rFonts w:ascii="宋体" w:hAnsi="宋体" w:cs="宋体"/>
                <w:kern w:val="0"/>
                <w:szCs w:val="21"/>
                <w:highlight w:val="none"/>
              </w:rPr>
            </w:pPr>
            <w:r>
              <w:rPr>
                <w:rFonts w:hint="eastAsia" w:ascii="宋体" w:hAnsi="宋体" w:cs="宋体"/>
                <w:kern w:val="0"/>
                <w:szCs w:val="21"/>
                <w:highlight w:val="none"/>
              </w:rPr>
              <w:t>联系电话： 年 月 日</w:t>
            </w:r>
          </w:p>
        </w:tc>
      </w:tr>
    </w:tbl>
    <w:p>
      <w:pPr>
        <w:rPr>
          <w:highlight w:val="none"/>
        </w:rPr>
      </w:pPr>
    </w:p>
    <w:p>
      <w:pPr>
        <w:pStyle w:val="3"/>
        <w:keepNext w:val="0"/>
        <w:keepLines w:val="0"/>
        <w:kinsoku w:val="0"/>
        <w:spacing w:before="156" w:beforeLines="50" w:after="156" w:afterLines="50" w:line="380" w:lineRule="exact"/>
        <w:jc w:val="center"/>
        <w:rPr>
          <w:rFonts w:ascii="宋体" w:hAnsi="宋体" w:cs="宋体"/>
          <w:bCs w:val="0"/>
          <w:sz w:val="36"/>
          <w:szCs w:val="36"/>
          <w:highlight w:val="none"/>
        </w:rPr>
      </w:pPr>
    </w:p>
    <w:p>
      <w:pPr>
        <w:pStyle w:val="3"/>
        <w:widowControl/>
        <w:kinsoku w:val="0"/>
        <w:spacing w:before="156" w:beforeLines="50" w:after="156" w:afterLines="50" w:line="380" w:lineRule="exact"/>
        <w:jc w:val="center"/>
        <w:rPr>
          <w:rFonts w:hint="eastAsia" w:ascii="宋体" w:hAnsi="宋体" w:cs="宋体"/>
          <w:bCs w:val="0"/>
          <w:sz w:val="36"/>
          <w:szCs w:val="36"/>
          <w:highlight w:val="none"/>
        </w:rPr>
      </w:pPr>
    </w:p>
    <w:p>
      <w:pPr>
        <w:pStyle w:val="3"/>
        <w:widowControl/>
        <w:kinsoku w:val="0"/>
        <w:spacing w:before="156" w:beforeLines="50" w:after="156" w:afterLines="50" w:line="380" w:lineRule="exact"/>
        <w:jc w:val="center"/>
        <w:rPr>
          <w:rFonts w:ascii="宋体" w:hAnsi="宋体" w:cs="宋体"/>
          <w:b w:val="0"/>
          <w:bCs w:val="0"/>
          <w:szCs w:val="21"/>
          <w:highlight w:val="none"/>
        </w:rPr>
      </w:pPr>
      <w:r>
        <w:rPr>
          <w:rFonts w:hint="eastAsia" w:ascii="宋体" w:hAnsi="宋体" w:cs="宋体"/>
          <w:bCs w:val="0"/>
          <w:sz w:val="36"/>
          <w:szCs w:val="36"/>
          <w:highlight w:val="none"/>
        </w:rPr>
        <w:t>第三章  采购项目需求</w:t>
      </w:r>
      <w:bookmarkEnd w:id="41"/>
      <w:bookmarkStart w:id="42" w:name="_Toc405905875"/>
    </w:p>
    <w:p>
      <w:pPr>
        <w:keepNext/>
        <w:keepLines/>
        <w:widowControl/>
        <w:tabs>
          <w:tab w:val="left" w:pos="180"/>
          <w:tab w:val="left" w:pos="1620"/>
        </w:tabs>
        <w:kinsoku w:val="0"/>
        <w:adjustRightInd w:val="0"/>
        <w:snapToGrid w:val="0"/>
        <w:spacing w:line="400" w:lineRule="exact"/>
        <w:ind w:firstLine="422" w:firstLineChars="200"/>
        <w:rPr>
          <w:rFonts w:hint="eastAsia" w:ascii="宋体" w:hAnsi="宋体" w:eastAsia="宋体" w:cs="宋体"/>
          <w:b/>
          <w:bCs/>
          <w:szCs w:val="21"/>
          <w:highlight w:val="none"/>
          <w:lang w:eastAsia="zh-CN"/>
        </w:rPr>
      </w:pPr>
      <w:r>
        <w:rPr>
          <w:rFonts w:hint="eastAsia" w:ascii="宋体" w:hAnsi="宋体" w:cs="宋体"/>
          <w:b/>
          <w:bCs/>
          <w:szCs w:val="21"/>
          <w:highlight w:val="none"/>
        </w:rPr>
        <w:t>一、项目名称：</w:t>
      </w:r>
      <w:r>
        <w:rPr>
          <w:rFonts w:hint="eastAsia" w:ascii="宋体" w:hAnsi="宋体" w:cs="宋体"/>
          <w:b w:val="0"/>
          <w:bCs w:val="0"/>
          <w:szCs w:val="21"/>
          <w:highlight w:val="none"/>
          <w:lang w:eastAsia="zh-CN"/>
        </w:rPr>
        <w:t>环境监测数据综合分析系统升级改造项目采购</w:t>
      </w:r>
    </w:p>
    <w:p>
      <w:pPr>
        <w:keepNext/>
        <w:keepLines/>
        <w:widowControl/>
        <w:tabs>
          <w:tab w:val="left" w:pos="180"/>
          <w:tab w:val="left" w:pos="1620"/>
        </w:tabs>
        <w:kinsoku w:val="0"/>
        <w:spacing w:line="400" w:lineRule="exact"/>
        <w:ind w:firstLine="422" w:firstLineChars="200"/>
        <w:rPr>
          <w:rFonts w:ascii="宋体" w:hAnsi="宋体" w:cs="宋体"/>
          <w:b/>
          <w:bCs/>
          <w:szCs w:val="21"/>
          <w:highlight w:val="none"/>
        </w:rPr>
      </w:pPr>
      <w:r>
        <w:rPr>
          <w:rFonts w:hint="eastAsia" w:ascii="宋体" w:hAnsi="宋体" w:cs="宋体"/>
          <w:b/>
          <w:bCs/>
          <w:szCs w:val="21"/>
          <w:highlight w:val="none"/>
        </w:rPr>
        <w:t>二、项目编号：</w:t>
      </w:r>
      <w:r>
        <w:rPr>
          <w:rFonts w:hint="eastAsia" w:ascii="宋体" w:hAnsi="宋体" w:cs="宋体"/>
          <w:szCs w:val="21"/>
          <w:highlight w:val="none"/>
          <w:lang w:eastAsia="zh-CN"/>
        </w:rPr>
        <w:t>GXZC2022-C3-002794-GXXY</w:t>
      </w:r>
      <w:r>
        <w:rPr>
          <w:rFonts w:hint="eastAsia" w:ascii="宋体" w:hAnsi="宋体" w:cs="宋体"/>
          <w:szCs w:val="21"/>
          <w:highlight w:val="none"/>
        </w:rPr>
        <w:t xml:space="preserve"> </w:t>
      </w:r>
    </w:p>
    <w:p>
      <w:pPr>
        <w:keepNext/>
        <w:keepLines/>
        <w:widowControl/>
        <w:tabs>
          <w:tab w:val="left" w:pos="180"/>
          <w:tab w:val="left" w:pos="1620"/>
        </w:tabs>
        <w:kinsoku w:val="0"/>
        <w:spacing w:line="400" w:lineRule="exact"/>
        <w:ind w:firstLine="422" w:firstLineChars="200"/>
        <w:rPr>
          <w:rFonts w:ascii="宋体" w:hAnsi="宋体" w:cs="宋体"/>
          <w:b/>
          <w:bCs/>
          <w:szCs w:val="21"/>
          <w:highlight w:val="none"/>
        </w:rPr>
      </w:pPr>
      <w:r>
        <w:rPr>
          <w:rFonts w:hint="eastAsia" w:ascii="宋体" w:hAnsi="宋体" w:cs="宋体"/>
          <w:b/>
          <w:bCs/>
          <w:szCs w:val="21"/>
          <w:highlight w:val="none"/>
        </w:rPr>
        <w:t>三、项目类别：</w:t>
      </w:r>
      <w:r>
        <w:rPr>
          <w:rFonts w:hint="eastAsia" w:ascii="宋体" w:hAnsi="宋体" w:cs="宋体"/>
          <w:szCs w:val="21"/>
          <w:highlight w:val="none"/>
        </w:rPr>
        <w:t>服务类</w:t>
      </w:r>
    </w:p>
    <w:p>
      <w:pPr>
        <w:keepNext/>
        <w:keepLines/>
        <w:widowControl/>
        <w:kinsoku w:val="0"/>
        <w:spacing w:line="400" w:lineRule="exact"/>
        <w:ind w:firstLine="422" w:firstLineChars="200"/>
        <w:rPr>
          <w:rFonts w:ascii="宋体" w:hAnsi="宋体" w:cs="宋体"/>
          <w:b/>
          <w:bCs/>
          <w:szCs w:val="21"/>
          <w:highlight w:val="none"/>
        </w:rPr>
      </w:pPr>
      <w:r>
        <w:rPr>
          <w:rFonts w:hint="eastAsia" w:ascii="宋体" w:hAnsi="宋体" w:cs="宋体"/>
          <w:b/>
          <w:bCs/>
          <w:szCs w:val="21"/>
          <w:highlight w:val="none"/>
        </w:rPr>
        <w:t>四、采购预算金额：</w:t>
      </w:r>
      <w:r>
        <w:rPr>
          <w:rFonts w:hint="eastAsia" w:ascii="宋体" w:hAnsi="宋体" w:cs="宋体"/>
          <w:szCs w:val="21"/>
          <w:highlight w:val="none"/>
        </w:rPr>
        <w:t>人民币</w:t>
      </w:r>
      <w:r>
        <w:rPr>
          <w:rFonts w:hint="eastAsia" w:ascii="宋体" w:hAnsi="宋体" w:cs="宋体"/>
          <w:szCs w:val="21"/>
          <w:highlight w:val="none"/>
          <w:lang w:eastAsia="zh-CN"/>
        </w:rPr>
        <w:t>壹佰贰拾玖万柒仟柒佰元整（¥1297700.00）</w:t>
      </w:r>
      <w:r>
        <w:rPr>
          <w:rFonts w:hint="eastAsia" w:ascii="宋体" w:hAnsi="宋体" w:cs="宋体"/>
          <w:szCs w:val="21"/>
          <w:highlight w:val="none"/>
        </w:rPr>
        <w:t>。磋商报价高于以上采购预算金额的作投标无效处理。</w:t>
      </w:r>
    </w:p>
    <w:p>
      <w:pPr>
        <w:keepNext/>
        <w:keepLines/>
        <w:widowControl/>
        <w:kinsoku w:val="0"/>
        <w:adjustRightInd w:val="0"/>
        <w:snapToGrid w:val="0"/>
        <w:spacing w:line="400" w:lineRule="exact"/>
        <w:rPr>
          <w:rFonts w:ascii="宋体" w:hAnsi="宋体" w:cs="宋体"/>
          <w:b/>
          <w:bCs/>
          <w:szCs w:val="21"/>
          <w:highlight w:val="none"/>
        </w:rPr>
      </w:pPr>
      <w:r>
        <w:rPr>
          <w:rFonts w:hint="eastAsia" w:ascii="宋体" w:hAnsi="宋体" w:cs="宋体"/>
          <w:b/>
          <w:bCs/>
          <w:szCs w:val="21"/>
          <w:highlight w:val="none"/>
        </w:rPr>
        <w:t xml:space="preserve">    五、本章采购项目需求中的各项要求必须满足，不允许出现负偏离，否则将导致其参加竞争性磋商无效。</w:t>
      </w:r>
    </w:p>
    <w:p>
      <w:pPr>
        <w:keepNext/>
        <w:keepLines/>
        <w:widowControl/>
        <w:kinsoku w:val="0"/>
        <w:adjustRightInd w:val="0"/>
        <w:snapToGrid w:val="0"/>
        <w:spacing w:line="400" w:lineRule="exact"/>
        <w:ind w:firstLine="422" w:firstLineChars="200"/>
        <w:rPr>
          <w:rFonts w:ascii="宋体" w:hAnsi="宋体" w:cs="宋体"/>
          <w:b/>
          <w:bCs/>
          <w:szCs w:val="21"/>
          <w:highlight w:val="none"/>
        </w:rPr>
      </w:pPr>
      <w:r>
        <w:rPr>
          <w:rFonts w:hint="eastAsia" w:ascii="宋体" w:hAnsi="宋体" w:cs="宋体"/>
          <w:b/>
          <w:bCs/>
          <w:szCs w:val="21"/>
          <w:highlight w:val="none"/>
        </w:rPr>
        <w:t>六、本项目采购标的对应的中小企业划分标准所属行业为其他未列明行业（包括科学研究和技术服务业，水利、环境和公共设施管理业，居民服务、修理和其他服务业，社会工作，文化、体育和娱乐业等）。</w:t>
      </w:r>
    </w:p>
    <w:p>
      <w:pPr>
        <w:pStyle w:val="8"/>
        <w:keepNext/>
        <w:keepLines/>
        <w:widowControl/>
        <w:spacing w:line="400" w:lineRule="exact"/>
        <w:rPr>
          <w:rFonts w:ascii="宋体" w:hAnsi="宋体"/>
          <w:b/>
          <w:sz w:val="32"/>
          <w:szCs w:val="32"/>
          <w:highlight w:val="none"/>
        </w:rPr>
      </w:pPr>
      <w:r>
        <w:rPr>
          <w:rFonts w:hint="eastAsia" w:ascii="宋体" w:hAnsi="宋体" w:cs="宋体"/>
          <w:b/>
          <w:bCs/>
          <w:szCs w:val="21"/>
          <w:highlight w:val="none"/>
        </w:rPr>
        <w:t>七、</w:t>
      </w:r>
      <w:r>
        <w:rPr>
          <w:rFonts w:hint="eastAsia" w:hAnsi="宋体" w:cs="宋体"/>
          <w:b/>
          <w:bCs/>
          <w:kern w:val="0"/>
          <w:highlight w:val="none"/>
        </w:rPr>
        <w:t>采购需求：</w:t>
      </w:r>
    </w:p>
    <w:p>
      <w:pPr>
        <w:spacing w:line="400" w:lineRule="exact"/>
        <w:ind w:firstLine="422" w:firstLineChars="200"/>
        <w:jc w:val="left"/>
        <w:rPr>
          <w:rFonts w:ascii="宋体" w:hAnsi="宋体" w:cs="宋体"/>
          <w:szCs w:val="21"/>
          <w:highlight w:val="none"/>
        </w:rPr>
      </w:pPr>
      <w:r>
        <w:rPr>
          <w:rFonts w:hint="eastAsia" w:ascii="宋体" w:hAnsi="宋体" w:cs="宋体"/>
          <w:b/>
          <w:bCs/>
          <w:szCs w:val="21"/>
          <w:highlight w:val="none"/>
        </w:rPr>
        <w:t>（一）项目概况</w:t>
      </w:r>
    </w:p>
    <w:p>
      <w:pPr>
        <w:spacing w:line="400" w:lineRule="exact"/>
        <w:ind w:firstLine="420" w:firstLineChars="200"/>
        <w:rPr>
          <w:rFonts w:ascii="宋体" w:hAnsi="宋体" w:cs="宋体"/>
          <w:szCs w:val="21"/>
          <w:highlight w:val="none"/>
        </w:rPr>
      </w:pPr>
      <w:r>
        <w:rPr>
          <w:rFonts w:hint="eastAsia" w:ascii="宋体" w:hAnsi="宋体" w:cs="宋体"/>
          <w:szCs w:val="21"/>
          <w:highlight w:val="none"/>
        </w:rPr>
        <w:t xml:space="preserve"> 按照广西壮族自治区海洋环境监测中心站（以下简称“海洋站”）监测能力信息化统一规划和标准，在已建成的环境监测数据综合分析系统基础上，结合海洋站的实际需求，针对实验室管理系统、海洋环境监测数据综合管理系统、综合业务管理模块进行功能升级，对已建或拟建设的自治区生态环境厅和站内涉及到海洋业务相关的系统进行系统集成和接口对接，整体对系统从底层支撑到顶层应用的升级改造，并对国产化终端系统进行适配，解决当前系统使用存在的问题。</w:t>
      </w:r>
    </w:p>
    <w:p>
      <w:pPr>
        <w:spacing w:line="400" w:lineRule="exact"/>
        <w:ind w:firstLine="420" w:firstLineChars="200"/>
        <w:jc w:val="left"/>
        <w:rPr>
          <w:rFonts w:ascii="宋体" w:hAnsi="宋体" w:cs="宋体"/>
          <w:szCs w:val="21"/>
          <w:highlight w:val="none"/>
        </w:rPr>
      </w:pPr>
      <w:r>
        <w:rPr>
          <w:rFonts w:hint="eastAsia" w:ascii="宋体" w:hAnsi="宋体" w:cs="宋体"/>
          <w:szCs w:val="21"/>
          <w:highlight w:val="none"/>
        </w:rPr>
        <w:t xml:space="preserve">通过进一步完善环境监测数据综合分析系统，结合海洋生态环境监测分析和质量评价新要求，对原环境监测数据综合分析系统的进行相对系统性的升级改造，以便能更好适应实际政策变化、服务环境管理，进一步解放劳动力，提高工作效率。                                                </w:t>
      </w:r>
    </w:p>
    <w:p>
      <w:pPr>
        <w:spacing w:line="400" w:lineRule="exact"/>
        <w:ind w:firstLine="422" w:firstLineChars="200"/>
        <w:jc w:val="left"/>
        <w:rPr>
          <w:rFonts w:ascii="宋体" w:hAnsi="宋体" w:cs="宋体"/>
          <w:szCs w:val="21"/>
          <w:highlight w:val="none"/>
        </w:rPr>
      </w:pPr>
      <w:r>
        <w:rPr>
          <w:rFonts w:hint="eastAsia" w:ascii="宋体" w:hAnsi="宋体" w:cs="宋体"/>
          <w:b/>
          <w:bCs/>
          <w:szCs w:val="21"/>
          <w:highlight w:val="none"/>
        </w:rPr>
        <w:t>（二）采购项目预（概）算</w:t>
      </w:r>
    </w:p>
    <w:p>
      <w:pPr>
        <w:spacing w:line="400" w:lineRule="exact"/>
        <w:ind w:firstLine="420" w:firstLineChars="200"/>
        <w:jc w:val="left"/>
        <w:rPr>
          <w:rFonts w:ascii="宋体" w:hAnsi="宋体" w:cs="宋体"/>
          <w:szCs w:val="21"/>
          <w:highlight w:val="none"/>
        </w:rPr>
      </w:pPr>
      <w:r>
        <w:rPr>
          <w:rFonts w:hint="eastAsia" w:ascii="宋体" w:hAnsi="宋体" w:cs="宋体"/>
          <w:szCs w:val="21"/>
          <w:highlight w:val="none"/>
        </w:rPr>
        <w:t>总预算（人民币）：壹佰贰拾玖万柒仟柒佰元整</w:t>
      </w:r>
      <w:r>
        <w:rPr>
          <w:rFonts w:hint="eastAsia" w:asciiTheme="minorEastAsia" w:hAnsiTheme="minorEastAsia" w:eastAsiaTheme="minorEastAsia" w:cstheme="minorEastAsia"/>
          <w:szCs w:val="21"/>
          <w:highlight w:val="none"/>
        </w:rPr>
        <w:t>（¥1297700.00</w:t>
      </w:r>
      <w:r>
        <w:rPr>
          <w:rFonts w:hint="eastAsia" w:ascii="宋体" w:hAnsi="宋体" w:cs="宋体"/>
          <w:szCs w:val="21"/>
          <w:highlight w:val="none"/>
        </w:rPr>
        <w:t xml:space="preserve">）。      </w:t>
      </w:r>
    </w:p>
    <w:p>
      <w:pPr>
        <w:spacing w:line="400" w:lineRule="exact"/>
        <w:ind w:firstLine="422" w:firstLineChars="200"/>
        <w:jc w:val="left"/>
        <w:rPr>
          <w:rFonts w:ascii="宋体" w:hAnsi="宋体" w:cs="宋体"/>
          <w:b/>
          <w:bCs/>
          <w:szCs w:val="21"/>
          <w:highlight w:val="none"/>
        </w:rPr>
      </w:pPr>
      <w:r>
        <w:rPr>
          <w:rFonts w:hint="eastAsia" w:ascii="宋体" w:hAnsi="宋体" w:cs="宋体"/>
          <w:b/>
          <w:bCs/>
          <w:szCs w:val="21"/>
          <w:highlight w:val="none"/>
        </w:rPr>
        <w:t>（三）采购标的汇总表</w:t>
      </w:r>
    </w:p>
    <w:tbl>
      <w:tblPr>
        <w:tblStyle w:val="58"/>
        <w:tblW w:w="944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1"/>
        <w:gridCol w:w="850"/>
        <w:gridCol w:w="4005"/>
        <w:gridCol w:w="1276"/>
        <w:gridCol w:w="1169"/>
        <w:gridCol w:w="12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55" w:hRule="atLeast"/>
          <w:jc w:val="center"/>
        </w:trPr>
        <w:tc>
          <w:tcPr>
            <w:tcW w:w="851" w:type="dxa"/>
            <w:vAlign w:val="center"/>
          </w:tcPr>
          <w:p>
            <w:pPr>
              <w:adjustRightInd w:val="0"/>
              <w:snapToGrid w:val="0"/>
              <w:spacing w:line="320" w:lineRule="exact"/>
              <w:jc w:val="center"/>
              <w:rPr>
                <w:rFonts w:ascii="宋体" w:hAnsi="宋体" w:cs="宋体"/>
                <w:szCs w:val="21"/>
                <w:highlight w:val="none"/>
              </w:rPr>
            </w:pPr>
            <w:r>
              <w:rPr>
                <w:rFonts w:hint="eastAsia" w:ascii="宋体" w:hAnsi="宋体" w:cs="宋体"/>
                <w:szCs w:val="21"/>
                <w:highlight w:val="none"/>
              </w:rPr>
              <w:t>包号</w:t>
            </w:r>
          </w:p>
        </w:tc>
        <w:tc>
          <w:tcPr>
            <w:tcW w:w="850" w:type="dxa"/>
            <w:vAlign w:val="center"/>
          </w:tcPr>
          <w:p>
            <w:pPr>
              <w:adjustRightInd w:val="0"/>
              <w:snapToGrid w:val="0"/>
              <w:spacing w:line="320" w:lineRule="exact"/>
              <w:jc w:val="center"/>
              <w:rPr>
                <w:rFonts w:ascii="宋体" w:hAnsi="宋体" w:cs="宋体"/>
                <w:szCs w:val="21"/>
                <w:highlight w:val="none"/>
              </w:rPr>
            </w:pPr>
            <w:r>
              <w:rPr>
                <w:rFonts w:hint="eastAsia" w:ascii="宋体" w:hAnsi="宋体" w:cs="宋体"/>
                <w:szCs w:val="21"/>
                <w:highlight w:val="none"/>
              </w:rPr>
              <w:t>序号</w:t>
            </w:r>
          </w:p>
        </w:tc>
        <w:tc>
          <w:tcPr>
            <w:tcW w:w="4005" w:type="dxa"/>
            <w:vAlign w:val="center"/>
          </w:tcPr>
          <w:p>
            <w:pPr>
              <w:adjustRightInd w:val="0"/>
              <w:snapToGrid w:val="0"/>
              <w:spacing w:line="320" w:lineRule="exact"/>
              <w:jc w:val="center"/>
              <w:rPr>
                <w:rFonts w:ascii="宋体" w:hAnsi="宋体" w:cs="宋体"/>
                <w:szCs w:val="21"/>
                <w:highlight w:val="none"/>
              </w:rPr>
            </w:pPr>
            <w:r>
              <w:rPr>
                <w:rFonts w:hint="eastAsia" w:ascii="宋体" w:hAnsi="宋体" w:cs="宋体"/>
                <w:szCs w:val="21"/>
                <w:highlight w:val="none"/>
              </w:rPr>
              <w:t>标的名称</w:t>
            </w:r>
          </w:p>
        </w:tc>
        <w:tc>
          <w:tcPr>
            <w:tcW w:w="1276" w:type="dxa"/>
            <w:vAlign w:val="center"/>
          </w:tcPr>
          <w:p>
            <w:pPr>
              <w:adjustRightInd w:val="0"/>
              <w:snapToGrid w:val="0"/>
              <w:spacing w:line="320" w:lineRule="exact"/>
              <w:jc w:val="center"/>
              <w:rPr>
                <w:rFonts w:ascii="宋体" w:hAnsi="宋体" w:cs="宋体"/>
                <w:szCs w:val="21"/>
                <w:highlight w:val="none"/>
              </w:rPr>
            </w:pPr>
            <w:r>
              <w:rPr>
                <w:rFonts w:hint="eastAsia" w:ascii="宋体" w:hAnsi="宋体" w:cs="宋体"/>
                <w:szCs w:val="21"/>
                <w:highlight w:val="none"/>
              </w:rPr>
              <w:t>计量单位</w:t>
            </w:r>
          </w:p>
        </w:tc>
        <w:tc>
          <w:tcPr>
            <w:tcW w:w="1169" w:type="dxa"/>
            <w:vAlign w:val="center"/>
          </w:tcPr>
          <w:p>
            <w:pPr>
              <w:adjustRightInd w:val="0"/>
              <w:snapToGrid w:val="0"/>
              <w:spacing w:line="320" w:lineRule="exact"/>
              <w:jc w:val="center"/>
              <w:rPr>
                <w:rFonts w:ascii="宋体" w:hAnsi="宋体" w:cs="宋体"/>
                <w:szCs w:val="21"/>
                <w:highlight w:val="none"/>
              </w:rPr>
            </w:pPr>
            <w:r>
              <w:rPr>
                <w:rFonts w:hint="eastAsia" w:ascii="宋体" w:hAnsi="宋体" w:cs="宋体"/>
                <w:szCs w:val="21"/>
                <w:highlight w:val="none"/>
              </w:rPr>
              <w:t>数量</w:t>
            </w:r>
          </w:p>
        </w:tc>
        <w:tc>
          <w:tcPr>
            <w:tcW w:w="1290" w:type="dxa"/>
            <w:vAlign w:val="center"/>
          </w:tcPr>
          <w:p>
            <w:pPr>
              <w:adjustRightInd w:val="0"/>
              <w:snapToGrid w:val="0"/>
              <w:spacing w:line="320" w:lineRule="exact"/>
              <w:jc w:val="center"/>
              <w:rPr>
                <w:rFonts w:ascii="宋体" w:hAnsi="宋体" w:cs="宋体"/>
                <w:szCs w:val="21"/>
                <w:highlight w:val="none"/>
              </w:rPr>
            </w:pPr>
            <w:r>
              <w:rPr>
                <w:rFonts w:hint="eastAsia" w:ascii="宋体" w:hAnsi="宋体" w:cs="宋体"/>
                <w:szCs w:val="21"/>
                <w:highlight w:val="none"/>
              </w:rPr>
              <w:t>是否进口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12" w:hRule="atLeast"/>
          <w:jc w:val="center"/>
        </w:trPr>
        <w:tc>
          <w:tcPr>
            <w:tcW w:w="851" w:type="dxa"/>
            <w:vAlign w:val="center"/>
          </w:tcPr>
          <w:p>
            <w:pPr>
              <w:adjustRightInd w:val="0"/>
              <w:snapToGrid w:val="0"/>
              <w:spacing w:line="320" w:lineRule="exact"/>
              <w:jc w:val="center"/>
              <w:rPr>
                <w:rFonts w:ascii="宋体" w:hAnsi="宋体" w:cs="宋体"/>
                <w:szCs w:val="21"/>
                <w:highlight w:val="none"/>
              </w:rPr>
            </w:pPr>
            <w:r>
              <w:rPr>
                <w:rFonts w:hint="eastAsia" w:ascii="宋体" w:hAnsi="宋体" w:cs="宋体"/>
                <w:szCs w:val="21"/>
                <w:highlight w:val="none"/>
              </w:rPr>
              <w:t>1</w:t>
            </w:r>
          </w:p>
        </w:tc>
        <w:tc>
          <w:tcPr>
            <w:tcW w:w="850" w:type="dxa"/>
            <w:vAlign w:val="center"/>
          </w:tcPr>
          <w:p>
            <w:pPr>
              <w:adjustRightInd w:val="0"/>
              <w:snapToGrid w:val="0"/>
              <w:spacing w:line="320" w:lineRule="exact"/>
              <w:jc w:val="center"/>
              <w:rPr>
                <w:rFonts w:ascii="宋体" w:hAnsi="宋体" w:cs="宋体"/>
                <w:szCs w:val="21"/>
                <w:highlight w:val="none"/>
              </w:rPr>
            </w:pPr>
            <w:r>
              <w:rPr>
                <w:rFonts w:hint="eastAsia" w:ascii="宋体" w:hAnsi="宋体" w:cs="宋体"/>
                <w:szCs w:val="21"/>
                <w:highlight w:val="none"/>
              </w:rPr>
              <w:t>1</w:t>
            </w:r>
          </w:p>
        </w:tc>
        <w:tc>
          <w:tcPr>
            <w:tcW w:w="4005" w:type="dxa"/>
            <w:vAlign w:val="center"/>
          </w:tcPr>
          <w:p>
            <w:pPr>
              <w:adjustRightInd w:val="0"/>
              <w:snapToGrid w:val="0"/>
              <w:spacing w:line="320" w:lineRule="exact"/>
              <w:jc w:val="center"/>
              <w:rPr>
                <w:rFonts w:hint="eastAsia" w:ascii="宋体" w:hAnsi="宋体" w:eastAsia="宋体" w:cs="宋体"/>
                <w:i/>
                <w:szCs w:val="21"/>
                <w:highlight w:val="none"/>
                <w:u w:val="single"/>
                <w:lang w:eastAsia="zh-CN"/>
              </w:rPr>
            </w:pPr>
            <w:r>
              <w:rPr>
                <w:rFonts w:hint="eastAsia" w:ascii="宋体" w:hAnsi="宋体" w:cs="宋体"/>
                <w:szCs w:val="21"/>
                <w:highlight w:val="none"/>
                <w:lang w:eastAsia="zh-CN"/>
              </w:rPr>
              <w:t>环境监测数据综合分析系统升级改造项目采购</w:t>
            </w:r>
          </w:p>
        </w:tc>
        <w:tc>
          <w:tcPr>
            <w:tcW w:w="1276" w:type="dxa"/>
            <w:vAlign w:val="center"/>
          </w:tcPr>
          <w:p>
            <w:pPr>
              <w:adjustRightInd w:val="0"/>
              <w:snapToGrid w:val="0"/>
              <w:spacing w:line="320" w:lineRule="exact"/>
              <w:jc w:val="center"/>
              <w:rPr>
                <w:rFonts w:ascii="宋体" w:hAnsi="宋体" w:cs="宋体"/>
                <w:szCs w:val="21"/>
                <w:highlight w:val="none"/>
              </w:rPr>
            </w:pPr>
            <w:r>
              <w:rPr>
                <w:rFonts w:hint="eastAsia" w:ascii="宋体" w:hAnsi="宋体" w:cs="宋体"/>
                <w:szCs w:val="21"/>
                <w:highlight w:val="none"/>
              </w:rPr>
              <w:t>项</w:t>
            </w:r>
          </w:p>
        </w:tc>
        <w:tc>
          <w:tcPr>
            <w:tcW w:w="1169" w:type="dxa"/>
            <w:vAlign w:val="center"/>
          </w:tcPr>
          <w:p>
            <w:pPr>
              <w:adjustRightInd w:val="0"/>
              <w:snapToGrid w:val="0"/>
              <w:spacing w:line="320" w:lineRule="exact"/>
              <w:jc w:val="center"/>
              <w:rPr>
                <w:rFonts w:ascii="宋体" w:hAnsi="宋体" w:cs="宋体"/>
                <w:szCs w:val="21"/>
                <w:highlight w:val="none"/>
              </w:rPr>
            </w:pPr>
            <w:r>
              <w:rPr>
                <w:rFonts w:hint="eastAsia" w:ascii="宋体" w:hAnsi="宋体" w:cs="宋体"/>
                <w:szCs w:val="21"/>
                <w:highlight w:val="none"/>
              </w:rPr>
              <w:t>1</w:t>
            </w:r>
          </w:p>
        </w:tc>
        <w:tc>
          <w:tcPr>
            <w:tcW w:w="1290" w:type="dxa"/>
            <w:vAlign w:val="center"/>
          </w:tcPr>
          <w:p>
            <w:pPr>
              <w:adjustRightInd w:val="0"/>
              <w:snapToGrid w:val="0"/>
              <w:spacing w:line="320" w:lineRule="exact"/>
              <w:jc w:val="center"/>
              <w:rPr>
                <w:rFonts w:ascii="宋体" w:hAnsi="宋体" w:cs="宋体"/>
                <w:szCs w:val="21"/>
                <w:highlight w:val="none"/>
              </w:rPr>
            </w:pPr>
            <w:r>
              <w:rPr>
                <w:rFonts w:hint="eastAsia" w:ascii="宋体" w:hAnsi="宋体" w:cs="宋体"/>
                <w:szCs w:val="21"/>
                <w:highlight w:val="none"/>
              </w:rPr>
              <w:t>否</w:t>
            </w:r>
          </w:p>
        </w:tc>
      </w:tr>
    </w:tbl>
    <w:p>
      <w:pPr>
        <w:spacing w:line="400" w:lineRule="exact"/>
        <w:ind w:firstLine="422" w:firstLineChars="200"/>
        <w:jc w:val="left"/>
        <w:rPr>
          <w:rFonts w:ascii="宋体" w:hAnsi="宋体" w:cs="宋体"/>
          <w:b/>
          <w:bCs/>
          <w:szCs w:val="21"/>
          <w:highlight w:val="none"/>
        </w:rPr>
      </w:pPr>
      <w:r>
        <w:rPr>
          <w:rFonts w:hint="eastAsia" w:ascii="宋体" w:hAnsi="宋体" w:cs="宋体"/>
          <w:b/>
          <w:bCs/>
          <w:szCs w:val="21"/>
          <w:highlight w:val="none"/>
        </w:rPr>
        <w:t>（四）技术商务要求</w:t>
      </w:r>
    </w:p>
    <w:p>
      <w:pPr>
        <w:pStyle w:val="265"/>
        <w:keepNext/>
        <w:keepLines/>
        <w:widowControl/>
        <w:spacing w:line="380" w:lineRule="exact"/>
        <w:ind w:left="0" w:leftChars="0" w:firstLine="0" w:firstLineChars="0"/>
        <w:jc w:val="both"/>
        <w:rPr>
          <w:rFonts w:hint="eastAsia" w:ascii="宋体" w:hAnsi="宋体"/>
          <w:b/>
          <w:sz w:val="32"/>
          <w:szCs w:val="32"/>
          <w:highlight w:val="none"/>
        </w:rPr>
      </w:pPr>
    </w:p>
    <w:p>
      <w:pPr>
        <w:pStyle w:val="265"/>
        <w:keepNext/>
        <w:keepLines/>
        <w:widowControl/>
        <w:spacing w:line="380" w:lineRule="exact"/>
        <w:ind w:left="0" w:leftChars="0" w:firstLine="0" w:firstLineChars="0"/>
        <w:jc w:val="center"/>
        <w:rPr>
          <w:rFonts w:hint="eastAsia" w:ascii="宋体" w:hAnsi="宋体"/>
          <w:b/>
          <w:sz w:val="32"/>
          <w:szCs w:val="32"/>
          <w:highlight w:val="none"/>
          <w:lang w:eastAsia="zh-CN"/>
        </w:rPr>
      </w:pPr>
      <w:r>
        <w:rPr>
          <w:rFonts w:hint="eastAsia" w:ascii="宋体" w:hAnsi="宋体"/>
          <w:b/>
          <w:sz w:val="32"/>
          <w:szCs w:val="32"/>
          <w:highlight w:val="none"/>
        </w:rPr>
        <w:t xml:space="preserve">第一部分—— </w:t>
      </w:r>
      <w:r>
        <w:rPr>
          <w:rFonts w:hint="eastAsia" w:ascii="宋体" w:hAnsi="宋体"/>
          <w:b/>
          <w:sz w:val="32"/>
          <w:szCs w:val="32"/>
          <w:highlight w:val="none"/>
          <w:lang w:eastAsia="zh-CN"/>
        </w:rPr>
        <w:t>技术要求</w:t>
      </w:r>
    </w:p>
    <w:p>
      <w:pPr>
        <w:pStyle w:val="265"/>
        <w:keepNext/>
        <w:keepLines/>
        <w:widowControl/>
        <w:spacing w:line="380" w:lineRule="exact"/>
        <w:ind w:left="0" w:leftChars="0" w:firstLine="0" w:firstLineChars="0"/>
        <w:jc w:val="center"/>
        <w:rPr>
          <w:rFonts w:hint="eastAsia" w:ascii="宋体" w:hAnsi="宋体"/>
          <w:b/>
          <w:sz w:val="32"/>
          <w:szCs w:val="32"/>
          <w:highlight w:val="none"/>
          <w:lang w:eastAsia="zh-CN"/>
        </w:rPr>
      </w:pPr>
    </w:p>
    <w:tbl>
      <w:tblPr>
        <w:tblStyle w:val="59"/>
        <w:tblW w:w="952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2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9521" w:type="dxa"/>
            <w:shd w:val="clear" w:color="auto" w:fill="EEECE1" w:themeFill="background2"/>
            <w:vAlign w:val="center"/>
          </w:tcPr>
          <w:p>
            <w:pPr>
              <w:pStyle w:val="2"/>
              <w:ind w:left="0"/>
              <w:jc w:val="both"/>
              <w:rPr>
                <w:rFonts w:ascii="宋体" w:hAnsi="宋体" w:cs="宋体"/>
                <w:b/>
                <w:bCs/>
                <w:color w:val="auto"/>
                <w:sz w:val="21"/>
                <w:szCs w:val="21"/>
                <w:highlight w:val="none"/>
              </w:rPr>
            </w:pPr>
            <w:r>
              <w:rPr>
                <w:rFonts w:hint="eastAsia" w:ascii="宋体" w:hAnsi="宋体" w:cs="宋体"/>
                <w:b/>
                <w:bCs/>
                <w:color w:val="auto"/>
                <w:sz w:val="21"/>
                <w:szCs w:val="21"/>
                <w:highlight w:val="none"/>
              </w:rPr>
              <w:t>一、建设目标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7" w:hRule="atLeast"/>
          <w:jc w:val="center"/>
        </w:trPr>
        <w:tc>
          <w:tcPr>
            <w:tcW w:w="9521" w:type="dxa"/>
          </w:tcPr>
          <w:p>
            <w:pPr>
              <w:numPr>
                <w:ilvl w:val="0"/>
                <w:numId w:val="3"/>
              </w:numPr>
              <w:spacing w:line="3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本项目将按照广西壮族自治区海洋环境监测中心站监测能力信息化统一规划和标准，在已建成的环境监测数据综合分析系统基础上，结合海洋站的实际需求，针对实验室管理系统、海洋环境监测数据综合管理系统、综合业务管理模块进行功能升级，对已建或拟建设的厅内涉及到海洋业务相关的系统进行系统集成和接口对接，整体对系统从底层支撑到顶层应用的升级改造，并对国产化终端系统进行适配，解决当前系统使用存在的问题。</w:t>
            </w:r>
          </w:p>
          <w:p>
            <w:pPr>
              <w:pStyle w:val="2"/>
              <w:ind w:left="0" w:firstLine="420" w:firstLineChars="200"/>
              <w:rPr>
                <w:rFonts w:ascii="宋体" w:hAnsi="宋体" w:cs="宋体"/>
                <w:b/>
                <w:bCs/>
                <w:color w:val="auto"/>
                <w:sz w:val="21"/>
                <w:szCs w:val="21"/>
                <w:highlight w:val="none"/>
              </w:rPr>
            </w:pPr>
            <w:r>
              <w:rPr>
                <w:rFonts w:hint="eastAsia" w:ascii="宋体" w:hAnsi="宋体" w:cs="宋体"/>
                <w:color w:val="auto"/>
                <w:sz w:val="21"/>
                <w:szCs w:val="21"/>
                <w:highlight w:val="none"/>
              </w:rPr>
              <w:t>2. 通过进一步完善环境监测数据综合分析系统，结合海洋生态环境监测分析和质量评价新要求，对原环境监测数据综合分析系统的进行相对系统性的升级改造，以便能更好适应实际政策变化、服务环境管理，进一步解放劳动力，提高工作效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jc w:val="center"/>
        </w:trPr>
        <w:tc>
          <w:tcPr>
            <w:tcW w:w="9521" w:type="dxa"/>
            <w:shd w:val="clear" w:color="auto" w:fill="EEECE1" w:themeFill="background2"/>
            <w:vAlign w:val="center"/>
          </w:tcPr>
          <w:p>
            <w:pPr>
              <w:pStyle w:val="2"/>
              <w:ind w:left="0"/>
              <w:jc w:val="both"/>
              <w:rPr>
                <w:rFonts w:ascii="宋体" w:hAnsi="宋体" w:cs="宋体"/>
                <w:b/>
                <w:bCs/>
                <w:color w:val="auto"/>
                <w:sz w:val="21"/>
                <w:szCs w:val="21"/>
                <w:highlight w:val="none"/>
              </w:rPr>
            </w:pPr>
            <w:r>
              <w:rPr>
                <w:rFonts w:hint="eastAsia" w:ascii="宋体" w:hAnsi="宋体" w:cs="宋体"/>
                <w:b/>
                <w:bCs/>
                <w:color w:val="auto"/>
                <w:sz w:val="21"/>
                <w:szCs w:val="21"/>
                <w:highlight w:val="none"/>
              </w:rPr>
              <w:t>二、建设规模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21" w:type="dxa"/>
          </w:tcPr>
          <w:p>
            <w:pPr>
              <w:spacing w:line="3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1. 实验室管理系统功能升级：主要包括基础框架升级、采样模块、分析模块、质控管理、资源管理、任务下达、监测对象管理、数据统计。</w:t>
            </w:r>
          </w:p>
          <w:p>
            <w:pPr>
              <w:spacing w:line="3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2. 海洋环境监测数据综合管理系统升级：主要包括基础框架升级、概览分析、数据采集、数据评价、数据报表、可视化分析、决策支持专题等。</w:t>
            </w:r>
          </w:p>
          <w:p>
            <w:pPr>
              <w:spacing w:line="3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3. 综合业务管理模块升级：主要包括系统流程优化、流程新增和功能新增。</w:t>
            </w:r>
          </w:p>
          <w:p>
            <w:pPr>
              <w:spacing w:line="3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4. 移动监测APP：主要包括临时任务管理、采样管理、样品管理、分析管理、仪器管理以及物资管理。</w:t>
            </w:r>
          </w:p>
          <w:p>
            <w:pPr>
              <w:spacing w:line="3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5. 系统集成：主要包括与广西“生态云”平台集成单点登录，实现数据共享，统一登录，统一身份认证和管理；实现环境监测数据综合分析系统和广西近岸海域自动监测预警平台的集成单点登录，实现数据互联；与自治区生态环境厅办公系统接口预留；移动监测APP端和现有的综合业务管理平台移动端APP集成整合至自治区生态环境厅“广西生态环境”APP。</w:t>
            </w:r>
          </w:p>
          <w:p>
            <w:pPr>
              <w:pStyle w:val="2"/>
              <w:ind w:left="0" w:firstLine="420" w:firstLineChars="200"/>
              <w:rPr>
                <w:rFonts w:ascii="宋体" w:hAnsi="宋体" w:cs="宋体"/>
                <w:b/>
                <w:bCs/>
                <w:color w:val="auto"/>
                <w:sz w:val="21"/>
                <w:szCs w:val="21"/>
                <w:highlight w:val="none"/>
              </w:rPr>
            </w:pPr>
            <w:r>
              <w:rPr>
                <w:rFonts w:hint="eastAsia" w:ascii="宋体" w:hAnsi="宋体" w:cs="宋体"/>
                <w:color w:val="auto"/>
                <w:sz w:val="21"/>
                <w:szCs w:val="21"/>
                <w:highlight w:val="none"/>
              </w:rPr>
              <w:t>6. 国产化适配：支持与广西壮族自治区海洋环境监测中心站当前所使用的国产化办公终端PC、浏览器和操作系统等对进行功能适配。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9521" w:type="dxa"/>
            <w:shd w:val="clear" w:color="auto" w:fill="EEECE1" w:themeFill="background2"/>
            <w:vAlign w:val="center"/>
          </w:tcPr>
          <w:p>
            <w:pPr>
              <w:pStyle w:val="2"/>
              <w:ind w:left="0"/>
              <w:jc w:val="both"/>
              <w:rPr>
                <w:rFonts w:ascii="宋体" w:hAnsi="宋体" w:cs="宋体"/>
                <w:b/>
                <w:bCs/>
                <w:color w:val="auto"/>
                <w:sz w:val="21"/>
                <w:szCs w:val="21"/>
                <w:highlight w:val="none"/>
              </w:rPr>
            </w:pPr>
            <w:r>
              <w:rPr>
                <w:rFonts w:hint="eastAsia" w:ascii="宋体" w:hAnsi="宋体" w:cs="宋体"/>
                <w:b/>
                <w:bCs/>
                <w:color w:val="auto"/>
                <w:sz w:val="21"/>
                <w:szCs w:val="21"/>
                <w:highlight w:val="none"/>
              </w:rPr>
              <w:t>三、建设内容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21" w:type="dxa"/>
          </w:tcPr>
          <w:p>
            <w:pPr>
              <w:spacing w:line="320" w:lineRule="exact"/>
              <w:rPr>
                <w:rFonts w:ascii="宋体" w:hAnsi="宋体" w:cs="宋体"/>
                <w:b/>
                <w:bCs/>
                <w:color w:val="auto"/>
                <w:szCs w:val="21"/>
                <w:highlight w:val="none"/>
              </w:rPr>
            </w:pPr>
            <w:r>
              <w:rPr>
                <w:rFonts w:hint="eastAsia" w:ascii="宋体" w:hAnsi="宋体" w:cs="宋体"/>
                <w:b/>
                <w:bCs/>
                <w:color w:val="auto"/>
                <w:szCs w:val="21"/>
                <w:highlight w:val="none"/>
              </w:rPr>
              <w:t>（一）标准规范建设</w:t>
            </w:r>
          </w:p>
          <w:p>
            <w:pPr>
              <w:spacing w:line="320" w:lineRule="exact"/>
              <w:ind w:firstLine="420" w:firstLineChars="200"/>
              <w:rPr>
                <w:rFonts w:ascii="宋体" w:hAnsi="宋体" w:cs="宋体"/>
                <w:b/>
                <w:bCs/>
                <w:color w:val="auto"/>
                <w:szCs w:val="21"/>
                <w:highlight w:val="none"/>
              </w:rPr>
            </w:pPr>
            <w:r>
              <w:rPr>
                <w:rFonts w:hint="eastAsia" w:ascii="宋体" w:hAnsi="宋体" w:cs="宋体"/>
                <w:color w:val="auto"/>
                <w:szCs w:val="21"/>
                <w:highlight w:val="none"/>
              </w:rPr>
              <w:t>本项目不建设相关标准规范，基于国家、广西壮族自治区现有标准规范建设。</w:t>
            </w:r>
          </w:p>
          <w:p>
            <w:pPr>
              <w:spacing w:line="320" w:lineRule="exact"/>
              <w:rPr>
                <w:rFonts w:ascii="宋体" w:hAnsi="宋体" w:cs="宋体"/>
                <w:b/>
                <w:bCs/>
                <w:color w:val="auto"/>
                <w:szCs w:val="21"/>
                <w:highlight w:val="none"/>
              </w:rPr>
            </w:pPr>
            <w:r>
              <w:rPr>
                <w:rFonts w:hint="eastAsia" w:ascii="宋体" w:hAnsi="宋体" w:cs="宋体"/>
                <w:b/>
                <w:bCs/>
                <w:color w:val="auto"/>
                <w:szCs w:val="21"/>
                <w:highlight w:val="none"/>
              </w:rPr>
              <w:t>（二）信息资源规划</w:t>
            </w:r>
          </w:p>
          <w:p>
            <w:pPr>
              <w:widowControl/>
              <w:snapToGrid w:val="0"/>
              <w:spacing w:line="3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本项目信息资源共享目录包括以下信息：</w:t>
            </w:r>
          </w:p>
          <w:tbl>
            <w:tblPr>
              <w:tblStyle w:val="58"/>
              <w:tblW w:w="9435" w:type="dxa"/>
              <w:jc w:val="center"/>
              <w:tblLayout w:type="fixed"/>
              <w:tblCellMar>
                <w:top w:w="0" w:type="dxa"/>
                <w:left w:w="108" w:type="dxa"/>
                <w:bottom w:w="0" w:type="dxa"/>
                <w:right w:w="108" w:type="dxa"/>
              </w:tblCellMar>
            </w:tblPr>
            <w:tblGrid>
              <w:gridCol w:w="589"/>
              <w:gridCol w:w="1530"/>
              <w:gridCol w:w="2429"/>
              <w:gridCol w:w="1282"/>
              <w:gridCol w:w="1425"/>
              <w:gridCol w:w="1068"/>
              <w:gridCol w:w="1112"/>
            </w:tblGrid>
            <w:tr>
              <w:tblPrEx>
                <w:tblCellMar>
                  <w:top w:w="0" w:type="dxa"/>
                  <w:left w:w="108" w:type="dxa"/>
                  <w:bottom w:w="0" w:type="dxa"/>
                  <w:right w:w="108" w:type="dxa"/>
                </w:tblCellMar>
              </w:tblPrEx>
              <w:trPr>
                <w:trHeight w:val="1085" w:hRule="atLeast"/>
                <w:jc w:val="center"/>
              </w:trPr>
              <w:tc>
                <w:tcPr>
                  <w:tcW w:w="589"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line="240" w:lineRule="exact"/>
                    <w:ind w:left="-105" w:leftChars="-50" w:right="-105" w:rightChars="-50"/>
                    <w:jc w:val="center"/>
                    <w:rPr>
                      <w:rFonts w:ascii="宋体" w:hAnsi="宋体" w:cs="宋体"/>
                      <w:color w:val="auto"/>
                      <w:szCs w:val="28"/>
                      <w:highlight w:val="none"/>
                    </w:rPr>
                  </w:pPr>
                  <w:r>
                    <w:rPr>
                      <w:rFonts w:hint="eastAsia" w:ascii="宋体" w:hAnsi="宋体" w:cs="宋体"/>
                      <w:color w:val="auto"/>
                      <w:szCs w:val="28"/>
                      <w:highlight w:val="none"/>
                    </w:rPr>
                    <w:t>序号</w:t>
                  </w:r>
                </w:p>
              </w:tc>
              <w:tc>
                <w:tcPr>
                  <w:tcW w:w="1530"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line="240" w:lineRule="exact"/>
                    <w:ind w:left="-105" w:leftChars="-50" w:right="-105" w:rightChars="-50"/>
                    <w:jc w:val="center"/>
                    <w:rPr>
                      <w:rFonts w:ascii="宋体" w:hAnsi="宋体" w:cs="宋体"/>
                      <w:color w:val="auto"/>
                      <w:szCs w:val="28"/>
                      <w:highlight w:val="none"/>
                    </w:rPr>
                  </w:pPr>
                  <w:r>
                    <w:rPr>
                      <w:rFonts w:hint="eastAsia" w:ascii="宋体" w:hAnsi="宋体" w:cs="宋体"/>
                      <w:color w:val="auto"/>
                      <w:szCs w:val="28"/>
                      <w:highlight w:val="none"/>
                    </w:rPr>
                    <w:t>信息资源名称</w:t>
                  </w:r>
                </w:p>
              </w:tc>
              <w:tc>
                <w:tcPr>
                  <w:tcW w:w="2429"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line="240" w:lineRule="exact"/>
                    <w:ind w:left="-105" w:leftChars="-50" w:right="-105" w:rightChars="-50"/>
                    <w:jc w:val="center"/>
                    <w:rPr>
                      <w:rFonts w:ascii="宋体" w:hAnsi="宋体" w:cs="宋体"/>
                      <w:color w:val="auto"/>
                      <w:szCs w:val="28"/>
                      <w:highlight w:val="none"/>
                    </w:rPr>
                  </w:pPr>
                  <w:r>
                    <w:rPr>
                      <w:rFonts w:hint="eastAsia" w:ascii="宋体" w:hAnsi="宋体" w:cs="宋体"/>
                      <w:color w:val="auto"/>
                      <w:szCs w:val="28"/>
                      <w:highlight w:val="none"/>
                    </w:rPr>
                    <w:t>信息内容要素（数据项）</w:t>
                  </w:r>
                </w:p>
              </w:tc>
              <w:tc>
                <w:tcPr>
                  <w:tcW w:w="1282"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line="240" w:lineRule="exact"/>
                    <w:ind w:left="-105" w:leftChars="-50" w:right="-105" w:rightChars="-50"/>
                    <w:jc w:val="center"/>
                    <w:rPr>
                      <w:rFonts w:ascii="宋体" w:hAnsi="宋体" w:cs="宋体"/>
                      <w:color w:val="auto"/>
                      <w:szCs w:val="28"/>
                      <w:highlight w:val="none"/>
                    </w:rPr>
                  </w:pPr>
                  <w:r>
                    <w:rPr>
                      <w:rFonts w:hint="eastAsia" w:ascii="宋体" w:hAnsi="宋体" w:cs="宋体"/>
                      <w:color w:val="auto"/>
                      <w:szCs w:val="28"/>
                      <w:highlight w:val="none"/>
                    </w:rPr>
                    <w:t>共享条件 （有条件共享或无条件共享）</w:t>
                  </w:r>
                </w:p>
              </w:tc>
              <w:tc>
                <w:tcPr>
                  <w:tcW w:w="1425"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line="240" w:lineRule="exact"/>
                    <w:ind w:left="-105" w:leftChars="-50" w:right="-105" w:rightChars="-50"/>
                    <w:jc w:val="center"/>
                    <w:rPr>
                      <w:rFonts w:ascii="宋体" w:hAnsi="宋体" w:cs="宋体"/>
                      <w:color w:val="auto"/>
                      <w:szCs w:val="28"/>
                      <w:highlight w:val="none"/>
                    </w:rPr>
                  </w:pPr>
                  <w:r>
                    <w:rPr>
                      <w:rFonts w:hint="eastAsia" w:ascii="宋体" w:hAnsi="宋体" w:cs="宋体"/>
                      <w:color w:val="auto"/>
                      <w:szCs w:val="28"/>
                      <w:highlight w:val="none"/>
                    </w:rPr>
                    <w:t>公开属性</w:t>
                  </w:r>
                  <w:r>
                    <w:rPr>
                      <w:rFonts w:hint="eastAsia" w:ascii="宋体" w:hAnsi="宋体" w:cs="宋体"/>
                      <w:color w:val="auto"/>
                      <w:szCs w:val="28"/>
                      <w:highlight w:val="none"/>
                    </w:rPr>
                    <w:br w:type="textWrapping"/>
                  </w:r>
                  <w:r>
                    <w:rPr>
                      <w:rFonts w:hint="eastAsia" w:ascii="宋体" w:hAnsi="宋体" w:cs="宋体"/>
                      <w:color w:val="auto"/>
                      <w:szCs w:val="28"/>
                      <w:highlight w:val="none"/>
                    </w:rPr>
                    <w:t>（社会公开、政务共享、依申请公开或其他）</w:t>
                  </w:r>
                </w:p>
              </w:tc>
              <w:tc>
                <w:tcPr>
                  <w:tcW w:w="1068"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line="240" w:lineRule="exact"/>
                    <w:ind w:left="-105" w:leftChars="-50" w:right="-105" w:rightChars="-50"/>
                    <w:jc w:val="center"/>
                    <w:rPr>
                      <w:rFonts w:ascii="宋体" w:hAnsi="宋体" w:cs="宋体"/>
                      <w:color w:val="auto"/>
                      <w:szCs w:val="28"/>
                      <w:highlight w:val="none"/>
                    </w:rPr>
                  </w:pPr>
                  <w:r>
                    <w:rPr>
                      <w:rFonts w:hint="eastAsia" w:ascii="宋体" w:hAnsi="宋体" w:cs="宋体"/>
                      <w:color w:val="auto"/>
                      <w:szCs w:val="28"/>
                      <w:highlight w:val="none"/>
                    </w:rPr>
                    <w:t>共享方式（文件、接口或数据库）</w:t>
                  </w:r>
                </w:p>
              </w:tc>
              <w:tc>
                <w:tcPr>
                  <w:tcW w:w="1112"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line="240" w:lineRule="exact"/>
                    <w:ind w:left="-105" w:leftChars="-50" w:right="55" w:rightChars="26"/>
                    <w:jc w:val="center"/>
                    <w:rPr>
                      <w:rFonts w:ascii="宋体" w:hAnsi="宋体" w:cs="宋体"/>
                      <w:color w:val="auto"/>
                      <w:szCs w:val="28"/>
                      <w:highlight w:val="none"/>
                    </w:rPr>
                  </w:pPr>
                  <w:r>
                    <w:rPr>
                      <w:rFonts w:hint="eastAsia" w:ascii="宋体" w:hAnsi="宋体" w:cs="宋体"/>
                      <w:color w:val="auto"/>
                      <w:szCs w:val="28"/>
                      <w:highlight w:val="none"/>
                    </w:rPr>
                    <w:t>数据更新频度（实时、定期）</w:t>
                  </w:r>
                </w:p>
              </w:tc>
            </w:tr>
            <w:tr>
              <w:tblPrEx>
                <w:tblCellMar>
                  <w:top w:w="0" w:type="dxa"/>
                  <w:left w:w="108" w:type="dxa"/>
                  <w:bottom w:w="0" w:type="dxa"/>
                  <w:right w:w="108" w:type="dxa"/>
                </w:tblCellMar>
              </w:tblPrEx>
              <w:trPr>
                <w:trHeight w:val="330" w:hRule="atLeast"/>
                <w:jc w:val="center"/>
              </w:trPr>
              <w:tc>
                <w:tcPr>
                  <w:tcW w:w="589"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line="240" w:lineRule="exact"/>
                    <w:ind w:left="-105" w:leftChars="-50" w:right="-105" w:rightChars="-50"/>
                    <w:jc w:val="center"/>
                    <w:rPr>
                      <w:rFonts w:ascii="宋体" w:hAnsi="宋体" w:cs="宋体"/>
                      <w:color w:val="auto"/>
                      <w:szCs w:val="28"/>
                      <w:highlight w:val="none"/>
                    </w:rPr>
                  </w:pPr>
                  <w:r>
                    <w:rPr>
                      <w:rFonts w:hint="eastAsia" w:ascii="宋体" w:hAnsi="宋体" w:cs="宋体"/>
                      <w:color w:val="auto"/>
                      <w:szCs w:val="28"/>
                      <w:highlight w:val="none"/>
                    </w:rPr>
                    <w:t>1</w:t>
                  </w:r>
                </w:p>
              </w:tc>
              <w:tc>
                <w:tcPr>
                  <w:tcW w:w="1530"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line="240" w:lineRule="exact"/>
                    <w:ind w:left="-105" w:leftChars="-50" w:right="-105" w:rightChars="-50"/>
                    <w:jc w:val="center"/>
                    <w:rPr>
                      <w:rFonts w:ascii="宋体" w:hAnsi="宋体" w:cs="宋体"/>
                      <w:color w:val="auto"/>
                      <w:szCs w:val="28"/>
                      <w:highlight w:val="none"/>
                    </w:rPr>
                  </w:pPr>
                  <w:r>
                    <w:rPr>
                      <w:rFonts w:hint="eastAsia" w:ascii="宋体" w:hAnsi="宋体" w:cs="宋体"/>
                      <w:color w:val="auto"/>
                      <w:szCs w:val="28"/>
                      <w:highlight w:val="none"/>
                    </w:rPr>
                    <w:t>海洋环境质量</w:t>
                  </w:r>
                </w:p>
              </w:tc>
              <w:tc>
                <w:tcPr>
                  <w:tcW w:w="2429"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line="240" w:lineRule="exact"/>
                    <w:ind w:left="-105" w:leftChars="-50" w:right="-105" w:rightChars="-50"/>
                    <w:jc w:val="center"/>
                    <w:rPr>
                      <w:rFonts w:ascii="宋体" w:hAnsi="宋体" w:cs="宋体"/>
                      <w:color w:val="auto"/>
                      <w:szCs w:val="28"/>
                      <w:highlight w:val="none"/>
                    </w:rPr>
                  </w:pPr>
                  <w:r>
                    <w:rPr>
                      <w:rFonts w:hint="eastAsia" w:ascii="宋体" w:hAnsi="宋体" w:cs="宋体"/>
                      <w:color w:val="auto"/>
                      <w:szCs w:val="28"/>
                      <w:highlight w:val="none"/>
                    </w:rPr>
                    <w:t>海洋环境手工监测数据</w:t>
                  </w:r>
                </w:p>
              </w:tc>
              <w:tc>
                <w:tcPr>
                  <w:tcW w:w="1282"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line="240" w:lineRule="exact"/>
                    <w:ind w:left="-105" w:leftChars="-50" w:right="-105" w:rightChars="-50"/>
                    <w:jc w:val="center"/>
                    <w:rPr>
                      <w:rFonts w:ascii="宋体" w:hAnsi="宋体" w:cs="宋体"/>
                      <w:color w:val="auto"/>
                      <w:szCs w:val="28"/>
                      <w:highlight w:val="none"/>
                    </w:rPr>
                  </w:pPr>
                  <w:r>
                    <w:rPr>
                      <w:rFonts w:hint="eastAsia" w:ascii="宋体" w:hAnsi="宋体" w:cs="宋体"/>
                      <w:color w:val="auto"/>
                      <w:szCs w:val="28"/>
                      <w:highlight w:val="none"/>
                    </w:rPr>
                    <w:t>有条件共享</w:t>
                  </w:r>
                </w:p>
              </w:tc>
              <w:tc>
                <w:tcPr>
                  <w:tcW w:w="1425"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line="240" w:lineRule="exact"/>
                    <w:ind w:left="-105" w:leftChars="-50" w:right="-105" w:rightChars="-50"/>
                    <w:jc w:val="center"/>
                    <w:rPr>
                      <w:rFonts w:ascii="宋体" w:hAnsi="宋体" w:cs="宋体"/>
                      <w:color w:val="auto"/>
                      <w:szCs w:val="28"/>
                      <w:highlight w:val="none"/>
                    </w:rPr>
                  </w:pPr>
                  <w:r>
                    <w:rPr>
                      <w:rFonts w:hint="eastAsia" w:ascii="宋体" w:hAnsi="宋体" w:cs="宋体"/>
                      <w:color w:val="auto"/>
                      <w:szCs w:val="28"/>
                      <w:highlight w:val="none"/>
                    </w:rPr>
                    <w:t>政务共享</w:t>
                  </w:r>
                </w:p>
              </w:tc>
              <w:tc>
                <w:tcPr>
                  <w:tcW w:w="1068"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line="240" w:lineRule="exact"/>
                    <w:ind w:left="-105" w:leftChars="-50" w:right="-105" w:rightChars="-50"/>
                    <w:jc w:val="center"/>
                    <w:rPr>
                      <w:rFonts w:ascii="宋体" w:hAnsi="宋体" w:cs="宋体"/>
                      <w:color w:val="auto"/>
                      <w:szCs w:val="28"/>
                      <w:highlight w:val="none"/>
                    </w:rPr>
                  </w:pPr>
                  <w:r>
                    <w:rPr>
                      <w:rFonts w:hint="eastAsia" w:ascii="宋体" w:hAnsi="宋体" w:cs="宋体"/>
                      <w:color w:val="auto"/>
                      <w:szCs w:val="28"/>
                      <w:highlight w:val="none"/>
                    </w:rPr>
                    <w:t>接口</w:t>
                  </w:r>
                </w:p>
              </w:tc>
              <w:tc>
                <w:tcPr>
                  <w:tcW w:w="1112"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line="240" w:lineRule="exact"/>
                    <w:ind w:left="-105" w:leftChars="-50" w:right="-105" w:rightChars="-50"/>
                    <w:jc w:val="center"/>
                    <w:rPr>
                      <w:rFonts w:ascii="宋体" w:hAnsi="宋体" w:cs="宋体"/>
                      <w:color w:val="auto"/>
                      <w:szCs w:val="28"/>
                      <w:highlight w:val="none"/>
                    </w:rPr>
                  </w:pPr>
                  <w:r>
                    <w:rPr>
                      <w:rFonts w:hint="eastAsia" w:ascii="宋体" w:hAnsi="宋体" w:cs="宋体"/>
                      <w:color w:val="auto"/>
                      <w:szCs w:val="28"/>
                      <w:highlight w:val="none"/>
                    </w:rPr>
                    <w:t>定期</w:t>
                  </w:r>
                </w:p>
              </w:tc>
            </w:tr>
            <w:tr>
              <w:tblPrEx>
                <w:tblCellMar>
                  <w:top w:w="0" w:type="dxa"/>
                  <w:left w:w="108" w:type="dxa"/>
                  <w:bottom w:w="0" w:type="dxa"/>
                  <w:right w:w="108" w:type="dxa"/>
                </w:tblCellMar>
              </w:tblPrEx>
              <w:trPr>
                <w:trHeight w:val="330" w:hRule="atLeast"/>
                <w:jc w:val="center"/>
              </w:trPr>
              <w:tc>
                <w:tcPr>
                  <w:tcW w:w="589"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line="240" w:lineRule="exact"/>
                    <w:ind w:left="-105" w:leftChars="-50" w:right="-105" w:rightChars="-50"/>
                    <w:jc w:val="center"/>
                    <w:rPr>
                      <w:rFonts w:ascii="宋体" w:hAnsi="宋体" w:cs="宋体"/>
                      <w:color w:val="auto"/>
                      <w:szCs w:val="28"/>
                      <w:highlight w:val="none"/>
                    </w:rPr>
                  </w:pPr>
                  <w:r>
                    <w:rPr>
                      <w:rFonts w:hint="eastAsia" w:ascii="宋体" w:hAnsi="宋体" w:cs="宋体"/>
                      <w:color w:val="auto"/>
                      <w:szCs w:val="28"/>
                      <w:highlight w:val="none"/>
                    </w:rPr>
                    <w:t>2</w:t>
                  </w:r>
                </w:p>
              </w:tc>
              <w:tc>
                <w:tcPr>
                  <w:tcW w:w="1530"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line="240" w:lineRule="exact"/>
                    <w:ind w:left="-105" w:leftChars="-50" w:right="-105" w:rightChars="-50"/>
                    <w:jc w:val="center"/>
                    <w:rPr>
                      <w:rFonts w:ascii="宋体" w:hAnsi="宋体" w:cs="宋体"/>
                      <w:color w:val="auto"/>
                      <w:szCs w:val="28"/>
                      <w:highlight w:val="none"/>
                    </w:rPr>
                  </w:pPr>
                  <w:r>
                    <w:rPr>
                      <w:rFonts w:hint="eastAsia" w:ascii="宋体" w:hAnsi="宋体" w:cs="宋体"/>
                      <w:color w:val="auto"/>
                      <w:szCs w:val="28"/>
                      <w:highlight w:val="none"/>
                    </w:rPr>
                    <w:t>海洋环境质量</w:t>
                  </w:r>
                </w:p>
              </w:tc>
              <w:tc>
                <w:tcPr>
                  <w:tcW w:w="2429"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line="240" w:lineRule="exact"/>
                    <w:ind w:left="-105" w:leftChars="-50" w:right="-105" w:rightChars="-50"/>
                    <w:jc w:val="center"/>
                    <w:rPr>
                      <w:rFonts w:ascii="宋体" w:hAnsi="宋体" w:cs="宋体"/>
                      <w:color w:val="auto"/>
                      <w:szCs w:val="28"/>
                      <w:highlight w:val="none"/>
                    </w:rPr>
                  </w:pPr>
                  <w:r>
                    <w:rPr>
                      <w:rFonts w:hint="eastAsia" w:ascii="宋体" w:hAnsi="宋体" w:cs="宋体"/>
                      <w:color w:val="auto"/>
                      <w:szCs w:val="28"/>
                      <w:highlight w:val="none"/>
                    </w:rPr>
                    <w:t>海洋环境质量报表</w:t>
                  </w:r>
                </w:p>
              </w:tc>
              <w:tc>
                <w:tcPr>
                  <w:tcW w:w="1282"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line="240" w:lineRule="exact"/>
                    <w:ind w:left="-105" w:leftChars="-50" w:right="-105" w:rightChars="-50"/>
                    <w:jc w:val="center"/>
                    <w:rPr>
                      <w:rFonts w:ascii="宋体" w:hAnsi="宋体" w:cs="宋体"/>
                      <w:color w:val="auto"/>
                      <w:szCs w:val="28"/>
                      <w:highlight w:val="none"/>
                    </w:rPr>
                  </w:pPr>
                  <w:r>
                    <w:rPr>
                      <w:rFonts w:hint="eastAsia" w:ascii="宋体" w:hAnsi="宋体" w:cs="宋体"/>
                      <w:color w:val="auto"/>
                      <w:szCs w:val="28"/>
                      <w:highlight w:val="none"/>
                    </w:rPr>
                    <w:t>有条件共享</w:t>
                  </w:r>
                </w:p>
              </w:tc>
              <w:tc>
                <w:tcPr>
                  <w:tcW w:w="1425"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line="240" w:lineRule="exact"/>
                    <w:ind w:left="-105" w:leftChars="-50" w:right="-105" w:rightChars="-50"/>
                    <w:jc w:val="center"/>
                    <w:rPr>
                      <w:rFonts w:ascii="宋体" w:hAnsi="宋体" w:cs="宋体"/>
                      <w:color w:val="auto"/>
                      <w:szCs w:val="28"/>
                      <w:highlight w:val="none"/>
                    </w:rPr>
                  </w:pPr>
                  <w:r>
                    <w:rPr>
                      <w:rFonts w:hint="eastAsia" w:ascii="宋体" w:hAnsi="宋体" w:cs="宋体"/>
                      <w:color w:val="auto"/>
                      <w:szCs w:val="28"/>
                      <w:highlight w:val="none"/>
                    </w:rPr>
                    <w:t>政务共享</w:t>
                  </w:r>
                </w:p>
              </w:tc>
              <w:tc>
                <w:tcPr>
                  <w:tcW w:w="1068"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line="240" w:lineRule="exact"/>
                    <w:ind w:left="-105" w:leftChars="-50" w:right="-105" w:rightChars="-50"/>
                    <w:jc w:val="center"/>
                    <w:rPr>
                      <w:rFonts w:ascii="宋体" w:hAnsi="宋体" w:cs="宋体"/>
                      <w:color w:val="auto"/>
                      <w:szCs w:val="28"/>
                      <w:highlight w:val="none"/>
                    </w:rPr>
                  </w:pPr>
                  <w:r>
                    <w:rPr>
                      <w:rFonts w:hint="eastAsia" w:ascii="宋体" w:hAnsi="宋体" w:cs="宋体"/>
                      <w:color w:val="auto"/>
                      <w:szCs w:val="28"/>
                      <w:highlight w:val="none"/>
                    </w:rPr>
                    <w:t>文件</w:t>
                  </w:r>
                </w:p>
              </w:tc>
              <w:tc>
                <w:tcPr>
                  <w:tcW w:w="1112"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line="240" w:lineRule="exact"/>
                    <w:ind w:left="-105" w:leftChars="-50" w:right="-105" w:rightChars="-50"/>
                    <w:jc w:val="center"/>
                    <w:rPr>
                      <w:rFonts w:ascii="宋体" w:hAnsi="宋体" w:cs="宋体"/>
                      <w:color w:val="auto"/>
                      <w:szCs w:val="28"/>
                      <w:highlight w:val="none"/>
                    </w:rPr>
                  </w:pPr>
                  <w:r>
                    <w:rPr>
                      <w:rFonts w:hint="eastAsia" w:ascii="宋体" w:hAnsi="宋体" w:cs="宋体"/>
                      <w:color w:val="auto"/>
                      <w:szCs w:val="28"/>
                      <w:highlight w:val="none"/>
                    </w:rPr>
                    <w:t>定期</w:t>
                  </w:r>
                </w:p>
              </w:tc>
            </w:tr>
            <w:tr>
              <w:tblPrEx>
                <w:tblCellMar>
                  <w:top w:w="0" w:type="dxa"/>
                  <w:left w:w="108" w:type="dxa"/>
                  <w:bottom w:w="0" w:type="dxa"/>
                  <w:right w:w="108" w:type="dxa"/>
                </w:tblCellMar>
              </w:tblPrEx>
              <w:trPr>
                <w:trHeight w:val="330" w:hRule="atLeast"/>
                <w:jc w:val="center"/>
              </w:trPr>
              <w:tc>
                <w:tcPr>
                  <w:tcW w:w="589"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line="240" w:lineRule="exact"/>
                    <w:ind w:left="-105" w:leftChars="-50" w:right="-105" w:rightChars="-50"/>
                    <w:jc w:val="center"/>
                    <w:rPr>
                      <w:rFonts w:ascii="宋体" w:hAnsi="宋体" w:cs="宋体"/>
                      <w:color w:val="auto"/>
                      <w:szCs w:val="28"/>
                      <w:highlight w:val="none"/>
                    </w:rPr>
                  </w:pPr>
                  <w:r>
                    <w:rPr>
                      <w:rFonts w:hint="eastAsia" w:ascii="宋体" w:hAnsi="宋体" w:cs="宋体"/>
                      <w:color w:val="auto"/>
                      <w:szCs w:val="28"/>
                      <w:highlight w:val="none"/>
                    </w:rPr>
                    <w:t>3</w:t>
                  </w:r>
                </w:p>
              </w:tc>
              <w:tc>
                <w:tcPr>
                  <w:tcW w:w="1530"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line="240" w:lineRule="exact"/>
                    <w:ind w:left="-105" w:leftChars="-50" w:right="-105" w:rightChars="-50"/>
                    <w:jc w:val="center"/>
                    <w:rPr>
                      <w:rFonts w:ascii="宋体" w:hAnsi="宋体" w:cs="宋体"/>
                      <w:color w:val="auto"/>
                      <w:szCs w:val="28"/>
                      <w:highlight w:val="none"/>
                    </w:rPr>
                  </w:pPr>
                  <w:r>
                    <w:rPr>
                      <w:rFonts w:hint="eastAsia" w:ascii="宋体" w:hAnsi="宋体" w:cs="宋体"/>
                      <w:color w:val="auto"/>
                      <w:szCs w:val="28"/>
                      <w:highlight w:val="none"/>
                    </w:rPr>
                    <w:t>海洋环境质量</w:t>
                  </w:r>
                </w:p>
              </w:tc>
              <w:tc>
                <w:tcPr>
                  <w:tcW w:w="2429"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line="240" w:lineRule="exact"/>
                    <w:ind w:left="-105" w:leftChars="-50" w:right="-105" w:rightChars="-50"/>
                    <w:jc w:val="center"/>
                    <w:rPr>
                      <w:rFonts w:ascii="宋体" w:hAnsi="宋体" w:cs="宋体"/>
                      <w:color w:val="auto"/>
                      <w:szCs w:val="28"/>
                      <w:highlight w:val="none"/>
                    </w:rPr>
                  </w:pPr>
                  <w:r>
                    <w:rPr>
                      <w:rFonts w:hint="eastAsia" w:ascii="宋体" w:hAnsi="宋体" w:cs="宋体"/>
                      <w:color w:val="auto"/>
                      <w:szCs w:val="28"/>
                      <w:highlight w:val="none"/>
                    </w:rPr>
                    <w:t>海洋环境质量报告</w:t>
                  </w:r>
                </w:p>
              </w:tc>
              <w:tc>
                <w:tcPr>
                  <w:tcW w:w="1282"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line="240" w:lineRule="exact"/>
                    <w:ind w:left="-105" w:leftChars="-50" w:right="-105" w:rightChars="-50"/>
                    <w:jc w:val="center"/>
                    <w:rPr>
                      <w:rFonts w:ascii="宋体" w:hAnsi="宋体" w:cs="宋体"/>
                      <w:color w:val="auto"/>
                      <w:szCs w:val="28"/>
                      <w:highlight w:val="none"/>
                    </w:rPr>
                  </w:pPr>
                  <w:r>
                    <w:rPr>
                      <w:rFonts w:hint="eastAsia" w:ascii="宋体" w:hAnsi="宋体" w:cs="宋体"/>
                      <w:color w:val="auto"/>
                      <w:szCs w:val="28"/>
                      <w:highlight w:val="none"/>
                    </w:rPr>
                    <w:t>有条件共享</w:t>
                  </w:r>
                </w:p>
              </w:tc>
              <w:tc>
                <w:tcPr>
                  <w:tcW w:w="1425"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line="240" w:lineRule="exact"/>
                    <w:ind w:left="-105" w:leftChars="-50" w:right="-105" w:rightChars="-50"/>
                    <w:jc w:val="center"/>
                    <w:rPr>
                      <w:rFonts w:ascii="宋体" w:hAnsi="宋体" w:cs="宋体"/>
                      <w:color w:val="auto"/>
                      <w:szCs w:val="28"/>
                      <w:highlight w:val="none"/>
                    </w:rPr>
                  </w:pPr>
                  <w:r>
                    <w:rPr>
                      <w:rFonts w:hint="eastAsia" w:ascii="宋体" w:hAnsi="宋体" w:cs="宋体"/>
                      <w:color w:val="auto"/>
                      <w:szCs w:val="28"/>
                      <w:highlight w:val="none"/>
                    </w:rPr>
                    <w:t>政务共享</w:t>
                  </w:r>
                </w:p>
              </w:tc>
              <w:tc>
                <w:tcPr>
                  <w:tcW w:w="1068"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line="240" w:lineRule="exact"/>
                    <w:ind w:left="-105" w:leftChars="-50" w:right="-105" w:rightChars="-50"/>
                    <w:jc w:val="center"/>
                    <w:rPr>
                      <w:rFonts w:ascii="宋体" w:hAnsi="宋体" w:cs="宋体"/>
                      <w:color w:val="auto"/>
                      <w:szCs w:val="28"/>
                      <w:highlight w:val="none"/>
                    </w:rPr>
                  </w:pPr>
                  <w:r>
                    <w:rPr>
                      <w:rFonts w:hint="eastAsia" w:ascii="宋体" w:hAnsi="宋体" w:cs="宋体"/>
                      <w:color w:val="auto"/>
                      <w:szCs w:val="28"/>
                      <w:highlight w:val="none"/>
                    </w:rPr>
                    <w:t>文件</w:t>
                  </w:r>
                </w:p>
              </w:tc>
              <w:tc>
                <w:tcPr>
                  <w:tcW w:w="1112"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line="240" w:lineRule="exact"/>
                    <w:ind w:left="-105" w:leftChars="-50" w:right="-105" w:rightChars="-50"/>
                    <w:jc w:val="center"/>
                    <w:rPr>
                      <w:rFonts w:ascii="宋体" w:hAnsi="宋体" w:cs="宋体"/>
                      <w:color w:val="auto"/>
                      <w:szCs w:val="28"/>
                      <w:highlight w:val="none"/>
                    </w:rPr>
                  </w:pPr>
                  <w:r>
                    <w:rPr>
                      <w:rFonts w:hint="eastAsia" w:ascii="宋体" w:hAnsi="宋体" w:cs="宋体"/>
                      <w:color w:val="auto"/>
                      <w:szCs w:val="28"/>
                      <w:highlight w:val="none"/>
                    </w:rPr>
                    <w:t>定期</w:t>
                  </w:r>
                </w:p>
              </w:tc>
            </w:tr>
            <w:tr>
              <w:tblPrEx>
                <w:tblCellMar>
                  <w:top w:w="0" w:type="dxa"/>
                  <w:left w:w="108" w:type="dxa"/>
                  <w:bottom w:w="0" w:type="dxa"/>
                  <w:right w:w="108" w:type="dxa"/>
                </w:tblCellMar>
              </w:tblPrEx>
              <w:trPr>
                <w:trHeight w:val="330" w:hRule="atLeast"/>
                <w:jc w:val="center"/>
              </w:trPr>
              <w:tc>
                <w:tcPr>
                  <w:tcW w:w="589"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line="240" w:lineRule="exact"/>
                    <w:ind w:left="-105" w:leftChars="-50" w:right="-105" w:rightChars="-50"/>
                    <w:jc w:val="center"/>
                    <w:rPr>
                      <w:rFonts w:ascii="宋体" w:hAnsi="宋体" w:cs="宋体"/>
                      <w:color w:val="auto"/>
                      <w:szCs w:val="28"/>
                      <w:highlight w:val="none"/>
                    </w:rPr>
                  </w:pPr>
                  <w:r>
                    <w:rPr>
                      <w:rFonts w:hint="eastAsia" w:ascii="宋体" w:hAnsi="宋体" w:cs="宋体"/>
                      <w:color w:val="auto"/>
                      <w:szCs w:val="28"/>
                      <w:highlight w:val="none"/>
                    </w:rPr>
                    <w:t>4</w:t>
                  </w:r>
                </w:p>
              </w:tc>
              <w:tc>
                <w:tcPr>
                  <w:tcW w:w="1530"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line="240" w:lineRule="exact"/>
                    <w:ind w:left="-105" w:leftChars="-50" w:right="-105" w:rightChars="-50"/>
                    <w:jc w:val="center"/>
                    <w:rPr>
                      <w:rFonts w:ascii="宋体" w:hAnsi="宋体" w:cs="宋体"/>
                      <w:color w:val="auto"/>
                      <w:szCs w:val="28"/>
                      <w:highlight w:val="none"/>
                    </w:rPr>
                  </w:pPr>
                  <w:r>
                    <w:rPr>
                      <w:rFonts w:hint="eastAsia" w:ascii="宋体" w:hAnsi="宋体" w:cs="宋体"/>
                      <w:color w:val="auto"/>
                      <w:szCs w:val="28"/>
                      <w:highlight w:val="none"/>
                    </w:rPr>
                    <w:t>海洋环境质量</w:t>
                  </w:r>
                </w:p>
              </w:tc>
              <w:tc>
                <w:tcPr>
                  <w:tcW w:w="2429"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line="240" w:lineRule="exact"/>
                    <w:ind w:left="-105" w:leftChars="-50" w:right="-105" w:rightChars="-50"/>
                    <w:jc w:val="center"/>
                    <w:rPr>
                      <w:rFonts w:ascii="宋体" w:hAnsi="宋体" w:cs="宋体"/>
                      <w:color w:val="auto"/>
                      <w:szCs w:val="28"/>
                      <w:highlight w:val="none"/>
                    </w:rPr>
                  </w:pPr>
                  <w:r>
                    <w:rPr>
                      <w:rFonts w:hint="eastAsia" w:ascii="宋体" w:hAnsi="宋体" w:cs="宋体"/>
                      <w:color w:val="auto"/>
                      <w:szCs w:val="28"/>
                      <w:highlight w:val="none"/>
                    </w:rPr>
                    <w:t>海洋水环境质量评价信息</w:t>
                  </w:r>
                </w:p>
              </w:tc>
              <w:tc>
                <w:tcPr>
                  <w:tcW w:w="1282"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line="240" w:lineRule="exact"/>
                    <w:ind w:left="-105" w:leftChars="-50" w:right="-105" w:rightChars="-50"/>
                    <w:jc w:val="center"/>
                    <w:rPr>
                      <w:rFonts w:ascii="宋体" w:hAnsi="宋体" w:cs="宋体"/>
                      <w:color w:val="auto"/>
                      <w:szCs w:val="28"/>
                      <w:highlight w:val="none"/>
                    </w:rPr>
                  </w:pPr>
                  <w:r>
                    <w:rPr>
                      <w:rFonts w:hint="eastAsia" w:ascii="宋体" w:hAnsi="宋体" w:cs="宋体"/>
                      <w:color w:val="auto"/>
                      <w:szCs w:val="28"/>
                      <w:highlight w:val="none"/>
                    </w:rPr>
                    <w:t>有条件共享</w:t>
                  </w:r>
                </w:p>
              </w:tc>
              <w:tc>
                <w:tcPr>
                  <w:tcW w:w="1425"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line="240" w:lineRule="exact"/>
                    <w:ind w:left="-105" w:leftChars="-50" w:right="-105" w:rightChars="-50"/>
                    <w:jc w:val="center"/>
                    <w:rPr>
                      <w:rFonts w:ascii="宋体" w:hAnsi="宋体" w:cs="宋体"/>
                      <w:color w:val="auto"/>
                      <w:szCs w:val="28"/>
                      <w:highlight w:val="none"/>
                    </w:rPr>
                  </w:pPr>
                  <w:r>
                    <w:rPr>
                      <w:rFonts w:hint="eastAsia" w:ascii="宋体" w:hAnsi="宋体" w:cs="宋体"/>
                      <w:color w:val="auto"/>
                      <w:szCs w:val="28"/>
                      <w:highlight w:val="none"/>
                    </w:rPr>
                    <w:t>政务共享</w:t>
                  </w:r>
                </w:p>
              </w:tc>
              <w:tc>
                <w:tcPr>
                  <w:tcW w:w="1068"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line="240" w:lineRule="exact"/>
                    <w:ind w:left="-105" w:leftChars="-50" w:right="-105" w:rightChars="-50"/>
                    <w:jc w:val="center"/>
                    <w:rPr>
                      <w:rFonts w:ascii="宋体" w:hAnsi="宋体" w:cs="宋体"/>
                      <w:color w:val="auto"/>
                      <w:szCs w:val="28"/>
                      <w:highlight w:val="none"/>
                    </w:rPr>
                  </w:pPr>
                  <w:r>
                    <w:rPr>
                      <w:rFonts w:hint="eastAsia" w:ascii="宋体" w:hAnsi="宋体" w:cs="宋体"/>
                      <w:color w:val="auto"/>
                      <w:szCs w:val="28"/>
                      <w:highlight w:val="none"/>
                    </w:rPr>
                    <w:t>接口</w:t>
                  </w:r>
                </w:p>
              </w:tc>
              <w:tc>
                <w:tcPr>
                  <w:tcW w:w="1112"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line="240" w:lineRule="exact"/>
                    <w:ind w:left="-105" w:leftChars="-50" w:right="-105" w:rightChars="-50"/>
                    <w:jc w:val="center"/>
                    <w:rPr>
                      <w:rFonts w:ascii="宋体" w:hAnsi="宋体" w:cs="宋体"/>
                      <w:color w:val="auto"/>
                      <w:szCs w:val="28"/>
                      <w:highlight w:val="none"/>
                    </w:rPr>
                  </w:pPr>
                  <w:r>
                    <w:rPr>
                      <w:rFonts w:hint="eastAsia" w:ascii="宋体" w:hAnsi="宋体" w:cs="宋体"/>
                      <w:color w:val="auto"/>
                      <w:szCs w:val="28"/>
                      <w:highlight w:val="none"/>
                    </w:rPr>
                    <w:t>定期</w:t>
                  </w:r>
                </w:p>
              </w:tc>
            </w:tr>
            <w:tr>
              <w:tblPrEx>
                <w:tblCellMar>
                  <w:top w:w="0" w:type="dxa"/>
                  <w:left w:w="108" w:type="dxa"/>
                  <w:bottom w:w="0" w:type="dxa"/>
                  <w:right w:w="108" w:type="dxa"/>
                </w:tblCellMar>
              </w:tblPrEx>
              <w:trPr>
                <w:trHeight w:val="330" w:hRule="atLeast"/>
                <w:jc w:val="center"/>
              </w:trPr>
              <w:tc>
                <w:tcPr>
                  <w:tcW w:w="589"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line="240" w:lineRule="exact"/>
                    <w:ind w:left="-105" w:leftChars="-50" w:right="-105" w:rightChars="-50"/>
                    <w:jc w:val="center"/>
                    <w:rPr>
                      <w:rFonts w:ascii="宋体" w:hAnsi="宋体" w:cs="宋体"/>
                      <w:color w:val="auto"/>
                      <w:szCs w:val="28"/>
                      <w:highlight w:val="none"/>
                    </w:rPr>
                  </w:pPr>
                  <w:r>
                    <w:rPr>
                      <w:rFonts w:hint="eastAsia" w:ascii="宋体" w:hAnsi="宋体" w:cs="宋体"/>
                      <w:color w:val="auto"/>
                      <w:szCs w:val="28"/>
                      <w:highlight w:val="none"/>
                    </w:rPr>
                    <w:t>5</w:t>
                  </w:r>
                </w:p>
              </w:tc>
              <w:tc>
                <w:tcPr>
                  <w:tcW w:w="1530"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line="240" w:lineRule="exact"/>
                    <w:ind w:left="-105" w:leftChars="-50" w:right="-105" w:rightChars="-50"/>
                    <w:jc w:val="center"/>
                    <w:rPr>
                      <w:rFonts w:ascii="宋体" w:hAnsi="宋体" w:cs="宋体"/>
                      <w:color w:val="auto"/>
                      <w:szCs w:val="28"/>
                      <w:highlight w:val="none"/>
                    </w:rPr>
                  </w:pPr>
                  <w:r>
                    <w:rPr>
                      <w:rFonts w:hint="eastAsia" w:ascii="宋体" w:hAnsi="宋体" w:cs="宋体"/>
                      <w:color w:val="auto"/>
                      <w:szCs w:val="28"/>
                      <w:highlight w:val="none"/>
                    </w:rPr>
                    <w:t>海洋环境质量</w:t>
                  </w:r>
                </w:p>
              </w:tc>
              <w:tc>
                <w:tcPr>
                  <w:tcW w:w="2429"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line="240" w:lineRule="exact"/>
                    <w:ind w:left="-105" w:leftChars="-50" w:right="-105" w:rightChars="-50"/>
                    <w:jc w:val="center"/>
                    <w:rPr>
                      <w:rFonts w:ascii="宋体" w:hAnsi="宋体" w:cs="宋体"/>
                      <w:color w:val="auto"/>
                      <w:szCs w:val="28"/>
                      <w:highlight w:val="none"/>
                    </w:rPr>
                  </w:pPr>
                  <w:r>
                    <w:rPr>
                      <w:rFonts w:hint="eastAsia" w:ascii="宋体" w:hAnsi="宋体" w:cs="宋体"/>
                      <w:color w:val="auto"/>
                      <w:szCs w:val="28"/>
                      <w:highlight w:val="none"/>
                    </w:rPr>
                    <w:t>海洋水环境监测报告信息</w:t>
                  </w:r>
                </w:p>
              </w:tc>
              <w:tc>
                <w:tcPr>
                  <w:tcW w:w="1282"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line="240" w:lineRule="exact"/>
                    <w:ind w:left="-105" w:leftChars="-50" w:right="-105" w:rightChars="-50"/>
                    <w:jc w:val="center"/>
                    <w:rPr>
                      <w:rFonts w:ascii="宋体" w:hAnsi="宋体" w:cs="宋体"/>
                      <w:color w:val="auto"/>
                      <w:szCs w:val="28"/>
                      <w:highlight w:val="none"/>
                    </w:rPr>
                  </w:pPr>
                  <w:r>
                    <w:rPr>
                      <w:rFonts w:hint="eastAsia" w:ascii="宋体" w:hAnsi="宋体" w:cs="宋体"/>
                      <w:color w:val="auto"/>
                      <w:szCs w:val="28"/>
                      <w:highlight w:val="none"/>
                    </w:rPr>
                    <w:t>有条件共享</w:t>
                  </w:r>
                </w:p>
              </w:tc>
              <w:tc>
                <w:tcPr>
                  <w:tcW w:w="1425"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line="240" w:lineRule="exact"/>
                    <w:ind w:left="-105" w:leftChars="-50" w:right="-105" w:rightChars="-50"/>
                    <w:jc w:val="center"/>
                    <w:rPr>
                      <w:rFonts w:ascii="宋体" w:hAnsi="宋体" w:cs="宋体"/>
                      <w:color w:val="auto"/>
                      <w:szCs w:val="28"/>
                      <w:highlight w:val="none"/>
                    </w:rPr>
                  </w:pPr>
                  <w:r>
                    <w:rPr>
                      <w:rFonts w:hint="eastAsia" w:ascii="宋体" w:hAnsi="宋体" w:cs="宋体"/>
                      <w:color w:val="auto"/>
                      <w:szCs w:val="28"/>
                      <w:highlight w:val="none"/>
                    </w:rPr>
                    <w:t>政务共享</w:t>
                  </w:r>
                </w:p>
              </w:tc>
              <w:tc>
                <w:tcPr>
                  <w:tcW w:w="1068"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line="240" w:lineRule="exact"/>
                    <w:ind w:left="-105" w:leftChars="-50" w:right="-105" w:rightChars="-50"/>
                    <w:jc w:val="center"/>
                    <w:rPr>
                      <w:rFonts w:ascii="宋体" w:hAnsi="宋体" w:cs="宋体"/>
                      <w:color w:val="auto"/>
                      <w:szCs w:val="28"/>
                      <w:highlight w:val="none"/>
                    </w:rPr>
                  </w:pPr>
                  <w:r>
                    <w:rPr>
                      <w:rFonts w:hint="eastAsia" w:ascii="宋体" w:hAnsi="宋体" w:cs="宋体"/>
                      <w:color w:val="auto"/>
                      <w:szCs w:val="28"/>
                      <w:highlight w:val="none"/>
                    </w:rPr>
                    <w:t>文件</w:t>
                  </w:r>
                </w:p>
              </w:tc>
              <w:tc>
                <w:tcPr>
                  <w:tcW w:w="1112"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line="240" w:lineRule="exact"/>
                    <w:ind w:left="-105" w:leftChars="-50" w:right="-105" w:rightChars="-50"/>
                    <w:jc w:val="center"/>
                    <w:rPr>
                      <w:rFonts w:ascii="宋体" w:hAnsi="宋体" w:cs="宋体"/>
                      <w:color w:val="auto"/>
                      <w:szCs w:val="28"/>
                      <w:highlight w:val="none"/>
                    </w:rPr>
                  </w:pPr>
                  <w:r>
                    <w:rPr>
                      <w:rFonts w:hint="eastAsia" w:ascii="宋体" w:hAnsi="宋体" w:cs="宋体"/>
                      <w:color w:val="auto"/>
                      <w:szCs w:val="28"/>
                      <w:highlight w:val="none"/>
                    </w:rPr>
                    <w:t>定期</w:t>
                  </w:r>
                </w:p>
              </w:tc>
            </w:tr>
            <w:tr>
              <w:tblPrEx>
                <w:tblCellMar>
                  <w:top w:w="0" w:type="dxa"/>
                  <w:left w:w="108" w:type="dxa"/>
                  <w:bottom w:w="0" w:type="dxa"/>
                  <w:right w:w="108" w:type="dxa"/>
                </w:tblCellMar>
              </w:tblPrEx>
              <w:trPr>
                <w:trHeight w:val="330" w:hRule="atLeast"/>
                <w:jc w:val="center"/>
              </w:trPr>
              <w:tc>
                <w:tcPr>
                  <w:tcW w:w="589"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line="240" w:lineRule="exact"/>
                    <w:ind w:left="-105" w:leftChars="-50" w:right="-105" w:rightChars="-50"/>
                    <w:jc w:val="center"/>
                    <w:rPr>
                      <w:rFonts w:ascii="宋体" w:hAnsi="宋体" w:cs="宋体"/>
                      <w:color w:val="auto"/>
                      <w:szCs w:val="28"/>
                      <w:highlight w:val="none"/>
                    </w:rPr>
                  </w:pPr>
                  <w:r>
                    <w:rPr>
                      <w:rFonts w:hint="eastAsia" w:ascii="宋体" w:hAnsi="宋体" w:cs="宋体"/>
                      <w:color w:val="auto"/>
                      <w:szCs w:val="28"/>
                      <w:highlight w:val="none"/>
                    </w:rPr>
                    <w:t>6</w:t>
                  </w:r>
                </w:p>
              </w:tc>
              <w:tc>
                <w:tcPr>
                  <w:tcW w:w="1530"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line="240" w:lineRule="exact"/>
                    <w:ind w:left="-105" w:leftChars="-50" w:right="-105" w:rightChars="-50"/>
                    <w:jc w:val="center"/>
                    <w:rPr>
                      <w:rFonts w:ascii="宋体" w:hAnsi="宋体" w:cs="宋体"/>
                      <w:color w:val="auto"/>
                      <w:szCs w:val="28"/>
                      <w:highlight w:val="none"/>
                    </w:rPr>
                  </w:pPr>
                  <w:r>
                    <w:rPr>
                      <w:rFonts w:hint="eastAsia" w:ascii="宋体" w:hAnsi="宋体" w:cs="宋体"/>
                      <w:color w:val="auto"/>
                      <w:szCs w:val="28"/>
                      <w:highlight w:val="none"/>
                    </w:rPr>
                    <w:t>海洋环境质量</w:t>
                  </w:r>
                </w:p>
              </w:tc>
              <w:tc>
                <w:tcPr>
                  <w:tcW w:w="2429"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line="240" w:lineRule="exact"/>
                    <w:ind w:left="-105" w:leftChars="-50" w:right="-105" w:rightChars="-50"/>
                    <w:jc w:val="center"/>
                    <w:rPr>
                      <w:rFonts w:ascii="宋体" w:hAnsi="宋体" w:cs="宋体"/>
                      <w:color w:val="auto"/>
                      <w:szCs w:val="28"/>
                      <w:highlight w:val="none"/>
                    </w:rPr>
                  </w:pPr>
                  <w:r>
                    <w:rPr>
                      <w:rFonts w:hint="eastAsia" w:ascii="宋体" w:hAnsi="宋体" w:cs="宋体"/>
                      <w:color w:val="auto"/>
                      <w:szCs w:val="28"/>
                      <w:highlight w:val="none"/>
                    </w:rPr>
                    <w:t>直排海污染源数据</w:t>
                  </w:r>
                </w:p>
              </w:tc>
              <w:tc>
                <w:tcPr>
                  <w:tcW w:w="1282"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line="240" w:lineRule="exact"/>
                    <w:ind w:left="-105" w:leftChars="-50" w:right="-105" w:rightChars="-50"/>
                    <w:jc w:val="center"/>
                    <w:rPr>
                      <w:rFonts w:ascii="宋体" w:hAnsi="宋体" w:cs="宋体"/>
                      <w:color w:val="auto"/>
                      <w:szCs w:val="28"/>
                      <w:highlight w:val="none"/>
                    </w:rPr>
                  </w:pPr>
                  <w:r>
                    <w:rPr>
                      <w:rFonts w:hint="eastAsia" w:ascii="宋体" w:hAnsi="宋体" w:cs="宋体"/>
                      <w:color w:val="auto"/>
                      <w:szCs w:val="28"/>
                      <w:highlight w:val="none"/>
                    </w:rPr>
                    <w:t>有条件共享</w:t>
                  </w:r>
                </w:p>
              </w:tc>
              <w:tc>
                <w:tcPr>
                  <w:tcW w:w="1425"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line="240" w:lineRule="exact"/>
                    <w:ind w:left="-105" w:leftChars="-50" w:right="-105" w:rightChars="-50"/>
                    <w:jc w:val="center"/>
                    <w:rPr>
                      <w:rFonts w:ascii="宋体" w:hAnsi="宋体" w:cs="宋体"/>
                      <w:color w:val="auto"/>
                      <w:szCs w:val="28"/>
                      <w:highlight w:val="none"/>
                    </w:rPr>
                  </w:pPr>
                  <w:r>
                    <w:rPr>
                      <w:rFonts w:hint="eastAsia" w:ascii="宋体" w:hAnsi="宋体" w:cs="宋体"/>
                      <w:color w:val="auto"/>
                      <w:szCs w:val="28"/>
                      <w:highlight w:val="none"/>
                    </w:rPr>
                    <w:t>政务共享</w:t>
                  </w:r>
                </w:p>
              </w:tc>
              <w:tc>
                <w:tcPr>
                  <w:tcW w:w="1068"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line="240" w:lineRule="exact"/>
                    <w:ind w:left="-105" w:leftChars="-50" w:right="-105" w:rightChars="-50"/>
                    <w:jc w:val="center"/>
                    <w:rPr>
                      <w:rFonts w:ascii="宋体" w:hAnsi="宋体" w:cs="宋体"/>
                      <w:color w:val="auto"/>
                      <w:szCs w:val="28"/>
                      <w:highlight w:val="none"/>
                    </w:rPr>
                  </w:pPr>
                  <w:r>
                    <w:rPr>
                      <w:rFonts w:hint="eastAsia" w:ascii="宋体" w:hAnsi="宋体" w:cs="宋体"/>
                      <w:color w:val="auto"/>
                      <w:szCs w:val="28"/>
                      <w:highlight w:val="none"/>
                    </w:rPr>
                    <w:t>接口</w:t>
                  </w:r>
                </w:p>
              </w:tc>
              <w:tc>
                <w:tcPr>
                  <w:tcW w:w="1112"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line="240" w:lineRule="exact"/>
                    <w:ind w:left="-105" w:leftChars="-50" w:right="-105" w:rightChars="-50"/>
                    <w:jc w:val="center"/>
                    <w:rPr>
                      <w:rFonts w:ascii="宋体" w:hAnsi="宋体" w:cs="宋体"/>
                      <w:color w:val="auto"/>
                      <w:szCs w:val="28"/>
                      <w:highlight w:val="none"/>
                    </w:rPr>
                  </w:pPr>
                  <w:r>
                    <w:rPr>
                      <w:rFonts w:hint="eastAsia" w:ascii="宋体" w:hAnsi="宋体" w:cs="宋体"/>
                      <w:color w:val="auto"/>
                      <w:szCs w:val="28"/>
                      <w:highlight w:val="none"/>
                    </w:rPr>
                    <w:t>定期</w:t>
                  </w:r>
                </w:p>
              </w:tc>
            </w:tr>
            <w:tr>
              <w:tblPrEx>
                <w:tblCellMar>
                  <w:top w:w="0" w:type="dxa"/>
                  <w:left w:w="108" w:type="dxa"/>
                  <w:bottom w:w="0" w:type="dxa"/>
                  <w:right w:w="108" w:type="dxa"/>
                </w:tblCellMar>
              </w:tblPrEx>
              <w:trPr>
                <w:trHeight w:val="330" w:hRule="atLeast"/>
                <w:jc w:val="center"/>
              </w:trPr>
              <w:tc>
                <w:tcPr>
                  <w:tcW w:w="589"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line="240" w:lineRule="exact"/>
                    <w:ind w:left="-105" w:leftChars="-50" w:right="-105" w:rightChars="-50"/>
                    <w:jc w:val="center"/>
                    <w:rPr>
                      <w:rFonts w:ascii="宋体" w:hAnsi="宋体" w:cs="宋体"/>
                      <w:color w:val="auto"/>
                      <w:szCs w:val="28"/>
                      <w:highlight w:val="none"/>
                    </w:rPr>
                  </w:pPr>
                  <w:r>
                    <w:rPr>
                      <w:rFonts w:hint="eastAsia" w:ascii="宋体" w:hAnsi="宋体" w:cs="宋体"/>
                      <w:color w:val="auto"/>
                      <w:szCs w:val="28"/>
                      <w:highlight w:val="none"/>
                    </w:rPr>
                    <w:t>7</w:t>
                  </w:r>
                </w:p>
              </w:tc>
              <w:tc>
                <w:tcPr>
                  <w:tcW w:w="1530"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line="240" w:lineRule="exact"/>
                    <w:ind w:left="-105" w:leftChars="-50" w:right="-105" w:rightChars="-50"/>
                    <w:jc w:val="center"/>
                    <w:rPr>
                      <w:rFonts w:ascii="宋体" w:hAnsi="宋体" w:cs="宋体"/>
                      <w:color w:val="auto"/>
                      <w:szCs w:val="28"/>
                      <w:highlight w:val="none"/>
                    </w:rPr>
                  </w:pPr>
                  <w:r>
                    <w:rPr>
                      <w:rFonts w:hint="eastAsia" w:ascii="宋体" w:hAnsi="宋体" w:cs="宋体"/>
                      <w:color w:val="auto"/>
                      <w:szCs w:val="28"/>
                      <w:highlight w:val="none"/>
                    </w:rPr>
                    <w:t>海洋环境质量</w:t>
                  </w:r>
                </w:p>
              </w:tc>
              <w:tc>
                <w:tcPr>
                  <w:tcW w:w="2429"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line="240" w:lineRule="exact"/>
                    <w:ind w:left="-105" w:leftChars="-50" w:right="-105" w:rightChars="-50"/>
                    <w:jc w:val="center"/>
                    <w:rPr>
                      <w:rFonts w:ascii="宋体" w:hAnsi="宋体" w:cs="宋体"/>
                      <w:color w:val="auto"/>
                      <w:szCs w:val="28"/>
                      <w:highlight w:val="none"/>
                    </w:rPr>
                  </w:pPr>
                  <w:r>
                    <w:rPr>
                      <w:rFonts w:hint="eastAsia" w:ascii="宋体" w:hAnsi="宋体" w:cs="宋体"/>
                      <w:color w:val="auto"/>
                      <w:szCs w:val="28"/>
                      <w:highlight w:val="none"/>
                    </w:rPr>
                    <w:t>海洋生物质量数据</w:t>
                  </w:r>
                </w:p>
              </w:tc>
              <w:tc>
                <w:tcPr>
                  <w:tcW w:w="1282"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line="240" w:lineRule="exact"/>
                    <w:ind w:left="-105" w:leftChars="-50" w:right="-105" w:rightChars="-50"/>
                    <w:jc w:val="center"/>
                    <w:rPr>
                      <w:rFonts w:ascii="宋体" w:hAnsi="宋体" w:cs="宋体"/>
                      <w:color w:val="auto"/>
                      <w:szCs w:val="28"/>
                      <w:highlight w:val="none"/>
                    </w:rPr>
                  </w:pPr>
                  <w:r>
                    <w:rPr>
                      <w:rFonts w:hint="eastAsia" w:ascii="宋体" w:hAnsi="宋体" w:cs="宋体"/>
                      <w:color w:val="auto"/>
                      <w:szCs w:val="28"/>
                      <w:highlight w:val="none"/>
                    </w:rPr>
                    <w:t>有条件共享</w:t>
                  </w:r>
                </w:p>
              </w:tc>
              <w:tc>
                <w:tcPr>
                  <w:tcW w:w="1425"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line="240" w:lineRule="exact"/>
                    <w:ind w:left="-105" w:leftChars="-50" w:right="-105" w:rightChars="-50"/>
                    <w:jc w:val="center"/>
                    <w:rPr>
                      <w:rFonts w:ascii="宋体" w:hAnsi="宋体" w:cs="宋体"/>
                      <w:color w:val="auto"/>
                      <w:szCs w:val="28"/>
                      <w:highlight w:val="none"/>
                    </w:rPr>
                  </w:pPr>
                  <w:r>
                    <w:rPr>
                      <w:rFonts w:hint="eastAsia" w:ascii="宋体" w:hAnsi="宋体" w:cs="宋体"/>
                      <w:color w:val="auto"/>
                      <w:szCs w:val="28"/>
                      <w:highlight w:val="none"/>
                    </w:rPr>
                    <w:t>政务共享</w:t>
                  </w:r>
                </w:p>
              </w:tc>
              <w:tc>
                <w:tcPr>
                  <w:tcW w:w="1068"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line="240" w:lineRule="exact"/>
                    <w:ind w:left="-105" w:leftChars="-50" w:right="-105" w:rightChars="-50"/>
                    <w:jc w:val="center"/>
                    <w:rPr>
                      <w:rFonts w:ascii="宋体" w:hAnsi="宋体" w:cs="宋体"/>
                      <w:color w:val="auto"/>
                      <w:szCs w:val="28"/>
                      <w:highlight w:val="none"/>
                    </w:rPr>
                  </w:pPr>
                  <w:r>
                    <w:rPr>
                      <w:rFonts w:hint="eastAsia" w:ascii="宋体" w:hAnsi="宋体" w:cs="宋体"/>
                      <w:color w:val="auto"/>
                      <w:szCs w:val="28"/>
                      <w:highlight w:val="none"/>
                    </w:rPr>
                    <w:t>接口</w:t>
                  </w:r>
                </w:p>
              </w:tc>
              <w:tc>
                <w:tcPr>
                  <w:tcW w:w="1112"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line="240" w:lineRule="exact"/>
                    <w:ind w:left="-105" w:leftChars="-50" w:right="-105" w:rightChars="-50"/>
                    <w:jc w:val="center"/>
                    <w:rPr>
                      <w:rFonts w:ascii="宋体" w:hAnsi="宋体" w:cs="宋体"/>
                      <w:color w:val="auto"/>
                      <w:szCs w:val="28"/>
                      <w:highlight w:val="none"/>
                    </w:rPr>
                  </w:pPr>
                  <w:r>
                    <w:rPr>
                      <w:rFonts w:hint="eastAsia" w:ascii="宋体" w:hAnsi="宋体" w:cs="宋体"/>
                      <w:color w:val="auto"/>
                      <w:szCs w:val="28"/>
                      <w:highlight w:val="none"/>
                    </w:rPr>
                    <w:t>定期</w:t>
                  </w:r>
                </w:p>
              </w:tc>
            </w:tr>
            <w:tr>
              <w:tblPrEx>
                <w:tblCellMar>
                  <w:top w:w="0" w:type="dxa"/>
                  <w:left w:w="108" w:type="dxa"/>
                  <w:bottom w:w="0" w:type="dxa"/>
                  <w:right w:w="108" w:type="dxa"/>
                </w:tblCellMar>
              </w:tblPrEx>
              <w:trPr>
                <w:trHeight w:val="330" w:hRule="atLeast"/>
                <w:jc w:val="center"/>
              </w:trPr>
              <w:tc>
                <w:tcPr>
                  <w:tcW w:w="589"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line="240" w:lineRule="exact"/>
                    <w:ind w:left="-105" w:leftChars="-50" w:right="-105" w:rightChars="-50"/>
                    <w:jc w:val="center"/>
                    <w:rPr>
                      <w:rFonts w:ascii="宋体" w:hAnsi="宋体" w:cs="宋体"/>
                      <w:color w:val="auto"/>
                      <w:szCs w:val="28"/>
                      <w:highlight w:val="none"/>
                    </w:rPr>
                  </w:pPr>
                  <w:r>
                    <w:rPr>
                      <w:rFonts w:hint="eastAsia" w:ascii="宋体" w:hAnsi="宋体" w:cs="宋体"/>
                      <w:color w:val="auto"/>
                      <w:szCs w:val="28"/>
                      <w:highlight w:val="none"/>
                    </w:rPr>
                    <w:t>8</w:t>
                  </w:r>
                </w:p>
              </w:tc>
              <w:tc>
                <w:tcPr>
                  <w:tcW w:w="1530"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line="240" w:lineRule="exact"/>
                    <w:ind w:left="-105" w:leftChars="-50" w:right="-105" w:rightChars="-50"/>
                    <w:jc w:val="center"/>
                    <w:rPr>
                      <w:rFonts w:ascii="宋体" w:hAnsi="宋体" w:cs="宋体"/>
                      <w:color w:val="auto"/>
                      <w:szCs w:val="28"/>
                      <w:highlight w:val="none"/>
                    </w:rPr>
                  </w:pPr>
                  <w:r>
                    <w:rPr>
                      <w:rFonts w:hint="eastAsia" w:ascii="宋体" w:hAnsi="宋体" w:cs="宋体"/>
                      <w:color w:val="auto"/>
                      <w:szCs w:val="28"/>
                      <w:highlight w:val="none"/>
                    </w:rPr>
                    <w:t>海洋环境质量</w:t>
                  </w:r>
                </w:p>
              </w:tc>
              <w:tc>
                <w:tcPr>
                  <w:tcW w:w="2429"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line="240" w:lineRule="exact"/>
                    <w:ind w:left="-105" w:leftChars="-50" w:right="-105" w:rightChars="-50"/>
                    <w:jc w:val="center"/>
                    <w:rPr>
                      <w:rFonts w:ascii="宋体" w:hAnsi="宋体" w:cs="宋体"/>
                      <w:color w:val="auto"/>
                      <w:szCs w:val="28"/>
                      <w:highlight w:val="none"/>
                    </w:rPr>
                  </w:pPr>
                  <w:r>
                    <w:rPr>
                      <w:rFonts w:hint="eastAsia" w:ascii="宋体" w:hAnsi="宋体" w:cs="宋体"/>
                      <w:color w:val="auto"/>
                      <w:szCs w:val="28"/>
                      <w:highlight w:val="none"/>
                    </w:rPr>
                    <w:t>海洋生态数据</w:t>
                  </w:r>
                </w:p>
              </w:tc>
              <w:tc>
                <w:tcPr>
                  <w:tcW w:w="1282"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line="240" w:lineRule="exact"/>
                    <w:ind w:left="-105" w:leftChars="-50" w:right="-105" w:rightChars="-50"/>
                    <w:jc w:val="center"/>
                    <w:rPr>
                      <w:rFonts w:ascii="宋体" w:hAnsi="宋体" w:cs="宋体"/>
                      <w:color w:val="auto"/>
                      <w:szCs w:val="28"/>
                      <w:highlight w:val="none"/>
                    </w:rPr>
                  </w:pPr>
                  <w:r>
                    <w:rPr>
                      <w:rFonts w:hint="eastAsia" w:ascii="宋体" w:hAnsi="宋体" w:cs="宋体"/>
                      <w:color w:val="auto"/>
                      <w:szCs w:val="28"/>
                      <w:highlight w:val="none"/>
                    </w:rPr>
                    <w:t>有条件共享</w:t>
                  </w:r>
                </w:p>
              </w:tc>
              <w:tc>
                <w:tcPr>
                  <w:tcW w:w="1425"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line="240" w:lineRule="exact"/>
                    <w:ind w:left="-105" w:leftChars="-50" w:right="-105" w:rightChars="-50"/>
                    <w:jc w:val="center"/>
                    <w:rPr>
                      <w:rFonts w:ascii="宋体" w:hAnsi="宋体" w:cs="宋体"/>
                      <w:color w:val="auto"/>
                      <w:szCs w:val="28"/>
                      <w:highlight w:val="none"/>
                    </w:rPr>
                  </w:pPr>
                  <w:r>
                    <w:rPr>
                      <w:rFonts w:hint="eastAsia" w:ascii="宋体" w:hAnsi="宋体" w:cs="宋体"/>
                      <w:color w:val="auto"/>
                      <w:szCs w:val="28"/>
                      <w:highlight w:val="none"/>
                    </w:rPr>
                    <w:t>政务共享</w:t>
                  </w:r>
                </w:p>
              </w:tc>
              <w:tc>
                <w:tcPr>
                  <w:tcW w:w="1068"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line="240" w:lineRule="exact"/>
                    <w:ind w:left="-105" w:leftChars="-50" w:right="-105" w:rightChars="-50"/>
                    <w:jc w:val="center"/>
                    <w:rPr>
                      <w:rFonts w:ascii="宋体" w:hAnsi="宋体" w:cs="宋体"/>
                      <w:color w:val="auto"/>
                      <w:szCs w:val="28"/>
                      <w:highlight w:val="none"/>
                    </w:rPr>
                  </w:pPr>
                  <w:r>
                    <w:rPr>
                      <w:rFonts w:hint="eastAsia" w:ascii="宋体" w:hAnsi="宋体" w:cs="宋体"/>
                      <w:color w:val="auto"/>
                      <w:szCs w:val="28"/>
                      <w:highlight w:val="none"/>
                    </w:rPr>
                    <w:t>接口</w:t>
                  </w:r>
                </w:p>
              </w:tc>
              <w:tc>
                <w:tcPr>
                  <w:tcW w:w="1112"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line="240" w:lineRule="exact"/>
                    <w:ind w:left="-105" w:leftChars="-50" w:right="-105" w:rightChars="-50"/>
                    <w:jc w:val="center"/>
                    <w:rPr>
                      <w:rFonts w:ascii="宋体" w:hAnsi="宋体" w:cs="宋体"/>
                      <w:color w:val="auto"/>
                      <w:szCs w:val="28"/>
                      <w:highlight w:val="none"/>
                    </w:rPr>
                  </w:pPr>
                  <w:r>
                    <w:rPr>
                      <w:rFonts w:hint="eastAsia" w:ascii="宋体" w:hAnsi="宋体" w:cs="宋体"/>
                      <w:color w:val="auto"/>
                      <w:szCs w:val="28"/>
                      <w:highlight w:val="none"/>
                    </w:rPr>
                    <w:t>定期</w:t>
                  </w:r>
                </w:p>
              </w:tc>
            </w:tr>
            <w:tr>
              <w:tblPrEx>
                <w:tblCellMar>
                  <w:top w:w="0" w:type="dxa"/>
                  <w:left w:w="108" w:type="dxa"/>
                  <w:bottom w:w="0" w:type="dxa"/>
                  <w:right w:w="108" w:type="dxa"/>
                </w:tblCellMar>
              </w:tblPrEx>
              <w:trPr>
                <w:trHeight w:val="330" w:hRule="atLeast"/>
                <w:jc w:val="center"/>
              </w:trPr>
              <w:tc>
                <w:tcPr>
                  <w:tcW w:w="589"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line="240" w:lineRule="exact"/>
                    <w:ind w:left="-105" w:leftChars="-50" w:right="-105" w:rightChars="-50"/>
                    <w:jc w:val="center"/>
                    <w:rPr>
                      <w:rFonts w:ascii="宋体" w:hAnsi="宋体" w:cs="宋体"/>
                      <w:color w:val="auto"/>
                      <w:szCs w:val="28"/>
                      <w:highlight w:val="none"/>
                    </w:rPr>
                  </w:pPr>
                  <w:r>
                    <w:rPr>
                      <w:rFonts w:hint="eastAsia" w:ascii="宋体" w:hAnsi="宋体" w:cs="宋体"/>
                      <w:color w:val="auto"/>
                      <w:szCs w:val="28"/>
                      <w:highlight w:val="none"/>
                    </w:rPr>
                    <w:t>9</w:t>
                  </w:r>
                </w:p>
              </w:tc>
              <w:tc>
                <w:tcPr>
                  <w:tcW w:w="1530"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line="240" w:lineRule="exact"/>
                    <w:ind w:left="-105" w:leftChars="-50" w:right="-105" w:rightChars="-50"/>
                    <w:jc w:val="center"/>
                    <w:rPr>
                      <w:rFonts w:ascii="宋体" w:hAnsi="宋体" w:cs="宋体"/>
                      <w:color w:val="auto"/>
                      <w:szCs w:val="28"/>
                      <w:highlight w:val="none"/>
                    </w:rPr>
                  </w:pPr>
                  <w:r>
                    <w:rPr>
                      <w:rFonts w:hint="eastAsia" w:ascii="宋体" w:hAnsi="宋体" w:cs="宋体"/>
                      <w:color w:val="auto"/>
                      <w:szCs w:val="28"/>
                      <w:highlight w:val="none"/>
                    </w:rPr>
                    <w:t>海洋环境质量</w:t>
                  </w:r>
                </w:p>
              </w:tc>
              <w:tc>
                <w:tcPr>
                  <w:tcW w:w="2429"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line="240" w:lineRule="exact"/>
                    <w:ind w:left="-105" w:leftChars="-50" w:right="-105" w:rightChars="-50"/>
                    <w:jc w:val="center"/>
                    <w:rPr>
                      <w:rFonts w:ascii="宋体" w:hAnsi="宋体" w:cs="宋体"/>
                      <w:color w:val="auto"/>
                      <w:szCs w:val="28"/>
                      <w:highlight w:val="none"/>
                    </w:rPr>
                  </w:pPr>
                  <w:r>
                    <w:rPr>
                      <w:rFonts w:hint="eastAsia" w:ascii="宋体" w:hAnsi="宋体" w:cs="宋体"/>
                      <w:color w:val="auto"/>
                      <w:szCs w:val="28"/>
                      <w:highlight w:val="none"/>
                    </w:rPr>
                    <w:t>入海河流断面</w:t>
                  </w:r>
                </w:p>
              </w:tc>
              <w:tc>
                <w:tcPr>
                  <w:tcW w:w="1282"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line="240" w:lineRule="exact"/>
                    <w:ind w:left="-105" w:leftChars="-50" w:right="-105" w:rightChars="-50"/>
                    <w:jc w:val="center"/>
                    <w:rPr>
                      <w:rFonts w:ascii="宋体" w:hAnsi="宋体" w:cs="宋体"/>
                      <w:color w:val="auto"/>
                      <w:szCs w:val="28"/>
                      <w:highlight w:val="none"/>
                    </w:rPr>
                  </w:pPr>
                  <w:r>
                    <w:rPr>
                      <w:rFonts w:hint="eastAsia" w:ascii="宋体" w:hAnsi="宋体" w:cs="宋体"/>
                      <w:color w:val="auto"/>
                      <w:szCs w:val="28"/>
                      <w:highlight w:val="none"/>
                    </w:rPr>
                    <w:t>有条件共享</w:t>
                  </w:r>
                </w:p>
              </w:tc>
              <w:tc>
                <w:tcPr>
                  <w:tcW w:w="1425"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line="240" w:lineRule="exact"/>
                    <w:ind w:left="-105" w:leftChars="-50" w:right="-105" w:rightChars="-50"/>
                    <w:jc w:val="center"/>
                    <w:rPr>
                      <w:rFonts w:ascii="宋体" w:hAnsi="宋体" w:cs="宋体"/>
                      <w:color w:val="auto"/>
                      <w:szCs w:val="28"/>
                      <w:highlight w:val="none"/>
                    </w:rPr>
                  </w:pPr>
                  <w:r>
                    <w:rPr>
                      <w:rFonts w:hint="eastAsia" w:ascii="宋体" w:hAnsi="宋体" w:cs="宋体"/>
                      <w:color w:val="auto"/>
                      <w:szCs w:val="28"/>
                      <w:highlight w:val="none"/>
                    </w:rPr>
                    <w:t>政务共享</w:t>
                  </w:r>
                </w:p>
              </w:tc>
              <w:tc>
                <w:tcPr>
                  <w:tcW w:w="1068"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line="240" w:lineRule="exact"/>
                    <w:ind w:left="-105" w:leftChars="-50" w:right="-105" w:rightChars="-50"/>
                    <w:jc w:val="center"/>
                    <w:rPr>
                      <w:rFonts w:ascii="宋体" w:hAnsi="宋体" w:cs="宋体"/>
                      <w:color w:val="auto"/>
                      <w:szCs w:val="28"/>
                      <w:highlight w:val="none"/>
                    </w:rPr>
                  </w:pPr>
                  <w:r>
                    <w:rPr>
                      <w:rFonts w:hint="eastAsia" w:ascii="宋体" w:hAnsi="宋体" w:cs="宋体"/>
                      <w:color w:val="auto"/>
                      <w:szCs w:val="28"/>
                      <w:highlight w:val="none"/>
                    </w:rPr>
                    <w:t>接口</w:t>
                  </w:r>
                </w:p>
              </w:tc>
              <w:tc>
                <w:tcPr>
                  <w:tcW w:w="1112"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line="240" w:lineRule="exact"/>
                    <w:ind w:left="-105" w:leftChars="-50" w:right="-105" w:rightChars="-50"/>
                    <w:jc w:val="center"/>
                    <w:rPr>
                      <w:rFonts w:ascii="宋体" w:hAnsi="宋体" w:cs="宋体"/>
                      <w:color w:val="auto"/>
                      <w:szCs w:val="28"/>
                      <w:highlight w:val="none"/>
                    </w:rPr>
                  </w:pPr>
                  <w:r>
                    <w:rPr>
                      <w:rFonts w:hint="eastAsia" w:ascii="宋体" w:hAnsi="宋体" w:cs="宋体"/>
                      <w:color w:val="auto"/>
                      <w:szCs w:val="28"/>
                      <w:highlight w:val="none"/>
                    </w:rPr>
                    <w:t>定期</w:t>
                  </w:r>
                </w:p>
              </w:tc>
            </w:tr>
            <w:tr>
              <w:tblPrEx>
                <w:tblCellMar>
                  <w:top w:w="0" w:type="dxa"/>
                  <w:left w:w="108" w:type="dxa"/>
                  <w:bottom w:w="0" w:type="dxa"/>
                  <w:right w:w="108" w:type="dxa"/>
                </w:tblCellMar>
              </w:tblPrEx>
              <w:trPr>
                <w:trHeight w:val="341" w:hRule="atLeast"/>
                <w:jc w:val="center"/>
              </w:trPr>
              <w:tc>
                <w:tcPr>
                  <w:tcW w:w="589"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line="240" w:lineRule="exact"/>
                    <w:ind w:left="-105" w:leftChars="-50" w:right="-105" w:rightChars="-50"/>
                    <w:jc w:val="center"/>
                    <w:rPr>
                      <w:rFonts w:ascii="宋体" w:hAnsi="宋体" w:cs="宋体"/>
                      <w:color w:val="auto"/>
                      <w:szCs w:val="28"/>
                      <w:highlight w:val="none"/>
                    </w:rPr>
                  </w:pPr>
                  <w:r>
                    <w:rPr>
                      <w:rFonts w:hint="eastAsia" w:ascii="宋体" w:hAnsi="宋体" w:cs="宋体"/>
                      <w:color w:val="auto"/>
                      <w:szCs w:val="28"/>
                      <w:highlight w:val="none"/>
                    </w:rPr>
                    <w:t>10</w:t>
                  </w:r>
                </w:p>
              </w:tc>
              <w:tc>
                <w:tcPr>
                  <w:tcW w:w="1530"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line="240" w:lineRule="exact"/>
                    <w:ind w:left="-105" w:leftChars="-50" w:right="-105" w:rightChars="-50"/>
                    <w:jc w:val="center"/>
                    <w:rPr>
                      <w:rFonts w:ascii="宋体" w:hAnsi="宋体" w:cs="宋体"/>
                      <w:color w:val="auto"/>
                      <w:szCs w:val="28"/>
                      <w:highlight w:val="none"/>
                    </w:rPr>
                  </w:pPr>
                  <w:r>
                    <w:rPr>
                      <w:rFonts w:hint="eastAsia" w:ascii="宋体" w:hAnsi="宋体" w:cs="宋体"/>
                      <w:color w:val="auto"/>
                      <w:szCs w:val="28"/>
                      <w:highlight w:val="none"/>
                    </w:rPr>
                    <w:t>海洋环境质量</w:t>
                  </w:r>
                </w:p>
              </w:tc>
              <w:tc>
                <w:tcPr>
                  <w:tcW w:w="2429"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line="240" w:lineRule="exact"/>
                    <w:ind w:left="-105" w:leftChars="-50" w:right="-105" w:rightChars="-50"/>
                    <w:jc w:val="center"/>
                    <w:rPr>
                      <w:rFonts w:ascii="宋体" w:hAnsi="宋体" w:cs="宋体"/>
                      <w:color w:val="auto"/>
                      <w:szCs w:val="28"/>
                      <w:highlight w:val="none"/>
                    </w:rPr>
                  </w:pPr>
                  <w:r>
                    <w:rPr>
                      <w:rFonts w:hint="eastAsia" w:ascii="宋体" w:hAnsi="宋体" w:cs="宋体"/>
                      <w:color w:val="auto"/>
                      <w:szCs w:val="28"/>
                      <w:highlight w:val="none"/>
                    </w:rPr>
                    <w:t>海洋环境功能区</w:t>
                  </w:r>
                </w:p>
              </w:tc>
              <w:tc>
                <w:tcPr>
                  <w:tcW w:w="1282"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line="240" w:lineRule="exact"/>
                    <w:ind w:left="-105" w:leftChars="-50" w:right="-105" w:rightChars="-50"/>
                    <w:jc w:val="center"/>
                    <w:rPr>
                      <w:rFonts w:ascii="宋体" w:hAnsi="宋体" w:cs="宋体"/>
                      <w:color w:val="auto"/>
                      <w:szCs w:val="28"/>
                      <w:highlight w:val="none"/>
                    </w:rPr>
                  </w:pPr>
                  <w:r>
                    <w:rPr>
                      <w:rFonts w:hint="eastAsia" w:ascii="宋体" w:hAnsi="宋体" w:cs="宋体"/>
                      <w:color w:val="auto"/>
                      <w:szCs w:val="28"/>
                      <w:highlight w:val="none"/>
                    </w:rPr>
                    <w:t>有条件共享</w:t>
                  </w:r>
                </w:p>
              </w:tc>
              <w:tc>
                <w:tcPr>
                  <w:tcW w:w="1425"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line="240" w:lineRule="exact"/>
                    <w:ind w:left="-105" w:leftChars="-50" w:right="-105" w:rightChars="-50"/>
                    <w:jc w:val="center"/>
                    <w:rPr>
                      <w:rFonts w:ascii="宋体" w:hAnsi="宋体" w:cs="宋体"/>
                      <w:color w:val="auto"/>
                      <w:szCs w:val="28"/>
                      <w:highlight w:val="none"/>
                    </w:rPr>
                  </w:pPr>
                  <w:r>
                    <w:rPr>
                      <w:rFonts w:hint="eastAsia" w:ascii="宋体" w:hAnsi="宋体" w:cs="宋体"/>
                      <w:color w:val="auto"/>
                      <w:szCs w:val="28"/>
                      <w:highlight w:val="none"/>
                    </w:rPr>
                    <w:t>政务共享</w:t>
                  </w:r>
                </w:p>
              </w:tc>
              <w:tc>
                <w:tcPr>
                  <w:tcW w:w="1068"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line="240" w:lineRule="exact"/>
                    <w:ind w:left="-105" w:leftChars="-50" w:right="-105" w:rightChars="-50"/>
                    <w:jc w:val="center"/>
                    <w:rPr>
                      <w:rFonts w:ascii="宋体" w:hAnsi="宋体" w:cs="宋体"/>
                      <w:color w:val="auto"/>
                      <w:szCs w:val="28"/>
                      <w:highlight w:val="none"/>
                    </w:rPr>
                  </w:pPr>
                  <w:r>
                    <w:rPr>
                      <w:rFonts w:hint="eastAsia" w:ascii="宋体" w:hAnsi="宋体" w:cs="宋体"/>
                      <w:color w:val="auto"/>
                      <w:szCs w:val="28"/>
                      <w:highlight w:val="none"/>
                    </w:rPr>
                    <w:t>文件</w:t>
                  </w:r>
                </w:p>
              </w:tc>
              <w:tc>
                <w:tcPr>
                  <w:tcW w:w="1112"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line="240" w:lineRule="exact"/>
                    <w:ind w:left="-105" w:leftChars="-50" w:right="-105" w:rightChars="-50"/>
                    <w:jc w:val="center"/>
                    <w:rPr>
                      <w:rFonts w:ascii="宋体" w:hAnsi="宋体" w:cs="宋体"/>
                      <w:color w:val="auto"/>
                      <w:szCs w:val="28"/>
                      <w:highlight w:val="none"/>
                    </w:rPr>
                  </w:pPr>
                  <w:r>
                    <w:rPr>
                      <w:rFonts w:hint="eastAsia" w:ascii="宋体" w:hAnsi="宋体" w:cs="宋体"/>
                      <w:color w:val="auto"/>
                      <w:szCs w:val="28"/>
                      <w:highlight w:val="none"/>
                    </w:rPr>
                    <w:t>定期</w:t>
                  </w:r>
                </w:p>
              </w:tc>
            </w:tr>
          </w:tbl>
          <w:p>
            <w:pPr>
              <w:spacing w:line="320" w:lineRule="exact"/>
              <w:rPr>
                <w:rFonts w:ascii="宋体" w:hAnsi="宋体" w:cs="宋体"/>
                <w:color w:val="auto"/>
                <w:szCs w:val="21"/>
                <w:highlight w:val="none"/>
              </w:rPr>
            </w:pPr>
            <w:r>
              <w:rPr>
                <w:rFonts w:hint="eastAsia" w:ascii="宋体" w:hAnsi="宋体" w:cs="宋体"/>
                <w:b/>
                <w:bCs/>
                <w:color w:val="auto"/>
                <w:szCs w:val="21"/>
                <w:highlight w:val="none"/>
              </w:rPr>
              <w:t>（三） 数据库建设</w:t>
            </w:r>
          </w:p>
          <w:p>
            <w:pPr>
              <w:spacing w:line="320" w:lineRule="exact"/>
              <w:rPr>
                <w:rFonts w:ascii="宋体" w:hAnsi="宋体" w:cs="宋体"/>
                <w:color w:val="auto"/>
                <w:szCs w:val="21"/>
                <w:highlight w:val="none"/>
              </w:rPr>
            </w:pPr>
            <w:r>
              <w:rPr>
                <w:rFonts w:hint="eastAsia" w:ascii="宋体" w:hAnsi="宋体" w:cs="宋体"/>
                <w:b/>
                <w:bCs/>
                <w:color w:val="auto"/>
                <w:szCs w:val="21"/>
                <w:highlight w:val="none"/>
              </w:rPr>
              <w:t>1 数据库的设计</w:t>
            </w:r>
          </w:p>
          <w:p>
            <w:pPr>
              <w:spacing w:line="3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1.1必须综合建库设计的技术特点和需求特点，遵从先进性原则、安全性原则、高效性原则、标准化、规范性原则、适用性原则。</w:t>
            </w:r>
          </w:p>
          <w:p>
            <w:pPr>
              <w:spacing w:line="3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1.2 数据库使用关系型数据库结构，数据的组织和管理必须满足：属性数据的关联性、数据的完整性、充分考虑数据查询和调用的效率、充分考虑数据的更新维护可操作性。</w:t>
            </w:r>
          </w:p>
          <w:p>
            <w:pPr>
              <w:spacing w:line="3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1.3 数据结构：系统数据库建设实现对系统的数据支撑，通过现有的数据共享交换系统或系统接口，实现系统间的信息资源交换与共享。</w:t>
            </w:r>
          </w:p>
          <w:p>
            <w:pPr>
              <w:spacing w:line="3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 xml:space="preserve">1.4 </w:t>
            </w:r>
            <w:r>
              <w:rPr>
                <w:rFonts w:hint="eastAsia" w:ascii="宋体" w:hAnsi="宋体" w:cs="宋体"/>
                <w:color w:val="auto"/>
                <w:highlight w:val="none"/>
              </w:rPr>
              <w:t>数据库设计与实施：</w:t>
            </w:r>
            <w:r>
              <w:rPr>
                <w:rFonts w:hint="eastAsia" w:ascii="宋体" w:hAnsi="宋体" w:cs="宋体"/>
                <w:color w:val="auto"/>
                <w:szCs w:val="21"/>
                <w:highlight w:val="none"/>
              </w:rPr>
              <w:t>本项目以环境监测数据存储与业务使用需求为指导，可分基础信息数据库、缓冲库、中间库与评价库几种类型进行监测数据库建设。按照多维分析设计思路，按照监测要素分为多个专题，每个专题中关联相应要素的基础信息库、缓冲库、中间库和评价库，对系统功能提供数据支撑服务。</w:t>
            </w:r>
          </w:p>
          <w:p>
            <w:pPr>
              <w:spacing w:line="3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1.5 数据字典</w:t>
            </w:r>
          </w:p>
          <w:p>
            <w:pPr>
              <w:spacing w:line="320" w:lineRule="exact"/>
              <w:ind w:firstLine="420" w:firstLineChars="200"/>
              <w:rPr>
                <w:rFonts w:ascii="宋体" w:hAnsi="宋体" w:cs="宋体"/>
                <w:color w:val="auto"/>
                <w:szCs w:val="21"/>
                <w:highlight w:val="none"/>
              </w:rPr>
            </w:pPr>
            <w:r>
              <w:rPr>
                <w:rFonts w:hint="eastAsia" w:ascii="宋体" w:hAnsi="宋体" w:cs="宋体"/>
                <w:color w:val="auto"/>
                <w:szCs w:val="28"/>
                <w:highlight w:val="none"/>
              </w:rPr>
              <w:t>本项目是基于原有海洋站实验室管理系统、环境监测数据综合管理系统以及综合业务管理模块的升级，涉及到的数据字典库表信息以海水环境质量、海水沉积物、生物残留为例，主要产生的数据库表结构信息如下所示：</w:t>
            </w:r>
          </w:p>
          <w:p>
            <w:pPr>
              <w:widowControl/>
              <w:snapToGrid w:val="0"/>
              <w:spacing w:line="40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1、海洋水环境监测采样信息及评价结果表（T_JCSJZX_HYS_CYXX_PJJG）</w:t>
            </w:r>
          </w:p>
          <w:tbl>
            <w:tblPr>
              <w:tblStyle w:val="58"/>
              <w:tblW w:w="965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0"/>
              <w:gridCol w:w="1272"/>
              <w:gridCol w:w="1800"/>
              <w:gridCol w:w="714"/>
              <w:gridCol w:w="945"/>
              <w:gridCol w:w="712"/>
              <w:gridCol w:w="934"/>
              <w:gridCol w:w="256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color w:val="auto"/>
                      <w:sz w:val="20"/>
                      <w:highlight w:val="none"/>
                    </w:rPr>
                  </w:pPr>
                  <w:r>
                    <w:rPr>
                      <w:rFonts w:hint="eastAsia" w:ascii="宋体" w:hAnsi="宋体" w:cs="宋体"/>
                      <w:color w:val="auto"/>
                      <w:sz w:val="20"/>
                      <w:highlight w:val="none"/>
                    </w:rPr>
                    <w:t>序号</w:t>
                  </w:r>
                </w:p>
              </w:tc>
              <w:tc>
                <w:tcPr>
                  <w:tcW w:w="127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color w:val="auto"/>
                      <w:sz w:val="20"/>
                      <w:highlight w:val="none"/>
                    </w:rPr>
                  </w:pPr>
                  <w:r>
                    <w:rPr>
                      <w:rFonts w:hint="eastAsia" w:ascii="宋体" w:hAnsi="宋体" w:cs="宋体"/>
                      <w:color w:val="auto"/>
                      <w:sz w:val="20"/>
                      <w:highlight w:val="none"/>
                    </w:rPr>
                    <w:t>字段名</w:t>
                  </w:r>
                </w:p>
              </w:tc>
              <w:tc>
                <w:tcPr>
                  <w:tcW w:w="180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color w:val="auto"/>
                      <w:sz w:val="20"/>
                      <w:highlight w:val="none"/>
                    </w:rPr>
                  </w:pPr>
                  <w:r>
                    <w:rPr>
                      <w:rFonts w:hint="eastAsia" w:ascii="宋体" w:hAnsi="宋体" w:cs="宋体"/>
                      <w:color w:val="auto"/>
                      <w:sz w:val="20"/>
                      <w:highlight w:val="none"/>
                    </w:rPr>
                    <w:t>数据类型</w:t>
                  </w:r>
                </w:p>
              </w:tc>
              <w:tc>
                <w:tcPr>
                  <w:tcW w:w="714"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color w:val="auto"/>
                      <w:sz w:val="20"/>
                      <w:highlight w:val="none"/>
                    </w:rPr>
                  </w:pPr>
                  <w:r>
                    <w:rPr>
                      <w:rFonts w:hint="eastAsia" w:ascii="宋体" w:hAnsi="宋体" w:cs="宋体"/>
                      <w:color w:val="auto"/>
                      <w:sz w:val="20"/>
                      <w:highlight w:val="none"/>
                    </w:rPr>
                    <w:t>长度</w:t>
                  </w:r>
                </w:p>
              </w:tc>
              <w:tc>
                <w:tcPr>
                  <w:tcW w:w="94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color w:val="auto"/>
                      <w:sz w:val="20"/>
                      <w:highlight w:val="none"/>
                    </w:rPr>
                  </w:pPr>
                  <w:r>
                    <w:rPr>
                      <w:rFonts w:hint="eastAsia" w:ascii="宋体" w:hAnsi="宋体" w:cs="宋体"/>
                      <w:color w:val="auto"/>
                      <w:sz w:val="20"/>
                      <w:highlight w:val="none"/>
                    </w:rPr>
                    <w:t>小数位</w:t>
                  </w:r>
                </w:p>
              </w:tc>
              <w:tc>
                <w:tcPr>
                  <w:tcW w:w="71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color w:val="auto"/>
                      <w:sz w:val="20"/>
                      <w:highlight w:val="none"/>
                    </w:rPr>
                  </w:pPr>
                  <w:r>
                    <w:rPr>
                      <w:rFonts w:hint="eastAsia" w:ascii="宋体" w:hAnsi="宋体" w:cs="宋体"/>
                      <w:color w:val="auto"/>
                      <w:sz w:val="20"/>
                      <w:highlight w:val="none"/>
                    </w:rPr>
                    <w:t>主键</w:t>
                  </w:r>
                </w:p>
              </w:tc>
              <w:tc>
                <w:tcPr>
                  <w:tcW w:w="934"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color w:val="auto"/>
                      <w:sz w:val="20"/>
                      <w:highlight w:val="none"/>
                    </w:rPr>
                  </w:pPr>
                  <w:r>
                    <w:rPr>
                      <w:rFonts w:hint="eastAsia" w:ascii="宋体" w:hAnsi="宋体" w:cs="宋体"/>
                      <w:color w:val="auto"/>
                      <w:sz w:val="20"/>
                      <w:highlight w:val="none"/>
                    </w:rPr>
                    <w:t>允许空</w:t>
                  </w:r>
                </w:p>
              </w:tc>
              <w:tc>
                <w:tcPr>
                  <w:tcW w:w="256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color w:val="auto"/>
                      <w:sz w:val="20"/>
                      <w:highlight w:val="none"/>
                    </w:rPr>
                  </w:pPr>
                  <w:r>
                    <w:rPr>
                      <w:rFonts w:hint="eastAsia" w:ascii="宋体" w:hAnsi="宋体" w:cs="宋体"/>
                      <w:color w:val="auto"/>
                      <w:sz w:val="20"/>
                      <w:highlight w:val="none"/>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4"/>
                    </w:numPr>
                    <w:jc w:val="center"/>
                    <w:rPr>
                      <w:rFonts w:ascii="宋体" w:hAnsi="宋体" w:cs="宋体"/>
                      <w:color w:val="auto"/>
                      <w:sz w:val="20"/>
                      <w:highlight w:val="none"/>
                    </w:rPr>
                  </w:pPr>
                </w:p>
              </w:tc>
              <w:tc>
                <w:tcPr>
                  <w:tcW w:w="127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XH</w:t>
                  </w:r>
                </w:p>
              </w:tc>
              <w:tc>
                <w:tcPr>
                  <w:tcW w:w="180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VARCHAR2(50)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50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93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256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序号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4"/>
                    </w:numPr>
                    <w:jc w:val="center"/>
                    <w:rPr>
                      <w:rFonts w:ascii="宋体" w:hAnsi="宋体" w:cs="宋体"/>
                      <w:color w:val="auto"/>
                      <w:sz w:val="20"/>
                      <w:highlight w:val="none"/>
                    </w:rPr>
                  </w:pPr>
                </w:p>
              </w:tc>
              <w:tc>
                <w:tcPr>
                  <w:tcW w:w="127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CDBH</w:t>
                  </w:r>
                </w:p>
              </w:tc>
              <w:tc>
                <w:tcPr>
                  <w:tcW w:w="180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VARCHAR2(50)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50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3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56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测点编号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4"/>
                    </w:numPr>
                    <w:jc w:val="center"/>
                    <w:rPr>
                      <w:rFonts w:ascii="宋体" w:hAnsi="宋体" w:cs="宋体"/>
                      <w:color w:val="auto"/>
                      <w:sz w:val="20"/>
                      <w:highlight w:val="none"/>
                    </w:rPr>
                  </w:pPr>
                </w:p>
              </w:tc>
              <w:tc>
                <w:tcPr>
                  <w:tcW w:w="127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CDMC</w:t>
                  </w:r>
                </w:p>
              </w:tc>
              <w:tc>
                <w:tcPr>
                  <w:tcW w:w="180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VARCHAR2(100)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100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3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56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测点名称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4"/>
                    </w:numPr>
                    <w:jc w:val="center"/>
                    <w:rPr>
                      <w:rFonts w:ascii="宋体" w:hAnsi="宋体" w:cs="宋体"/>
                      <w:color w:val="auto"/>
                      <w:sz w:val="20"/>
                      <w:highlight w:val="none"/>
                    </w:rPr>
                  </w:pPr>
                </w:p>
              </w:tc>
              <w:tc>
                <w:tcPr>
                  <w:tcW w:w="127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DWDM</w:t>
                  </w:r>
                </w:p>
              </w:tc>
              <w:tc>
                <w:tcPr>
                  <w:tcW w:w="180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VARCHAR2(50)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50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3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56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点位代码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4"/>
                    </w:numPr>
                    <w:jc w:val="center"/>
                    <w:rPr>
                      <w:rFonts w:ascii="宋体" w:hAnsi="宋体" w:cs="宋体"/>
                      <w:color w:val="auto"/>
                      <w:sz w:val="20"/>
                      <w:highlight w:val="none"/>
                    </w:rPr>
                  </w:pPr>
                </w:p>
              </w:tc>
              <w:tc>
                <w:tcPr>
                  <w:tcW w:w="127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GKDWBM</w:t>
                  </w:r>
                </w:p>
              </w:tc>
              <w:tc>
                <w:tcPr>
                  <w:tcW w:w="180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VARCHAR2(50)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50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3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56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国控点位编码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4"/>
                    </w:numPr>
                    <w:jc w:val="center"/>
                    <w:rPr>
                      <w:rFonts w:ascii="宋体" w:hAnsi="宋体" w:cs="宋体"/>
                      <w:color w:val="auto"/>
                      <w:sz w:val="20"/>
                      <w:highlight w:val="none"/>
                    </w:rPr>
                  </w:pPr>
                </w:p>
              </w:tc>
              <w:tc>
                <w:tcPr>
                  <w:tcW w:w="127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SKDWBM</w:t>
                  </w:r>
                </w:p>
              </w:tc>
              <w:tc>
                <w:tcPr>
                  <w:tcW w:w="180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VARCHAR2(50)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50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3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56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省控点位编码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4"/>
                    </w:numPr>
                    <w:jc w:val="center"/>
                    <w:rPr>
                      <w:rFonts w:ascii="宋体" w:hAnsi="宋体" w:cs="宋体"/>
                      <w:color w:val="auto"/>
                      <w:sz w:val="20"/>
                      <w:highlight w:val="none"/>
                    </w:rPr>
                  </w:pPr>
                </w:p>
              </w:tc>
              <w:tc>
                <w:tcPr>
                  <w:tcW w:w="127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SSKDWBM</w:t>
                  </w:r>
                </w:p>
              </w:tc>
              <w:tc>
                <w:tcPr>
                  <w:tcW w:w="180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VARCHAR2(50)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50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3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56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市控点位编码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4"/>
                    </w:numPr>
                    <w:jc w:val="center"/>
                    <w:rPr>
                      <w:rFonts w:ascii="宋体" w:hAnsi="宋体" w:cs="宋体"/>
                      <w:color w:val="auto"/>
                      <w:sz w:val="20"/>
                      <w:highlight w:val="none"/>
                    </w:rPr>
                  </w:pPr>
                </w:p>
              </w:tc>
              <w:tc>
                <w:tcPr>
                  <w:tcW w:w="127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SSXZQ</w:t>
                  </w:r>
                </w:p>
              </w:tc>
              <w:tc>
                <w:tcPr>
                  <w:tcW w:w="180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VARCHAR2(200)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200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3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56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所属行政区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4"/>
                    </w:numPr>
                    <w:jc w:val="center"/>
                    <w:rPr>
                      <w:rFonts w:ascii="宋体" w:hAnsi="宋体" w:cs="宋体"/>
                      <w:color w:val="auto"/>
                      <w:sz w:val="20"/>
                      <w:highlight w:val="none"/>
                    </w:rPr>
                  </w:pPr>
                </w:p>
              </w:tc>
              <w:tc>
                <w:tcPr>
                  <w:tcW w:w="127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XZQDM</w:t>
                  </w:r>
                </w:p>
              </w:tc>
              <w:tc>
                <w:tcPr>
                  <w:tcW w:w="180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VARCHAR2(50)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50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3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56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行政区代码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4"/>
                    </w:numPr>
                    <w:jc w:val="center"/>
                    <w:rPr>
                      <w:rFonts w:ascii="宋体" w:hAnsi="宋体" w:cs="宋体"/>
                      <w:color w:val="auto"/>
                      <w:sz w:val="20"/>
                      <w:highlight w:val="none"/>
                    </w:rPr>
                  </w:pPr>
                </w:p>
              </w:tc>
              <w:tc>
                <w:tcPr>
                  <w:tcW w:w="127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PJKJLX</w:t>
                  </w:r>
                </w:p>
              </w:tc>
              <w:tc>
                <w:tcPr>
                  <w:tcW w:w="180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VARCHAR2(50)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50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3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256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评价空间类型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4"/>
                    </w:numPr>
                    <w:jc w:val="center"/>
                    <w:rPr>
                      <w:rFonts w:ascii="宋体" w:hAnsi="宋体" w:cs="宋体"/>
                      <w:color w:val="auto"/>
                      <w:sz w:val="20"/>
                      <w:highlight w:val="none"/>
                    </w:rPr>
                  </w:pPr>
                </w:p>
              </w:tc>
              <w:tc>
                <w:tcPr>
                  <w:tcW w:w="127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PJSJLX</w:t>
                  </w:r>
                </w:p>
              </w:tc>
              <w:tc>
                <w:tcPr>
                  <w:tcW w:w="180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VARCHAR2(50)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50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3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256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评价时间类型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4"/>
                    </w:numPr>
                    <w:jc w:val="center"/>
                    <w:rPr>
                      <w:rFonts w:ascii="宋体" w:hAnsi="宋体" w:cs="宋体"/>
                      <w:color w:val="auto"/>
                      <w:sz w:val="20"/>
                      <w:highlight w:val="none"/>
                    </w:rPr>
                  </w:pPr>
                </w:p>
              </w:tc>
              <w:tc>
                <w:tcPr>
                  <w:tcW w:w="127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CYKSSJ</w:t>
                  </w:r>
                </w:p>
              </w:tc>
              <w:tc>
                <w:tcPr>
                  <w:tcW w:w="180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DATE</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3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56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采样开始时间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4"/>
                    </w:numPr>
                    <w:jc w:val="center"/>
                    <w:rPr>
                      <w:rFonts w:ascii="宋体" w:hAnsi="宋体" w:cs="宋体"/>
                      <w:color w:val="auto"/>
                      <w:sz w:val="20"/>
                      <w:highlight w:val="none"/>
                    </w:rPr>
                  </w:pPr>
                </w:p>
              </w:tc>
              <w:tc>
                <w:tcPr>
                  <w:tcW w:w="127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CYJSSJ</w:t>
                  </w:r>
                </w:p>
              </w:tc>
              <w:tc>
                <w:tcPr>
                  <w:tcW w:w="180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DATE</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3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56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采样结束时间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4"/>
                    </w:numPr>
                    <w:jc w:val="center"/>
                    <w:rPr>
                      <w:rFonts w:ascii="宋体" w:hAnsi="宋体" w:cs="宋体"/>
                      <w:color w:val="auto"/>
                      <w:sz w:val="20"/>
                      <w:highlight w:val="none"/>
                    </w:rPr>
                  </w:pPr>
                </w:p>
              </w:tc>
              <w:tc>
                <w:tcPr>
                  <w:tcW w:w="127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CYNF</w:t>
                  </w:r>
                </w:p>
              </w:tc>
              <w:tc>
                <w:tcPr>
                  <w:tcW w:w="180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VARCHAR2(50)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50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3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256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采样年份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4"/>
                    </w:numPr>
                    <w:jc w:val="center"/>
                    <w:rPr>
                      <w:rFonts w:ascii="宋体" w:hAnsi="宋体" w:cs="宋体"/>
                      <w:color w:val="auto"/>
                      <w:sz w:val="20"/>
                      <w:highlight w:val="none"/>
                    </w:rPr>
                  </w:pPr>
                </w:p>
              </w:tc>
              <w:tc>
                <w:tcPr>
                  <w:tcW w:w="127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CYJD</w:t>
                  </w:r>
                </w:p>
              </w:tc>
              <w:tc>
                <w:tcPr>
                  <w:tcW w:w="180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VARCHAR2(50)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50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3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256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采样季度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4"/>
                    </w:numPr>
                    <w:jc w:val="center"/>
                    <w:rPr>
                      <w:rFonts w:ascii="宋体" w:hAnsi="宋体" w:cs="宋体"/>
                      <w:color w:val="auto"/>
                      <w:sz w:val="20"/>
                      <w:highlight w:val="none"/>
                    </w:rPr>
                  </w:pPr>
                </w:p>
              </w:tc>
              <w:tc>
                <w:tcPr>
                  <w:tcW w:w="127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CYYF</w:t>
                  </w:r>
                </w:p>
              </w:tc>
              <w:tc>
                <w:tcPr>
                  <w:tcW w:w="180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VARCHAR2(50)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50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3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256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采样月份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4"/>
                    </w:numPr>
                    <w:jc w:val="center"/>
                    <w:rPr>
                      <w:rFonts w:ascii="宋体" w:hAnsi="宋体" w:cs="宋体"/>
                      <w:color w:val="auto"/>
                      <w:sz w:val="20"/>
                      <w:highlight w:val="none"/>
                    </w:rPr>
                  </w:pPr>
                </w:p>
              </w:tc>
              <w:tc>
                <w:tcPr>
                  <w:tcW w:w="127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SQDM</w:t>
                  </w:r>
                </w:p>
              </w:tc>
              <w:tc>
                <w:tcPr>
                  <w:tcW w:w="180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VARCHAR2(20)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20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3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56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水期代码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4"/>
                    </w:numPr>
                    <w:jc w:val="center"/>
                    <w:rPr>
                      <w:rFonts w:ascii="宋体" w:hAnsi="宋体" w:cs="宋体"/>
                      <w:color w:val="auto"/>
                      <w:sz w:val="20"/>
                      <w:highlight w:val="none"/>
                    </w:rPr>
                  </w:pPr>
                </w:p>
              </w:tc>
              <w:tc>
                <w:tcPr>
                  <w:tcW w:w="127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CYCC</w:t>
                  </w:r>
                </w:p>
              </w:tc>
              <w:tc>
                <w:tcPr>
                  <w:tcW w:w="180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VARCHAR2(20)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20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3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56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采样层次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4"/>
                    </w:numPr>
                    <w:jc w:val="center"/>
                    <w:rPr>
                      <w:rFonts w:ascii="宋体" w:hAnsi="宋体" w:cs="宋体"/>
                      <w:color w:val="auto"/>
                      <w:sz w:val="20"/>
                      <w:highlight w:val="none"/>
                    </w:rPr>
                  </w:pPr>
                </w:p>
              </w:tc>
              <w:tc>
                <w:tcPr>
                  <w:tcW w:w="127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CYSD</w:t>
                  </w:r>
                </w:p>
              </w:tc>
              <w:tc>
                <w:tcPr>
                  <w:tcW w:w="180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NUMBER</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3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56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采样深度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4"/>
                    </w:numPr>
                    <w:jc w:val="center"/>
                    <w:rPr>
                      <w:rFonts w:ascii="宋体" w:hAnsi="宋体" w:cs="宋体"/>
                      <w:color w:val="auto"/>
                      <w:sz w:val="20"/>
                      <w:highlight w:val="none"/>
                    </w:rPr>
                  </w:pPr>
                </w:p>
              </w:tc>
              <w:tc>
                <w:tcPr>
                  <w:tcW w:w="127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SS</w:t>
                  </w:r>
                </w:p>
              </w:tc>
              <w:tc>
                <w:tcPr>
                  <w:tcW w:w="180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NUMBER</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3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56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水深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4"/>
                    </w:numPr>
                    <w:jc w:val="center"/>
                    <w:rPr>
                      <w:rFonts w:ascii="宋体" w:hAnsi="宋体" w:cs="宋体"/>
                      <w:color w:val="auto"/>
                      <w:sz w:val="20"/>
                      <w:highlight w:val="none"/>
                    </w:rPr>
                  </w:pPr>
                </w:p>
              </w:tc>
              <w:tc>
                <w:tcPr>
                  <w:tcW w:w="127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PFWZMS</w:t>
                  </w:r>
                </w:p>
              </w:tc>
              <w:tc>
                <w:tcPr>
                  <w:tcW w:w="180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VARCHAR2(400)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400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3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56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漂浮物质描述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4"/>
                    </w:numPr>
                    <w:jc w:val="center"/>
                    <w:rPr>
                      <w:rFonts w:ascii="宋体" w:hAnsi="宋体" w:cs="宋体"/>
                      <w:color w:val="auto"/>
                      <w:sz w:val="20"/>
                      <w:highlight w:val="none"/>
                    </w:rPr>
                  </w:pPr>
                </w:p>
              </w:tc>
              <w:tc>
                <w:tcPr>
                  <w:tcW w:w="127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SXWMS</w:t>
                  </w:r>
                </w:p>
              </w:tc>
              <w:tc>
                <w:tcPr>
                  <w:tcW w:w="180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VARCHAR2(400)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400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3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56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色嗅味描述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4"/>
                    </w:numPr>
                    <w:jc w:val="center"/>
                    <w:rPr>
                      <w:rFonts w:ascii="宋体" w:hAnsi="宋体" w:cs="宋体"/>
                      <w:color w:val="auto"/>
                      <w:sz w:val="20"/>
                      <w:highlight w:val="none"/>
                    </w:rPr>
                  </w:pPr>
                </w:p>
              </w:tc>
              <w:tc>
                <w:tcPr>
                  <w:tcW w:w="127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XCZK</w:t>
                  </w:r>
                </w:p>
              </w:tc>
              <w:tc>
                <w:tcPr>
                  <w:tcW w:w="180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VARCHAR2(400)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400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3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56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现场状况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4"/>
                    </w:numPr>
                    <w:jc w:val="center"/>
                    <w:rPr>
                      <w:rFonts w:ascii="宋体" w:hAnsi="宋体" w:cs="宋体"/>
                      <w:color w:val="auto"/>
                      <w:sz w:val="20"/>
                      <w:highlight w:val="none"/>
                    </w:rPr>
                  </w:pPr>
                </w:p>
              </w:tc>
              <w:tc>
                <w:tcPr>
                  <w:tcW w:w="127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WSBSJYY</w:t>
                  </w:r>
                </w:p>
              </w:tc>
              <w:tc>
                <w:tcPr>
                  <w:tcW w:w="180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VARCHAR2(2000)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2000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3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56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未上报数据原因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4"/>
                    </w:numPr>
                    <w:jc w:val="center"/>
                    <w:rPr>
                      <w:rFonts w:ascii="宋体" w:hAnsi="宋体" w:cs="宋体"/>
                      <w:color w:val="auto"/>
                      <w:sz w:val="20"/>
                      <w:highlight w:val="none"/>
                    </w:rPr>
                  </w:pPr>
                </w:p>
              </w:tc>
              <w:tc>
                <w:tcPr>
                  <w:tcW w:w="127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BZ</w:t>
                  </w:r>
                </w:p>
              </w:tc>
              <w:tc>
                <w:tcPr>
                  <w:tcW w:w="180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VARCHAR2(2000)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2000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3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56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4"/>
                    </w:numPr>
                    <w:jc w:val="center"/>
                    <w:rPr>
                      <w:rFonts w:ascii="宋体" w:hAnsi="宋体" w:cs="宋体"/>
                      <w:color w:val="auto"/>
                      <w:sz w:val="20"/>
                      <w:highlight w:val="none"/>
                    </w:rPr>
                  </w:pPr>
                </w:p>
              </w:tc>
              <w:tc>
                <w:tcPr>
                  <w:tcW w:w="127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ZXBZBH</w:t>
                  </w:r>
                </w:p>
              </w:tc>
              <w:tc>
                <w:tcPr>
                  <w:tcW w:w="180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VARCHAR2(50)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50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3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56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执行标准编号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4"/>
                    </w:numPr>
                    <w:jc w:val="center"/>
                    <w:rPr>
                      <w:rFonts w:ascii="宋体" w:hAnsi="宋体" w:cs="宋体"/>
                      <w:color w:val="auto"/>
                      <w:sz w:val="20"/>
                      <w:highlight w:val="none"/>
                    </w:rPr>
                  </w:pPr>
                </w:p>
              </w:tc>
              <w:tc>
                <w:tcPr>
                  <w:tcW w:w="127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ZXBZMC</w:t>
                  </w:r>
                </w:p>
              </w:tc>
              <w:tc>
                <w:tcPr>
                  <w:tcW w:w="180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VARCHAR2(200)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200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3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56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执行标准名称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4"/>
                    </w:numPr>
                    <w:jc w:val="center"/>
                    <w:rPr>
                      <w:rFonts w:ascii="宋体" w:hAnsi="宋体" w:cs="宋体"/>
                      <w:color w:val="auto"/>
                      <w:sz w:val="20"/>
                      <w:highlight w:val="none"/>
                    </w:rPr>
                  </w:pPr>
                </w:p>
              </w:tc>
              <w:tc>
                <w:tcPr>
                  <w:tcW w:w="127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SFCB</w:t>
                  </w:r>
                </w:p>
              </w:tc>
              <w:tc>
                <w:tcPr>
                  <w:tcW w:w="180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CHAR(1)</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1</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3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56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是否超标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4"/>
                    </w:numPr>
                    <w:jc w:val="center"/>
                    <w:rPr>
                      <w:rFonts w:ascii="宋体" w:hAnsi="宋体" w:cs="宋体"/>
                      <w:color w:val="auto"/>
                      <w:sz w:val="20"/>
                      <w:highlight w:val="none"/>
                    </w:rPr>
                  </w:pPr>
                </w:p>
              </w:tc>
              <w:tc>
                <w:tcPr>
                  <w:tcW w:w="127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CBXM</w:t>
                  </w:r>
                </w:p>
              </w:tc>
              <w:tc>
                <w:tcPr>
                  <w:tcW w:w="180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VARCHAR2(1000)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1000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3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56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超标项目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4"/>
                    </w:numPr>
                    <w:jc w:val="center"/>
                    <w:rPr>
                      <w:rFonts w:ascii="宋体" w:hAnsi="宋体" w:cs="宋体"/>
                      <w:color w:val="auto"/>
                      <w:sz w:val="20"/>
                      <w:highlight w:val="none"/>
                    </w:rPr>
                  </w:pPr>
                </w:p>
              </w:tc>
              <w:tc>
                <w:tcPr>
                  <w:tcW w:w="127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XZLBBS</w:t>
                  </w:r>
                </w:p>
              </w:tc>
              <w:tc>
                <w:tcPr>
                  <w:tcW w:w="180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NUMBER</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3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56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水质类别标识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4"/>
                    </w:numPr>
                    <w:jc w:val="center"/>
                    <w:rPr>
                      <w:rFonts w:ascii="宋体" w:hAnsi="宋体" w:cs="宋体"/>
                      <w:color w:val="auto"/>
                      <w:sz w:val="20"/>
                      <w:highlight w:val="none"/>
                    </w:rPr>
                  </w:pPr>
                </w:p>
              </w:tc>
              <w:tc>
                <w:tcPr>
                  <w:tcW w:w="127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SZLB</w:t>
                  </w:r>
                </w:p>
              </w:tc>
              <w:tc>
                <w:tcPr>
                  <w:tcW w:w="180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VARCHAR2(50)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50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3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56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水质类别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4"/>
                    </w:numPr>
                    <w:jc w:val="center"/>
                    <w:rPr>
                      <w:rFonts w:ascii="宋体" w:hAnsi="宋体" w:cs="宋体"/>
                      <w:color w:val="auto"/>
                      <w:sz w:val="20"/>
                      <w:highlight w:val="none"/>
                    </w:rPr>
                  </w:pPr>
                </w:p>
              </w:tc>
              <w:tc>
                <w:tcPr>
                  <w:tcW w:w="127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SZZK</w:t>
                  </w:r>
                </w:p>
              </w:tc>
              <w:tc>
                <w:tcPr>
                  <w:tcW w:w="180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VARCHAR2(50)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50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3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56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水质状况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4"/>
                    </w:numPr>
                    <w:jc w:val="center"/>
                    <w:rPr>
                      <w:rFonts w:ascii="宋体" w:hAnsi="宋体" w:cs="宋体"/>
                      <w:color w:val="auto"/>
                      <w:sz w:val="20"/>
                      <w:highlight w:val="none"/>
                    </w:rPr>
                  </w:pPr>
                </w:p>
              </w:tc>
              <w:tc>
                <w:tcPr>
                  <w:tcW w:w="127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CBWRWJCBBS</w:t>
                  </w:r>
                </w:p>
              </w:tc>
              <w:tc>
                <w:tcPr>
                  <w:tcW w:w="180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VARCHAR2(2000)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2000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3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56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超标污染物及超标倍数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4"/>
                    </w:numPr>
                    <w:jc w:val="center"/>
                    <w:rPr>
                      <w:rFonts w:ascii="宋体" w:hAnsi="宋体" w:cs="宋体"/>
                      <w:color w:val="auto"/>
                      <w:sz w:val="20"/>
                      <w:highlight w:val="none"/>
                    </w:rPr>
                  </w:pPr>
                </w:p>
              </w:tc>
              <w:tc>
                <w:tcPr>
                  <w:tcW w:w="127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FYYHZS</w:t>
                  </w:r>
                </w:p>
              </w:tc>
              <w:tc>
                <w:tcPr>
                  <w:tcW w:w="180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NUMBER</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3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56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富营养化指数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4"/>
                    </w:numPr>
                    <w:jc w:val="center"/>
                    <w:rPr>
                      <w:rFonts w:ascii="宋体" w:hAnsi="宋体" w:cs="宋体"/>
                      <w:color w:val="auto"/>
                      <w:sz w:val="20"/>
                      <w:highlight w:val="none"/>
                    </w:rPr>
                  </w:pPr>
                </w:p>
              </w:tc>
              <w:tc>
                <w:tcPr>
                  <w:tcW w:w="127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SZDJ</w:t>
                  </w:r>
                </w:p>
              </w:tc>
              <w:tc>
                <w:tcPr>
                  <w:tcW w:w="180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VARCHAR2(50)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50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3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56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水质等级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4"/>
                    </w:numPr>
                    <w:jc w:val="center"/>
                    <w:rPr>
                      <w:rFonts w:ascii="宋体" w:hAnsi="宋体" w:cs="宋体"/>
                      <w:color w:val="auto"/>
                      <w:sz w:val="20"/>
                      <w:highlight w:val="none"/>
                    </w:rPr>
                  </w:pPr>
                </w:p>
              </w:tc>
              <w:tc>
                <w:tcPr>
                  <w:tcW w:w="127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CJR</w:t>
                  </w:r>
                </w:p>
              </w:tc>
              <w:tc>
                <w:tcPr>
                  <w:tcW w:w="180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VARCHAR2(50)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50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3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56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创建人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4"/>
                    </w:numPr>
                    <w:jc w:val="center"/>
                    <w:rPr>
                      <w:rFonts w:ascii="宋体" w:hAnsi="宋体" w:cs="宋体"/>
                      <w:color w:val="auto"/>
                      <w:sz w:val="20"/>
                      <w:highlight w:val="none"/>
                    </w:rPr>
                  </w:pPr>
                </w:p>
              </w:tc>
              <w:tc>
                <w:tcPr>
                  <w:tcW w:w="127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CJSJ</w:t>
                  </w:r>
                </w:p>
              </w:tc>
              <w:tc>
                <w:tcPr>
                  <w:tcW w:w="180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DATE</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3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56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创建时间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4"/>
                    </w:numPr>
                    <w:jc w:val="center"/>
                    <w:rPr>
                      <w:rFonts w:ascii="宋体" w:hAnsi="宋体" w:cs="宋体"/>
                      <w:color w:val="auto"/>
                      <w:sz w:val="20"/>
                      <w:highlight w:val="none"/>
                    </w:rPr>
                  </w:pPr>
                </w:p>
              </w:tc>
              <w:tc>
                <w:tcPr>
                  <w:tcW w:w="127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XGR</w:t>
                  </w:r>
                </w:p>
              </w:tc>
              <w:tc>
                <w:tcPr>
                  <w:tcW w:w="180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VARCHAR2(50)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50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3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56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修改人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4"/>
                    </w:numPr>
                    <w:jc w:val="center"/>
                    <w:rPr>
                      <w:rFonts w:ascii="宋体" w:hAnsi="宋体" w:cs="宋体"/>
                      <w:color w:val="auto"/>
                      <w:sz w:val="20"/>
                      <w:highlight w:val="none"/>
                    </w:rPr>
                  </w:pPr>
                </w:p>
              </w:tc>
              <w:tc>
                <w:tcPr>
                  <w:tcW w:w="127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XGSJ</w:t>
                  </w:r>
                </w:p>
              </w:tc>
              <w:tc>
                <w:tcPr>
                  <w:tcW w:w="180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DATE</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3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56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修改时间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4"/>
                    </w:numPr>
                    <w:jc w:val="center"/>
                    <w:rPr>
                      <w:rFonts w:ascii="宋体" w:hAnsi="宋体" w:cs="宋体"/>
                      <w:color w:val="auto"/>
                      <w:sz w:val="20"/>
                      <w:highlight w:val="none"/>
                    </w:rPr>
                  </w:pPr>
                </w:p>
              </w:tc>
              <w:tc>
                <w:tcPr>
                  <w:tcW w:w="127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ORGID</w:t>
                  </w:r>
                </w:p>
              </w:tc>
              <w:tc>
                <w:tcPr>
                  <w:tcW w:w="180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VARCHAR2(50)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50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3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56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组织机构代码</w:t>
                  </w:r>
                </w:p>
              </w:tc>
            </w:tr>
          </w:tbl>
          <w:p>
            <w:pPr>
              <w:widowControl/>
              <w:snapToGrid w:val="0"/>
              <w:spacing w:line="600" w:lineRule="exact"/>
              <w:ind w:firstLine="420" w:firstLineChars="200"/>
              <w:rPr>
                <w:rFonts w:ascii="宋体" w:hAnsi="宋体" w:cs="宋体"/>
                <w:color w:val="auto"/>
                <w:szCs w:val="28"/>
                <w:highlight w:val="none"/>
              </w:rPr>
            </w:pPr>
            <w:r>
              <w:rPr>
                <w:rFonts w:hint="eastAsia" w:ascii="宋体" w:hAnsi="宋体" w:cs="宋体"/>
                <w:color w:val="auto"/>
                <w:szCs w:val="28"/>
                <w:highlight w:val="none"/>
              </w:rPr>
              <w:t>2、海洋水环境监测点位信息（T_JCSJZX_HYS_JCD ）</w:t>
            </w:r>
          </w:p>
          <w:tbl>
            <w:tblPr>
              <w:tblStyle w:val="58"/>
              <w:tblW w:w="964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0"/>
              <w:gridCol w:w="1239"/>
              <w:gridCol w:w="1690"/>
              <w:gridCol w:w="714"/>
              <w:gridCol w:w="945"/>
              <w:gridCol w:w="712"/>
              <w:gridCol w:w="946"/>
              <w:gridCol w:w="269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color w:val="auto"/>
                      <w:sz w:val="20"/>
                      <w:highlight w:val="none"/>
                    </w:rPr>
                  </w:pPr>
                  <w:r>
                    <w:rPr>
                      <w:rFonts w:hint="eastAsia" w:ascii="宋体" w:hAnsi="宋体" w:cs="宋体"/>
                      <w:color w:val="auto"/>
                      <w:sz w:val="20"/>
                      <w:highlight w:val="none"/>
                    </w:rPr>
                    <w:t>序号</w:t>
                  </w:r>
                </w:p>
              </w:tc>
              <w:tc>
                <w:tcPr>
                  <w:tcW w:w="123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color w:val="auto"/>
                      <w:sz w:val="20"/>
                      <w:highlight w:val="none"/>
                    </w:rPr>
                  </w:pPr>
                  <w:r>
                    <w:rPr>
                      <w:rFonts w:hint="eastAsia" w:ascii="宋体" w:hAnsi="宋体"/>
                      <w:color w:val="auto"/>
                      <w:sz w:val="20"/>
                      <w:highlight w:val="none"/>
                    </w:rPr>
                    <w:t>字段名</w:t>
                  </w:r>
                </w:p>
              </w:tc>
              <w:tc>
                <w:tcPr>
                  <w:tcW w:w="169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数据类型</w:t>
                  </w:r>
                </w:p>
              </w:tc>
              <w:tc>
                <w:tcPr>
                  <w:tcW w:w="714"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color w:val="auto"/>
                      <w:sz w:val="20"/>
                      <w:highlight w:val="none"/>
                    </w:rPr>
                  </w:pPr>
                  <w:r>
                    <w:rPr>
                      <w:rFonts w:hint="eastAsia" w:ascii="宋体" w:hAnsi="宋体"/>
                      <w:color w:val="auto"/>
                      <w:sz w:val="20"/>
                      <w:highlight w:val="none"/>
                    </w:rPr>
                    <w:t>长度</w:t>
                  </w:r>
                </w:p>
              </w:tc>
              <w:tc>
                <w:tcPr>
                  <w:tcW w:w="94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color w:val="auto"/>
                      <w:sz w:val="20"/>
                      <w:highlight w:val="none"/>
                    </w:rPr>
                  </w:pPr>
                  <w:r>
                    <w:rPr>
                      <w:rFonts w:hint="eastAsia" w:ascii="宋体" w:hAnsi="宋体"/>
                      <w:color w:val="auto"/>
                      <w:sz w:val="20"/>
                      <w:highlight w:val="none"/>
                    </w:rPr>
                    <w:t>小数位</w:t>
                  </w:r>
                </w:p>
              </w:tc>
              <w:tc>
                <w:tcPr>
                  <w:tcW w:w="71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color w:val="auto"/>
                      <w:sz w:val="20"/>
                      <w:highlight w:val="none"/>
                    </w:rPr>
                  </w:pPr>
                  <w:r>
                    <w:rPr>
                      <w:rFonts w:hint="eastAsia" w:ascii="宋体" w:hAnsi="宋体"/>
                      <w:color w:val="auto"/>
                      <w:sz w:val="20"/>
                      <w:highlight w:val="none"/>
                    </w:rPr>
                    <w:t>主键</w:t>
                  </w:r>
                </w:p>
              </w:tc>
              <w:tc>
                <w:tcPr>
                  <w:tcW w:w="94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color w:val="auto"/>
                      <w:sz w:val="20"/>
                      <w:highlight w:val="none"/>
                    </w:rPr>
                  </w:pPr>
                  <w:r>
                    <w:rPr>
                      <w:rFonts w:hint="eastAsia" w:ascii="宋体" w:hAnsi="宋体"/>
                      <w:color w:val="auto"/>
                      <w:sz w:val="20"/>
                      <w:highlight w:val="none"/>
                    </w:rPr>
                    <w:t>允许空</w:t>
                  </w:r>
                </w:p>
              </w:tc>
              <w:tc>
                <w:tcPr>
                  <w:tcW w:w="26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color w:val="auto"/>
                      <w:sz w:val="20"/>
                      <w:highlight w:val="none"/>
                    </w:rPr>
                  </w:pPr>
                  <w:r>
                    <w:rPr>
                      <w:rFonts w:hint="eastAsia" w:ascii="宋体" w:hAnsi="宋体"/>
                      <w:color w:val="auto"/>
                      <w:sz w:val="20"/>
                      <w:highlight w:val="none"/>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5"/>
                    </w:numPr>
                    <w:jc w:val="center"/>
                    <w:rPr>
                      <w:rFonts w:ascii="宋体" w:hAnsi="宋体" w:cs="宋体"/>
                      <w:color w:val="auto"/>
                      <w:sz w:val="20"/>
                      <w:highlight w:val="none"/>
                    </w:rPr>
                  </w:pPr>
                </w:p>
              </w:tc>
              <w:tc>
                <w:tcPr>
                  <w:tcW w:w="123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CDBH</w:t>
                  </w:r>
                </w:p>
              </w:tc>
              <w:tc>
                <w:tcPr>
                  <w:tcW w:w="169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VARCHAR2(50)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50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269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测点编号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5"/>
                    </w:numPr>
                    <w:jc w:val="center"/>
                    <w:rPr>
                      <w:rFonts w:ascii="宋体" w:hAnsi="宋体" w:cs="宋体"/>
                      <w:color w:val="auto"/>
                      <w:sz w:val="20"/>
                      <w:highlight w:val="none"/>
                    </w:rPr>
                  </w:pPr>
                </w:p>
              </w:tc>
              <w:tc>
                <w:tcPr>
                  <w:tcW w:w="123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CDMC</w:t>
                  </w:r>
                </w:p>
              </w:tc>
              <w:tc>
                <w:tcPr>
                  <w:tcW w:w="169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VARCHAR2(100)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100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69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测点名称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5"/>
                    </w:numPr>
                    <w:jc w:val="center"/>
                    <w:rPr>
                      <w:rFonts w:ascii="宋体" w:hAnsi="宋体" w:cs="宋体"/>
                      <w:color w:val="auto"/>
                      <w:sz w:val="20"/>
                      <w:highlight w:val="none"/>
                    </w:rPr>
                  </w:pPr>
                </w:p>
              </w:tc>
              <w:tc>
                <w:tcPr>
                  <w:tcW w:w="123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DWDM</w:t>
                  </w:r>
                </w:p>
              </w:tc>
              <w:tc>
                <w:tcPr>
                  <w:tcW w:w="169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VARCHAR2(50)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50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69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点位代码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5"/>
                    </w:numPr>
                    <w:jc w:val="center"/>
                    <w:rPr>
                      <w:rFonts w:ascii="宋体" w:hAnsi="宋体" w:cs="宋体"/>
                      <w:color w:val="auto"/>
                      <w:sz w:val="20"/>
                      <w:highlight w:val="none"/>
                    </w:rPr>
                  </w:pPr>
                </w:p>
              </w:tc>
              <w:tc>
                <w:tcPr>
                  <w:tcW w:w="123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GKDWBM</w:t>
                  </w:r>
                </w:p>
              </w:tc>
              <w:tc>
                <w:tcPr>
                  <w:tcW w:w="169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VARCHAR2(50)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50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69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国控点位编码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5"/>
                    </w:numPr>
                    <w:jc w:val="center"/>
                    <w:rPr>
                      <w:rFonts w:ascii="宋体" w:hAnsi="宋体" w:cs="宋体"/>
                      <w:color w:val="auto"/>
                      <w:sz w:val="20"/>
                      <w:highlight w:val="none"/>
                    </w:rPr>
                  </w:pPr>
                </w:p>
              </w:tc>
              <w:tc>
                <w:tcPr>
                  <w:tcW w:w="123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SKDWBM</w:t>
                  </w:r>
                </w:p>
              </w:tc>
              <w:tc>
                <w:tcPr>
                  <w:tcW w:w="169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VARCHAR2(50)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50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69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省控点位编码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5"/>
                    </w:numPr>
                    <w:jc w:val="center"/>
                    <w:rPr>
                      <w:rFonts w:ascii="宋体" w:hAnsi="宋体" w:cs="宋体"/>
                      <w:color w:val="auto"/>
                      <w:sz w:val="20"/>
                      <w:highlight w:val="none"/>
                    </w:rPr>
                  </w:pPr>
                </w:p>
              </w:tc>
              <w:tc>
                <w:tcPr>
                  <w:tcW w:w="123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SSKDWBM</w:t>
                  </w:r>
                </w:p>
              </w:tc>
              <w:tc>
                <w:tcPr>
                  <w:tcW w:w="169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VARCHAR2(50)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50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69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市控点位编码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5"/>
                    </w:numPr>
                    <w:jc w:val="center"/>
                    <w:rPr>
                      <w:rFonts w:ascii="宋体" w:hAnsi="宋体" w:cs="宋体"/>
                      <w:color w:val="auto"/>
                      <w:sz w:val="20"/>
                      <w:highlight w:val="none"/>
                    </w:rPr>
                  </w:pPr>
                </w:p>
              </w:tc>
              <w:tc>
                <w:tcPr>
                  <w:tcW w:w="123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SSHY</w:t>
                  </w:r>
                </w:p>
              </w:tc>
              <w:tc>
                <w:tcPr>
                  <w:tcW w:w="169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VARCHAR2(200)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200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69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所属海域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5"/>
                    </w:numPr>
                    <w:jc w:val="center"/>
                    <w:rPr>
                      <w:rFonts w:ascii="宋体" w:hAnsi="宋体" w:cs="宋体"/>
                      <w:color w:val="auto"/>
                      <w:sz w:val="20"/>
                      <w:highlight w:val="none"/>
                    </w:rPr>
                  </w:pPr>
                </w:p>
              </w:tc>
              <w:tc>
                <w:tcPr>
                  <w:tcW w:w="123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HYDM</w:t>
                  </w:r>
                </w:p>
              </w:tc>
              <w:tc>
                <w:tcPr>
                  <w:tcW w:w="169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VARCHAR2(50)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50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69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*海域代码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5"/>
                    </w:numPr>
                    <w:jc w:val="center"/>
                    <w:rPr>
                      <w:rFonts w:ascii="宋体" w:hAnsi="宋体" w:cs="宋体"/>
                      <w:color w:val="auto"/>
                      <w:sz w:val="20"/>
                      <w:highlight w:val="none"/>
                    </w:rPr>
                  </w:pPr>
                </w:p>
              </w:tc>
              <w:tc>
                <w:tcPr>
                  <w:tcW w:w="123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SSXZQ</w:t>
                  </w:r>
                </w:p>
              </w:tc>
              <w:tc>
                <w:tcPr>
                  <w:tcW w:w="169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VARCHAR2(200)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200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69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所属行政区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5"/>
                    </w:numPr>
                    <w:jc w:val="center"/>
                    <w:rPr>
                      <w:rFonts w:ascii="宋体" w:hAnsi="宋体" w:cs="宋体"/>
                      <w:color w:val="auto"/>
                      <w:sz w:val="20"/>
                      <w:highlight w:val="none"/>
                    </w:rPr>
                  </w:pPr>
                </w:p>
              </w:tc>
              <w:tc>
                <w:tcPr>
                  <w:tcW w:w="123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XZQDM</w:t>
                  </w:r>
                </w:p>
              </w:tc>
              <w:tc>
                <w:tcPr>
                  <w:tcW w:w="169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VARCHAR2(50)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50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69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行政区代码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5"/>
                    </w:numPr>
                    <w:jc w:val="center"/>
                    <w:rPr>
                      <w:rFonts w:ascii="宋体" w:hAnsi="宋体" w:cs="宋体"/>
                      <w:color w:val="auto"/>
                      <w:sz w:val="20"/>
                      <w:highlight w:val="none"/>
                    </w:rPr>
                  </w:pPr>
                </w:p>
              </w:tc>
              <w:tc>
                <w:tcPr>
                  <w:tcW w:w="123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KZSX</w:t>
                  </w:r>
                </w:p>
              </w:tc>
              <w:tc>
                <w:tcPr>
                  <w:tcW w:w="169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VARCHAR2(20)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20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69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控制属性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5"/>
                    </w:numPr>
                    <w:jc w:val="center"/>
                    <w:rPr>
                      <w:rFonts w:ascii="宋体" w:hAnsi="宋体" w:cs="宋体"/>
                      <w:color w:val="auto"/>
                      <w:sz w:val="20"/>
                      <w:highlight w:val="none"/>
                    </w:rPr>
                  </w:pPr>
                </w:p>
              </w:tc>
              <w:tc>
                <w:tcPr>
                  <w:tcW w:w="123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CDLX</w:t>
                  </w:r>
                </w:p>
              </w:tc>
              <w:tc>
                <w:tcPr>
                  <w:tcW w:w="169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VARCHAR2(50)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50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69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测点类型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5"/>
                    </w:numPr>
                    <w:jc w:val="center"/>
                    <w:rPr>
                      <w:rFonts w:ascii="宋体" w:hAnsi="宋体" w:cs="宋体"/>
                      <w:color w:val="auto"/>
                      <w:sz w:val="20"/>
                      <w:highlight w:val="none"/>
                    </w:rPr>
                  </w:pPr>
                </w:p>
              </w:tc>
              <w:tc>
                <w:tcPr>
                  <w:tcW w:w="123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GNQDM</w:t>
                  </w:r>
                </w:p>
              </w:tc>
              <w:tc>
                <w:tcPr>
                  <w:tcW w:w="169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VARCHAR2(50)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50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69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所属功能区代码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5"/>
                    </w:numPr>
                    <w:jc w:val="center"/>
                    <w:rPr>
                      <w:rFonts w:ascii="宋体" w:hAnsi="宋体" w:cs="宋体"/>
                      <w:color w:val="auto"/>
                      <w:sz w:val="20"/>
                      <w:highlight w:val="none"/>
                    </w:rPr>
                  </w:pPr>
                </w:p>
              </w:tc>
              <w:tc>
                <w:tcPr>
                  <w:tcW w:w="123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GNQMC</w:t>
                  </w:r>
                </w:p>
              </w:tc>
              <w:tc>
                <w:tcPr>
                  <w:tcW w:w="169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VARCHAR2(50)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50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69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所属功能区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5"/>
                    </w:numPr>
                    <w:jc w:val="center"/>
                    <w:rPr>
                      <w:rFonts w:ascii="宋体" w:hAnsi="宋体" w:cs="宋体"/>
                      <w:color w:val="auto"/>
                      <w:sz w:val="20"/>
                      <w:highlight w:val="none"/>
                    </w:rPr>
                  </w:pPr>
                </w:p>
              </w:tc>
              <w:tc>
                <w:tcPr>
                  <w:tcW w:w="123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JD</w:t>
                  </w:r>
                </w:p>
              </w:tc>
              <w:tc>
                <w:tcPr>
                  <w:tcW w:w="169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VARCHAR2(50)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50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69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经度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5"/>
                    </w:numPr>
                    <w:jc w:val="center"/>
                    <w:rPr>
                      <w:rFonts w:ascii="宋体" w:hAnsi="宋体" w:cs="宋体"/>
                      <w:color w:val="auto"/>
                      <w:sz w:val="20"/>
                      <w:highlight w:val="none"/>
                    </w:rPr>
                  </w:pPr>
                </w:p>
              </w:tc>
              <w:tc>
                <w:tcPr>
                  <w:tcW w:w="123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WD</w:t>
                  </w:r>
                </w:p>
              </w:tc>
              <w:tc>
                <w:tcPr>
                  <w:tcW w:w="169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VARCHAR2(50)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50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69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纬度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5"/>
                    </w:numPr>
                    <w:jc w:val="center"/>
                    <w:rPr>
                      <w:rFonts w:ascii="宋体" w:hAnsi="宋体" w:cs="宋体"/>
                      <w:color w:val="auto"/>
                      <w:sz w:val="20"/>
                      <w:highlight w:val="none"/>
                    </w:rPr>
                  </w:pPr>
                </w:p>
              </w:tc>
              <w:tc>
                <w:tcPr>
                  <w:tcW w:w="123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JCNF</w:t>
                  </w:r>
                </w:p>
              </w:tc>
              <w:tc>
                <w:tcPr>
                  <w:tcW w:w="169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VARCHAR2(50)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50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69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监测年份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5"/>
                    </w:numPr>
                    <w:jc w:val="center"/>
                    <w:rPr>
                      <w:rFonts w:ascii="宋体" w:hAnsi="宋体" w:cs="宋体"/>
                      <w:color w:val="auto"/>
                      <w:sz w:val="20"/>
                      <w:highlight w:val="none"/>
                    </w:rPr>
                  </w:pPr>
                </w:p>
              </w:tc>
              <w:tc>
                <w:tcPr>
                  <w:tcW w:w="123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YXQSJS</w:t>
                  </w:r>
                </w:p>
              </w:tc>
              <w:tc>
                <w:tcPr>
                  <w:tcW w:w="169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DATE</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69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测点有效起始时间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5"/>
                    </w:numPr>
                    <w:jc w:val="center"/>
                    <w:rPr>
                      <w:rFonts w:ascii="宋体" w:hAnsi="宋体" w:cs="宋体"/>
                      <w:color w:val="auto"/>
                      <w:sz w:val="20"/>
                      <w:highlight w:val="none"/>
                    </w:rPr>
                  </w:pPr>
                </w:p>
              </w:tc>
              <w:tc>
                <w:tcPr>
                  <w:tcW w:w="123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YXJSSJ</w:t>
                  </w:r>
                </w:p>
              </w:tc>
              <w:tc>
                <w:tcPr>
                  <w:tcW w:w="169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DATE</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69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测点有效结束时间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5"/>
                    </w:numPr>
                    <w:jc w:val="center"/>
                    <w:rPr>
                      <w:rFonts w:ascii="宋体" w:hAnsi="宋体" w:cs="宋体"/>
                      <w:color w:val="auto"/>
                      <w:sz w:val="20"/>
                      <w:highlight w:val="none"/>
                    </w:rPr>
                  </w:pPr>
                </w:p>
              </w:tc>
              <w:tc>
                <w:tcPr>
                  <w:tcW w:w="123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ZXBZBH</w:t>
                  </w:r>
                </w:p>
              </w:tc>
              <w:tc>
                <w:tcPr>
                  <w:tcW w:w="169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VARCHAR2(50)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50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69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执行标准编号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5"/>
                    </w:numPr>
                    <w:jc w:val="center"/>
                    <w:rPr>
                      <w:rFonts w:ascii="宋体" w:hAnsi="宋体" w:cs="宋体"/>
                      <w:color w:val="auto"/>
                      <w:sz w:val="20"/>
                      <w:highlight w:val="none"/>
                    </w:rPr>
                  </w:pPr>
                </w:p>
              </w:tc>
              <w:tc>
                <w:tcPr>
                  <w:tcW w:w="123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ZXBZMC</w:t>
                  </w:r>
                </w:p>
              </w:tc>
              <w:tc>
                <w:tcPr>
                  <w:tcW w:w="169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VARCHAR2(200)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200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69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执行标准名称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5"/>
                    </w:numPr>
                    <w:jc w:val="center"/>
                    <w:rPr>
                      <w:rFonts w:ascii="宋体" w:hAnsi="宋体" w:cs="宋体"/>
                      <w:color w:val="auto"/>
                      <w:sz w:val="20"/>
                      <w:highlight w:val="none"/>
                    </w:rPr>
                  </w:pPr>
                </w:p>
              </w:tc>
              <w:tc>
                <w:tcPr>
                  <w:tcW w:w="123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SFYX</w:t>
                  </w:r>
                </w:p>
              </w:tc>
              <w:tc>
                <w:tcPr>
                  <w:tcW w:w="169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CHAR(1)</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1</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69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是否有效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5"/>
                    </w:numPr>
                    <w:jc w:val="center"/>
                    <w:rPr>
                      <w:rFonts w:ascii="宋体" w:hAnsi="宋体" w:cs="宋体"/>
                      <w:color w:val="auto"/>
                      <w:sz w:val="20"/>
                      <w:highlight w:val="none"/>
                    </w:rPr>
                  </w:pPr>
                </w:p>
              </w:tc>
              <w:tc>
                <w:tcPr>
                  <w:tcW w:w="123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PXH</w:t>
                  </w:r>
                </w:p>
              </w:tc>
              <w:tc>
                <w:tcPr>
                  <w:tcW w:w="169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NUMBER</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69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排序号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5"/>
                    </w:numPr>
                    <w:jc w:val="center"/>
                    <w:rPr>
                      <w:rFonts w:ascii="宋体" w:hAnsi="宋体" w:cs="宋体"/>
                      <w:color w:val="auto"/>
                      <w:sz w:val="20"/>
                      <w:highlight w:val="none"/>
                    </w:rPr>
                  </w:pPr>
                </w:p>
              </w:tc>
              <w:tc>
                <w:tcPr>
                  <w:tcW w:w="123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BZ</w:t>
                  </w:r>
                </w:p>
              </w:tc>
              <w:tc>
                <w:tcPr>
                  <w:tcW w:w="169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VARCHAR2(500)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500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69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5"/>
                    </w:numPr>
                    <w:jc w:val="center"/>
                    <w:rPr>
                      <w:rFonts w:ascii="宋体" w:hAnsi="宋体" w:cs="宋体"/>
                      <w:color w:val="auto"/>
                      <w:sz w:val="20"/>
                      <w:highlight w:val="none"/>
                    </w:rPr>
                  </w:pPr>
                </w:p>
              </w:tc>
              <w:tc>
                <w:tcPr>
                  <w:tcW w:w="123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CJR</w:t>
                  </w:r>
                </w:p>
              </w:tc>
              <w:tc>
                <w:tcPr>
                  <w:tcW w:w="169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VARCHAR2(50)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50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69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创建人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5"/>
                    </w:numPr>
                    <w:jc w:val="center"/>
                    <w:rPr>
                      <w:rFonts w:ascii="宋体" w:hAnsi="宋体" w:cs="宋体"/>
                      <w:color w:val="auto"/>
                      <w:sz w:val="20"/>
                      <w:highlight w:val="none"/>
                    </w:rPr>
                  </w:pPr>
                </w:p>
              </w:tc>
              <w:tc>
                <w:tcPr>
                  <w:tcW w:w="123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CJSJ</w:t>
                  </w:r>
                </w:p>
              </w:tc>
              <w:tc>
                <w:tcPr>
                  <w:tcW w:w="169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DATE</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69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创建时间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5"/>
                    </w:numPr>
                    <w:jc w:val="center"/>
                    <w:rPr>
                      <w:rFonts w:ascii="宋体" w:hAnsi="宋体" w:cs="宋体"/>
                      <w:color w:val="auto"/>
                      <w:sz w:val="20"/>
                      <w:highlight w:val="none"/>
                    </w:rPr>
                  </w:pPr>
                </w:p>
              </w:tc>
              <w:tc>
                <w:tcPr>
                  <w:tcW w:w="123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XGR</w:t>
                  </w:r>
                </w:p>
              </w:tc>
              <w:tc>
                <w:tcPr>
                  <w:tcW w:w="169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VARCHAR2(50)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50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69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修改人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5"/>
                    </w:numPr>
                    <w:jc w:val="center"/>
                    <w:rPr>
                      <w:rFonts w:ascii="宋体" w:hAnsi="宋体" w:cs="宋体"/>
                      <w:color w:val="auto"/>
                      <w:sz w:val="20"/>
                      <w:highlight w:val="none"/>
                    </w:rPr>
                  </w:pPr>
                </w:p>
              </w:tc>
              <w:tc>
                <w:tcPr>
                  <w:tcW w:w="123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XGSJ</w:t>
                  </w:r>
                </w:p>
              </w:tc>
              <w:tc>
                <w:tcPr>
                  <w:tcW w:w="169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DATE</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69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修改时间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5"/>
                    </w:numPr>
                    <w:jc w:val="center"/>
                    <w:rPr>
                      <w:rFonts w:ascii="宋体" w:hAnsi="宋体" w:cs="宋体"/>
                      <w:color w:val="auto"/>
                      <w:sz w:val="20"/>
                      <w:highlight w:val="none"/>
                    </w:rPr>
                  </w:pPr>
                </w:p>
              </w:tc>
              <w:tc>
                <w:tcPr>
                  <w:tcW w:w="123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ORGID</w:t>
                  </w:r>
                </w:p>
              </w:tc>
              <w:tc>
                <w:tcPr>
                  <w:tcW w:w="169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VARCHAR2(50)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50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69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组织机构代码</w:t>
                  </w:r>
                </w:p>
              </w:tc>
            </w:tr>
          </w:tbl>
          <w:p>
            <w:pPr>
              <w:widowControl/>
              <w:snapToGrid w:val="0"/>
              <w:spacing w:line="600" w:lineRule="exact"/>
              <w:ind w:firstLine="560"/>
              <w:rPr>
                <w:rFonts w:ascii="宋体" w:hAnsi="宋体" w:cs="宋体"/>
                <w:color w:val="auto"/>
                <w:szCs w:val="28"/>
                <w:highlight w:val="none"/>
              </w:rPr>
            </w:pPr>
            <w:r>
              <w:rPr>
                <w:rFonts w:hint="eastAsia" w:ascii="宋体" w:hAnsi="宋体" w:cs="宋体"/>
                <w:color w:val="auto"/>
                <w:szCs w:val="28"/>
                <w:highlight w:val="none"/>
              </w:rPr>
              <w:t>3、海洋水环境监测结果信息（T_JCSJZX_HYS_JCJG）</w:t>
            </w:r>
          </w:p>
          <w:tbl>
            <w:tblPr>
              <w:tblStyle w:val="58"/>
              <w:tblW w:w="966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0"/>
              <w:gridCol w:w="1396"/>
              <w:gridCol w:w="1533"/>
              <w:gridCol w:w="714"/>
              <w:gridCol w:w="945"/>
              <w:gridCol w:w="712"/>
              <w:gridCol w:w="946"/>
              <w:gridCol w:w="27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color w:val="auto"/>
                      <w:sz w:val="20"/>
                      <w:highlight w:val="none"/>
                    </w:rPr>
                  </w:pPr>
                  <w:r>
                    <w:rPr>
                      <w:rFonts w:hint="eastAsia" w:ascii="宋体" w:hAnsi="宋体" w:cs="宋体"/>
                      <w:color w:val="auto"/>
                      <w:sz w:val="20"/>
                      <w:highlight w:val="none"/>
                    </w:rPr>
                    <w:t>序号</w:t>
                  </w:r>
                </w:p>
              </w:tc>
              <w:tc>
                <w:tcPr>
                  <w:tcW w:w="139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color w:val="auto"/>
                      <w:sz w:val="20"/>
                      <w:highlight w:val="none"/>
                    </w:rPr>
                  </w:pPr>
                  <w:r>
                    <w:rPr>
                      <w:rFonts w:hint="eastAsia" w:ascii="宋体" w:hAnsi="宋体"/>
                      <w:color w:val="auto"/>
                      <w:sz w:val="20"/>
                      <w:highlight w:val="none"/>
                    </w:rPr>
                    <w:t>字段名</w:t>
                  </w:r>
                </w:p>
              </w:tc>
              <w:tc>
                <w:tcPr>
                  <w:tcW w:w="15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数据类型</w:t>
                  </w:r>
                </w:p>
              </w:tc>
              <w:tc>
                <w:tcPr>
                  <w:tcW w:w="714"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color w:val="auto"/>
                      <w:sz w:val="20"/>
                      <w:highlight w:val="none"/>
                    </w:rPr>
                  </w:pPr>
                  <w:r>
                    <w:rPr>
                      <w:rFonts w:hint="eastAsia" w:ascii="宋体" w:hAnsi="宋体"/>
                      <w:color w:val="auto"/>
                      <w:sz w:val="20"/>
                      <w:highlight w:val="none"/>
                    </w:rPr>
                    <w:t>长度</w:t>
                  </w:r>
                </w:p>
              </w:tc>
              <w:tc>
                <w:tcPr>
                  <w:tcW w:w="94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color w:val="auto"/>
                      <w:sz w:val="20"/>
                      <w:highlight w:val="none"/>
                    </w:rPr>
                  </w:pPr>
                  <w:r>
                    <w:rPr>
                      <w:rFonts w:hint="eastAsia" w:ascii="宋体" w:hAnsi="宋体"/>
                      <w:color w:val="auto"/>
                      <w:sz w:val="20"/>
                      <w:highlight w:val="none"/>
                    </w:rPr>
                    <w:t>小数位</w:t>
                  </w:r>
                </w:p>
              </w:tc>
              <w:tc>
                <w:tcPr>
                  <w:tcW w:w="71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color w:val="auto"/>
                      <w:sz w:val="20"/>
                      <w:highlight w:val="none"/>
                    </w:rPr>
                  </w:pPr>
                  <w:r>
                    <w:rPr>
                      <w:rFonts w:hint="eastAsia" w:ascii="宋体" w:hAnsi="宋体"/>
                      <w:color w:val="auto"/>
                      <w:sz w:val="20"/>
                      <w:highlight w:val="none"/>
                    </w:rPr>
                    <w:t>主键</w:t>
                  </w:r>
                </w:p>
              </w:tc>
              <w:tc>
                <w:tcPr>
                  <w:tcW w:w="94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color w:val="auto"/>
                      <w:sz w:val="20"/>
                      <w:highlight w:val="none"/>
                    </w:rPr>
                  </w:pPr>
                  <w:r>
                    <w:rPr>
                      <w:rFonts w:hint="eastAsia" w:ascii="宋体" w:hAnsi="宋体"/>
                      <w:color w:val="auto"/>
                      <w:sz w:val="20"/>
                      <w:highlight w:val="none"/>
                    </w:rPr>
                    <w:t>允许空</w:t>
                  </w:r>
                </w:p>
              </w:tc>
              <w:tc>
                <w:tcPr>
                  <w:tcW w:w="270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color w:val="auto"/>
                      <w:sz w:val="20"/>
                      <w:highlight w:val="none"/>
                    </w:rPr>
                  </w:pPr>
                  <w:r>
                    <w:rPr>
                      <w:rFonts w:hint="eastAsia" w:ascii="宋体" w:hAnsi="宋体"/>
                      <w:color w:val="auto"/>
                      <w:sz w:val="20"/>
                      <w:highlight w:val="none"/>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6"/>
                    </w:numPr>
                    <w:jc w:val="center"/>
                    <w:rPr>
                      <w:rFonts w:ascii="宋体" w:hAnsi="宋体" w:cs="宋体"/>
                      <w:color w:val="auto"/>
                      <w:sz w:val="20"/>
                      <w:highlight w:val="none"/>
                    </w:rPr>
                  </w:pPr>
                </w:p>
              </w:tc>
              <w:tc>
                <w:tcPr>
                  <w:tcW w:w="139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XH</w:t>
                  </w:r>
                </w:p>
              </w:tc>
              <w:tc>
                <w:tcPr>
                  <w:tcW w:w="1533"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VARCHAR2(50)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50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2707"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序号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6"/>
                    </w:numPr>
                    <w:jc w:val="center"/>
                    <w:rPr>
                      <w:rFonts w:ascii="宋体" w:hAnsi="宋体" w:cs="宋体"/>
                      <w:color w:val="auto"/>
                      <w:sz w:val="20"/>
                      <w:highlight w:val="none"/>
                    </w:rPr>
                  </w:pPr>
                </w:p>
              </w:tc>
              <w:tc>
                <w:tcPr>
                  <w:tcW w:w="139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CYXH</w:t>
                  </w:r>
                </w:p>
              </w:tc>
              <w:tc>
                <w:tcPr>
                  <w:tcW w:w="1533"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VARCHAR2(50)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50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2707"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采样序号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6"/>
                    </w:numPr>
                    <w:jc w:val="center"/>
                    <w:rPr>
                      <w:rFonts w:ascii="宋体" w:hAnsi="宋体" w:cs="宋体"/>
                      <w:color w:val="auto"/>
                      <w:sz w:val="20"/>
                      <w:highlight w:val="none"/>
                    </w:rPr>
                  </w:pPr>
                </w:p>
              </w:tc>
              <w:tc>
                <w:tcPr>
                  <w:tcW w:w="139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FXXMDM</w:t>
                  </w:r>
                </w:p>
              </w:tc>
              <w:tc>
                <w:tcPr>
                  <w:tcW w:w="1533"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VARCHAR2(50)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50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2707"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分析项目编号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6"/>
                    </w:numPr>
                    <w:jc w:val="center"/>
                    <w:rPr>
                      <w:rFonts w:ascii="宋体" w:hAnsi="宋体" w:cs="宋体"/>
                      <w:color w:val="auto"/>
                      <w:sz w:val="20"/>
                      <w:highlight w:val="none"/>
                    </w:rPr>
                  </w:pPr>
                </w:p>
              </w:tc>
              <w:tc>
                <w:tcPr>
                  <w:tcW w:w="139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FXXMMC</w:t>
                  </w:r>
                </w:p>
              </w:tc>
              <w:tc>
                <w:tcPr>
                  <w:tcW w:w="1533"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VARCHAR2(100)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100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2707"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分析项目名称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6"/>
                    </w:numPr>
                    <w:jc w:val="center"/>
                    <w:rPr>
                      <w:rFonts w:ascii="宋体" w:hAnsi="宋体" w:cs="宋体"/>
                      <w:color w:val="auto"/>
                      <w:sz w:val="20"/>
                      <w:highlight w:val="none"/>
                    </w:rPr>
                  </w:pPr>
                </w:p>
              </w:tc>
              <w:tc>
                <w:tcPr>
                  <w:tcW w:w="139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JCXDW</w:t>
                  </w:r>
                </w:p>
              </w:tc>
              <w:tc>
                <w:tcPr>
                  <w:tcW w:w="1533"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VARCHAR2(50)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50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707"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检出限单位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6"/>
                    </w:numPr>
                    <w:jc w:val="center"/>
                    <w:rPr>
                      <w:rFonts w:ascii="宋体" w:hAnsi="宋体" w:cs="宋体"/>
                      <w:color w:val="auto"/>
                      <w:sz w:val="20"/>
                      <w:highlight w:val="none"/>
                    </w:rPr>
                  </w:pPr>
                </w:p>
              </w:tc>
              <w:tc>
                <w:tcPr>
                  <w:tcW w:w="139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JCX</w:t>
                  </w:r>
                </w:p>
              </w:tc>
              <w:tc>
                <w:tcPr>
                  <w:tcW w:w="1533"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NUMBER</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707"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检出限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6"/>
                    </w:numPr>
                    <w:jc w:val="center"/>
                    <w:rPr>
                      <w:rFonts w:ascii="宋体" w:hAnsi="宋体" w:cs="宋体"/>
                      <w:color w:val="auto"/>
                      <w:sz w:val="20"/>
                      <w:highlight w:val="none"/>
                    </w:rPr>
                  </w:pPr>
                </w:p>
              </w:tc>
              <w:tc>
                <w:tcPr>
                  <w:tcW w:w="139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BCJG</w:t>
                  </w:r>
                </w:p>
              </w:tc>
              <w:tc>
                <w:tcPr>
                  <w:tcW w:w="1533"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NUMBER</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707"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报出结果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6"/>
                    </w:numPr>
                    <w:jc w:val="center"/>
                    <w:rPr>
                      <w:rFonts w:ascii="宋体" w:hAnsi="宋体" w:cs="宋体"/>
                      <w:color w:val="auto"/>
                      <w:sz w:val="20"/>
                      <w:highlight w:val="none"/>
                    </w:rPr>
                  </w:pPr>
                </w:p>
              </w:tc>
              <w:tc>
                <w:tcPr>
                  <w:tcW w:w="139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BCJGDW</w:t>
                  </w:r>
                </w:p>
              </w:tc>
              <w:tc>
                <w:tcPr>
                  <w:tcW w:w="1533"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VARCHAR2(50)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50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707"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报出结果单位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6"/>
                    </w:numPr>
                    <w:jc w:val="center"/>
                    <w:rPr>
                      <w:rFonts w:ascii="宋体" w:hAnsi="宋体" w:cs="宋体"/>
                      <w:color w:val="auto"/>
                      <w:sz w:val="20"/>
                      <w:highlight w:val="none"/>
                    </w:rPr>
                  </w:pPr>
                </w:p>
              </w:tc>
              <w:tc>
                <w:tcPr>
                  <w:tcW w:w="139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BCJGBS</w:t>
                  </w:r>
                </w:p>
              </w:tc>
              <w:tc>
                <w:tcPr>
                  <w:tcW w:w="1533"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VARCHAR2(100)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100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707"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报出结果表示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6"/>
                    </w:numPr>
                    <w:jc w:val="center"/>
                    <w:rPr>
                      <w:rFonts w:ascii="宋体" w:hAnsi="宋体" w:cs="宋体"/>
                      <w:color w:val="auto"/>
                      <w:sz w:val="20"/>
                      <w:highlight w:val="none"/>
                    </w:rPr>
                  </w:pPr>
                </w:p>
              </w:tc>
              <w:tc>
                <w:tcPr>
                  <w:tcW w:w="139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BZSX</w:t>
                  </w:r>
                </w:p>
              </w:tc>
              <w:tc>
                <w:tcPr>
                  <w:tcW w:w="1533"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VARCHAR2(50)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50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707"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标准上限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6"/>
                    </w:numPr>
                    <w:jc w:val="center"/>
                    <w:rPr>
                      <w:rFonts w:ascii="宋体" w:hAnsi="宋体" w:cs="宋体"/>
                      <w:color w:val="auto"/>
                      <w:sz w:val="20"/>
                      <w:highlight w:val="none"/>
                    </w:rPr>
                  </w:pPr>
                </w:p>
              </w:tc>
              <w:tc>
                <w:tcPr>
                  <w:tcW w:w="139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BZXX</w:t>
                  </w:r>
                </w:p>
              </w:tc>
              <w:tc>
                <w:tcPr>
                  <w:tcW w:w="1533"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VARCHAR2(50)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50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707"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标准下限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6"/>
                    </w:numPr>
                    <w:jc w:val="center"/>
                    <w:rPr>
                      <w:rFonts w:ascii="宋体" w:hAnsi="宋体" w:cs="宋体"/>
                      <w:color w:val="auto"/>
                      <w:sz w:val="20"/>
                      <w:highlight w:val="none"/>
                    </w:rPr>
                  </w:pPr>
                </w:p>
              </w:tc>
              <w:tc>
                <w:tcPr>
                  <w:tcW w:w="139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BZDW</w:t>
                  </w:r>
                </w:p>
              </w:tc>
              <w:tc>
                <w:tcPr>
                  <w:tcW w:w="1533"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VARCHAR2(50)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50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707"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标准单位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6"/>
                    </w:numPr>
                    <w:jc w:val="center"/>
                    <w:rPr>
                      <w:rFonts w:ascii="宋体" w:hAnsi="宋体" w:cs="宋体"/>
                      <w:color w:val="auto"/>
                      <w:sz w:val="20"/>
                      <w:highlight w:val="none"/>
                    </w:rPr>
                  </w:pPr>
                </w:p>
              </w:tc>
              <w:tc>
                <w:tcPr>
                  <w:tcW w:w="139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SFCB</w:t>
                  </w:r>
                </w:p>
              </w:tc>
              <w:tc>
                <w:tcPr>
                  <w:tcW w:w="1533"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CHAR(1)</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1</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707"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是否超标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6"/>
                    </w:numPr>
                    <w:jc w:val="center"/>
                    <w:rPr>
                      <w:rFonts w:ascii="宋体" w:hAnsi="宋体" w:cs="宋体"/>
                      <w:color w:val="auto"/>
                      <w:sz w:val="20"/>
                      <w:highlight w:val="none"/>
                    </w:rPr>
                  </w:pPr>
                </w:p>
              </w:tc>
              <w:tc>
                <w:tcPr>
                  <w:tcW w:w="139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CBBS</w:t>
                  </w:r>
                </w:p>
              </w:tc>
              <w:tc>
                <w:tcPr>
                  <w:tcW w:w="1533"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NUMBER</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707"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超标倍数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6"/>
                    </w:numPr>
                    <w:jc w:val="center"/>
                    <w:rPr>
                      <w:rFonts w:ascii="宋体" w:hAnsi="宋体" w:cs="宋体"/>
                      <w:color w:val="auto"/>
                      <w:sz w:val="20"/>
                      <w:highlight w:val="none"/>
                    </w:rPr>
                  </w:pPr>
                </w:p>
              </w:tc>
              <w:tc>
                <w:tcPr>
                  <w:tcW w:w="139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SZLB</w:t>
                  </w:r>
                </w:p>
              </w:tc>
              <w:tc>
                <w:tcPr>
                  <w:tcW w:w="1533"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VARCHAR2(50)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50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707"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水质类别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6"/>
                    </w:numPr>
                    <w:jc w:val="center"/>
                    <w:rPr>
                      <w:rFonts w:ascii="宋体" w:hAnsi="宋体" w:cs="宋体"/>
                      <w:color w:val="auto"/>
                      <w:sz w:val="20"/>
                      <w:highlight w:val="none"/>
                    </w:rPr>
                  </w:pPr>
                </w:p>
              </w:tc>
              <w:tc>
                <w:tcPr>
                  <w:tcW w:w="139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CJR</w:t>
                  </w:r>
                </w:p>
              </w:tc>
              <w:tc>
                <w:tcPr>
                  <w:tcW w:w="1533"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VARCHAR2(50)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50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707"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创建人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6"/>
                    </w:numPr>
                    <w:jc w:val="center"/>
                    <w:rPr>
                      <w:rFonts w:ascii="宋体" w:hAnsi="宋体" w:cs="宋体"/>
                      <w:color w:val="auto"/>
                      <w:sz w:val="20"/>
                      <w:highlight w:val="none"/>
                    </w:rPr>
                  </w:pPr>
                </w:p>
              </w:tc>
              <w:tc>
                <w:tcPr>
                  <w:tcW w:w="139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CJSJ</w:t>
                  </w:r>
                </w:p>
              </w:tc>
              <w:tc>
                <w:tcPr>
                  <w:tcW w:w="1533"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DATE</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707"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创建时间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6"/>
                    </w:numPr>
                    <w:jc w:val="center"/>
                    <w:rPr>
                      <w:rFonts w:ascii="宋体" w:hAnsi="宋体" w:cs="宋体"/>
                      <w:color w:val="auto"/>
                      <w:sz w:val="20"/>
                      <w:highlight w:val="none"/>
                    </w:rPr>
                  </w:pPr>
                </w:p>
              </w:tc>
              <w:tc>
                <w:tcPr>
                  <w:tcW w:w="139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XGR</w:t>
                  </w:r>
                </w:p>
              </w:tc>
              <w:tc>
                <w:tcPr>
                  <w:tcW w:w="1533"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VARCHAR2(50)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50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707"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修改人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6"/>
                    </w:numPr>
                    <w:jc w:val="center"/>
                    <w:rPr>
                      <w:rFonts w:ascii="宋体" w:hAnsi="宋体" w:cs="宋体"/>
                      <w:color w:val="auto"/>
                      <w:sz w:val="20"/>
                      <w:highlight w:val="none"/>
                    </w:rPr>
                  </w:pPr>
                </w:p>
              </w:tc>
              <w:tc>
                <w:tcPr>
                  <w:tcW w:w="139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XGSJ</w:t>
                  </w:r>
                </w:p>
              </w:tc>
              <w:tc>
                <w:tcPr>
                  <w:tcW w:w="1533"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DATE</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707"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修改时间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6"/>
                    </w:numPr>
                    <w:jc w:val="center"/>
                    <w:rPr>
                      <w:rFonts w:ascii="宋体" w:hAnsi="宋体" w:cs="宋体"/>
                      <w:color w:val="auto"/>
                      <w:sz w:val="20"/>
                      <w:highlight w:val="none"/>
                    </w:rPr>
                  </w:pPr>
                </w:p>
              </w:tc>
              <w:tc>
                <w:tcPr>
                  <w:tcW w:w="139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ORGID</w:t>
                  </w:r>
                </w:p>
              </w:tc>
              <w:tc>
                <w:tcPr>
                  <w:tcW w:w="1533"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VARCHAR2(50)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50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707"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组织机构代码</w:t>
                  </w:r>
                </w:p>
              </w:tc>
            </w:tr>
          </w:tbl>
          <w:p>
            <w:pPr>
              <w:widowControl/>
              <w:snapToGrid w:val="0"/>
              <w:spacing w:line="600" w:lineRule="exact"/>
              <w:ind w:firstLine="560"/>
              <w:rPr>
                <w:rFonts w:ascii="宋体" w:hAnsi="宋体" w:cs="宋体"/>
                <w:color w:val="auto"/>
                <w:szCs w:val="28"/>
                <w:highlight w:val="none"/>
              </w:rPr>
            </w:pPr>
            <w:r>
              <w:rPr>
                <w:rFonts w:hint="eastAsia" w:ascii="宋体" w:hAnsi="宋体" w:cs="宋体"/>
                <w:color w:val="auto"/>
                <w:szCs w:val="28"/>
                <w:highlight w:val="none"/>
              </w:rPr>
              <w:t>4、海水沉积物采样信息（T_JCSJZX_HYS_CJW_CYXX_PJJG）</w:t>
            </w:r>
          </w:p>
          <w:tbl>
            <w:tblPr>
              <w:tblStyle w:val="58"/>
              <w:tblW w:w="969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0"/>
              <w:gridCol w:w="1261"/>
              <w:gridCol w:w="1725"/>
              <w:gridCol w:w="714"/>
              <w:gridCol w:w="945"/>
              <w:gridCol w:w="712"/>
              <w:gridCol w:w="946"/>
              <w:gridCol w:w="267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color w:val="auto"/>
                      <w:sz w:val="20"/>
                      <w:highlight w:val="none"/>
                    </w:rPr>
                  </w:pPr>
                  <w:r>
                    <w:rPr>
                      <w:rFonts w:hint="eastAsia" w:ascii="宋体" w:hAnsi="宋体" w:cs="宋体"/>
                      <w:color w:val="auto"/>
                      <w:sz w:val="20"/>
                      <w:highlight w:val="none"/>
                    </w:rPr>
                    <w:t>序号</w:t>
                  </w:r>
                </w:p>
              </w:tc>
              <w:tc>
                <w:tcPr>
                  <w:tcW w:w="1261"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color w:val="auto"/>
                      <w:sz w:val="20"/>
                      <w:highlight w:val="none"/>
                    </w:rPr>
                  </w:pPr>
                  <w:r>
                    <w:rPr>
                      <w:rFonts w:hint="eastAsia" w:ascii="宋体" w:hAnsi="宋体" w:cs="宋体"/>
                      <w:color w:val="auto"/>
                      <w:sz w:val="20"/>
                      <w:highlight w:val="none"/>
                    </w:rPr>
                    <w:t>字段名</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color w:val="auto"/>
                      <w:sz w:val="20"/>
                      <w:highlight w:val="none"/>
                    </w:rPr>
                  </w:pPr>
                  <w:r>
                    <w:rPr>
                      <w:rFonts w:hint="eastAsia" w:ascii="宋体" w:hAnsi="宋体" w:cs="宋体"/>
                      <w:color w:val="auto"/>
                      <w:sz w:val="20"/>
                      <w:highlight w:val="none"/>
                    </w:rPr>
                    <w:t>数据类型</w:t>
                  </w:r>
                </w:p>
              </w:tc>
              <w:tc>
                <w:tcPr>
                  <w:tcW w:w="714"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color w:val="auto"/>
                      <w:sz w:val="20"/>
                      <w:highlight w:val="none"/>
                    </w:rPr>
                  </w:pPr>
                  <w:r>
                    <w:rPr>
                      <w:rFonts w:hint="eastAsia" w:ascii="宋体" w:hAnsi="宋体" w:cs="宋体"/>
                      <w:color w:val="auto"/>
                      <w:sz w:val="20"/>
                      <w:highlight w:val="none"/>
                    </w:rPr>
                    <w:t>长度</w:t>
                  </w:r>
                </w:p>
              </w:tc>
              <w:tc>
                <w:tcPr>
                  <w:tcW w:w="94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color w:val="auto"/>
                      <w:sz w:val="20"/>
                      <w:highlight w:val="none"/>
                    </w:rPr>
                  </w:pPr>
                  <w:r>
                    <w:rPr>
                      <w:rFonts w:hint="eastAsia" w:ascii="宋体" w:hAnsi="宋体" w:cs="宋体"/>
                      <w:color w:val="auto"/>
                      <w:sz w:val="20"/>
                      <w:highlight w:val="none"/>
                    </w:rPr>
                    <w:t>小数位</w:t>
                  </w:r>
                </w:p>
              </w:tc>
              <w:tc>
                <w:tcPr>
                  <w:tcW w:w="71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color w:val="auto"/>
                      <w:sz w:val="20"/>
                      <w:highlight w:val="none"/>
                    </w:rPr>
                  </w:pPr>
                  <w:r>
                    <w:rPr>
                      <w:rFonts w:hint="eastAsia" w:ascii="宋体" w:hAnsi="宋体" w:cs="宋体"/>
                      <w:color w:val="auto"/>
                      <w:sz w:val="20"/>
                      <w:highlight w:val="none"/>
                    </w:rPr>
                    <w:t>主键</w:t>
                  </w:r>
                </w:p>
              </w:tc>
              <w:tc>
                <w:tcPr>
                  <w:tcW w:w="94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color w:val="auto"/>
                      <w:sz w:val="20"/>
                      <w:highlight w:val="none"/>
                    </w:rPr>
                  </w:pPr>
                  <w:r>
                    <w:rPr>
                      <w:rFonts w:hint="eastAsia" w:ascii="宋体" w:hAnsi="宋体" w:cs="宋体"/>
                      <w:color w:val="auto"/>
                      <w:sz w:val="20"/>
                      <w:highlight w:val="none"/>
                    </w:rPr>
                    <w:t>允许空</w:t>
                  </w:r>
                </w:p>
              </w:tc>
              <w:tc>
                <w:tcPr>
                  <w:tcW w:w="267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color w:val="auto"/>
                      <w:sz w:val="20"/>
                      <w:highlight w:val="none"/>
                    </w:rPr>
                  </w:pPr>
                  <w:r>
                    <w:rPr>
                      <w:rFonts w:hint="eastAsia" w:ascii="宋体" w:hAnsi="宋体" w:cs="宋体"/>
                      <w:color w:val="auto"/>
                      <w:sz w:val="20"/>
                      <w:highlight w:val="none"/>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7"/>
                    </w:numPr>
                    <w:jc w:val="center"/>
                    <w:rPr>
                      <w:rFonts w:ascii="宋体" w:hAnsi="宋体" w:cs="宋体"/>
                      <w:color w:val="auto"/>
                      <w:sz w:val="20"/>
                      <w:highlight w:val="none"/>
                    </w:rPr>
                  </w:pPr>
                </w:p>
              </w:tc>
              <w:tc>
                <w:tcPr>
                  <w:tcW w:w="1261"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XH</w:t>
                  </w:r>
                </w:p>
              </w:tc>
              <w:tc>
                <w:tcPr>
                  <w:tcW w:w="172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VARCHAR2(50)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50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2677"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序号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7"/>
                    </w:numPr>
                    <w:jc w:val="center"/>
                    <w:rPr>
                      <w:rFonts w:ascii="宋体" w:hAnsi="宋体" w:cs="宋体"/>
                      <w:color w:val="auto"/>
                      <w:sz w:val="20"/>
                      <w:highlight w:val="none"/>
                    </w:rPr>
                  </w:pPr>
                </w:p>
              </w:tc>
              <w:tc>
                <w:tcPr>
                  <w:tcW w:w="1261"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CDBH</w:t>
                  </w:r>
                </w:p>
              </w:tc>
              <w:tc>
                <w:tcPr>
                  <w:tcW w:w="172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VARCHAR2(50)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50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2677"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测点编号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7"/>
                    </w:numPr>
                    <w:jc w:val="center"/>
                    <w:rPr>
                      <w:rFonts w:ascii="宋体" w:hAnsi="宋体" w:cs="宋体"/>
                      <w:color w:val="auto"/>
                      <w:sz w:val="20"/>
                      <w:highlight w:val="none"/>
                    </w:rPr>
                  </w:pPr>
                </w:p>
              </w:tc>
              <w:tc>
                <w:tcPr>
                  <w:tcW w:w="1261"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CDMC</w:t>
                  </w:r>
                </w:p>
              </w:tc>
              <w:tc>
                <w:tcPr>
                  <w:tcW w:w="172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VARCHAR2(100)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100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677"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测点名称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7"/>
                    </w:numPr>
                    <w:jc w:val="center"/>
                    <w:rPr>
                      <w:rFonts w:ascii="宋体" w:hAnsi="宋体" w:cs="宋体"/>
                      <w:color w:val="auto"/>
                      <w:sz w:val="20"/>
                      <w:highlight w:val="none"/>
                    </w:rPr>
                  </w:pPr>
                </w:p>
              </w:tc>
              <w:tc>
                <w:tcPr>
                  <w:tcW w:w="1261"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DWDM</w:t>
                  </w:r>
                </w:p>
              </w:tc>
              <w:tc>
                <w:tcPr>
                  <w:tcW w:w="172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VARCHAR2(50)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50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677"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点位代码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7"/>
                    </w:numPr>
                    <w:jc w:val="center"/>
                    <w:rPr>
                      <w:rFonts w:ascii="宋体" w:hAnsi="宋体" w:cs="宋体"/>
                      <w:color w:val="auto"/>
                      <w:sz w:val="20"/>
                      <w:highlight w:val="none"/>
                    </w:rPr>
                  </w:pPr>
                </w:p>
              </w:tc>
              <w:tc>
                <w:tcPr>
                  <w:tcW w:w="1261"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GKDWBM</w:t>
                  </w:r>
                </w:p>
              </w:tc>
              <w:tc>
                <w:tcPr>
                  <w:tcW w:w="172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VARCHAR2(50)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50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677"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国控点位编码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7"/>
                    </w:numPr>
                    <w:jc w:val="center"/>
                    <w:rPr>
                      <w:rFonts w:ascii="宋体" w:hAnsi="宋体" w:cs="宋体"/>
                      <w:color w:val="auto"/>
                      <w:sz w:val="20"/>
                      <w:highlight w:val="none"/>
                    </w:rPr>
                  </w:pPr>
                </w:p>
              </w:tc>
              <w:tc>
                <w:tcPr>
                  <w:tcW w:w="1261"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SKDWBM</w:t>
                  </w:r>
                </w:p>
              </w:tc>
              <w:tc>
                <w:tcPr>
                  <w:tcW w:w="172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VARCHAR2(50)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50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677"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省控点位编码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7"/>
                    </w:numPr>
                    <w:jc w:val="center"/>
                    <w:rPr>
                      <w:rFonts w:ascii="宋体" w:hAnsi="宋体" w:cs="宋体"/>
                      <w:color w:val="auto"/>
                      <w:sz w:val="20"/>
                      <w:highlight w:val="none"/>
                    </w:rPr>
                  </w:pPr>
                </w:p>
              </w:tc>
              <w:tc>
                <w:tcPr>
                  <w:tcW w:w="1261"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SSKDWBM</w:t>
                  </w:r>
                </w:p>
              </w:tc>
              <w:tc>
                <w:tcPr>
                  <w:tcW w:w="172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VARCHAR2(50)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50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677"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市控点位编码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7"/>
                    </w:numPr>
                    <w:jc w:val="center"/>
                    <w:rPr>
                      <w:rFonts w:ascii="宋体" w:hAnsi="宋体" w:cs="宋体"/>
                      <w:color w:val="auto"/>
                      <w:sz w:val="20"/>
                      <w:highlight w:val="none"/>
                    </w:rPr>
                  </w:pPr>
                </w:p>
              </w:tc>
              <w:tc>
                <w:tcPr>
                  <w:tcW w:w="1261"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PJKJLX</w:t>
                  </w:r>
                </w:p>
              </w:tc>
              <w:tc>
                <w:tcPr>
                  <w:tcW w:w="172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VARCHAR2(50)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50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2677"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评价空间类型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7"/>
                    </w:numPr>
                    <w:jc w:val="center"/>
                    <w:rPr>
                      <w:rFonts w:ascii="宋体" w:hAnsi="宋体" w:cs="宋体"/>
                      <w:color w:val="auto"/>
                      <w:sz w:val="20"/>
                      <w:highlight w:val="none"/>
                    </w:rPr>
                  </w:pPr>
                </w:p>
              </w:tc>
              <w:tc>
                <w:tcPr>
                  <w:tcW w:w="1261"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PJSJLX</w:t>
                  </w:r>
                </w:p>
              </w:tc>
              <w:tc>
                <w:tcPr>
                  <w:tcW w:w="172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VARCHAR2(50)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50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2677"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评价时间类型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7"/>
                    </w:numPr>
                    <w:jc w:val="center"/>
                    <w:rPr>
                      <w:rFonts w:ascii="宋体" w:hAnsi="宋体" w:cs="宋体"/>
                      <w:color w:val="auto"/>
                      <w:sz w:val="20"/>
                      <w:highlight w:val="none"/>
                    </w:rPr>
                  </w:pPr>
                </w:p>
              </w:tc>
              <w:tc>
                <w:tcPr>
                  <w:tcW w:w="1261"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CYKSSJ</w:t>
                  </w:r>
                </w:p>
              </w:tc>
              <w:tc>
                <w:tcPr>
                  <w:tcW w:w="172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DATE</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2677"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采样开始时间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7"/>
                    </w:numPr>
                    <w:jc w:val="center"/>
                    <w:rPr>
                      <w:rFonts w:ascii="宋体" w:hAnsi="宋体" w:cs="宋体"/>
                      <w:color w:val="auto"/>
                      <w:sz w:val="20"/>
                      <w:highlight w:val="none"/>
                    </w:rPr>
                  </w:pPr>
                </w:p>
              </w:tc>
              <w:tc>
                <w:tcPr>
                  <w:tcW w:w="1261"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CYJSSJ</w:t>
                  </w:r>
                </w:p>
              </w:tc>
              <w:tc>
                <w:tcPr>
                  <w:tcW w:w="172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DATE</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2677"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采样结束时间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7"/>
                    </w:numPr>
                    <w:jc w:val="center"/>
                    <w:rPr>
                      <w:rFonts w:ascii="宋体" w:hAnsi="宋体" w:cs="宋体"/>
                      <w:color w:val="auto"/>
                      <w:sz w:val="20"/>
                      <w:highlight w:val="none"/>
                    </w:rPr>
                  </w:pPr>
                </w:p>
              </w:tc>
              <w:tc>
                <w:tcPr>
                  <w:tcW w:w="1261"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CYNF</w:t>
                  </w:r>
                </w:p>
              </w:tc>
              <w:tc>
                <w:tcPr>
                  <w:tcW w:w="172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VARCHAR2(50)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50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2677"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采样年份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7"/>
                    </w:numPr>
                    <w:jc w:val="center"/>
                    <w:rPr>
                      <w:rFonts w:ascii="宋体" w:hAnsi="宋体" w:cs="宋体"/>
                      <w:color w:val="auto"/>
                      <w:sz w:val="20"/>
                      <w:highlight w:val="none"/>
                    </w:rPr>
                  </w:pPr>
                </w:p>
              </w:tc>
              <w:tc>
                <w:tcPr>
                  <w:tcW w:w="1261"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CYJD</w:t>
                  </w:r>
                </w:p>
              </w:tc>
              <w:tc>
                <w:tcPr>
                  <w:tcW w:w="172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VARCHAR2(50)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50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2677"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采样季度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7"/>
                    </w:numPr>
                    <w:jc w:val="center"/>
                    <w:rPr>
                      <w:rFonts w:ascii="宋体" w:hAnsi="宋体" w:cs="宋体"/>
                      <w:color w:val="auto"/>
                      <w:sz w:val="20"/>
                      <w:highlight w:val="none"/>
                    </w:rPr>
                  </w:pPr>
                </w:p>
              </w:tc>
              <w:tc>
                <w:tcPr>
                  <w:tcW w:w="1261"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CYYF</w:t>
                  </w:r>
                </w:p>
              </w:tc>
              <w:tc>
                <w:tcPr>
                  <w:tcW w:w="172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VARCHAR2(50)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50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2677"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采样月份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7"/>
                    </w:numPr>
                    <w:jc w:val="center"/>
                    <w:rPr>
                      <w:rFonts w:ascii="宋体" w:hAnsi="宋体" w:cs="宋体"/>
                      <w:color w:val="auto"/>
                      <w:sz w:val="20"/>
                      <w:highlight w:val="none"/>
                    </w:rPr>
                  </w:pPr>
                </w:p>
              </w:tc>
              <w:tc>
                <w:tcPr>
                  <w:tcW w:w="1261"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SSXZQ</w:t>
                  </w:r>
                </w:p>
              </w:tc>
              <w:tc>
                <w:tcPr>
                  <w:tcW w:w="172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VARCHAR2(200)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200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2677"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所属行政区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7"/>
                    </w:numPr>
                    <w:jc w:val="center"/>
                    <w:rPr>
                      <w:rFonts w:ascii="宋体" w:hAnsi="宋体" w:cs="宋体"/>
                      <w:color w:val="auto"/>
                      <w:sz w:val="20"/>
                      <w:highlight w:val="none"/>
                    </w:rPr>
                  </w:pPr>
                </w:p>
              </w:tc>
              <w:tc>
                <w:tcPr>
                  <w:tcW w:w="1261"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XZQDM</w:t>
                  </w:r>
                </w:p>
              </w:tc>
              <w:tc>
                <w:tcPr>
                  <w:tcW w:w="172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VARCHAR2(50)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50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2677"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行政区代码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7"/>
                    </w:numPr>
                    <w:jc w:val="center"/>
                    <w:rPr>
                      <w:rFonts w:ascii="宋体" w:hAnsi="宋体" w:cs="宋体"/>
                      <w:color w:val="auto"/>
                      <w:sz w:val="20"/>
                      <w:highlight w:val="none"/>
                    </w:rPr>
                  </w:pPr>
                </w:p>
              </w:tc>
              <w:tc>
                <w:tcPr>
                  <w:tcW w:w="1261"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SQDM</w:t>
                  </w:r>
                </w:p>
              </w:tc>
              <w:tc>
                <w:tcPr>
                  <w:tcW w:w="172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VARCHAR2(20)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20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677"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水期代码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7"/>
                    </w:numPr>
                    <w:jc w:val="center"/>
                    <w:rPr>
                      <w:rFonts w:ascii="宋体" w:hAnsi="宋体" w:cs="宋体"/>
                      <w:color w:val="auto"/>
                      <w:sz w:val="20"/>
                      <w:highlight w:val="none"/>
                    </w:rPr>
                  </w:pPr>
                </w:p>
              </w:tc>
              <w:tc>
                <w:tcPr>
                  <w:tcW w:w="1261"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CYSD</w:t>
                  </w:r>
                </w:p>
              </w:tc>
              <w:tc>
                <w:tcPr>
                  <w:tcW w:w="172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NUMBER</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677"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采样深度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7"/>
                    </w:numPr>
                    <w:jc w:val="center"/>
                    <w:rPr>
                      <w:rFonts w:ascii="宋体" w:hAnsi="宋体" w:cs="宋体"/>
                      <w:color w:val="auto"/>
                      <w:sz w:val="20"/>
                      <w:highlight w:val="none"/>
                    </w:rPr>
                  </w:pPr>
                </w:p>
              </w:tc>
              <w:tc>
                <w:tcPr>
                  <w:tcW w:w="1261"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SS</w:t>
                  </w:r>
                </w:p>
              </w:tc>
              <w:tc>
                <w:tcPr>
                  <w:tcW w:w="172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NUMBER</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677"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水深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7"/>
                    </w:numPr>
                    <w:jc w:val="center"/>
                    <w:rPr>
                      <w:rFonts w:ascii="宋体" w:hAnsi="宋体" w:cs="宋体"/>
                      <w:color w:val="auto"/>
                      <w:sz w:val="20"/>
                      <w:highlight w:val="none"/>
                    </w:rPr>
                  </w:pPr>
                </w:p>
              </w:tc>
              <w:tc>
                <w:tcPr>
                  <w:tcW w:w="1261"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CJWLX</w:t>
                  </w:r>
                </w:p>
              </w:tc>
              <w:tc>
                <w:tcPr>
                  <w:tcW w:w="172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VARCHAR2(50)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50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677"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沉积物类型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7"/>
                    </w:numPr>
                    <w:jc w:val="center"/>
                    <w:rPr>
                      <w:rFonts w:ascii="宋体" w:hAnsi="宋体" w:cs="宋体"/>
                      <w:color w:val="auto"/>
                      <w:sz w:val="20"/>
                      <w:highlight w:val="none"/>
                    </w:rPr>
                  </w:pPr>
                </w:p>
              </w:tc>
              <w:tc>
                <w:tcPr>
                  <w:tcW w:w="1261"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XCZK</w:t>
                  </w:r>
                </w:p>
              </w:tc>
              <w:tc>
                <w:tcPr>
                  <w:tcW w:w="172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VARCHAR2(400)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400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677"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现场状况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7"/>
                    </w:numPr>
                    <w:jc w:val="center"/>
                    <w:rPr>
                      <w:rFonts w:ascii="宋体" w:hAnsi="宋体" w:cs="宋体"/>
                      <w:color w:val="auto"/>
                      <w:sz w:val="20"/>
                      <w:highlight w:val="none"/>
                    </w:rPr>
                  </w:pPr>
                </w:p>
              </w:tc>
              <w:tc>
                <w:tcPr>
                  <w:tcW w:w="1261"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WSBSJYY</w:t>
                  </w:r>
                </w:p>
              </w:tc>
              <w:tc>
                <w:tcPr>
                  <w:tcW w:w="172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VARCHAR2(2000)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2000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677"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未上报数据原因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7"/>
                    </w:numPr>
                    <w:jc w:val="center"/>
                    <w:rPr>
                      <w:rFonts w:ascii="宋体" w:hAnsi="宋体" w:cs="宋体"/>
                      <w:color w:val="auto"/>
                      <w:sz w:val="20"/>
                      <w:highlight w:val="none"/>
                    </w:rPr>
                  </w:pPr>
                </w:p>
              </w:tc>
              <w:tc>
                <w:tcPr>
                  <w:tcW w:w="1261"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BZ</w:t>
                  </w:r>
                </w:p>
              </w:tc>
              <w:tc>
                <w:tcPr>
                  <w:tcW w:w="172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VARCHAR2(2000)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2000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677"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7"/>
                    </w:numPr>
                    <w:jc w:val="center"/>
                    <w:rPr>
                      <w:rFonts w:ascii="宋体" w:hAnsi="宋体" w:cs="宋体"/>
                      <w:color w:val="auto"/>
                      <w:sz w:val="20"/>
                      <w:highlight w:val="none"/>
                    </w:rPr>
                  </w:pPr>
                </w:p>
              </w:tc>
              <w:tc>
                <w:tcPr>
                  <w:tcW w:w="1261"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ZXBZBH</w:t>
                  </w:r>
                </w:p>
              </w:tc>
              <w:tc>
                <w:tcPr>
                  <w:tcW w:w="172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VARCHAR2(50)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50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677"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执行标准编号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7"/>
                    </w:numPr>
                    <w:jc w:val="center"/>
                    <w:rPr>
                      <w:rFonts w:ascii="宋体" w:hAnsi="宋体" w:cs="宋体"/>
                      <w:color w:val="auto"/>
                      <w:sz w:val="20"/>
                      <w:highlight w:val="none"/>
                    </w:rPr>
                  </w:pPr>
                </w:p>
              </w:tc>
              <w:tc>
                <w:tcPr>
                  <w:tcW w:w="1261"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ZXBZMC</w:t>
                  </w:r>
                </w:p>
              </w:tc>
              <w:tc>
                <w:tcPr>
                  <w:tcW w:w="172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VARCHAR2(200)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200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677"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执行标准名称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7"/>
                    </w:numPr>
                    <w:jc w:val="center"/>
                    <w:rPr>
                      <w:rFonts w:ascii="宋体" w:hAnsi="宋体" w:cs="宋体"/>
                      <w:color w:val="auto"/>
                      <w:sz w:val="20"/>
                      <w:highlight w:val="none"/>
                    </w:rPr>
                  </w:pPr>
                </w:p>
              </w:tc>
              <w:tc>
                <w:tcPr>
                  <w:tcW w:w="1261"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ZLLB</w:t>
                  </w:r>
                </w:p>
              </w:tc>
              <w:tc>
                <w:tcPr>
                  <w:tcW w:w="172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VARCHAR2(50)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50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677"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质量类别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7"/>
                    </w:numPr>
                    <w:jc w:val="center"/>
                    <w:rPr>
                      <w:rFonts w:ascii="宋体" w:hAnsi="宋体" w:cs="宋体"/>
                      <w:color w:val="auto"/>
                      <w:sz w:val="20"/>
                      <w:highlight w:val="none"/>
                    </w:rPr>
                  </w:pPr>
                </w:p>
              </w:tc>
              <w:tc>
                <w:tcPr>
                  <w:tcW w:w="1261"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ZLJB</w:t>
                  </w:r>
                </w:p>
              </w:tc>
              <w:tc>
                <w:tcPr>
                  <w:tcW w:w="172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VARCHAR2(50)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50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677"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质量级别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7"/>
                    </w:numPr>
                    <w:jc w:val="center"/>
                    <w:rPr>
                      <w:rFonts w:ascii="宋体" w:hAnsi="宋体" w:cs="宋体"/>
                      <w:color w:val="auto"/>
                      <w:sz w:val="20"/>
                      <w:highlight w:val="none"/>
                    </w:rPr>
                  </w:pPr>
                </w:p>
              </w:tc>
              <w:tc>
                <w:tcPr>
                  <w:tcW w:w="1261"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ZYWRWJCBBS</w:t>
                  </w:r>
                </w:p>
              </w:tc>
              <w:tc>
                <w:tcPr>
                  <w:tcW w:w="172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VARCHAR2(200)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200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677" w:type="dxa"/>
                  <w:tcBorders>
                    <w:top w:val="single" w:color="auto" w:sz="4" w:space="0"/>
                    <w:left w:val="single" w:color="auto" w:sz="4" w:space="0"/>
                    <w:bottom w:val="single" w:color="auto" w:sz="4" w:space="0"/>
                    <w:right w:val="single" w:color="auto" w:sz="4" w:space="0"/>
                  </w:tcBorders>
                  <w:vAlign w:val="center"/>
                </w:tcPr>
                <w:p>
                  <w:pPr>
                    <w:widowControl/>
                    <w:spacing w:line="240" w:lineRule="exact"/>
                    <w:jc w:val="center"/>
                    <w:rPr>
                      <w:rFonts w:ascii="宋体" w:hAnsi="宋体" w:cs="宋体"/>
                      <w:color w:val="auto"/>
                      <w:sz w:val="20"/>
                      <w:highlight w:val="none"/>
                    </w:rPr>
                  </w:pPr>
                  <w:r>
                    <w:rPr>
                      <w:rFonts w:hint="eastAsia" w:ascii="宋体" w:hAnsi="宋体"/>
                      <w:color w:val="auto"/>
                      <w:sz w:val="20"/>
                      <w:highlight w:val="none"/>
                    </w:rPr>
                    <w:t>主要污染物及超标倍数: 石油类（0.12）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7"/>
                    </w:numPr>
                    <w:jc w:val="center"/>
                    <w:rPr>
                      <w:rFonts w:ascii="宋体" w:hAnsi="宋体" w:cs="宋体"/>
                      <w:color w:val="auto"/>
                      <w:sz w:val="20"/>
                      <w:highlight w:val="none"/>
                    </w:rPr>
                  </w:pPr>
                </w:p>
              </w:tc>
              <w:tc>
                <w:tcPr>
                  <w:tcW w:w="1261"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CJR</w:t>
                  </w:r>
                </w:p>
              </w:tc>
              <w:tc>
                <w:tcPr>
                  <w:tcW w:w="172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VARCHAR2(50)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50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677"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创建人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7"/>
                    </w:numPr>
                    <w:jc w:val="center"/>
                    <w:rPr>
                      <w:rFonts w:ascii="宋体" w:hAnsi="宋体" w:cs="宋体"/>
                      <w:color w:val="auto"/>
                      <w:sz w:val="20"/>
                      <w:highlight w:val="none"/>
                    </w:rPr>
                  </w:pPr>
                </w:p>
              </w:tc>
              <w:tc>
                <w:tcPr>
                  <w:tcW w:w="1261"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CJSJ</w:t>
                  </w:r>
                </w:p>
              </w:tc>
              <w:tc>
                <w:tcPr>
                  <w:tcW w:w="172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DATE</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677"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创建时间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7"/>
                    </w:numPr>
                    <w:jc w:val="center"/>
                    <w:rPr>
                      <w:rFonts w:ascii="宋体" w:hAnsi="宋体" w:cs="宋体"/>
                      <w:color w:val="auto"/>
                      <w:sz w:val="20"/>
                      <w:highlight w:val="none"/>
                    </w:rPr>
                  </w:pPr>
                </w:p>
              </w:tc>
              <w:tc>
                <w:tcPr>
                  <w:tcW w:w="1261"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XGR</w:t>
                  </w:r>
                </w:p>
              </w:tc>
              <w:tc>
                <w:tcPr>
                  <w:tcW w:w="172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VARCHAR2(50)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50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677"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修改人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7"/>
                    </w:numPr>
                    <w:jc w:val="center"/>
                    <w:rPr>
                      <w:rFonts w:ascii="宋体" w:hAnsi="宋体" w:cs="宋体"/>
                      <w:color w:val="auto"/>
                      <w:sz w:val="20"/>
                      <w:highlight w:val="none"/>
                    </w:rPr>
                  </w:pPr>
                </w:p>
              </w:tc>
              <w:tc>
                <w:tcPr>
                  <w:tcW w:w="1261"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XGSJ</w:t>
                  </w:r>
                </w:p>
              </w:tc>
              <w:tc>
                <w:tcPr>
                  <w:tcW w:w="172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DATE</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677"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修改时间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7"/>
                    </w:numPr>
                    <w:jc w:val="center"/>
                    <w:rPr>
                      <w:rFonts w:ascii="宋体" w:hAnsi="宋体" w:cs="宋体"/>
                      <w:color w:val="auto"/>
                      <w:sz w:val="20"/>
                      <w:highlight w:val="none"/>
                    </w:rPr>
                  </w:pPr>
                </w:p>
              </w:tc>
              <w:tc>
                <w:tcPr>
                  <w:tcW w:w="1261"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ORGID</w:t>
                  </w:r>
                </w:p>
              </w:tc>
              <w:tc>
                <w:tcPr>
                  <w:tcW w:w="172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VARCHAR2(50)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50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677"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组织机构代码</w:t>
                  </w:r>
                </w:p>
              </w:tc>
            </w:tr>
          </w:tbl>
          <w:p>
            <w:pPr>
              <w:widowControl/>
              <w:snapToGrid w:val="0"/>
              <w:spacing w:line="600" w:lineRule="exact"/>
              <w:ind w:firstLine="560"/>
              <w:rPr>
                <w:rFonts w:ascii="宋体" w:hAnsi="宋体" w:cs="宋体"/>
                <w:color w:val="auto"/>
                <w:szCs w:val="28"/>
                <w:highlight w:val="none"/>
              </w:rPr>
            </w:pPr>
            <w:r>
              <w:rPr>
                <w:rFonts w:hint="eastAsia" w:ascii="宋体" w:hAnsi="宋体" w:cs="宋体"/>
                <w:color w:val="auto"/>
                <w:szCs w:val="28"/>
                <w:highlight w:val="none"/>
              </w:rPr>
              <w:t>5、海水沉积物监测结果（T_JCSJZX_HYS_CJW_JCJG）</w:t>
            </w:r>
          </w:p>
          <w:tbl>
            <w:tblPr>
              <w:tblStyle w:val="58"/>
              <w:tblW w:w="964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0"/>
              <w:gridCol w:w="1224"/>
              <w:gridCol w:w="1705"/>
              <w:gridCol w:w="714"/>
              <w:gridCol w:w="945"/>
              <w:gridCol w:w="712"/>
              <w:gridCol w:w="946"/>
              <w:gridCol w:w="269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color w:val="auto"/>
                      <w:sz w:val="20"/>
                      <w:highlight w:val="none"/>
                    </w:rPr>
                  </w:pPr>
                  <w:r>
                    <w:rPr>
                      <w:rFonts w:hint="eastAsia" w:ascii="宋体" w:hAnsi="宋体" w:cs="宋体"/>
                      <w:color w:val="auto"/>
                      <w:sz w:val="20"/>
                      <w:highlight w:val="none"/>
                    </w:rPr>
                    <w:t>序号</w:t>
                  </w:r>
                </w:p>
              </w:tc>
              <w:tc>
                <w:tcPr>
                  <w:tcW w:w="1224"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color w:val="auto"/>
                      <w:sz w:val="20"/>
                      <w:highlight w:val="none"/>
                    </w:rPr>
                  </w:pPr>
                  <w:r>
                    <w:rPr>
                      <w:rFonts w:hint="eastAsia" w:ascii="宋体" w:hAnsi="宋体" w:cs="宋体"/>
                      <w:color w:val="auto"/>
                      <w:sz w:val="20"/>
                      <w:highlight w:val="none"/>
                    </w:rPr>
                    <w:t>字段名</w:t>
                  </w:r>
                </w:p>
              </w:tc>
              <w:tc>
                <w:tcPr>
                  <w:tcW w:w="170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color w:val="auto"/>
                      <w:sz w:val="20"/>
                      <w:highlight w:val="none"/>
                    </w:rPr>
                  </w:pPr>
                  <w:r>
                    <w:rPr>
                      <w:rFonts w:hint="eastAsia" w:ascii="宋体" w:hAnsi="宋体" w:cs="宋体"/>
                      <w:color w:val="auto"/>
                      <w:sz w:val="20"/>
                      <w:highlight w:val="none"/>
                    </w:rPr>
                    <w:t>数据类型</w:t>
                  </w:r>
                </w:p>
              </w:tc>
              <w:tc>
                <w:tcPr>
                  <w:tcW w:w="714"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color w:val="auto"/>
                      <w:sz w:val="20"/>
                      <w:highlight w:val="none"/>
                    </w:rPr>
                  </w:pPr>
                  <w:r>
                    <w:rPr>
                      <w:rFonts w:hint="eastAsia" w:ascii="宋体" w:hAnsi="宋体" w:cs="宋体"/>
                      <w:color w:val="auto"/>
                      <w:sz w:val="20"/>
                      <w:highlight w:val="none"/>
                    </w:rPr>
                    <w:t>长度</w:t>
                  </w:r>
                </w:p>
              </w:tc>
              <w:tc>
                <w:tcPr>
                  <w:tcW w:w="94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color w:val="auto"/>
                      <w:sz w:val="20"/>
                      <w:highlight w:val="none"/>
                    </w:rPr>
                  </w:pPr>
                  <w:r>
                    <w:rPr>
                      <w:rFonts w:hint="eastAsia" w:ascii="宋体" w:hAnsi="宋体" w:cs="宋体"/>
                      <w:color w:val="auto"/>
                      <w:sz w:val="20"/>
                      <w:highlight w:val="none"/>
                    </w:rPr>
                    <w:t>小数位</w:t>
                  </w:r>
                </w:p>
              </w:tc>
              <w:tc>
                <w:tcPr>
                  <w:tcW w:w="71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color w:val="auto"/>
                      <w:sz w:val="20"/>
                      <w:highlight w:val="none"/>
                    </w:rPr>
                  </w:pPr>
                  <w:r>
                    <w:rPr>
                      <w:rFonts w:hint="eastAsia" w:ascii="宋体" w:hAnsi="宋体" w:cs="宋体"/>
                      <w:color w:val="auto"/>
                      <w:sz w:val="20"/>
                      <w:highlight w:val="none"/>
                    </w:rPr>
                    <w:t>主键</w:t>
                  </w:r>
                </w:p>
              </w:tc>
              <w:tc>
                <w:tcPr>
                  <w:tcW w:w="94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color w:val="auto"/>
                      <w:sz w:val="20"/>
                      <w:highlight w:val="none"/>
                    </w:rPr>
                  </w:pPr>
                  <w:r>
                    <w:rPr>
                      <w:rFonts w:hint="eastAsia" w:ascii="宋体" w:hAnsi="宋体" w:cs="宋体"/>
                      <w:color w:val="auto"/>
                      <w:sz w:val="20"/>
                      <w:highlight w:val="none"/>
                    </w:rPr>
                    <w:t>允许空</w:t>
                  </w:r>
                </w:p>
              </w:tc>
              <w:tc>
                <w:tcPr>
                  <w:tcW w:w="26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color w:val="auto"/>
                      <w:sz w:val="20"/>
                      <w:highlight w:val="none"/>
                    </w:rPr>
                  </w:pPr>
                  <w:r>
                    <w:rPr>
                      <w:rFonts w:hint="eastAsia" w:ascii="宋体" w:hAnsi="宋体" w:cs="宋体"/>
                      <w:color w:val="auto"/>
                      <w:sz w:val="20"/>
                      <w:highlight w:val="none"/>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8"/>
                    </w:numPr>
                    <w:jc w:val="center"/>
                    <w:rPr>
                      <w:rFonts w:ascii="宋体" w:hAnsi="宋体" w:cs="宋体"/>
                      <w:color w:val="auto"/>
                      <w:sz w:val="20"/>
                      <w:highlight w:val="none"/>
                    </w:rPr>
                  </w:pPr>
                </w:p>
              </w:tc>
              <w:tc>
                <w:tcPr>
                  <w:tcW w:w="122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XH</w:t>
                  </w:r>
                </w:p>
              </w:tc>
              <w:tc>
                <w:tcPr>
                  <w:tcW w:w="170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VARCHAR2(50)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50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269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序号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8"/>
                    </w:numPr>
                    <w:jc w:val="center"/>
                    <w:rPr>
                      <w:rFonts w:ascii="宋体" w:hAnsi="宋体" w:cs="宋体"/>
                      <w:color w:val="auto"/>
                      <w:sz w:val="20"/>
                      <w:highlight w:val="none"/>
                    </w:rPr>
                  </w:pPr>
                </w:p>
              </w:tc>
              <w:tc>
                <w:tcPr>
                  <w:tcW w:w="122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CYXH</w:t>
                  </w:r>
                </w:p>
              </w:tc>
              <w:tc>
                <w:tcPr>
                  <w:tcW w:w="170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VARCHAR2(50)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50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269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采样序号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8"/>
                    </w:numPr>
                    <w:jc w:val="center"/>
                    <w:rPr>
                      <w:rFonts w:ascii="宋体" w:hAnsi="宋体" w:cs="宋体"/>
                      <w:color w:val="auto"/>
                      <w:sz w:val="20"/>
                      <w:highlight w:val="none"/>
                    </w:rPr>
                  </w:pPr>
                </w:p>
              </w:tc>
              <w:tc>
                <w:tcPr>
                  <w:tcW w:w="122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FXXMDM</w:t>
                  </w:r>
                </w:p>
              </w:tc>
              <w:tc>
                <w:tcPr>
                  <w:tcW w:w="170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VARCHAR2(50)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50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269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分析项目编号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8"/>
                    </w:numPr>
                    <w:jc w:val="center"/>
                    <w:rPr>
                      <w:rFonts w:ascii="宋体" w:hAnsi="宋体" w:cs="宋体"/>
                      <w:color w:val="auto"/>
                      <w:sz w:val="20"/>
                      <w:highlight w:val="none"/>
                    </w:rPr>
                  </w:pPr>
                </w:p>
              </w:tc>
              <w:tc>
                <w:tcPr>
                  <w:tcW w:w="122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FXXMMC</w:t>
                  </w:r>
                </w:p>
              </w:tc>
              <w:tc>
                <w:tcPr>
                  <w:tcW w:w="170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VARCHAR2(100)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100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269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分析项目名称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8"/>
                    </w:numPr>
                    <w:jc w:val="center"/>
                    <w:rPr>
                      <w:rFonts w:ascii="宋体" w:hAnsi="宋体" w:cs="宋体"/>
                      <w:color w:val="auto"/>
                      <w:sz w:val="20"/>
                      <w:highlight w:val="none"/>
                    </w:rPr>
                  </w:pPr>
                </w:p>
              </w:tc>
              <w:tc>
                <w:tcPr>
                  <w:tcW w:w="122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JCXDW</w:t>
                  </w:r>
                </w:p>
              </w:tc>
              <w:tc>
                <w:tcPr>
                  <w:tcW w:w="170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VARCHAR2(50)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50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69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检出限单位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8"/>
                    </w:numPr>
                    <w:jc w:val="center"/>
                    <w:rPr>
                      <w:rFonts w:ascii="宋体" w:hAnsi="宋体" w:cs="宋体"/>
                      <w:color w:val="auto"/>
                      <w:sz w:val="20"/>
                      <w:highlight w:val="none"/>
                    </w:rPr>
                  </w:pPr>
                </w:p>
              </w:tc>
              <w:tc>
                <w:tcPr>
                  <w:tcW w:w="122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JCX</w:t>
                  </w:r>
                </w:p>
              </w:tc>
              <w:tc>
                <w:tcPr>
                  <w:tcW w:w="170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NUMBER</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69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检出限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8"/>
                    </w:numPr>
                    <w:jc w:val="center"/>
                    <w:rPr>
                      <w:rFonts w:ascii="宋体" w:hAnsi="宋体" w:cs="宋体"/>
                      <w:color w:val="auto"/>
                      <w:sz w:val="20"/>
                      <w:highlight w:val="none"/>
                    </w:rPr>
                  </w:pPr>
                </w:p>
              </w:tc>
              <w:tc>
                <w:tcPr>
                  <w:tcW w:w="122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BCJG</w:t>
                  </w:r>
                </w:p>
              </w:tc>
              <w:tc>
                <w:tcPr>
                  <w:tcW w:w="170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NUMBER</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69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报出结果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8"/>
                    </w:numPr>
                    <w:jc w:val="center"/>
                    <w:rPr>
                      <w:rFonts w:ascii="宋体" w:hAnsi="宋体" w:cs="宋体"/>
                      <w:color w:val="auto"/>
                      <w:sz w:val="20"/>
                      <w:highlight w:val="none"/>
                    </w:rPr>
                  </w:pPr>
                </w:p>
              </w:tc>
              <w:tc>
                <w:tcPr>
                  <w:tcW w:w="122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BCJGDW</w:t>
                  </w:r>
                </w:p>
              </w:tc>
              <w:tc>
                <w:tcPr>
                  <w:tcW w:w="170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VARCHAR2(50)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50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69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报出结果单位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8"/>
                    </w:numPr>
                    <w:jc w:val="center"/>
                    <w:rPr>
                      <w:rFonts w:ascii="宋体" w:hAnsi="宋体" w:cs="宋体"/>
                      <w:color w:val="auto"/>
                      <w:sz w:val="20"/>
                      <w:highlight w:val="none"/>
                    </w:rPr>
                  </w:pPr>
                </w:p>
              </w:tc>
              <w:tc>
                <w:tcPr>
                  <w:tcW w:w="122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BCJGBS</w:t>
                  </w:r>
                </w:p>
              </w:tc>
              <w:tc>
                <w:tcPr>
                  <w:tcW w:w="170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VARCHAR2(100)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100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69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报出结果表示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8"/>
                    </w:numPr>
                    <w:jc w:val="center"/>
                    <w:rPr>
                      <w:rFonts w:ascii="宋体" w:hAnsi="宋体" w:cs="宋体"/>
                      <w:color w:val="auto"/>
                      <w:sz w:val="20"/>
                      <w:highlight w:val="none"/>
                    </w:rPr>
                  </w:pPr>
                </w:p>
              </w:tc>
              <w:tc>
                <w:tcPr>
                  <w:tcW w:w="122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SFCB</w:t>
                  </w:r>
                </w:p>
              </w:tc>
              <w:tc>
                <w:tcPr>
                  <w:tcW w:w="170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VARCHAR2(50)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50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69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是否超标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8"/>
                    </w:numPr>
                    <w:jc w:val="center"/>
                    <w:rPr>
                      <w:rFonts w:ascii="宋体" w:hAnsi="宋体" w:cs="宋体"/>
                      <w:color w:val="auto"/>
                      <w:sz w:val="20"/>
                      <w:highlight w:val="none"/>
                    </w:rPr>
                  </w:pPr>
                </w:p>
              </w:tc>
              <w:tc>
                <w:tcPr>
                  <w:tcW w:w="122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CBBS</w:t>
                  </w:r>
                </w:p>
              </w:tc>
              <w:tc>
                <w:tcPr>
                  <w:tcW w:w="170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NUMBER</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69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超标倍数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8"/>
                    </w:numPr>
                    <w:jc w:val="center"/>
                    <w:rPr>
                      <w:rFonts w:ascii="宋体" w:hAnsi="宋体" w:cs="宋体"/>
                      <w:color w:val="auto"/>
                      <w:sz w:val="20"/>
                      <w:highlight w:val="none"/>
                    </w:rPr>
                  </w:pPr>
                </w:p>
              </w:tc>
              <w:tc>
                <w:tcPr>
                  <w:tcW w:w="122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ZLLB</w:t>
                  </w:r>
                </w:p>
              </w:tc>
              <w:tc>
                <w:tcPr>
                  <w:tcW w:w="170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VARCHAR2(50)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50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69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质量类别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8"/>
                    </w:numPr>
                    <w:jc w:val="center"/>
                    <w:rPr>
                      <w:rFonts w:ascii="宋体" w:hAnsi="宋体" w:cs="宋体"/>
                      <w:color w:val="auto"/>
                      <w:sz w:val="20"/>
                      <w:highlight w:val="none"/>
                    </w:rPr>
                  </w:pPr>
                </w:p>
              </w:tc>
              <w:tc>
                <w:tcPr>
                  <w:tcW w:w="122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CJR</w:t>
                  </w:r>
                </w:p>
              </w:tc>
              <w:tc>
                <w:tcPr>
                  <w:tcW w:w="170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VARCHAR2(50)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50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69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创建人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8"/>
                    </w:numPr>
                    <w:jc w:val="center"/>
                    <w:rPr>
                      <w:rFonts w:ascii="宋体" w:hAnsi="宋体" w:cs="宋体"/>
                      <w:color w:val="auto"/>
                      <w:sz w:val="20"/>
                      <w:highlight w:val="none"/>
                    </w:rPr>
                  </w:pPr>
                </w:p>
              </w:tc>
              <w:tc>
                <w:tcPr>
                  <w:tcW w:w="122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CJSJ</w:t>
                  </w:r>
                </w:p>
              </w:tc>
              <w:tc>
                <w:tcPr>
                  <w:tcW w:w="170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DATE</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69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创建时间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8"/>
                    </w:numPr>
                    <w:jc w:val="center"/>
                    <w:rPr>
                      <w:rFonts w:ascii="宋体" w:hAnsi="宋体" w:cs="宋体"/>
                      <w:color w:val="auto"/>
                      <w:sz w:val="20"/>
                      <w:highlight w:val="none"/>
                    </w:rPr>
                  </w:pPr>
                </w:p>
              </w:tc>
              <w:tc>
                <w:tcPr>
                  <w:tcW w:w="122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XGR</w:t>
                  </w:r>
                </w:p>
              </w:tc>
              <w:tc>
                <w:tcPr>
                  <w:tcW w:w="170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VARCHAR2(50)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50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69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修改人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8"/>
                    </w:numPr>
                    <w:jc w:val="center"/>
                    <w:rPr>
                      <w:rFonts w:ascii="宋体" w:hAnsi="宋体" w:cs="宋体"/>
                      <w:color w:val="auto"/>
                      <w:sz w:val="20"/>
                      <w:highlight w:val="none"/>
                    </w:rPr>
                  </w:pPr>
                </w:p>
              </w:tc>
              <w:tc>
                <w:tcPr>
                  <w:tcW w:w="122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XGSJ</w:t>
                  </w:r>
                </w:p>
              </w:tc>
              <w:tc>
                <w:tcPr>
                  <w:tcW w:w="170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DATE</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69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修改时间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8"/>
                    </w:numPr>
                    <w:jc w:val="center"/>
                    <w:rPr>
                      <w:rFonts w:ascii="宋体" w:hAnsi="宋体" w:cs="宋体"/>
                      <w:color w:val="auto"/>
                      <w:sz w:val="20"/>
                      <w:highlight w:val="none"/>
                    </w:rPr>
                  </w:pPr>
                </w:p>
              </w:tc>
              <w:tc>
                <w:tcPr>
                  <w:tcW w:w="122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ORGID</w:t>
                  </w:r>
                </w:p>
              </w:tc>
              <w:tc>
                <w:tcPr>
                  <w:tcW w:w="170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VARCHAR2(50)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50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69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组织机构代码</w:t>
                  </w:r>
                </w:p>
              </w:tc>
            </w:tr>
          </w:tbl>
          <w:p>
            <w:pPr>
              <w:widowControl/>
              <w:snapToGrid w:val="0"/>
              <w:spacing w:line="600" w:lineRule="exact"/>
              <w:ind w:firstLine="560"/>
              <w:rPr>
                <w:rFonts w:ascii="宋体" w:hAnsi="宋体" w:cs="宋体"/>
                <w:color w:val="auto"/>
                <w:szCs w:val="28"/>
                <w:highlight w:val="none"/>
              </w:rPr>
            </w:pPr>
            <w:r>
              <w:rPr>
                <w:rFonts w:hint="eastAsia" w:ascii="宋体" w:hAnsi="宋体" w:cs="宋体"/>
                <w:color w:val="auto"/>
                <w:szCs w:val="28"/>
                <w:highlight w:val="none"/>
              </w:rPr>
              <w:t>6、海水生物残留监测采样信息（T_JCSJZX_HYS_SWCL_CYXX）</w:t>
            </w:r>
          </w:p>
          <w:tbl>
            <w:tblPr>
              <w:tblStyle w:val="58"/>
              <w:tblW w:w="961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0"/>
              <w:gridCol w:w="1239"/>
              <w:gridCol w:w="1690"/>
              <w:gridCol w:w="714"/>
              <w:gridCol w:w="945"/>
              <w:gridCol w:w="712"/>
              <w:gridCol w:w="946"/>
              <w:gridCol w:w="266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color w:val="auto"/>
                      <w:sz w:val="20"/>
                      <w:highlight w:val="none"/>
                    </w:rPr>
                  </w:pPr>
                  <w:r>
                    <w:rPr>
                      <w:rFonts w:hint="eastAsia" w:ascii="宋体" w:hAnsi="宋体" w:cs="宋体"/>
                      <w:color w:val="auto"/>
                      <w:sz w:val="20"/>
                      <w:highlight w:val="none"/>
                    </w:rPr>
                    <w:t>序号</w:t>
                  </w:r>
                </w:p>
              </w:tc>
              <w:tc>
                <w:tcPr>
                  <w:tcW w:w="123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color w:val="auto"/>
                      <w:sz w:val="20"/>
                      <w:highlight w:val="none"/>
                    </w:rPr>
                  </w:pPr>
                  <w:r>
                    <w:rPr>
                      <w:rFonts w:hint="eastAsia" w:ascii="宋体" w:hAnsi="宋体"/>
                      <w:color w:val="auto"/>
                      <w:sz w:val="20"/>
                      <w:highlight w:val="none"/>
                    </w:rPr>
                    <w:t>字段名</w:t>
                  </w:r>
                </w:p>
              </w:tc>
              <w:tc>
                <w:tcPr>
                  <w:tcW w:w="169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数据类型</w:t>
                  </w:r>
                </w:p>
              </w:tc>
              <w:tc>
                <w:tcPr>
                  <w:tcW w:w="714"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color w:val="auto"/>
                      <w:sz w:val="20"/>
                      <w:highlight w:val="none"/>
                    </w:rPr>
                  </w:pPr>
                  <w:r>
                    <w:rPr>
                      <w:rFonts w:hint="eastAsia" w:ascii="宋体" w:hAnsi="宋体"/>
                      <w:color w:val="auto"/>
                      <w:sz w:val="20"/>
                      <w:highlight w:val="none"/>
                    </w:rPr>
                    <w:t>长度</w:t>
                  </w:r>
                </w:p>
              </w:tc>
              <w:tc>
                <w:tcPr>
                  <w:tcW w:w="94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color w:val="auto"/>
                      <w:sz w:val="20"/>
                      <w:highlight w:val="none"/>
                    </w:rPr>
                  </w:pPr>
                  <w:r>
                    <w:rPr>
                      <w:rFonts w:hint="eastAsia" w:ascii="宋体" w:hAnsi="宋体"/>
                      <w:color w:val="auto"/>
                      <w:sz w:val="20"/>
                      <w:highlight w:val="none"/>
                    </w:rPr>
                    <w:t>小数位</w:t>
                  </w:r>
                </w:p>
              </w:tc>
              <w:tc>
                <w:tcPr>
                  <w:tcW w:w="71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color w:val="auto"/>
                      <w:sz w:val="20"/>
                      <w:highlight w:val="none"/>
                    </w:rPr>
                  </w:pPr>
                  <w:r>
                    <w:rPr>
                      <w:rFonts w:hint="eastAsia" w:ascii="宋体" w:hAnsi="宋体"/>
                      <w:color w:val="auto"/>
                      <w:sz w:val="20"/>
                      <w:highlight w:val="none"/>
                    </w:rPr>
                    <w:t>主键</w:t>
                  </w:r>
                </w:p>
              </w:tc>
              <w:tc>
                <w:tcPr>
                  <w:tcW w:w="94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color w:val="auto"/>
                      <w:sz w:val="20"/>
                      <w:highlight w:val="none"/>
                    </w:rPr>
                  </w:pPr>
                  <w:r>
                    <w:rPr>
                      <w:rFonts w:hint="eastAsia" w:ascii="宋体" w:hAnsi="宋体"/>
                      <w:color w:val="auto"/>
                      <w:sz w:val="20"/>
                      <w:highlight w:val="none"/>
                    </w:rPr>
                    <w:t>允许空</w:t>
                  </w:r>
                </w:p>
              </w:tc>
              <w:tc>
                <w:tcPr>
                  <w:tcW w:w="266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color w:val="auto"/>
                      <w:sz w:val="20"/>
                      <w:highlight w:val="none"/>
                    </w:rPr>
                  </w:pPr>
                  <w:r>
                    <w:rPr>
                      <w:rFonts w:hint="eastAsia" w:ascii="宋体" w:hAnsi="宋体"/>
                      <w:color w:val="auto"/>
                      <w:sz w:val="20"/>
                      <w:highlight w:val="none"/>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9"/>
                    </w:numPr>
                    <w:jc w:val="center"/>
                    <w:rPr>
                      <w:rFonts w:ascii="宋体" w:hAnsi="宋体" w:cs="宋体"/>
                      <w:color w:val="auto"/>
                      <w:sz w:val="20"/>
                      <w:highlight w:val="none"/>
                    </w:rPr>
                  </w:pPr>
                </w:p>
              </w:tc>
              <w:tc>
                <w:tcPr>
                  <w:tcW w:w="123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XH</w:t>
                  </w:r>
                </w:p>
              </w:tc>
              <w:tc>
                <w:tcPr>
                  <w:tcW w:w="169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VARCHAR2(50)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50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266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序号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9"/>
                    </w:numPr>
                    <w:jc w:val="center"/>
                    <w:rPr>
                      <w:rFonts w:ascii="宋体" w:hAnsi="宋体" w:cs="宋体"/>
                      <w:color w:val="auto"/>
                      <w:sz w:val="20"/>
                      <w:highlight w:val="none"/>
                    </w:rPr>
                  </w:pPr>
                </w:p>
              </w:tc>
              <w:tc>
                <w:tcPr>
                  <w:tcW w:w="123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CDBH</w:t>
                  </w:r>
                </w:p>
              </w:tc>
              <w:tc>
                <w:tcPr>
                  <w:tcW w:w="169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VARCHAR2(50)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50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266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测点编号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9"/>
                    </w:numPr>
                    <w:jc w:val="center"/>
                    <w:rPr>
                      <w:rFonts w:ascii="宋体" w:hAnsi="宋体" w:cs="宋体"/>
                      <w:color w:val="auto"/>
                      <w:sz w:val="20"/>
                      <w:highlight w:val="none"/>
                    </w:rPr>
                  </w:pPr>
                </w:p>
              </w:tc>
              <w:tc>
                <w:tcPr>
                  <w:tcW w:w="123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CDMC</w:t>
                  </w:r>
                </w:p>
              </w:tc>
              <w:tc>
                <w:tcPr>
                  <w:tcW w:w="169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VARCHAR2(100)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100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66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测点名称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9"/>
                    </w:numPr>
                    <w:jc w:val="center"/>
                    <w:rPr>
                      <w:rFonts w:ascii="宋体" w:hAnsi="宋体" w:cs="宋体"/>
                      <w:color w:val="auto"/>
                      <w:sz w:val="20"/>
                      <w:highlight w:val="none"/>
                    </w:rPr>
                  </w:pPr>
                </w:p>
              </w:tc>
              <w:tc>
                <w:tcPr>
                  <w:tcW w:w="123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DWDM</w:t>
                  </w:r>
                </w:p>
              </w:tc>
              <w:tc>
                <w:tcPr>
                  <w:tcW w:w="169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VARCHAR2(50)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50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66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点位代码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9"/>
                    </w:numPr>
                    <w:jc w:val="center"/>
                    <w:rPr>
                      <w:rFonts w:ascii="宋体" w:hAnsi="宋体" w:cs="宋体"/>
                      <w:color w:val="auto"/>
                      <w:sz w:val="20"/>
                      <w:highlight w:val="none"/>
                    </w:rPr>
                  </w:pPr>
                </w:p>
              </w:tc>
              <w:tc>
                <w:tcPr>
                  <w:tcW w:w="123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SSXZQ</w:t>
                  </w:r>
                </w:p>
              </w:tc>
              <w:tc>
                <w:tcPr>
                  <w:tcW w:w="169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VARCHAR2(50)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50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266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所属行政区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9"/>
                    </w:numPr>
                    <w:jc w:val="center"/>
                    <w:rPr>
                      <w:rFonts w:ascii="宋体" w:hAnsi="宋体" w:cs="宋体"/>
                      <w:color w:val="auto"/>
                      <w:sz w:val="20"/>
                      <w:highlight w:val="none"/>
                    </w:rPr>
                  </w:pPr>
                </w:p>
              </w:tc>
              <w:tc>
                <w:tcPr>
                  <w:tcW w:w="123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XZQDM</w:t>
                  </w:r>
                </w:p>
              </w:tc>
              <w:tc>
                <w:tcPr>
                  <w:tcW w:w="169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VARCHAR2(50)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50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266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行政区代码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9"/>
                    </w:numPr>
                    <w:jc w:val="center"/>
                    <w:rPr>
                      <w:rFonts w:ascii="宋体" w:hAnsi="宋体" w:cs="宋体"/>
                      <w:color w:val="auto"/>
                      <w:sz w:val="20"/>
                      <w:highlight w:val="none"/>
                    </w:rPr>
                  </w:pPr>
                </w:p>
              </w:tc>
              <w:tc>
                <w:tcPr>
                  <w:tcW w:w="123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JCRQ</w:t>
                  </w:r>
                </w:p>
              </w:tc>
              <w:tc>
                <w:tcPr>
                  <w:tcW w:w="169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DATE</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266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监测日期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9"/>
                    </w:numPr>
                    <w:jc w:val="center"/>
                    <w:rPr>
                      <w:rFonts w:ascii="宋体" w:hAnsi="宋体" w:cs="宋体"/>
                      <w:color w:val="auto"/>
                      <w:sz w:val="20"/>
                      <w:highlight w:val="none"/>
                    </w:rPr>
                  </w:pPr>
                </w:p>
              </w:tc>
              <w:tc>
                <w:tcPr>
                  <w:tcW w:w="123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ZM</w:t>
                  </w:r>
                </w:p>
              </w:tc>
              <w:tc>
                <w:tcPr>
                  <w:tcW w:w="169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VARCHAR2(50)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50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66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种名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9"/>
                    </w:numPr>
                    <w:jc w:val="center"/>
                    <w:rPr>
                      <w:rFonts w:ascii="宋体" w:hAnsi="宋体" w:cs="宋体"/>
                      <w:color w:val="auto"/>
                      <w:sz w:val="20"/>
                      <w:highlight w:val="none"/>
                    </w:rPr>
                  </w:pPr>
                </w:p>
              </w:tc>
              <w:tc>
                <w:tcPr>
                  <w:tcW w:w="123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YPZL</w:t>
                  </w:r>
                </w:p>
              </w:tc>
              <w:tc>
                <w:tcPr>
                  <w:tcW w:w="169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VARCHAR2(50)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50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66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样品种类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9"/>
                    </w:numPr>
                    <w:jc w:val="center"/>
                    <w:rPr>
                      <w:rFonts w:ascii="宋体" w:hAnsi="宋体" w:cs="宋体"/>
                      <w:color w:val="auto"/>
                      <w:sz w:val="20"/>
                      <w:highlight w:val="none"/>
                    </w:rPr>
                  </w:pPr>
                </w:p>
              </w:tc>
              <w:tc>
                <w:tcPr>
                  <w:tcW w:w="123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JCDW</w:t>
                  </w:r>
                </w:p>
              </w:tc>
              <w:tc>
                <w:tcPr>
                  <w:tcW w:w="169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VARCHAR2(400)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400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66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*监测单位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9"/>
                    </w:numPr>
                    <w:jc w:val="center"/>
                    <w:rPr>
                      <w:rFonts w:ascii="宋体" w:hAnsi="宋体" w:cs="宋体"/>
                      <w:color w:val="auto"/>
                      <w:sz w:val="20"/>
                      <w:highlight w:val="none"/>
                    </w:rPr>
                  </w:pPr>
                </w:p>
              </w:tc>
              <w:tc>
                <w:tcPr>
                  <w:tcW w:w="123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BZ</w:t>
                  </w:r>
                </w:p>
              </w:tc>
              <w:tc>
                <w:tcPr>
                  <w:tcW w:w="169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VARCHAR2(50)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50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66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9"/>
                    </w:numPr>
                    <w:jc w:val="center"/>
                    <w:rPr>
                      <w:rFonts w:ascii="宋体" w:hAnsi="宋体" w:cs="宋体"/>
                      <w:color w:val="auto"/>
                      <w:sz w:val="20"/>
                      <w:highlight w:val="none"/>
                    </w:rPr>
                  </w:pPr>
                </w:p>
              </w:tc>
              <w:tc>
                <w:tcPr>
                  <w:tcW w:w="123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ZXBZMC</w:t>
                  </w:r>
                </w:p>
              </w:tc>
              <w:tc>
                <w:tcPr>
                  <w:tcW w:w="169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VARCHAR2(200)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200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66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执行标准名称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9"/>
                    </w:numPr>
                    <w:jc w:val="center"/>
                    <w:rPr>
                      <w:rFonts w:ascii="宋体" w:hAnsi="宋体" w:cs="宋体"/>
                      <w:color w:val="auto"/>
                      <w:sz w:val="20"/>
                      <w:highlight w:val="none"/>
                    </w:rPr>
                  </w:pPr>
                </w:p>
              </w:tc>
              <w:tc>
                <w:tcPr>
                  <w:tcW w:w="123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ZXBZBH</w:t>
                  </w:r>
                </w:p>
              </w:tc>
              <w:tc>
                <w:tcPr>
                  <w:tcW w:w="169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VARCHAR2(50)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50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66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执行标准编号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9"/>
                    </w:numPr>
                    <w:jc w:val="center"/>
                    <w:rPr>
                      <w:rFonts w:ascii="宋体" w:hAnsi="宋体" w:cs="宋体"/>
                      <w:color w:val="auto"/>
                      <w:sz w:val="20"/>
                      <w:highlight w:val="none"/>
                    </w:rPr>
                  </w:pPr>
                </w:p>
              </w:tc>
              <w:tc>
                <w:tcPr>
                  <w:tcW w:w="123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ZLLB</w:t>
                  </w:r>
                </w:p>
              </w:tc>
              <w:tc>
                <w:tcPr>
                  <w:tcW w:w="169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66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质量类别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9"/>
                    </w:numPr>
                    <w:jc w:val="center"/>
                    <w:rPr>
                      <w:rFonts w:ascii="宋体" w:hAnsi="宋体" w:cs="宋体"/>
                      <w:color w:val="auto"/>
                      <w:sz w:val="20"/>
                      <w:highlight w:val="none"/>
                    </w:rPr>
                  </w:pPr>
                </w:p>
              </w:tc>
              <w:tc>
                <w:tcPr>
                  <w:tcW w:w="123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GDPJBJ</w:t>
                  </w:r>
                </w:p>
              </w:tc>
              <w:tc>
                <w:tcPr>
                  <w:tcW w:w="169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VARCHAR2(50)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50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66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固定评价标记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9"/>
                    </w:numPr>
                    <w:jc w:val="center"/>
                    <w:rPr>
                      <w:rFonts w:ascii="宋体" w:hAnsi="宋体" w:cs="宋体"/>
                      <w:color w:val="auto"/>
                      <w:sz w:val="20"/>
                      <w:highlight w:val="none"/>
                    </w:rPr>
                  </w:pPr>
                </w:p>
              </w:tc>
              <w:tc>
                <w:tcPr>
                  <w:tcW w:w="123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CJR</w:t>
                  </w:r>
                </w:p>
              </w:tc>
              <w:tc>
                <w:tcPr>
                  <w:tcW w:w="169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VARCHAR2(50)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50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66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创建人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9"/>
                    </w:numPr>
                    <w:jc w:val="center"/>
                    <w:rPr>
                      <w:rFonts w:ascii="宋体" w:hAnsi="宋体" w:cs="宋体"/>
                      <w:color w:val="auto"/>
                      <w:sz w:val="20"/>
                      <w:highlight w:val="none"/>
                    </w:rPr>
                  </w:pPr>
                </w:p>
              </w:tc>
              <w:tc>
                <w:tcPr>
                  <w:tcW w:w="123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CJSJ</w:t>
                  </w:r>
                </w:p>
              </w:tc>
              <w:tc>
                <w:tcPr>
                  <w:tcW w:w="169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DATE</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66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创建时间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9"/>
                    </w:numPr>
                    <w:jc w:val="center"/>
                    <w:rPr>
                      <w:rFonts w:ascii="宋体" w:hAnsi="宋体" w:cs="宋体"/>
                      <w:color w:val="auto"/>
                      <w:sz w:val="20"/>
                      <w:highlight w:val="none"/>
                    </w:rPr>
                  </w:pPr>
                </w:p>
              </w:tc>
              <w:tc>
                <w:tcPr>
                  <w:tcW w:w="123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XGR</w:t>
                  </w:r>
                </w:p>
              </w:tc>
              <w:tc>
                <w:tcPr>
                  <w:tcW w:w="169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VARCHAR2(50)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50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66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修改人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9"/>
                    </w:numPr>
                    <w:jc w:val="center"/>
                    <w:rPr>
                      <w:rFonts w:ascii="宋体" w:hAnsi="宋体" w:cs="宋体"/>
                      <w:color w:val="auto"/>
                      <w:sz w:val="20"/>
                      <w:highlight w:val="none"/>
                    </w:rPr>
                  </w:pPr>
                </w:p>
              </w:tc>
              <w:tc>
                <w:tcPr>
                  <w:tcW w:w="123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XGSJ</w:t>
                  </w:r>
                </w:p>
              </w:tc>
              <w:tc>
                <w:tcPr>
                  <w:tcW w:w="169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DATE</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66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修改时间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9"/>
                    </w:numPr>
                    <w:jc w:val="center"/>
                    <w:rPr>
                      <w:rFonts w:ascii="宋体" w:hAnsi="宋体" w:cs="宋体"/>
                      <w:color w:val="auto"/>
                      <w:sz w:val="20"/>
                      <w:highlight w:val="none"/>
                    </w:rPr>
                  </w:pPr>
                </w:p>
              </w:tc>
              <w:tc>
                <w:tcPr>
                  <w:tcW w:w="123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ORGID</w:t>
                  </w:r>
                </w:p>
              </w:tc>
              <w:tc>
                <w:tcPr>
                  <w:tcW w:w="169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VARCHAR2(50)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50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66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组织机构代码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jc w:val="center"/>
              </w:trPr>
              <w:tc>
                <w:tcPr>
                  <w:tcW w:w="9618" w:type="dxa"/>
                  <w:gridSpan w:val="8"/>
                  <w:tcBorders>
                    <w:top w:val="single" w:color="auto" w:sz="4" w:space="0"/>
                    <w:left w:val="single" w:color="auto" w:sz="4" w:space="0"/>
                    <w:bottom w:val="single" w:color="auto" w:sz="4" w:space="0"/>
                    <w:right w:val="single" w:color="auto" w:sz="4" w:space="0"/>
                  </w:tcBorders>
                  <w:vAlign w:val="center"/>
                </w:tcPr>
                <w:p>
                  <w:pPr>
                    <w:widowControl/>
                    <w:spacing w:line="600" w:lineRule="exact"/>
                    <w:ind w:firstLine="420" w:firstLineChars="200"/>
                    <w:rPr>
                      <w:rFonts w:ascii="宋体" w:hAnsi="宋体" w:cs="宋体"/>
                      <w:color w:val="auto"/>
                      <w:sz w:val="20"/>
                      <w:highlight w:val="none"/>
                    </w:rPr>
                  </w:pPr>
                  <w:bookmarkStart w:id="43" w:name="LOCAL_3-T_JCSJZX_HYS_SWCL_JCD"/>
                  <w:r>
                    <w:rPr>
                      <w:rFonts w:hint="eastAsia" w:ascii="宋体" w:hAnsi="宋体" w:cs="宋体"/>
                      <w:color w:val="auto"/>
                      <w:szCs w:val="28"/>
                      <w:highlight w:val="none"/>
                    </w:rPr>
                    <w:t>7、海洋水生物残留监测点位信息（T_JCSJZX_HYS_SWCL_JCD）</w:t>
                  </w:r>
                  <w:bookmarkEnd w:id="43"/>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s="宋体"/>
                      <w:color w:val="auto"/>
                      <w:sz w:val="20"/>
                      <w:highlight w:val="none"/>
                    </w:rPr>
                    <w:t>序号</w:t>
                  </w:r>
                </w:p>
              </w:tc>
              <w:tc>
                <w:tcPr>
                  <w:tcW w:w="123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字段名</w:t>
                  </w:r>
                </w:p>
              </w:tc>
              <w:tc>
                <w:tcPr>
                  <w:tcW w:w="169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数据类型</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长度</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小数位</w:t>
                  </w: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主键</w:t>
                  </w: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允许空</w:t>
                  </w:r>
                </w:p>
              </w:tc>
              <w:tc>
                <w:tcPr>
                  <w:tcW w:w="266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10"/>
                    </w:numPr>
                    <w:jc w:val="center"/>
                    <w:rPr>
                      <w:rFonts w:ascii="宋体" w:hAnsi="宋体" w:cs="宋体"/>
                      <w:color w:val="auto"/>
                      <w:sz w:val="20"/>
                      <w:highlight w:val="none"/>
                    </w:rPr>
                  </w:pPr>
                </w:p>
              </w:tc>
              <w:tc>
                <w:tcPr>
                  <w:tcW w:w="123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CDBH</w:t>
                  </w:r>
                </w:p>
              </w:tc>
              <w:tc>
                <w:tcPr>
                  <w:tcW w:w="169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VARCHAR2(50)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50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266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测点编号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10"/>
                    </w:numPr>
                    <w:jc w:val="center"/>
                    <w:rPr>
                      <w:rFonts w:ascii="宋体" w:hAnsi="宋体" w:cs="宋体"/>
                      <w:color w:val="auto"/>
                      <w:sz w:val="20"/>
                      <w:highlight w:val="none"/>
                    </w:rPr>
                  </w:pPr>
                </w:p>
              </w:tc>
              <w:tc>
                <w:tcPr>
                  <w:tcW w:w="123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CDMC</w:t>
                  </w:r>
                </w:p>
              </w:tc>
              <w:tc>
                <w:tcPr>
                  <w:tcW w:w="169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VARCHAR2(100)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100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66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测点名称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10"/>
                    </w:numPr>
                    <w:jc w:val="center"/>
                    <w:rPr>
                      <w:rFonts w:ascii="宋体" w:hAnsi="宋体" w:cs="宋体"/>
                      <w:color w:val="auto"/>
                      <w:sz w:val="20"/>
                      <w:highlight w:val="none"/>
                    </w:rPr>
                  </w:pPr>
                </w:p>
              </w:tc>
              <w:tc>
                <w:tcPr>
                  <w:tcW w:w="123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DWDM</w:t>
                  </w:r>
                </w:p>
              </w:tc>
              <w:tc>
                <w:tcPr>
                  <w:tcW w:w="169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VARCHAR2(50)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50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66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点位代码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10"/>
                    </w:numPr>
                    <w:jc w:val="center"/>
                    <w:rPr>
                      <w:rFonts w:ascii="宋体" w:hAnsi="宋体" w:cs="宋体"/>
                      <w:color w:val="auto"/>
                      <w:sz w:val="20"/>
                      <w:highlight w:val="none"/>
                    </w:rPr>
                  </w:pPr>
                </w:p>
              </w:tc>
              <w:tc>
                <w:tcPr>
                  <w:tcW w:w="123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SSXZQ</w:t>
                  </w:r>
                </w:p>
              </w:tc>
              <w:tc>
                <w:tcPr>
                  <w:tcW w:w="169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VARCHAR2(200)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200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66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所属行政区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10"/>
                    </w:numPr>
                    <w:jc w:val="center"/>
                    <w:rPr>
                      <w:rFonts w:ascii="宋体" w:hAnsi="宋体" w:cs="宋体"/>
                      <w:color w:val="auto"/>
                      <w:sz w:val="20"/>
                      <w:highlight w:val="none"/>
                    </w:rPr>
                  </w:pPr>
                </w:p>
              </w:tc>
              <w:tc>
                <w:tcPr>
                  <w:tcW w:w="123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XZQDM</w:t>
                  </w:r>
                </w:p>
              </w:tc>
              <w:tc>
                <w:tcPr>
                  <w:tcW w:w="169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VARCHAR2(50)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50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66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行政区代码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10"/>
                    </w:numPr>
                    <w:jc w:val="center"/>
                    <w:rPr>
                      <w:rFonts w:ascii="宋体" w:hAnsi="宋体" w:cs="宋体"/>
                      <w:color w:val="auto"/>
                      <w:sz w:val="20"/>
                      <w:highlight w:val="none"/>
                    </w:rPr>
                  </w:pPr>
                </w:p>
              </w:tc>
              <w:tc>
                <w:tcPr>
                  <w:tcW w:w="123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JD</w:t>
                  </w:r>
                </w:p>
              </w:tc>
              <w:tc>
                <w:tcPr>
                  <w:tcW w:w="169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VARCHAR2(50)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50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66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经度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10"/>
                    </w:numPr>
                    <w:jc w:val="center"/>
                    <w:rPr>
                      <w:rFonts w:ascii="宋体" w:hAnsi="宋体" w:cs="宋体"/>
                      <w:color w:val="auto"/>
                      <w:sz w:val="20"/>
                      <w:highlight w:val="none"/>
                    </w:rPr>
                  </w:pPr>
                </w:p>
              </w:tc>
              <w:tc>
                <w:tcPr>
                  <w:tcW w:w="123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WD</w:t>
                  </w:r>
                </w:p>
              </w:tc>
              <w:tc>
                <w:tcPr>
                  <w:tcW w:w="169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VARCHAR2(50)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50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66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纬度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10"/>
                    </w:numPr>
                    <w:jc w:val="center"/>
                    <w:rPr>
                      <w:rFonts w:ascii="宋体" w:hAnsi="宋体" w:cs="宋体"/>
                      <w:color w:val="auto"/>
                      <w:sz w:val="20"/>
                      <w:highlight w:val="none"/>
                    </w:rPr>
                  </w:pPr>
                </w:p>
              </w:tc>
              <w:tc>
                <w:tcPr>
                  <w:tcW w:w="123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JCNF</w:t>
                  </w:r>
                </w:p>
              </w:tc>
              <w:tc>
                <w:tcPr>
                  <w:tcW w:w="169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VARCHAR2(50)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50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66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监测年份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10"/>
                    </w:numPr>
                    <w:jc w:val="center"/>
                    <w:rPr>
                      <w:rFonts w:ascii="宋体" w:hAnsi="宋体" w:cs="宋体"/>
                      <w:color w:val="auto"/>
                      <w:sz w:val="20"/>
                      <w:highlight w:val="none"/>
                    </w:rPr>
                  </w:pPr>
                </w:p>
              </w:tc>
              <w:tc>
                <w:tcPr>
                  <w:tcW w:w="123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YXQSJS</w:t>
                  </w:r>
                </w:p>
              </w:tc>
              <w:tc>
                <w:tcPr>
                  <w:tcW w:w="169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DATE</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66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测点有效起始时间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10"/>
                    </w:numPr>
                    <w:jc w:val="center"/>
                    <w:rPr>
                      <w:rFonts w:ascii="宋体" w:hAnsi="宋体" w:cs="宋体"/>
                      <w:color w:val="auto"/>
                      <w:sz w:val="20"/>
                      <w:highlight w:val="none"/>
                    </w:rPr>
                  </w:pPr>
                </w:p>
              </w:tc>
              <w:tc>
                <w:tcPr>
                  <w:tcW w:w="123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YXJSSJ</w:t>
                  </w:r>
                </w:p>
              </w:tc>
              <w:tc>
                <w:tcPr>
                  <w:tcW w:w="169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DATE</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66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测点有效结束时间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10"/>
                    </w:numPr>
                    <w:jc w:val="center"/>
                    <w:rPr>
                      <w:rFonts w:ascii="宋体" w:hAnsi="宋体" w:cs="宋体"/>
                      <w:color w:val="auto"/>
                      <w:sz w:val="20"/>
                      <w:highlight w:val="none"/>
                    </w:rPr>
                  </w:pPr>
                </w:p>
              </w:tc>
              <w:tc>
                <w:tcPr>
                  <w:tcW w:w="123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ZXBZBH</w:t>
                  </w:r>
                </w:p>
              </w:tc>
              <w:tc>
                <w:tcPr>
                  <w:tcW w:w="169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VARCHAR2(50)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50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66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执行标准编号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10"/>
                    </w:numPr>
                    <w:jc w:val="center"/>
                    <w:rPr>
                      <w:rFonts w:ascii="宋体" w:hAnsi="宋体" w:cs="宋体"/>
                      <w:color w:val="auto"/>
                      <w:sz w:val="20"/>
                      <w:highlight w:val="none"/>
                    </w:rPr>
                  </w:pPr>
                </w:p>
              </w:tc>
              <w:tc>
                <w:tcPr>
                  <w:tcW w:w="123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ZXBZMC</w:t>
                  </w:r>
                </w:p>
              </w:tc>
              <w:tc>
                <w:tcPr>
                  <w:tcW w:w="169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VARCHAR2(200)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200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66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执行标准名称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10"/>
                    </w:numPr>
                    <w:jc w:val="center"/>
                    <w:rPr>
                      <w:rFonts w:ascii="宋体" w:hAnsi="宋体" w:cs="宋体"/>
                      <w:color w:val="auto"/>
                      <w:sz w:val="20"/>
                      <w:highlight w:val="none"/>
                    </w:rPr>
                  </w:pPr>
                </w:p>
              </w:tc>
              <w:tc>
                <w:tcPr>
                  <w:tcW w:w="123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SFYX</w:t>
                  </w:r>
                </w:p>
              </w:tc>
              <w:tc>
                <w:tcPr>
                  <w:tcW w:w="169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CHAR(1)</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1</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66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是否有效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10"/>
                    </w:numPr>
                    <w:jc w:val="center"/>
                    <w:rPr>
                      <w:rFonts w:ascii="宋体" w:hAnsi="宋体" w:cs="宋体"/>
                      <w:color w:val="auto"/>
                      <w:sz w:val="20"/>
                      <w:highlight w:val="none"/>
                    </w:rPr>
                  </w:pPr>
                </w:p>
              </w:tc>
              <w:tc>
                <w:tcPr>
                  <w:tcW w:w="123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PXH</w:t>
                  </w:r>
                </w:p>
              </w:tc>
              <w:tc>
                <w:tcPr>
                  <w:tcW w:w="169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NUMBER</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66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排序号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10"/>
                    </w:numPr>
                    <w:jc w:val="center"/>
                    <w:rPr>
                      <w:rFonts w:ascii="宋体" w:hAnsi="宋体" w:cs="宋体"/>
                      <w:color w:val="auto"/>
                      <w:sz w:val="20"/>
                      <w:highlight w:val="none"/>
                    </w:rPr>
                  </w:pPr>
                </w:p>
              </w:tc>
              <w:tc>
                <w:tcPr>
                  <w:tcW w:w="123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BZ</w:t>
                  </w:r>
                </w:p>
              </w:tc>
              <w:tc>
                <w:tcPr>
                  <w:tcW w:w="169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VARCHAR2(500)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500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66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10"/>
                    </w:numPr>
                    <w:jc w:val="center"/>
                    <w:rPr>
                      <w:rFonts w:ascii="宋体" w:hAnsi="宋体" w:cs="宋体"/>
                      <w:color w:val="auto"/>
                      <w:sz w:val="20"/>
                      <w:highlight w:val="none"/>
                    </w:rPr>
                  </w:pPr>
                </w:p>
              </w:tc>
              <w:tc>
                <w:tcPr>
                  <w:tcW w:w="123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CJR</w:t>
                  </w:r>
                </w:p>
              </w:tc>
              <w:tc>
                <w:tcPr>
                  <w:tcW w:w="169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VARCHAR2(50)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50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66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创建人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10"/>
                    </w:numPr>
                    <w:jc w:val="center"/>
                    <w:rPr>
                      <w:rFonts w:ascii="宋体" w:hAnsi="宋体" w:cs="宋体"/>
                      <w:color w:val="auto"/>
                      <w:sz w:val="20"/>
                      <w:highlight w:val="none"/>
                    </w:rPr>
                  </w:pPr>
                </w:p>
              </w:tc>
              <w:tc>
                <w:tcPr>
                  <w:tcW w:w="123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CJSJ</w:t>
                  </w:r>
                </w:p>
              </w:tc>
              <w:tc>
                <w:tcPr>
                  <w:tcW w:w="169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DATE</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66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创建时间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10"/>
                    </w:numPr>
                    <w:jc w:val="center"/>
                    <w:rPr>
                      <w:rFonts w:ascii="宋体" w:hAnsi="宋体" w:cs="宋体"/>
                      <w:color w:val="auto"/>
                      <w:sz w:val="20"/>
                      <w:highlight w:val="none"/>
                    </w:rPr>
                  </w:pPr>
                </w:p>
              </w:tc>
              <w:tc>
                <w:tcPr>
                  <w:tcW w:w="123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XGR</w:t>
                  </w:r>
                </w:p>
              </w:tc>
              <w:tc>
                <w:tcPr>
                  <w:tcW w:w="169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VARCHAR2(50)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50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66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修改人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10"/>
                    </w:numPr>
                    <w:jc w:val="center"/>
                    <w:rPr>
                      <w:rFonts w:ascii="宋体" w:hAnsi="宋体" w:cs="宋体"/>
                      <w:color w:val="auto"/>
                      <w:sz w:val="20"/>
                      <w:highlight w:val="none"/>
                    </w:rPr>
                  </w:pPr>
                </w:p>
              </w:tc>
              <w:tc>
                <w:tcPr>
                  <w:tcW w:w="123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XGSJ</w:t>
                  </w:r>
                </w:p>
              </w:tc>
              <w:tc>
                <w:tcPr>
                  <w:tcW w:w="169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DATE</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66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修改时间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10"/>
                    </w:numPr>
                    <w:jc w:val="center"/>
                    <w:rPr>
                      <w:rFonts w:ascii="宋体" w:hAnsi="宋体" w:cs="宋体"/>
                      <w:color w:val="auto"/>
                      <w:sz w:val="20"/>
                      <w:highlight w:val="none"/>
                    </w:rPr>
                  </w:pPr>
                </w:p>
              </w:tc>
              <w:tc>
                <w:tcPr>
                  <w:tcW w:w="123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ORGID</w:t>
                  </w:r>
                </w:p>
              </w:tc>
              <w:tc>
                <w:tcPr>
                  <w:tcW w:w="169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VARCHAR2(50)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50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66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组织机构代码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2" w:hRule="atLeast"/>
                <w:jc w:val="center"/>
              </w:trPr>
              <w:tc>
                <w:tcPr>
                  <w:tcW w:w="9618" w:type="dxa"/>
                  <w:gridSpan w:val="8"/>
                  <w:tcBorders>
                    <w:top w:val="single" w:color="auto" w:sz="4" w:space="0"/>
                    <w:left w:val="single" w:color="auto" w:sz="4" w:space="0"/>
                    <w:bottom w:val="single" w:color="auto" w:sz="4" w:space="0"/>
                    <w:right w:val="single" w:color="auto" w:sz="4" w:space="0"/>
                  </w:tcBorders>
                </w:tcPr>
                <w:p>
                  <w:pPr>
                    <w:widowControl/>
                    <w:spacing w:line="600" w:lineRule="exact"/>
                    <w:ind w:firstLine="420" w:firstLineChars="200"/>
                    <w:jc w:val="left"/>
                    <w:rPr>
                      <w:rFonts w:ascii="宋体" w:hAnsi="宋体" w:cs="宋体"/>
                      <w:color w:val="auto"/>
                      <w:sz w:val="20"/>
                      <w:highlight w:val="none"/>
                    </w:rPr>
                  </w:pPr>
                  <w:bookmarkStart w:id="44" w:name="LOCAL_3-T_JCSJZX_HYS_SWCL_JCJG"/>
                  <w:r>
                    <w:rPr>
                      <w:rFonts w:hint="eastAsia" w:ascii="仿宋_GB2312" w:hAnsi="仿宋" w:cs="仿宋"/>
                      <w:color w:val="auto"/>
                      <w:szCs w:val="28"/>
                      <w:highlight w:val="none"/>
                    </w:rPr>
                    <w:t>8、</w:t>
                  </w:r>
                  <w:r>
                    <w:rPr>
                      <w:rFonts w:hint="eastAsia" w:ascii="宋体" w:hAnsi="宋体" w:cs="宋体"/>
                      <w:color w:val="auto"/>
                      <w:szCs w:val="28"/>
                      <w:highlight w:val="none"/>
                    </w:rPr>
                    <w:t>海水生物残留监测结果（T_JCSJZX_HYS_SWCL_JCJG）</w:t>
                  </w:r>
                  <w:bookmarkEnd w:id="44"/>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s="宋体"/>
                      <w:color w:val="auto"/>
                      <w:sz w:val="20"/>
                      <w:highlight w:val="none"/>
                    </w:rPr>
                    <w:t>序号</w:t>
                  </w:r>
                </w:p>
              </w:tc>
              <w:tc>
                <w:tcPr>
                  <w:tcW w:w="123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字段名</w:t>
                  </w:r>
                </w:p>
              </w:tc>
              <w:tc>
                <w:tcPr>
                  <w:tcW w:w="169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数据类型</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长度</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小数位</w:t>
                  </w: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主键</w:t>
                  </w: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允许空</w:t>
                  </w:r>
                </w:p>
              </w:tc>
              <w:tc>
                <w:tcPr>
                  <w:tcW w:w="266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11"/>
                    </w:numPr>
                    <w:jc w:val="center"/>
                    <w:rPr>
                      <w:rFonts w:ascii="宋体" w:hAnsi="宋体" w:cs="宋体"/>
                      <w:color w:val="auto"/>
                      <w:sz w:val="20"/>
                      <w:highlight w:val="none"/>
                    </w:rPr>
                  </w:pPr>
                </w:p>
              </w:tc>
              <w:tc>
                <w:tcPr>
                  <w:tcW w:w="123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CYXH</w:t>
                  </w:r>
                </w:p>
              </w:tc>
              <w:tc>
                <w:tcPr>
                  <w:tcW w:w="169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VARCHAR2(50)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50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266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采样序号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11"/>
                    </w:numPr>
                    <w:jc w:val="center"/>
                    <w:rPr>
                      <w:rFonts w:ascii="宋体" w:hAnsi="宋体" w:cs="宋体"/>
                      <w:color w:val="auto"/>
                      <w:sz w:val="20"/>
                      <w:highlight w:val="none"/>
                    </w:rPr>
                  </w:pPr>
                </w:p>
              </w:tc>
              <w:tc>
                <w:tcPr>
                  <w:tcW w:w="123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FXXMDM</w:t>
                  </w:r>
                </w:p>
              </w:tc>
              <w:tc>
                <w:tcPr>
                  <w:tcW w:w="169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VARCHAR2(50)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50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266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分析项目编号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11"/>
                    </w:numPr>
                    <w:jc w:val="center"/>
                    <w:rPr>
                      <w:rFonts w:ascii="宋体" w:hAnsi="宋体" w:cs="宋体"/>
                      <w:color w:val="auto"/>
                      <w:sz w:val="20"/>
                      <w:highlight w:val="none"/>
                    </w:rPr>
                  </w:pPr>
                </w:p>
              </w:tc>
              <w:tc>
                <w:tcPr>
                  <w:tcW w:w="123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FXXMMC</w:t>
                  </w:r>
                </w:p>
              </w:tc>
              <w:tc>
                <w:tcPr>
                  <w:tcW w:w="169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VARCHAR2(100)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100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266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分析项目名称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11"/>
                    </w:numPr>
                    <w:jc w:val="center"/>
                    <w:rPr>
                      <w:rFonts w:ascii="宋体" w:hAnsi="宋体" w:cs="宋体"/>
                      <w:color w:val="auto"/>
                      <w:sz w:val="20"/>
                      <w:highlight w:val="none"/>
                    </w:rPr>
                  </w:pPr>
                </w:p>
              </w:tc>
              <w:tc>
                <w:tcPr>
                  <w:tcW w:w="123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JCX</w:t>
                  </w:r>
                </w:p>
              </w:tc>
              <w:tc>
                <w:tcPr>
                  <w:tcW w:w="169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NUMBER</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66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检出限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11"/>
                    </w:numPr>
                    <w:jc w:val="center"/>
                    <w:rPr>
                      <w:rFonts w:ascii="宋体" w:hAnsi="宋体" w:cs="宋体"/>
                      <w:color w:val="auto"/>
                      <w:sz w:val="20"/>
                      <w:highlight w:val="none"/>
                    </w:rPr>
                  </w:pPr>
                </w:p>
              </w:tc>
              <w:tc>
                <w:tcPr>
                  <w:tcW w:w="123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JCXDW</w:t>
                  </w:r>
                </w:p>
              </w:tc>
              <w:tc>
                <w:tcPr>
                  <w:tcW w:w="169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VARCHAR2(50)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50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66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检出限单位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11"/>
                    </w:numPr>
                    <w:jc w:val="center"/>
                    <w:rPr>
                      <w:rFonts w:ascii="宋体" w:hAnsi="宋体" w:cs="宋体"/>
                      <w:color w:val="auto"/>
                      <w:sz w:val="20"/>
                      <w:highlight w:val="none"/>
                    </w:rPr>
                  </w:pPr>
                </w:p>
              </w:tc>
              <w:tc>
                <w:tcPr>
                  <w:tcW w:w="123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BCJG</w:t>
                  </w:r>
                </w:p>
              </w:tc>
              <w:tc>
                <w:tcPr>
                  <w:tcW w:w="169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NUMBER</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66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报出结果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11"/>
                    </w:numPr>
                    <w:jc w:val="center"/>
                    <w:rPr>
                      <w:rFonts w:ascii="宋体" w:hAnsi="宋体" w:cs="宋体"/>
                      <w:color w:val="auto"/>
                      <w:sz w:val="20"/>
                      <w:highlight w:val="none"/>
                    </w:rPr>
                  </w:pPr>
                </w:p>
              </w:tc>
              <w:tc>
                <w:tcPr>
                  <w:tcW w:w="123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BCJGDW</w:t>
                  </w:r>
                </w:p>
              </w:tc>
              <w:tc>
                <w:tcPr>
                  <w:tcW w:w="169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VARCHAR2(50)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50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66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报出结果单位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11"/>
                    </w:numPr>
                    <w:jc w:val="center"/>
                    <w:rPr>
                      <w:rFonts w:ascii="宋体" w:hAnsi="宋体" w:cs="宋体"/>
                      <w:color w:val="auto"/>
                      <w:sz w:val="20"/>
                      <w:highlight w:val="none"/>
                    </w:rPr>
                  </w:pPr>
                </w:p>
              </w:tc>
              <w:tc>
                <w:tcPr>
                  <w:tcW w:w="123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BCJGBS</w:t>
                  </w:r>
                </w:p>
              </w:tc>
              <w:tc>
                <w:tcPr>
                  <w:tcW w:w="169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VARCHAR2(100)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100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66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报出结果表示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11"/>
                    </w:numPr>
                    <w:jc w:val="center"/>
                    <w:rPr>
                      <w:rFonts w:ascii="宋体" w:hAnsi="宋体" w:cs="宋体"/>
                      <w:color w:val="auto"/>
                      <w:sz w:val="20"/>
                      <w:highlight w:val="none"/>
                    </w:rPr>
                  </w:pPr>
                </w:p>
              </w:tc>
              <w:tc>
                <w:tcPr>
                  <w:tcW w:w="123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是否超标</w:t>
                  </w:r>
                </w:p>
              </w:tc>
              <w:tc>
                <w:tcPr>
                  <w:tcW w:w="169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66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是否超标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11"/>
                    </w:numPr>
                    <w:jc w:val="center"/>
                    <w:rPr>
                      <w:rFonts w:ascii="宋体" w:hAnsi="宋体" w:cs="宋体"/>
                      <w:color w:val="auto"/>
                      <w:sz w:val="20"/>
                      <w:highlight w:val="none"/>
                    </w:rPr>
                  </w:pPr>
                </w:p>
              </w:tc>
              <w:tc>
                <w:tcPr>
                  <w:tcW w:w="123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超标倍数</w:t>
                  </w:r>
                </w:p>
              </w:tc>
              <w:tc>
                <w:tcPr>
                  <w:tcW w:w="169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66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超标倍数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11"/>
                    </w:numPr>
                    <w:jc w:val="center"/>
                    <w:rPr>
                      <w:rFonts w:ascii="宋体" w:hAnsi="宋体" w:cs="宋体"/>
                      <w:color w:val="auto"/>
                      <w:sz w:val="20"/>
                      <w:highlight w:val="none"/>
                    </w:rPr>
                  </w:pPr>
                </w:p>
              </w:tc>
              <w:tc>
                <w:tcPr>
                  <w:tcW w:w="123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CJR</w:t>
                  </w:r>
                </w:p>
              </w:tc>
              <w:tc>
                <w:tcPr>
                  <w:tcW w:w="169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VARCHAR2(50)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50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66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创建人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11"/>
                    </w:numPr>
                    <w:jc w:val="center"/>
                    <w:rPr>
                      <w:rFonts w:ascii="宋体" w:hAnsi="宋体" w:cs="宋体"/>
                      <w:color w:val="auto"/>
                      <w:sz w:val="20"/>
                      <w:highlight w:val="none"/>
                    </w:rPr>
                  </w:pPr>
                </w:p>
              </w:tc>
              <w:tc>
                <w:tcPr>
                  <w:tcW w:w="123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CJSJ</w:t>
                  </w:r>
                </w:p>
              </w:tc>
              <w:tc>
                <w:tcPr>
                  <w:tcW w:w="169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DATE</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66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创建时间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11"/>
                    </w:numPr>
                    <w:jc w:val="center"/>
                    <w:rPr>
                      <w:rFonts w:ascii="宋体" w:hAnsi="宋体" w:cs="宋体"/>
                      <w:color w:val="auto"/>
                      <w:sz w:val="20"/>
                      <w:highlight w:val="none"/>
                    </w:rPr>
                  </w:pPr>
                </w:p>
              </w:tc>
              <w:tc>
                <w:tcPr>
                  <w:tcW w:w="123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XGR</w:t>
                  </w:r>
                </w:p>
              </w:tc>
              <w:tc>
                <w:tcPr>
                  <w:tcW w:w="169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VARCHAR2(50)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50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66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修改人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11"/>
                    </w:numPr>
                    <w:jc w:val="center"/>
                    <w:rPr>
                      <w:rFonts w:ascii="宋体" w:hAnsi="宋体" w:cs="宋体"/>
                      <w:color w:val="auto"/>
                      <w:sz w:val="20"/>
                      <w:highlight w:val="none"/>
                    </w:rPr>
                  </w:pPr>
                </w:p>
              </w:tc>
              <w:tc>
                <w:tcPr>
                  <w:tcW w:w="123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XGSJ</w:t>
                  </w:r>
                </w:p>
              </w:tc>
              <w:tc>
                <w:tcPr>
                  <w:tcW w:w="169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DATE</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66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修改时间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widowControl/>
                    <w:numPr>
                      <w:ilvl w:val="0"/>
                      <w:numId w:val="11"/>
                    </w:numPr>
                    <w:jc w:val="center"/>
                    <w:rPr>
                      <w:rFonts w:ascii="宋体" w:hAnsi="宋体" w:cs="宋体"/>
                      <w:color w:val="auto"/>
                      <w:sz w:val="20"/>
                      <w:highlight w:val="none"/>
                    </w:rPr>
                  </w:pPr>
                </w:p>
              </w:tc>
              <w:tc>
                <w:tcPr>
                  <w:tcW w:w="123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ORGID</w:t>
                  </w:r>
                </w:p>
              </w:tc>
              <w:tc>
                <w:tcPr>
                  <w:tcW w:w="169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VARCHAR2(50)</w:t>
                  </w:r>
                </w:p>
              </w:tc>
              <w:tc>
                <w:tcPr>
                  <w:tcW w:w="71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50</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p>
              </w:tc>
              <w:tc>
                <w:tcPr>
                  <w:tcW w:w="94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是</w:t>
                  </w:r>
                </w:p>
              </w:tc>
              <w:tc>
                <w:tcPr>
                  <w:tcW w:w="266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0"/>
                      <w:highlight w:val="none"/>
                    </w:rPr>
                  </w:pPr>
                  <w:r>
                    <w:rPr>
                      <w:rFonts w:hint="eastAsia" w:ascii="宋体" w:hAnsi="宋体"/>
                      <w:color w:val="auto"/>
                      <w:sz w:val="20"/>
                      <w:highlight w:val="none"/>
                    </w:rPr>
                    <w:t>组织机构代码</w:t>
                  </w:r>
                </w:p>
              </w:tc>
            </w:tr>
          </w:tbl>
          <w:p>
            <w:pPr>
              <w:spacing w:line="320" w:lineRule="exact"/>
              <w:rPr>
                <w:rFonts w:ascii="宋体" w:hAnsi="宋体" w:cs="宋体"/>
                <w:b/>
                <w:bCs/>
                <w:color w:val="auto"/>
                <w:szCs w:val="21"/>
                <w:highlight w:val="none"/>
              </w:rPr>
            </w:pPr>
            <w:r>
              <w:rPr>
                <w:rFonts w:hint="eastAsia" w:ascii="宋体" w:hAnsi="宋体" w:cs="宋体"/>
                <w:b/>
                <w:bCs/>
                <w:color w:val="auto"/>
                <w:szCs w:val="21"/>
                <w:highlight w:val="none"/>
              </w:rPr>
              <w:t>2 数据库部署方式：</w:t>
            </w:r>
          </w:p>
          <w:p>
            <w:pPr>
              <w:spacing w:line="3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本项目属于升级改造项目，数据库部署沿用原位置，不另外进行部署，不另外增加软硬件设备。</w:t>
            </w:r>
          </w:p>
          <w:p>
            <w:pPr>
              <w:spacing w:line="320" w:lineRule="exact"/>
              <w:rPr>
                <w:rFonts w:ascii="宋体" w:hAnsi="宋体" w:cs="宋体"/>
                <w:b/>
                <w:bCs/>
                <w:color w:val="auto"/>
                <w:szCs w:val="21"/>
                <w:highlight w:val="none"/>
              </w:rPr>
            </w:pPr>
            <w:r>
              <w:rPr>
                <w:rFonts w:hint="eastAsia" w:ascii="宋体" w:hAnsi="宋体" w:cs="宋体"/>
                <w:b/>
                <w:bCs/>
                <w:color w:val="auto"/>
                <w:szCs w:val="21"/>
                <w:highlight w:val="none"/>
              </w:rPr>
              <w:t>3 数据库性能：</w:t>
            </w:r>
          </w:p>
          <w:p>
            <w:pPr>
              <w:spacing w:line="320" w:lineRule="exact"/>
              <w:ind w:firstLine="420" w:firstLineChars="200"/>
              <w:rPr>
                <w:rFonts w:ascii="宋体" w:hAnsi="宋体" w:cs="宋体"/>
                <w:b/>
                <w:bCs/>
                <w:color w:val="auto"/>
                <w:szCs w:val="21"/>
                <w:highlight w:val="none"/>
              </w:rPr>
            </w:pPr>
            <w:r>
              <w:rPr>
                <w:rFonts w:hint="eastAsia" w:ascii="宋体" w:hAnsi="宋体" w:cs="宋体"/>
                <w:color w:val="auto"/>
                <w:szCs w:val="21"/>
                <w:highlight w:val="none"/>
              </w:rPr>
              <w:t>需要的数据库为Oracle Database 11g ，本项目是升级改造项目，不涉及数据库软件的采购，可以利用老系统数据库。</w:t>
            </w:r>
          </w:p>
          <w:p>
            <w:pPr>
              <w:spacing w:line="320" w:lineRule="exact"/>
              <w:rPr>
                <w:rFonts w:ascii="宋体" w:hAnsi="宋体" w:cs="宋体"/>
                <w:b/>
                <w:bCs/>
                <w:color w:val="auto"/>
                <w:szCs w:val="21"/>
                <w:highlight w:val="none"/>
              </w:rPr>
            </w:pPr>
            <w:r>
              <w:rPr>
                <w:rFonts w:hint="eastAsia" w:ascii="宋体" w:hAnsi="宋体" w:cs="宋体"/>
                <w:b/>
                <w:bCs/>
                <w:color w:val="auto"/>
                <w:szCs w:val="21"/>
                <w:highlight w:val="none"/>
              </w:rPr>
              <w:t>（四）应用支撑平台和应用系统建设</w:t>
            </w:r>
          </w:p>
          <w:p>
            <w:pPr>
              <w:spacing w:line="32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在原有系统的框架（基于Java架构，B/S应用模式）之上，利用工作流程引擎、统一消息通讯、统一权限管理、移动应用开发等技术，对系统从底层至顶层的升级改造，极大程度解决现有问题，主要升级改造建设内容和功能如下所示:</w:t>
            </w:r>
          </w:p>
          <w:p>
            <w:pPr>
              <w:pStyle w:val="35"/>
              <w:spacing w:line="320" w:lineRule="exact"/>
              <w:rPr>
                <w:rFonts w:ascii="宋体" w:hAnsi="宋体" w:cs="宋体"/>
                <w:color w:val="auto"/>
                <w:sz w:val="24"/>
                <w:szCs w:val="28"/>
                <w:highlight w:val="none"/>
              </w:rPr>
            </w:pPr>
          </w:p>
          <w:tbl>
            <w:tblPr>
              <w:tblStyle w:val="58"/>
              <w:tblW w:w="9339" w:type="dxa"/>
              <w:jc w:val="center"/>
              <w:tblLayout w:type="fixed"/>
              <w:tblCellMar>
                <w:top w:w="0" w:type="dxa"/>
                <w:left w:w="108" w:type="dxa"/>
                <w:bottom w:w="0" w:type="dxa"/>
                <w:right w:w="108" w:type="dxa"/>
              </w:tblCellMar>
            </w:tblPr>
            <w:tblGrid>
              <w:gridCol w:w="720"/>
              <w:gridCol w:w="2672"/>
              <w:gridCol w:w="2705"/>
              <w:gridCol w:w="3242"/>
            </w:tblGrid>
            <w:tr>
              <w:tblPrEx>
                <w:tblCellMar>
                  <w:top w:w="0" w:type="dxa"/>
                  <w:left w:w="108" w:type="dxa"/>
                  <w:bottom w:w="0" w:type="dxa"/>
                  <w:right w:w="108" w:type="dxa"/>
                </w:tblCellMar>
              </w:tblPrEx>
              <w:trPr>
                <w:trHeight w:val="406" w:hRule="atLeast"/>
                <w:jc w:val="center"/>
              </w:trPr>
              <w:tc>
                <w:tcPr>
                  <w:tcW w:w="72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b/>
                      <w:bCs/>
                      <w:color w:val="auto"/>
                      <w:szCs w:val="28"/>
                      <w:highlight w:val="none"/>
                    </w:rPr>
                  </w:pPr>
                  <w:r>
                    <w:rPr>
                      <w:rFonts w:hint="eastAsia" w:ascii="宋体" w:hAnsi="宋体" w:cs="宋体"/>
                      <w:b/>
                      <w:bCs/>
                      <w:color w:val="auto"/>
                      <w:szCs w:val="28"/>
                      <w:highlight w:val="none"/>
                    </w:rPr>
                    <w:t>序号</w:t>
                  </w:r>
                </w:p>
              </w:tc>
              <w:tc>
                <w:tcPr>
                  <w:tcW w:w="8619" w:type="dxa"/>
                  <w:gridSpan w:val="3"/>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b/>
                      <w:bCs/>
                      <w:color w:val="auto"/>
                      <w:szCs w:val="28"/>
                      <w:highlight w:val="none"/>
                    </w:rPr>
                  </w:pPr>
                  <w:r>
                    <w:rPr>
                      <w:rFonts w:hint="eastAsia" w:ascii="宋体" w:hAnsi="宋体" w:cs="宋体"/>
                      <w:b/>
                      <w:bCs/>
                      <w:color w:val="auto"/>
                      <w:szCs w:val="28"/>
                      <w:highlight w:val="none"/>
                    </w:rPr>
                    <w:t>建设内容</w:t>
                  </w:r>
                </w:p>
              </w:tc>
            </w:tr>
            <w:tr>
              <w:tblPrEx>
                <w:tblCellMar>
                  <w:top w:w="0" w:type="dxa"/>
                  <w:left w:w="108" w:type="dxa"/>
                  <w:bottom w:w="0" w:type="dxa"/>
                  <w:right w:w="108" w:type="dxa"/>
                </w:tblCellMar>
              </w:tblPrEx>
              <w:trPr>
                <w:jc w:val="center"/>
              </w:trPr>
              <w:tc>
                <w:tcPr>
                  <w:tcW w:w="72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r>
                    <w:rPr>
                      <w:rFonts w:hint="eastAsia" w:ascii="宋体" w:hAnsi="宋体" w:cs="宋体"/>
                      <w:color w:val="auto"/>
                      <w:szCs w:val="28"/>
                      <w:highlight w:val="none"/>
                    </w:rPr>
                    <w:t>1</w:t>
                  </w:r>
                </w:p>
              </w:tc>
              <w:tc>
                <w:tcPr>
                  <w:tcW w:w="2672" w:type="dxa"/>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r>
                    <w:rPr>
                      <w:rFonts w:hint="eastAsia" w:ascii="宋体" w:hAnsi="宋体" w:cs="宋体"/>
                      <w:color w:val="auto"/>
                      <w:szCs w:val="28"/>
                      <w:highlight w:val="none"/>
                    </w:rPr>
                    <w:t>实验室管理系统升级</w:t>
                  </w:r>
                </w:p>
              </w:tc>
              <w:tc>
                <w:tcPr>
                  <w:tcW w:w="2705" w:type="dxa"/>
                  <w:vMerge w:val="restart"/>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auto"/>
                      <w:szCs w:val="28"/>
                      <w:highlight w:val="none"/>
                    </w:rPr>
                  </w:pPr>
                  <w:r>
                    <w:rPr>
                      <w:rFonts w:hint="eastAsia" w:ascii="宋体" w:hAnsi="宋体" w:cs="宋体"/>
                      <w:color w:val="auto"/>
                      <w:szCs w:val="28"/>
                      <w:highlight w:val="none"/>
                    </w:rPr>
                    <w:t>基础框架升级</w:t>
                  </w:r>
                </w:p>
              </w:tc>
              <w:tc>
                <w:tcPr>
                  <w:tcW w:w="3242"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auto"/>
                      <w:szCs w:val="28"/>
                      <w:highlight w:val="none"/>
                    </w:rPr>
                  </w:pPr>
                  <w:r>
                    <w:rPr>
                      <w:rFonts w:hint="eastAsia" w:ascii="宋体" w:hAnsi="宋体" w:cs="宋体"/>
                      <w:color w:val="auto"/>
                      <w:szCs w:val="28"/>
                      <w:highlight w:val="none"/>
                    </w:rPr>
                    <w:t>基础框架升级</w:t>
                  </w:r>
                </w:p>
              </w:tc>
            </w:tr>
            <w:tr>
              <w:tblPrEx>
                <w:tblCellMar>
                  <w:top w:w="0" w:type="dxa"/>
                  <w:left w:w="108" w:type="dxa"/>
                  <w:bottom w:w="0" w:type="dxa"/>
                  <w:right w:w="108" w:type="dxa"/>
                </w:tblCellMar>
              </w:tblPrEx>
              <w:trPr>
                <w:jc w:val="center"/>
              </w:trPr>
              <w:tc>
                <w:tcPr>
                  <w:tcW w:w="72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r>
                    <w:rPr>
                      <w:rFonts w:hint="eastAsia" w:ascii="宋体" w:hAnsi="宋体" w:cs="宋体"/>
                      <w:color w:val="auto"/>
                      <w:szCs w:val="28"/>
                      <w:highlight w:val="none"/>
                    </w:rPr>
                    <w:t>2</w:t>
                  </w:r>
                </w:p>
              </w:tc>
              <w:tc>
                <w:tcPr>
                  <w:tcW w:w="2672"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p>
              </w:tc>
              <w:tc>
                <w:tcPr>
                  <w:tcW w:w="270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szCs w:val="28"/>
                      <w:highlight w:val="none"/>
                    </w:rPr>
                  </w:pPr>
                </w:p>
              </w:tc>
              <w:tc>
                <w:tcPr>
                  <w:tcW w:w="3242"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auto"/>
                      <w:szCs w:val="28"/>
                      <w:highlight w:val="none"/>
                    </w:rPr>
                  </w:pPr>
                  <w:r>
                    <w:rPr>
                      <w:rFonts w:hint="eastAsia" w:ascii="宋体" w:hAnsi="宋体" w:cs="宋体"/>
                      <w:color w:val="auto"/>
                      <w:szCs w:val="28"/>
                      <w:highlight w:val="none"/>
                    </w:rPr>
                    <w:t>系统流程优化</w:t>
                  </w:r>
                </w:p>
              </w:tc>
            </w:tr>
            <w:tr>
              <w:tblPrEx>
                <w:tblCellMar>
                  <w:top w:w="0" w:type="dxa"/>
                  <w:left w:w="108" w:type="dxa"/>
                  <w:bottom w:w="0" w:type="dxa"/>
                  <w:right w:w="108" w:type="dxa"/>
                </w:tblCellMar>
              </w:tblPrEx>
              <w:trPr>
                <w:jc w:val="center"/>
              </w:trPr>
              <w:tc>
                <w:tcPr>
                  <w:tcW w:w="72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r>
                    <w:rPr>
                      <w:rFonts w:hint="eastAsia" w:ascii="宋体" w:hAnsi="宋体" w:cs="宋体"/>
                      <w:color w:val="auto"/>
                      <w:szCs w:val="28"/>
                      <w:highlight w:val="none"/>
                    </w:rPr>
                    <w:t>3</w:t>
                  </w:r>
                </w:p>
              </w:tc>
              <w:tc>
                <w:tcPr>
                  <w:tcW w:w="2672"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p>
              </w:tc>
              <w:tc>
                <w:tcPr>
                  <w:tcW w:w="270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szCs w:val="28"/>
                      <w:highlight w:val="none"/>
                    </w:rPr>
                  </w:pPr>
                </w:p>
              </w:tc>
              <w:tc>
                <w:tcPr>
                  <w:tcW w:w="3242"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auto"/>
                      <w:szCs w:val="28"/>
                      <w:highlight w:val="none"/>
                    </w:rPr>
                  </w:pPr>
                  <w:r>
                    <w:rPr>
                      <w:rFonts w:hint="eastAsia" w:ascii="宋体" w:hAnsi="宋体" w:cs="宋体"/>
                      <w:color w:val="auto"/>
                      <w:szCs w:val="28"/>
                      <w:highlight w:val="none"/>
                    </w:rPr>
                    <w:t>系统性能提升</w:t>
                  </w:r>
                </w:p>
              </w:tc>
            </w:tr>
            <w:tr>
              <w:tblPrEx>
                <w:tblCellMar>
                  <w:top w:w="0" w:type="dxa"/>
                  <w:left w:w="108" w:type="dxa"/>
                  <w:bottom w:w="0" w:type="dxa"/>
                  <w:right w:w="108" w:type="dxa"/>
                </w:tblCellMar>
              </w:tblPrEx>
              <w:trPr>
                <w:jc w:val="center"/>
              </w:trPr>
              <w:tc>
                <w:tcPr>
                  <w:tcW w:w="72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r>
                    <w:rPr>
                      <w:rFonts w:hint="eastAsia" w:ascii="宋体" w:hAnsi="宋体" w:cs="宋体"/>
                      <w:color w:val="auto"/>
                      <w:szCs w:val="28"/>
                      <w:highlight w:val="none"/>
                    </w:rPr>
                    <w:t>4</w:t>
                  </w:r>
                </w:p>
              </w:tc>
              <w:tc>
                <w:tcPr>
                  <w:tcW w:w="2672"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p>
              </w:tc>
              <w:tc>
                <w:tcPr>
                  <w:tcW w:w="2705" w:type="dxa"/>
                  <w:vMerge w:val="restart"/>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auto"/>
                      <w:szCs w:val="28"/>
                      <w:highlight w:val="none"/>
                    </w:rPr>
                  </w:pPr>
                  <w:r>
                    <w:rPr>
                      <w:rFonts w:hint="eastAsia" w:ascii="宋体" w:hAnsi="宋体" w:cs="宋体"/>
                      <w:color w:val="auto"/>
                      <w:szCs w:val="28"/>
                      <w:highlight w:val="none"/>
                    </w:rPr>
                    <w:t>采样模块</w:t>
                  </w:r>
                </w:p>
              </w:tc>
              <w:tc>
                <w:tcPr>
                  <w:tcW w:w="3242"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auto"/>
                      <w:szCs w:val="28"/>
                      <w:highlight w:val="none"/>
                    </w:rPr>
                  </w:pPr>
                  <w:r>
                    <w:rPr>
                      <w:rFonts w:hint="eastAsia" w:ascii="宋体" w:hAnsi="宋体" w:cs="宋体"/>
                      <w:color w:val="auto"/>
                      <w:szCs w:val="28"/>
                      <w:highlight w:val="none"/>
                    </w:rPr>
                    <w:t>样品合并</w:t>
                  </w:r>
                </w:p>
              </w:tc>
            </w:tr>
            <w:tr>
              <w:tblPrEx>
                <w:tblCellMar>
                  <w:top w:w="0" w:type="dxa"/>
                  <w:left w:w="108" w:type="dxa"/>
                  <w:bottom w:w="0" w:type="dxa"/>
                  <w:right w:w="108" w:type="dxa"/>
                </w:tblCellMar>
              </w:tblPrEx>
              <w:trPr>
                <w:jc w:val="center"/>
              </w:trPr>
              <w:tc>
                <w:tcPr>
                  <w:tcW w:w="72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r>
                    <w:rPr>
                      <w:rFonts w:hint="eastAsia" w:ascii="宋体" w:hAnsi="宋体" w:cs="宋体"/>
                      <w:color w:val="auto"/>
                      <w:szCs w:val="28"/>
                      <w:highlight w:val="none"/>
                    </w:rPr>
                    <w:t>5</w:t>
                  </w:r>
                </w:p>
              </w:tc>
              <w:tc>
                <w:tcPr>
                  <w:tcW w:w="2672"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p>
              </w:tc>
              <w:tc>
                <w:tcPr>
                  <w:tcW w:w="270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szCs w:val="28"/>
                      <w:highlight w:val="none"/>
                    </w:rPr>
                  </w:pPr>
                </w:p>
              </w:tc>
              <w:tc>
                <w:tcPr>
                  <w:tcW w:w="3242"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auto"/>
                      <w:szCs w:val="28"/>
                      <w:highlight w:val="none"/>
                    </w:rPr>
                  </w:pPr>
                  <w:r>
                    <w:rPr>
                      <w:rFonts w:hint="eastAsia" w:ascii="宋体" w:hAnsi="宋体" w:cs="宋体"/>
                      <w:color w:val="auto"/>
                      <w:szCs w:val="28"/>
                      <w:highlight w:val="none"/>
                    </w:rPr>
                    <w:t>样品批量导入</w:t>
                  </w:r>
                </w:p>
              </w:tc>
            </w:tr>
            <w:tr>
              <w:tblPrEx>
                <w:tblCellMar>
                  <w:top w:w="0" w:type="dxa"/>
                  <w:left w:w="108" w:type="dxa"/>
                  <w:bottom w:w="0" w:type="dxa"/>
                  <w:right w:w="108" w:type="dxa"/>
                </w:tblCellMar>
              </w:tblPrEx>
              <w:trPr>
                <w:jc w:val="center"/>
              </w:trPr>
              <w:tc>
                <w:tcPr>
                  <w:tcW w:w="72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r>
                    <w:rPr>
                      <w:rFonts w:hint="eastAsia" w:ascii="宋体" w:hAnsi="宋体" w:cs="宋体"/>
                      <w:color w:val="auto"/>
                      <w:szCs w:val="28"/>
                      <w:highlight w:val="none"/>
                    </w:rPr>
                    <w:t>6</w:t>
                  </w:r>
                </w:p>
              </w:tc>
              <w:tc>
                <w:tcPr>
                  <w:tcW w:w="2672"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p>
              </w:tc>
              <w:tc>
                <w:tcPr>
                  <w:tcW w:w="270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szCs w:val="28"/>
                      <w:highlight w:val="none"/>
                    </w:rPr>
                  </w:pPr>
                </w:p>
              </w:tc>
              <w:tc>
                <w:tcPr>
                  <w:tcW w:w="3242"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auto"/>
                      <w:szCs w:val="28"/>
                      <w:highlight w:val="none"/>
                    </w:rPr>
                  </w:pPr>
                  <w:r>
                    <w:rPr>
                      <w:rFonts w:hint="eastAsia" w:ascii="宋体" w:hAnsi="宋体" w:cs="宋体"/>
                      <w:color w:val="auto"/>
                      <w:szCs w:val="28"/>
                      <w:highlight w:val="none"/>
                    </w:rPr>
                    <w:t>样品交接</w:t>
                  </w:r>
                </w:p>
              </w:tc>
            </w:tr>
            <w:tr>
              <w:tblPrEx>
                <w:tblCellMar>
                  <w:top w:w="0" w:type="dxa"/>
                  <w:left w:w="108" w:type="dxa"/>
                  <w:bottom w:w="0" w:type="dxa"/>
                  <w:right w:w="108" w:type="dxa"/>
                </w:tblCellMar>
              </w:tblPrEx>
              <w:trPr>
                <w:jc w:val="center"/>
              </w:trPr>
              <w:tc>
                <w:tcPr>
                  <w:tcW w:w="72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r>
                    <w:rPr>
                      <w:rFonts w:hint="eastAsia" w:ascii="宋体" w:hAnsi="宋体" w:cs="宋体"/>
                      <w:color w:val="auto"/>
                      <w:szCs w:val="28"/>
                      <w:highlight w:val="none"/>
                    </w:rPr>
                    <w:t>7</w:t>
                  </w:r>
                </w:p>
              </w:tc>
              <w:tc>
                <w:tcPr>
                  <w:tcW w:w="2672"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p>
              </w:tc>
              <w:tc>
                <w:tcPr>
                  <w:tcW w:w="270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szCs w:val="28"/>
                      <w:highlight w:val="none"/>
                    </w:rPr>
                  </w:pPr>
                </w:p>
              </w:tc>
              <w:tc>
                <w:tcPr>
                  <w:tcW w:w="3242"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auto"/>
                      <w:szCs w:val="28"/>
                      <w:highlight w:val="none"/>
                    </w:rPr>
                  </w:pPr>
                  <w:r>
                    <w:rPr>
                      <w:rFonts w:hint="eastAsia" w:ascii="宋体" w:hAnsi="宋体" w:cs="宋体"/>
                      <w:color w:val="auto"/>
                      <w:szCs w:val="28"/>
                      <w:highlight w:val="none"/>
                    </w:rPr>
                    <w:t>批量取样</w:t>
                  </w:r>
                </w:p>
              </w:tc>
            </w:tr>
            <w:tr>
              <w:tblPrEx>
                <w:tblCellMar>
                  <w:top w:w="0" w:type="dxa"/>
                  <w:left w:w="108" w:type="dxa"/>
                  <w:bottom w:w="0" w:type="dxa"/>
                  <w:right w:w="108" w:type="dxa"/>
                </w:tblCellMar>
              </w:tblPrEx>
              <w:trPr>
                <w:jc w:val="center"/>
              </w:trPr>
              <w:tc>
                <w:tcPr>
                  <w:tcW w:w="72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r>
                    <w:rPr>
                      <w:rFonts w:hint="eastAsia" w:ascii="宋体" w:hAnsi="宋体" w:cs="宋体"/>
                      <w:color w:val="auto"/>
                      <w:szCs w:val="28"/>
                      <w:highlight w:val="none"/>
                    </w:rPr>
                    <w:t>8</w:t>
                  </w:r>
                </w:p>
              </w:tc>
              <w:tc>
                <w:tcPr>
                  <w:tcW w:w="2672"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p>
              </w:tc>
              <w:tc>
                <w:tcPr>
                  <w:tcW w:w="270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szCs w:val="28"/>
                      <w:highlight w:val="none"/>
                    </w:rPr>
                  </w:pPr>
                </w:p>
              </w:tc>
              <w:tc>
                <w:tcPr>
                  <w:tcW w:w="3242"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auto"/>
                      <w:szCs w:val="28"/>
                      <w:highlight w:val="none"/>
                    </w:rPr>
                  </w:pPr>
                  <w:r>
                    <w:rPr>
                      <w:rFonts w:hint="eastAsia" w:ascii="宋体" w:hAnsi="宋体" w:cs="宋体"/>
                      <w:color w:val="auto"/>
                      <w:szCs w:val="28"/>
                      <w:highlight w:val="none"/>
                    </w:rPr>
                    <w:t>样品查询统计</w:t>
                  </w:r>
                </w:p>
              </w:tc>
            </w:tr>
            <w:tr>
              <w:tblPrEx>
                <w:tblCellMar>
                  <w:top w:w="0" w:type="dxa"/>
                  <w:left w:w="108" w:type="dxa"/>
                  <w:bottom w:w="0" w:type="dxa"/>
                  <w:right w:w="108" w:type="dxa"/>
                </w:tblCellMar>
              </w:tblPrEx>
              <w:trPr>
                <w:jc w:val="center"/>
              </w:trPr>
              <w:tc>
                <w:tcPr>
                  <w:tcW w:w="72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r>
                    <w:rPr>
                      <w:rFonts w:hint="eastAsia" w:ascii="宋体" w:hAnsi="宋体" w:cs="宋体"/>
                      <w:color w:val="auto"/>
                      <w:szCs w:val="28"/>
                      <w:highlight w:val="none"/>
                    </w:rPr>
                    <w:t>9</w:t>
                  </w:r>
                </w:p>
              </w:tc>
              <w:tc>
                <w:tcPr>
                  <w:tcW w:w="2672"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p>
              </w:tc>
              <w:tc>
                <w:tcPr>
                  <w:tcW w:w="270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szCs w:val="28"/>
                      <w:highlight w:val="none"/>
                    </w:rPr>
                  </w:pPr>
                </w:p>
              </w:tc>
              <w:tc>
                <w:tcPr>
                  <w:tcW w:w="3242"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auto"/>
                      <w:szCs w:val="28"/>
                      <w:highlight w:val="none"/>
                    </w:rPr>
                  </w:pPr>
                  <w:r>
                    <w:rPr>
                      <w:rFonts w:hint="eastAsia" w:ascii="宋体" w:hAnsi="宋体" w:cs="宋体"/>
                      <w:color w:val="auto"/>
                      <w:szCs w:val="28"/>
                      <w:highlight w:val="none"/>
                    </w:rPr>
                    <w:t>无效样品清理</w:t>
                  </w:r>
                </w:p>
              </w:tc>
            </w:tr>
            <w:tr>
              <w:tblPrEx>
                <w:tblCellMar>
                  <w:top w:w="0" w:type="dxa"/>
                  <w:left w:w="108" w:type="dxa"/>
                  <w:bottom w:w="0" w:type="dxa"/>
                  <w:right w:w="108" w:type="dxa"/>
                </w:tblCellMar>
              </w:tblPrEx>
              <w:trPr>
                <w:jc w:val="center"/>
              </w:trPr>
              <w:tc>
                <w:tcPr>
                  <w:tcW w:w="72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r>
                    <w:rPr>
                      <w:rFonts w:hint="eastAsia" w:ascii="宋体" w:hAnsi="宋体" w:cs="宋体"/>
                      <w:color w:val="auto"/>
                      <w:szCs w:val="28"/>
                      <w:highlight w:val="none"/>
                    </w:rPr>
                    <w:t>10</w:t>
                  </w:r>
                </w:p>
              </w:tc>
              <w:tc>
                <w:tcPr>
                  <w:tcW w:w="2672"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p>
              </w:tc>
              <w:tc>
                <w:tcPr>
                  <w:tcW w:w="2705" w:type="dxa"/>
                  <w:vMerge w:val="restart"/>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auto"/>
                      <w:szCs w:val="28"/>
                      <w:highlight w:val="none"/>
                    </w:rPr>
                  </w:pPr>
                  <w:r>
                    <w:rPr>
                      <w:rFonts w:hint="eastAsia" w:ascii="宋体" w:hAnsi="宋体" w:cs="宋体"/>
                      <w:color w:val="auto"/>
                      <w:szCs w:val="28"/>
                      <w:highlight w:val="none"/>
                    </w:rPr>
                    <w:t>分析模块</w:t>
                  </w:r>
                </w:p>
              </w:tc>
              <w:tc>
                <w:tcPr>
                  <w:tcW w:w="3242"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auto"/>
                      <w:szCs w:val="28"/>
                      <w:highlight w:val="none"/>
                    </w:rPr>
                  </w:pPr>
                  <w:r>
                    <w:rPr>
                      <w:rFonts w:hint="eastAsia" w:ascii="宋体" w:hAnsi="宋体" w:cs="宋体"/>
                      <w:color w:val="auto"/>
                      <w:szCs w:val="28"/>
                      <w:highlight w:val="none"/>
                    </w:rPr>
                    <w:t>标准物质关联</w:t>
                  </w:r>
                </w:p>
              </w:tc>
            </w:tr>
            <w:tr>
              <w:tblPrEx>
                <w:tblCellMar>
                  <w:top w:w="0" w:type="dxa"/>
                  <w:left w:w="108" w:type="dxa"/>
                  <w:bottom w:w="0" w:type="dxa"/>
                  <w:right w:w="108" w:type="dxa"/>
                </w:tblCellMar>
              </w:tblPrEx>
              <w:trPr>
                <w:jc w:val="center"/>
              </w:trPr>
              <w:tc>
                <w:tcPr>
                  <w:tcW w:w="72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r>
                    <w:rPr>
                      <w:rFonts w:hint="eastAsia" w:ascii="宋体" w:hAnsi="宋体" w:cs="宋体"/>
                      <w:color w:val="auto"/>
                      <w:szCs w:val="28"/>
                      <w:highlight w:val="none"/>
                    </w:rPr>
                    <w:t>11</w:t>
                  </w:r>
                </w:p>
              </w:tc>
              <w:tc>
                <w:tcPr>
                  <w:tcW w:w="2672"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p>
              </w:tc>
              <w:tc>
                <w:tcPr>
                  <w:tcW w:w="270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szCs w:val="28"/>
                      <w:highlight w:val="none"/>
                    </w:rPr>
                  </w:pPr>
                </w:p>
              </w:tc>
              <w:tc>
                <w:tcPr>
                  <w:tcW w:w="3242"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auto"/>
                      <w:szCs w:val="28"/>
                      <w:highlight w:val="none"/>
                    </w:rPr>
                  </w:pPr>
                  <w:r>
                    <w:rPr>
                      <w:rFonts w:hint="eastAsia" w:ascii="宋体" w:hAnsi="宋体" w:cs="宋体"/>
                      <w:color w:val="auto"/>
                      <w:szCs w:val="28"/>
                      <w:highlight w:val="none"/>
                    </w:rPr>
                    <w:t>生物分析管理</w:t>
                  </w:r>
                </w:p>
              </w:tc>
            </w:tr>
            <w:tr>
              <w:tblPrEx>
                <w:tblCellMar>
                  <w:top w:w="0" w:type="dxa"/>
                  <w:left w:w="108" w:type="dxa"/>
                  <w:bottom w:w="0" w:type="dxa"/>
                  <w:right w:w="108" w:type="dxa"/>
                </w:tblCellMar>
              </w:tblPrEx>
              <w:trPr>
                <w:jc w:val="center"/>
              </w:trPr>
              <w:tc>
                <w:tcPr>
                  <w:tcW w:w="72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r>
                    <w:rPr>
                      <w:rFonts w:hint="eastAsia" w:ascii="宋体" w:hAnsi="宋体" w:cs="宋体"/>
                      <w:color w:val="auto"/>
                      <w:szCs w:val="28"/>
                      <w:highlight w:val="none"/>
                    </w:rPr>
                    <w:t>12</w:t>
                  </w:r>
                </w:p>
              </w:tc>
              <w:tc>
                <w:tcPr>
                  <w:tcW w:w="2672"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p>
              </w:tc>
              <w:tc>
                <w:tcPr>
                  <w:tcW w:w="270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szCs w:val="28"/>
                      <w:highlight w:val="none"/>
                    </w:rPr>
                  </w:pPr>
                </w:p>
              </w:tc>
              <w:tc>
                <w:tcPr>
                  <w:tcW w:w="3242"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auto"/>
                      <w:szCs w:val="28"/>
                      <w:highlight w:val="none"/>
                    </w:rPr>
                  </w:pPr>
                  <w:r>
                    <w:rPr>
                      <w:rFonts w:hint="eastAsia" w:ascii="宋体" w:hAnsi="宋体" w:cs="宋体"/>
                      <w:color w:val="auto"/>
                      <w:szCs w:val="28"/>
                      <w:highlight w:val="none"/>
                    </w:rPr>
                    <w:t>分析工作台</w:t>
                  </w:r>
                </w:p>
              </w:tc>
            </w:tr>
            <w:tr>
              <w:tblPrEx>
                <w:tblCellMar>
                  <w:top w:w="0" w:type="dxa"/>
                  <w:left w:w="108" w:type="dxa"/>
                  <w:bottom w:w="0" w:type="dxa"/>
                  <w:right w:w="108" w:type="dxa"/>
                </w:tblCellMar>
              </w:tblPrEx>
              <w:trPr>
                <w:jc w:val="center"/>
              </w:trPr>
              <w:tc>
                <w:tcPr>
                  <w:tcW w:w="72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r>
                    <w:rPr>
                      <w:rFonts w:hint="eastAsia" w:ascii="宋体" w:hAnsi="宋体" w:cs="宋体"/>
                      <w:color w:val="auto"/>
                      <w:szCs w:val="28"/>
                      <w:highlight w:val="none"/>
                    </w:rPr>
                    <w:t>13</w:t>
                  </w:r>
                </w:p>
              </w:tc>
              <w:tc>
                <w:tcPr>
                  <w:tcW w:w="2672"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p>
              </w:tc>
              <w:tc>
                <w:tcPr>
                  <w:tcW w:w="2705" w:type="dxa"/>
                  <w:vMerge w:val="restart"/>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auto"/>
                      <w:szCs w:val="28"/>
                      <w:highlight w:val="none"/>
                    </w:rPr>
                  </w:pPr>
                  <w:r>
                    <w:rPr>
                      <w:rFonts w:hint="eastAsia" w:ascii="宋体" w:hAnsi="宋体" w:cs="宋体"/>
                      <w:color w:val="auto"/>
                      <w:szCs w:val="28"/>
                      <w:highlight w:val="none"/>
                    </w:rPr>
                    <w:t>质控管理</w:t>
                  </w:r>
                </w:p>
              </w:tc>
              <w:tc>
                <w:tcPr>
                  <w:tcW w:w="3242"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auto"/>
                      <w:szCs w:val="28"/>
                      <w:highlight w:val="none"/>
                    </w:rPr>
                  </w:pPr>
                  <w:r>
                    <w:rPr>
                      <w:rFonts w:hint="eastAsia" w:ascii="宋体" w:hAnsi="宋体" w:cs="宋体"/>
                      <w:color w:val="auto"/>
                      <w:szCs w:val="28"/>
                      <w:highlight w:val="none"/>
                    </w:rPr>
                    <w:t>质控样添加</w:t>
                  </w:r>
                </w:p>
              </w:tc>
            </w:tr>
            <w:tr>
              <w:tblPrEx>
                <w:tblCellMar>
                  <w:top w:w="0" w:type="dxa"/>
                  <w:left w:w="108" w:type="dxa"/>
                  <w:bottom w:w="0" w:type="dxa"/>
                  <w:right w:w="108" w:type="dxa"/>
                </w:tblCellMar>
              </w:tblPrEx>
              <w:trPr>
                <w:jc w:val="center"/>
              </w:trPr>
              <w:tc>
                <w:tcPr>
                  <w:tcW w:w="72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r>
                    <w:rPr>
                      <w:rFonts w:hint="eastAsia" w:ascii="宋体" w:hAnsi="宋体" w:cs="宋体"/>
                      <w:color w:val="auto"/>
                      <w:szCs w:val="28"/>
                      <w:highlight w:val="none"/>
                    </w:rPr>
                    <w:t>14</w:t>
                  </w:r>
                </w:p>
              </w:tc>
              <w:tc>
                <w:tcPr>
                  <w:tcW w:w="2672"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p>
              </w:tc>
              <w:tc>
                <w:tcPr>
                  <w:tcW w:w="270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szCs w:val="28"/>
                      <w:highlight w:val="none"/>
                    </w:rPr>
                  </w:pPr>
                </w:p>
              </w:tc>
              <w:tc>
                <w:tcPr>
                  <w:tcW w:w="3242"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auto"/>
                      <w:szCs w:val="28"/>
                      <w:highlight w:val="none"/>
                    </w:rPr>
                  </w:pPr>
                  <w:r>
                    <w:rPr>
                      <w:rFonts w:hint="eastAsia" w:ascii="宋体" w:hAnsi="宋体" w:cs="宋体"/>
                      <w:color w:val="auto"/>
                      <w:szCs w:val="28"/>
                      <w:highlight w:val="none"/>
                    </w:rPr>
                    <w:t>审核结果打印</w:t>
                  </w:r>
                </w:p>
              </w:tc>
            </w:tr>
            <w:tr>
              <w:tblPrEx>
                <w:tblCellMar>
                  <w:top w:w="0" w:type="dxa"/>
                  <w:left w:w="108" w:type="dxa"/>
                  <w:bottom w:w="0" w:type="dxa"/>
                  <w:right w:w="108" w:type="dxa"/>
                </w:tblCellMar>
              </w:tblPrEx>
              <w:trPr>
                <w:jc w:val="center"/>
              </w:trPr>
              <w:tc>
                <w:tcPr>
                  <w:tcW w:w="72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r>
                    <w:rPr>
                      <w:rFonts w:hint="eastAsia" w:ascii="宋体" w:hAnsi="宋体" w:cs="宋体"/>
                      <w:color w:val="auto"/>
                      <w:szCs w:val="28"/>
                      <w:highlight w:val="none"/>
                    </w:rPr>
                    <w:t>15</w:t>
                  </w:r>
                </w:p>
              </w:tc>
              <w:tc>
                <w:tcPr>
                  <w:tcW w:w="2672"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p>
              </w:tc>
              <w:tc>
                <w:tcPr>
                  <w:tcW w:w="270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szCs w:val="28"/>
                      <w:highlight w:val="none"/>
                    </w:rPr>
                  </w:pPr>
                </w:p>
              </w:tc>
              <w:tc>
                <w:tcPr>
                  <w:tcW w:w="3242"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auto"/>
                      <w:szCs w:val="28"/>
                      <w:highlight w:val="none"/>
                    </w:rPr>
                  </w:pPr>
                  <w:r>
                    <w:rPr>
                      <w:rFonts w:hint="eastAsia" w:ascii="宋体" w:hAnsi="宋体" w:cs="宋体"/>
                      <w:color w:val="auto"/>
                      <w:szCs w:val="28"/>
                      <w:highlight w:val="none"/>
                    </w:rPr>
                    <w:t>质量监督及评审</w:t>
                  </w:r>
                </w:p>
              </w:tc>
            </w:tr>
            <w:tr>
              <w:tblPrEx>
                <w:tblCellMar>
                  <w:top w:w="0" w:type="dxa"/>
                  <w:left w:w="108" w:type="dxa"/>
                  <w:bottom w:w="0" w:type="dxa"/>
                  <w:right w:w="108" w:type="dxa"/>
                </w:tblCellMar>
              </w:tblPrEx>
              <w:trPr>
                <w:jc w:val="center"/>
              </w:trPr>
              <w:tc>
                <w:tcPr>
                  <w:tcW w:w="72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r>
                    <w:rPr>
                      <w:rFonts w:hint="eastAsia" w:ascii="宋体" w:hAnsi="宋体" w:cs="宋体"/>
                      <w:color w:val="auto"/>
                      <w:szCs w:val="28"/>
                      <w:highlight w:val="none"/>
                    </w:rPr>
                    <w:t>16</w:t>
                  </w:r>
                </w:p>
              </w:tc>
              <w:tc>
                <w:tcPr>
                  <w:tcW w:w="2672"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p>
              </w:tc>
              <w:tc>
                <w:tcPr>
                  <w:tcW w:w="270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szCs w:val="28"/>
                      <w:highlight w:val="none"/>
                    </w:rPr>
                  </w:pPr>
                </w:p>
              </w:tc>
              <w:tc>
                <w:tcPr>
                  <w:tcW w:w="3242"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auto"/>
                      <w:szCs w:val="28"/>
                      <w:highlight w:val="none"/>
                    </w:rPr>
                  </w:pPr>
                  <w:r>
                    <w:rPr>
                      <w:rFonts w:hint="eastAsia" w:ascii="宋体" w:hAnsi="宋体" w:cs="宋体"/>
                      <w:color w:val="auto"/>
                      <w:szCs w:val="28"/>
                      <w:highlight w:val="none"/>
                    </w:rPr>
                    <w:t>电子签名</w:t>
                  </w:r>
                </w:p>
              </w:tc>
            </w:tr>
            <w:tr>
              <w:tblPrEx>
                <w:tblCellMar>
                  <w:top w:w="0" w:type="dxa"/>
                  <w:left w:w="108" w:type="dxa"/>
                  <w:bottom w:w="0" w:type="dxa"/>
                  <w:right w:w="108" w:type="dxa"/>
                </w:tblCellMar>
              </w:tblPrEx>
              <w:trPr>
                <w:jc w:val="center"/>
              </w:trPr>
              <w:tc>
                <w:tcPr>
                  <w:tcW w:w="72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r>
                    <w:rPr>
                      <w:rFonts w:hint="eastAsia" w:ascii="宋体" w:hAnsi="宋体" w:cs="宋体"/>
                      <w:color w:val="auto"/>
                      <w:szCs w:val="28"/>
                      <w:highlight w:val="none"/>
                    </w:rPr>
                    <w:t>17</w:t>
                  </w:r>
                </w:p>
              </w:tc>
              <w:tc>
                <w:tcPr>
                  <w:tcW w:w="2672"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p>
              </w:tc>
              <w:tc>
                <w:tcPr>
                  <w:tcW w:w="270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szCs w:val="28"/>
                      <w:highlight w:val="none"/>
                    </w:rPr>
                  </w:pPr>
                </w:p>
              </w:tc>
              <w:tc>
                <w:tcPr>
                  <w:tcW w:w="3242"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auto"/>
                      <w:szCs w:val="28"/>
                      <w:highlight w:val="none"/>
                    </w:rPr>
                  </w:pPr>
                  <w:r>
                    <w:rPr>
                      <w:rFonts w:hint="eastAsia" w:ascii="宋体" w:hAnsi="宋体" w:cs="宋体"/>
                      <w:color w:val="auto"/>
                      <w:szCs w:val="28"/>
                      <w:highlight w:val="none"/>
                    </w:rPr>
                    <w:t>资质能力管理</w:t>
                  </w:r>
                </w:p>
              </w:tc>
            </w:tr>
            <w:tr>
              <w:tblPrEx>
                <w:tblCellMar>
                  <w:top w:w="0" w:type="dxa"/>
                  <w:left w:w="108" w:type="dxa"/>
                  <w:bottom w:w="0" w:type="dxa"/>
                  <w:right w:w="108" w:type="dxa"/>
                </w:tblCellMar>
              </w:tblPrEx>
              <w:trPr>
                <w:jc w:val="center"/>
              </w:trPr>
              <w:tc>
                <w:tcPr>
                  <w:tcW w:w="72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r>
                    <w:rPr>
                      <w:rFonts w:hint="eastAsia" w:ascii="宋体" w:hAnsi="宋体" w:cs="宋体"/>
                      <w:color w:val="auto"/>
                      <w:szCs w:val="28"/>
                      <w:highlight w:val="none"/>
                    </w:rPr>
                    <w:t>18</w:t>
                  </w:r>
                </w:p>
              </w:tc>
              <w:tc>
                <w:tcPr>
                  <w:tcW w:w="2672"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p>
              </w:tc>
              <w:tc>
                <w:tcPr>
                  <w:tcW w:w="270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szCs w:val="28"/>
                      <w:highlight w:val="none"/>
                    </w:rPr>
                  </w:pPr>
                </w:p>
              </w:tc>
              <w:tc>
                <w:tcPr>
                  <w:tcW w:w="3242"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auto"/>
                      <w:szCs w:val="28"/>
                      <w:highlight w:val="none"/>
                    </w:rPr>
                  </w:pPr>
                  <w:r>
                    <w:rPr>
                      <w:rFonts w:hint="eastAsia" w:ascii="宋体" w:hAnsi="宋体" w:cs="宋体"/>
                      <w:color w:val="auto"/>
                      <w:szCs w:val="28"/>
                      <w:highlight w:val="none"/>
                    </w:rPr>
                    <w:t>功能优化</w:t>
                  </w:r>
                </w:p>
              </w:tc>
            </w:tr>
            <w:tr>
              <w:tblPrEx>
                <w:tblCellMar>
                  <w:top w:w="0" w:type="dxa"/>
                  <w:left w:w="108" w:type="dxa"/>
                  <w:bottom w:w="0" w:type="dxa"/>
                  <w:right w:w="108" w:type="dxa"/>
                </w:tblCellMar>
              </w:tblPrEx>
              <w:trPr>
                <w:jc w:val="center"/>
              </w:trPr>
              <w:tc>
                <w:tcPr>
                  <w:tcW w:w="72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r>
                    <w:rPr>
                      <w:rFonts w:hint="eastAsia" w:ascii="宋体" w:hAnsi="宋体" w:cs="宋体"/>
                      <w:color w:val="auto"/>
                      <w:szCs w:val="28"/>
                      <w:highlight w:val="none"/>
                    </w:rPr>
                    <w:t>19</w:t>
                  </w:r>
                </w:p>
              </w:tc>
              <w:tc>
                <w:tcPr>
                  <w:tcW w:w="2672"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p>
              </w:tc>
              <w:tc>
                <w:tcPr>
                  <w:tcW w:w="2705"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auto"/>
                      <w:szCs w:val="28"/>
                      <w:highlight w:val="none"/>
                    </w:rPr>
                  </w:pPr>
                  <w:r>
                    <w:rPr>
                      <w:rFonts w:hint="eastAsia" w:ascii="宋体" w:hAnsi="宋体" w:cs="宋体"/>
                      <w:color w:val="auto"/>
                      <w:szCs w:val="28"/>
                      <w:highlight w:val="none"/>
                    </w:rPr>
                    <w:t>资源管理</w:t>
                  </w:r>
                </w:p>
              </w:tc>
              <w:tc>
                <w:tcPr>
                  <w:tcW w:w="3242"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auto"/>
                      <w:szCs w:val="28"/>
                      <w:highlight w:val="none"/>
                    </w:rPr>
                  </w:pPr>
                  <w:r>
                    <w:rPr>
                      <w:rFonts w:hint="eastAsia" w:ascii="宋体" w:hAnsi="宋体" w:cs="宋体"/>
                      <w:color w:val="auto"/>
                      <w:szCs w:val="28"/>
                      <w:highlight w:val="none"/>
                    </w:rPr>
                    <w:t>标准溶液配置导出</w:t>
                  </w:r>
                </w:p>
              </w:tc>
            </w:tr>
            <w:tr>
              <w:tblPrEx>
                <w:tblCellMar>
                  <w:top w:w="0" w:type="dxa"/>
                  <w:left w:w="108" w:type="dxa"/>
                  <w:bottom w:w="0" w:type="dxa"/>
                  <w:right w:w="108" w:type="dxa"/>
                </w:tblCellMar>
              </w:tblPrEx>
              <w:trPr>
                <w:jc w:val="center"/>
              </w:trPr>
              <w:tc>
                <w:tcPr>
                  <w:tcW w:w="72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r>
                    <w:rPr>
                      <w:rFonts w:hint="eastAsia" w:ascii="宋体" w:hAnsi="宋体" w:cs="宋体"/>
                      <w:color w:val="auto"/>
                      <w:szCs w:val="28"/>
                      <w:highlight w:val="none"/>
                    </w:rPr>
                    <w:t>20</w:t>
                  </w:r>
                </w:p>
              </w:tc>
              <w:tc>
                <w:tcPr>
                  <w:tcW w:w="2672"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p>
              </w:tc>
              <w:tc>
                <w:tcPr>
                  <w:tcW w:w="2705" w:type="dxa"/>
                  <w:vMerge w:val="restart"/>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szCs w:val="28"/>
                      <w:highlight w:val="none"/>
                    </w:rPr>
                  </w:pPr>
                  <w:r>
                    <w:rPr>
                      <w:rFonts w:hint="eastAsia" w:ascii="宋体" w:hAnsi="宋体" w:cs="宋体"/>
                      <w:color w:val="auto"/>
                      <w:szCs w:val="28"/>
                      <w:highlight w:val="none"/>
                    </w:rPr>
                    <w:t>标签生成</w:t>
                  </w:r>
                </w:p>
              </w:tc>
              <w:tc>
                <w:tcPr>
                  <w:tcW w:w="3242"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auto"/>
                      <w:szCs w:val="28"/>
                      <w:highlight w:val="none"/>
                    </w:rPr>
                  </w:pPr>
                  <w:r>
                    <w:rPr>
                      <w:rFonts w:hint="eastAsia" w:ascii="宋体" w:hAnsi="宋体" w:cs="宋体"/>
                      <w:color w:val="auto"/>
                      <w:szCs w:val="28"/>
                      <w:highlight w:val="none"/>
                    </w:rPr>
                    <w:t>物资标签</w:t>
                  </w:r>
                </w:p>
              </w:tc>
            </w:tr>
            <w:tr>
              <w:tblPrEx>
                <w:tblCellMar>
                  <w:top w:w="0" w:type="dxa"/>
                  <w:left w:w="108" w:type="dxa"/>
                  <w:bottom w:w="0" w:type="dxa"/>
                  <w:right w:w="108" w:type="dxa"/>
                </w:tblCellMar>
              </w:tblPrEx>
              <w:trPr>
                <w:jc w:val="center"/>
              </w:trPr>
              <w:tc>
                <w:tcPr>
                  <w:tcW w:w="72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r>
                    <w:rPr>
                      <w:rFonts w:hint="eastAsia" w:ascii="宋体" w:hAnsi="宋体" w:cs="宋体"/>
                      <w:color w:val="auto"/>
                      <w:szCs w:val="28"/>
                      <w:highlight w:val="none"/>
                    </w:rPr>
                    <w:t>21</w:t>
                  </w:r>
                </w:p>
              </w:tc>
              <w:tc>
                <w:tcPr>
                  <w:tcW w:w="2672"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p>
              </w:tc>
              <w:tc>
                <w:tcPr>
                  <w:tcW w:w="270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szCs w:val="28"/>
                      <w:highlight w:val="none"/>
                    </w:rPr>
                  </w:pPr>
                </w:p>
              </w:tc>
              <w:tc>
                <w:tcPr>
                  <w:tcW w:w="3242"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auto"/>
                      <w:szCs w:val="28"/>
                      <w:highlight w:val="none"/>
                    </w:rPr>
                  </w:pPr>
                  <w:r>
                    <w:rPr>
                      <w:rFonts w:hint="eastAsia" w:ascii="宋体" w:hAnsi="宋体" w:cs="宋体"/>
                      <w:color w:val="auto"/>
                      <w:szCs w:val="28"/>
                      <w:highlight w:val="none"/>
                    </w:rPr>
                    <w:t>仪器标签</w:t>
                  </w:r>
                </w:p>
              </w:tc>
            </w:tr>
            <w:tr>
              <w:tblPrEx>
                <w:tblCellMar>
                  <w:top w:w="0" w:type="dxa"/>
                  <w:left w:w="108" w:type="dxa"/>
                  <w:bottom w:w="0" w:type="dxa"/>
                  <w:right w:w="108" w:type="dxa"/>
                </w:tblCellMar>
              </w:tblPrEx>
              <w:trPr>
                <w:jc w:val="center"/>
              </w:trPr>
              <w:tc>
                <w:tcPr>
                  <w:tcW w:w="72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r>
                    <w:rPr>
                      <w:rFonts w:hint="eastAsia" w:ascii="宋体" w:hAnsi="宋体" w:cs="宋体"/>
                      <w:color w:val="auto"/>
                      <w:szCs w:val="28"/>
                      <w:highlight w:val="none"/>
                    </w:rPr>
                    <w:t>22</w:t>
                  </w:r>
                </w:p>
              </w:tc>
              <w:tc>
                <w:tcPr>
                  <w:tcW w:w="2672"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p>
              </w:tc>
              <w:tc>
                <w:tcPr>
                  <w:tcW w:w="2705" w:type="dxa"/>
                  <w:vMerge w:val="restart"/>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szCs w:val="28"/>
                      <w:highlight w:val="none"/>
                    </w:rPr>
                  </w:pPr>
                  <w:r>
                    <w:rPr>
                      <w:rFonts w:hint="eastAsia" w:ascii="宋体" w:hAnsi="宋体" w:cs="宋体"/>
                      <w:color w:val="auto"/>
                      <w:szCs w:val="28"/>
                      <w:highlight w:val="none"/>
                    </w:rPr>
                    <w:t>物资管理</w:t>
                  </w:r>
                </w:p>
              </w:tc>
              <w:tc>
                <w:tcPr>
                  <w:tcW w:w="3242"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auto"/>
                      <w:szCs w:val="28"/>
                      <w:highlight w:val="none"/>
                    </w:rPr>
                  </w:pPr>
                  <w:r>
                    <w:rPr>
                      <w:rFonts w:hint="eastAsia" w:ascii="宋体" w:hAnsi="宋体" w:cs="宋体"/>
                      <w:color w:val="auto"/>
                      <w:szCs w:val="28"/>
                      <w:highlight w:val="none"/>
                    </w:rPr>
                    <w:t>试剂管理</w:t>
                  </w:r>
                </w:p>
              </w:tc>
            </w:tr>
            <w:tr>
              <w:tblPrEx>
                <w:tblCellMar>
                  <w:top w:w="0" w:type="dxa"/>
                  <w:left w:w="108" w:type="dxa"/>
                  <w:bottom w:w="0" w:type="dxa"/>
                  <w:right w:w="108" w:type="dxa"/>
                </w:tblCellMar>
              </w:tblPrEx>
              <w:trPr>
                <w:jc w:val="center"/>
              </w:trPr>
              <w:tc>
                <w:tcPr>
                  <w:tcW w:w="72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r>
                    <w:rPr>
                      <w:rFonts w:hint="eastAsia" w:ascii="宋体" w:hAnsi="宋体" w:cs="宋体"/>
                      <w:color w:val="auto"/>
                      <w:szCs w:val="28"/>
                      <w:highlight w:val="none"/>
                    </w:rPr>
                    <w:t>23</w:t>
                  </w:r>
                </w:p>
              </w:tc>
              <w:tc>
                <w:tcPr>
                  <w:tcW w:w="2672"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p>
              </w:tc>
              <w:tc>
                <w:tcPr>
                  <w:tcW w:w="270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szCs w:val="28"/>
                      <w:highlight w:val="none"/>
                    </w:rPr>
                  </w:pPr>
                </w:p>
              </w:tc>
              <w:tc>
                <w:tcPr>
                  <w:tcW w:w="3242"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auto"/>
                      <w:szCs w:val="28"/>
                      <w:highlight w:val="none"/>
                    </w:rPr>
                  </w:pPr>
                  <w:r>
                    <w:rPr>
                      <w:rFonts w:hint="eastAsia" w:ascii="宋体" w:hAnsi="宋体" w:cs="宋体"/>
                      <w:color w:val="auto"/>
                      <w:szCs w:val="28"/>
                      <w:highlight w:val="none"/>
                    </w:rPr>
                    <w:t>物资使用记录</w:t>
                  </w:r>
                </w:p>
              </w:tc>
            </w:tr>
            <w:tr>
              <w:tblPrEx>
                <w:tblCellMar>
                  <w:top w:w="0" w:type="dxa"/>
                  <w:left w:w="108" w:type="dxa"/>
                  <w:bottom w:w="0" w:type="dxa"/>
                  <w:right w:w="108" w:type="dxa"/>
                </w:tblCellMar>
              </w:tblPrEx>
              <w:trPr>
                <w:jc w:val="center"/>
              </w:trPr>
              <w:tc>
                <w:tcPr>
                  <w:tcW w:w="72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r>
                    <w:rPr>
                      <w:rFonts w:hint="eastAsia" w:ascii="宋体" w:hAnsi="宋体" w:cs="宋体"/>
                      <w:color w:val="auto"/>
                      <w:szCs w:val="28"/>
                      <w:highlight w:val="none"/>
                    </w:rPr>
                    <w:t>24</w:t>
                  </w:r>
                </w:p>
              </w:tc>
              <w:tc>
                <w:tcPr>
                  <w:tcW w:w="2672"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p>
              </w:tc>
              <w:tc>
                <w:tcPr>
                  <w:tcW w:w="2705"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auto"/>
                      <w:szCs w:val="28"/>
                      <w:highlight w:val="none"/>
                    </w:rPr>
                  </w:pPr>
                  <w:r>
                    <w:rPr>
                      <w:rFonts w:hint="eastAsia" w:ascii="宋体" w:hAnsi="宋体" w:cs="宋体"/>
                      <w:color w:val="auto"/>
                      <w:szCs w:val="28"/>
                      <w:highlight w:val="none"/>
                    </w:rPr>
                    <w:t>任务下达</w:t>
                  </w:r>
                </w:p>
              </w:tc>
              <w:tc>
                <w:tcPr>
                  <w:tcW w:w="3242"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auto"/>
                      <w:szCs w:val="28"/>
                      <w:highlight w:val="none"/>
                    </w:rPr>
                  </w:pPr>
                  <w:r>
                    <w:rPr>
                      <w:rFonts w:hint="eastAsia" w:ascii="宋体" w:hAnsi="宋体" w:cs="宋体"/>
                      <w:color w:val="auto"/>
                      <w:szCs w:val="28"/>
                      <w:highlight w:val="none"/>
                    </w:rPr>
                    <w:t>功能优化</w:t>
                  </w:r>
                </w:p>
              </w:tc>
            </w:tr>
            <w:tr>
              <w:tblPrEx>
                <w:tblCellMar>
                  <w:top w:w="0" w:type="dxa"/>
                  <w:left w:w="108" w:type="dxa"/>
                  <w:bottom w:w="0" w:type="dxa"/>
                  <w:right w:w="108" w:type="dxa"/>
                </w:tblCellMar>
              </w:tblPrEx>
              <w:trPr>
                <w:jc w:val="center"/>
              </w:trPr>
              <w:tc>
                <w:tcPr>
                  <w:tcW w:w="72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r>
                    <w:rPr>
                      <w:rFonts w:hint="eastAsia" w:ascii="宋体" w:hAnsi="宋体" w:cs="宋体"/>
                      <w:color w:val="auto"/>
                      <w:szCs w:val="28"/>
                      <w:highlight w:val="none"/>
                    </w:rPr>
                    <w:t>25</w:t>
                  </w:r>
                </w:p>
              </w:tc>
              <w:tc>
                <w:tcPr>
                  <w:tcW w:w="2672"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p>
              </w:tc>
              <w:tc>
                <w:tcPr>
                  <w:tcW w:w="2705"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auto"/>
                      <w:szCs w:val="28"/>
                      <w:highlight w:val="none"/>
                    </w:rPr>
                  </w:pPr>
                  <w:r>
                    <w:rPr>
                      <w:rFonts w:hint="eastAsia" w:ascii="宋体" w:hAnsi="宋体" w:cs="宋体"/>
                      <w:color w:val="auto"/>
                      <w:szCs w:val="28"/>
                      <w:highlight w:val="none"/>
                    </w:rPr>
                    <w:t>基础数据管理</w:t>
                  </w:r>
                </w:p>
              </w:tc>
              <w:tc>
                <w:tcPr>
                  <w:tcW w:w="3242"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auto"/>
                      <w:szCs w:val="28"/>
                      <w:highlight w:val="none"/>
                    </w:rPr>
                  </w:pPr>
                  <w:r>
                    <w:rPr>
                      <w:rFonts w:hint="eastAsia" w:ascii="宋体" w:hAnsi="宋体" w:cs="宋体"/>
                      <w:color w:val="auto"/>
                      <w:szCs w:val="28"/>
                      <w:highlight w:val="none"/>
                    </w:rPr>
                    <w:t>监测对象管理</w:t>
                  </w:r>
                </w:p>
              </w:tc>
            </w:tr>
            <w:tr>
              <w:tblPrEx>
                <w:tblCellMar>
                  <w:top w:w="0" w:type="dxa"/>
                  <w:left w:w="108" w:type="dxa"/>
                  <w:bottom w:w="0" w:type="dxa"/>
                  <w:right w:w="108" w:type="dxa"/>
                </w:tblCellMar>
              </w:tblPrEx>
              <w:trPr>
                <w:jc w:val="center"/>
              </w:trPr>
              <w:tc>
                <w:tcPr>
                  <w:tcW w:w="72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r>
                    <w:rPr>
                      <w:rFonts w:hint="eastAsia" w:ascii="宋体" w:hAnsi="宋体" w:cs="宋体"/>
                      <w:color w:val="auto"/>
                      <w:szCs w:val="28"/>
                      <w:highlight w:val="none"/>
                    </w:rPr>
                    <w:t>26</w:t>
                  </w:r>
                </w:p>
              </w:tc>
              <w:tc>
                <w:tcPr>
                  <w:tcW w:w="2672"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p>
              </w:tc>
              <w:tc>
                <w:tcPr>
                  <w:tcW w:w="2705" w:type="dxa"/>
                  <w:vMerge w:val="restart"/>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auto"/>
                      <w:szCs w:val="28"/>
                      <w:highlight w:val="none"/>
                    </w:rPr>
                  </w:pPr>
                  <w:r>
                    <w:rPr>
                      <w:rFonts w:hint="eastAsia" w:ascii="宋体" w:hAnsi="宋体" w:cs="宋体"/>
                      <w:color w:val="auto"/>
                      <w:szCs w:val="28"/>
                      <w:highlight w:val="none"/>
                    </w:rPr>
                    <w:t>数据统计</w:t>
                  </w:r>
                </w:p>
              </w:tc>
              <w:tc>
                <w:tcPr>
                  <w:tcW w:w="3242"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auto"/>
                      <w:szCs w:val="28"/>
                      <w:highlight w:val="none"/>
                    </w:rPr>
                  </w:pPr>
                  <w:r>
                    <w:rPr>
                      <w:rFonts w:hint="eastAsia" w:ascii="宋体" w:hAnsi="宋体" w:cs="宋体"/>
                      <w:color w:val="auto"/>
                      <w:szCs w:val="28"/>
                      <w:highlight w:val="none"/>
                    </w:rPr>
                    <w:t>表单开发</w:t>
                  </w:r>
                </w:p>
              </w:tc>
            </w:tr>
            <w:tr>
              <w:tblPrEx>
                <w:tblCellMar>
                  <w:top w:w="0" w:type="dxa"/>
                  <w:left w:w="108" w:type="dxa"/>
                  <w:bottom w:w="0" w:type="dxa"/>
                  <w:right w:w="108" w:type="dxa"/>
                </w:tblCellMar>
              </w:tblPrEx>
              <w:trPr>
                <w:jc w:val="center"/>
              </w:trPr>
              <w:tc>
                <w:tcPr>
                  <w:tcW w:w="72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r>
                    <w:rPr>
                      <w:rFonts w:hint="eastAsia" w:ascii="宋体" w:hAnsi="宋体" w:cs="宋体"/>
                      <w:color w:val="auto"/>
                      <w:szCs w:val="28"/>
                      <w:highlight w:val="none"/>
                    </w:rPr>
                    <w:t>27</w:t>
                  </w:r>
                </w:p>
              </w:tc>
              <w:tc>
                <w:tcPr>
                  <w:tcW w:w="2672"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p>
              </w:tc>
              <w:tc>
                <w:tcPr>
                  <w:tcW w:w="270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szCs w:val="28"/>
                      <w:highlight w:val="none"/>
                    </w:rPr>
                  </w:pPr>
                </w:p>
              </w:tc>
              <w:tc>
                <w:tcPr>
                  <w:tcW w:w="3242"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auto"/>
                      <w:szCs w:val="28"/>
                      <w:highlight w:val="none"/>
                    </w:rPr>
                  </w:pPr>
                  <w:r>
                    <w:rPr>
                      <w:rFonts w:hint="eastAsia" w:ascii="宋体" w:hAnsi="宋体" w:cs="宋体"/>
                      <w:color w:val="auto"/>
                      <w:szCs w:val="28"/>
                      <w:highlight w:val="none"/>
                    </w:rPr>
                    <w:t>数据统计</w:t>
                  </w:r>
                </w:p>
              </w:tc>
            </w:tr>
            <w:tr>
              <w:tblPrEx>
                <w:tblCellMar>
                  <w:top w:w="0" w:type="dxa"/>
                  <w:left w:w="108" w:type="dxa"/>
                  <w:bottom w:w="0" w:type="dxa"/>
                  <w:right w:w="108" w:type="dxa"/>
                </w:tblCellMar>
              </w:tblPrEx>
              <w:trPr>
                <w:jc w:val="center"/>
              </w:trPr>
              <w:tc>
                <w:tcPr>
                  <w:tcW w:w="72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r>
                    <w:rPr>
                      <w:rFonts w:hint="eastAsia" w:ascii="宋体" w:hAnsi="宋体" w:cs="宋体"/>
                      <w:color w:val="auto"/>
                      <w:szCs w:val="28"/>
                      <w:highlight w:val="none"/>
                    </w:rPr>
                    <w:t>28</w:t>
                  </w:r>
                </w:p>
              </w:tc>
              <w:tc>
                <w:tcPr>
                  <w:tcW w:w="2672"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p>
              </w:tc>
              <w:tc>
                <w:tcPr>
                  <w:tcW w:w="270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szCs w:val="28"/>
                      <w:highlight w:val="none"/>
                    </w:rPr>
                  </w:pPr>
                </w:p>
              </w:tc>
              <w:tc>
                <w:tcPr>
                  <w:tcW w:w="3242"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auto"/>
                      <w:szCs w:val="28"/>
                      <w:highlight w:val="none"/>
                    </w:rPr>
                  </w:pPr>
                  <w:r>
                    <w:rPr>
                      <w:rFonts w:hint="eastAsia" w:ascii="宋体" w:hAnsi="宋体" w:cs="宋体"/>
                      <w:color w:val="auto"/>
                      <w:szCs w:val="28"/>
                      <w:highlight w:val="none"/>
                    </w:rPr>
                    <w:t>数据审核</w:t>
                  </w:r>
                </w:p>
              </w:tc>
            </w:tr>
            <w:tr>
              <w:tblPrEx>
                <w:tblCellMar>
                  <w:top w:w="0" w:type="dxa"/>
                  <w:left w:w="108" w:type="dxa"/>
                  <w:bottom w:w="0" w:type="dxa"/>
                  <w:right w:w="108" w:type="dxa"/>
                </w:tblCellMar>
              </w:tblPrEx>
              <w:trPr>
                <w:jc w:val="center"/>
              </w:trPr>
              <w:tc>
                <w:tcPr>
                  <w:tcW w:w="72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r>
                    <w:rPr>
                      <w:rFonts w:hint="eastAsia" w:ascii="宋体" w:hAnsi="宋体" w:cs="宋体"/>
                      <w:color w:val="auto"/>
                      <w:szCs w:val="28"/>
                      <w:highlight w:val="none"/>
                    </w:rPr>
                    <w:t>29</w:t>
                  </w:r>
                </w:p>
              </w:tc>
              <w:tc>
                <w:tcPr>
                  <w:tcW w:w="2672"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p>
              </w:tc>
              <w:tc>
                <w:tcPr>
                  <w:tcW w:w="2705"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auto"/>
                      <w:szCs w:val="28"/>
                      <w:highlight w:val="none"/>
                    </w:rPr>
                  </w:pPr>
                  <w:r>
                    <w:rPr>
                      <w:rFonts w:hint="eastAsia" w:ascii="宋体" w:hAnsi="宋体" w:cs="宋体"/>
                      <w:color w:val="auto"/>
                      <w:szCs w:val="28"/>
                      <w:highlight w:val="none"/>
                    </w:rPr>
                    <w:t>基础配置</w:t>
                  </w:r>
                </w:p>
              </w:tc>
              <w:tc>
                <w:tcPr>
                  <w:tcW w:w="3242"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auto"/>
                      <w:szCs w:val="28"/>
                      <w:highlight w:val="none"/>
                    </w:rPr>
                  </w:pPr>
                  <w:r>
                    <w:rPr>
                      <w:rFonts w:hint="eastAsia" w:ascii="宋体" w:hAnsi="宋体" w:cs="宋体"/>
                      <w:color w:val="auto"/>
                      <w:szCs w:val="28"/>
                      <w:highlight w:val="none"/>
                    </w:rPr>
                    <w:t>分析方法管理</w:t>
                  </w:r>
                </w:p>
              </w:tc>
            </w:tr>
            <w:tr>
              <w:tblPrEx>
                <w:tblCellMar>
                  <w:top w:w="0" w:type="dxa"/>
                  <w:left w:w="108" w:type="dxa"/>
                  <w:bottom w:w="0" w:type="dxa"/>
                  <w:right w:w="108" w:type="dxa"/>
                </w:tblCellMar>
              </w:tblPrEx>
              <w:trPr>
                <w:jc w:val="center"/>
              </w:trPr>
              <w:tc>
                <w:tcPr>
                  <w:tcW w:w="72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r>
                    <w:rPr>
                      <w:rFonts w:hint="eastAsia" w:ascii="宋体" w:hAnsi="宋体" w:cs="宋体"/>
                      <w:color w:val="auto"/>
                      <w:szCs w:val="28"/>
                      <w:highlight w:val="none"/>
                    </w:rPr>
                    <w:t>30</w:t>
                  </w:r>
                </w:p>
              </w:tc>
              <w:tc>
                <w:tcPr>
                  <w:tcW w:w="2672"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p>
              </w:tc>
              <w:tc>
                <w:tcPr>
                  <w:tcW w:w="2705"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auto"/>
                      <w:szCs w:val="28"/>
                      <w:highlight w:val="none"/>
                    </w:rPr>
                  </w:pPr>
                  <w:r>
                    <w:rPr>
                      <w:rFonts w:hint="eastAsia" w:ascii="宋体" w:hAnsi="宋体" w:cs="宋体"/>
                      <w:color w:val="auto"/>
                      <w:szCs w:val="28"/>
                      <w:highlight w:val="none"/>
                    </w:rPr>
                    <w:t>任务办理</w:t>
                  </w:r>
                </w:p>
              </w:tc>
              <w:tc>
                <w:tcPr>
                  <w:tcW w:w="3242"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auto"/>
                      <w:szCs w:val="28"/>
                      <w:highlight w:val="none"/>
                    </w:rPr>
                  </w:pPr>
                  <w:r>
                    <w:rPr>
                      <w:rFonts w:hint="eastAsia" w:ascii="宋体" w:hAnsi="宋体" w:cs="宋体"/>
                      <w:color w:val="auto"/>
                      <w:szCs w:val="28"/>
                      <w:highlight w:val="none"/>
                    </w:rPr>
                    <w:t>任务办理</w:t>
                  </w:r>
                </w:p>
              </w:tc>
            </w:tr>
            <w:tr>
              <w:tblPrEx>
                <w:tblCellMar>
                  <w:top w:w="0" w:type="dxa"/>
                  <w:left w:w="108" w:type="dxa"/>
                  <w:bottom w:w="0" w:type="dxa"/>
                  <w:right w:w="108" w:type="dxa"/>
                </w:tblCellMar>
              </w:tblPrEx>
              <w:trPr>
                <w:jc w:val="center"/>
              </w:trPr>
              <w:tc>
                <w:tcPr>
                  <w:tcW w:w="72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r>
                    <w:rPr>
                      <w:rFonts w:hint="eastAsia" w:ascii="宋体" w:hAnsi="宋体" w:cs="宋体"/>
                      <w:color w:val="auto"/>
                      <w:szCs w:val="28"/>
                      <w:highlight w:val="none"/>
                    </w:rPr>
                    <w:t>31</w:t>
                  </w:r>
                </w:p>
              </w:tc>
              <w:tc>
                <w:tcPr>
                  <w:tcW w:w="2672" w:type="dxa"/>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r>
                    <w:rPr>
                      <w:rFonts w:hint="eastAsia" w:ascii="宋体" w:hAnsi="宋体" w:cs="宋体"/>
                      <w:color w:val="auto"/>
                      <w:szCs w:val="28"/>
                      <w:highlight w:val="none"/>
                    </w:rPr>
                    <w:t>海洋监测数据综合管理系统升级</w:t>
                  </w:r>
                </w:p>
              </w:tc>
              <w:tc>
                <w:tcPr>
                  <w:tcW w:w="2705" w:type="dxa"/>
                  <w:vMerge w:val="restart"/>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auto"/>
                      <w:szCs w:val="28"/>
                      <w:highlight w:val="none"/>
                    </w:rPr>
                  </w:pPr>
                  <w:r>
                    <w:rPr>
                      <w:rFonts w:hint="eastAsia" w:ascii="宋体" w:hAnsi="宋体" w:cs="宋体"/>
                      <w:color w:val="auto"/>
                      <w:szCs w:val="28"/>
                      <w:highlight w:val="none"/>
                    </w:rPr>
                    <w:t>基础框架升级</w:t>
                  </w:r>
                </w:p>
              </w:tc>
              <w:tc>
                <w:tcPr>
                  <w:tcW w:w="3242"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auto"/>
                      <w:szCs w:val="28"/>
                      <w:highlight w:val="none"/>
                    </w:rPr>
                  </w:pPr>
                  <w:r>
                    <w:rPr>
                      <w:rFonts w:hint="eastAsia" w:ascii="宋体" w:hAnsi="宋体" w:cs="宋体"/>
                      <w:color w:val="auto"/>
                      <w:szCs w:val="28"/>
                      <w:highlight w:val="none"/>
                    </w:rPr>
                    <w:t>基础框架升级</w:t>
                  </w:r>
                </w:p>
              </w:tc>
            </w:tr>
            <w:tr>
              <w:tblPrEx>
                <w:tblCellMar>
                  <w:top w:w="0" w:type="dxa"/>
                  <w:left w:w="108" w:type="dxa"/>
                  <w:bottom w:w="0" w:type="dxa"/>
                  <w:right w:w="108" w:type="dxa"/>
                </w:tblCellMar>
              </w:tblPrEx>
              <w:trPr>
                <w:jc w:val="center"/>
              </w:trPr>
              <w:tc>
                <w:tcPr>
                  <w:tcW w:w="72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r>
                    <w:rPr>
                      <w:rFonts w:hint="eastAsia" w:ascii="宋体" w:hAnsi="宋体" w:cs="宋体"/>
                      <w:color w:val="auto"/>
                      <w:szCs w:val="28"/>
                      <w:highlight w:val="none"/>
                    </w:rPr>
                    <w:t>32</w:t>
                  </w:r>
                </w:p>
              </w:tc>
              <w:tc>
                <w:tcPr>
                  <w:tcW w:w="2672"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p>
              </w:tc>
              <w:tc>
                <w:tcPr>
                  <w:tcW w:w="270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szCs w:val="28"/>
                      <w:highlight w:val="none"/>
                    </w:rPr>
                  </w:pPr>
                </w:p>
              </w:tc>
              <w:tc>
                <w:tcPr>
                  <w:tcW w:w="3242"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auto"/>
                      <w:szCs w:val="28"/>
                      <w:highlight w:val="none"/>
                    </w:rPr>
                  </w:pPr>
                  <w:r>
                    <w:rPr>
                      <w:rFonts w:hint="eastAsia" w:ascii="宋体" w:hAnsi="宋体" w:cs="宋体"/>
                      <w:color w:val="auto"/>
                      <w:szCs w:val="28"/>
                      <w:highlight w:val="none"/>
                    </w:rPr>
                    <w:t>系统流程美化</w:t>
                  </w:r>
                </w:p>
              </w:tc>
            </w:tr>
            <w:tr>
              <w:tblPrEx>
                <w:tblCellMar>
                  <w:top w:w="0" w:type="dxa"/>
                  <w:left w:w="108" w:type="dxa"/>
                  <w:bottom w:w="0" w:type="dxa"/>
                  <w:right w:w="108" w:type="dxa"/>
                </w:tblCellMar>
              </w:tblPrEx>
              <w:trPr>
                <w:jc w:val="center"/>
              </w:trPr>
              <w:tc>
                <w:tcPr>
                  <w:tcW w:w="72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r>
                    <w:rPr>
                      <w:rFonts w:hint="eastAsia" w:ascii="宋体" w:hAnsi="宋体" w:cs="宋体"/>
                      <w:color w:val="auto"/>
                      <w:szCs w:val="28"/>
                      <w:highlight w:val="none"/>
                    </w:rPr>
                    <w:t>33</w:t>
                  </w:r>
                </w:p>
              </w:tc>
              <w:tc>
                <w:tcPr>
                  <w:tcW w:w="2672"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p>
              </w:tc>
              <w:tc>
                <w:tcPr>
                  <w:tcW w:w="270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szCs w:val="28"/>
                      <w:highlight w:val="none"/>
                    </w:rPr>
                  </w:pPr>
                </w:p>
              </w:tc>
              <w:tc>
                <w:tcPr>
                  <w:tcW w:w="3242"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auto"/>
                      <w:szCs w:val="28"/>
                      <w:highlight w:val="none"/>
                    </w:rPr>
                  </w:pPr>
                  <w:r>
                    <w:rPr>
                      <w:rFonts w:hint="eastAsia" w:ascii="宋体" w:hAnsi="宋体" w:cs="宋体"/>
                      <w:color w:val="auto"/>
                      <w:szCs w:val="28"/>
                      <w:highlight w:val="none"/>
                    </w:rPr>
                    <w:t>系统性能提升</w:t>
                  </w:r>
                </w:p>
              </w:tc>
            </w:tr>
            <w:tr>
              <w:tblPrEx>
                <w:tblCellMar>
                  <w:top w:w="0" w:type="dxa"/>
                  <w:left w:w="108" w:type="dxa"/>
                  <w:bottom w:w="0" w:type="dxa"/>
                  <w:right w:w="108" w:type="dxa"/>
                </w:tblCellMar>
              </w:tblPrEx>
              <w:trPr>
                <w:jc w:val="center"/>
              </w:trPr>
              <w:tc>
                <w:tcPr>
                  <w:tcW w:w="72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r>
                    <w:rPr>
                      <w:rFonts w:hint="eastAsia" w:ascii="宋体" w:hAnsi="宋体" w:cs="宋体"/>
                      <w:color w:val="auto"/>
                      <w:szCs w:val="28"/>
                      <w:highlight w:val="none"/>
                    </w:rPr>
                    <w:t>34</w:t>
                  </w:r>
                </w:p>
              </w:tc>
              <w:tc>
                <w:tcPr>
                  <w:tcW w:w="2672"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p>
              </w:tc>
              <w:tc>
                <w:tcPr>
                  <w:tcW w:w="2705"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auto"/>
                      <w:szCs w:val="28"/>
                      <w:highlight w:val="none"/>
                    </w:rPr>
                  </w:pPr>
                  <w:r>
                    <w:rPr>
                      <w:rFonts w:hint="eastAsia" w:ascii="宋体" w:hAnsi="宋体" w:cs="宋体"/>
                      <w:color w:val="auto"/>
                      <w:szCs w:val="28"/>
                      <w:highlight w:val="none"/>
                    </w:rPr>
                    <w:t>概览分析</w:t>
                  </w:r>
                </w:p>
              </w:tc>
              <w:tc>
                <w:tcPr>
                  <w:tcW w:w="3242"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auto"/>
                      <w:szCs w:val="28"/>
                      <w:highlight w:val="none"/>
                    </w:rPr>
                  </w:pPr>
                  <w:r>
                    <w:rPr>
                      <w:rFonts w:hint="eastAsia" w:ascii="宋体" w:hAnsi="宋体" w:cs="宋体"/>
                      <w:color w:val="auto"/>
                      <w:szCs w:val="28"/>
                      <w:highlight w:val="none"/>
                    </w:rPr>
                    <w:t>首页展示优化</w:t>
                  </w:r>
                </w:p>
              </w:tc>
            </w:tr>
            <w:tr>
              <w:tblPrEx>
                <w:tblCellMar>
                  <w:top w:w="0" w:type="dxa"/>
                  <w:left w:w="108" w:type="dxa"/>
                  <w:bottom w:w="0" w:type="dxa"/>
                  <w:right w:w="108" w:type="dxa"/>
                </w:tblCellMar>
              </w:tblPrEx>
              <w:trPr>
                <w:jc w:val="center"/>
              </w:trPr>
              <w:tc>
                <w:tcPr>
                  <w:tcW w:w="72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r>
                    <w:rPr>
                      <w:rFonts w:hint="eastAsia" w:ascii="宋体" w:hAnsi="宋体" w:cs="宋体"/>
                      <w:color w:val="auto"/>
                      <w:szCs w:val="28"/>
                      <w:highlight w:val="none"/>
                    </w:rPr>
                    <w:t>35</w:t>
                  </w:r>
                </w:p>
              </w:tc>
              <w:tc>
                <w:tcPr>
                  <w:tcW w:w="2672"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p>
              </w:tc>
              <w:tc>
                <w:tcPr>
                  <w:tcW w:w="2705" w:type="dxa"/>
                  <w:vMerge w:val="restart"/>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auto"/>
                      <w:szCs w:val="28"/>
                      <w:highlight w:val="none"/>
                    </w:rPr>
                  </w:pPr>
                  <w:r>
                    <w:rPr>
                      <w:rFonts w:hint="eastAsia" w:ascii="宋体" w:hAnsi="宋体" w:cs="宋体"/>
                      <w:color w:val="auto"/>
                      <w:szCs w:val="28"/>
                      <w:highlight w:val="none"/>
                    </w:rPr>
                    <w:t>数据采集</w:t>
                  </w:r>
                </w:p>
              </w:tc>
              <w:tc>
                <w:tcPr>
                  <w:tcW w:w="3242"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auto"/>
                      <w:szCs w:val="28"/>
                      <w:highlight w:val="none"/>
                    </w:rPr>
                  </w:pPr>
                  <w:r>
                    <w:rPr>
                      <w:rFonts w:hint="eastAsia" w:ascii="宋体" w:hAnsi="宋体" w:cs="宋体"/>
                      <w:color w:val="auto"/>
                      <w:szCs w:val="28"/>
                      <w:highlight w:val="none"/>
                    </w:rPr>
                    <w:t>生物多样性导入</w:t>
                  </w:r>
                </w:p>
              </w:tc>
            </w:tr>
            <w:tr>
              <w:tblPrEx>
                <w:tblCellMar>
                  <w:top w:w="0" w:type="dxa"/>
                  <w:left w:w="108" w:type="dxa"/>
                  <w:bottom w:w="0" w:type="dxa"/>
                  <w:right w:w="108" w:type="dxa"/>
                </w:tblCellMar>
              </w:tblPrEx>
              <w:trPr>
                <w:jc w:val="center"/>
              </w:trPr>
              <w:tc>
                <w:tcPr>
                  <w:tcW w:w="72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r>
                    <w:rPr>
                      <w:rFonts w:hint="eastAsia" w:ascii="宋体" w:hAnsi="宋体" w:cs="宋体"/>
                      <w:color w:val="auto"/>
                      <w:szCs w:val="28"/>
                      <w:highlight w:val="none"/>
                    </w:rPr>
                    <w:t>36</w:t>
                  </w:r>
                </w:p>
              </w:tc>
              <w:tc>
                <w:tcPr>
                  <w:tcW w:w="2672"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p>
              </w:tc>
              <w:tc>
                <w:tcPr>
                  <w:tcW w:w="270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szCs w:val="28"/>
                      <w:highlight w:val="none"/>
                    </w:rPr>
                  </w:pPr>
                </w:p>
              </w:tc>
              <w:tc>
                <w:tcPr>
                  <w:tcW w:w="3242"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auto"/>
                      <w:szCs w:val="28"/>
                      <w:highlight w:val="none"/>
                    </w:rPr>
                  </w:pPr>
                  <w:r>
                    <w:rPr>
                      <w:rFonts w:hint="eastAsia" w:ascii="宋体" w:hAnsi="宋体" w:cs="宋体"/>
                      <w:color w:val="auto"/>
                      <w:szCs w:val="28"/>
                      <w:highlight w:val="none"/>
                    </w:rPr>
                    <w:t>生物多样性历史数据整理</w:t>
                  </w:r>
                </w:p>
              </w:tc>
            </w:tr>
            <w:tr>
              <w:tblPrEx>
                <w:tblCellMar>
                  <w:top w:w="0" w:type="dxa"/>
                  <w:left w:w="108" w:type="dxa"/>
                  <w:bottom w:w="0" w:type="dxa"/>
                  <w:right w:w="108" w:type="dxa"/>
                </w:tblCellMar>
              </w:tblPrEx>
              <w:trPr>
                <w:jc w:val="center"/>
              </w:trPr>
              <w:tc>
                <w:tcPr>
                  <w:tcW w:w="72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r>
                    <w:rPr>
                      <w:rFonts w:hint="eastAsia" w:ascii="宋体" w:hAnsi="宋体" w:cs="宋体"/>
                      <w:color w:val="auto"/>
                      <w:szCs w:val="28"/>
                      <w:highlight w:val="none"/>
                    </w:rPr>
                    <w:t>37</w:t>
                  </w:r>
                </w:p>
              </w:tc>
              <w:tc>
                <w:tcPr>
                  <w:tcW w:w="2672"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p>
              </w:tc>
              <w:tc>
                <w:tcPr>
                  <w:tcW w:w="2705" w:type="dxa"/>
                  <w:vMerge w:val="restart"/>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auto"/>
                      <w:szCs w:val="28"/>
                      <w:highlight w:val="none"/>
                    </w:rPr>
                  </w:pPr>
                  <w:r>
                    <w:rPr>
                      <w:rFonts w:hint="eastAsia" w:ascii="宋体" w:hAnsi="宋体" w:cs="宋体"/>
                      <w:color w:val="auto"/>
                      <w:szCs w:val="28"/>
                      <w:highlight w:val="none"/>
                    </w:rPr>
                    <w:t>数据评价</w:t>
                  </w:r>
                </w:p>
              </w:tc>
              <w:tc>
                <w:tcPr>
                  <w:tcW w:w="3242"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auto"/>
                      <w:szCs w:val="28"/>
                      <w:highlight w:val="none"/>
                    </w:rPr>
                  </w:pPr>
                  <w:r>
                    <w:rPr>
                      <w:rFonts w:hint="eastAsia" w:ascii="宋体" w:hAnsi="宋体" w:cs="宋体"/>
                      <w:color w:val="auto"/>
                      <w:szCs w:val="28"/>
                      <w:highlight w:val="none"/>
                    </w:rPr>
                    <w:t>海洋评价</w:t>
                  </w:r>
                </w:p>
              </w:tc>
            </w:tr>
            <w:tr>
              <w:tblPrEx>
                <w:tblCellMar>
                  <w:top w:w="0" w:type="dxa"/>
                  <w:left w:w="108" w:type="dxa"/>
                  <w:bottom w:w="0" w:type="dxa"/>
                  <w:right w:w="108" w:type="dxa"/>
                </w:tblCellMar>
              </w:tblPrEx>
              <w:trPr>
                <w:jc w:val="center"/>
              </w:trPr>
              <w:tc>
                <w:tcPr>
                  <w:tcW w:w="72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r>
                    <w:rPr>
                      <w:rFonts w:hint="eastAsia" w:ascii="宋体" w:hAnsi="宋体" w:cs="宋体"/>
                      <w:color w:val="auto"/>
                      <w:szCs w:val="28"/>
                      <w:highlight w:val="none"/>
                    </w:rPr>
                    <w:t>38</w:t>
                  </w:r>
                </w:p>
              </w:tc>
              <w:tc>
                <w:tcPr>
                  <w:tcW w:w="2672"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p>
              </w:tc>
              <w:tc>
                <w:tcPr>
                  <w:tcW w:w="270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szCs w:val="28"/>
                      <w:highlight w:val="none"/>
                    </w:rPr>
                  </w:pPr>
                </w:p>
              </w:tc>
              <w:tc>
                <w:tcPr>
                  <w:tcW w:w="3242"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auto"/>
                      <w:szCs w:val="28"/>
                      <w:highlight w:val="none"/>
                    </w:rPr>
                  </w:pPr>
                  <w:r>
                    <w:rPr>
                      <w:rFonts w:hint="eastAsia" w:ascii="宋体" w:hAnsi="宋体" w:cs="宋体"/>
                      <w:color w:val="auto"/>
                      <w:szCs w:val="28"/>
                      <w:highlight w:val="none"/>
                    </w:rPr>
                    <w:t>入海河流评价</w:t>
                  </w:r>
                </w:p>
              </w:tc>
            </w:tr>
            <w:tr>
              <w:tblPrEx>
                <w:tblCellMar>
                  <w:top w:w="0" w:type="dxa"/>
                  <w:left w:w="108" w:type="dxa"/>
                  <w:bottom w:w="0" w:type="dxa"/>
                  <w:right w:w="108" w:type="dxa"/>
                </w:tblCellMar>
              </w:tblPrEx>
              <w:trPr>
                <w:jc w:val="center"/>
              </w:trPr>
              <w:tc>
                <w:tcPr>
                  <w:tcW w:w="72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r>
                    <w:rPr>
                      <w:rFonts w:hint="eastAsia" w:ascii="宋体" w:hAnsi="宋体" w:cs="宋体"/>
                      <w:color w:val="auto"/>
                      <w:szCs w:val="28"/>
                      <w:highlight w:val="none"/>
                    </w:rPr>
                    <w:t>39</w:t>
                  </w:r>
                </w:p>
              </w:tc>
              <w:tc>
                <w:tcPr>
                  <w:tcW w:w="2672"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p>
              </w:tc>
              <w:tc>
                <w:tcPr>
                  <w:tcW w:w="270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szCs w:val="28"/>
                      <w:highlight w:val="none"/>
                    </w:rPr>
                  </w:pPr>
                </w:p>
              </w:tc>
              <w:tc>
                <w:tcPr>
                  <w:tcW w:w="3242"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auto"/>
                      <w:szCs w:val="28"/>
                      <w:highlight w:val="none"/>
                    </w:rPr>
                  </w:pPr>
                  <w:r>
                    <w:rPr>
                      <w:rFonts w:hint="eastAsia" w:ascii="宋体" w:hAnsi="宋体" w:cs="宋体"/>
                      <w:color w:val="auto"/>
                      <w:szCs w:val="28"/>
                      <w:highlight w:val="none"/>
                    </w:rPr>
                    <w:t>入海污染源评价</w:t>
                  </w:r>
                </w:p>
              </w:tc>
            </w:tr>
            <w:tr>
              <w:tblPrEx>
                <w:tblCellMar>
                  <w:top w:w="0" w:type="dxa"/>
                  <w:left w:w="108" w:type="dxa"/>
                  <w:bottom w:w="0" w:type="dxa"/>
                  <w:right w:w="108" w:type="dxa"/>
                </w:tblCellMar>
              </w:tblPrEx>
              <w:trPr>
                <w:jc w:val="center"/>
              </w:trPr>
              <w:tc>
                <w:tcPr>
                  <w:tcW w:w="72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r>
                    <w:rPr>
                      <w:rFonts w:hint="eastAsia" w:ascii="宋体" w:hAnsi="宋体" w:cs="宋体"/>
                      <w:color w:val="auto"/>
                      <w:szCs w:val="28"/>
                      <w:highlight w:val="none"/>
                    </w:rPr>
                    <w:t>40</w:t>
                  </w:r>
                </w:p>
              </w:tc>
              <w:tc>
                <w:tcPr>
                  <w:tcW w:w="2672"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p>
              </w:tc>
              <w:tc>
                <w:tcPr>
                  <w:tcW w:w="270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szCs w:val="28"/>
                      <w:highlight w:val="none"/>
                    </w:rPr>
                  </w:pPr>
                </w:p>
              </w:tc>
              <w:tc>
                <w:tcPr>
                  <w:tcW w:w="3242"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auto"/>
                      <w:szCs w:val="28"/>
                      <w:highlight w:val="none"/>
                    </w:rPr>
                  </w:pPr>
                  <w:r>
                    <w:rPr>
                      <w:rFonts w:hint="eastAsia" w:ascii="宋体" w:hAnsi="宋体" w:cs="宋体"/>
                      <w:color w:val="auto"/>
                      <w:szCs w:val="28"/>
                      <w:highlight w:val="none"/>
                    </w:rPr>
                    <w:t>生物质量评价</w:t>
                  </w:r>
                </w:p>
              </w:tc>
            </w:tr>
            <w:tr>
              <w:tblPrEx>
                <w:tblCellMar>
                  <w:top w:w="0" w:type="dxa"/>
                  <w:left w:w="108" w:type="dxa"/>
                  <w:bottom w:w="0" w:type="dxa"/>
                  <w:right w:w="108" w:type="dxa"/>
                </w:tblCellMar>
              </w:tblPrEx>
              <w:trPr>
                <w:jc w:val="center"/>
              </w:trPr>
              <w:tc>
                <w:tcPr>
                  <w:tcW w:w="72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r>
                    <w:rPr>
                      <w:rFonts w:hint="eastAsia" w:ascii="宋体" w:hAnsi="宋体" w:cs="宋体"/>
                      <w:color w:val="auto"/>
                      <w:szCs w:val="28"/>
                      <w:highlight w:val="none"/>
                    </w:rPr>
                    <w:t>41</w:t>
                  </w:r>
                </w:p>
              </w:tc>
              <w:tc>
                <w:tcPr>
                  <w:tcW w:w="2672"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p>
              </w:tc>
              <w:tc>
                <w:tcPr>
                  <w:tcW w:w="270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szCs w:val="28"/>
                      <w:highlight w:val="none"/>
                    </w:rPr>
                  </w:pPr>
                </w:p>
              </w:tc>
              <w:tc>
                <w:tcPr>
                  <w:tcW w:w="3242"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auto"/>
                      <w:szCs w:val="28"/>
                      <w:highlight w:val="none"/>
                    </w:rPr>
                  </w:pPr>
                  <w:r>
                    <w:rPr>
                      <w:rFonts w:hint="eastAsia" w:ascii="宋体" w:hAnsi="宋体" w:cs="宋体"/>
                      <w:color w:val="auto"/>
                      <w:szCs w:val="28"/>
                      <w:highlight w:val="none"/>
                    </w:rPr>
                    <w:t>沉积物评价</w:t>
                  </w:r>
                </w:p>
              </w:tc>
            </w:tr>
            <w:tr>
              <w:tblPrEx>
                <w:tblCellMar>
                  <w:top w:w="0" w:type="dxa"/>
                  <w:left w:w="108" w:type="dxa"/>
                  <w:bottom w:w="0" w:type="dxa"/>
                  <w:right w:w="108" w:type="dxa"/>
                </w:tblCellMar>
              </w:tblPrEx>
              <w:trPr>
                <w:jc w:val="center"/>
              </w:trPr>
              <w:tc>
                <w:tcPr>
                  <w:tcW w:w="72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r>
                    <w:rPr>
                      <w:rFonts w:hint="eastAsia" w:ascii="宋体" w:hAnsi="宋体" w:cs="宋体"/>
                      <w:color w:val="auto"/>
                      <w:szCs w:val="28"/>
                      <w:highlight w:val="none"/>
                    </w:rPr>
                    <w:t>42</w:t>
                  </w:r>
                </w:p>
              </w:tc>
              <w:tc>
                <w:tcPr>
                  <w:tcW w:w="2672"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p>
              </w:tc>
              <w:tc>
                <w:tcPr>
                  <w:tcW w:w="270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szCs w:val="28"/>
                      <w:highlight w:val="none"/>
                    </w:rPr>
                  </w:pPr>
                </w:p>
              </w:tc>
              <w:tc>
                <w:tcPr>
                  <w:tcW w:w="3242"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auto"/>
                      <w:szCs w:val="28"/>
                      <w:highlight w:val="none"/>
                    </w:rPr>
                  </w:pPr>
                  <w:r>
                    <w:rPr>
                      <w:rFonts w:hint="eastAsia" w:ascii="宋体" w:hAnsi="宋体" w:cs="宋体"/>
                      <w:color w:val="auto"/>
                      <w:szCs w:val="28"/>
                      <w:highlight w:val="none"/>
                    </w:rPr>
                    <w:t>生物多样性评价</w:t>
                  </w:r>
                </w:p>
              </w:tc>
            </w:tr>
            <w:tr>
              <w:tblPrEx>
                <w:tblCellMar>
                  <w:top w:w="0" w:type="dxa"/>
                  <w:left w:w="108" w:type="dxa"/>
                  <w:bottom w:w="0" w:type="dxa"/>
                  <w:right w:w="108" w:type="dxa"/>
                </w:tblCellMar>
              </w:tblPrEx>
              <w:trPr>
                <w:jc w:val="center"/>
              </w:trPr>
              <w:tc>
                <w:tcPr>
                  <w:tcW w:w="72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r>
                    <w:rPr>
                      <w:rFonts w:hint="eastAsia" w:ascii="宋体" w:hAnsi="宋体" w:cs="宋体"/>
                      <w:color w:val="auto"/>
                      <w:szCs w:val="28"/>
                      <w:highlight w:val="none"/>
                    </w:rPr>
                    <w:t>43</w:t>
                  </w:r>
                </w:p>
              </w:tc>
              <w:tc>
                <w:tcPr>
                  <w:tcW w:w="2672"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p>
              </w:tc>
              <w:tc>
                <w:tcPr>
                  <w:tcW w:w="2705" w:type="dxa"/>
                  <w:vMerge w:val="restart"/>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auto"/>
                      <w:szCs w:val="28"/>
                      <w:highlight w:val="none"/>
                    </w:rPr>
                  </w:pPr>
                  <w:r>
                    <w:rPr>
                      <w:rFonts w:hint="eastAsia" w:ascii="宋体" w:hAnsi="宋体" w:cs="宋体"/>
                      <w:color w:val="auto"/>
                      <w:szCs w:val="28"/>
                      <w:highlight w:val="none"/>
                    </w:rPr>
                    <w:t>数据报表</w:t>
                  </w:r>
                </w:p>
              </w:tc>
              <w:tc>
                <w:tcPr>
                  <w:tcW w:w="3242"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auto"/>
                      <w:szCs w:val="28"/>
                      <w:highlight w:val="none"/>
                    </w:rPr>
                  </w:pPr>
                  <w:r>
                    <w:rPr>
                      <w:rFonts w:hint="eastAsia" w:ascii="宋体" w:hAnsi="宋体" w:cs="宋体"/>
                      <w:color w:val="auto"/>
                      <w:szCs w:val="28"/>
                      <w:highlight w:val="none"/>
                    </w:rPr>
                    <w:t>总体水质结果统计表</w:t>
                  </w:r>
                </w:p>
              </w:tc>
            </w:tr>
            <w:tr>
              <w:tblPrEx>
                <w:tblCellMar>
                  <w:top w:w="0" w:type="dxa"/>
                  <w:left w:w="108" w:type="dxa"/>
                  <w:bottom w:w="0" w:type="dxa"/>
                  <w:right w:w="108" w:type="dxa"/>
                </w:tblCellMar>
              </w:tblPrEx>
              <w:trPr>
                <w:jc w:val="center"/>
              </w:trPr>
              <w:tc>
                <w:tcPr>
                  <w:tcW w:w="72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r>
                    <w:rPr>
                      <w:rFonts w:hint="eastAsia" w:ascii="宋体" w:hAnsi="宋体" w:cs="宋体"/>
                      <w:color w:val="auto"/>
                      <w:szCs w:val="28"/>
                      <w:highlight w:val="none"/>
                    </w:rPr>
                    <w:t>44</w:t>
                  </w:r>
                </w:p>
              </w:tc>
              <w:tc>
                <w:tcPr>
                  <w:tcW w:w="2672"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p>
              </w:tc>
              <w:tc>
                <w:tcPr>
                  <w:tcW w:w="270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szCs w:val="28"/>
                      <w:highlight w:val="none"/>
                    </w:rPr>
                  </w:pPr>
                </w:p>
              </w:tc>
              <w:tc>
                <w:tcPr>
                  <w:tcW w:w="3242"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auto"/>
                      <w:szCs w:val="28"/>
                      <w:highlight w:val="none"/>
                    </w:rPr>
                  </w:pPr>
                  <w:r>
                    <w:rPr>
                      <w:rFonts w:hint="eastAsia" w:ascii="宋体" w:hAnsi="宋体" w:cs="宋体"/>
                      <w:color w:val="auto"/>
                      <w:szCs w:val="28"/>
                      <w:highlight w:val="none"/>
                    </w:rPr>
                    <w:t>海洋统计表</w:t>
                  </w:r>
                </w:p>
              </w:tc>
            </w:tr>
            <w:tr>
              <w:tblPrEx>
                <w:tblCellMar>
                  <w:top w:w="0" w:type="dxa"/>
                  <w:left w:w="108" w:type="dxa"/>
                  <w:bottom w:w="0" w:type="dxa"/>
                  <w:right w:w="108" w:type="dxa"/>
                </w:tblCellMar>
              </w:tblPrEx>
              <w:trPr>
                <w:jc w:val="center"/>
              </w:trPr>
              <w:tc>
                <w:tcPr>
                  <w:tcW w:w="72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r>
                    <w:rPr>
                      <w:rFonts w:hint="eastAsia" w:ascii="宋体" w:hAnsi="宋体" w:cs="宋体"/>
                      <w:color w:val="auto"/>
                      <w:szCs w:val="28"/>
                      <w:highlight w:val="none"/>
                    </w:rPr>
                    <w:t>45</w:t>
                  </w:r>
                </w:p>
              </w:tc>
              <w:tc>
                <w:tcPr>
                  <w:tcW w:w="2672"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p>
              </w:tc>
              <w:tc>
                <w:tcPr>
                  <w:tcW w:w="270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szCs w:val="28"/>
                      <w:highlight w:val="none"/>
                    </w:rPr>
                  </w:pPr>
                </w:p>
              </w:tc>
              <w:tc>
                <w:tcPr>
                  <w:tcW w:w="3242"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auto"/>
                      <w:szCs w:val="28"/>
                      <w:highlight w:val="none"/>
                    </w:rPr>
                  </w:pPr>
                  <w:r>
                    <w:rPr>
                      <w:rFonts w:hint="eastAsia" w:ascii="宋体" w:hAnsi="宋体" w:cs="宋体"/>
                      <w:color w:val="auto"/>
                      <w:szCs w:val="28"/>
                      <w:highlight w:val="none"/>
                    </w:rPr>
                    <w:t>入海河流统计表</w:t>
                  </w:r>
                </w:p>
              </w:tc>
            </w:tr>
            <w:tr>
              <w:tblPrEx>
                <w:tblCellMar>
                  <w:top w:w="0" w:type="dxa"/>
                  <w:left w:w="108" w:type="dxa"/>
                  <w:bottom w:w="0" w:type="dxa"/>
                  <w:right w:w="108" w:type="dxa"/>
                </w:tblCellMar>
              </w:tblPrEx>
              <w:trPr>
                <w:jc w:val="center"/>
              </w:trPr>
              <w:tc>
                <w:tcPr>
                  <w:tcW w:w="72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r>
                    <w:rPr>
                      <w:rFonts w:hint="eastAsia" w:ascii="宋体" w:hAnsi="宋体" w:cs="宋体"/>
                      <w:color w:val="auto"/>
                      <w:szCs w:val="28"/>
                      <w:highlight w:val="none"/>
                    </w:rPr>
                    <w:t>46</w:t>
                  </w:r>
                </w:p>
              </w:tc>
              <w:tc>
                <w:tcPr>
                  <w:tcW w:w="2672"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p>
              </w:tc>
              <w:tc>
                <w:tcPr>
                  <w:tcW w:w="270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szCs w:val="28"/>
                      <w:highlight w:val="none"/>
                    </w:rPr>
                  </w:pPr>
                </w:p>
              </w:tc>
              <w:tc>
                <w:tcPr>
                  <w:tcW w:w="3242"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auto"/>
                      <w:szCs w:val="28"/>
                      <w:highlight w:val="none"/>
                    </w:rPr>
                  </w:pPr>
                  <w:r>
                    <w:rPr>
                      <w:rFonts w:hint="eastAsia" w:ascii="宋体" w:hAnsi="宋体" w:cs="宋体"/>
                      <w:color w:val="auto"/>
                      <w:szCs w:val="28"/>
                      <w:highlight w:val="none"/>
                    </w:rPr>
                    <w:t>入海污染源统计表</w:t>
                  </w:r>
                </w:p>
              </w:tc>
            </w:tr>
            <w:tr>
              <w:tblPrEx>
                <w:tblCellMar>
                  <w:top w:w="0" w:type="dxa"/>
                  <w:left w:w="108" w:type="dxa"/>
                  <w:bottom w:w="0" w:type="dxa"/>
                  <w:right w:w="108" w:type="dxa"/>
                </w:tblCellMar>
              </w:tblPrEx>
              <w:trPr>
                <w:jc w:val="center"/>
              </w:trPr>
              <w:tc>
                <w:tcPr>
                  <w:tcW w:w="72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r>
                    <w:rPr>
                      <w:rFonts w:hint="eastAsia" w:ascii="宋体" w:hAnsi="宋体" w:cs="宋体"/>
                      <w:color w:val="auto"/>
                      <w:szCs w:val="28"/>
                      <w:highlight w:val="none"/>
                    </w:rPr>
                    <w:t>47</w:t>
                  </w:r>
                </w:p>
              </w:tc>
              <w:tc>
                <w:tcPr>
                  <w:tcW w:w="2672"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p>
              </w:tc>
              <w:tc>
                <w:tcPr>
                  <w:tcW w:w="270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szCs w:val="28"/>
                      <w:highlight w:val="none"/>
                    </w:rPr>
                  </w:pPr>
                </w:p>
              </w:tc>
              <w:tc>
                <w:tcPr>
                  <w:tcW w:w="3242"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auto"/>
                      <w:szCs w:val="28"/>
                      <w:highlight w:val="none"/>
                    </w:rPr>
                  </w:pPr>
                  <w:r>
                    <w:rPr>
                      <w:rFonts w:hint="eastAsia" w:ascii="宋体" w:hAnsi="宋体" w:cs="宋体"/>
                      <w:color w:val="auto"/>
                      <w:szCs w:val="28"/>
                      <w:highlight w:val="none"/>
                    </w:rPr>
                    <w:t>生物质量统计表</w:t>
                  </w:r>
                </w:p>
              </w:tc>
            </w:tr>
            <w:tr>
              <w:tblPrEx>
                <w:tblCellMar>
                  <w:top w:w="0" w:type="dxa"/>
                  <w:left w:w="108" w:type="dxa"/>
                  <w:bottom w:w="0" w:type="dxa"/>
                  <w:right w:w="108" w:type="dxa"/>
                </w:tblCellMar>
              </w:tblPrEx>
              <w:trPr>
                <w:jc w:val="center"/>
              </w:trPr>
              <w:tc>
                <w:tcPr>
                  <w:tcW w:w="72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r>
                    <w:rPr>
                      <w:rFonts w:hint="eastAsia" w:ascii="宋体" w:hAnsi="宋体" w:cs="宋体"/>
                      <w:color w:val="auto"/>
                      <w:szCs w:val="28"/>
                      <w:highlight w:val="none"/>
                    </w:rPr>
                    <w:t>48</w:t>
                  </w:r>
                </w:p>
              </w:tc>
              <w:tc>
                <w:tcPr>
                  <w:tcW w:w="2672"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p>
              </w:tc>
              <w:tc>
                <w:tcPr>
                  <w:tcW w:w="270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szCs w:val="28"/>
                      <w:highlight w:val="none"/>
                    </w:rPr>
                  </w:pPr>
                </w:p>
              </w:tc>
              <w:tc>
                <w:tcPr>
                  <w:tcW w:w="3242"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auto"/>
                      <w:szCs w:val="28"/>
                      <w:highlight w:val="none"/>
                    </w:rPr>
                  </w:pPr>
                  <w:r>
                    <w:rPr>
                      <w:rFonts w:hint="eastAsia" w:ascii="宋体" w:hAnsi="宋体" w:cs="宋体"/>
                      <w:color w:val="auto"/>
                      <w:szCs w:val="28"/>
                      <w:highlight w:val="none"/>
                    </w:rPr>
                    <w:t>沉积物统计表</w:t>
                  </w:r>
                </w:p>
              </w:tc>
            </w:tr>
            <w:tr>
              <w:tblPrEx>
                <w:tblCellMar>
                  <w:top w:w="0" w:type="dxa"/>
                  <w:left w:w="108" w:type="dxa"/>
                  <w:bottom w:w="0" w:type="dxa"/>
                  <w:right w:w="108" w:type="dxa"/>
                </w:tblCellMar>
              </w:tblPrEx>
              <w:trPr>
                <w:jc w:val="center"/>
              </w:trPr>
              <w:tc>
                <w:tcPr>
                  <w:tcW w:w="72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r>
                    <w:rPr>
                      <w:rFonts w:hint="eastAsia" w:ascii="宋体" w:hAnsi="宋体" w:cs="宋体"/>
                      <w:color w:val="auto"/>
                      <w:szCs w:val="28"/>
                      <w:highlight w:val="none"/>
                    </w:rPr>
                    <w:t>49</w:t>
                  </w:r>
                </w:p>
              </w:tc>
              <w:tc>
                <w:tcPr>
                  <w:tcW w:w="2672"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p>
              </w:tc>
              <w:tc>
                <w:tcPr>
                  <w:tcW w:w="270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szCs w:val="28"/>
                      <w:highlight w:val="none"/>
                    </w:rPr>
                  </w:pPr>
                </w:p>
              </w:tc>
              <w:tc>
                <w:tcPr>
                  <w:tcW w:w="3242"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auto"/>
                      <w:szCs w:val="28"/>
                      <w:highlight w:val="none"/>
                    </w:rPr>
                  </w:pPr>
                  <w:r>
                    <w:rPr>
                      <w:rFonts w:hint="eastAsia" w:ascii="宋体" w:hAnsi="宋体" w:cs="宋体"/>
                      <w:color w:val="auto"/>
                      <w:szCs w:val="28"/>
                      <w:highlight w:val="none"/>
                    </w:rPr>
                    <w:t>生物多样性统计表</w:t>
                  </w:r>
                </w:p>
              </w:tc>
            </w:tr>
            <w:tr>
              <w:tblPrEx>
                <w:tblCellMar>
                  <w:top w:w="0" w:type="dxa"/>
                  <w:left w:w="108" w:type="dxa"/>
                  <w:bottom w:w="0" w:type="dxa"/>
                  <w:right w:w="108" w:type="dxa"/>
                </w:tblCellMar>
              </w:tblPrEx>
              <w:trPr>
                <w:trHeight w:val="479" w:hRule="atLeast"/>
                <w:jc w:val="center"/>
              </w:trPr>
              <w:tc>
                <w:tcPr>
                  <w:tcW w:w="72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r>
                    <w:rPr>
                      <w:rFonts w:hint="eastAsia" w:ascii="宋体" w:hAnsi="宋体" w:cs="宋体"/>
                      <w:color w:val="auto"/>
                      <w:szCs w:val="28"/>
                      <w:highlight w:val="none"/>
                    </w:rPr>
                    <w:t>50</w:t>
                  </w:r>
                </w:p>
              </w:tc>
              <w:tc>
                <w:tcPr>
                  <w:tcW w:w="2672"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p>
              </w:tc>
              <w:tc>
                <w:tcPr>
                  <w:tcW w:w="2705"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auto"/>
                      <w:szCs w:val="28"/>
                      <w:highlight w:val="none"/>
                    </w:rPr>
                  </w:pPr>
                  <w:r>
                    <w:rPr>
                      <w:rFonts w:hint="eastAsia" w:ascii="宋体" w:hAnsi="宋体" w:cs="宋体"/>
                      <w:color w:val="auto"/>
                      <w:szCs w:val="28"/>
                      <w:highlight w:val="none"/>
                    </w:rPr>
                    <w:t>可视化分析</w:t>
                  </w:r>
                </w:p>
              </w:tc>
              <w:tc>
                <w:tcPr>
                  <w:tcW w:w="3242"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auto"/>
                      <w:szCs w:val="28"/>
                      <w:highlight w:val="none"/>
                    </w:rPr>
                  </w:pPr>
                  <w:r>
                    <w:rPr>
                      <w:rFonts w:hint="eastAsia" w:ascii="宋体" w:hAnsi="宋体" w:cs="宋体"/>
                      <w:color w:val="auto"/>
                      <w:szCs w:val="28"/>
                      <w:highlight w:val="none"/>
                    </w:rPr>
                    <w:t>数据可视化呈现</w:t>
                  </w:r>
                </w:p>
              </w:tc>
            </w:tr>
            <w:tr>
              <w:tblPrEx>
                <w:tblCellMar>
                  <w:top w:w="0" w:type="dxa"/>
                  <w:left w:w="108" w:type="dxa"/>
                  <w:bottom w:w="0" w:type="dxa"/>
                  <w:right w:w="108" w:type="dxa"/>
                </w:tblCellMar>
              </w:tblPrEx>
              <w:trPr>
                <w:jc w:val="center"/>
              </w:trPr>
              <w:tc>
                <w:tcPr>
                  <w:tcW w:w="72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r>
                    <w:rPr>
                      <w:rFonts w:hint="eastAsia" w:ascii="宋体" w:hAnsi="宋体" w:cs="宋体"/>
                      <w:color w:val="auto"/>
                      <w:szCs w:val="28"/>
                      <w:highlight w:val="none"/>
                    </w:rPr>
                    <w:t>51</w:t>
                  </w:r>
                </w:p>
              </w:tc>
              <w:tc>
                <w:tcPr>
                  <w:tcW w:w="2672" w:type="dxa"/>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r>
                    <w:rPr>
                      <w:rFonts w:hint="eastAsia" w:ascii="宋体" w:hAnsi="宋体" w:cs="宋体"/>
                      <w:color w:val="auto"/>
                      <w:szCs w:val="28"/>
                      <w:highlight w:val="none"/>
                    </w:rPr>
                    <w:t>综合业务管理模块升级</w:t>
                  </w:r>
                </w:p>
              </w:tc>
              <w:tc>
                <w:tcPr>
                  <w:tcW w:w="2705" w:type="dxa"/>
                  <w:vMerge w:val="restart"/>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auto"/>
                      <w:szCs w:val="28"/>
                      <w:highlight w:val="none"/>
                    </w:rPr>
                  </w:pPr>
                  <w:r>
                    <w:rPr>
                      <w:rFonts w:hint="eastAsia" w:ascii="宋体" w:hAnsi="宋体" w:cs="宋体"/>
                      <w:color w:val="auto"/>
                      <w:szCs w:val="28"/>
                      <w:highlight w:val="none"/>
                    </w:rPr>
                    <w:t>流程管理</w:t>
                  </w:r>
                </w:p>
              </w:tc>
              <w:tc>
                <w:tcPr>
                  <w:tcW w:w="3242"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auto"/>
                      <w:szCs w:val="28"/>
                      <w:highlight w:val="none"/>
                    </w:rPr>
                  </w:pPr>
                  <w:r>
                    <w:rPr>
                      <w:rFonts w:hint="eastAsia" w:ascii="宋体" w:hAnsi="宋体" w:cs="宋体"/>
                      <w:color w:val="auto"/>
                      <w:szCs w:val="28"/>
                      <w:highlight w:val="none"/>
                    </w:rPr>
                    <w:t>系统流程优化</w:t>
                  </w:r>
                </w:p>
              </w:tc>
            </w:tr>
            <w:tr>
              <w:tblPrEx>
                <w:tblCellMar>
                  <w:top w:w="0" w:type="dxa"/>
                  <w:left w:w="108" w:type="dxa"/>
                  <w:bottom w:w="0" w:type="dxa"/>
                  <w:right w:w="108" w:type="dxa"/>
                </w:tblCellMar>
              </w:tblPrEx>
              <w:trPr>
                <w:jc w:val="center"/>
              </w:trPr>
              <w:tc>
                <w:tcPr>
                  <w:tcW w:w="72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r>
                    <w:rPr>
                      <w:rFonts w:hint="eastAsia" w:ascii="宋体" w:hAnsi="宋体" w:cs="宋体"/>
                      <w:color w:val="auto"/>
                      <w:szCs w:val="28"/>
                      <w:highlight w:val="none"/>
                    </w:rPr>
                    <w:t>52</w:t>
                  </w:r>
                </w:p>
              </w:tc>
              <w:tc>
                <w:tcPr>
                  <w:tcW w:w="2672"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p>
              </w:tc>
              <w:tc>
                <w:tcPr>
                  <w:tcW w:w="270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szCs w:val="28"/>
                      <w:highlight w:val="none"/>
                    </w:rPr>
                  </w:pPr>
                </w:p>
              </w:tc>
              <w:tc>
                <w:tcPr>
                  <w:tcW w:w="3242"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auto"/>
                      <w:szCs w:val="28"/>
                      <w:highlight w:val="none"/>
                    </w:rPr>
                  </w:pPr>
                  <w:r>
                    <w:rPr>
                      <w:rFonts w:hint="eastAsia" w:ascii="宋体" w:hAnsi="宋体" w:cs="宋体"/>
                      <w:color w:val="auto"/>
                      <w:szCs w:val="28"/>
                      <w:highlight w:val="none"/>
                    </w:rPr>
                    <w:t>预算管理</w:t>
                  </w:r>
                </w:p>
              </w:tc>
            </w:tr>
            <w:tr>
              <w:tblPrEx>
                <w:tblCellMar>
                  <w:top w:w="0" w:type="dxa"/>
                  <w:left w:w="108" w:type="dxa"/>
                  <w:bottom w:w="0" w:type="dxa"/>
                  <w:right w:w="108" w:type="dxa"/>
                </w:tblCellMar>
              </w:tblPrEx>
              <w:trPr>
                <w:jc w:val="center"/>
              </w:trPr>
              <w:tc>
                <w:tcPr>
                  <w:tcW w:w="72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r>
                    <w:rPr>
                      <w:rFonts w:hint="eastAsia" w:ascii="宋体" w:hAnsi="宋体" w:cs="宋体"/>
                      <w:color w:val="auto"/>
                      <w:szCs w:val="28"/>
                      <w:highlight w:val="none"/>
                    </w:rPr>
                    <w:t>53</w:t>
                  </w:r>
                </w:p>
              </w:tc>
              <w:tc>
                <w:tcPr>
                  <w:tcW w:w="2672"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p>
              </w:tc>
              <w:tc>
                <w:tcPr>
                  <w:tcW w:w="270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szCs w:val="28"/>
                      <w:highlight w:val="none"/>
                    </w:rPr>
                  </w:pPr>
                </w:p>
              </w:tc>
              <w:tc>
                <w:tcPr>
                  <w:tcW w:w="3242"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auto"/>
                      <w:szCs w:val="28"/>
                      <w:highlight w:val="none"/>
                    </w:rPr>
                  </w:pPr>
                  <w:r>
                    <w:rPr>
                      <w:rFonts w:hint="eastAsia" w:ascii="宋体" w:hAnsi="宋体" w:cs="宋体"/>
                      <w:color w:val="auto"/>
                      <w:szCs w:val="28"/>
                      <w:highlight w:val="none"/>
                    </w:rPr>
                    <w:t>维修申请</w:t>
                  </w:r>
                </w:p>
              </w:tc>
            </w:tr>
            <w:tr>
              <w:tblPrEx>
                <w:tblCellMar>
                  <w:top w:w="0" w:type="dxa"/>
                  <w:left w:w="108" w:type="dxa"/>
                  <w:bottom w:w="0" w:type="dxa"/>
                  <w:right w:w="108" w:type="dxa"/>
                </w:tblCellMar>
              </w:tblPrEx>
              <w:trPr>
                <w:jc w:val="center"/>
              </w:trPr>
              <w:tc>
                <w:tcPr>
                  <w:tcW w:w="72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r>
                    <w:rPr>
                      <w:rFonts w:hint="eastAsia" w:ascii="宋体" w:hAnsi="宋体" w:cs="宋体"/>
                      <w:color w:val="auto"/>
                      <w:szCs w:val="28"/>
                      <w:highlight w:val="none"/>
                    </w:rPr>
                    <w:t>54</w:t>
                  </w:r>
                </w:p>
              </w:tc>
              <w:tc>
                <w:tcPr>
                  <w:tcW w:w="2672"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p>
              </w:tc>
              <w:tc>
                <w:tcPr>
                  <w:tcW w:w="270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szCs w:val="28"/>
                      <w:highlight w:val="none"/>
                    </w:rPr>
                  </w:pPr>
                </w:p>
              </w:tc>
              <w:tc>
                <w:tcPr>
                  <w:tcW w:w="3242"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auto"/>
                      <w:szCs w:val="28"/>
                      <w:highlight w:val="none"/>
                    </w:rPr>
                  </w:pPr>
                  <w:r>
                    <w:rPr>
                      <w:rFonts w:hint="eastAsia" w:ascii="宋体" w:hAnsi="宋体" w:cs="宋体"/>
                      <w:color w:val="auto"/>
                      <w:szCs w:val="28"/>
                      <w:highlight w:val="none"/>
                    </w:rPr>
                    <w:t>标书合同评审</w:t>
                  </w:r>
                </w:p>
              </w:tc>
            </w:tr>
            <w:tr>
              <w:tblPrEx>
                <w:tblCellMar>
                  <w:top w:w="0" w:type="dxa"/>
                  <w:left w:w="108" w:type="dxa"/>
                  <w:bottom w:w="0" w:type="dxa"/>
                  <w:right w:w="108" w:type="dxa"/>
                </w:tblCellMar>
              </w:tblPrEx>
              <w:trPr>
                <w:jc w:val="center"/>
              </w:trPr>
              <w:tc>
                <w:tcPr>
                  <w:tcW w:w="72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r>
                    <w:rPr>
                      <w:rFonts w:hint="eastAsia" w:ascii="宋体" w:hAnsi="宋体" w:cs="宋体"/>
                      <w:color w:val="auto"/>
                      <w:szCs w:val="28"/>
                      <w:highlight w:val="none"/>
                    </w:rPr>
                    <w:t>55</w:t>
                  </w:r>
                </w:p>
              </w:tc>
              <w:tc>
                <w:tcPr>
                  <w:tcW w:w="2672"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p>
              </w:tc>
              <w:tc>
                <w:tcPr>
                  <w:tcW w:w="2705" w:type="dxa"/>
                  <w:vMerge w:val="restart"/>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auto"/>
                      <w:szCs w:val="28"/>
                      <w:highlight w:val="none"/>
                    </w:rPr>
                  </w:pPr>
                  <w:r>
                    <w:rPr>
                      <w:rFonts w:hint="eastAsia" w:ascii="宋体" w:hAnsi="宋体" w:cs="宋体"/>
                      <w:color w:val="auto"/>
                      <w:szCs w:val="28"/>
                      <w:highlight w:val="none"/>
                    </w:rPr>
                    <w:t>管理功能</w:t>
                  </w:r>
                </w:p>
              </w:tc>
              <w:tc>
                <w:tcPr>
                  <w:tcW w:w="3242"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auto"/>
                      <w:szCs w:val="28"/>
                      <w:highlight w:val="none"/>
                    </w:rPr>
                  </w:pPr>
                  <w:r>
                    <w:rPr>
                      <w:rFonts w:hint="eastAsia" w:ascii="宋体" w:hAnsi="宋体" w:cs="宋体"/>
                      <w:color w:val="auto"/>
                      <w:szCs w:val="28"/>
                      <w:highlight w:val="none"/>
                    </w:rPr>
                    <w:t>信息公示</w:t>
                  </w:r>
                </w:p>
              </w:tc>
            </w:tr>
            <w:tr>
              <w:tblPrEx>
                <w:tblCellMar>
                  <w:top w:w="0" w:type="dxa"/>
                  <w:left w:w="108" w:type="dxa"/>
                  <w:bottom w:w="0" w:type="dxa"/>
                  <w:right w:w="108" w:type="dxa"/>
                </w:tblCellMar>
              </w:tblPrEx>
              <w:trPr>
                <w:jc w:val="center"/>
              </w:trPr>
              <w:tc>
                <w:tcPr>
                  <w:tcW w:w="72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r>
                    <w:rPr>
                      <w:rFonts w:hint="eastAsia" w:ascii="宋体" w:hAnsi="宋体" w:cs="宋体"/>
                      <w:color w:val="auto"/>
                      <w:szCs w:val="28"/>
                      <w:highlight w:val="none"/>
                    </w:rPr>
                    <w:t>56</w:t>
                  </w:r>
                </w:p>
              </w:tc>
              <w:tc>
                <w:tcPr>
                  <w:tcW w:w="2672"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p>
              </w:tc>
              <w:tc>
                <w:tcPr>
                  <w:tcW w:w="270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szCs w:val="28"/>
                      <w:highlight w:val="none"/>
                    </w:rPr>
                  </w:pPr>
                </w:p>
              </w:tc>
              <w:tc>
                <w:tcPr>
                  <w:tcW w:w="3242"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auto"/>
                      <w:szCs w:val="28"/>
                      <w:highlight w:val="none"/>
                    </w:rPr>
                  </w:pPr>
                  <w:r>
                    <w:rPr>
                      <w:rFonts w:hint="eastAsia" w:ascii="宋体" w:hAnsi="宋体" w:cs="宋体"/>
                      <w:color w:val="auto"/>
                      <w:szCs w:val="28"/>
                      <w:highlight w:val="none"/>
                    </w:rPr>
                    <w:t>科研管理</w:t>
                  </w:r>
                </w:p>
              </w:tc>
            </w:tr>
            <w:tr>
              <w:tblPrEx>
                <w:tblCellMar>
                  <w:top w:w="0" w:type="dxa"/>
                  <w:left w:w="108" w:type="dxa"/>
                  <w:bottom w:w="0" w:type="dxa"/>
                  <w:right w:w="108" w:type="dxa"/>
                </w:tblCellMar>
              </w:tblPrEx>
              <w:trPr>
                <w:jc w:val="center"/>
              </w:trPr>
              <w:tc>
                <w:tcPr>
                  <w:tcW w:w="72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r>
                    <w:rPr>
                      <w:rFonts w:hint="eastAsia" w:ascii="宋体" w:hAnsi="宋体" w:cs="宋体"/>
                      <w:color w:val="auto"/>
                      <w:szCs w:val="28"/>
                      <w:highlight w:val="none"/>
                    </w:rPr>
                    <w:t>57</w:t>
                  </w:r>
                </w:p>
              </w:tc>
              <w:tc>
                <w:tcPr>
                  <w:tcW w:w="2672"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p>
              </w:tc>
              <w:tc>
                <w:tcPr>
                  <w:tcW w:w="270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szCs w:val="28"/>
                      <w:highlight w:val="none"/>
                    </w:rPr>
                  </w:pPr>
                </w:p>
              </w:tc>
              <w:tc>
                <w:tcPr>
                  <w:tcW w:w="3242"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auto"/>
                      <w:szCs w:val="28"/>
                      <w:highlight w:val="none"/>
                    </w:rPr>
                  </w:pPr>
                  <w:r>
                    <w:rPr>
                      <w:rFonts w:hint="eastAsia" w:ascii="宋体" w:hAnsi="宋体" w:cs="宋体"/>
                      <w:color w:val="auto"/>
                      <w:szCs w:val="28"/>
                      <w:highlight w:val="none"/>
                    </w:rPr>
                    <w:t>任务查询</w:t>
                  </w:r>
                </w:p>
              </w:tc>
            </w:tr>
            <w:tr>
              <w:tblPrEx>
                <w:tblCellMar>
                  <w:top w:w="0" w:type="dxa"/>
                  <w:left w:w="108" w:type="dxa"/>
                  <w:bottom w:w="0" w:type="dxa"/>
                  <w:right w:w="108" w:type="dxa"/>
                </w:tblCellMar>
              </w:tblPrEx>
              <w:trPr>
                <w:jc w:val="center"/>
              </w:trPr>
              <w:tc>
                <w:tcPr>
                  <w:tcW w:w="72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r>
                    <w:rPr>
                      <w:rFonts w:hint="eastAsia" w:ascii="宋体" w:hAnsi="宋体" w:cs="宋体"/>
                      <w:color w:val="auto"/>
                      <w:szCs w:val="28"/>
                      <w:highlight w:val="none"/>
                    </w:rPr>
                    <w:t>58</w:t>
                  </w:r>
                </w:p>
              </w:tc>
              <w:tc>
                <w:tcPr>
                  <w:tcW w:w="2672"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p>
              </w:tc>
              <w:tc>
                <w:tcPr>
                  <w:tcW w:w="270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szCs w:val="28"/>
                      <w:highlight w:val="none"/>
                    </w:rPr>
                  </w:pPr>
                </w:p>
              </w:tc>
              <w:tc>
                <w:tcPr>
                  <w:tcW w:w="3242"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auto"/>
                      <w:szCs w:val="28"/>
                      <w:highlight w:val="none"/>
                    </w:rPr>
                  </w:pPr>
                  <w:r>
                    <w:rPr>
                      <w:rFonts w:hint="eastAsia" w:ascii="宋体" w:hAnsi="宋体" w:cs="宋体"/>
                      <w:color w:val="auto"/>
                      <w:szCs w:val="28"/>
                      <w:highlight w:val="none"/>
                    </w:rPr>
                    <w:t>资产管理</w:t>
                  </w:r>
                </w:p>
              </w:tc>
            </w:tr>
            <w:tr>
              <w:tblPrEx>
                <w:tblCellMar>
                  <w:top w:w="0" w:type="dxa"/>
                  <w:left w:w="108" w:type="dxa"/>
                  <w:bottom w:w="0" w:type="dxa"/>
                  <w:right w:w="108" w:type="dxa"/>
                </w:tblCellMar>
              </w:tblPrEx>
              <w:trPr>
                <w:jc w:val="center"/>
              </w:trPr>
              <w:tc>
                <w:tcPr>
                  <w:tcW w:w="72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r>
                    <w:rPr>
                      <w:rFonts w:hint="eastAsia" w:ascii="宋体" w:hAnsi="宋体" w:cs="宋体"/>
                      <w:color w:val="auto"/>
                      <w:szCs w:val="28"/>
                      <w:highlight w:val="none"/>
                    </w:rPr>
                    <w:t>59</w:t>
                  </w:r>
                </w:p>
              </w:tc>
              <w:tc>
                <w:tcPr>
                  <w:tcW w:w="2672"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p>
              </w:tc>
              <w:tc>
                <w:tcPr>
                  <w:tcW w:w="270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szCs w:val="28"/>
                      <w:highlight w:val="none"/>
                    </w:rPr>
                  </w:pPr>
                </w:p>
              </w:tc>
              <w:tc>
                <w:tcPr>
                  <w:tcW w:w="3242"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auto"/>
                      <w:szCs w:val="28"/>
                      <w:highlight w:val="none"/>
                    </w:rPr>
                  </w:pPr>
                  <w:r>
                    <w:rPr>
                      <w:rFonts w:hint="eastAsia" w:ascii="宋体" w:hAnsi="宋体" w:cs="宋体"/>
                      <w:color w:val="auto"/>
                      <w:szCs w:val="28"/>
                      <w:highlight w:val="none"/>
                    </w:rPr>
                    <w:t>内部事项</w:t>
                  </w:r>
                </w:p>
              </w:tc>
            </w:tr>
            <w:tr>
              <w:tblPrEx>
                <w:tblCellMar>
                  <w:top w:w="0" w:type="dxa"/>
                  <w:left w:w="108" w:type="dxa"/>
                  <w:bottom w:w="0" w:type="dxa"/>
                  <w:right w:w="108" w:type="dxa"/>
                </w:tblCellMar>
              </w:tblPrEx>
              <w:trPr>
                <w:jc w:val="center"/>
              </w:trPr>
              <w:tc>
                <w:tcPr>
                  <w:tcW w:w="72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r>
                    <w:rPr>
                      <w:rFonts w:hint="eastAsia" w:ascii="宋体" w:hAnsi="宋体" w:cs="宋体"/>
                      <w:color w:val="auto"/>
                      <w:szCs w:val="28"/>
                      <w:highlight w:val="none"/>
                    </w:rPr>
                    <w:t>60</w:t>
                  </w:r>
                </w:p>
              </w:tc>
              <w:tc>
                <w:tcPr>
                  <w:tcW w:w="2672"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p>
              </w:tc>
              <w:tc>
                <w:tcPr>
                  <w:tcW w:w="270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szCs w:val="28"/>
                      <w:highlight w:val="none"/>
                    </w:rPr>
                  </w:pPr>
                </w:p>
              </w:tc>
              <w:tc>
                <w:tcPr>
                  <w:tcW w:w="3242"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auto"/>
                      <w:szCs w:val="28"/>
                      <w:highlight w:val="none"/>
                    </w:rPr>
                  </w:pPr>
                  <w:r>
                    <w:rPr>
                      <w:rFonts w:hint="eastAsia" w:ascii="宋体" w:hAnsi="宋体" w:cs="宋体"/>
                      <w:color w:val="auto"/>
                      <w:szCs w:val="28"/>
                      <w:highlight w:val="none"/>
                    </w:rPr>
                    <w:t>短信提醒</w:t>
                  </w:r>
                </w:p>
              </w:tc>
            </w:tr>
            <w:tr>
              <w:tblPrEx>
                <w:tblCellMar>
                  <w:top w:w="0" w:type="dxa"/>
                  <w:left w:w="108" w:type="dxa"/>
                  <w:bottom w:w="0" w:type="dxa"/>
                  <w:right w:w="108" w:type="dxa"/>
                </w:tblCellMar>
              </w:tblPrEx>
              <w:trPr>
                <w:jc w:val="center"/>
              </w:trPr>
              <w:tc>
                <w:tcPr>
                  <w:tcW w:w="72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r>
                    <w:rPr>
                      <w:rFonts w:hint="eastAsia" w:ascii="宋体" w:hAnsi="宋体" w:cs="宋体"/>
                      <w:color w:val="auto"/>
                      <w:szCs w:val="28"/>
                      <w:highlight w:val="none"/>
                    </w:rPr>
                    <w:t>61</w:t>
                  </w:r>
                </w:p>
              </w:tc>
              <w:tc>
                <w:tcPr>
                  <w:tcW w:w="2672" w:type="dxa"/>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r>
                    <w:rPr>
                      <w:rFonts w:hint="eastAsia" w:ascii="宋体" w:hAnsi="宋体" w:cs="宋体"/>
                      <w:color w:val="auto"/>
                      <w:szCs w:val="28"/>
                      <w:highlight w:val="none"/>
                    </w:rPr>
                    <w:t>移动监测APP</w:t>
                  </w:r>
                </w:p>
              </w:tc>
              <w:tc>
                <w:tcPr>
                  <w:tcW w:w="2705" w:type="dxa"/>
                  <w:vMerge w:val="restart"/>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szCs w:val="28"/>
                      <w:highlight w:val="none"/>
                    </w:rPr>
                  </w:pPr>
                  <w:r>
                    <w:rPr>
                      <w:rFonts w:hint="eastAsia" w:ascii="宋体" w:hAnsi="宋体" w:cs="宋体"/>
                      <w:color w:val="auto"/>
                      <w:szCs w:val="28"/>
                      <w:highlight w:val="none"/>
                    </w:rPr>
                    <w:t>临时任务管理</w:t>
                  </w:r>
                </w:p>
              </w:tc>
              <w:tc>
                <w:tcPr>
                  <w:tcW w:w="3242"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auto"/>
                      <w:szCs w:val="28"/>
                      <w:highlight w:val="none"/>
                    </w:rPr>
                  </w:pPr>
                  <w:r>
                    <w:rPr>
                      <w:rFonts w:hint="eastAsia" w:ascii="宋体" w:hAnsi="宋体" w:cs="宋体"/>
                      <w:color w:val="auto"/>
                      <w:szCs w:val="28"/>
                      <w:highlight w:val="none"/>
                    </w:rPr>
                    <w:t>临时任务下达</w:t>
                  </w:r>
                </w:p>
              </w:tc>
            </w:tr>
            <w:tr>
              <w:tblPrEx>
                <w:tblCellMar>
                  <w:top w:w="0" w:type="dxa"/>
                  <w:left w:w="108" w:type="dxa"/>
                  <w:bottom w:w="0" w:type="dxa"/>
                  <w:right w:w="108" w:type="dxa"/>
                </w:tblCellMar>
              </w:tblPrEx>
              <w:trPr>
                <w:jc w:val="center"/>
              </w:trPr>
              <w:tc>
                <w:tcPr>
                  <w:tcW w:w="72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r>
                    <w:rPr>
                      <w:rFonts w:hint="eastAsia" w:ascii="宋体" w:hAnsi="宋体" w:cs="宋体"/>
                      <w:color w:val="auto"/>
                      <w:szCs w:val="28"/>
                      <w:highlight w:val="none"/>
                    </w:rPr>
                    <w:t>62</w:t>
                  </w:r>
                </w:p>
              </w:tc>
              <w:tc>
                <w:tcPr>
                  <w:tcW w:w="2672"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p>
              </w:tc>
              <w:tc>
                <w:tcPr>
                  <w:tcW w:w="270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szCs w:val="28"/>
                      <w:highlight w:val="none"/>
                    </w:rPr>
                  </w:pPr>
                </w:p>
              </w:tc>
              <w:tc>
                <w:tcPr>
                  <w:tcW w:w="3242"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auto"/>
                      <w:szCs w:val="28"/>
                      <w:highlight w:val="none"/>
                    </w:rPr>
                  </w:pPr>
                  <w:r>
                    <w:rPr>
                      <w:rFonts w:hint="eastAsia" w:ascii="宋体" w:hAnsi="宋体" w:cs="宋体"/>
                      <w:color w:val="auto"/>
                      <w:szCs w:val="28"/>
                      <w:highlight w:val="none"/>
                    </w:rPr>
                    <w:t>监测点位维护</w:t>
                  </w:r>
                </w:p>
              </w:tc>
            </w:tr>
            <w:tr>
              <w:tblPrEx>
                <w:tblCellMar>
                  <w:top w:w="0" w:type="dxa"/>
                  <w:left w:w="108" w:type="dxa"/>
                  <w:bottom w:w="0" w:type="dxa"/>
                  <w:right w:w="108" w:type="dxa"/>
                </w:tblCellMar>
              </w:tblPrEx>
              <w:trPr>
                <w:jc w:val="center"/>
              </w:trPr>
              <w:tc>
                <w:tcPr>
                  <w:tcW w:w="72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r>
                    <w:rPr>
                      <w:rFonts w:hint="eastAsia" w:ascii="宋体" w:hAnsi="宋体" w:cs="宋体"/>
                      <w:color w:val="auto"/>
                      <w:szCs w:val="28"/>
                      <w:highlight w:val="none"/>
                    </w:rPr>
                    <w:t>63</w:t>
                  </w:r>
                </w:p>
              </w:tc>
              <w:tc>
                <w:tcPr>
                  <w:tcW w:w="2672"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p>
              </w:tc>
              <w:tc>
                <w:tcPr>
                  <w:tcW w:w="2705" w:type="dxa"/>
                  <w:vMerge w:val="restart"/>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auto"/>
                      <w:szCs w:val="28"/>
                      <w:highlight w:val="none"/>
                    </w:rPr>
                  </w:pPr>
                  <w:r>
                    <w:rPr>
                      <w:rFonts w:hint="eastAsia" w:ascii="宋体" w:hAnsi="宋体" w:cs="宋体"/>
                      <w:color w:val="auto"/>
                      <w:szCs w:val="28"/>
                      <w:highlight w:val="none"/>
                    </w:rPr>
                    <w:t>采样管理</w:t>
                  </w:r>
                </w:p>
              </w:tc>
              <w:tc>
                <w:tcPr>
                  <w:tcW w:w="3242"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auto"/>
                      <w:szCs w:val="28"/>
                      <w:highlight w:val="none"/>
                    </w:rPr>
                  </w:pPr>
                  <w:r>
                    <w:rPr>
                      <w:rFonts w:hint="eastAsia" w:ascii="宋体" w:hAnsi="宋体" w:cs="宋体"/>
                      <w:color w:val="auto"/>
                      <w:szCs w:val="28"/>
                      <w:highlight w:val="none"/>
                    </w:rPr>
                    <w:t>采样数据录入</w:t>
                  </w:r>
                </w:p>
              </w:tc>
            </w:tr>
            <w:tr>
              <w:tblPrEx>
                <w:tblCellMar>
                  <w:top w:w="0" w:type="dxa"/>
                  <w:left w:w="108" w:type="dxa"/>
                  <w:bottom w:w="0" w:type="dxa"/>
                  <w:right w:w="108" w:type="dxa"/>
                </w:tblCellMar>
              </w:tblPrEx>
              <w:trPr>
                <w:jc w:val="center"/>
              </w:trPr>
              <w:tc>
                <w:tcPr>
                  <w:tcW w:w="72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r>
                    <w:rPr>
                      <w:rFonts w:hint="eastAsia" w:ascii="宋体" w:hAnsi="宋体" w:cs="宋体"/>
                      <w:color w:val="auto"/>
                      <w:szCs w:val="28"/>
                      <w:highlight w:val="none"/>
                    </w:rPr>
                    <w:t>64</w:t>
                  </w:r>
                </w:p>
              </w:tc>
              <w:tc>
                <w:tcPr>
                  <w:tcW w:w="2672"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p>
              </w:tc>
              <w:tc>
                <w:tcPr>
                  <w:tcW w:w="270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szCs w:val="28"/>
                      <w:highlight w:val="none"/>
                    </w:rPr>
                  </w:pPr>
                </w:p>
              </w:tc>
              <w:tc>
                <w:tcPr>
                  <w:tcW w:w="3242"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auto"/>
                      <w:szCs w:val="28"/>
                      <w:highlight w:val="none"/>
                    </w:rPr>
                  </w:pPr>
                  <w:r>
                    <w:rPr>
                      <w:rFonts w:hint="eastAsia" w:ascii="宋体" w:hAnsi="宋体" w:cs="宋体"/>
                      <w:color w:val="auto"/>
                      <w:szCs w:val="28"/>
                      <w:highlight w:val="none"/>
                    </w:rPr>
                    <w:t>无法采样样品标记</w:t>
                  </w:r>
                </w:p>
              </w:tc>
            </w:tr>
            <w:tr>
              <w:tblPrEx>
                <w:tblCellMar>
                  <w:top w:w="0" w:type="dxa"/>
                  <w:left w:w="108" w:type="dxa"/>
                  <w:bottom w:w="0" w:type="dxa"/>
                  <w:right w:w="108" w:type="dxa"/>
                </w:tblCellMar>
              </w:tblPrEx>
              <w:trPr>
                <w:jc w:val="center"/>
              </w:trPr>
              <w:tc>
                <w:tcPr>
                  <w:tcW w:w="72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r>
                    <w:rPr>
                      <w:rFonts w:hint="eastAsia" w:ascii="宋体" w:hAnsi="宋体" w:cs="宋体"/>
                      <w:color w:val="auto"/>
                      <w:szCs w:val="28"/>
                      <w:highlight w:val="none"/>
                    </w:rPr>
                    <w:t>65</w:t>
                  </w:r>
                </w:p>
              </w:tc>
              <w:tc>
                <w:tcPr>
                  <w:tcW w:w="2672"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p>
              </w:tc>
              <w:tc>
                <w:tcPr>
                  <w:tcW w:w="2705" w:type="dxa"/>
                  <w:vMerge w:val="restart"/>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auto"/>
                      <w:szCs w:val="28"/>
                      <w:highlight w:val="none"/>
                    </w:rPr>
                  </w:pPr>
                  <w:r>
                    <w:rPr>
                      <w:rFonts w:hint="eastAsia" w:ascii="宋体" w:hAnsi="宋体" w:cs="宋体"/>
                      <w:color w:val="auto"/>
                      <w:szCs w:val="28"/>
                      <w:highlight w:val="none"/>
                    </w:rPr>
                    <w:t>样品管理</w:t>
                  </w:r>
                </w:p>
              </w:tc>
              <w:tc>
                <w:tcPr>
                  <w:tcW w:w="3242"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auto"/>
                      <w:szCs w:val="28"/>
                      <w:highlight w:val="none"/>
                    </w:rPr>
                  </w:pPr>
                  <w:r>
                    <w:rPr>
                      <w:rFonts w:hint="eastAsia" w:ascii="宋体" w:hAnsi="宋体" w:cs="宋体"/>
                      <w:color w:val="auto"/>
                      <w:szCs w:val="28"/>
                      <w:highlight w:val="none"/>
                    </w:rPr>
                    <w:t>样品交接</w:t>
                  </w:r>
                </w:p>
              </w:tc>
            </w:tr>
            <w:tr>
              <w:tblPrEx>
                <w:tblCellMar>
                  <w:top w:w="0" w:type="dxa"/>
                  <w:left w:w="108" w:type="dxa"/>
                  <w:bottom w:w="0" w:type="dxa"/>
                  <w:right w:w="108" w:type="dxa"/>
                </w:tblCellMar>
              </w:tblPrEx>
              <w:trPr>
                <w:jc w:val="center"/>
              </w:trPr>
              <w:tc>
                <w:tcPr>
                  <w:tcW w:w="72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r>
                    <w:rPr>
                      <w:rFonts w:hint="eastAsia" w:ascii="宋体" w:hAnsi="宋体" w:cs="宋体"/>
                      <w:color w:val="auto"/>
                      <w:szCs w:val="28"/>
                      <w:highlight w:val="none"/>
                    </w:rPr>
                    <w:t>66</w:t>
                  </w:r>
                </w:p>
              </w:tc>
              <w:tc>
                <w:tcPr>
                  <w:tcW w:w="2672"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p>
              </w:tc>
              <w:tc>
                <w:tcPr>
                  <w:tcW w:w="270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szCs w:val="28"/>
                      <w:highlight w:val="none"/>
                    </w:rPr>
                  </w:pPr>
                </w:p>
              </w:tc>
              <w:tc>
                <w:tcPr>
                  <w:tcW w:w="3242"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auto"/>
                      <w:szCs w:val="28"/>
                      <w:highlight w:val="none"/>
                    </w:rPr>
                  </w:pPr>
                  <w:r>
                    <w:rPr>
                      <w:rFonts w:hint="eastAsia" w:ascii="宋体" w:hAnsi="宋体" w:cs="宋体"/>
                      <w:color w:val="auto"/>
                      <w:szCs w:val="28"/>
                      <w:highlight w:val="none"/>
                    </w:rPr>
                    <w:t>样品取样</w:t>
                  </w:r>
                </w:p>
              </w:tc>
            </w:tr>
            <w:tr>
              <w:tblPrEx>
                <w:tblCellMar>
                  <w:top w:w="0" w:type="dxa"/>
                  <w:left w:w="108" w:type="dxa"/>
                  <w:bottom w:w="0" w:type="dxa"/>
                  <w:right w:w="108" w:type="dxa"/>
                </w:tblCellMar>
              </w:tblPrEx>
              <w:trPr>
                <w:jc w:val="center"/>
              </w:trPr>
              <w:tc>
                <w:tcPr>
                  <w:tcW w:w="72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r>
                    <w:rPr>
                      <w:rFonts w:hint="eastAsia" w:ascii="宋体" w:hAnsi="宋体" w:cs="宋体"/>
                      <w:color w:val="auto"/>
                      <w:szCs w:val="28"/>
                      <w:highlight w:val="none"/>
                    </w:rPr>
                    <w:t>67</w:t>
                  </w:r>
                </w:p>
              </w:tc>
              <w:tc>
                <w:tcPr>
                  <w:tcW w:w="2672"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p>
              </w:tc>
              <w:tc>
                <w:tcPr>
                  <w:tcW w:w="2705" w:type="dxa"/>
                  <w:vMerge w:val="restart"/>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auto"/>
                      <w:szCs w:val="28"/>
                      <w:highlight w:val="none"/>
                    </w:rPr>
                  </w:pPr>
                  <w:r>
                    <w:rPr>
                      <w:rFonts w:hint="eastAsia" w:ascii="宋体" w:hAnsi="宋体" w:cs="宋体"/>
                      <w:color w:val="auto"/>
                      <w:szCs w:val="28"/>
                      <w:highlight w:val="none"/>
                    </w:rPr>
                    <w:t>分析管理</w:t>
                  </w:r>
                </w:p>
              </w:tc>
              <w:tc>
                <w:tcPr>
                  <w:tcW w:w="3242"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auto"/>
                      <w:szCs w:val="28"/>
                      <w:highlight w:val="none"/>
                    </w:rPr>
                  </w:pPr>
                  <w:r>
                    <w:rPr>
                      <w:rFonts w:hint="eastAsia" w:ascii="宋体" w:hAnsi="宋体" w:cs="宋体"/>
                      <w:color w:val="auto"/>
                      <w:szCs w:val="28"/>
                      <w:highlight w:val="none"/>
                    </w:rPr>
                    <w:t>标准溶液配置</w:t>
                  </w:r>
                </w:p>
              </w:tc>
            </w:tr>
            <w:tr>
              <w:tblPrEx>
                <w:tblCellMar>
                  <w:top w:w="0" w:type="dxa"/>
                  <w:left w:w="108" w:type="dxa"/>
                  <w:bottom w:w="0" w:type="dxa"/>
                  <w:right w:w="108" w:type="dxa"/>
                </w:tblCellMar>
              </w:tblPrEx>
              <w:trPr>
                <w:jc w:val="center"/>
              </w:trPr>
              <w:tc>
                <w:tcPr>
                  <w:tcW w:w="72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r>
                    <w:rPr>
                      <w:rFonts w:hint="eastAsia" w:ascii="宋体" w:hAnsi="宋体" w:cs="宋体"/>
                      <w:color w:val="auto"/>
                      <w:szCs w:val="28"/>
                      <w:highlight w:val="none"/>
                    </w:rPr>
                    <w:t>68</w:t>
                  </w:r>
                </w:p>
              </w:tc>
              <w:tc>
                <w:tcPr>
                  <w:tcW w:w="2672"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p>
              </w:tc>
              <w:tc>
                <w:tcPr>
                  <w:tcW w:w="270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szCs w:val="28"/>
                      <w:highlight w:val="none"/>
                    </w:rPr>
                  </w:pPr>
                </w:p>
              </w:tc>
              <w:tc>
                <w:tcPr>
                  <w:tcW w:w="3242"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auto"/>
                      <w:szCs w:val="28"/>
                      <w:highlight w:val="none"/>
                    </w:rPr>
                  </w:pPr>
                  <w:r>
                    <w:rPr>
                      <w:rFonts w:hint="eastAsia" w:ascii="宋体" w:hAnsi="宋体" w:cs="宋体"/>
                      <w:color w:val="auto"/>
                      <w:szCs w:val="28"/>
                      <w:highlight w:val="none"/>
                    </w:rPr>
                    <w:t>分析数据录入</w:t>
                  </w:r>
                </w:p>
              </w:tc>
            </w:tr>
            <w:tr>
              <w:tblPrEx>
                <w:tblCellMar>
                  <w:top w:w="0" w:type="dxa"/>
                  <w:left w:w="108" w:type="dxa"/>
                  <w:bottom w:w="0" w:type="dxa"/>
                  <w:right w:w="108" w:type="dxa"/>
                </w:tblCellMar>
              </w:tblPrEx>
              <w:trPr>
                <w:jc w:val="center"/>
              </w:trPr>
              <w:tc>
                <w:tcPr>
                  <w:tcW w:w="72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r>
                    <w:rPr>
                      <w:rFonts w:hint="eastAsia" w:ascii="宋体" w:hAnsi="宋体" w:cs="宋体"/>
                      <w:color w:val="auto"/>
                      <w:szCs w:val="28"/>
                      <w:highlight w:val="none"/>
                    </w:rPr>
                    <w:t>69</w:t>
                  </w:r>
                </w:p>
              </w:tc>
              <w:tc>
                <w:tcPr>
                  <w:tcW w:w="2672"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p>
              </w:tc>
              <w:tc>
                <w:tcPr>
                  <w:tcW w:w="270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szCs w:val="28"/>
                      <w:highlight w:val="none"/>
                    </w:rPr>
                  </w:pPr>
                </w:p>
              </w:tc>
              <w:tc>
                <w:tcPr>
                  <w:tcW w:w="3242"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auto"/>
                      <w:szCs w:val="28"/>
                      <w:highlight w:val="none"/>
                    </w:rPr>
                  </w:pPr>
                  <w:r>
                    <w:rPr>
                      <w:rFonts w:hint="eastAsia" w:ascii="宋体" w:hAnsi="宋体" w:cs="宋体"/>
                      <w:color w:val="auto"/>
                      <w:szCs w:val="28"/>
                      <w:highlight w:val="none"/>
                    </w:rPr>
                    <w:t>标准曲线管理</w:t>
                  </w:r>
                </w:p>
              </w:tc>
            </w:tr>
            <w:tr>
              <w:tblPrEx>
                <w:tblCellMar>
                  <w:top w:w="0" w:type="dxa"/>
                  <w:left w:w="108" w:type="dxa"/>
                  <w:bottom w:w="0" w:type="dxa"/>
                  <w:right w:w="108" w:type="dxa"/>
                </w:tblCellMar>
              </w:tblPrEx>
              <w:trPr>
                <w:jc w:val="center"/>
              </w:trPr>
              <w:tc>
                <w:tcPr>
                  <w:tcW w:w="72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r>
                    <w:rPr>
                      <w:rFonts w:hint="eastAsia" w:ascii="宋体" w:hAnsi="宋体" w:cs="宋体"/>
                      <w:color w:val="auto"/>
                      <w:szCs w:val="28"/>
                      <w:highlight w:val="none"/>
                    </w:rPr>
                    <w:t>70</w:t>
                  </w:r>
                </w:p>
              </w:tc>
              <w:tc>
                <w:tcPr>
                  <w:tcW w:w="2672"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p>
              </w:tc>
              <w:tc>
                <w:tcPr>
                  <w:tcW w:w="2705" w:type="dxa"/>
                  <w:vMerge w:val="restart"/>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auto"/>
                      <w:szCs w:val="28"/>
                      <w:highlight w:val="none"/>
                    </w:rPr>
                  </w:pPr>
                  <w:r>
                    <w:rPr>
                      <w:rFonts w:hint="eastAsia" w:ascii="宋体" w:hAnsi="宋体" w:cs="宋体"/>
                      <w:color w:val="auto"/>
                      <w:szCs w:val="28"/>
                      <w:highlight w:val="none"/>
                    </w:rPr>
                    <w:t>仪器管理</w:t>
                  </w:r>
                </w:p>
              </w:tc>
              <w:tc>
                <w:tcPr>
                  <w:tcW w:w="3242"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auto"/>
                      <w:szCs w:val="28"/>
                      <w:highlight w:val="none"/>
                    </w:rPr>
                  </w:pPr>
                  <w:r>
                    <w:rPr>
                      <w:rFonts w:hint="eastAsia" w:ascii="宋体" w:hAnsi="宋体" w:cs="宋体"/>
                      <w:color w:val="auto"/>
                      <w:szCs w:val="28"/>
                      <w:highlight w:val="none"/>
                    </w:rPr>
                    <w:t>仪器使用记录</w:t>
                  </w:r>
                </w:p>
              </w:tc>
            </w:tr>
            <w:tr>
              <w:tblPrEx>
                <w:tblCellMar>
                  <w:top w:w="0" w:type="dxa"/>
                  <w:left w:w="108" w:type="dxa"/>
                  <w:bottom w:w="0" w:type="dxa"/>
                  <w:right w:w="108" w:type="dxa"/>
                </w:tblCellMar>
              </w:tblPrEx>
              <w:trPr>
                <w:jc w:val="center"/>
              </w:trPr>
              <w:tc>
                <w:tcPr>
                  <w:tcW w:w="72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r>
                    <w:rPr>
                      <w:rFonts w:hint="eastAsia" w:ascii="宋体" w:hAnsi="宋体" w:cs="宋体"/>
                      <w:color w:val="auto"/>
                      <w:szCs w:val="28"/>
                      <w:highlight w:val="none"/>
                    </w:rPr>
                    <w:t>71</w:t>
                  </w:r>
                </w:p>
              </w:tc>
              <w:tc>
                <w:tcPr>
                  <w:tcW w:w="2672"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p>
              </w:tc>
              <w:tc>
                <w:tcPr>
                  <w:tcW w:w="270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szCs w:val="28"/>
                      <w:highlight w:val="none"/>
                    </w:rPr>
                  </w:pPr>
                </w:p>
              </w:tc>
              <w:tc>
                <w:tcPr>
                  <w:tcW w:w="3242"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auto"/>
                      <w:szCs w:val="28"/>
                      <w:highlight w:val="none"/>
                    </w:rPr>
                  </w:pPr>
                  <w:r>
                    <w:rPr>
                      <w:rFonts w:hint="eastAsia" w:ascii="宋体" w:hAnsi="宋体" w:cs="宋体"/>
                      <w:color w:val="auto"/>
                      <w:szCs w:val="28"/>
                      <w:highlight w:val="none"/>
                    </w:rPr>
                    <w:t>仪器维护记录</w:t>
                  </w:r>
                </w:p>
              </w:tc>
            </w:tr>
            <w:tr>
              <w:tblPrEx>
                <w:tblCellMar>
                  <w:top w:w="0" w:type="dxa"/>
                  <w:left w:w="108" w:type="dxa"/>
                  <w:bottom w:w="0" w:type="dxa"/>
                  <w:right w:w="108" w:type="dxa"/>
                </w:tblCellMar>
              </w:tblPrEx>
              <w:trPr>
                <w:jc w:val="center"/>
              </w:trPr>
              <w:tc>
                <w:tcPr>
                  <w:tcW w:w="72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r>
                    <w:rPr>
                      <w:rFonts w:hint="eastAsia" w:ascii="宋体" w:hAnsi="宋体" w:cs="宋体"/>
                      <w:color w:val="auto"/>
                      <w:szCs w:val="28"/>
                      <w:highlight w:val="none"/>
                    </w:rPr>
                    <w:t>72</w:t>
                  </w:r>
                </w:p>
              </w:tc>
              <w:tc>
                <w:tcPr>
                  <w:tcW w:w="2672"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p>
              </w:tc>
              <w:tc>
                <w:tcPr>
                  <w:tcW w:w="270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szCs w:val="28"/>
                      <w:highlight w:val="none"/>
                    </w:rPr>
                  </w:pPr>
                </w:p>
              </w:tc>
              <w:tc>
                <w:tcPr>
                  <w:tcW w:w="3242"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auto"/>
                      <w:szCs w:val="28"/>
                      <w:highlight w:val="none"/>
                    </w:rPr>
                  </w:pPr>
                  <w:r>
                    <w:rPr>
                      <w:rFonts w:hint="eastAsia" w:ascii="宋体" w:hAnsi="宋体" w:cs="宋体"/>
                      <w:color w:val="auto"/>
                      <w:szCs w:val="28"/>
                      <w:highlight w:val="none"/>
                    </w:rPr>
                    <w:t>仪器档案查询</w:t>
                  </w:r>
                </w:p>
              </w:tc>
            </w:tr>
            <w:tr>
              <w:tblPrEx>
                <w:tblCellMar>
                  <w:top w:w="0" w:type="dxa"/>
                  <w:left w:w="108" w:type="dxa"/>
                  <w:bottom w:w="0" w:type="dxa"/>
                  <w:right w:w="108" w:type="dxa"/>
                </w:tblCellMar>
              </w:tblPrEx>
              <w:trPr>
                <w:jc w:val="center"/>
              </w:trPr>
              <w:tc>
                <w:tcPr>
                  <w:tcW w:w="72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r>
                    <w:rPr>
                      <w:rFonts w:hint="eastAsia" w:ascii="宋体" w:hAnsi="宋体" w:cs="宋体"/>
                      <w:color w:val="auto"/>
                      <w:szCs w:val="28"/>
                      <w:highlight w:val="none"/>
                    </w:rPr>
                    <w:t>73</w:t>
                  </w:r>
                </w:p>
              </w:tc>
              <w:tc>
                <w:tcPr>
                  <w:tcW w:w="2672"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p>
              </w:tc>
              <w:tc>
                <w:tcPr>
                  <w:tcW w:w="2705" w:type="dxa"/>
                  <w:vMerge w:val="restart"/>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auto"/>
                      <w:szCs w:val="28"/>
                      <w:highlight w:val="none"/>
                    </w:rPr>
                  </w:pPr>
                  <w:r>
                    <w:rPr>
                      <w:rFonts w:hint="eastAsia" w:ascii="宋体" w:hAnsi="宋体" w:cs="宋体"/>
                      <w:color w:val="auto"/>
                      <w:szCs w:val="28"/>
                      <w:highlight w:val="none"/>
                    </w:rPr>
                    <w:t>物资管理</w:t>
                  </w:r>
                </w:p>
              </w:tc>
              <w:tc>
                <w:tcPr>
                  <w:tcW w:w="3242"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auto"/>
                      <w:szCs w:val="28"/>
                      <w:highlight w:val="none"/>
                    </w:rPr>
                  </w:pPr>
                  <w:r>
                    <w:rPr>
                      <w:rFonts w:hint="eastAsia" w:ascii="宋体" w:hAnsi="宋体" w:cs="宋体"/>
                      <w:color w:val="auto"/>
                      <w:szCs w:val="28"/>
                      <w:highlight w:val="none"/>
                    </w:rPr>
                    <w:t>物资领用</w:t>
                  </w:r>
                </w:p>
              </w:tc>
            </w:tr>
            <w:tr>
              <w:tblPrEx>
                <w:tblCellMar>
                  <w:top w:w="0" w:type="dxa"/>
                  <w:left w:w="108" w:type="dxa"/>
                  <w:bottom w:w="0" w:type="dxa"/>
                  <w:right w:w="108" w:type="dxa"/>
                </w:tblCellMar>
              </w:tblPrEx>
              <w:trPr>
                <w:jc w:val="center"/>
              </w:trPr>
              <w:tc>
                <w:tcPr>
                  <w:tcW w:w="72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r>
                    <w:rPr>
                      <w:rFonts w:hint="eastAsia" w:ascii="宋体" w:hAnsi="宋体" w:cs="宋体"/>
                      <w:color w:val="auto"/>
                      <w:szCs w:val="28"/>
                      <w:highlight w:val="none"/>
                    </w:rPr>
                    <w:t>74</w:t>
                  </w:r>
                </w:p>
              </w:tc>
              <w:tc>
                <w:tcPr>
                  <w:tcW w:w="2672"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p>
              </w:tc>
              <w:tc>
                <w:tcPr>
                  <w:tcW w:w="270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szCs w:val="28"/>
                      <w:highlight w:val="none"/>
                    </w:rPr>
                  </w:pPr>
                </w:p>
              </w:tc>
              <w:tc>
                <w:tcPr>
                  <w:tcW w:w="3242"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auto"/>
                      <w:szCs w:val="28"/>
                      <w:highlight w:val="none"/>
                    </w:rPr>
                  </w:pPr>
                  <w:r>
                    <w:rPr>
                      <w:rFonts w:hint="eastAsia" w:ascii="宋体" w:hAnsi="宋体" w:cs="宋体"/>
                      <w:color w:val="auto"/>
                      <w:szCs w:val="28"/>
                      <w:highlight w:val="none"/>
                    </w:rPr>
                    <w:t>使用记录</w:t>
                  </w:r>
                </w:p>
              </w:tc>
            </w:tr>
            <w:tr>
              <w:tblPrEx>
                <w:tblCellMar>
                  <w:top w:w="0" w:type="dxa"/>
                  <w:left w:w="108" w:type="dxa"/>
                  <w:bottom w:w="0" w:type="dxa"/>
                  <w:right w:w="108" w:type="dxa"/>
                </w:tblCellMar>
              </w:tblPrEx>
              <w:trPr>
                <w:jc w:val="center"/>
              </w:trPr>
              <w:tc>
                <w:tcPr>
                  <w:tcW w:w="72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r>
                    <w:rPr>
                      <w:rFonts w:hint="eastAsia" w:ascii="宋体" w:hAnsi="宋体" w:cs="宋体"/>
                      <w:color w:val="auto"/>
                      <w:szCs w:val="28"/>
                      <w:highlight w:val="none"/>
                    </w:rPr>
                    <w:t>75</w:t>
                  </w:r>
                </w:p>
              </w:tc>
              <w:tc>
                <w:tcPr>
                  <w:tcW w:w="2672" w:type="dxa"/>
                  <w:vMerge w:val="restart"/>
                  <w:tcBorders>
                    <w:top w:val="single" w:color="auto" w:sz="4" w:space="0"/>
                    <w:left w:val="single" w:color="auto" w:sz="4" w:space="0"/>
                    <w:right w:val="single" w:color="auto" w:sz="4" w:space="0"/>
                  </w:tcBorders>
                  <w:vAlign w:val="center"/>
                </w:tcPr>
                <w:p>
                  <w:pPr>
                    <w:widowControl/>
                    <w:jc w:val="center"/>
                    <w:rPr>
                      <w:rFonts w:ascii="宋体" w:hAnsi="宋体" w:cs="宋体"/>
                      <w:color w:val="auto"/>
                      <w:szCs w:val="28"/>
                      <w:highlight w:val="none"/>
                    </w:rPr>
                  </w:pPr>
                  <w:r>
                    <w:rPr>
                      <w:rFonts w:hint="eastAsia" w:ascii="宋体" w:hAnsi="宋体" w:cs="宋体"/>
                      <w:color w:val="auto"/>
                      <w:szCs w:val="28"/>
                      <w:highlight w:val="none"/>
                    </w:rPr>
                    <w:t>系统集成</w:t>
                  </w:r>
                </w:p>
              </w:tc>
              <w:tc>
                <w:tcPr>
                  <w:tcW w:w="2705" w:type="dxa"/>
                  <w:vMerge w:val="restart"/>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auto"/>
                      <w:szCs w:val="28"/>
                      <w:highlight w:val="none"/>
                    </w:rPr>
                  </w:pPr>
                  <w:r>
                    <w:rPr>
                      <w:rFonts w:hint="eastAsia" w:ascii="宋体" w:hAnsi="宋体" w:cs="宋体"/>
                      <w:color w:val="auto"/>
                      <w:szCs w:val="28"/>
                      <w:highlight w:val="none"/>
                    </w:rPr>
                    <w:t>与广西“生态云”平台集成</w:t>
                  </w:r>
                </w:p>
              </w:tc>
              <w:tc>
                <w:tcPr>
                  <w:tcW w:w="3242"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auto"/>
                      <w:szCs w:val="28"/>
                      <w:highlight w:val="none"/>
                    </w:rPr>
                  </w:pPr>
                  <w:r>
                    <w:rPr>
                      <w:rFonts w:hint="eastAsia" w:ascii="宋体" w:hAnsi="宋体" w:cs="宋体"/>
                      <w:color w:val="auto"/>
                      <w:szCs w:val="28"/>
                      <w:highlight w:val="none"/>
                    </w:rPr>
                    <w:t>用户同步</w:t>
                  </w:r>
                </w:p>
              </w:tc>
            </w:tr>
            <w:tr>
              <w:tblPrEx>
                <w:tblCellMar>
                  <w:top w:w="0" w:type="dxa"/>
                  <w:left w:w="108" w:type="dxa"/>
                  <w:bottom w:w="0" w:type="dxa"/>
                  <w:right w:w="108" w:type="dxa"/>
                </w:tblCellMar>
              </w:tblPrEx>
              <w:trPr>
                <w:jc w:val="center"/>
              </w:trPr>
              <w:tc>
                <w:tcPr>
                  <w:tcW w:w="72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r>
                    <w:rPr>
                      <w:rFonts w:hint="eastAsia" w:ascii="宋体" w:hAnsi="宋体" w:cs="宋体"/>
                      <w:color w:val="auto"/>
                      <w:szCs w:val="28"/>
                      <w:highlight w:val="none"/>
                    </w:rPr>
                    <w:t>76</w:t>
                  </w:r>
                </w:p>
              </w:tc>
              <w:tc>
                <w:tcPr>
                  <w:tcW w:w="2672" w:type="dxa"/>
                  <w:vMerge w:val="continue"/>
                  <w:tcBorders>
                    <w:left w:val="single" w:color="auto" w:sz="4" w:space="0"/>
                    <w:right w:val="single" w:color="auto" w:sz="4" w:space="0"/>
                  </w:tcBorders>
                  <w:vAlign w:val="center"/>
                </w:tcPr>
                <w:p>
                  <w:pPr>
                    <w:widowControl/>
                    <w:jc w:val="center"/>
                    <w:rPr>
                      <w:rFonts w:ascii="宋体" w:hAnsi="宋体" w:cs="宋体"/>
                      <w:color w:val="auto"/>
                      <w:szCs w:val="28"/>
                      <w:highlight w:val="none"/>
                    </w:rPr>
                  </w:pPr>
                </w:p>
              </w:tc>
              <w:tc>
                <w:tcPr>
                  <w:tcW w:w="270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szCs w:val="28"/>
                      <w:highlight w:val="none"/>
                    </w:rPr>
                  </w:pPr>
                </w:p>
              </w:tc>
              <w:tc>
                <w:tcPr>
                  <w:tcW w:w="3242"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auto"/>
                      <w:szCs w:val="28"/>
                      <w:highlight w:val="none"/>
                    </w:rPr>
                  </w:pPr>
                  <w:r>
                    <w:rPr>
                      <w:rFonts w:hint="eastAsia" w:ascii="宋体" w:hAnsi="宋体" w:cs="宋体"/>
                      <w:color w:val="auto"/>
                      <w:szCs w:val="28"/>
                      <w:highlight w:val="none"/>
                    </w:rPr>
                    <w:t>单点登录</w:t>
                  </w:r>
                </w:p>
              </w:tc>
            </w:tr>
            <w:tr>
              <w:tblPrEx>
                <w:tblCellMar>
                  <w:top w:w="0" w:type="dxa"/>
                  <w:left w:w="108" w:type="dxa"/>
                  <w:bottom w:w="0" w:type="dxa"/>
                  <w:right w:w="108" w:type="dxa"/>
                </w:tblCellMar>
              </w:tblPrEx>
              <w:trPr>
                <w:jc w:val="center"/>
              </w:trPr>
              <w:tc>
                <w:tcPr>
                  <w:tcW w:w="72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r>
                    <w:rPr>
                      <w:rFonts w:hint="eastAsia" w:ascii="宋体" w:hAnsi="宋体" w:cs="宋体"/>
                      <w:color w:val="auto"/>
                      <w:szCs w:val="28"/>
                      <w:highlight w:val="none"/>
                    </w:rPr>
                    <w:t>77</w:t>
                  </w:r>
                </w:p>
              </w:tc>
              <w:tc>
                <w:tcPr>
                  <w:tcW w:w="2672" w:type="dxa"/>
                  <w:vMerge w:val="continue"/>
                  <w:tcBorders>
                    <w:left w:val="single" w:color="auto" w:sz="4" w:space="0"/>
                    <w:right w:val="single" w:color="auto" w:sz="4" w:space="0"/>
                  </w:tcBorders>
                  <w:vAlign w:val="center"/>
                </w:tcPr>
                <w:p>
                  <w:pPr>
                    <w:widowControl/>
                    <w:jc w:val="center"/>
                    <w:rPr>
                      <w:rFonts w:ascii="宋体" w:hAnsi="宋体" w:cs="宋体"/>
                      <w:color w:val="auto"/>
                      <w:szCs w:val="28"/>
                      <w:highlight w:val="none"/>
                    </w:rPr>
                  </w:pPr>
                </w:p>
              </w:tc>
              <w:tc>
                <w:tcPr>
                  <w:tcW w:w="2705" w:type="dxa"/>
                  <w:vMerge w:val="restart"/>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auto"/>
                      <w:szCs w:val="28"/>
                      <w:highlight w:val="none"/>
                    </w:rPr>
                  </w:pPr>
                  <w:r>
                    <w:rPr>
                      <w:rFonts w:hint="eastAsia" w:ascii="宋体" w:hAnsi="宋体" w:cs="宋体"/>
                      <w:color w:val="auto"/>
                      <w:szCs w:val="28"/>
                      <w:highlight w:val="none"/>
                    </w:rPr>
                    <w:t>与广西近岸海域自动监测预警平台集成</w:t>
                  </w:r>
                </w:p>
              </w:tc>
              <w:tc>
                <w:tcPr>
                  <w:tcW w:w="3242"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auto"/>
                      <w:szCs w:val="28"/>
                      <w:highlight w:val="none"/>
                    </w:rPr>
                  </w:pPr>
                  <w:r>
                    <w:rPr>
                      <w:rFonts w:hint="eastAsia" w:ascii="宋体" w:hAnsi="宋体" w:cs="宋体"/>
                      <w:color w:val="auto"/>
                      <w:szCs w:val="28"/>
                      <w:highlight w:val="none"/>
                    </w:rPr>
                    <w:t>用户同步</w:t>
                  </w:r>
                </w:p>
              </w:tc>
            </w:tr>
            <w:tr>
              <w:tblPrEx>
                <w:tblCellMar>
                  <w:top w:w="0" w:type="dxa"/>
                  <w:left w:w="108" w:type="dxa"/>
                  <w:bottom w:w="0" w:type="dxa"/>
                  <w:right w:w="108" w:type="dxa"/>
                </w:tblCellMar>
              </w:tblPrEx>
              <w:trPr>
                <w:jc w:val="center"/>
              </w:trPr>
              <w:tc>
                <w:tcPr>
                  <w:tcW w:w="72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r>
                    <w:rPr>
                      <w:rFonts w:hint="eastAsia" w:ascii="宋体" w:hAnsi="宋体" w:cs="宋体"/>
                      <w:color w:val="auto"/>
                      <w:szCs w:val="28"/>
                      <w:highlight w:val="none"/>
                    </w:rPr>
                    <w:t>78</w:t>
                  </w:r>
                </w:p>
              </w:tc>
              <w:tc>
                <w:tcPr>
                  <w:tcW w:w="2672" w:type="dxa"/>
                  <w:vMerge w:val="continue"/>
                  <w:tcBorders>
                    <w:left w:val="single" w:color="auto" w:sz="4" w:space="0"/>
                    <w:right w:val="single" w:color="auto" w:sz="4" w:space="0"/>
                  </w:tcBorders>
                  <w:vAlign w:val="center"/>
                </w:tcPr>
                <w:p>
                  <w:pPr>
                    <w:widowControl/>
                    <w:jc w:val="center"/>
                    <w:rPr>
                      <w:rFonts w:ascii="宋体" w:hAnsi="宋体" w:cs="宋体"/>
                      <w:color w:val="auto"/>
                      <w:szCs w:val="28"/>
                      <w:highlight w:val="none"/>
                    </w:rPr>
                  </w:pPr>
                </w:p>
              </w:tc>
              <w:tc>
                <w:tcPr>
                  <w:tcW w:w="270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szCs w:val="28"/>
                      <w:highlight w:val="none"/>
                    </w:rPr>
                  </w:pPr>
                </w:p>
              </w:tc>
              <w:tc>
                <w:tcPr>
                  <w:tcW w:w="3242"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auto"/>
                      <w:szCs w:val="28"/>
                      <w:highlight w:val="none"/>
                    </w:rPr>
                  </w:pPr>
                  <w:r>
                    <w:rPr>
                      <w:rFonts w:hint="eastAsia" w:ascii="宋体" w:hAnsi="宋体" w:cs="宋体"/>
                      <w:color w:val="auto"/>
                      <w:szCs w:val="28"/>
                      <w:highlight w:val="none"/>
                    </w:rPr>
                    <w:t>单点登录</w:t>
                  </w:r>
                </w:p>
              </w:tc>
            </w:tr>
            <w:tr>
              <w:tblPrEx>
                <w:tblCellMar>
                  <w:top w:w="0" w:type="dxa"/>
                  <w:left w:w="108" w:type="dxa"/>
                  <w:bottom w:w="0" w:type="dxa"/>
                  <w:right w:w="108" w:type="dxa"/>
                </w:tblCellMar>
              </w:tblPrEx>
              <w:trPr>
                <w:jc w:val="center"/>
              </w:trPr>
              <w:tc>
                <w:tcPr>
                  <w:tcW w:w="72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r>
                    <w:rPr>
                      <w:rFonts w:hint="eastAsia" w:ascii="宋体" w:hAnsi="宋体" w:cs="宋体"/>
                      <w:color w:val="auto"/>
                      <w:szCs w:val="28"/>
                      <w:highlight w:val="none"/>
                    </w:rPr>
                    <w:t>79</w:t>
                  </w:r>
                </w:p>
              </w:tc>
              <w:tc>
                <w:tcPr>
                  <w:tcW w:w="2672" w:type="dxa"/>
                  <w:vMerge w:val="continue"/>
                  <w:tcBorders>
                    <w:left w:val="single" w:color="auto" w:sz="4" w:space="0"/>
                    <w:right w:val="single" w:color="auto" w:sz="4" w:space="0"/>
                  </w:tcBorders>
                  <w:vAlign w:val="center"/>
                </w:tcPr>
                <w:p>
                  <w:pPr>
                    <w:widowControl/>
                    <w:jc w:val="center"/>
                    <w:rPr>
                      <w:rFonts w:ascii="宋体" w:hAnsi="宋体" w:cs="宋体"/>
                      <w:color w:val="auto"/>
                      <w:szCs w:val="28"/>
                      <w:highlight w:val="none"/>
                    </w:rPr>
                  </w:pPr>
                </w:p>
              </w:tc>
              <w:tc>
                <w:tcPr>
                  <w:tcW w:w="2705"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auto"/>
                      <w:szCs w:val="28"/>
                      <w:highlight w:val="none"/>
                    </w:rPr>
                  </w:pPr>
                  <w:r>
                    <w:rPr>
                      <w:rFonts w:hint="eastAsia" w:ascii="宋体" w:hAnsi="宋体" w:cs="宋体"/>
                      <w:color w:val="auto"/>
                      <w:szCs w:val="28"/>
                      <w:highlight w:val="none"/>
                    </w:rPr>
                    <w:t>与自治区生态环境厅办公系统接口预留</w:t>
                  </w:r>
                </w:p>
              </w:tc>
              <w:tc>
                <w:tcPr>
                  <w:tcW w:w="3242"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auto"/>
                      <w:szCs w:val="28"/>
                      <w:highlight w:val="none"/>
                    </w:rPr>
                  </w:pPr>
                  <w:r>
                    <w:rPr>
                      <w:rFonts w:hint="eastAsia" w:ascii="宋体" w:hAnsi="宋体" w:cs="宋体"/>
                      <w:color w:val="auto"/>
                      <w:szCs w:val="28"/>
                      <w:highlight w:val="none"/>
                    </w:rPr>
                    <w:t>接口预留</w:t>
                  </w:r>
                </w:p>
              </w:tc>
            </w:tr>
            <w:tr>
              <w:tblPrEx>
                <w:tblCellMar>
                  <w:top w:w="0" w:type="dxa"/>
                  <w:left w:w="108" w:type="dxa"/>
                  <w:bottom w:w="0" w:type="dxa"/>
                  <w:right w:w="108" w:type="dxa"/>
                </w:tblCellMar>
              </w:tblPrEx>
              <w:trPr>
                <w:jc w:val="center"/>
              </w:trPr>
              <w:tc>
                <w:tcPr>
                  <w:tcW w:w="72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r>
                    <w:rPr>
                      <w:rFonts w:hint="eastAsia" w:ascii="宋体" w:hAnsi="宋体" w:cs="宋体"/>
                      <w:color w:val="auto"/>
                      <w:szCs w:val="28"/>
                      <w:highlight w:val="none"/>
                    </w:rPr>
                    <w:t>80</w:t>
                  </w:r>
                </w:p>
              </w:tc>
              <w:tc>
                <w:tcPr>
                  <w:tcW w:w="2672" w:type="dxa"/>
                  <w:vMerge w:val="continue"/>
                  <w:tcBorders>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p>
              </w:tc>
              <w:tc>
                <w:tcPr>
                  <w:tcW w:w="2705"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auto"/>
                      <w:szCs w:val="28"/>
                      <w:highlight w:val="none"/>
                    </w:rPr>
                  </w:pPr>
                  <w:r>
                    <w:rPr>
                      <w:rFonts w:hint="eastAsia" w:ascii="宋体" w:hAnsi="宋体" w:cs="宋体"/>
                      <w:color w:val="auto"/>
                      <w:szCs w:val="28"/>
                      <w:highlight w:val="none"/>
                    </w:rPr>
                    <w:t>移动监测APP和综合业务管理平台移动端APP与广西生态环境APP集成</w:t>
                  </w:r>
                </w:p>
              </w:tc>
              <w:tc>
                <w:tcPr>
                  <w:tcW w:w="3242"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auto"/>
                      <w:szCs w:val="28"/>
                      <w:highlight w:val="none"/>
                    </w:rPr>
                  </w:pPr>
                  <w:r>
                    <w:rPr>
                      <w:rFonts w:hint="eastAsia" w:ascii="宋体" w:hAnsi="宋体" w:cs="宋体"/>
                      <w:color w:val="auto"/>
                      <w:szCs w:val="28"/>
                      <w:highlight w:val="none"/>
                    </w:rPr>
                    <w:t>用户同步、单点登录</w:t>
                  </w:r>
                </w:p>
              </w:tc>
            </w:tr>
            <w:tr>
              <w:tblPrEx>
                <w:tblCellMar>
                  <w:top w:w="0" w:type="dxa"/>
                  <w:left w:w="108" w:type="dxa"/>
                  <w:bottom w:w="0" w:type="dxa"/>
                  <w:right w:w="108" w:type="dxa"/>
                </w:tblCellMar>
              </w:tblPrEx>
              <w:trPr>
                <w:jc w:val="center"/>
              </w:trPr>
              <w:tc>
                <w:tcPr>
                  <w:tcW w:w="72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r>
                    <w:rPr>
                      <w:rFonts w:hint="eastAsia" w:ascii="宋体" w:hAnsi="宋体" w:cs="宋体"/>
                      <w:color w:val="auto"/>
                      <w:szCs w:val="28"/>
                      <w:highlight w:val="none"/>
                    </w:rPr>
                    <w:t>81</w:t>
                  </w:r>
                </w:p>
              </w:tc>
              <w:tc>
                <w:tcPr>
                  <w:tcW w:w="267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Cs w:val="28"/>
                      <w:highlight w:val="none"/>
                    </w:rPr>
                  </w:pPr>
                  <w:r>
                    <w:rPr>
                      <w:rFonts w:hint="eastAsia" w:ascii="宋体" w:hAnsi="宋体" w:cs="宋体"/>
                      <w:color w:val="auto"/>
                      <w:szCs w:val="28"/>
                      <w:highlight w:val="none"/>
                    </w:rPr>
                    <w:t>国产化适配</w:t>
                  </w:r>
                </w:p>
              </w:tc>
              <w:tc>
                <w:tcPr>
                  <w:tcW w:w="5947" w:type="dxa"/>
                  <w:gridSpan w:val="2"/>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szCs w:val="28"/>
                      <w:highlight w:val="none"/>
                    </w:rPr>
                  </w:pPr>
                  <w:r>
                    <w:rPr>
                      <w:rFonts w:hint="eastAsia" w:ascii="宋体" w:hAnsi="宋体" w:cs="宋体"/>
                      <w:color w:val="auto"/>
                      <w:szCs w:val="28"/>
                      <w:highlight w:val="none"/>
                    </w:rPr>
                    <w:t>与广西壮族自治区海洋环境监测中心站当前所使用的国产化办公终端PC、浏览器和操作系统等对进行功能适配</w:t>
                  </w:r>
                </w:p>
              </w:tc>
            </w:tr>
          </w:tbl>
          <w:p>
            <w:pPr>
              <w:spacing w:line="320" w:lineRule="exact"/>
              <w:rPr>
                <w:rFonts w:ascii="宋体" w:hAnsi="宋体" w:cs="宋体"/>
                <w:b/>
                <w:bCs/>
                <w:color w:val="auto"/>
                <w:szCs w:val="21"/>
                <w:highlight w:val="none"/>
              </w:rPr>
            </w:pPr>
            <w:r>
              <w:rPr>
                <w:rFonts w:hint="eastAsia" w:ascii="宋体" w:hAnsi="宋体" w:cs="宋体"/>
                <w:b/>
                <w:bCs/>
                <w:color w:val="auto"/>
                <w:szCs w:val="21"/>
                <w:highlight w:val="none"/>
              </w:rPr>
              <w:t>1.实验室管理系统功能升级</w:t>
            </w:r>
          </w:p>
          <w:p>
            <w:pPr>
              <w:spacing w:line="320" w:lineRule="exact"/>
              <w:rPr>
                <w:rFonts w:ascii="宋体" w:hAnsi="宋体" w:cs="宋体"/>
                <w:b/>
                <w:bCs/>
                <w:color w:val="auto"/>
                <w:szCs w:val="21"/>
                <w:highlight w:val="none"/>
              </w:rPr>
            </w:pPr>
            <w:r>
              <w:rPr>
                <w:rFonts w:hint="eastAsia" w:ascii="宋体" w:hAnsi="宋体" w:cs="宋体"/>
                <w:b/>
                <w:bCs/>
                <w:color w:val="auto"/>
                <w:szCs w:val="21"/>
                <w:highlight w:val="none"/>
              </w:rPr>
              <w:t>1.1基础框架升级</w:t>
            </w:r>
          </w:p>
          <w:p>
            <w:pPr>
              <w:spacing w:line="3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对实验室管理系统的基础框架进行升级优化，包括底层框架升级、系统流程优化、系统性能提升。</w:t>
            </w:r>
          </w:p>
          <w:p>
            <w:pPr>
              <w:spacing w:line="320" w:lineRule="exact"/>
              <w:ind w:firstLine="422" w:firstLineChars="200"/>
              <w:rPr>
                <w:rFonts w:ascii="宋体" w:hAnsi="宋体" w:cs="宋体"/>
                <w:color w:val="auto"/>
                <w:szCs w:val="21"/>
                <w:highlight w:val="none"/>
              </w:rPr>
            </w:pPr>
            <w:r>
              <w:rPr>
                <w:rFonts w:hint="eastAsia" w:ascii="宋体" w:hAnsi="宋体" w:cs="宋体"/>
                <w:b/>
                <w:bCs/>
                <w:color w:val="auto"/>
                <w:szCs w:val="21"/>
                <w:highlight w:val="none"/>
              </w:rPr>
              <w:t>1.1.1底层框架升级:</w:t>
            </w:r>
            <w:r>
              <w:rPr>
                <w:rFonts w:hint="eastAsia" w:ascii="宋体" w:hAnsi="宋体" w:cs="宋体"/>
                <w:color w:val="auto"/>
                <w:szCs w:val="21"/>
                <w:highlight w:val="none"/>
              </w:rPr>
              <w:t>以原有框架基础，基于当前信息化发展技术，对框架进行升级改造，使系统更适应最新浏览器版本，提升系统兼容性。</w:t>
            </w:r>
          </w:p>
          <w:p>
            <w:pPr>
              <w:spacing w:line="320" w:lineRule="exact"/>
              <w:ind w:firstLine="422" w:firstLineChars="200"/>
              <w:rPr>
                <w:rFonts w:ascii="宋体" w:hAnsi="宋体" w:cs="宋体"/>
                <w:color w:val="auto"/>
                <w:szCs w:val="21"/>
                <w:highlight w:val="none"/>
              </w:rPr>
            </w:pPr>
            <w:r>
              <w:rPr>
                <w:rFonts w:hint="eastAsia" w:ascii="宋体" w:hAnsi="宋体" w:cs="宋体"/>
                <w:b/>
                <w:bCs/>
                <w:color w:val="auto"/>
                <w:szCs w:val="21"/>
                <w:highlight w:val="none"/>
              </w:rPr>
              <w:t>1.1.2系统流程优化：</w:t>
            </w:r>
            <w:r>
              <w:rPr>
                <w:rFonts w:hint="eastAsia" w:ascii="宋体" w:hAnsi="宋体" w:cs="宋体"/>
                <w:color w:val="auto"/>
                <w:szCs w:val="21"/>
                <w:highlight w:val="none"/>
              </w:rPr>
              <w:t>对系统在用流程进行梳理，保留日常所需的业务流程，作废并删除已经失效的流程，让海洋站工作人员能够更有效的聚焦在日常工作中，防止流程选择出错降低工作效率。</w:t>
            </w:r>
          </w:p>
          <w:p>
            <w:pPr>
              <w:spacing w:line="320" w:lineRule="exact"/>
              <w:ind w:firstLine="422" w:firstLineChars="200"/>
              <w:rPr>
                <w:rFonts w:ascii="宋体" w:hAnsi="宋体" w:cs="宋体"/>
                <w:color w:val="auto"/>
                <w:szCs w:val="21"/>
                <w:highlight w:val="none"/>
              </w:rPr>
            </w:pPr>
            <w:r>
              <w:rPr>
                <w:rFonts w:hint="eastAsia" w:ascii="宋体" w:hAnsi="宋体" w:cs="宋体"/>
                <w:b/>
                <w:bCs/>
                <w:color w:val="auto"/>
                <w:szCs w:val="21"/>
                <w:highlight w:val="none"/>
              </w:rPr>
              <w:t>1.1.3系统性能提升：</w:t>
            </w:r>
            <w:r>
              <w:rPr>
                <w:rFonts w:hint="eastAsia" w:ascii="宋体" w:hAnsi="宋体" w:cs="宋体"/>
                <w:color w:val="auto"/>
                <w:szCs w:val="21"/>
                <w:highlight w:val="none"/>
              </w:rPr>
              <w:t>对系统在用流程进行梳理，保留日常所需的业务流程，作废并删除已经失效的流程，让海洋站工作人员能够更有效的聚焦在日常工作中，防止流程选择出错降低工作效率。</w:t>
            </w:r>
          </w:p>
          <w:p>
            <w:pPr>
              <w:spacing w:line="320" w:lineRule="exact"/>
              <w:rPr>
                <w:rFonts w:ascii="宋体" w:hAnsi="宋体" w:cs="宋体"/>
                <w:b/>
                <w:bCs/>
                <w:color w:val="auto"/>
                <w:szCs w:val="21"/>
                <w:highlight w:val="none"/>
              </w:rPr>
            </w:pPr>
            <w:r>
              <w:rPr>
                <w:rFonts w:hint="eastAsia" w:ascii="宋体" w:hAnsi="宋体" w:cs="宋体"/>
                <w:b/>
                <w:bCs/>
                <w:color w:val="auto"/>
                <w:szCs w:val="21"/>
                <w:highlight w:val="none"/>
              </w:rPr>
              <w:t>1.2采样模块</w:t>
            </w:r>
          </w:p>
          <w:p>
            <w:pPr>
              <w:spacing w:line="3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采样模块升级，结合最新的采样需求对功能进行调整，解决现有功能使用繁琐，增加个性化需求。</w:t>
            </w:r>
          </w:p>
          <w:p>
            <w:pPr>
              <w:spacing w:line="320" w:lineRule="exact"/>
              <w:ind w:firstLine="422" w:firstLineChars="200"/>
              <w:rPr>
                <w:rFonts w:ascii="宋体" w:hAnsi="宋体" w:cs="宋体"/>
                <w:color w:val="auto"/>
                <w:szCs w:val="21"/>
                <w:highlight w:val="none"/>
              </w:rPr>
            </w:pPr>
            <w:r>
              <w:rPr>
                <w:rFonts w:hint="eastAsia" w:ascii="宋体" w:hAnsi="宋体" w:cs="宋体"/>
                <w:b/>
                <w:bCs/>
                <w:color w:val="auto"/>
                <w:szCs w:val="21"/>
                <w:highlight w:val="none"/>
              </w:rPr>
              <w:t>1.2.1样品合并</w:t>
            </w:r>
          </w:p>
          <w:p>
            <w:pPr>
              <w:spacing w:line="3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对采样模块进行升级，多个任务只需要采一个样品，将样品与不同分析任务进行关联，分析室人员根据要求对样品进行分析完成之后，能够将分析结果分别反馈至不同任务中并且仅能够查看任务要求的分析项目。提供任务共享、采样填报、样品分析、数据统计功能。</w:t>
            </w:r>
          </w:p>
          <w:p>
            <w:pPr>
              <w:spacing w:line="3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（1）任务共享：能够实现当有多个任务均需要采集同一个样品时，采样人员仅需要采集一个样品，其他包含该样品的任务可以共享获取该样品信息。</w:t>
            </w:r>
          </w:p>
          <w:p>
            <w:pPr>
              <w:spacing w:line="3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（2）采样填报：能够实现填写一份采样记录，多个关联的任务均可获取该样品的采样记录，避免采样人员重复填写数据，减少出错概率，提高工作效率。</w:t>
            </w:r>
          </w:p>
          <w:p>
            <w:pPr>
              <w:spacing w:line="3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3）样品分析：分析人员根据分析要对该样品的进行分析，仅需要填写一份分析结果，不同任务均能够获取任务要求的样品分析结果，避免分析人员重复在不同任务中重复填写数据，减少出错概率，提高工作效率。</w:t>
            </w:r>
          </w:p>
          <w:p>
            <w:pPr>
              <w:spacing w:line="3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（4）数据统计：不同任务统计维度，均可对共享样品的采集数据、分析数据进行统计，避免统计结果发生错误。</w:t>
            </w:r>
          </w:p>
          <w:p>
            <w:pPr>
              <w:spacing w:line="320" w:lineRule="exact"/>
              <w:ind w:firstLine="422" w:firstLineChars="200"/>
              <w:rPr>
                <w:rFonts w:ascii="宋体" w:hAnsi="宋体" w:cs="宋体"/>
                <w:b/>
                <w:bCs/>
                <w:color w:val="auto"/>
                <w:szCs w:val="21"/>
                <w:highlight w:val="none"/>
              </w:rPr>
            </w:pPr>
            <w:r>
              <w:rPr>
                <w:rFonts w:hint="eastAsia" w:ascii="宋体" w:hAnsi="宋体" w:cs="宋体"/>
                <w:b/>
                <w:bCs/>
                <w:color w:val="auto"/>
                <w:szCs w:val="21"/>
                <w:highlight w:val="none"/>
              </w:rPr>
              <w:t>1.2.2样品批量管理导入</w:t>
            </w:r>
          </w:p>
          <w:p>
            <w:pPr>
              <w:spacing w:line="320" w:lineRule="exact"/>
              <w:ind w:firstLine="420" w:firstLineChars="200"/>
              <w:rPr>
                <w:rFonts w:ascii="宋体" w:hAnsi="宋体" w:cs="宋体"/>
                <w:color w:val="auto"/>
                <w:szCs w:val="28"/>
                <w:highlight w:val="none"/>
              </w:rPr>
            </w:pPr>
            <w:r>
              <w:rPr>
                <w:rFonts w:hint="eastAsia" w:ascii="宋体" w:hAnsi="宋体" w:cs="宋体"/>
                <w:color w:val="auto"/>
                <w:szCs w:val="21"/>
                <w:highlight w:val="none"/>
              </w:rPr>
              <w:t>（1）样品导入：支持样品批量导入功能，根据实际需求开发特定样品导入模板，</w:t>
            </w:r>
            <w:r>
              <w:rPr>
                <w:rFonts w:hint="eastAsia" w:ascii="宋体" w:hAnsi="宋体" w:cs="宋体"/>
                <w:color w:val="auto"/>
                <w:szCs w:val="28"/>
                <w:highlight w:val="none"/>
              </w:rPr>
              <w:t>系统能够将该样品信息批量导入系统，能够根据海洋站样品编号规则自动生成唯一编号。</w:t>
            </w:r>
          </w:p>
          <w:p>
            <w:pPr>
              <w:spacing w:line="3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（2）编号关联匹配：系统支持新旧样品编号的自动关联识别，在系统中能够查看样品的原有编号。</w:t>
            </w:r>
          </w:p>
          <w:p>
            <w:pPr>
              <w:spacing w:line="3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（3）结果统计：在分析完成之后，支持分析结果的统计导出，导出的样品能够与国家下发样品编号一一对应。</w:t>
            </w:r>
          </w:p>
          <w:p>
            <w:pPr>
              <w:spacing w:line="3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（4）增加采样单检索功能和批量提交功能。</w:t>
            </w:r>
          </w:p>
          <w:p>
            <w:pPr>
              <w:spacing w:line="320" w:lineRule="exact"/>
              <w:ind w:firstLine="422" w:firstLineChars="200"/>
              <w:rPr>
                <w:rFonts w:ascii="宋体" w:hAnsi="宋体" w:cs="宋体"/>
                <w:b/>
                <w:bCs/>
                <w:color w:val="auto"/>
                <w:szCs w:val="21"/>
                <w:highlight w:val="none"/>
              </w:rPr>
            </w:pPr>
            <w:r>
              <w:rPr>
                <w:rFonts w:hint="eastAsia" w:ascii="宋体" w:hAnsi="宋体" w:cs="宋体"/>
                <w:b/>
                <w:bCs/>
                <w:color w:val="auto"/>
                <w:szCs w:val="21"/>
                <w:highlight w:val="none"/>
              </w:rPr>
              <w:t>1.2.3样品交接</w:t>
            </w:r>
          </w:p>
          <w:p>
            <w:pPr>
              <w:spacing w:line="3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对交接样品清点进行功能优化，在样品交接工作台，对于扫描完成交接的样品，结合本批次交接样品，按照样品所属所采采样批次统计缺漏交接的样品，形成缺漏交接样品清单。</w:t>
            </w:r>
          </w:p>
          <w:p>
            <w:pPr>
              <w:spacing w:line="320" w:lineRule="exact"/>
              <w:ind w:firstLine="422" w:firstLineChars="200"/>
              <w:rPr>
                <w:rFonts w:ascii="宋体" w:hAnsi="宋体" w:cs="宋体"/>
                <w:color w:val="auto"/>
                <w:szCs w:val="21"/>
                <w:highlight w:val="none"/>
              </w:rPr>
            </w:pPr>
            <w:r>
              <w:rPr>
                <w:rFonts w:hint="eastAsia" w:ascii="宋体" w:hAnsi="宋体" w:cs="宋体"/>
                <w:b/>
                <w:bCs/>
                <w:color w:val="auto"/>
                <w:szCs w:val="21"/>
                <w:highlight w:val="none"/>
              </w:rPr>
              <w:t>1.2.4批量取样</w:t>
            </w:r>
          </w:p>
          <w:p>
            <w:pPr>
              <w:spacing w:line="3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新增批量取样功能，分析人员能够通过分析项目，实现统一个分析项目下的样品批量取样，也能够通过多选方式进行批量取样。</w:t>
            </w:r>
          </w:p>
          <w:p>
            <w:pPr>
              <w:spacing w:line="320" w:lineRule="exact"/>
              <w:ind w:firstLine="422" w:firstLineChars="200"/>
              <w:rPr>
                <w:rFonts w:ascii="宋体" w:hAnsi="宋体" w:cs="宋体"/>
                <w:b/>
                <w:bCs/>
                <w:color w:val="auto"/>
                <w:szCs w:val="21"/>
                <w:highlight w:val="none"/>
              </w:rPr>
            </w:pPr>
            <w:r>
              <w:rPr>
                <w:rFonts w:hint="eastAsia" w:ascii="宋体" w:hAnsi="宋体" w:cs="宋体"/>
                <w:b/>
                <w:bCs/>
                <w:color w:val="auto"/>
                <w:szCs w:val="21"/>
                <w:highlight w:val="none"/>
              </w:rPr>
              <w:t>1.2.5样品查询统计</w:t>
            </w:r>
          </w:p>
          <w:p>
            <w:pPr>
              <w:spacing w:line="3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提供样品查询功能，能够根据样品编号查看样品信息，可查看该样品所处状态、分配的分析人员、样品采样人员、采样时间等。</w:t>
            </w:r>
          </w:p>
          <w:p>
            <w:pPr>
              <w:spacing w:line="320" w:lineRule="exact"/>
              <w:ind w:firstLine="422" w:firstLineChars="200"/>
              <w:rPr>
                <w:rFonts w:ascii="宋体" w:hAnsi="宋体" w:cs="宋体"/>
                <w:b/>
                <w:bCs/>
                <w:color w:val="auto"/>
                <w:szCs w:val="21"/>
                <w:highlight w:val="none"/>
              </w:rPr>
            </w:pPr>
            <w:r>
              <w:rPr>
                <w:rFonts w:hint="eastAsia" w:ascii="宋体" w:hAnsi="宋体" w:cs="宋体"/>
                <w:b/>
                <w:bCs/>
                <w:color w:val="auto"/>
                <w:szCs w:val="21"/>
                <w:highlight w:val="none"/>
              </w:rPr>
              <w:t>1.2.6无效样品清理</w:t>
            </w:r>
          </w:p>
          <w:p>
            <w:pPr>
              <w:spacing w:line="3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根据样品的失效时间判定，判断样品是否有效，系统提供无效样品清理功能，将失效的样品进行删除，不列入样品分析内。</w:t>
            </w:r>
          </w:p>
          <w:p>
            <w:pPr>
              <w:spacing w:line="320" w:lineRule="exact"/>
              <w:rPr>
                <w:rFonts w:ascii="宋体" w:hAnsi="宋体" w:cs="宋体"/>
                <w:b/>
                <w:bCs/>
                <w:color w:val="auto"/>
                <w:szCs w:val="21"/>
                <w:highlight w:val="none"/>
              </w:rPr>
            </w:pPr>
            <w:r>
              <w:rPr>
                <w:rFonts w:hint="eastAsia" w:ascii="宋体" w:hAnsi="宋体" w:cs="宋体"/>
                <w:b/>
                <w:bCs/>
                <w:color w:val="auto"/>
                <w:szCs w:val="21"/>
                <w:highlight w:val="none"/>
              </w:rPr>
              <w:t>1.3分析模块</w:t>
            </w:r>
          </w:p>
          <w:p>
            <w:pPr>
              <w:spacing w:line="3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分析模块升级，解决现有平台使用不便利、业务需求变化等问题。</w:t>
            </w:r>
          </w:p>
          <w:p>
            <w:pPr>
              <w:spacing w:line="320" w:lineRule="exact"/>
              <w:ind w:firstLine="422" w:firstLineChars="200"/>
              <w:rPr>
                <w:rFonts w:ascii="宋体" w:hAnsi="宋体" w:cs="宋体"/>
                <w:b/>
                <w:bCs/>
                <w:color w:val="auto"/>
                <w:szCs w:val="21"/>
                <w:highlight w:val="none"/>
              </w:rPr>
            </w:pPr>
            <w:r>
              <w:rPr>
                <w:rFonts w:hint="eastAsia" w:ascii="宋体" w:hAnsi="宋体" w:cs="宋体"/>
                <w:b/>
                <w:bCs/>
                <w:color w:val="auto"/>
                <w:szCs w:val="21"/>
                <w:highlight w:val="none"/>
              </w:rPr>
              <w:t>1.3.1标准物资关联</w:t>
            </w:r>
          </w:p>
          <w:p>
            <w:pPr>
              <w:spacing w:line="3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在分析过程中，在需要使用自参样时，系统能够自动获取标准物资中自参样的物资信息以及标准浓度。</w:t>
            </w:r>
          </w:p>
          <w:p>
            <w:pPr>
              <w:spacing w:line="3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选择标准物资后，能够填写标准物资使用数量，并同步在系统标准物资库自动扣减物资数量。</w:t>
            </w:r>
          </w:p>
          <w:p>
            <w:pPr>
              <w:spacing w:line="3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若选择的标准物资数量不足、不在有效期内，系统能够自动发出提醒。</w:t>
            </w:r>
          </w:p>
          <w:p>
            <w:pPr>
              <w:spacing w:line="320" w:lineRule="exact"/>
              <w:ind w:firstLine="422" w:firstLineChars="200"/>
              <w:rPr>
                <w:rFonts w:ascii="宋体" w:hAnsi="宋体" w:cs="宋体"/>
                <w:b/>
                <w:bCs/>
                <w:color w:val="auto"/>
                <w:szCs w:val="21"/>
                <w:highlight w:val="none"/>
              </w:rPr>
            </w:pPr>
            <w:r>
              <w:rPr>
                <w:rFonts w:hint="eastAsia" w:ascii="宋体" w:hAnsi="宋体" w:cs="宋体"/>
                <w:b/>
                <w:bCs/>
                <w:color w:val="auto"/>
                <w:szCs w:val="21"/>
                <w:highlight w:val="none"/>
              </w:rPr>
              <w:t>1.3.2生物分析管理</w:t>
            </w:r>
          </w:p>
          <w:p>
            <w:pPr>
              <w:spacing w:line="3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需要单独新增生物分析管理模块以适应生物分析工作模式。提供分析结果导入、数据校验、分析单自动生成、生物名录初始化、统计分析功能。</w:t>
            </w:r>
          </w:p>
          <w:p>
            <w:pPr>
              <w:spacing w:line="3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（1）</w:t>
            </w:r>
            <w:r>
              <w:rPr>
                <w:rFonts w:hint="eastAsia" w:ascii="宋体" w:hAnsi="宋体" w:cs="宋体"/>
                <w:color w:val="auto"/>
                <w:szCs w:val="28"/>
                <w:highlight w:val="none"/>
              </w:rPr>
              <w:t>分析结果导入：系统提供统一模板，生物分析人员将各点位观察结果导入系统，包括生物名称、所属科目、生物个数等。</w:t>
            </w:r>
          </w:p>
          <w:p>
            <w:pPr>
              <w:spacing w:line="3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（2）</w:t>
            </w:r>
            <w:r>
              <w:rPr>
                <w:rFonts w:hint="eastAsia" w:ascii="宋体" w:hAnsi="宋体" w:cs="宋体"/>
                <w:color w:val="auto"/>
                <w:szCs w:val="28"/>
                <w:highlight w:val="none"/>
              </w:rPr>
              <w:t>数据校验：提供数据导入初步校验功能，包括数据格式校验、数据逻辑性校验、生物名称异常校验等。</w:t>
            </w:r>
          </w:p>
          <w:p>
            <w:pPr>
              <w:spacing w:line="3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（3）</w:t>
            </w:r>
            <w:r>
              <w:rPr>
                <w:rFonts w:hint="eastAsia" w:ascii="宋体" w:hAnsi="宋体" w:cs="宋体"/>
                <w:color w:val="auto"/>
                <w:szCs w:val="28"/>
                <w:highlight w:val="none"/>
              </w:rPr>
              <w:t>分析单自动生成：根据分析人员导入的各点位观察结果，自动生成生物分析单。</w:t>
            </w:r>
          </w:p>
          <w:p>
            <w:pPr>
              <w:spacing w:line="3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（4）</w:t>
            </w:r>
            <w:r>
              <w:rPr>
                <w:rFonts w:hint="eastAsia" w:ascii="宋体" w:hAnsi="宋体" w:cs="宋体"/>
                <w:color w:val="auto"/>
                <w:szCs w:val="28"/>
                <w:highlight w:val="none"/>
              </w:rPr>
              <w:t>生物名录初始化：根据用户提供的生物名录，将类别以界-门-纲-目-科-属-种进行分类梳理，并导入系统，为生物名称校验、不同维度的统计分析提供支持。</w:t>
            </w:r>
          </w:p>
          <w:p>
            <w:pPr>
              <w:spacing w:line="3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（5）</w:t>
            </w:r>
            <w:r>
              <w:rPr>
                <w:rFonts w:hint="eastAsia" w:ascii="宋体" w:hAnsi="宋体" w:cs="宋体"/>
                <w:color w:val="auto"/>
                <w:szCs w:val="28"/>
                <w:highlight w:val="none"/>
              </w:rPr>
              <w:t>统计分析：能够根据生物名录对分析结果进行多维统计分析。</w:t>
            </w:r>
          </w:p>
          <w:p>
            <w:pPr>
              <w:spacing w:line="320" w:lineRule="exact"/>
              <w:ind w:firstLine="422" w:firstLineChars="200"/>
              <w:rPr>
                <w:rFonts w:ascii="宋体" w:hAnsi="宋体" w:cs="宋体"/>
                <w:b/>
                <w:bCs/>
                <w:color w:val="auto"/>
                <w:szCs w:val="21"/>
                <w:highlight w:val="none"/>
              </w:rPr>
            </w:pPr>
            <w:r>
              <w:rPr>
                <w:rFonts w:hint="eastAsia" w:ascii="宋体" w:hAnsi="宋体" w:cs="宋体"/>
                <w:b/>
                <w:bCs/>
                <w:color w:val="auto"/>
                <w:szCs w:val="21"/>
                <w:highlight w:val="none"/>
              </w:rPr>
              <w:t>1.3.3分析工作台</w:t>
            </w:r>
          </w:p>
          <w:p>
            <w:pPr>
              <w:spacing w:line="3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根据当前实际工作要求，对分析工作台进行升级改造或功能优化。升级改造包括分析单填报、质控样添加、质控样自动判定、批量删除、功能优化。</w:t>
            </w:r>
          </w:p>
          <w:p>
            <w:pPr>
              <w:spacing w:line="320" w:lineRule="exact"/>
              <w:rPr>
                <w:rFonts w:ascii="宋体" w:hAnsi="宋体" w:cs="宋体"/>
                <w:b/>
                <w:bCs/>
                <w:color w:val="auto"/>
                <w:szCs w:val="21"/>
                <w:highlight w:val="none"/>
              </w:rPr>
            </w:pPr>
            <w:r>
              <w:rPr>
                <w:rFonts w:hint="eastAsia" w:ascii="宋体" w:hAnsi="宋体" w:cs="宋体"/>
                <w:b/>
                <w:bCs/>
                <w:color w:val="auto"/>
                <w:szCs w:val="21"/>
                <w:highlight w:val="none"/>
              </w:rPr>
              <w:t xml:space="preserve">    </w:t>
            </w:r>
            <w:r>
              <w:rPr>
                <w:rFonts w:hint="eastAsia" w:ascii="宋体" w:hAnsi="宋体" w:cs="宋体"/>
                <w:color w:val="auto"/>
                <w:szCs w:val="21"/>
                <w:highlight w:val="none"/>
              </w:rPr>
              <w:t>（1）分析单填报：</w:t>
            </w:r>
            <w:r>
              <w:rPr>
                <w:rFonts w:hint="eastAsia" w:ascii="宋体" w:hAnsi="宋体" w:cs="宋体"/>
                <w:color w:val="auto"/>
                <w:szCs w:val="28"/>
                <w:highlight w:val="none"/>
              </w:rPr>
              <w:t>对分析单表单进行升级改造，剔除不需要的字段，根据海洋站最新分析表格式，调整系统填报表单，以匹配实际工作需求。</w:t>
            </w:r>
          </w:p>
          <w:p>
            <w:pPr>
              <w:spacing w:line="320" w:lineRule="exact"/>
              <w:rPr>
                <w:rFonts w:ascii="宋体" w:hAnsi="宋体" w:cs="宋体"/>
                <w:color w:val="auto"/>
                <w:szCs w:val="21"/>
                <w:highlight w:val="none"/>
              </w:rPr>
            </w:pPr>
            <w:r>
              <w:rPr>
                <w:rFonts w:hint="eastAsia" w:ascii="宋体" w:hAnsi="宋体" w:cs="宋体"/>
                <w:b/>
                <w:bCs/>
                <w:color w:val="auto"/>
                <w:szCs w:val="21"/>
                <w:highlight w:val="none"/>
              </w:rPr>
              <w:t xml:space="preserve">   </w:t>
            </w:r>
            <w:r>
              <w:rPr>
                <w:rFonts w:hint="eastAsia" w:ascii="宋体" w:hAnsi="宋体" w:cs="宋体"/>
                <w:color w:val="auto"/>
                <w:szCs w:val="21"/>
                <w:highlight w:val="none"/>
              </w:rPr>
              <w:t xml:space="preserve"> （2）质控样添加：</w:t>
            </w:r>
            <w:r>
              <w:rPr>
                <w:rFonts w:hint="eastAsia" w:ascii="宋体" w:hAnsi="宋体" w:cs="宋体"/>
                <w:color w:val="auto"/>
                <w:szCs w:val="28"/>
                <w:highlight w:val="none"/>
              </w:rPr>
              <w:t>在分析的过程中分析人员可自行添加质控样，质控样设置增加曲线中间点，并判断其测定值是否合格。</w:t>
            </w:r>
          </w:p>
          <w:p>
            <w:pPr>
              <w:spacing w:line="3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（3）质控样自动判定：</w:t>
            </w:r>
            <w:r>
              <w:rPr>
                <w:rFonts w:hint="eastAsia" w:ascii="宋体" w:hAnsi="宋体" w:cs="宋体"/>
                <w:color w:val="auto"/>
                <w:szCs w:val="28"/>
                <w:highlight w:val="none"/>
              </w:rPr>
              <w:t>系统能够将分析结果和质控样浓度进行自动比对，判定分析结果是否合格。</w:t>
            </w:r>
          </w:p>
          <w:p>
            <w:pPr>
              <w:spacing w:line="3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（4）批量删除：</w:t>
            </w:r>
            <w:r>
              <w:rPr>
                <w:rFonts w:hint="eastAsia" w:ascii="宋体" w:hAnsi="宋体" w:cs="宋体"/>
                <w:color w:val="auto"/>
                <w:szCs w:val="28"/>
                <w:highlight w:val="none"/>
              </w:rPr>
              <w:t>新增批量删除功能，分析人员能够实现错误样品录入的情况下批量删除。</w:t>
            </w:r>
          </w:p>
          <w:p>
            <w:pPr>
              <w:spacing w:line="3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（5）功能优化：</w:t>
            </w:r>
          </w:p>
          <w:p>
            <w:pPr>
              <w:spacing w:line="3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① 系统能够在使用多元素分析单创建质控样（平行或加标）时弹出窗口时，能够自动调节弹出窗口的大小，弹出窗口内显示的样品增加可以按编号进行有序排列。</w:t>
            </w:r>
          </w:p>
          <w:p>
            <w:pPr>
              <w:spacing w:line="3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② 分析工作台增加标样范围记忆功能，当用户在输入编号时可以自动跳出范围数值供用户选择进行录入。</w:t>
            </w:r>
          </w:p>
          <w:p>
            <w:pPr>
              <w:spacing w:line="3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 xml:space="preserve">③ </w:t>
            </w:r>
            <w:r>
              <w:rPr>
                <w:rFonts w:hint="eastAsia" w:ascii="宋体" w:hAnsi="宋体" w:cs="宋体"/>
                <w:color w:val="auto"/>
                <w:szCs w:val="28"/>
                <w:highlight w:val="none"/>
              </w:rPr>
              <w:t>在分析项目栏样品增加按编号规律排序功能，便于查找样品创建报告单。</w:t>
            </w:r>
          </w:p>
          <w:p>
            <w:pPr>
              <w:spacing w:line="3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 xml:space="preserve">④ </w:t>
            </w:r>
            <w:r>
              <w:rPr>
                <w:rFonts w:hint="eastAsia" w:ascii="宋体" w:hAnsi="宋体" w:cs="宋体"/>
                <w:color w:val="auto"/>
                <w:szCs w:val="28"/>
                <w:highlight w:val="none"/>
              </w:rPr>
              <w:t>对“标准溶液选择”功能进行优化，针对标液用于多个任务单分析，根据标液使用记录进行填写，并在生成报告时与实际标液使用记录保持一致。</w:t>
            </w:r>
          </w:p>
          <w:p>
            <w:pPr>
              <w:spacing w:line="3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 xml:space="preserve">⑤ </w:t>
            </w:r>
            <w:r>
              <w:rPr>
                <w:rFonts w:hint="eastAsia" w:ascii="宋体" w:hAnsi="宋体" w:cs="宋体"/>
                <w:color w:val="auto"/>
                <w:szCs w:val="28"/>
                <w:highlight w:val="none"/>
              </w:rPr>
              <w:t>创建分析报告单时，增大界面宽度，使选择方法（对应报告表格）界面信息显示完全。</w:t>
            </w:r>
          </w:p>
          <w:p>
            <w:pPr>
              <w:spacing w:line="3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 xml:space="preserve">⑥ </w:t>
            </w:r>
            <w:r>
              <w:rPr>
                <w:rFonts w:hint="eastAsia" w:ascii="宋体" w:hAnsi="宋体" w:cs="宋体"/>
                <w:color w:val="auto"/>
                <w:szCs w:val="28"/>
                <w:highlight w:val="none"/>
              </w:rPr>
              <w:t>设置添加空白、平行、加标、自参样品时可一次选择多个然后一键生成。</w:t>
            </w:r>
          </w:p>
          <w:p>
            <w:pPr>
              <w:spacing w:line="320" w:lineRule="exact"/>
              <w:ind w:firstLine="420" w:firstLineChars="200"/>
              <w:rPr>
                <w:rFonts w:ascii="宋体" w:hAnsi="宋体" w:cs="宋体"/>
                <w:b/>
                <w:bCs/>
                <w:color w:val="auto"/>
                <w:szCs w:val="21"/>
                <w:highlight w:val="none"/>
              </w:rPr>
            </w:pPr>
            <w:r>
              <w:rPr>
                <w:rFonts w:hint="eastAsia" w:ascii="宋体" w:hAnsi="宋体" w:cs="宋体"/>
                <w:color w:val="auto"/>
                <w:szCs w:val="21"/>
                <w:highlight w:val="none"/>
              </w:rPr>
              <w:t xml:space="preserve">⑦ </w:t>
            </w:r>
            <w:r>
              <w:rPr>
                <w:rFonts w:hint="eastAsia" w:ascii="宋体" w:hAnsi="宋体" w:cs="宋体"/>
                <w:color w:val="auto"/>
                <w:szCs w:val="28"/>
                <w:highlight w:val="none"/>
              </w:rPr>
              <w:t>解决样品量大时原始记录表保存不了的问题。</w:t>
            </w:r>
          </w:p>
          <w:p>
            <w:pPr>
              <w:spacing w:line="320" w:lineRule="exact"/>
              <w:rPr>
                <w:rFonts w:ascii="宋体" w:hAnsi="宋体" w:cs="宋体"/>
                <w:b/>
                <w:bCs/>
                <w:color w:val="auto"/>
                <w:szCs w:val="21"/>
                <w:highlight w:val="none"/>
              </w:rPr>
            </w:pPr>
            <w:r>
              <w:rPr>
                <w:rFonts w:hint="eastAsia" w:ascii="宋体" w:hAnsi="宋体" w:cs="宋体"/>
                <w:b/>
                <w:bCs/>
                <w:color w:val="auto"/>
                <w:szCs w:val="21"/>
                <w:highlight w:val="none"/>
              </w:rPr>
              <w:t>1.4质控管理</w:t>
            </w:r>
          </w:p>
          <w:p>
            <w:pPr>
              <w:spacing w:line="3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实验室质控管理贯穿整个监测业务流程，对质控管理进行升级改造，为质控管理提供支持。升级改造包括质控样添加、审核结果打印、质量监督及评审、电子签名、资质能力管理、功能优化。</w:t>
            </w:r>
          </w:p>
          <w:p>
            <w:pPr>
              <w:spacing w:line="320" w:lineRule="exact"/>
              <w:rPr>
                <w:rFonts w:ascii="宋体" w:hAnsi="宋体" w:cs="宋体"/>
                <w:b/>
                <w:bCs/>
                <w:color w:val="auto"/>
                <w:szCs w:val="21"/>
                <w:highlight w:val="none"/>
              </w:rPr>
            </w:pPr>
            <w:r>
              <w:rPr>
                <w:rFonts w:hint="eastAsia" w:ascii="宋体" w:hAnsi="宋体" w:cs="宋体"/>
                <w:b/>
                <w:bCs/>
                <w:color w:val="auto"/>
                <w:szCs w:val="21"/>
                <w:highlight w:val="none"/>
              </w:rPr>
              <w:t xml:space="preserve">    1.4.1 </w:t>
            </w:r>
            <w:r>
              <w:rPr>
                <w:rFonts w:hint="eastAsia" w:ascii="宋体" w:hAnsi="宋体" w:cs="宋体"/>
                <w:b/>
                <w:bCs/>
                <w:color w:val="auto"/>
                <w:highlight w:val="none"/>
              </w:rPr>
              <w:t>质控样添加：</w:t>
            </w:r>
            <w:r>
              <w:rPr>
                <w:rFonts w:hint="eastAsia" w:ascii="宋体" w:hAnsi="宋体" w:cs="宋体"/>
                <w:color w:val="auto"/>
                <w:szCs w:val="28"/>
                <w:highlight w:val="none"/>
              </w:rPr>
              <w:t>在分析的过程中质控人员可通过系统增加密码平行样品，且能够实现对样品的密码加标，提升实验分析过程中的质量控制。</w:t>
            </w:r>
          </w:p>
          <w:p>
            <w:pPr>
              <w:spacing w:line="320" w:lineRule="exact"/>
              <w:rPr>
                <w:rFonts w:ascii="宋体" w:hAnsi="宋体" w:cs="宋体"/>
                <w:b/>
                <w:bCs/>
                <w:color w:val="auto"/>
                <w:szCs w:val="21"/>
                <w:highlight w:val="none"/>
              </w:rPr>
            </w:pPr>
            <w:r>
              <w:rPr>
                <w:rFonts w:hint="eastAsia" w:ascii="宋体" w:hAnsi="宋体" w:cs="宋体"/>
                <w:b/>
                <w:bCs/>
                <w:color w:val="auto"/>
                <w:szCs w:val="21"/>
                <w:highlight w:val="none"/>
              </w:rPr>
              <w:t xml:space="preserve">    1.4.2 </w:t>
            </w:r>
            <w:r>
              <w:rPr>
                <w:rFonts w:hint="eastAsia" w:ascii="宋体" w:hAnsi="宋体" w:cs="宋体"/>
                <w:b/>
                <w:bCs/>
                <w:color w:val="auto"/>
                <w:highlight w:val="none"/>
              </w:rPr>
              <w:t>审核结果打印：</w:t>
            </w:r>
            <w:r>
              <w:rPr>
                <w:rFonts w:hint="eastAsia" w:ascii="宋体" w:hAnsi="宋体" w:cs="宋体"/>
                <w:color w:val="auto"/>
                <w:szCs w:val="28"/>
                <w:highlight w:val="none"/>
              </w:rPr>
              <w:t>新增打印功能，将原始记录审核结果进行打印，为后续文件留档、质检人员检查提供支持，本功能需覆盖目前系统所有原始记录单。</w:t>
            </w:r>
          </w:p>
          <w:p>
            <w:pPr>
              <w:spacing w:line="320" w:lineRule="exact"/>
              <w:ind w:firstLine="422" w:firstLineChars="200"/>
              <w:rPr>
                <w:rFonts w:ascii="宋体" w:hAnsi="宋体" w:cs="宋体"/>
                <w:b/>
                <w:bCs/>
                <w:color w:val="auto"/>
                <w:szCs w:val="21"/>
                <w:highlight w:val="none"/>
              </w:rPr>
            </w:pPr>
            <w:r>
              <w:rPr>
                <w:rFonts w:hint="eastAsia" w:ascii="宋体" w:hAnsi="宋体" w:cs="宋体"/>
                <w:b/>
                <w:bCs/>
                <w:color w:val="auto"/>
                <w:szCs w:val="21"/>
                <w:highlight w:val="none"/>
              </w:rPr>
              <w:t xml:space="preserve">1.4.3 </w:t>
            </w:r>
            <w:r>
              <w:rPr>
                <w:rFonts w:hint="eastAsia" w:ascii="宋体" w:hAnsi="宋体" w:cs="宋体"/>
                <w:b/>
                <w:bCs/>
                <w:color w:val="auto"/>
                <w:highlight w:val="none"/>
              </w:rPr>
              <w:t>质量监督及评审：</w:t>
            </w:r>
            <w:r>
              <w:rPr>
                <w:rFonts w:hint="eastAsia" w:ascii="宋体" w:hAnsi="宋体" w:cs="宋体"/>
                <w:color w:val="auto"/>
                <w:szCs w:val="28"/>
                <w:highlight w:val="none"/>
              </w:rPr>
              <w:t>将质量监督管理、内部审核管理、管理评审管理、不符合项管理工作等纳入系统。</w:t>
            </w:r>
          </w:p>
          <w:p>
            <w:pPr>
              <w:spacing w:line="3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（1）</w:t>
            </w:r>
            <w:r>
              <w:rPr>
                <w:rFonts w:hint="eastAsia" w:ascii="宋体" w:hAnsi="宋体" w:cs="宋体"/>
                <w:color w:val="auto"/>
                <w:szCs w:val="28"/>
                <w:highlight w:val="none"/>
              </w:rPr>
              <w:t>质量监督流程管理：在分析过程中质量监督员可选择某个任务的执行者进行监督，填写针对该任务采样过程或分析过程的质量监督记录表，提交至质量管理室审核，质控室开具《不符合/潜在不符合及纠正/预防措施表》，相关责任人按《不符合项工作程序》完成问题整改及表格填写</w:t>
            </w:r>
          </w:p>
          <w:p>
            <w:pPr>
              <w:spacing w:line="3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（2）</w:t>
            </w:r>
            <w:r>
              <w:rPr>
                <w:rFonts w:hint="eastAsia" w:ascii="宋体" w:hAnsi="宋体" w:cs="宋体"/>
                <w:color w:val="auto"/>
                <w:szCs w:val="28"/>
                <w:highlight w:val="none"/>
              </w:rPr>
              <w:t>内部审核流程管理：针对内部审核管理过程中发现存在的问题，相关责任人按《不符合项工作程序》完成问题整改及表格填写，完成内审报告编制及审核。</w:t>
            </w:r>
          </w:p>
          <w:p>
            <w:pPr>
              <w:spacing w:line="3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（3）</w:t>
            </w:r>
            <w:r>
              <w:rPr>
                <w:rFonts w:hint="eastAsia" w:ascii="宋体" w:hAnsi="宋体" w:cs="宋体"/>
                <w:color w:val="auto"/>
                <w:szCs w:val="28"/>
                <w:highlight w:val="none"/>
              </w:rPr>
              <w:t>管理评审流程管理：包括管理评审计划制定及下发，质量负责人、技术负责人及各科室输入材料上报，评审输出内容填写，管理评审报告编制及审核。</w:t>
            </w:r>
          </w:p>
          <w:p>
            <w:pPr>
              <w:spacing w:line="3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（4）</w:t>
            </w:r>
            <w:r>
              <w:rPr>
                <w:rFonts w:hint="eastAsia" w:ascii="宋体" w:hAnsi="宋体" w:cs="宋体"/>
                <w:color w:val="auto"/>
                <w:szCs w:val="28"/>
                <w:highlight w:val="none"/>
              </w:rPr>
              <w:t>不符合项管理工作：包括不符合项来源与登记，不符合项纠正或纠正措施填写，整改情况跟踪确认，关闭不符合。</w:t>
            </w:r>
          </w:p>
          <w:p>
            <w:pPr>
              <w:spacing w:line="320" w:lineRule="exact"/>
              <w:ind w:firstLine="422" w:firstLineChars="200"/>
              <w:rPr>
                <w:rFonts w:ascii="宋体" w:hAnsi="宋体" w:cs="宋体"/>
                <w:b/>
                <w:bCs/>
                <w:color w:val="auto"/>
                <w:szCs w:val="21"/>
                <w:highlight w:val="none"/>
              </w:rPr>
            </w:pPr>
            <w:r>
              <w:rPr>
                <w:rFonts w:hint="eastAsia" w:ascii="宋体" w:hAnsi="宋体" w:cs="宋体"/>
                <w:b/>
                <w:bCs/>
                <w:color w:val="auto"/>
                <w:szCs w:val="21"/>
                <w:highlight w:val="none"/>
              </w:rPr>
              <w:t xml:space="preserve">1.4.4 </w:t>
            </w:r>
            <w:r>
              <w:rPr>
                <w:rFonts w:hint="eastAsia" w:ascii="宋体" w:hAnsi="宋体" w:cs="宋体"/>
                <w:b/>
                <w:bCs/>
                <w:color w:val="auto"/>
                <w:highlight w:val="none"/>
              </w:rPr>
              <w:t>电子签名：</w:t>
            </w:r>
            <w:r>
              <w:rPr>
                <w:rFonts w:hint="eastAsia" w:ascii="宋体" w:hAnsi="宋体" w:cs="宋体"/>
                <w:color w:val="auto"/>
                <w:szCs w:val="28"/>
                <w:highlight w:val="none"/>
              </w:rPr>
              <w:t>系统新增电子签名功能，在使用系统时针对需要签名的位置可以使用电子签名。</w:t>
            </w:r>
          </w:p>
          <w:p>
            <w:pPr>
              <w:spacing w:line="320" w:lineRule="exact"/>
              <w:ind w:firstLine="422" w:firstLineChars="200"/>
              <w:rPr>
                <w:rFonts w:ascii="宋体" w:hAnsi="宋体" w:cs="宋体"/>
                <w:b/>
                <w:bCs/>
                <w:color w:val="auto"/>
                <w:szCs w:val="21"/>
                <w:highlight w:val="none"/>
              </w:rPr>
            </w:pPr>
            <w:r>
              <w:rPr>
                <w:rFonts w:hint="eastAsia" w:ascii="宋体" w:hAnsi="宋体" w:cs="宋体"/>
                <w:b/>
                <w:bCs/>
                <w:color w:val="auto"/>
                <w:szCs w:val="21"/>
                <w:highlight w:val="none"/>
              </w:rPr>
              <w:t xml:space="preserve">1.4.5 </w:t>
            </w:r>
            <w:r>
              <w:rPr>
                <w:rFonts w:hint="eastAsia" w:ascii="宋体" w:hAnsi="宋体" w:cs="宋体"/>
                <w:b/>
                <w:bCs/>
                <w:color w:val="auto"/>
                <w:highlight w:val="none"/>
              </w:rPr>
              <w:t>资质能力管理：</w:t>
            </w:r>
            <w:r>
              <w:rPr>
                <w:rFonts w:hint="eastAsia" w:ascii="宋体" w:hAnsi="宋体" w:cs="宋体"/>
                <w:color w:val="auto"/>
                <w:szCs w:val="28"/>
                <w:highlight w:val="none"/>
              </w:rPr>
              <w:t>把单位资质能力范围内的所有项目均输入系统，按类别、项目、方法等提供查询和展示。</w:t>
            </w:r>
          </w:p>
          <w:p>
            <w:pPr>
              <w:spacing w:line="320" w:lineRule="exact"/>
              <w:ind w:firstLine="422" w:firstLineChars="200"/>
              <w:rPr>
                <w:rFonts w:ascii="宋体" w:hAnsi="宋体" w:cs="宋体"/>
                <w:color w:val="auto"/>
                <w:szCs w:val="21"/>
                <w:highlight w:val="none"/>
              </w:rPr>
            </w:pPr>
            <w:r>
              <w:rPr>
                <w:rFonts w:hint="eastAsia" w:ascii="宋体" w:hAnsi="宋体" w:cs="宋体"/>
                <w:b/>
                <w:bCs/>
                <w:color w:val="auto"/>
                <w:szCs w:val="21"/>
                <w:highlight w:val="none"/>
              </w:rPr>
              <w:t xml:space="preserve">1.4.6 </w:t>
            </w:r>
            <w:r>
              <w:rPr>
                <w:rFonts w:hint="eastAsia" w:ascii="宋体" w:hAnsi="宋体" w:cs="宋体"/>
                <w:b/>
                <w:bCs/>
                <w:color w:val="auto"/>
                <w:highlight w:val="none"/>
              </w:rPr>
              <w:t>功能优化：</w:t>
            </w:r>
            <w:r>
              <w:rPr>
                <w:rFonts w:hint="eastAsia" w:ascii="宋体" w:hAnsi="宋体" w:cs="宋体"/>
                <w:color w:val="auto"/>
                <w:szCs w:val="21"/>
                <w:highlight w:val="none"/>
              </w:rPr>
              <w:t>将标准样品范围值直接提取至质控工作台进行符合性判断，系统可以自动识别判定结果是否“合格”，在系统在判定“合格”时只保留一个选框，增加一个可以全部选择“合格”的选框，通过点击“全部选择”，能够将“合格”结果全部勾选完成。</w:t>
            </w:r>
          </w:p>
          <w:p>
            <w:pPr>
              <w:spacing w:line="3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系统质控平台中现场密码样可以提取到数据，自动识别判定结果是否“合格”。</w:t>
            </w:r>
          </w:p>
          <w:p>
            <w:pPr>
              <w:spacing w:line="3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标准物质板块下的“浓度及单位”增加手动更改功能。</w:t>
            </w:r>
          </w:p>
          <w:p>
            <w:pPr>
              <w:spacing w:line="320" w:lineRule="exact"/>
              <w:rPr>
                <w:rFonts w:ascii="宋体" w:hAnsi="宋体" w:cs="宋体"/>
                <w:b/>
                <w:bCs/>
                <w:color w:val="auto"/>
                <w:szCs w:val="21"/>
                <w:highlight w:val="none"/>
              </w:rPr>
            </w:pPr>
            <w:r>
              <w:rPr>
                <w:rFonts w:hint="eastAsia" w:ascii="宋体" w:hAnsi="宋体" w:cs="宋体"/>
                <w:b/>
                <w:bCs/>
                <w:color w:val="auto"/>
                <w:szCs w:val="21"/>
                <w:highlight w:val="none"/>
              </w:rPr>
              <w:t>1.5资源管理</w:t>
            </w:r>
          </w:p>
          <w:p>
            <w:pPr>
              <w:spacing w:line="3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新增导出标准溶液配置功能，能将中心站标准溶液配置对应标准配置记录内容导出下载至本地。增加“两毒一爆”危险化学品管理，管理模式类似标准物质管理。</w:t>
            </w:r>
          </w:p>
          <w:p>
            <w:pPr>
              <w:spacing w:line="320" w:lineRule="exact"/>
              <w:rPr>
                <w:rFonts w:ascii="宋体" w:hAnsi="宋体" w:cs="宋体"/>
                <w:b/>
                <w:bCs/>
                <w:color w:val="auto"/>
                <w:szCs w:val="21"/>
                <w:highlight w:val="none"/>
              </w:rPr>
            </w:pPr>
            <w:r>
              <w:rPr>
                <w:rFonts w:hint="eastAsia" w:ascii="宋体" w:hAnsi="宋体" w:cs="宋体"/>
                <w:b/>
                <w:bCs/>
                <w:color w:val="auto"/>
                <w:szCs w:val="21"/>
                <w:highlight w:val="none"/>
              </w:rPr>
              <w:t>1.6标签生成</w:t>
            </w:r>
          </w:p>
          <w:p>
            <w:pPr>
              <w:spacing w:line="3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增加标签生成功能，通过系统对物资、仪器生成二维码标签并支持打印。提供物资标签、仪器标签功能。</w:t>
            </w:r>
          </w:p>
          <w:p>
            <w:pPr>
              <w:spacing w:line="320" w:lineRule="exact"/>
              <w:rPr>
                <w:rFonts w:ascii="宋体" w:hAnsi="宋体" w:cs="宋体"/>
                <w:b/>
                <w:bCs/>
                <w:color w:val="auto"/>
                <w:szCs w:val="21"/>
                <w:highlight w:val="none"/>
              </w:rPr>
            </w:pPr>
            <w:r>
              <w:rPr>
                <w:rFonts w:hint="eastAsia" w:ascii="宋体" w:hAnsi="宋体" w:cs="宋体"/>
                <w:b/>
                <w:bCs/>
                <w:color w:val="auto"/>
                <w:szCs w:val="21"/>
                <w:highlight w:val="none"/>
              </w:rPr>
              <w:t xml:space="preserve">    1.6.1</w:t>
            </w:r>
            <w:r>
              <w:rPr>
                <w:rFonts w:hint="eastAsia" w:ascii="宋体" w:hAnsi="宋体" w:cs="宋体"/>
                <w:b/>
                <w:bCs/>
                <w:color w:val="auto"/>
                <w:highlight w:val="none"/>
              </w:rPr>
              <w:t>物资标签：</w:t>
            </w:r>
            <w:r>
              <w:rPr>
                <w:rFonts w:hint="eastAsia" w:ascii="宋体" w:hAnsi="宋体" w:cs="宋体"/>
                <w:color w:val="auto"/>
                <w:szCs w:val="28"/>
                <w:highlight w:val="none"/>
              </w:rPr>
              <w:t>通过系统对标准物资、试剂生成二维码标签，能自动生成标签并支持标签打印。</w:t>
            </w:r>
          </w:p>
          <w:p>
            <w:pPr>
              <w:spacing w:line="320" w:lineRule="exact"/>
              <w:rPr>
                <w:rFonts w:ascii="宋体" w:hAnsi="宋体" w:cs="宋体"/>
                <w:b/>
                <w:bCs/>
                <w:color w:val="auto"/>
                <w:szCs w:val="21"/>
                <w:highlight w:val="none"/>
              </w:rPr>
            </w:pPr>
            <w:r>
              <w:rPr>
                <w:rFonts w:hint="eastAsia" w:ascii="宋体" w:hAnsi="宋体" w:cs="宋体"/>
                <w:b/>
                <w:bCs/>
                <w:color w:val="auto"/>
                <w:szCs w:val="21"/>
                <w:highlight w:val="none"/>
              </w:rPr>
              <w:t xml:space="preserve">    1.6.2</w:t>
            </w:r>
            <w:r>
              <w:rPr>
                <w:rFonts w:hint="eastAsia" w:ascii="宋体" w:hAnsi="宋体" w:cs="宋体"/>
                <w:b/>
                <w:bCs/>
                <w:color w:val="auto"/>
                <w:highlight w:val="none"/>
              </w:rPr>
              <w:t>仪器标签：</w:t>
            </w:r>
            <w:r>
              <w:rPr>
                <w:rFonts w:hint="eastAsia" w:ascii="宋体" w:hAnsi="宋体" w:cs="宋体"/>
                <w:color w:val="auto"/>
                <w:szCs w:val="28"/>
                <w:highlight w:val="none"/>
              </w:rPr>
              <w:t>通过系统对仪器设备生成二维码标签，能自动生成标签并支持标签打印。</w:t>
            </w:r>
          </w:p>
          <w:p>
            <w:pPr>
              <w:spacing w:line="320" w:lineRule="exact"/>
              <w:rPr>
                <w:rFonts w:ascii="宋体" w:hAnsi="宋体" w:cs="宋体"/>
                <w:b/>
                <w:bCs/>
                <w:color w:val="auto"/>
                <w:szCs w:val="21"/>
                <w:highlight w:val="none"/>
              </w:rPr>
            </w:pPr>
            <w:r>
              <w:rPr>
                <w:rFonts w:hint="eastAsia" w:ascii="宋体" w:hAnsi="宋体" w:cs="宋体"/>
                <w:b/>
                <w:bCs/>
                <w:color w:val="auto"/>
                <w:szCs w:val="21"/>
                <w:highlight w:val="none"/>
              </w:rPr>
              <w:t>1.7物资管理</w:t>
            </w:r>
          </w:p>
          <w:p>
            <w:pPr>
              <w:spacing w:line="3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对现有物资管理功能进行优化升级，对试剂使用以及标准物质等进行试剂管理以及使用记录的管理。提供试剂管理、物资使用记录功能。</w:t>
            </w:r>
          </w:p>
          <w:p>
            <w:pPr>
              <w:spacing w:line="320" w:lineRule="exact"/>
              <w:rPr>
                <w:rFonts w:ascii="宋体" w:hAnsi="宋体" w:cs="宋体"/>
                <w:b/>
                <w:bCs/>
                <w:color w:val="auto"/>
                <w:szCs w:val="21"/>
                <w:highlight w:val="none"/>
              </w:rPr>
            </w:pPr>
            <w:r>
              <w:rPr>
                <w:rFonts w:hint="eastAsia" w:ascii="宋体" w:hAnsi="宋体" w:cs="宋体"/>
                <w:b/>
                <w:bCs/>
                <w:color w:val="auto"/>
                <w:szCs w:val="21"/>
                <w:highlight w:val="none"/>
              </w:rPr>
              <w:t xml:space="preserve">    1.7.1试剂管理：</w:t>
            </w:r>
            <w:r>
              <w:rPr>
                <w:rFonts w:hint="eastAsia" w:ascii="宋体" w:hAnsi="宋体" w:cs="宋体"/>
                <w:color w:val="auto"/>
                <w:szCs w:val="28"/>
                <w:highlight w:val="none"/>
              </w:rPr>
              <w:t>对试剂分瓶管理，试剂入库可以记录试剂入库明细清单，每个分瓶能够记录试剂编号（二维码标签号），通过改编号可以追溯实际完整的领用、使用记录；试剂要求等级“两毒一爆”属性信息（剧毒试剂、易制毒试剂、易制爆实际）。</w:t>
            </w:r>
          </w:p>
          <w:p>
            <w:pPr>
              <w:pStyle w:val="35"/>
              <w:spacing w:line="320" w:lineRule="exact"/>
              <w:rPr>
                <w:rFonts w:ascii="宋体" w:hAnsi="宋体" w:cs="宋体"/>
                <w:b/>
                <w:bCs/>
                <w:color w:val="auto"/>
                <w:sz w:val="21"/>
                <w:szCs w:val="21"/>
                <w:highlight w:val="none"/>
              </w:rPr>
            </w:pPr>
            <w:r>
              <w:rPr>
                <w:rFonts w:hint="eastAsia" w:ascii="宋体" w:hAnsi="宋体" w:cs="宋体"/>
                <w:b/>
                <w:bCs/>
                <w:color w:val="auto"/>
                <w:sz w:val="21"/>
                <w:szCs w:val="21"/>
                <w:highlight w:val="none"/>
              </w:rPr>
              <w:t xml:space="preserve">    1.7.2物资使用记录：</w:t>
            </w:r>
            <w:r>
              <w:rPr>
                <w:rFonts w:hint="eastAsia" w:ascii="宋体" w:hAnsi="宋体" w:cs="宋体"/>
                <w:color w:val="auto"/>
                <w:sz w:val="21"/>
                <w:szCs w:val="21"/>
                <w:highlight w:val="none"/>
              </w:rPr>
              <w:t>通过标准物质、试剂编号属性，可以追溯标准物资、实际完整管理人、领用记录、使用记录、存储位置、使用人、使用量等信息。</w:t>
            </w:r>
          </w:p>
          <w:p>
            <w:pPr>
              <w:spacing w:line="320" w:lineRule="exact"/>
              <w:rPr>
                <w:rFonts w:ascii="宋体" w:hAnsi="宋体" w:cs="宋体"/>
                <w:b/>
                <w:bCs/>
                <w:color w:val="auto"/>
                <w:szCs w:val="21"/>
                <w:highlight w:val="none"/>
              </w:rPr>
            </w:pPr>
            <w:r>
              <w:rPr>
                <w:rFonts w:hint="eastAsia" w:ascii="宋体" w:hAnsi="宋体" w:cs="宋体"/>
                <w:b/>
                <w:bCs/>
                <w:color w:val="auto"/>
                <w:szCs w:val="21"/>
                <w:highlight w:val="none"/>
              </w:rPr>
              <w:t>1.8任务下达</w:t>
            </w:r>
          </w:p>
          <w:p>
            <w:pPr>
              <w:spacing w:line="3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支持根据监测任务要求，增加点位EXCLE一键导入功能，根据目前工作需要，优化污染源任务下达的功能。</w:t>
            </w:r>
            <w:r>
              <w:rPr>
                <w:rFonts w:hint="eastAsia" w:ascii="宋体" w:hAnsi="宋体" w:cs="宋体"/>
                <w:color w:val="auto"/>
                <w:szCs w:val="28"/>
                <w:highlight w:val="none"/>
              </w:rPr>
              <w:t>如果污染源及环境质量基础测点没有相关测点信息，用户可以临时新增污染源及环境质量测点信息。在任务下达过程中，用可以自定义选择质量控制样品的分析项目。</w:t>
            </w:r>
          </w:p>
          <w:p>
            <w:pPr>
              <w:spacing w:line="320" w:lineRule="exact"/>
              <w:rPr>
                <w:rFonts w:ascii="宋体" w:hAnsi="宋体" w:cs="宋体"/>
                <w:b/>
                <w:bCs/>
                <w:color w:val="auto"/>
                <w:szCs w:val="21"/>
                <w:highlight w:val="none"/>
              </w:rPr>
            </w:pPr>
            <w:r>
              <w:rPr>
                <w:rFonts w:hint="eastAsia" w:ascii="宋体" w:hAnsi="宋体" w:cs="宋体"/>
                <w:b/>
                <w:bCs/>
                <w:color w:val="auto"/>
                <w:szCs w:val="21"/>
                <w:highlight w:val="none"/>
              </w:rPr>
              <w:t>1.9监测对象管理</w:t>
            </w:r>
          </w:p>
          <w:p>
            <w:pPr>
              <w:spacing w:line="3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新增监测对象（污染源、环境测点）导入导出功能，提供固定导入模板，能够对监测对象进行批量导入系统，系统内置校验规则，能够协助工作人员审核数据。</w:t>
            </w:r>
          </w:p>
          <w:p>
            <w:pPr>
              <w:spacing w:line="320" w:lineRule="exact"/>
              <w:rPr>
                <w:rFonts w:ascii="宋体" w:hAnsi="宋体" w:cs="宋体"/>
                <w:b/>
                <w:bCs/>
                <w:color w:val="auto"/>
                <w:szCs w:val="21"/>
                <w:highlight w:val="none"/>
              </w:rPr>
            </w:pPr>
            <w:r>
              <w:rPr>
                <w:rFonts w:hint="eastAsia" w:ascii="宋体" w:hAnsi="宋体" w:cs="宋体"/>
                <w:b/>
                <w:bCs/>
                <w:color w:val="auto"/>
                <w:szCs w:val="21"/>
                <w:highlight w:val="none"/>
              </w:rPr>
              <w:t>1.10数据统计</w:t>
            </w:r>
          </w:p>
          <w:p>
            <w:pPr>
              <w:spacing w:line="3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增加数据统计、审核功能，以解决对平台数据的统计分析，并通过流程完成线上审核工作。</w:t>
            </w:r>
          </w:p>
          <w:p>
            <w:pPr>
              <w:spacing w:line="320" w:lineRule="exact"/>
              <w:ind w:firstLine="421"/>
              <w:rPr>
                <w:rFonts w:ascii="宋体" w:hAnsi="宋体" w:cs="宋体"/>
                <w:b/>
                <w:bCs/>
                <w:color w:val="auto"/>
                <w:szCs w:val="21"/>
                <w:highlight w:val="none"/>
              </w:rPr>
            </w:pPr>
            <w:r>
              <w:rPr>
                <w:rFonts w:hint="eastAsia" w:ascii="宋体" w:hAnsi="宋体" w:cs="宋体"/>
                <w:b/>
                <w:bCs/>
                <w:color w:val="auto"/>
                <w:szCs w:val="21"/>
                <w:highlight w:val="none"/>
              </w:rPr>
              <w:t>1.10.1表单开发：</w:t>
            </w:r>
            <w:r>
              <w:rPr>
                <w:rFonts w:hint="eastAsia" w:ascii="宋体" w:hAnsi="宋体" w:cs="宋体"/>
                <w:color w:val="auto"/>
                <w:szCs w:val="21"/>
                <w:highlight w:val="none"/>
              </w:rPr>
              <w:t>针对需要新统计的内容，开发相应的统计表单，如任务结果统计表、XX期海水水质统计、近海域海水水质报表等。增加可选择单个或多个子任务监测数据的导出。</w:t>
            </w:r>
            <w:r>
              <w:rPr>
                <w:rFonts w:hint="eastAsia" w:ascii="宋体" w:hAnsi="宋体" w:cs="宋体"/>
                <w:b/>
                <w:bCs/>
                <w:color w:val="auto"/>
                <w:szCs w:val="21"/>
                <w:highlight w:val="none"/>
              </w:rPr>
              <w:t xml:space="preserve">    </w:t>
            </w:r>
          </w:p>
          <w:p>
            <w:pPr>
              <w:spacing w:line="320" w:lineRule="exact"/>
              <w:ind w:firstLine="421"/>
              <w:rPr>
                <w:rFonts w:ascii="宋体" w:hAnsi="宋体" w:cs="宋体"/>
                <w:b/>
                <w:bCs/>
                <w:color w:val="auto"/>
                <w:szCs w:val="21"/>
                <w:highlight w:val="none"/>
              </w:rPr>
            </w:pPr>
            <w:r>
              <w:rPr>
                <w:rFonts w:hint="eastAsia" w:ascii="宋体" w:hAnsi="宋体" w:cs="宋体"/>
                <w:b/>
                <w:bCs/>
                <w:color w:val="auto"/>
                <w:szCs w:val="21"/>
                <w:highlight w:val="none"/>
              </w:rPr>
              <w:t>1.10.2数据统计：</w:t>
            </w:r>
            <w:r>
              <w:rPr>
                <w:rFonts w:hint="eastAsia" w:ascii="宋体" w:hAnsi="宋体" w:cs="宋体"/>
                <w:color w:val="auto"/>
                <w:szCs w:val="28"/>
                <w:highlight w:val="none"/>
              </w:rPr>
              <w:t>能够对海洋站监测结果进行统计，生成固定格式的统计报表。</w:t>
            </w:r>
          </w:p>
          <w:p>
            <w:pPr>
              <w:spacing w:line="320" w:lineRule="exact"/>
              <w:ind w:firstLine="422" w:firstLineChars="200"/>
              <w:rPr>
                <w:rFonts w:ascii="宋体" w:hAnsi="宋体" w:cs="宋体"/>
                <w:b/>
                <w:bCs/>
                <w:color w:val="auto"/>
                <w:szCs w:val="21"/>
                <w:highlight w:val="none"/>
              </w:rPr>
            </w:pPr>
            <w:r>
              <w:rPr>
                <w:rFonts w:hint="eastAsia" w:ascii="宋体" w:hAnsi="宋体" w:cs="宋体"/>
                <w:b/>
                <w:bCs/>
                <w:color w:val="auto"/>
                <w:szCs w:val="21"/>
                <w:highlight w:val="none"/>
              </w:rPr>
              <w:t>1.10.3数据审核：</w:t>
            </w:r>
            <w:r>
              <w:rPr>
                <w:rFonts w:hint="eastAsia" w:ascii="宋体" w:hAnsi="宋体" w:cs="宋体"/>
                <w:color w:val="auto"/>
                <w:szCs w:val="28"/>
                <w:highlight w:val="none"/>
              </w:rPr>
              <w:t>新增审核流程，生成数据统计报表之后，发起数据审核，将流转至不同审核角色进行数据的审核工作。</w:t>
            </w:r>
          </w:p>
          <w:p>
            <w:pPr>
              <w:spacing w:line="320" w:lineRule="exact"/>
              <w:rPr>
                <w:rFonts w:ascii="宋体" w:hAnsi="宋体" w:cs="宋体"/>
                <w:b/>
                <w:bCs/>
                <w:color w:val="auto"/>
                <w:szCs w:val="21"/>
                <w:highlight w:val="none"/>
              </w:rPr>
            </w:pPr>
            <w:r>
              <w:rPr>
                <w:rFonts w:hint="eastAsia" w:ascii="宋体" w:hAnsi="宋体" w:cs="宋体"/>
                <w:b/>
                <w:bCs/>
                <w:color w:val="auto"/>
                <w:szCs w:val="21"/>
                <w:highlight w:val="none"/>
              </w:rPr>
              <w:t>1.11基础配置</w:t>
            </w:r>
          </w:p>
          <w:p>
            <w:pPr>
              <w:spacing w:line="320" w:lineRule="exact"/>
              <w:ind w:firstLine="420" w:firstLineChars="200"/>
              <w:rPr>
                <w:rFonts w:ascii="宋体" w:hAnsi="宋体" w:cs="宋体"/>
                <w:color w:val="auto"/>
                <w:szCs w:val="21"/>
                <w:highlight w:val="none"/>
              </w:rPr>
            </w:pPr>
            <w:r>
              <w:rPr>
                <w:rFonts w:hint="eastAsia" w:ascii="宋体" w:hAnsi="宋体" w:cs="宋体"/>
                <w:color w:val="auto"/>
                <w:szCs w:val="28"/>
                <w:highlight w:val="none"/>
              </w:rPr>
              <w:t>系统可以通过基础配置已有的分析方法管理模块中将单位资质能力范围内的所有项目均输入系统。增加可选择对不同的任务，设置不同的监测项目比例质控措施。</w:t>
            </w:r>
          </w:p>
          <w:p>
            <w:pPr>
              <w:spacing w:line="320" w:lineRule="exact"/>
              <w:rPr>
                <w:rFonts w:ascii="宋体" w:hAnsi="宋体" w:cs="宋体"/>
                <w:b/>
                <w:bCs/>
                <w:color w:val="auto"/>
                <w:szCs w:val="21"/>
                <w:highlight w:val="none"/>
              </w:rPr>
            </w:pPr>
            <w:r>
              <w:rPr>
                <w:rFonts w:hint="eastAsia" w:ascii="宋体" w:hAnsi="宋体" w:cs="宋体"/>
                <w:b/>
                <w:bCs/>
                <w:color w:val="auto"/>
                <w:szCs w:val="21"/>
                <w:highlight w:val="none"/>
              </w:rPr>
              <w:t>1.12任务办理</w:t>
            </w:r>
          </w:p>
          <w:p>
            <w:pPr>
              <w:spacing w:line="3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对任务办理进行升级，</w:t>
            </w:r>
            <w:r>
              <w:rPr>
                <w:rFonts w:hint="eastAsia" w:ascii="宋体" w:hAnsi="宋体" w:cs="宋体"/>
                <w:color w:val="auto"/>
                <w:szCs w:val="28"/>
                <w:highlight w:val="none"/>
              </w:rPr>
              <w:t>子任务分配中的编辑方案环节，在选择“删除子任务下所有样品并重新生成样品”和“不删除子任务已生成的样品，只将当前测点生成样品”功能时，下达任务经常出错，优化此项功能保障实现。子任务分配中分配分析人环节，监测项目分配根据分析管理设置的各类别、各项目的分析人员进行固定分配，解决目前系统自动分配较乱问题。任务下达后，提供可以补充该任务缺漏的点位和项目添加功能，并更新已下达的任务采样人等相关链接。</w:t>
            </w:r>
          </w:p>
          <w:p>
            <w:pPr>
              <w:spacing w:line="320" w:lineRule="exact"/>
              <w:rPr>
                <w:rFonts w:ascii="宋体" w:hAnsi="宋体" w:cs="宋体"/>
                <w:b/>
                <w:bCs/>
                <w:color w:val="auto"/>
                <w:szCs w:val="21"/>
                <w:highlight w:val="none"/>
              </w:rPr>
            </w:pPr>
            <w:r>
              <w:rPr>
                <w:rFonts w:hint="eastAsia" w:ascii="宋体" w:hAnsi="宋体" w:cs="宋体"/>
                <w:b/>
                <w:bCs/>
                <w:color w:val="auto"/>
                <w:szCs w:val="21"/>
                <w:highlight w:val="none"/>
              </w:rPr>
              <w:t>2.海洋环境监测数据综合管理系统升级</w:t>
            </w:r>
          </w:p>
          <w:p>
            <w:pPr>
              <w:spacing w:line="320" w:lineRule="exact"/>
              <w:rPr>
                <w:rFonts w:ascii="宋体" w:hAnsi="宋体" w:cs="宋体"/>
                <w:b/>
                <w:bCs/>
                <w:color w:val="auto"/>
                <w:szCs w:val="21"/>
                <w:highlight w:val="none"/>
              </w:rPr>
            </w:pPr>
            <w:r>
              <w:rPr>
                <w:rFonts w:hint="eastAsia" w:ascii="宋体" w:hAnsi="宋体" w:cs="宋体"/>
                <w:b/>
                <w:bCs/>
                <w:color w:val="auto"/>
                <w:szCs w:val="21"/>
                <w:highlight w:val="none"/>
              </w:rPr>
              <w:t>2.1基础框架升级</w:t>
            </w:r>
          </w:p>
          <w:p>
            <w:pPr>
              <w:spacing w:line="3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对系统的基础框架进行升级优化，包括底层框架升级、系统流程优化、系统性能提升。</w:t>
            </w:r>
          </w:p>
          <w:p>
            <w:pPr>
              <w:spacing w:line="320" w:lineRule="exact"/>
              <w:ind w:firstLine="422" w:firstLineChars="200"/>
              <w:rPr>
                <w:rFonts w:ascii="宋体" w:hAnsi="宋体" w:cs="宋体"/>
                <w:color w:val="auto"/>
                <w:szCs w:val="21"/>
                <w:highlight w:val="none"/>
              </w:rPr>
            </w:pPr>
            <w:r>
              <w:rPr>
                <w:rFonts w:hint="eastAsia" w:ascii="宋体" w:hAnsi="宋体" w:cs="宋体"/>
                <w:b/>
                <w:bCs/>
                <w:color w:val="auto"/>
                <w:szCs w:val="21"/>
                <w:highlight w:val="none"/>
              </w:rPr>
              <w:t>2.1.1底层框架升级:</w:t>
            </w:r>
            <w:r>
              <w:rPr>
                <w:rFonts w:hint="eastAsia" w:ascii="宋体" w:hAnsi="宋体" w:cs="宋体"/>
                <w:color w:val="auto"/>
                <w:szCs w:val="28"/>
                <w:highlight w:val="none"/>
              </w:rPr>
              <w:t>以原有框架基础，基于当前信息化发展技术，对框架进行升级改造，使系统更适应最新浏览器版本，提升系统兼容性</w:t>
            </w:r>
            <w:r>
              <w:rPr>
                <w:rFonts w:hint="eastAsia" w:ascii="宋体" w:hAnsi="宋体" w:cs="宋体"/>
                <w:color w:val="auto"/>
                <w:szCs w:val="21"/>
                <w:highlight w:val="none"/>
              </w:rPr>
              <w:t>。</w:t>
            </w:r>
          </w:p>
          <w:p>
            <w:pPr>
              <w:spacing w:line="320" w:lineRule="exact"/>
              <w:ind w:firstLine="422" w:firstLineChars="200"/>
              <w:rPr>
                <w:rFonts w:ascii="宋体" w:hAnsi="宋体" w:cs="宋体"/>
                <w:color w:val="auto"/>
                <w:szCs w:val="21"/>
                <w:highlight w:val="none"/>
              </w:rPr>
            </w:pPr>
            <w:r>
              <w:rPr>
                <w:rFonts w:hint="eastAsia" w:ascii="宋体" w:hAnsi="宋体" w:cs="宋体"/>
                <w:b/>
                <w:bCs/>
                <w:color w:val="auto"/>
                <w:szCs w:val="21"/>
                <w:highlight w:val="none"/>
              </w:rPr>
              <w:t>2.1.2系统流程优化：</w:t>
            </w:r>
            <w:r>
              <w:rPr>
                <w:rFonts w:hint="eastAsia" w:ascii="宋体" w:hAnsi="宋体" w:cs="宋体"/>
                <w:color w:val="auto"/>
                <w:szCs w:val="28"/>
                <w:highlight w:val="none"/>
              </w:rPr>
              <w:t>对系统在用流程进行梳理，保留日常所需的业务流程，作废并删除已经失效的流程，让海洋站工作人员能够更有效的聚焦在日常工作中，防止流程选择出错降低工作效率</w:t>
            </w:r>
            <w:r>
              <w:rPr>
                <w:rFonts w:hint="eastAsia" w:ascii="宋体" w:hAnsi="宋体" w:cs="宋体"/>
                <w:color w:val="auto"/>
                <w:szCs w:val="21"/>
                <w:highlight w:val="none"/>
              </w:rPr>
              <w:t>。</w:t>
            </w:r>
          </w:p>
          <w:p>
            <w:pPr>
              <w:spacing w:line="320" w:lineRule="exact"/>
              <w:ind w:firstLine="422" w:firstLineChars="200"/>
              <w:rPr>
                <w:rFonts w:ascii="宋体" w:hAnsi="宋体" w:cs="宋体"/>
                <w:color w:val="auto"/>
                <w:szCs w:val="21"/>
                <w:highlight w:val="none"/>
              </w:rPr>
            </w:pPr>
            <w:r>
              <w:rPr>
                <w:rFonts w:hint="eastAsia" w:ascii="宋体" w:hAnsi="宋体" w:cs="宋体"/>
                <w:b/>
                <w:bCs/>
                <w:color w:val="auto"/>
                <w:szCs w:val="21"/>
                <w:highlight w:val="none"/>
              </w:rPr>
              <w:t>2.1.3系统性能提升：</w:t>
            </w:r>
            <w:r>
              <w:rPr>
                <w:rFonts w:hint="eastAsia" w:ascii="宋体" w:hAnsi="宋体" w:cs="宋体"/>
                <w:color w:val="auto"/>
                <w:szCs w:val="21"/>
                <w:highlight w:val="none"/>
              </w:rPr>
              <w:t>从数据库优化、功能结构优化等方面，解决大数据量下系统使用缓慢等问题。</w:t>
            </w:r>
          </w:p>
          <w:p>
            <w:pPr>
              <w:spacing w:line="320" w:lineRule="exact"/>
              <w:rPr>
                <w:rFonts w:ascii="宋体" w:hAnsi="宋体" w:cs="宋体"/>
                <w:b/>
                <w:bCs/>
                <w:color w:val="auto"/>
                <w:szCs w:val="21"/>
                <w:highlight w:val="none"/>
              </w:rPr>
            </w:pPr>
            <w:r>
              <w:rPr>
                <w:rFonts w:hint="eastAsia" w:ascii="宋体" w:hAnsi="宋体" w:cs="宋体"/>
                <w:b/>
                <w:bCs/>
                <w:color w:val="auto"/>
                <w:szCs w:val="21"/>
                <w:highlight w:val="none"/>
              </w:rPr>
              <w:t>2.2概览分析</w:t>
            </w:r>
          </w:p>
          <w:p>
            <w:pPr>
              <w:spacing w:line="320" w:lineRule="exact"/>
              <w:ind w:firstLine="420" w:firstLineChars="200"/>
              <w:rPr>
                <w:rFonts w:ascii="宋体" w:hAnsi="宋体" w:cs="宋体"/>
                <w:color w:val="auto"/>
                <w:szCs w:val="21"/>
                <w:highlight w:val="none"/>
              </w:rPr>
            </w:pPr>
            <w:r>
              <w:rPr>
                <w:rFonts w:hint="eastAsia" w:ascii="宋体" w:hAnsi="宋体" w:cs="宋体"/>
                <w:color w:val="auto"/>
                <w:szCs w:val="28"/>
                <w:highlight w:val="none"/>
              </w:rPr>
              <w:t>对首页概览展示进行优化，将各类环境要素的环境质量类别结果性展示进行优化，并以表格形式来进行同时展示面积比例和点位比例</w:t>
            </w:r>
            <w:r>
              <w:rPr>
                <w:rFonts w:hint="eastAsia" w:ascii="宋体" w:hAnsi="宋体" w:cs="宋体"/>
                <w:color w:val="auto"/>
                <w:szCs w:val="21"/>
                <w:highlight w:val="none"/>
              </w:rPr>
              <w:t>。</w:t>
            </w:r>
          </w:p>
          <w:p>
            <w:pPr>
              <w:spacing w:line="320" w:lineRule="exact"/>
              <w:rPr>
                <w:rFonts w:ascii="宋体" w:hAnsi="宋体" w:cs="宋体"/>
                <w:b/>
                <w:bCs/>
                <w:color w:val="auto"/>
                <w:szCs w:val="21"/>
                <w:highlight w:val="none"/>
              </w:rPr>
            </w:pPr>
            <w:r>
              <w:rPr>
                <w:rFonts w:hint="eastAsia" w:ascii="宋体" w:hAnsi="宋体" w:cs="宋体"/>
                <w:b/>
                <w:bCs/>
                <w:color w:val="auto"/>
                <w:szCs w:val="21"/>
                <w:highlight w:val="none"/>
              </w:rPr>
              <w:t>2.3数据采集</w:t>
            </w:r>
          </w:p>
          <w:p>
            <w:pPr>
              <w:spacing w:line="320" w:lineRule="exact"/>
              <w:ind w:firstLine="422" w:firstLineChars="200"/>
              <w:rPr>
                <w:rFonts w:ascii="宋体" w:hAnsi="宋体" w:cs="宋体"/>
                <w:b/>
                <w:bCs/>
                <w:color w:val="auto"/>
                <w:szCs w:val="21"/>
                <w:highlight w:val="none"/>
              </w:rPr>
            </w:pPr>
            <w:r>
              <w:rPr>
                <w:rFonts w:hint="eastAsia" w:ascii="宋体" w:hAnsi="宋体" w:cs="宋体"/>
                <w:b/>
                <w:bCs/>
                <w:color w:val="auto"/>
                <w:szCs w:val="21"/>
                <w:highlight w:val="none"/>
              </w:rPr>
              <w:t>2.3.1</w:t>
            </w:r>
            <w:r>
              <w:rPr>
                <w:rFonts w:hint="eastAsia" w:ascii="宋体" w:hAnsi="宋体" w:cs="宋体"/>
                <w:b/>
                <w:bCs/>
                <w:color w:val="auto"/>
                <w:highlight w:val="none"/>
              </w:rPr>
              <w:t>生物数据采集：</w:t>
            </w:r>
            <w:r>
              <w:rPr>
                <w:rFonts w:hint="eastAsia" w:ascii="宋体" w:hAnsi="宋体" w:cs="宋体"/>
                <w:color w:val="auto"/>
                <w:szCs w:val="28"/>
                <w:highlight w:val="none"/>
              </w:rPr>
              <w:t>对数据采集模块进行升级，新增生物数据录入和导入功能，也能够通过Excel格式进行批量导入。生物数据包含但不限于浮游植物、浮游动物、底栖生物、游泳生物、海草床等。</w:t>
            </w:r>
          </w:p>
          <w:p>
            <w:pPr>
              <w:spacing w:line="320" w:lineRule="exact"/>
              <w:ind w:firstLine="422" w:firstLineChars="200"/>
              <w:rPr>
                <w:rFonts w:ascii="宋体" w:hAnsi="宋体" w:cs="宋体"/>
                <w:color w:val="auto"/>
                <w:szCs w:val="21"/>
                <w:highlight w:val="none"/>
              </w:rPr>
            </w:pPr>
            <w:r>
              <w:rPr>
                <w:rFonts w:hint="eastAsia" w:ascii="宋体" w:hAnsi="宋体" w:cs="宋体"/>
                <w:b/>
                <w:bCs/>
                <w:color w:val="auto"/>
                <w:szCs w:val="21"/>
                <w:highlight w:val="none"/>
              </w:rPr>
              <w:t>2.3.2</w:t>
            </w:r>
            <w:r>
              <w:rPr>
                <w:rFonts w:hint="eastAsia" w:ascii="宋体" w:hAnsi="宋体" w:cs="宋体"/>
                <w:b/>
                <w:bCs/>
                <w:color w:val="auto"/>
                <w:highlight w:val="none"/>
              </w:rPr>
              <w:t>历史数据采集：</w:t>
            </w:r>
            <w:r>
              <w:rPr>
                <w:rFonts w:hint="eastAsia" w:ascii="宋体" w:hAnsi="宋体" w:cs="宋体"/>
                <w:color w:val="auto"/>
                <w:szCs w:val="28"/>
                <w:highlight w:val="none"/>
              </w:rPr>
              <w:t>平台支持采集历史的生物数据、海洋面积数据等监测资源数据，结构化存储的数据可采用web service、中间库技术、数据备份等方式采集。半结构化数据（比如Excel格式）可采用ETL导入工具的方式，进行数据校验后一次性导入数据库</w:t>
            </w:r>
            <w:r>
              <w:rPr>
                <w:rFonts w:hint="eastAsia" w:ascii="宋体" w:hAnsi="宋体" w:cs="宋体"/>
                <w:color w:val="auto"/>
                <w:szCs w:val="21"/>
                <w:highlight w:val="none"/>
              </w:rPr>
              <w:t>。</w:t>
            </w:r>
          </w:p>
          <w:p>
            <w:pPr>
              <w:spacing w:line="320" w:lineRule="exact"/>
              <w:rPr>
                <w:rFonts w:ascii="宋体" w:hAnsi="宋体" w:cs="宋体"/>
                <w:b/>
                <w:bCs/>
                <w:color w:val="auto"/>
                <w:szCs w:val="21"/>
                <w:highlight w:val="none"/>
              </w:rPr>
            </w:pPr>
            <w:r>
              <w:rPr>
                <w:rFonts w:hint="eastAsia" w:ascii="宋体" w:hAnsi="宋体" w:cs="宋体"/>
                <w:b/>
                <w:bCs/>
                <w:color w:val="auto"/>
                <w:szCs w:val="21"/>
                <w:highlight w:val="none"/>
              </w:rPr>
              <w:t>2.4数据评价</w:t>
            </w:r>
          </w:p>
          <w:p>
            <w:pPr>
              <w:spacing w:line="3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根据国家和海洋中心的相关评价标准规范，更新并升级现有系统海洋监测数据评价体系相关功能，包括海水、海洋沉积物、海洋生物质量、海洋富营养化、海洋生态系统健康状况评价、生物多样性评价、大气污染物沉降入海通量评价等。</w:t>
            </w:r>
          </w:p>
          <w:p>
            <w:pPr>
              <w:spacing w:line="320" w:lineRule="exact"/>
              <w:rPr>
                <w:rFonts w:ascii="宋体" w:hAnsi="宋体" w:cs="宋体"/>
                <w:b/>
                <w:bCs/>
                <w:color w:val="auto"/>
                <w:szCs w:val="21"/>
                <w:highlight w:val="none"/>
              </w:rPr>
            </w:pPr>
            <w:r>
              <w:rPr>
                <w:rFonts w:hint="eastAsia" w:ascii="宋体" w:hAnsi="宋体" w:cs="宋体"/>
                <w:b/>
                <w:bCs/>
                <w:color w:val="auto"/>
                <w:szCs w:val="21"/>
                <w:highlight w:val="none"/>
              </w:rPr>
              <w:t xml:space="preserve">    2.4.1</w:t>
            </w:r>
            <w:r>
              <w:rPr>
                <w:rFonts w:hint="eastAsia" w:ascii="宋体" w:hAnsi="宋体" w:cs="宋体"/>
                <w:b/>
                <w:bCs/>
                <w:color w:val="auto"/>
                <w:szCs w:val="28"/>
                <w:highlight w:val="none"/>
              </w:rPr>
              <w:t>海水环境质量评价：</w:t>
            </w:r>
            <w:r>
              <w:rPr>
                <w:rFonts w:hint="eastAsia" w:ascii="宋体" w:hAnsi="宋体" w:cs="宋体"/>
                <w:color w:val="auto"/>
                <w:szCs w:val="28"/>
                <w:highlight w:val="none"/>
              </w:rPr>
              <w:t>包括单要素评价、最大污染物的筛选和综合质量评价。</w:t>
            </w:r>
          </w:p>
          <w:p>
            <w:pPr>
              <w:spacing w:line="320" w:lineRule="exact"/>
              <w:rPr>
                <w:rFonts w:ascii="宋体" w:hAnsi="宋体" w:cs="宋体"/>
                <w:b/>
                <w:bCs/>
                <w:color w:val="auto"/>
                <w:szCs w:val="21"/>
                <w:highlight w:val="none"/>
              </w:rPr>
            </w:pPr>
            <w:r>
              <w:rPr>
                <w:rFonts w:hint="eastAsia" w:ascii="宋体" w:hAnsi="宋体" w:cs="宋体"/>
                <w:b/>
                <w:bCs/>
                <w:color w:val="auto"/>
                <w:szCs w:val="21"/>
                <w:highlight w:val="none"/>
              </w:rPr>
              <w:t xml:space="preserve">    2.4.2</w:t>
            </w:r>
            <w:r>
              <w:rPr>
                <w:rFonts w:hint="eastAsia" w:ascii="宋体" w:hAnsi="宋体" w:cs="宋体"/>
                <w:b/>
                <w:bCs/>
                <w:color w:val="auto"/>
                <w:szCs w:val="28"/>
                <w:highlight w:val="none"/>
              </w:rPr>
              <w:t>海洋沉积物评价：</w:t>
            </w:r>
            <w:r>
              <w:rPr>
                <w:rFonts w:hint="eastAsia" w:ascii="宋体" w:hAnsi="宋体" w:cs="宋体"/>
                <w:color w:val="auto"/>
                <w:szCs w:val="28"/>
                <w:highlight w:val="none"/>
              </w:rPr>
              <w:t>包括理化性质指标评价、一般污染指标单项指标评价和区域沉积物质量综合评价。</w:t>
            </w:r>
          </w:p>
          <w:p>
            <w:pPr>
              <w:spacing w:line="320" w:lineRule="exact"/>
              <w:ind w:firstLine="422" w:firstLineChars="200"/>
              <w:rPr>
                <w:rFonts w:ascii="宋体" w:hAnsi="宋体" w:cs="宋体"/>
                <w:b/>
                <w:bCs/>
                <w:color w:val="auto"/>
                <w:szCs w:val="21"/>
                <w:highlight w:val="none"/>
              </w:rPr>
            </w:pPr>
            <w:r>
              <w:rPr>
                <w:rFonts w:hint="eastAsia" w:ascii="宋体" w:hAnsi="宋体" w:cs="宋体"/>
                <w:b/>
                <w:bCs/>
                <w:color w:val="auto"/>
                <w:szCs w:val="21"/>
                <w:highlight w:val="none"/>
              </w:rPr>
              <w:t>2.4.3</w:t>
            </w:r>
            <w:r>
              <w:rPr>
                <w:rFonts w:hint="eastAsia" w:ascii="宋体" w:hAnsi="宋体" w:cs="宋体"/>
                <w:b/>
                <w:bCs/>
                <w:color w:val="auto"/>
                <w:szCs w:val="28"/>
                <w:highlight w:val="none"/>
              </w:rPr>
              <w:t>海洋生物质量评价</w:t>
            </w:r>
          </w:p>
          <w:p>
            <w:pPr>
              <w:spacing w:line="320" w:lineRule="exact"/>
              <w:ind w:firstLine="422" w:firstLineChars="200"/>
              <w:rPr>
                <w:rFonts w:ascii="宋体" w:hAnsi="宋体" w:cs="宋体"/>
                <w:b/>
                <w:bCs/>
                <w:color w:val="auto"/>
                <w:szCs w:val="21"/>
                <w:highlight w:val="none"/>
              </w:rPr>
            </w:pPr>
            <w:r>
              <w:rPr>
                <w:rFonts w:hint="eastAsia" w:ascii="宋体" w:hAnsi="宋体" w:cs="宋体"/>
                <w:b/>
                <w:bCs/>
                <w:color w:val="auto"/>
                <w:szCs w:val="21"/>
                <w:highlight w:val="none"/>
              </w:rPr>
              <w:t>2.4.4</w:t>
            </w:r>
            <w:r>
              <w:rPr>
                <w:rFonts w:hint="eastAsia" w:ascii="宋体" w:hAnsi="宋体" w:cs="宋体"/>
                <w:b/>
                <w:bCs/>
                <w:color w:val="auto"/>
                <w:szCs w:val="28"/>
                <w:highlight w:val="none"/>
              </w:rPr>
              <w:t>海洋富营养化评价</w:t>
            </w:r>
          </w:p>
          <w:p>
            <w:pPr>
              <w:spacing w:line="320" w:lineRule="exact"/>
              <w:ind w:firstLine="422" w:firstLineChars="200"/>
              <w:rPr>
                <w:rFonts w:ascii="宋体" w:hAnsi="宋体" w:cs="宋体"/>
                <w:b/>
                <w:bCs/>
                <w:color w:val="auto"/>
                <w:highlight w:val="none"/>
              </w:rPr>
            </w:pPr>
            <w:r>
              <w:rPr>
                <w:rFonts w:hint="eastAsia" w:ascii="宋体" w:hAnsi="宋体" w:cs="宋体"/>
                <w:b/>
                <w:bCs/>
                <w:color w:val="auto"/>
                <w:szCs w:val="21"/>
                <w:highlight w:val="none"/>
              </w:rPr>
              <w:t>2.4.5</w:t>
            </w:r>
            <w:r>
              <w:rPr>
                <w:rFonts w:hint="eastAsia" w:ascii="宋体" w:hAnsi="宋体" w:cs="宋体"/>
                <w:b/>
                <w:bCs/>
                <w:color w:val="auto"/>
                <w:szCs w:val="28"/>
                <w:highlight w:val="none"/>
              </w:rPr>
              <w:t>海洋生态系统健康状况评价：</w:t>
            </w:r>
          </w:p>
          <w:p>
            <w:pPr>
              <w:spacing w:line="3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1）珊瑚礁生态系统：水环境评价、生物残毒评价、栖息地评价（大型藻类盖度、活珊瑚盖度减少、栖息地健康指数）、生物评价（珊瑚死亡率、珊瑚病害、硬珊瑚补充量、活珊瑚种类量、珊瑚礁鱼类密度、生物健康指数）、生态健康指数；</w:t>
            </w:r>
          </w:p>
          <w:p>
            <w:pPr>
              <w:spacing w:line="3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（2）海草床生态系统：水环境评价、沉积环境评价、生物残毒状况评价、栖息地评价（海草分布面积减少、沉积物主要组合分含量变化、栖息地健康指数）、生物评价、生态健康指数；</w:t>
            </w:r>
          </w:p>
          <w:p>
            <w:pPr>
              <w:spacing w:line="3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（3）红树林生态系统:水环境评价、生物残毒状况评价、栖息地评价（红树林分布面积减少、土壤分年度变化、栖息地健康指数）、生物指标评价、生态健康指数；</w:t>
            </w:r>
          </w:p>
          <w:p>
            <w:pPr>
              <w:spacing w:line="3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（4）河口与海湾生态系统:水环境评价、沉积环境评价、生物残毒评价、栖息地评价、生物评价、生态健康评价；</w:t>
            </w:r>
          </w:p>
          <w:p>
            <w:pPr>
              <w:spacing w:line="3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5）海洋生态系统生态健康评价。算法按照评价体系封装成一套近岸海域环境监测评价执行器，查询近岸海域环境监测数据（传参时间、空间），将监测数据分组前置计算（如求均值、修约等）、执行指定的评价指标算法，最后实现结果输出。</w:t>
            </w:r>
          </w:p>
          <w:p>
            <w:pPr>
              <w:spacing w:line="320" w:lineRule="exact"/>
              <w:ind w:firstLine="422" w:firstLineChars="200"/>
              <w:rPr>
                <w:rFonts w:ascii="宋体" w:hAnsi="宋体" w:cs="宋体"/>
                <w:b/>
                <w:bCs/>
                <w:color w:val="auto"/>
                <w:szCs w:val="28"/>
                <w:highlight w:val="none"/>
              </w:rPr>
            </w:pPr>
            <w:r>
              <w:rPr>
                <w:rFonts w:hint="eastAsia" w:ascii="宋体" w:hAnsi="宋体" w:cs="宋体"/>
                <w:b/>
                <w:bCs/>
                <w:color w:val="auto"/>
                <w:szCs w:val="21"/>
                <w:highlight w:val="none"/>
              </w:rPr>
              <w:t>2.4.6</w:t>
            </w:r>
            <w:r>
              <w:rPr>
                <w:rFonts w:hint="eastAsia" w:ascii="宋体" w:hAnsi="宋体" w:cs="宋体"/>
                <w:b/>
                <w:bCs/>
                <w:color w:val="auto"/>
                <w:szCs w:val="28"/>
                <w:highlight w:val="none"/>
              </w:rPr>
              <w:t>生物多样性评价</w:t>
            </w:r>
          </w:p>
          <w:p>
            <w:pPr>
              <w:spacing w:line="320" w:lineRule="exact"/>
              <w:ind w:firstLine="422" w:firstLineChars="200"/>
              <w:rPr>
                <w:rFonts w:ascii="宋体" w:hAnsi="宋体" w:cs="宋体"/>
                <w:b/>
                <w:bCs/>
                <w:color w:val="auto"/>
                <w:szCs w:val="21"/>
                <w:highlight w:val="none"/>
              </w:rPr>
            </w:pPr>
            <w:r>
              <w:rPr>
                <w:rFonts w:hint="eastAsia" w:ascii="宋体" w:hAnsi="宋体" w:cs="宋体"/>
                <w:b/>
                <w:bCs/>
                <w:color w:val="auto"/>
                <w:szCs w:val="21"/>
                <w:highlight w:val="none"/>
              </w:rPr>
              <w:t>2.4.7大气污染物沉降入海通量评价</w:t>
            </w:r>
          </w:p>
          <w:p>
            <w:pPr>
              <w:spacing w:line="320" w:lineRule="exact"/>
              <w:rPr>
                <w:rFonts w:ascii="宋体" w:hAnsi="宋体" w:cs="宋体"/>
                <w:b/>
                <w:bCs/>
                <w:color w:val="auto"/>
                <w:szCs w:val="21"/>
                <w:highlight w:val="none"/>
              </w:rPr>
            </w:pPr>
            <w:r>
              <w:rPr>
                <w:rFonts w:hint="eastAsia" w:ascii="宋体" w:hAnsi="宋体" w:cs="宋体"/>
                <w:b/>
                <w:bCs/>
                <w:color w:val="auto"/>
                <w:szCs w:val="21"/>
                <w:highlight w:val="none"/>
              </w:rPr>
              <w:t>2.5数据报表</w:t>
            </w:r>
          </w:p>
          <w:p>
            <w:pPr>
              <w:spacing w:line="320" w:lineRule="exact"/>
              <w:ind w:firstLine="420" w:firstLineChars="200"/>
              <w:rPr>
                <w:rFonts w:ascii="宋体" w:hAnsi="宋体" w:cs="宋体"/>
                <w:color w:val="auto"/>
                <w:szCs w:val="21"/>
                <w:highlight w:val="none"/>
              </w:rPr>
            </w:pPr>
            <w:r>
              <w:rPr>
                <w:rFonts w:hint="eastAsia" w:ascii="宋体" w:hAnsi="宋体" w:cs="宋体"/>
                <w:color w:val="auto"/>
                <w:szCs w:val="28"/>
                <w:highlight w:val="none"/>
              </w:rPr>
              <w:t>以监测结果数据为基础，引用环境监测评价规则，形成等级评价结果、超标数据等数值，按照时间、空间等维度进行综合应用，满足数据查看、评价、分析、导出的需求，可选择不同模板</w:t>
            </w:r>
            <w:r>
              <w:rPr>
                <w:rFonts w:hint="eastAsia" w:ascii="宋体" w:hAnsi="宋体" w:cs="宋体"/>
                <w:color w:val="auto"/>
                <w:szCs w:val="21"/>
                <w:highlight w:val="none"/>
              </w:rPr>
              <w:t>。包括海洋统计表、入海河流统计表、入海污染源统计表、生物质量统计表、沉积物统计表、生物多样性报表、总体水质结果统计表、大气污染物沉降结果统计表等。</w:t>
            </w:r>
          </w:p>
          <w:p>
            <w:pPr>
              <w:pStyle w:val="35"/>
              <w:spacing w:line="320" w:lineRule="exact"/>
              <w:rPr>
                <w:rFonts w:ascii="宋体" w:hAnsi="宋体" w:cs="宋体"/>
                <w:b/>
                <w:bCs/>
                <w:color w:val="auto"/>
                <w:sz w:val="21"/>
                <w:szCs w:val="21"/>
                <w:highlight w:val="none"/>
              </w:rPr>
            </w:pPr>
            <w:r>
              <w:rPr>
                <w:rFonts w:hint="eastAsia" w:ascii="宋体" w:hAnsi="宋体" w:cs="宋体"/>
                <w:color w:val="auto"/>
                <w:sz w:val="21"/>
                <w:szCs w:val="21"/>
                <w:highlight w:val="none"/>
              </w:rPr>
              <w:t xml:space="preserve">   </w:t>
            </w:r>
            <w:r>
              <w:rPr>
                <w:rFonts w:hint="eastAsia" w:ascii="宋体" w:hAnsi="宋体" w:cs="宋体"/>
                <w:b/>
                <w:bCs/>
                <w:color w:val="auto"/>
                <w:sz w:val="21"/>
                <w:szCs w:val="21"/>
                <w:highlight w:val="none"/>
              </w:rPr>
              <w:t xml:space="preserve"> 2.5.1海洋统计表：</w:t>
            </w:r>
            <w:r>
              <w:rPr>
                <w:rFonts w:hint="eastAsia" w:ascii="宋体" w:hAnsi="宋体" w:cs="宋体"/>
                <w:color w:val="auto"/>
                <w:sz w:val="21"/>
                <w:szCs w:val="21"/>
                <w:highlight w:val="none"/>
              </w:rPr>
              <w:t>根据海水环境质量基础信息、监测内容、评价指标等信息对监测数据、评价结果进行分析。基于海洋站实际工作情况，开发环境监测报表模板，可根据模板展示内容快速生成环境监测报表。</w:t>
            </w:r>
          </w:p>
          <w:p>
            <w:pPr>
              <w:spacing w:line="320" w:lineRule="exact"/>
              <w:ind w:firstLine="422" w:firstLineChars="200"/>
              <w:rPr>
                <w:rFonts w:ascii="宋体" w:hAnsi="宋体" w:cs="宋体"/>
                <w:b/>
                <w:bCs/>
                <w:color w:val="auto"/>
                <w:szCs w:val="21"/>
                <w:highlight w:val="none"/>
              </w:rPr>
            </w:pPr>
            <w:r>
              <w:rPr>
                <w:rFonts w:hint="eastAsia" w:ascii="宋体" w:hAnsi="宋体" w:cs="宋体"/>
                <w:b/>
                <w:bCs/>
                <w:color w:val="auto"/>
                <w:szCs w:val="21"/>
                <w:highlight w:val="none"/>
              </w:rPr>
              <w:t>2.5.2入海河流统计表：</w:t>
            </w:r>
            <w:r>
              <w:rPr>
                <w:rFonts w:hint="eastAsia" w:ascii="宋体" w:hAnsi="宋体" w:cs="宋体"/>
                <w:color w:val="auto"/>
                <w:szCs w:val="28"/>
                <w:highlight w:val="none"/>
              </w:rPr>
              <w:t>根据海洋沉积物基础信息、监测内容、评价指标等信息对监测数据、评价结果进行分析。基于海洋站实际工作情况，开发环境监测报表模板，可根据模板展示内容快速生成环境监测报表。</w:t>
            </w:r>
          </w:p>
          <w:p>
            <w:pPr>
              <w:spacing w:line="320" w:lineRule="exact"/>
              <w:rPr>
                <w:rFonts w:ascii="宋体" w:hAnsi="宋体" w:cs="宋体"/>
                <w:b/>
                <w:bCs/>
                <w:color w:val="auto"/>
                <w:szCs w:val="21"/>
                <w:highlight w:val="none"/>
              </w:rPr>
            </w:pPr>
            <w:r>
              <w:rPr>
                <w:rFonts w:hint="eastAsia" w:ascii="宋体" w:hAnsi="宋体" w:cs="宋体"/>
                <w:b/>
                <w:bCs/>
                <w:color w:val="auto"/>
                <w:szCs w:val="21"/>
                <w:highlight w:val="none"/>
              </w:rPr>
              <w:t xml:space="preserve">    2.5.3</w:t>
            </w:r>
            <w:r>
              <w:rPr>
                <w:rFonts w:hint="eastAsia" w:ascii="宋体" w:hAnsi="宋体" w:cs="宋体"/>
                <w:b/>
                <w:bCs/>
                <w:color w:val="auto"/>
                <w:szCs w:val="28"/>
                <w:highlight w:val="none"/>
              </w:rPr>
              <w:t>入海污染源统计表：</w:t>
            </w:r>
            <w:r>
              <w:rPr>
                <w:rFonts w:hint="eastAsia" w:ascii="宋体" w:hAnsi="宋体" w:cs="宋体"/>
                <w:color w:val="auto"/>
                <w:szCs w:val="28"/>
                <w:highlight w:val="none"/>
              </w:rPr>
              <w:t>根据入海污染源基础信息、监测内容、评价指标等信息对监测数据、评价结果进行分析。基于海洋站实际工作情况，开发环境监测报表模板，可根据模板展示内容快速生成环境监测报表。</w:t>
            </w:r>
          </w:p>
          <w:p>
            <w:pPr>
              <w:spacing w:line="320" w:lineRule="exact"/>
              <w:ind w:firstLine="422" w:firstLineChars="200"/>
              <w:rPr>
                <w:rFonts w:ascii="宋体" w:hAnsi="宋体" w:cs="宋体"/>
                <w:color w:val="auto"/>
                <w:szCs w:val="28"/>
                <w:highlight w:val="none"/>
              </w:rPr>
            </w:pPr>
            <w:r>
              <w:rPr>
                <w:rFonts w:hint="eastAsia" w:ascii="宋体" w:hAnsi="宋体" w:cs="宋体"/>
                <w:b/>
                <w:bCs/>
                <w:color w:val="auto"/>
                <w:szCs w:val="21"/>
                <w:highlight w:val="none"/>
              </w:rPr>
              <w:t>2.5.4</w:t>
            </w:r>
            <w:r>
              <w:rPr>
                <w:rFonts w:hint="eastAsia" w:ascii="宋体" w:hAnsi="宋体" w:cs="宋体"/>
                <w:b/>
                <w:bCs/>
                <w:color w:val="auto"/>
                <w:szCs w:val="28"/>
                <w:highlight w:val="none"/>
              </w:rPr>
              <w:t>生物质量统计表：</w:t>
            </w:r>
            <w:r>
              <w:rPr>
                <w:rFonts w:hint="eastAsia" w:ascii="宋体" w:hAnsi="宋体" w:cs="宋体"/>
                <w:color w:val="auto"/>
                <w:szCs w:val="28"/>
                <w:highlight w:val="none"/>
              </w:rPr>
              <w:t>根据生物质量基础信息、监测内容、评价指标等信息对监测数据、评价结果进行分析。基于海洋站实际工作情况，开发环境监测报表模板，可根据模板展示内容快速生成环境监测报表。</w:t>
            </w:r>
          </w:p>
          <w:p>
            <w:pPr>
              <w:spacing w:line="320" w:lineRule="exact"/>
              <w:ind w:firstLine="422" w:firstLineChars="200"/>
              <w:rPr>
                <w:rFonts w:ascii="宋体" w:hAnsi="宋体" w:cs="宋体"/>
                <w:b/>
                <w:bCs/>
                <w:color w:val="auto"/>
                <w:szCs w:val="21"/>
                <w:highlight w:val="none"/>
              </w:rPr>
            </w:pPr>
            <w:r>
              <w:rPr>
                <w:rFonts w:hint="eastAsia" w:ascii="宋体" w:hAnsi="宋体" w:cs="宋体"/>
                <w:b/>
                <w:bCs/>
                <w:color w:val="auto"/>
                <w:szCs w:val="21"/>
                <w:highlight w:val="none"/>
              </w:rPr>
              <w:t>2.5.5</w:t>
            </w:r>
            <w:r>
              <w:rPr>
                <w:rFonts w:hint="eastAsia" w:ascii="宋体" w:hAnsi="宋体" w:cs="宋体"/>
                <w:b/>
                <w:bCs/>
                <w:color w:val="auto"/>
                <w:szCs w:val="28"/>
                <w:highlight w:val="none"/>
              </w:rPr>
              <w:t>沉积物统计表：</w:t>
            </w:r>
            <w:r>
              <w:rPr>
                <w:rFonts w:hint="eastAsia" w:ascii="宋体" w:hAnsi="宋体" w:cs="宋体"/>
                <w:color w:val="auto"/>
                <w:szCs w:val="28"/>
                <w:highlight w:val="none"/>
              </w:rPr>
              <w:t>根据沉积物基础信息、监测内容、评价指标等信息对监测数据、评价结果进行分析。基于海洋站实际工作情况，开发环境监测报表模板，可根据模板展示内容快速生成环境监测报表。</w:t>
            </w:r>
          </w:p>
          <w:p>
            <w:pPr>
              <w:spacing w:line="320" w:lineRule="exact"/>
              <w:ind w:firstLine="422" w:firstLineChars="200"/>
              <w:rPr>
                <w:rFonts w:ascii="宋体" w:hAnsi="宋体" w:cs="宋体"/>
                <w:b/>
                <w:bCs/>
                <w:color w:val="auto"/>
                <w:szCs w:val="21"/>
                <w:highlight w:val="none"/>
              </w:rPr>
            </w:pPr>
            <w:r>
              <w:rPr>
                <w:rFonts w:hint="eastAsia" w:ascii="宋体" w:hAnsi="宋体" w:cs="宋体"/>
                <w:b/>
                <w:bCs/>
                <w:color w:val="auto"/>
                <w:szCs w:val="21"/>
                <w:highlight w:val="none"/>
              </w:rPr>
              <w:t>2.5.6</w:t>
            </w:r>
            <w:r>
              <w:rPr>
                <w:rFonts w:hint="eastAsia" w:ascii="宋体" w:hAnsi="宋体" w:cs="宋体"/>
                <w:b/>
                <w:bCs/>
                <w:color w:val="auto"/>
                <w:szCs w:val="28"/>
                <w:highlight w:val="none"/>
              </w:rPr>
              <w:t>生物多样性报表：</w:t>
            </w:r>
            <w:r>
              <w:rPr>
                <w:rFonts w:hint="eastAsia" w:ascii="宋体" w:hAnsi="宋体" w:cs="宋体"/>
                <w:color w:val="auto"/>
                <w:szCs w:val="28"/>
                <w:highlight w:val="none"/>
              </w:rPr>
              <w:t>根据生物多样性基础信息、监测内容、评价指标等信息对监测数据、评价结果进行分析。基于海洋站实际工作情况，开发环境监测报表模板，可根据模板展示内容快速生成环境监测报表。</w:t>
            </w:r>
          </w:p>
          <w:p>
            <w:pPr>
              <w:spacing w:line="320" w:lineRule="exact"/>
              <w:ind w:firstLine="422" w:firstLineChars="200"/>
              <w:rPr>
                <w:rFonts w:ascii="宋体" w:hAnsi="宋体" w:cs="宋体"/>
                <w:color w:val="auto"/>
                <w:szCs w:val="28"/>
                <w:highlight w:val="none"/>
              </w:rPr>
            </w:pPr>
            <w:r>
              <w:rPr>
                <w:rFonts w:hint="eastAsia" w:ascii="宋体" w:hAnsi="宋体" w:cs="宋体"/>
                <w:b/>
                <w:bCs/>
                <w:color w:val="auto"/>
                <w:szCs w:val="21"/>
                <w:highlight w:val="none"/>
              </w:rPr>
              <w:t>2.5.7</w:t>
            </w:r>
            <w:r>
              <w:rPr>
                <w:rFonts w:hint="eastAsia" w:ascii="宋体" w:hAnsi="宋体" w:cs="宋体"/>
                <w:b/>
                <w:bCs/>
                <w:color w:val="auto"/>
                <w:szCs w:val="28"/>
                <w:highlight w:val="none"/>
              </w:rPr>
              <w:t>总体水质结果统计表：</w:t>
            </w:r>
            <w:r>
              <w:rPr>
                <w:rFonts w:hint="eastAsia" w:ascii="宋体" w:hAnsi="宋体" w:cs="宋体"/>
                <w:color w:val="auto"/>
                <w:szCs w:val="28"/>
                <w:highlight w:val="none"/>
              </w:rPr>
              <w:t>根据涉海洋监测的水质数据，基于海洋站实际工作情况和报表模板，开发总体水质结果统计表等，可根据模板展示内容快速生成环境监测所需要的相关报表。</w:t>
            </w:r>
          </w:p>
          <w:p>
            <w:pPr>
              <w:pStyle w:val="2"/>
              <w:ind w:left="0" w:firstLine="422" w:firstLineChars="200"/>
              <w:rPr>
                <w:rFonts w:ascii="宋体" w:hAnsi="宋体" w:cs="宋体"/>
                <w:color w:val="auto"/>
                <w:kern w:val="2"/>
                <w:sz w:val="21"/>
                <w:szCs w:val="28"/>
                <w:highlight w:val="none"/>
              </w:rPr>
            </w:pPr>
            <w:r>
              <w:rPr>
                <w:rFonts w:hint="eastAsia" w:ascii="宋体" w:hAnsi="宋体" w:cs="宋体"/>
                <w:b/>
                <w:bCs/>
                <w:color w:val="auto"/>
                <w:kern w:val="2"/>
                <w:sz w:val="21"/>
                <w:szCs w:val="21"/>
                <w:highlight w:val="none"/>
              </w:rPr>
              <w:t>2.5.8大气污染物沉降结果统计报表：</w:t>
            </w:r>
            <w:r>
              <w:rPr>
                <w:rFonts w:hint="eastAsia" w:ascii="宋体" w:hAnsi="宋体" w:cs="宋体"/>
                <w:color w:val="auto"/>
                <w:kern w:val="2"/>
                <w:sz w:val="21"/>
                <w:szCs w:val="28"/>
                <w:highlight w:val="none"/>
              </w:rPr>
              <w:t>根据</w:t>
            </w:r>
            <w:r>
              <w:rPr>
                <w:rFonts w:hint="eastAsia" w:ascii="宋体" w:hAnsi="宋体" w:cs="宋体"/>
                <w:color w:val="auto"/>
                <w:kern w:val="2"/>
                <w:sz w:val="21"/>
                <w:szCs w:val="21"/>
                <w:highlight w:val="none"/>
              </w:rPr>
              <w:t>大气污染物沉降</w:t>
            </w:r>
            <w:r>
              <w:rPr>
                <w:rFonts w:hint="eastAsia" w:ascii="宋体" w:hAnsi="宋体" w:cs="宋体"/>
                <w:color w:val="auto"/>
                <w:kern w:val="2"/>
                <w:sz w:val="21"/>
                <w:szCs w:val="28"/>
                <w:highlight w:val="none"/>
              </w:rPr>
              <w:t>基础信息、监测内容、评价指标等信息对监测数据、评价结果进行分析。开发环境监测报表模板，可根据模板展示内容快速生成环境监测报表。</w:t>
            </w:r>
          </w:p>
          <w:p>
            <w:pPr>
              <w:spacing w:line="320" w:lineRule="exact"/>
              <w:rPr>
                <w:rFonts w:ascii="宋体" w:hAnsi="宋体" w:cs="宋体"/>
                <w:b/>
                <w:bCs/>
                <w:color w:val="auto"/>
                <w:szCs w:val="21"/>
                <w:highlight w:val="none"/>
              </w:rPr>
            </w:pPr>
            <w:r>
              <w:rPr>
                <w:rFonts w:hint="eastAsia" w:ascii="宋体" w:hAnsi="宋体" w:cs="宋体"/>
                <w:b/>
                <w:bCs/>
                <w:color w:val="auto"/>
                <w:szCs w:val="21"/>
                <w:highlight w:val="none"/>
              </w:rPr>
              <w:t>2.6 蓝碳监测评价</w:t>
            </w:r>
          </w:p>
          <w:p>
            <w:pPr>
              <w:pStyle w:val="2"/>
              <w:ind w:left="0" w:firstLine="420" w:firstLineChars="200"/>
              <w:rPr>
                <w:rFonts w:ascii="宋体" w:hAnsi="宋体" w:cs="宋体"/>
                <w:color w:val="auto"/>
                <w:kern w:val="2"/>
                <w:sz w:val="21"/>
                <w:szCs w:val="28"/>
                <w:highlight w:val="none"/>
              </w:rPr>
            </w:pPr>
            <w:r>
              <w:rPr>
                <w:rFonts w:hint="eastAsia" w:ascii="宋体" w:hAnsi="宋体" w:cs="宋体"/>
                <w:color w:val="auto"/>
                <w:kern w:val="2"/>
                <w:sz w:val="21"/>
                <w:szCs w:val="28"/>
                <w:highlight w:val="none"/>
              </w:rPr>
              <w:t>新增蓝碳监测评价模块，其中包含生态系统系统碳储量调查与评估和海洋碳汇监测调查两部分。</w:t>
            </w:r>
          </w:p>
          <w:p>
            <w:pPr>
              <w:pStyle w:val="2"/>
              <w:ind w:left="0" w:firstLine="422" w:firstLineChars="200"/>
              <w:rPr>
                <w:rFonts w:ascii="宋体" w:hAnsi="宋体" w:cs="宋体"/>
                <w:b/>
                <w:bCs/>
                <w:color w:val="auto"/>
                <w:kern w:val="2"/>
                <w:sz w:val="21"/>
                <w:szCs w:val="28"/>
                <w:highlight w:val="none"/>
              </w:rPr>
            </w:pPr>
            <w:r>
              <w:rPr>
                <w:rFonts w:hint="eastAsia" w:ascii="宋体" w:hAnsi="宋体" w:cs="宋体"/>
                <w:b/>
                <w:bCs/>
                <w:color w:val="auto"/>
                <w:kern w:val="2"/>
                <w:sz w:val="21"/>
                <w:szCs w:val="28"/>
                <w:highlight w:val="none"/>
              </w:rPr>
              <w:t>2.6.1生态系统碳储量评价</w:t>
            </w:r>
          </w:p>
          <w:p>
            <w:pPr>
              <w:pStyle w:val="2"/>
              <w:ind w:left="0" w:firstLine="420" w:firstLineChars="200"/>
              <w:rPr>
                <w:rFonts w:ascii="宋体" w:hAnsi="宋体" w:cs="宋体"/>
                <w:color w:val="auto"/>
                <w:kern w:val="2"/>
                <w:sz w:val="21"/>
                <w:szCs w:val="28"/>
                <w:highlight w:val="none"/>
              </w:rPr>
            </w:pPr>
            <w:r>
              <w:rPr>
                <w:rFonts w:hint="eastAsia" w:ascii="宋体" w:hAnsi="宋体" w:cs="宋体"/>
                <w:color w:val="auto"/>
                <w:kern w:val="2"/>
                <w:sz w:val="21"/>
                <w:szCs w:val="28"/>
                <w:highlight w:val="none"/>
              </w:rPr>
              <w:t>参照《红树林生态系统碳储量调查与评估技术规程》等内容，系统按照提供表式可实现人工录入或半结构化导入红树植被中的调查要素（如植株密度、株高、胸径等），以及使用实验室管理系统产生的沉积物等数据，通过红树植物地上/地下生物量异速生长方程等计算植物碳储量、沉积物碳储量和凋落物碳储量，最终计算总碳储量。</w:t>
            </w:r>
          </w:p>
          <w:p>
            <w:pPr>
              <w:pStyle w:val="2"/>
              <w:ind w:left="0" w:firstLine="422" w:firstLineChars="200"/>
              <w:rPr>
                <w:rFonts w:ascii="宋体" w:hAnsi="宋体" w:cs="宋体"/>
                <w:color w:val="auto"/>
                <w:kern w:val="2"/>
                <w:sz w:val="21"/>
                <w:szCs w:val="28"/>
                <w:highlight w:val="none"/>
              </w:rPr>
            </w:pPr>
            <w:r>
              <w:rPr>
                <w:rFonts w:hint="eastAsia" w:ascii="宋体" w:hAnsi="宋体" w:cs="宋体"/>
                <w:b/>
                <w:bCs/>
                <w:color w:val="auto"/>
                <w:kern w:val="2"/>
                <w:sz w:val="21"/>
                <w:szCs w:val="28"/>
                <w:highlight w:val="none"/>
              </w:rPr>
              <w:t>2.6.2海洋碳汇监测评价</w:t>
            </w:r>
          </w:p>
          <w:p>
            <w:pPr>
              <w:pStyle w:val="2"/>
              <w:ind w:left="0" w:firstLine="420" w:firstLineChars="200"/>
              <w:rPr>
                <w:rFonts w:ascii="宋体" w:hAnsi="宋体" w:cs="宋体"/>
                <w:color w:val="auto"/>
                <w:kern w:val="2"/>
                <w:sz w:val="21"/>
                <w:szCs w:val="28"/>
                <w:highlight w:val="none"/>
              </w:rPr>
            </w:pPr>
            <w:r>
              <w:rPr>
                <w:rFonts w:hint="eastAsia" w:ascii="宋体" w:hAnsi="宋体" w:cs="宋体"/>
                <w:color w:val="auto"/>
                <w:kern w:val="2"/>
                <w:sz w:val="21"/>
                <w:szCs w:val="28"/>
                <w:highlight w:val="none"/>
              </w:rPr>
              <w:t>系统按照提供表式可实现人工录入、半结构化导入二氧化碳走航数据、红树植被中的调查要素（如植株密度、株高、胸径等）等，以及使用实验室管理系统产生的总溶解无机碳、总碱度等数据，通过相关公式计算海气二氧化碳交换通量以及区域红树林湿地与二氧化碳通量监测等。</w:t>
            </w:r>
          </w:p>
          <w:p>
            <w:pPr>
              <w:spacing w:line="320" w:lineRule="exact"/>
              <w:rPr>
                <w:rFonts w:ascii="宋体" w:hAnsi="宋体" w:cs="宋体"/>
                <w:b/>
                <w:bCs/>
                <w:color w:val="auto"/>
                <w:szCs w:val="21"/>
                <w:highlight w:val="none"/>
              </w:rPr>
            </w:pPr>
            <w:r>
              <w:rPr>
                <w:rFonts w:hint="eastAsia" w:ascii="宋体" w:hAnsi="宋体" w:cs="宋体"/>
                <w:b/>
                <w:bCs/>
                <w:color w:val="auto"/>
                <w:szCs w:val="21"/>
                <w:highlight w:val="none"/>
              </w:rPr>
              <w:t>2.7可视化分析</w:t>
            </w:r>
          </w:p>
          <w:p>
            <w:pPr>
              <w:spacing w:line="320" w:lineRule="exact"/>
              <w:ind w:firstLine="420" w:firstLineChars="200"/>
              <w:rPr>
                <w:rFonts w:ascii="宋体" w:hAnsi="宋体" w:cs="宋体"/>
                <w:color w:val="auto"/>
                <w:szCs w:val="21"/>
                <w:highlight w:val="none"/>
              </w:rPr>
            </w:pPr>
            <w:r>
              <w:rPr>
                <w:rFonts w:hint="eastAsia" w:ascii="宋体" w:hAnsi="宋体" w:cs="宋体"/>
                <w:color w:val="auto"/>
                <w:szCs w:val="28"/>
                <w:highlight w:val="none"/>
              </w:rPr>
              <w:t>在广西“生态云”中的“海洋环境一张图”板块的可视化基础上增加广西海洋生态系统监测的展示，整个北部湾的水质、沉积物、生物质量等动态展示及关联分析，以及有别于“生态云”的监测点位和项目等个性化的差异化展示</w:t>
            </w:r>
            <w:r>
              <w:rPr>
                <w:rFonts w:hint="eastAsia" w:ascii="宋体" w:hAnsi="宋体" w:cs="宋体"/>
                <w:color w:val="auto"/>
                <w:szCs w:val="21"/>
                <w:highlight w:val="none"/>
              </w:rPr>
              <w:t>。</w:t>
            </w:r>
          </w:p>
          <w:p>
            <w:pPr>
              <w:spacing w:line="320" w:lineRule="exact"/>
              <w:rPr>
                <w:rFonts w:ascii="宋体" w:hAnsi="宋体" w:cs="宋体"/>
                <w:b/>
                <w:bCs/>
                <w:color w:val="auto"/>
                <w:szCs w:val="21"/>
                <w:highlight w:val="none"/>
              </w:rPr>
            </w:pPr>
            <w:r>
              <w:rPr>
                <w:rFonts w:hint="eastAsia" w:ascii="宋体" w:hAnsi="宋体" w:cs="宋体"/>
                <w:b/>
                <w:bCs/>
                <w:color w:val="auto"/>
                <w:szCs w:val="21"/>
                <w:highlight w:val="none"/>
              </w:rPr>
              <w:t>2.8决策支持专题</w:t>
            </w:r>
          </w:p>
          <w:p>
            <w:pPr>
              <w:spacing w:line="320" w:lineRule="exact"/>
              <w:ind w:firstLine="420" w:firstLineChars="200"/>
              <w:rPr>
                <w:rFonts w:ascii="宋体" w:hAnsi="宋体" w:cs="宋体"/>
                <w:color w:val="auto"/>
                <w:szCs w:val="21"/>
                <w:highlight w:val="none"/>
              </w:rPr>
            </w:pPr>
            <w:r>
              <w:rPr>
                <w:rFonts w:hint="eastAsia" w:ascii="宋体" w:hAnsi="宋体" w:cs="宋体"/>
                <w:color w:val="auto"/>
                <w:szCs w:val="28"/>
                <w:highlight w:val="none"/>
              </w:rPr>
              <w:t>在广西“生态云”中的“海洋环境一张图”板块中决策展示基础上，完善基于GIS地图上叠加展示的海水差值图、面积计算图，以及入海排污口、入海河流、自动监测站、生态系统点位等评价展示，支持图形导出功能和数据趋势分析</w:t>
            </w:r>
            <w:r>
              <w:rPr>
                <w:rFonts w:hint="eastAsia" w:ascii="宋体" w:hAnsi="宋体" w:cs="宋体"/>
                <w:color w:val="auto"/>
                <w:szCs w:val="21"/>
                <w:highlight w:val="none"/>
              </w:rPr>
              <w:t>。</w:t>
            </w:r>
          </w:p>
          <w:p>
            <w:pPr>
              <w:spacing w:line="320" w:lineRule="exact"/>
              <w:rPr>
                <w:rFonts w:ascii="宋体" w:hAnsi="宋体" w:cs="宋体"/>
                <w:b/>
                <w:bCs/>
                <w:color w:val="auto"/>
                <w:szCs w:val="21"/>
                <w:highlight w:val="none"/>
              </w:rPr>
            </w:pPr>
            <w:r>
              <w:rPr>
                <w:rFonts w:hint="eastAsia" w:ascii="宋体" w:hAnsi="宋体" w:cs="宋体"/>
                <w:b/>
                <w:bCs/>
                <w:color w:val="auto"/>
                <w:szCs w:val="21"/>
                <w:highlight w:val="none"/>
              </w:rPr>
              <w:t>3.综合业务管理模块升级</w:t>
            </w:r>
          </w:p>
          <w:p>
            <w:pPr>
              <w:spacing w:line="320" w:lineRule="exact"/>
              <w:rPr>
                <w:rFonts w:ascii="宋体" w:hAnsi="宋体" w:cs="宋体"/>
                <w:b/>
                <w:bCs/>
                <w:color w:val="auto"/>
                <w:szCs w:val="21"/>
                <w:highlight w:val="none"/>
              </w:rPr>
            </w:pPr>
            <w:r>
              <w:rPr>
                <w:rFonts w:hint="eastAsia" w:ascii="宋体" w:hAnsi="宋体" w:cs="宋体"/>
                <w:b/>
                <w:bCs/>
                <w:color w:val="auto"/>
                <w:szCs w:val="21"/>
                <w:highlight w:val="none"/>
              </w:rPr>
              <w:t>3.1系统流程优化</w:t>
            </w:r>
          </w:p>
          <w:p>
            <w:pPr>
              <w:spacing w:line="320" w:lineRule="exact"/>
              <w:ind w:firstLine="420" w:firstLineChars="200"/>
              <w:rPr>
                <w:rFonts w:ascii="宋体" w:hAnsi="宋体" w:cs="宋体"/>
                <w:color w:val="auto"/>
                <w:szCs w:val="21"/>
                <w:highlight w:val="none"/>
              </w:rPr>
            </w:pPr>
            <w:r>
              <w:rPr>
                <w:rFonts w:hint="eastAsia" w:ascii="宋体" w:hAnsi="宋体" w:cs="宋体"/>
                <w:color w:val="auto"/>
                <w:szCs w:val="28"/>
                <w:highlight w:val="none"/>
              </w:rPr>
              <w:t>对系统在用流程进行梳理，保留日常所需的业务流程，作废并删除已经失效的流程</w:t>
            </w:r>
            <w:r>
              <w:rPr>
                <w:rFonts w:hint="eastAsia" w:ascii="宋体" w:hAnsi="宋体" w:cs="宋体"/>
                <w:color w:val="auto"/>
                <w:szCs w:val="21"/>
                <w:highlight w:val="none"/>
              </w:rPr>
              <w:t>。</w:t>
            </w:r>
          </w:p>
          <w:p>
            <w:pPr>
              <w:spacing w:line="320" w:lineRule="exact"/>
              <w:rPr>
                <w:rFonts w:ascii="宋体" w:hAnsi="宋体" w:cs="宋体"/>
                <w:b/>
                <w:bCs/>
                <w:color w:val="auto"/>
                <w:szCs w:val="21"/>
                <w:highlight w:val="none"/>
              </w:rPr>
            </w:pPr>
            <w:r>
              <w:rPr>
                <w:rFonts w:hint="eastAsia" w:ascii="宋体" w:hAnsi="宋体" w:cs="宋体"/>
                <w:b/>
                <w:bCs/>
                <w:color w:val="auto"/>
                <w:szCs w:val="21"/>
                <w:highlight w:val="none"/>
              </w:rPr>
              <w:t>3.2流程新增</w:t>
            </w:r>
          </w:p>
          <w:p>
            <w:pPr>
              <w:spacing w:line="3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新增预算管理、维修申请、标书合同评审流程。</w:t>
            </w:r>
          </w:p>
          <w:p>
            <w:pPr>
              <w:spacing w:line="3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3.2.1预算管理</w:t>
            </w:r>
          </w:p>
          <w:p>
            <w:pPr>
              <w:spacing w:line="3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根据各科室制定的下一年采购计划，各科室在系统中对下一年需要使用以及实际使用的资金总量、拟采购事项</w:t>
            </w:r>
            <w:r>
              <w:rPr>
                <w:rFonts w:hint="eastAsia" w:ascii="宋体" w:hAnsi="宋体" w:cs="宋体"/>
                <w:color w:val="auto"/>
                <w:szCs w:val="28"/>
                <w:highlight w:val="none"/>
              </w:rPr>
              <w:t>等信息</w:t>
            </w:r>
            <w:r>
              <w:rPr>
                <w:rFonts w:hint="eastAsia" w:ascii="宋体" w:hAnsi="宋体" w:cs="宋体"/>
                <w:color w:val="auto"/>
                <w:szCs w:val="21"/>
                <w:highlight w:val="none"/>
              </w:rPr>
              <w:t>进行填写，并进行公示。</w:t>
            </w:r>
          </w:p>
          <w:p>
            <w:pPr>
              <w:spacing w:line="3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3.2.2维修申请</w:t>
            </w:r>
          </w:p>
          <w:p>
            <w:pPr>
              <w:spacing w:line="320" w:lineRule="exact"/>
              <w:ind w:firstLine="420" w:firstLineChars="200"/>
              <w:rPr>
                <w:rFonts w:ascii="宋体" w:hAnsi="宋体" w:cs="宋体"/>
                <w:color w:val="auto"/>
                <w:szCs w:val="21"/>
                <w:highlight w:val="none"/>
              </w:rPr>
            </w:pPr>
            <w:r>
              <w:rPr>
                <w:rFonts w:hint="eastAsia" w:ascii="宋体" w:hAnsi="宋体" w:cs="宋体"/>
                <w:color w:val="auto"/>
                <w:szCs w:val="28"/>
                <w:highlight w:val="none"/>
              </w:rPr>
              <w:t>对现有维修申请模块进行升级改造，删除不需要的维修申请类型，包括电脑/网络、水电、办公家具维修申请；根据申请表实际格式，对办公室车辆维修申请表单进行升级改造</w:t>
            </w:r>
            <w:r>
              <w:rPr>
                <w:rFonts w:hint="eastAsia" w:ascii="宋体" w:hAnsi="宋体" w:cs="宋体"/>
                <w:color w:val="auto"/>
                <w:szCs w:val="21"/>
                <w:highlight w:val="none"/>
              </w:rPr>
              <w:t>。</w:t>
            </w:r>
          </w:p>
          <w:p>
            <w:pPr>
              <w:spacing w:line="320" w:lineRule="exact"/>
              <w:ind w:firstLine="420" w:firstLineChars="200"/>
              <w:rPr>
                <w:rFonts w:ascii="宋体" w:hAnsi="宋体" w:cs="宋体"/>
                <w:b/>
                <w:bCs/>
                <w:color w:val="auto"/>
                <w:szCs w:val="21"/>
                <w:highlight w:val="none"/>
              </w:rPr>
            </w:pPr>
            <w:r>
              <w:rPr>
                <w:rFonts w:hint="eastAsia" w:ascii="宋体" w:hAnsi="宋体" w:cs="宋体"/>
                <w:color w:val="auto"/>
                <w:szCs w:val="21"/>
                <w:highlight w:val="none"/>
              </w:rPr>
              <w:t>3.2.3标书合同评审</w:t>
            </w:r>
          </w:p>
          <w:p>
            <w:pPr>
              <w:spacing w:line="320" w:lineRule="exact"/>
              <w:ind w:firstLine="420" w:firstLineChars="200"/>
              <w:rPr>
                <w:rFonts w:ascii="宋体" w:hAnsi="宋体" w:cs="宋体"/>
                <w:color w:val="auto"/>
                <w:szCs w:val="21"/>
                <w:highlight w:val="none"/>
              </w:rPr>
            </w:pPr>
            <w:r>
              <w:rPr>
                <w:rFonts w:hint="eastAsia" w:ascii="宋体" w:hAnsi="宋体" w:cs="宋体"/>
                <w:color w:val="auto"/>
                <w:szCs w:val="28"/>
                <w:highlight w:val="none"/>
              </w:rPr>
              <w:t>根据海洋站标书合同评审实际工作流程，在系统中新增标书合同评审流程，项目负责人填写项目性质、合同概况之后，发起合同评审流程，流程发起后流转至相应负责人处进行层层审核并填写意见，最终可基于海洋站《标书/合同评审表》模板，自动生成材料，并提供材料打印功能。</w:t>
            </w:r>
          </w:p>
          <w:p>
            <w:pPr>
              <w:spacing w:line="320" w:lineRule="exact"/>
              <w:rPr>
                <w:rFonts w:ascii="宋体" w:hAnsi="宋体" w:cs="宋体"/>
                <w:b/>
                <w:bCs/>
                <w:color w:val="auto"/>
                <w:szCs w:val="21"/>
                <w:highlight w:val="none"/>
              </w:rPr>
            </w:pPr>
            <w:r>
              <w:rPr>
                <w:rFonts w:hint="eastAsia" w:ascii="宋体" w:hAnsi="宋体" w:cs="宋体"/>
                <w:b/>
                <w:bCs/>
                <w:color w:val="auto"/>
                <w:szCs w:val="21"/>
                <w:highlight w:val="none"/>
              </w:rPr>
              <w:t>3.3功能新增</w:t>
            </w:r>
          </w:p>
          <w:p>
            <w:pPr>
              <w:spacing w:line="3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新增信息公示、科研内容查询、任务查询、资产管理、内部事项、短信提醒、会议材料专栏功能。</w:t>
            </w:r>
          </w:p>
          <w:p>
            <w:pPr>
              <w:spacing w:line="320" w:lineRule="exact"/>
              <w:ind w:firstLine="422" w:firstLineChars="200"/>
              <w:rPr>
                <w:rFonts w:ascii="宋体" w:hAnsi="宋体" w:cs="宋体"/>
                <w:b/>
                <w:bCs/>
                <w:color w:val="auto"/>
                <w:szCs w:val="21"/>
                <w:highlight w:val="none"/>
              </w:rPr>
            </w:pPr>
            <w:r>
              <w:rPr>
                <w:rFonts w:hint="eastAsia" w:ascii="宋体" w:hAnsi="宋体" w:cs="宋体"/>
                <w:b/>
                <w:bCs/>
                <w:color w:val="auto"/>
                <w:szCs w:val="21"/>
                <w:highlight w:val="none"/>
              </w:rPr>
              <w:t>3.3.1信息公示</w:t>
            </w:r>
          </w:p>
          <w:p>
            <w:pPr>
              <w:spacing w:line="3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新增信息公示功能，能够在主页选择添加重要信息的滚动条，如喜报，各类重要公示结果等。</w:t>
            </w:r>
          </w:p>
          <w:p>
            <w:pPr>
              <w:spacing w:line="320" w:lineRule="exact"/>
              <w:ind w:firstLine="422" w:firstLineChars="200"/>
              <w:rPr>
                <w:rFonts w:ascii="宋体" w:hAnsi="宋体" w:cs="宋体"/>
                <w:color w:val="auto"/>
                <w:szCs w:val="21"/>
                <w:highlight w:val="none"/>
              </w:rPr>
            </w:pPr>
            <w:r>
              <w:rPr>
                <w:rFonts w:hint="eastAsia" w:ascii="宋体" w:hAnsi="宋体" w:cs="宋体"/>
                <w:b/>
                <w:bCs/>
                <w:color w:val="auto"/>
                <w:szCs w:val="21"/>
                <w:highlight w:val="none"/>
              </w:rPr>
              <w:t>3.3.2科研管理</w:t>
            </w:r>
          </w:p>
          <w:p>
            <w:pPr>
              <w:spacing w:line="320" w:lineRule="exact"/>
              <w:ind w:firstLine="420" w:firstLineChars="200"/>
              <w:rPr>
                <w:rFonts w:ascii="宋体" w:hAnsi="宋体" w:cs="宋体"/>
                <w:color w:val="auto"/>
                <w:szCs w:val="28"/>
                <w:highlight w:val="none"/>
              </w:rPr>
            </w:pPr>
            <w:r>
              <w:rPr>
                <w:rFonts w:hint="eastAsia" w:ascii="宋体" w:hAnsi="宋体" w:cs="宋体"/>
                <w:color w:val="auto"/>
                <w:szCs w:val="28"/>
                <w:highlight w:val="none"/>
              </w:rPr>
              <w:t>新增科研管理功能，</w:t>
            </w:r>
            <w:bookmarkStart w:id="45" w:name="_Hlk102167635"/>
            <w:r>
              <w:rPr>
                <w:rFonts w:hint="eastAsia" w:ascii="宋体" w:hAnsi="宋体" w:cs="宋体"/>
                <w:color w:val="auto"/>
                <w:szCs w:val="28"/>
                <w:highlight w:val="none"/>
              </w:rPr>
              <w:t>科室人员可以将中心涉及的专利、软著、标准以及论文进行新增录入、删除、修改操作，并支持查询和内容导出</w:t>
            </w:r>
            <w:bookmarkEnd w:id="45"/>
            <w:r>
              <w:rPr>
                <w:rFonts w:hint="eastAsia" w:ascii="宋体" w:hAnsi="宋体" w:cs="宋体"/>
                <w:color w:val="auto"/>
                <w:szCs w:val="28"/>
                <w:highlight w:val="none"/>
              </w:rPr>
              <w:t>。</w:t>
            </w:r>
          </w:p>
          <w:p>
            <w:pPr>
              <w:spacing w:line="320" w:lineRule="exact"/>
              <w:ind w:firstLine="420" w:firstLineChars="200"/>
              <w:rPr>
                <w:rFonts w:ascii="宋体" w:hAnsi="宋体" w:cs="宋体"/>
                <w:color w:val="auto"/>
                <w:szCs w:val="28"/>
                <w:highlight w:val="none"/>
              </w:rPr>
            </w:pPr>
            <w:r>
              <w:rPr>
                <w:rFonts w:hint="eastAsia" w:ascii="宋体" w:hAnsi="宋体" w:cs="宋体"/>
                <w:color w:val="auto"/>
                <w:szCs w:val="21"/>
                <w:highlight w:val="none"/>
              </w:rPr>
              <w:t>（1）</w:t>
            </w:r>
            <w:r>
              <w:rPr>
                <w:rFonts w:hint="eastAsia" w:ascii="宋体" w:hAnsi="宋体" w:cs="宋体"/>
                <w:color w:val="auto"/>
                <w:highlight w:val="none"/>
              </w:rPr>
              <w:t>专利管理：</w:t>
            </w:r>
            <w:r>
              <w:rPr>
                <w:rFonts w:hint="eastAsia" w:ascii="宋体" w:hAnsi="宋体" w:cs="宋体"/>
                <w:color w:val="auto"/>
                <w:szCs w:val="28"/>
                <w:highlight w:val="none"/>
              </w:rPr>
              <w:t>新增专利管理功能，科室人员可以将中心涉及的专利进行新增录入、删除、修改操作，并支持查询和内容导出。包括专利名称、类型（发明专利、实用新型专利、外观专利）、发明人、专利号、专利权人、证书号、授权公告日、授权公告号、内容简介、续费与否（是/否）、续费截止日期、附件（上传-专利授权证书等）。</w:t>
            </w:r>
          </w:p>
          <w:p>
            <w:pPr>
              <w:spacing w:line="320" w:lineRule="exact"/>
              <w:ind w:firstLine="420" w:firstLineChars="200"/>
              <w:rPr>
                <w:rFonts w:ascii="宋体" w:hAnsi="宋体" w:cs="宋体"/>
                <w:color w:val="auto"/>
                <w:szCs w:val="28"/>
                <w:highlight w:val="none"/>
              </w:rPr>
            </w:pPr>
            <w:r>
              <w:rPr>
                <w:rFonts w:hint="eastAsia" w:ascii="宋体" w:hAnsi="宋体" w:cs="宋体"/>
                <w:color w:val="auto"/>
                <w:szCs w:val="28"/>
                <w:highlight w:val="none"/>
              </w:rPr>
              <w:t>（2）软著管理：新增软著管理功能，科室人员可以将中心涉及的软著进行新增录入、删除、修改操作，并支持查询和内容导出。包括软件名称、著作权人、证书号、内容简介、续费与否（是/否）、缴费截止日期、首次发表日期、登记号、附件（上传-计算机软件著作登记证书等）。</w:t>
            </w:r>
          </w:p>
          <w:p>
            <w:pPr>
              <w:spacing w:line="320" w:lineRule="exact"/>
              <w:ind w:firstLine="420" w:firstLineChars="200"/>
              <w:rPr>
                <w:rFonts w:ascii="宋体" w:hAnsi="宋体" w:cs="宋体"/>
                <w:color w:val="auto"/>
                <w:szCs w:val="28"/>
                <w:highlight w:val="none"/>
              </w:rPr>
            </w:pPr>
            <w:r>
              <w:rPr>
                <w:rFonts w:hint="eastAsia" w:ascii="宋体" w:hAnsi="宋体" w:cs="宋体"/>
                <w:color w:val="auto"/>
                <w:szCs w:val="28"/>
                <w:highlight w:val="none"/>
              </w:rPr>
              <w:t>（3）标准管理：新增标准管理功能，科室人员可以将中心涉及的标准进行新增录入、删除、修改操作，并支持查询和内容导出。包括国家标准、地方标准、团体标准、国家技术规范/规程、地方技术规范/规程等。</w:t>
            </w:r>
          </w:p>
          <w:p>
            <w:pPr>
              <w:spacing w:line="320" w:lineRule="exact"/>
              <w:ind w:firstLine="420" w:firstLineChars="200"/>
              <w:rPr>
                <w:rFonts w:ascii="宋体" w:hAnsi="宋体" w:cs="宋体"/>
                <w:color w:val="auto"/>
                <w:szCs w:val="28"/>
                <w:highlight w:val="none"/>
              </w:rPr>
            </w:pPr>
            <w:r>
              <w:rPr>
                <w:rFonts w:hint="eastAsia" w:ascii="宋体" w:hAnsi="宋体" w:cs="宋体"/>
                <w:color w:val="auto"/>
                <w:szCs w:val="28"/>
                <w:highlight w:val="none"/>
              </w:rPr>
              <w:t>（4）论文管理：新增论文管理功能，科室人员可以将中心涉及的论文进行新增录入、删除、修改操作，并支持查询和内容导出。包括论文名称、著作权人、论文发表年限、论文类型、附件等。</w:t>
            </w:r>
          </w:p>
          <w:p>
            <w:pPr>
              <w:spacing w:line="320" w:lineRule="exact"/>
              <w:ind w:firstLine="420" w:firstLineChars="200"/>
              <w:rPr>
                <w:rFonts w:ascii="宋体" w:hAnsi="宋体" w:cs="宋体"/>
                <w:color w:val="auto"/>
                <w:szCs w:val="21"/>
                <w:highlight w:val="none"/>
              </w:rPr>
            </w:pPr>
            <w:r>
              <w:rPr>
                <w:rFonts w:hint="eastAsia" w:ascii="宋体" w:hAnsi="宋体" w:cs="宋体"/>
                <w:color w:val="auto"/>
                <w:szCs w:val="28"/>
                <w:highlight w:val="none"/>
              </w:rPr>
              <w:t>（5）科研内容查询：</w:t>
            </w:r>
            <w:r>
              <w:rPr>
                <w:rFonts w:hint="eastAsia" w:ascii="宋体" w:hAnsi="宋体" w:cs="宋体"/>
                <w:color w:val="auto"/>
                <w:szCs w:val="21"/>
                <w:highlight w:val="none"/>
              </w:rPr>
              <w:t>系统提供科研内容查询功能，可以通过查询已录入的课题专项、专利、软著、标准等内容。查询结果支持导出，查询条件包括：</w:t>
            </w:r>
          </w:p>
          <w:p>
            <w:pPr>
              <w:spacing w:line="3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① 课题专项【以课题/项目名称、任务来源类型、时间（以“开始时间”的时间进行年度查询）、项目负责人进行分类】</w:t>
            </w:r>
          </w:p>
          <w:p>
            <w:pPr>
              <w:spacing w:line="3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专利【以专利名称、发明人、类型、专利号、时间（以“授权公告日”的时间进行年度查询）进行分类】</w:t>
            </w:r>
          </w:p>
          <w:p>
            <w:pPr>
              <w:spacing w:line="3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② 软著【以软件名称、著作权人、证书号、时间（首次发表日期中年度查询）进行分类】</w:t>
            </w:r>
          </w:p>
          <w:p>
            <w:pPr>
              <w:spacing w:line="3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③ 标准【以课题/项目名称、任务来源类型、时间（以“开始时间”的时间进行年度查询）、项目负责人进行分类】。</w:t>
            </w:r>
          </w:p>
          <w:p>
            <w:pPr>
              <w:spacing w:line="320" w:lineRule="exact"/>
              <w:ind w:firstLine="422" w:firstLineChars="200"/>
              <w:rPr>
                <w:rFonts w:ascii="宋体" w:hAnsi="宋体" w:cs="宋体"/>
                <w:b/>
                <w:bCs/>
                <w:color w:val="auto"/>
                <w:szCs w:val="21"/>
                <w:highlight w:val="none"/>
              </w:rPr>
            </w:pPr>
            <w:r>
              <w:rPr>
                <w:rFonts w:hint="eastAsia" w:ascii="宋体" w:hAnsi="宋体" w:cs="宋体"/>
                <w:b/>
                <w:bCs/>
                <w:color w:val="auto"/>
                <w:szCs w:val="21"/>
                <w:highlight w:val="none"/>
              </w:rPr>
              <w:t>3.3.3任务查询</w:t>
            </w:r>
          </w:p>
          <w:p>
            <w:pPr>
              <w:spacing w:line="320" w:lineRule="exact"/>
              <w:ind w:firstLine="420" w:firstLineChars="200"/>
              <w:rPr>
                <w:rFonts w:ascii="宋体" w:hAnsi="宋体" w:cs="宋体"/>
                <w:color w:val="auto"/>
                <w:szCs w:val="21"/>
                <w:highlight w:val="none"/>
              </w:rPr>
            </w:pPr>
            <w:r>
              <w:rPr>
                <w:rFonts w:hint="eastAsia" w:ascii="宋体" w:hAnsi="宋体" w:cs="宋体"/>
                <w:color w:val="auto"/>
                <w:szCs w:val="28"/>
                <w:highlight w:val="none"/>
              </w:rPr>
              <w:t>新增任务查询功能，科室人员可以查询本科室人员公文管理、内部事项处置情况信息，实时掌握业务工作动态</w:t>
            </w:r>
            <w:r>
              <w:rPr>
                <w:rFonts w:hint="eastAsia" w:ascii="宋体" w:hAnsi="宋体" w:cs="宋体"/>
                <w:color w:val="auto"/>
                <w:szCs w:val="21"/>
                <w:highlight w:val="none"/>
              </w:rPr>
              <w:t>。</w:t>
            </w:r>
          </w:p>
          <w:p>
            <w:pPr>
              <w:spacing w:line="320" w:lineRule="exact"/>
              <w:ind w:firstLine="422" w:firstLineChars="200"/>
              <w:rPr>
                <w:rFonts w:ascii="宋体" w:hAnsi="宋体" w:cs="宋体"/>
                <w:b/>
                <w:bCs/>
                <w:color w:val="auto"/>
                <w:szCs w:val="21"/>
                <w:highlight w:val="none"/>
              </w:rPr>
            </w:pPr>
            <w:r>
              <w:rPr>
                <w:rFonts w:hint="eastAsia" w:ascii="宋体" w:hAnsi="宋体" w:cs="宋体"/>
                <w:b/>
                <w:bCs/>
                <w:color w:val="auto"/>
                <w:szCs w:val="21"/>
                <w:highlight w:val="none"/>
              </w:rPr>
              <w:t>3.3.4资产管理</w:t>
            </w:r>
          </w:p>
          <w:p>
            <w:pPr>
              <w:spacing w:line="320" w:lineRule="exact"/>
              <w:ind w:firstLine="420" w:firstLineChars="200"/>
              <w:rPr>
                <w:rFonts w:ascii="宋体" w:hAnsi="宋体" w:cs="宋体"/>
                <w:color w:val="auto"/>
                <w:szCs w:val="21"/>
                <w:highlight w:val="none"/>
              </w:rPr>
            </w:pPr>
            <w:r>
              <w:rPr>
                <w:rFonts w:hint="eastAsia" w:ascii="宋体" w:hAnsi="宋体" w:cs="宋体"/>
                <w:color w:val="auto"/>
                <w:szCs w:val="28"/>
                <w:highlight w:val="none"/>
              </w:rPr>
              <w:t>新增资产转移批量导入功能，并按照实际业务优化调整资产管理各个模块流程</w:t>
            </w:r>
            <w:r>
              <w:rPr>
                <w:rFonts w:hint="eastAsia" w:ascii="宋体" w:hAnsi="宋体" w:cs="宋体"/>
                <w:color w:val="auto"/>
                <w:szCs w:val="21"/>
                <w:highlight w:val="none"/>
              </w:rPr>
              <w:t>。</w:t>
            </w:r>
          </w:p>
          <w:p>
            <w:pPr>
              <w:spacing w:line="320" w:lineRule="exact"/>
              <w:ind w:firstLine="422" w:firstLineChars="200"/>
              <w:rPr>
                <w:rFonts w:ascii="宋体" w:hAnsi="宋体" w:cs="宋体"/>
                <w:color w:val="auto"/>
                <w:szCs w:val="28"/>
                <w:highlight w:val="none"/>
              </w:rPr>
            </w:pPr>
            <w:r>
              <w:rPr>
                <w:rFonts w:hint="eastAsia" w:ascii="宋体" w:hAnsi="宋体" w:cs="宋体"/>
                <w:b/>
                <w:bCs/>
                <w:color w:val="auto"/>
                <w:szCs w:val="21"/>
                <w:highlight w:val="none"/>
              </w:rPr>
              <w:t>3.3.5内部事项</w:t>
            </w:r>
          </w:p>
          <w:p>
            <w:pPr>
              <w:spacing w:line="320" w:lineRule="exact"/>
              <w:ind w:firstLine="420" w:firstLineChars="200"/>
              <w:rPr>
                <w:rFonts w:ascii="宋体" w:hAnsi="宋体" w:cs="宋体"/>
                <w:color w:val="auto"/>
                <w:szCs w:val="28"/>
                <w:highlight w:val="none"/>
              </w:rPr>
            </w:pPr>
            <w:r>
              <w:rPr>
                <w:rFonts w:hint="eastAsia" w:ascii="宋体" w:hAnsi="宋体" w:cs="宋体"/>
                <w:color w:val="auto"/>
                <w:szCs w:val="28"/>
                <w:highlight w:val="none"/>
              </w:rPr>
              <w:t>新增内部事项功能，实现培训管理、加班登记、数据使用申请功能。</w:t>
            </w:r>
          </w:p>
          <w:p>
            <w:pPr>
              <w:spacing w:line="320" w:lineRule="exact"/>
              <w:ind w:firstLine="420" w:firstLineChars="200"/>
              <w:rPr>
                <w:rFonts w:ascii="宋体" w:hAnsi="宋体" w:cs="宋体"/>
                <w:color w:val="auto"/>
                <w:szCs w:val="28"/>
                <w:highlight w:val="none"/>
              </w:rPr>
            </w:pPr>
            <w:r>
              <w:rPr>
                <w:rFonts w:hint="eastAsia" w:ascii="宋体" w:hAnsi="宋体" w:cs="宋体"/>
                <w:color w:val="auto"/>
                <w:szCs w:val="28"/>
                <w:highlight w:val="none"/>
              </w:rPr>
              <w:t>（1）培训管理：在现有内部事项模块下新增培训管理功能，包括培训登记、培训台账。</w:t>
            </w:r>
          </w:p>
          <w:p>
            <w:pPr>
              <w:spacing w:line="320" w:lineRule="exact"/>
              <w:ind w:firstLine="420" w:firstLineChars="200"/>
              <w:rPr>
                <w:rFonts w:ascii="宋体" w:hAnsi="宋体" w:cs="宋体"/>
                <w:color w:val="auto"/>
                <w:szCs w:val="28"/>
                <w:highlight w:val="none"/>
              </w:rPr>
            </w:pPr>
            <w:r>
              <w:rPr>
                <w:rFonts w:hint="eastAsia" w:ascii="宋体" w:hAnsi="宋体" w:cs="宋体"/>
                <w:color w:val="auto"/>
                <w:szCs w:val="21"/>
                <w:highlight w:val="none"/>
              </w:rPr>
              <w:t xml:space="preserve">① </w:t>
            </w:r>
            <w:r>
              <w:rPr>
                <w:rFonts w:hint="eastAsia" w:ascii="宋体" w:hAnsi="宋体" w:cs="宋体"/>
                <w:color w:val="auto"/>
                <w:szCs w:val="28"/>
                <w:highlight w:val="none"/>
              </w:rPr>
              <w:t>培训登记。系统提供培训登记功能，用户可以根据需要参加的培训情况填报培训登记表，登记表分为海洋站培训站内和站外培训，包括参加培训的时间、培训内容等。</w:t>
            </w:r>
          </w:p>
          <w:p>
            <w:pPr>
              <w:spacing w:line="320" w:lineRule="exact"/>
              <w:ind w:firstLine="420" w:firstLineChars="200"/>
              <w:rPr>
                <w:rFonts w:ascii="宋体" w:hAnsi="宋体" w:cs="宋体"/>
                <w:color w:val="auto"/>
                <w:szCs w:val="28"/>
                <w:highlight w:val="none"/>
              </w:rPr>
            </w:pPr>
            <w:r>
              <w:rPr>
                <w:rFonts w:hint="eastAsia" w:ascii="宋体" w:hAnsi="宋体" w:cs="宋体"/>
                <w:color w:val="auto"/>
                <w:szCs w:val="21"/>
                <w:highlight w:val="none"/>
              </w:rPr>
              <w:t xml:space="preserve">② </w:t>
            </w:r>
            <w:r>
              <w:rPr>
                <w:rFonts w:hint="eastAsia" w:ascii="宋体" w:hAnsi="宋体" w:cs="宋体"/>
                <w:color w:val="auto"/>
                <w:szCs w:val="28"/>
                <w:highlight w:val="none"/>
              </w:rPr>
              <w:t>培训台账。系统提供培训台账功能，将已登记的海洋站培训信息进行汇总，并以列表的形式进行展示并提供导出。</w:t>
            </w:r>
          </w:p>
          <w:p>
            <w:pPr>
              <w:spacing w:line="320" w:lineRule="exact"/>
              <w:ind w:firstLine="420" w:firstLineChars="200"/>
              <w:rPr>
                <w:rFonts w:ascii="宋体" w:hAnsi="宋体" w:cs="宋体"/>
                <w:color w:val="auto"/>
                <w:szCs w:val="28"/>
                <w:highlight w:val="none"/>
              </w:rPr>
            </w:pPr>
            <w:r>
              <w:rPr>
                <w:rFonts w:hint="eastAsia" w:ascii="宋体" w:hAnsi="宋体" w:cs="宋体"/>
                <w:color w:val="auto"/>
                <w:szCs w:val="28"/>
                <w:highlight w:val="none"/>
              </w:rPr>
              <w:t>（2）加班登记：在现有系统请假登记“调休申请”功能模块中，新增“加班登记”功能，其流程与调休申请保持一致，用于海洋站日常工作加班情况的个人登记。</w:t>
            </w:r>
          </w:p>
          <w:p>
            <w:pPr>
              <w:spacing w:line="320" w:lineRule="exact"/>
              <w:ind w:firstLine="420" w:firstLineChars="200"/>
              <w:rPr>
                <w:rFonts w:ascii="宋体" w:hAnsi="宋体" w:cs="宋体"/>
                <w:color w:val="auto"/>
                <w:szCs w:val="28"/>
                <w:highlight w:val="none"/>
              </w:rPr>
            </w:pPr>
            <w:r>
              <w:rPr>
                <w:rFonts w:hint="eastAsia" w:ascii="宋体" w:hAnsi="宋体" w:cs="宋体"/>
                <w:color w:val="auto"/>
                <w:szCs w:val="28"/>
                <w:highlight w:val="none"/>
              </w:rPr>
              <w:t>（3）数据使用申请：在内部事项里添加“数据使用申请”模块，把质量表格GBH-JLⅡ-84《监测资料使用申请》融合到申请中，实现线上申请人—科室主任—分管领导—综合室—申请人提交成果—成果审核—领导审核等处理过程。</w:t>
            </w:r>
          </w:p>
          <w:p>
            <w:pPr>
              <w:spacing w:line="320" w:lineRule="exact"/>
              <w:ind w:firstLine="422" w:firstLineChars="200"/>
              <w:rPr>
                <w:rFonts w:ascii="宋体" w:hAnsi="宋体" w:cs="宋体"/>
                <w:b/>
                <w:bCs/>
                <w:color w:val="auto"/>
                <w:szCs w:val="21"/>
                <w:highlight w:val="none"/>
              </w:rPr>
            </w:pPr>
            <w:r>
              <w:rPr>
                <w:rFonts w:hint="eastAsia" w:ascii="宋体" w:hAnsi="宋体" w:cs="宋体"/>
                <w:b/>
                <w:bCs/>
                <w:color w:val="auto"/>
                <w:szCs w:val="21"/>
                <w:highlight w:val="none"/>
              </w:rPr>
              <w:t>3.3.6短信提醒</w:t>
            </w:r>
          </w:p>
          <w:p>
            <w:pPr>
              <w:spacing w:line="3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短信提醒增加提供人工录入的对外短信群发功能。</w:t>
            </w:r>
          </w:p>
          <w:p>
            <w:pPr>
              <w:spacing w:line="320" w:lineRule="exact"/>
              <w:ind w:firstLine="422" w:firstLineChars="200"/>
              <w:rPr>
                <w:rFonts w:ascii="宋体" w:hAnsi="宋体" w:cs="宋体"/>
                <w:b/>
                <w:bCs/>
                <w:color w:val="auto"/>
                <w:szCs w:val="21"/>
                <w:highlight w:val="none"/>
              </w:rPr>
            </w:pPr>
            <w:r>
              <w:rPr>
                <w:rFonts w:hint="eastAsia" w:ascii="宋体" w:hAnsi="宋体" w:cs="宋体"/>
                <w:b/>
                <w:bCs/>
                <w:color w:val="auto"/>
                <w:szCs w:val="21"/>
                <w:highlight w:val="none"/>
              </w:rPr>
              <w:t>3.3.7会议材料专栏</w:t>
            </w:r>
          </w:p>
          <w:p>
            <w:pPr>
              <w:spacing w:line="3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综合办公首页下增加“三重一大”会议材料专栏,需要上“三重一大”会议的事项能够整合到这个专栏里面，然后能够点选可查看人员进行共享，确保参会人员均可通过电脑端和移动端进行查看。</w:t>
            </w:r>
          </w:p>
          <w:p>
            <w:pPr>
              <w:spacing w:line="320" w:lineRule="exact"/>
              <w:rPr>
                <w:rFonts w:ascii="宋体" w:hAnsi="宋体" w:cs="宋体"/>
                <w:b/>
                <w:bCs/>
                <w:color w:val="auto"/>
                <w:szCs w:val="21"/>
                <w:highlight w:val="none"/>
              </w:rPr>
            </w:pPr>
            <w:r>
              <w:rPr>
                <w:rFonts w:hint="eastAsia" w:ascii="宋体" w:hAnsi="宋体" w:cs="宋体"/>
                <w:b/>
                <w:bCs/>
                <w:color w:val="auto"/>
                <w:szCs w:val="21"/>
                <w:highlight w:val="none"/>
              </w:rPr>
              <w:t>4.移动监测APP</w:t>
            </w:r>
          </w:p>
          <w:p>
            <w:pPr>
              <w:spacing w:line="320" w:lineRule="exact"/>
              <w:rPr>
                <w:rFonts w:ascii="宋体" w:hAnsi="宋体" w:cs="宋体"/>
                <w:b/>
                <w:bCs/>
                <w:color w:val="auto"/>
                <w:szCs w:val="21"/>
                <w:highlight w:val="none"/>
              </w:rPr>
            </w:pPr>
            <w:r>
              <w:rPr>
                <w:rFonts w:hint="eastAsia" w:ascii="宋体" w:hAnsi="宋体" w:cs="宋体"/>
                <w:b/>
                <w:bCs/>
                <w:color w:val="auto"/>
                <w:szCs w:val="21"/>
                <w:highlight w:val="none"/>
              </w:rPr>
              <w:t xml:space="preserve">  </w:t>
            </w:r>
            <w:r>
              <w:rPr>
                <w:rFonts w:hint="eastAsia" w:ascii="宋体" w:hAnsi="宋体" w:cs="宋体"/>
                <w:color w:val="auto"/>
                <w:szCs w:val="21"/>
                <w:highlight w:val="none"/>
              </w:rPr>
              <w:t xml:space="preserve"> 本项目建设的移动监测APP的功能和数据与海洋站的环境监测数据综合分析系统相关联。</w:t>
            </w:r>
          </w:p>
          <w:p>
            <w:pPr>
              <w:spacing w:line="320" w:lineRule="exact"/>
              <w:rPr>
                <w:rFonts w:ascii="宋体" w:hAnsi="宋体" w:cs="宋体"/>
                <w:b/>
                <w:bCs/>
                <w:color w:val="auto"/>
                <w:szCs w:val="21"/>
                <w:highlight w:val="none"/>
              </w:rPr>
            </w:pPr>
            <w:r>
              <w:rPr>
                <w:rFonts w:hint="eastAsia" w:ascii="宋体" w:hAnsi="宋体" w:cs="宋体"/>
                <w:b/>
                <w:bCs/>
                <w:color w:val="auto"/>
                <w:szCs w:val="21"/>
                <w:highlight w:val="none"/>
              </w:rPr>
              <w:t>4.1临时任务管理</w:t>
            </w:r>
          </w:p>
          <w:p>
            <w:pPr>
              <w:spacing w:line="320" w:lineRule="exact"/>
              <w:ind w:firstLine="420" w:firstLineChars="200"/>
              <w:rPr>
                <w:rFonts w:ascii="宋体" w:hAnsi="宋体" w:cs="宋体"/>
                <w:color w:val="auto"/>
                <w:szCs w:val="21"/>
                <w:highlight w:val="none"/>
              </w:rPr>
            </w:pPr>
            <w:r>
              <w:rPr>
                <w:rFonts w:hint="eastAsia" w:ascii="宋体" w:hAnsi="宋体" w:cs="宋体"/>
                <w:color w:val="auto"/>
                <w:szCs w:val="28"/>
                <w:highlight w:val="none"/>
              </w:rPr>
              <w:t>新增移动端临时任务管理功能，通过APP可以进行临时任务下达、监测点位维护功能</w:t>
            </w:r>
            <w:r>
              <w:rPr>
                <w:rFonts w:hint="eastAsia" w:ascii="宋体" w:hAnsi="宋体" w:cs="宋体"/>
                <w:color w:val="auto"/>
                <w:szCs w:val="21"/>
                <w:highlight w:val="none"/>
              </w:rPr>
              <w:t>。</w:t>
            </w:r>
          </w:p>
          <w:p>
            <w:pPr>
              <w:spacing w:line="320" w:lineRule="exact"/>
              <w:rPr>
                <w:rFonts w:ascii="宋体" w:hAnsi="宋体" w:cs="宋体"/>
                <w:b/>
                <w:bCs/>
                <w:color w:val="auto"/>
                <w:szCs w:val="21"/>
                <w:highlight w:val="none"/>
              </w:rPr>
            </w:pPr>
            <w:r>
              <w:rPr>
                <w:rFonts w:hint="eastAsia" w:ascii="宋体" w:hAnsi="宋体" w:cs="宋体"/>
                <w:b/>
                <w:bCs/>
                <w:color w:val="auto"/>
                <w:szCs w:val="21"/>
                <w:highlight w:val="none"/>
              </w:rPr>
              <w:t xml:space="preserve">    4.1.1</w:t>
            </w:r>
            <w:r>
              <w:rPr>
                <w:rFonts w:hint="eastAsia" w:ascii="宋体" w:hAnsi="宋体" w:cs="宋体"/>
                <w:b/>
                <w:bCs/>
                <w:color w:val="auto"/>
                <w:highlight w:val="none"/>
              </w:rPr>
              <w:t>临时任务下达：</w:t>
            </w:r>
            <w:r>
              <w:rPr>
                <w:rFonts w:hint="eastAsia" w:ascii="宋体" w:hAnsi="宋体" w:cs="宋体"/>
                <w:color w:val="auto"/>
                <w:szCs w:val="28"/>
                <w:highlight w:val="none"/>
              </w:rPr>
              <w:t>移动监测需支持临时任务录入及下达，应对环境督察或临时交办等临时监测任务。</w:t>
            </w:r>
          </w:p>
          <w:p>
            <w:pPr>
              <w:pStyle w:val="35"/>
              <w:spacing w:line="320" w:lineRule="exact"/>
              <w:rPr>
                <w:rFonts w:ascii="宋体" w:hAnsi="宋体" w:cs="宋体"/>
                <w:color w:val="auto"/>
                <w:sz w:val="21"/>
                <w:szCs w:val="28"/>
                <w:highlight w:val="none"/>
              </w:rPr>
            </w:pPr>
            <w:r>
              <w:rPr>
                <w:rFonts w:hint="eastAsia" w:ascii="宋体" w:hAnsi="宋体" w:cs="宋体"/>
                <w:b/>
                <w:bCs/>
                <w:color w:val="auto"/>
                <w:sz w:val="21"/>
                <w:szCs w:val="21"/>
                <w:highlight w:val="none"/>
              </w:rPr>
              <w:t xml:space="preserve">    4.1.2监测点位维护：</w:t>
            </w:r>
            <w:r>
              <w:rPr>
                <w:rFonts w:hint="eastAsia" w:ascii="宋体" w:hAnsi="宋体" w:cs="宋体"/>
                <w:color w:val="auto"/>
                <w:sz w:val="21"/>
                <w:szCs w:val="28"/>
                <w:highlight w:val="none"/>
              </w:rPr>
              <w:t>当现场采样过程中，用户发现缺少监测点位或临时加派任务，可以通过移动监测APP，维护监测基础点位信息。</w:t>
            </w:r>
          </w:p>
          <w:p>
            <w:pPr>
              <w:spacing w:line="320" w:lineRule="exact"/>
              <w:rPr>
                <w:rFonts w:ascii="宋体" w:hAnsi="宋体" w:cs="宋体"/>
                <w:b/>
                <w:bCs/>
                <w:color w:val="auto"/>
                <w:szCs w:val="21"/>
                <w:highlight w:val="none"/>
              </w:rPr>
            </w:pPr>
            <w:r>
              <w:rPr>
                <w:rFonts w:hint="eastAsia" w:ascii="宋体" w:hAnsi="宋体" w:cs="宋体"/>
                <w:b/>
                <w:bCs/>
                <w:color w:val="auto"/>
                <w:szCs w:val="21"/>
                <w:highlight w:val="none"/>
              </w:rPr>
              <w:t>4.2采样管理</w:t>
            </w:r>
          </w:p>
          <w:p>
            <w:pPr>
              <w:spacing w:line="320" w:lineRule="exact"/>
              <w:ind w:firstLine="420" w:firstLineChars="200"/>
              <w:rPr>
                <w:rFonts w:ascii="宋体" w:hAnsi="宋体" w:cs="宋体"/>
                <w:color w:val="auto"/>
                <w:szCs w:val="21"/>
                <w:highlight w:val="none"/>
              </w:rPr>
            </w:pPr>
            <w:r>
              <w:rPr>
                <w:rFonts w:hint="eastAsia" w:ascii="宋体" w:hAnsi="宋体" w:cs="宋体"/>
                <w:color w:val="auto"/>
                <w:szCs w:val="28"/>
                <w:highlight w:val="none"/>
              </w:rPr>
              <w:t>新增移动端采样管理功能，通过</w:t>
            </w:r>
            <w:r>
              <w:rPr>
                <w:rFonts w:hint="eastAsia" w:ascii="宋体" w:hAnsi="宋体" w:cs="宋体"/>
                <w:color w:val="auto"/>
                <w:szCs w:val="21"/>
                <w:highlight w:val="none"/>
              </w:rPr>
              <w:t>APP可以进行采样数据录入、对无法采样的样品进行标记。</w:t>
            </w:r>
          </w:p>
          <w:p>
            <w:pPr>
              <w:pStyle w:val="35"/>
              <w:spacing w:line="320" w:lineRule="exact"/>
              <w:rPr>
                <w:rFonts w:ascii="宋体" w:hAnsi="宋体" w:cs="宋体"/>
                <w:b/>
                <w:bCs/>
                <w:color w:val="auto"/>
                <w:sz w:val="21"/>
                <w:szCs w:val="21"/>
                <w:highlight w:val="none"/>
              </w:rPr>
            </w:pPr>
            <w:r>
              <w:rPr>
                <w:rFonts w:hint="eastAsia" w:ascii="宋体" w:hAnsi="宋体" w:cs="宋体"/>
                <w:color w:val="auto"/>
                <w:sz w:val="21"/>
                <w:szCs w:val="21"/>
                <w:highlight w:val="none"/>
              </w:rPr>
              <w:t xml:space="preserve">   </w:t>
            </w:r>
            <w:r>
              <w:rPr>
                <w:rFonts w:hint="eastAsia" w:ascii="宋体" w:hAnsi="宋体" w:cs="宋体"/>
                <w:b/>
                <w:bCs/>
                <w:color w:val="auto"/>
                <w:sz w:val="21"/>
                <w:szCs w:val="21"/>
                <w:highlight w:val="none"/>
              </w:rPr>
              <w:t xml:space="preserve"> 4.2.1采样及现场监测数据录入：</w:t>
            </w:r>
            <w:r>
              <w:rPr>
                <w:rFonts w:hint="eastAsia" w:ascii="宋体" w:hAnsi="宋体" w:cs="宋体"/>
                <w:color w:val="auto"/>
                <w:sz w:val="21"/>
                <w:szCs w:val="21"/>
                <w:highlight w:val="none"/>
              </w:rPr>
              <w:t>现场采样人员，通过移动端登记录入采样及现场监测数据。</w:t>
            </w:r>
          </w:p>
          <w:p>
            <w:pPr>
              <w:pStyle w:val="35"/>
              <w:spacing w:line="320" w:lineRule="exact"/>
              <w:ind w:firstLine="421"/>
              <w:rPr>
                <w:rFonts w:ascii="宋体" w:hAnsi="宋体" w:cs="宋体"/>
                <w:b/>
                <w:bCs/>
                <w:color w:val="auto"/>
                <w:sz w:val="21"/>
                <w:szCs w:val="21"/>
                <w:highlight w:val="none"/>
              </w:rPr>
            </w:pPr>
            <w:r>
              <w:rPr>
                <w:rFonts w:hint="eastAsia" w:ascii="宋体" w:hAnsi="宋体" w:cs="宋体"/>
                <w:b/>
                <w:bCs/>
                <w:color w:val="auto"/>
                <w:sz w:val="21"/>
                <w:szCs w:val="21"/>
                <w:highlight w:val="none"/>
              </w:rPr>
              <w:t>4.2.2无法采样样品标记：</w:t>
            </w:r>
            <w:r>
              <w:rPr>
                <w:rFonts w:hint="eastAsia" w:ascii="宋体" w:hAnsi="宋体" w:cs="宋体"/>
                <w:color w:val="auto"/>
                <w:sz w:val="21"/>
                <w:szCs w:val="21"/>
                <w:highlight w:val="none"/>
              </w:rPr>
              <w:t>对于现场采样环境情况，不具备采样条件的样品，需要通过移动监测APP标记。</w:t>
            </w:r>
          </w:p>
          <w:p>
            <w:pPr>
              <w:pStyle w:val="35"/>
              <w:spacing w:line="320" w:lineRule="exact"/>
              <w:rPr>
                <w:rFonts w:ascii="宋体" w:hAnsi="宋体" w:cs="宋体"/>
                <w:b/>
                <w:bCs/>
                <w:color w:val="auto"/>
                <w:sz w:val="21"/>
                <w:szCs w:val="21"/>
                <w:highlight w:val="none"/>
              </w:rPr>
            </w:pPr>
            <w:r>
              <w:rPr>
                <w:rFonts w:hint="eastAsia" w:ascii="宋体" w:hAnsi="宋体" w:cs="宋体"/>
                <w:b/>
                <w:bCs/>
                <w:color w:val="auto"/>
                <w:sz w:val="21"/>
                <w:szCs w:val="21"/>
                <w:highlight w:val="none"/>
              </w:rPr>
              <w:t>4.3样品管理</w:t>
            </w:r>
          </w:p>
          <w:p>
            <w:pPr>
              <w:spacing w:line="320" w:lineRule="exact"/>
              <w:ind w:firstLine="420" w:firstLineChars="200"/>
              <w:rPr>
                <w:rFonts w:ascii="宋体" w:hAnsi="宋体" w:cs="宋体"/>
                <w:color w:val="auto"/>
                <w:szCs w:val="21"/>
                <w:highlight w:val="none"/>
              </w:rPr>
            </w:pPr>
            <w:r>
              <w:rPr>
                <w:rFonts w:hint="eastAsia" w:ascii="宋体" w:hAnsi="宋体" w:cs="宋体"/>
                <w:color w:val="auto"/>
                <w:szCs w:val="28"/>
                <w:highlight w:val="none"/>
              </w:rPr>
              <w:t>新增移动端样品管理功能，通过APP可以进行样品交接、样品取样功能</w:t>
            </w:r>
            <w:r>
              <w:rPr>
                <w:rFonts w:hint="eastAsia" w:ascii="宋体" w:hAnsi="宋体" w:cs="宋体"/>
                <w:color w:val="auto"/>
                <w:szCs w:val="21"/>
                <w:highlight w:val="none"/>
              </w:rPr>
              <w:t>。</w:t>
            </w:r>
          </w:p>
          <w:p>
            <w:pPr>
              <w:spacing w:line="320" w:lineRule="exact"/>
              <w:ind w:firstLine="421"/>
              <w:rPr>
                <w:rFonts w:ascii="宋体" w:hAnsi="宋体" w:cs="宋体"/>
                <w:b/>
                <w:bCs/>
                <w:color w:val="auto"/>
                <w:szCs w:val="21"/>
                <w:highlight w:val="none"/>
              </w:rPr>
            </w:pPr>
            <w:r>
              <w:rPr>
                <w:rFonts w:hint="eastAsia" w:ascii="宋体" w:hAnsi="宋体" w:cs="宋体"/>
                <w:b/>
                <w:bCs/>
                <w:color w:val="auto"/>
                <w:szCs w:val="21"/>
                <w:highlight w:val="none"/>
              </w:rPr>
              <w:t>4.3.1样品交接：</w:t>
            </w:r>
            <w:r>
              <w:rPr>
                <w:rFonts w:hint="eastAsia" w:ascii="宋体" w:hAnsi="宋体" w:cs="宋体"/>
                <w:color w:val="auto"/>
                <w:szCs w:val="28"/>
                <w:highlight w:val="none"/>
              </w:rPr>
              <w:t>对于部分分析项目外出采样及分析的情况，现场采样人员可以通过移动监测APP完成样品交接。</w:t>
            </w:r>
          </w:p>
          <w:p>
            <w:pPr>
              <w:spacing w:line="320" w:lineRule="exact"/>
              <w:ind w:firstLine="421"/>
              <w:rPr>
                <w:rFonts w:ascii="宋体" w:hAnsi="宋体" w:cs="宋体"/>
                <w:b/>
                <w:bCs/>
                <w:color w:val="auto"/>
                <w:szCs w:val="21"/>
                <w:highlight w:val="none"/>
              </w:rPr>
            </w:pPr>
            <w:r>
              <w:rPr>
                <w:rFonts w:hint="eastAsia" w:ascii="宋体" w:hAnsi="宋体" w:cs="宋体"/>
                <w:b/>
                <w:bCs/>
                <w:color w:val="auto"/>
                <w:szCs w:val="21"/>
                <w:highlight w:val="none"/>
              </w:rPr>
              <w:t>4.3.2样品取样：</w:t>
            </w:r>
            <w:r>
              <w:rPr>
                <w:rFonts w:hint="eastAsia" w:ascii="宋体" w:hAnsi="宋体" w:cs="宋体"/>
                <w:color w:val="auto"/>
                <w:szCs w:val="28"/>
                <w:highlight w:val="none"/>
              </w:rPr>
              <w:t>样品分析人员，通过移动监测APP现场完成取样操作。</w:t>
            </w:r>
          </w:p>
          <w:p>
            <w:pPr>
              <w:spacing w:line="320" w:lineRule="exact"/>
              <w:rPr>
                <w:rFonts w:ascii="宋体" w:hAnsi="宋体" w:cs="宋体"/>
                <w:b/>
                <w:bCs/>
                <w:color w:val="auto"/>
                <w:szCs w:val="21"/>
                <w:highlight w:val="none"/>
              </w:rPr>
            </w:pPr>
            <w:r>
              <w:rPr>
                <w:rFonts w:hint="eastAsia" w:ascii="宋体" w:hAnsi="宋体" w:cs="宋体"/>
                <w:b/>
                <w:bCs/>
                <w:color w:val="auto"/>
                <w:szCs w:val="21"/>
                <w:highlight w:val="none"/>
              </w:rPr>
              <w:t>4.4分析管理</w:t>
            </w:r>
          </w:p>
          <w:p>
            <w:pPr>
              <w:spacing w:line="3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新增分析管理功能，通过APP可以实现标准溶液配置、分析数据录入、标准曲线管理。</w:t>
            </w:r>
          </w:p>
          <w:p>
            <w:pPr>
              <w:spacing w:line="320" w:lineRule="exact"/>
              <w:rPr>
                <w:rFonts w:ascii="宋体" w:hAnsi="宋体" w:cs="宋体"/>
                <w:b/>
                <w:bCs/>
                <w:color w:val="auto"/>
                <w:szCs w:val="21"/>
                <w:highlight w:val="none"/>
              </w:rPr>
            </w:pPr>
            <w:r>
              <w:rPr>
                <w:rFonts w:hint="eastAsia" w:ascii="宋体" w:hAnsi="宋体" w:cs="宋体"/>
                <w:b/>
                <w:bCs/>
                <w:color w:val="auto"/>
                <w:szCs w:val="21"/>
                <w:highlight w:val="none"/>
              </w:rPr>
              <w:t xml:space="preserve">    4.4.1</w:t>
            </w:r>
            <w:r>
              <w:rPr>
                <w:rFonts w:hint="eastAsia" w:ascii="宋体" w:hAnsi="宋体" w:cs="宋体"/>
                <w:b/>
                <w:bCs/>
                <w:color w:val="auto"/>
                <w:highlight w:val="none"/>
              </w:rPr>
              <w:t>标准溶液配置：</w:t>
            </w:r>
            <w:r>
              <w:rPr>
                <w:rFonts w:hint="eastAsia" w:ascii="宋体" w:hAnsi="宋体" w:cs="宋体"/>
                <w:color w:val="auto"/>
                <w:szCs w:val="28"/>
                <w:highlight w:val="none"/>
              </w:rPr>
              <w:t>系统提供移动端标准溶液配置数据录入功能，分析人员在配置标准溶液过程中，即时记录标准溶液配置数据，提升工作效率。</w:t>
            </w:r>
          </w:p>
          <w:p>
            <w:pPr>
              <w:spacing w:line="320" w:lineRule="exact"/>
              <w:rPr>
                <w:rFonts w:ascii="宋体" w:hAnsi="宋体" w:cs="宋体"/>
                <w:b/>
                <w:bCs/>
                <w:color w:val="auto"/>
                <w:szCs w:val="21"/>
                <w:highlight w:val="none"/>
              </w:rPr>
            </w:pPr>
            <w:r>
              <w:rPr>
                <w:rFonts w:hint="eastAsia" w:ascii="宋体" w:hAnsi="宋体" w:cs="宋体"/>
                <w:b/>
                <w:bCs/>
                <w:color w:val="auto"/>
                <w:szCs w:val="21"/>
                <w:highlight w:val="none"/>
              </w:rPr>
              <w:t xml:space="preserve">    4.4.2</w:t>
            </w:r>
            <w:r>
              <w:rPr>
                <w:rFonts w:hint="eastAsia" w:ascii="宋体" w:hAnsi="宋体" w:cs="宋体"/>
                <w:b/>
                <w:bCs/>
                <w:color w:val="auto"/>
                <w:highlight w:val="none"/>
              </w:rPr>
              <w:t>分析数据录入：</w:t>
            </w:r>
            <w:r>
              <w:rPr>
                <w:rFonts w:hint="eastAsia" w:ascii="宋体" w:hAnsi="宋体" w:cs="宋体"/>
                <w:color w:val="auto"/>
                <w:szCs w:val="28"/>
                <w:highlight w:val="none"/>
              </w:rPr>
              <w:t>对于天平称重、分光光度法吸光值、碱度滴定等分析过程数据，系统提供移动端分析数据录入功能，按照统一的数据录入模板，实现对分析过程中的数据登记录入。</w:t>
            </w:r>
          </w:p>
          <w:p>
            <w:pPr>
              <w:spacing w:line="320" w:lineRule="exact"/>
              <w:rPr>
                <w:rFonts w:ascii="宋体" w:hAnsi="宋体" w:cs="宋体"/>
                <w:b/>
                <w:bCs/>
                <w:color w:val="auto"/>
                <w:szCs w:val="21"/>
                <w:highlight w:val="none"/>
              </w:rPr>
            </w:pPr>
            <w:r>
              <w:rPr>
                <w:rFonts w:hint="eastAsia" w:ascii="宋体" w:hAnsi="宋体" w:cs="宋体"/>
                <w:b/>
                <w:bCs/>
                <w:color w:val="auto"/>
                <w:szCs w:val="21"/>
                <w:highlight w:val="none"/>
              </w:rPr>
              <w:t xml:space="preserve">    4.4.3</w:t>
            </w:r>
            <w:r>
              <w:rPr>
                <w:rFonts w:hint="eastAsia" w:ascii="宋体" w:hAnsi="宋体" w:cs="宋体"/>
                <w:b/>
                <w:bCs/>
                <w:color w:val="auto"/>
                <w:highlight w:val="none"/>
              </w:rPr>
              <w:t>标准曲线管理：</w:t>
            </w:r>
            <w:r>
              <w:rPr>
                <w:rFonts w:hint="eastAsia" w:ascii="宋体" w:hAnsi="宋体" w:cs="宋体"/>
                <w:color w:val="auto"/>
                <w:szCs w:val="28"/>
                <w:highlight w:val="none"/>
              </w:rPr>
              <w:t>对于分析过程记录的标准曲线数据，移动监测APP提供标准曲线数据录入功能。</w:t>
            </w:r>
          </w:p>
          <w:p>
            <w:pPr>
              <w:spacing w:line="320" w:lineRule="exact"/>
              <w:rPr>
                <w:rFonts w:ascii="宋体" w:hAnsi="宋体" w:cs="宋体"/>
                <w:b/>
                <w:bCs/>
                <w:color w:val="auto"/>
                <w:szCs w:val="21"/>
                <w:highlight w:val="none"/>
              </w:rPr>
            </w:pPr>
            <w:r>
              <w:rPr>
                <w:rFonts w:hint="eastAsia" w:ascii="宋体" w:hAnsi="宋体" w:cs="宋体"/>
                <w:b/>
                <w:bCs/>
                <w:color w:val="auto"/>
                <w:szCs w:val="21"/>
                <w:highlight w:val="none"/>
              </w:rPr>
              <w:t>4.5仪器管理</w:t>
            </w:r>
          </w:p>
          <w:p>
            <w:pPr>
              <w:spacing w:line="3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新增仪器管理功能，通过APP可进行仪器使用记录、仪器维护记录、仪器档案查询。</w:t>
            </w:r>
          </w:p>
          <w:p>
            <w:pPr>
              <w:spacing w:line="320" w:lineRule="exact"/>
              <w:rPr>
                <w:rFonts w:ascii="宋体" w:hAnsi="宋体" w:cs="宋体"/>
                <w:b/>
                <w:bCs/>
                <w:color w:val="auto"/>
                <w:szCs w:val="21"/>
                <w:highlight w:val="none"/>
              </w:rPr>
            </w:pPr>
            <w:r>
              <w:rPr>
                <w:rFonts w:hint="eastAsia" w:ascii="宋体" w:hAnsi="宋体" w:cs="宋体"/>
                <w:b/>
                <w:bCs/>
                <w:color w:val="auto"/>
                <w:szCs w:val="21"/>
                <w:highlight w:val="none"/>
              </w:rPr>
              <w:t xml:space="preserve">    4.5.1</w:t>
            </w:r>
            <w:r>
              <w:rPr>
                <w:rFonts w:hint="eastAsia" w:ascii="宋体" w:hAnsi="宋体" w:cs="宋体"/>
                <w:b/>
                <w:bCs/>
                <w:color w:val="auto"/>
                <w:highlight w:val="none"/>
              </w:rPr>
              <w:t>仪器使用记录：</w:t>
            </w:r>
            <w:r>
              <w:rPr>
                <w:rFonts w:hint="eastAsia" w:ascii="宋体" w:hAnsi="宋体" w:cs="宋体"/>
                <w:color w:val="auto"/>
                <w:szCs w:val="28"/>
                <w:highlight w:val="none"/>
              </w:rPr>
              <w:t>用户通过移动监测APP完成仪器使用记录填写，使用仪器前，扫描仪器二维码，选择开始使用，记录仪器使用时间，再次扫描二维码，选择停止使用，结束仪器使用，记录仪器使用时间；仪器使用记录温湿度信息，要求能与温湿度设备自动对接；分析原始记录录入后，需要提供查询功能，用户可关联改仪器使用记录。</w:t>
            </w:r>
          </w:p>
          <w:p>
            <w:pPr>
              <w:spacing w:line="320" w:lineRule="exact"/>
              <w:rPr>
                <w:rFonts w:ascii="宋体" w:hAnsi="宋体" w:cs="宋体"/>
                <w:b/>
                <w:bCs/>
                <w:color w:val="auto"/>
                <w:szCs w:val="21"/>
                <w:highlight w:val="none"/>
              </w:rPr>
            </w:pPr>
            <w:r>
              <w:rPr>
                <w:rFonts w:hint="eastAsia" w:ascii="宋体" w:hAnsi="宋体" w:cs="宋体"/>
                <w:b/>
                <w:bCs/>
                <w:color w:val="auto"/>
                <w:szCs w:val="21"/>
                <w:highlight w:val="none"/>
              </w:rPr>
              <w:t xml:space="preserve">    4.5.2</w:t>
            </w:r>
            <w:r>
              <w:rPr>
                <w:rFonts w:hint="eastAsia" w:ascii="宋体" w:hAnsi="宋体" w:cs="宋体"/>
                <w:b/>
                <w:bCs/>
                <w:color w:val="auto"/>
                <w:highlight w:val="none"/>
              </w:rPr>
              <w:t>仪器维护记录：</w:t>
            </w:r>
            <w:r>
              <w:rPr>
                <w:rFonts w:hint="eastAsia" w:ascii="宋体" w:hAnsi="宋体" w:cs="宋体"/>
                <w:color w:val="auto"/>
                <w:szCs w:val="28"/>
                <w:highlight w:val="none"/>
              </w:rPr>
              <w:t>用户通过移动监测APP填写仪器维护记录，用户扫描仪器二维码，选择仪器维护记录，填写维护内容，完成以为维护记录填写。</w:t>
            </w:r>
          </w:p>
          <w:p>
            <w:pPr>
              <w:spacing w:line="320" w:lineRule="exact"/>
              <w:rPr>
                <w:rFonts w:ascii="宋体" w:hAnsi="宋体" w:cs="宋体"/>
                <w:b/>
                <w:bCs/>
                <w:color w:val="auto"/>
                <w:szCs w:val="21"/>
                <w:highlight w:val="none"/>
              </w:rPr>
            </w:pPr>
            <w:r>
              <w:rPr>
                <w:rFonts w:hint="eastAsia" w:ascii="宋体" w:hAnsi="宋体" w:cs="宋体"/>
                <w:b/>
                <w:bCs/>
                <w:color w:val="auto"/>
                <w:szCs w:val="21"/>
                <w:highlight w:val="none"/>
              </w:rPr>
              <w:t xml:space="preserve">    4.5.3</w:t>
            </w:r>
            <w:r>
              <w:rPr>
                <w:rFonts w:hint="eastAsia" w:ascii="宋体" w:hAnsi="宋体" w:cs="宋体"/>
                <w:b/>
                <w:bCs/>
                <w:color w:val="auto"/>
                <w:highlight w:val="none"/>
              </w:rPr>
              <w:t>仪器档案查询：</w:t>
            </w:r>
            <w:r>
              <w:rPr>
                <w:rFonts w:hint="eastAsia" w:ascii="宋体" w:hAnsi="宋体" w:cs="宋体"/>
                <w:color w:val="auto"/>
                <w:szCs w:val="28"/>
                <w:highlight w:val="none"/>
              </w:rPr>
              <w:t>提供移动监测APP查询档案功能，用户通过移动监测APP扫描仪器二维码，可以查询仪器基本信息、仪器维护记录、核定记录、期间核查记录、使用记录。</w:t>
            </w:r>
          </w:p>
          <w:p>
            <w:pPr>
              <w:spacing w:line="320" w:lineRule="exact"/>
              <w:rPr>
                <w:rFonts w:ascii="宋体" w:hAnsi="宋体" w:cs="宋体"/>
                <w:b/>
                <w:bCs/>
                <w:color w:val="auto"/>
                <w:szCs w:val="21"/>
                <w:highlight w:val="none"/>
              </w:rPr>
            </w:pPr>
            <w:r>
              <w:rPr>
                <w:rFonts w:hint="eastAsia" w:ascii="宋体" w:hAnsi="宋体" w:cs="宋体"/>
                <w:b/>
                <w:bCs/>
                <w:color w:val="auto"/>
                <w:szCs w:val="21"/>
                <w:highlight w:val="none"/>
              </w:rPr>
              <w:t>4.6物资管理</w:t>
            </w:r>
          </w:p>
          <w:p>
            <w:pPr>
              <w:spacing w:line="3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新增物资管理功能，通过APP支持物资领用和使用记录管理。</w:t>
            </w:r>
          </w:p>
          <w:p>
            <w:pPr>
              <w:spacing w:line="320" w:lineRule="exact"/>
              <w:rPr>
                <w:rFonts w:ascii="宋体" w:hAnsi="宋体" w:cs="宋体"/>
                <w:b/>
                <w:bCs/>
                <w:color w:val="auto"/>
                <w:szCs w:val="21"/>
                <w:highlight w:val="none"/>
              </w:rPr>
            </w:pPr>
            <w:r>
              <w:rPr>
                <w:rFonts w:hint="eastAsia" w:ascii="宋体" w:hAnsi="宋体" w:cs="宋体"/>
                <w:b/>
                <w:bCs/>
                <w:color w:val="auto"/>
                <w:szCs w:val="21"/>
                <w:highlight w:val="none"/>
              </w:rPr>
              <w:t xml:space="preserve">    4.6.1</w:t>
            </w:r>
            <w:r>
              <w:rPr>
                <w:rFonts w:hint="eastAsia" w:ascii="宋体" w:hAnsi="宋体" w:cs="宋体"/>
                <w:b/>
                <w:bCs/>
                <w:color w:val="auto"/>
                <w:highlight w:val="none"/>
              </w:rPr>
              <w:t>物资领用：</w:t>
            </w:r>
            <w:r>
              <w:rPr>
                <w:rFonts w:hint="eastAsia" w:ascii="宋体" w:hAnsi="宋体" w:cs="宋体"/>
                <w:color w:val="auto"/>
                <w:szCs w:val="28"/>
                <w:highlight w:val="none"/>
              </w:rPr>
              <w:t>通过移动监测APP扫码功能，完成物资领用记录登记；物资归属人员扫描二维码完成物资“交出”确认操作，物资接收人扫描二维码完成物资“领用”确认操作。对于“两毒一爆”重点管控的实验室物资，需要有2人做扫码“交出”确认，2人做扫码“领用”确认，并记录实际交出人、实际领用人。</w:t>
            </w:r>
          </w:p>
          <w:p>
            <w:pPr>
              <w:spacing w:line="320" w:lineRule="exact"/>
              <w:rPr>
                <w:rFonts w:ascii="宋体" w:hAnsi="宋体" w:cs="宋体"/>
                <w:b/>
                <w:bCs/>
                <w:color w:val="auto"/>
                <w:szCs w:val="21"/>
                <w:highlight w:val="none"/>
              </w:rPr>
            </w:pPr>
            <w:r>
              <w:rPr>
                <w:rFonts w:hint="eastAsia" w:ascii="宋体" w:hAnsi="宋体" w:cs="宋体"/>
                <w:b/>
                <w:bCs/>
                <w:color w:val="auto"/>
                <w:szCs w:val="21"/>
                <w:highlight w:val="none"/>
              </w:rPr>
              <w:t xml:space="preserve">    4.6.2</w:t>
            </w:r>
            <w:r>
              <w:rPr>
                <w:rFonts w:hint="eastAsia" w:ascii="宋体" w:hAnsi="宋体" w:cs="宋体"/>
                <w:b/>
                <w:bCs/>
                <w:color w:val="auto"/>
                <w:highlight w:val="none"/>
              </w:rPr>
              <w:t>使用记录：</w:t>
            </w:r>
            <w:r>
              <w:rPr>
                <w:rFonts w:hint="eastAsia" w:ascii="宋体" w:hAnsi="宋体" w:cs="宋体"/>
                <w:color w:val="auto"/>
                <w:szCs w:val="28"/>
                <w:highlight w:val="none"/>
              </w:rPr>
              <w:t>通过扫码物资二维码，可以动态查询物资当前管理人、领用记录、存储位置、使用人、使用量等信息。</w:t>
            </w:r>
          </w:p>
          <w:p>
            <w:pPr>
              <w:spacing w:line="320" w:lineRule="exact"/>
              <w:rPr>
                <w:rFonts w:ascii="宋体" w:hAnsi="宋体" w:cs="宋体"/>
                <w:b/>
                <w:bCs/>
                <w:color w:val="auto"/>
                <w:szCs w:val="21"/>
                <w:highlight w:val="none"/>
              </w:rPr>
            </w:pPr>
            <w:r>
              <w:rPr>
                <w:rFonts w:hint="eastAsia" w:ascii="宋体" w:hAnsi="宋体" w:cs="宋体"/>
                <w:b/>
                <w:bCs/>
                <w:color w:val="auto"/>
                <w:szCs w:val="21"/>
                <w:highlight w:val="none"/>
              </w:rPr>
              <w:t>5.系统集成</w:t>
            </w:r>
          </w:p>
          <w:p>
            <w:pPr>
              <w:spacing w:line="320" w:lineRule="exact"/>
              <w:rPr>
                <w:rFonts w:ascii="宋体" w:hAnsi="宋体" w:cs="宋体"/>
                <w:b/>
                <w:bCs/>
                <w:color w:val="auto"/>
                <w:szCs w:val="21"/>
                <w:highlight w:val="none"/>
              </w:rPr>
            </w:pPr>
            <w:r>
              <w:rPr>
                <w:rFonts w:hint="eastAsia" w:ascii="宋体" w:hAnsi="宋体" w:cs="宋体"/>
                <w:b/>
                <w:bCs/>
                <w:color w:val="auto"/>
                <w:szCs w:val="21"/>
                <w:highlight w:val="none"/>
              </w:rPr>
              <w:t>5.1 与广西“生态云”平台集成</w:t>
            </w:r>
          </w:p>
          <w:p>
            <w:pPr>
              <w:spacing w:line="3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本项目与广西“生态云”平台集成单点登录，实现数据共享，实现统一登录，统一身份认证，统一管理。</w:t>
            </w:r>
          </w:p>
          <w:p>
            <w:pPr>
              <w:spacing w:line="320" w:lineRule="exact"/>
              <w:rPr>
                <w:rFonts w:ascii="宋体" w:hAnsi="宋体" w:cs="宋体"/>
                <w:b/>
                <w:bCs/>
                <w:color w:val="auto"/>
                <w:szCs w:val="21"/>
                <w:highlight w:val="none"/>
              </w:rPr>
            </w:pPr>
            <w:r>
              <w:rPr>
                <w:rFonts w:hint="eastAsia" w:ascii="宋体" w:hAnsi="宋体" w:cs="宋体"/>
                <w:b/>
                <w:bCs/>
                <w:color w:val="auto"/>
                <w:szCs w:val="21"/>
                <w:highlight w:val="none"/>
              </w:rPr>
              <w:t xml:space="preserve">5.2 </w:t>
            </w:r>
            <w:r>
              <w:rPr>
                <w:rFonts w:hint="eastAsia" w:ascii="宋体" w:hAnsi="宋体" w:cs="宋体"/>
                <w:b/>
                <w:bCs/>
                <w:color w:val="auto"/>
                <w:highlight w:val="none"/>
              </w:rPr>
              <w:t>与广西近岸海域自动监测预警平台集成</w:t>
            </w:r>
          </w:p>
          <w:p>
            <w:pPr>
              <w:spacing w:line="3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本项目实现环境监测数据综合分析系统与广西近岸海域自动监测预警平台的集成单点登录，实现数据互联。</w:t>
            </w:r>
          </w:p>
          <w:p>
            <w:pPr>
              <w:spacing w:line="320" w:lineRule="exact"/>
              <w:rPr>
                <w:rFonts w:ascii="宋体" w:hAnsi="宋体" w:cs="宋体"/>
                <w:b/>
                <w:bCs/>
                <w:color w:val="auto"/>
                <w:szCs w:val="21"/>
                <w:highlight w:val="none"/>
              </w:rPr>
            </w:pPr>
            <w:r>
              <w:rPr>
                <w:rFonts w:hint="eastAsia" w:ascii="宋体" w:hAnsi="宋体" w:cs="宋体"/>
                <w:b/>
                <w:bCs/>
                <w:color w:val="auto"/>
                <w:szCs w:val="21"/>
                <w:highlight w:val="none"/>
              </w:rPr>
              <w:t>5.3 与自治区生态环境厅办公系统接口预留</w:t>
            </w:r>
          </w:p>
          <w:p>
            <w:pPr>
              <w:spacing w:line="3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预留与自治区生态环境厅新办公系统的对接接口。</w:t>
            </w:r>
          </w:p>
          <w:p>
            <w:pPr>
              <w:spacing w:line="320" w:lineRule="exact"/>
              <w:rPr>
                <w:rFonts w:ascii="宋体" w:hAnsi="宋体" w:cs="宋体"/>
                <w:b/>
                <w:bCs/>
                <w:color w:val="auto"/>
                <w:szCs w:val="21"/>
                <w:highlight w:val="none"/>
              </w:rPr>
            </w:pPr>
            <w:r>
              <w:rPr>
                <w:rFonts w:hint="eastAsia" w:ascii="宋体" w:hAnsi="宋体" w:cs="宋体"/>
                <w:b/>
                <w:bCs/>
                <w:color w:val="auto"/>
                <w:szCs w:val="21"/>
                <w:highlight w:val="none"/>
              </w:rPr>
              <w:t>5.4 与自治区生态环境厅“广西生态环境”APP集成</w:t>
            </w:r>
          </w:p>
          <w:p>
            <w:pPr>
              <w:pStyle w:val="2"/>
              <w:ind w:left="0" w:firstLine="420" w:firstLineChars="200"/>
              <w:rPr>
                <w:rFonts w:ascii="宋体" w:hAnsi="宋体" w:cs="宋体"/>
                <w:color w:val="auto"/>
                <w:kern w:val="2"/>
                <w:sz w:val="21"/>
                <w:szCs w:val="21"/>
                <w:highlight w:val="none"/>
              </w:rPr>
            </w:pPr>
            <w:r>
              <w:rPr>
                <w:rFonts w:hint="eastAsia" w:ascii="宋体" w:hAnsi="宋体" w:cs="宋体"/>
                <w:color w:val="auto"/>
                <w:kern w:val="2"/>
                <w:sz w:val="21"/>
                <w:szCs w:val="21"/>
                <w:highlight w:val="none"/>
              </w:rPr>
              <w:t>本次项目建设的移动监测APP端将按照html5 标准开发并集成整合到自治区生态环境厅“广西生态环境”APP。同时将现有的综合业务管理平台移动端APP集成整合至自治区生态环境厅“广西生态环境”APP。</w:t>
            </w:r>
          </w:p>
          <w:p>
            <w:pPr>
              <w:spacing w:line="320" w:lineRule="exact"/>
              <w:rPr>
                <w:rFonts w:ascii="宋体" w:hAnsi="宋体" w:cs="宋体"/>
                <w:b/>
                <w:bCs/>
                <w:color w:val="auto"/>
                <w:szCs w:val="21"/>
                <w:highlight w:val="none"/>
              </w:rPr>
            </w:pPr>
            <w:r>
              <w:rPr>
                <w:rFonts w:hint="eastAsia" w:ascii="宋体" w:hAnsi="宋体" w:cs="宋体"/>
                <w:b/>
                <w:bCs/>
                <w:color w:val="auto"/>
                <w:szCs w:val="21"/>
                <w:highlight w:val="none"/>
              </w:rPr>
              <w:t>6.国产化适配要求</w:t>
            </w:r>
          </w:p>
          <w:p>
            <w:pPr>
              <w:spacing w:line="320" w:lineRule="exact"/>
              <w:rPr>
                <w:rFonts w:ascii="宋体" w:hAnsi="宋体" w:cs="宋体"/>
                <w:b/>
                <w:bCs/>
                <w:color w:val="auto"/>
                <w:szCs w:val="21"/>
                <w:highlight w:val="none"/>
              </w:rPr>
            </w:pPr>
            <w:r>
              <w:rPr>
                <w:rFonts w:hint="eastAsia" w:ascii="宋体" w:hAnsi="宋体" w:cs="宋体"/>
                <w:b/>
                <w:bCs/>
                <w:color w:val="auto"/>
                <w:szCs w:val="21"/>
                <w:highlight w:val="none"/>
              </w:rPr>
              <w:t>6.1</w:t>
            </w:r>
            <w:r>
              <w:rPr>
                <w:rFonts w:hint="eastAsia" w:ascii="宋体" w:hAnsi="宋体" w:cs="宋体"/>
                <w:b/>
                <w:bCs/>
                <w:color w:val="auto"/>
                <w:highlight w:val="none"/>
              </w:rPr>
              <w:t>国产化终端适配</w:t>
            </w:r>
          </w:p>
          <w:p>
            <w:pPr>
              <w:spacing w:line="3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进行国产化适配升级，在当前运行使用环境的基础上，支持与广西壮族自治区海洋环境监测中心站当前所使用的国产化办公终端PC、浏览器和操作系统等对进行功能适配。</w:t>
            </w:r>
          </w:p>
          <w:p>
            <w:pPr>
              <w:spacing w:line="320" w:lineRule="exact"/>
              <w:rPr>
                <w:rFonts w:ascii="宋体" w:hAnsi="宋体" w:cs="宋体"/>
                <w:b/>
                <w:bCs/>
                <w:color w:val="auto"/>
                <w:highlight w:val="none"/>
              </w:rPr>
            </w:pPr>
            <w:r>
              <w:rPr>
                <w:rFonts w:hint="eastAsia" w:ascii="宋体" w:hAnsi="宋体" w:cs="宋体"/>
                <w:b/>
                <w:bCs/>
                <w:color w:val="auto"/>
                <w:highlight w:val="none"/>
              </w:rPr>
              <w:t>6.2业务和数据兼容适配</w:t>
            </w:r>
          </w:p>
          <w:p>
            <w:pPr>
              <w:spacing w:line="3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实现业务和数据无缝同步兼容，确保在业务范围内，基于环境监测数据综合分析系统现有基础设施环境的服务和应用与升级后基于国产化基础设施环境的服务和应用数据一致，事务完整，应用联通。</w:t>
            </w:r>
          </w:p>
          <w:p>
            <w:pPr>
              <w:pStyle w:val="35"/>
              <w:spacing w:line="320" w:lineRule="exact"/>
              <w:rPr>
                <w:rFonts w:ascii="宋体" w:hAnsi="宋体" w:cs="宋体"/>
                <w:b/>
                <w:bCs/>
                <w:color w:val="auto"/>
                <w:sz w:val="21"/>
                <w:szCs w:val="21"/>
                <w:highlight w:val="none"/>
              </w:rPr>
            </w:pPr>
            <w:r>
              <w:rPr>
                <w:rFonts w:hint="eastAsia" w:ascii="宋体" w:hAnsi="宋体" w:cs="宋体"/>
                <w:b/>
                <w:bCs/>
                <w:color w:val="auto"/>
                <w:sz w:val="21"/>
                <w:szCs w:val="21"/>
                <w:highlight w:val="none"/>
              </w:rPr>
              <w:t>（五）网络系统设计</w:t>
            </w:r>
          </w:p>
          <w:p>
            <w:pPr>
              <w:pStyle w:val="35"/>
              <w:spacing w:line="320" w:lineRule="exact"/>
              <w:rPr>
                <w:rFonts w:ascii="宋体" w:hAnsi="宋体" w:cs="宋体"/>
                <w:color w:val="auto"/>
                <w:sz w:val="21"/>
                <w:szCs w:val="21"/>
                <w:highlight w:val="none"/>
              </w:rPr>
            </w:pPr>
            <w:r>
              <w:rPr>
                <w:rFonts w:hint="eastAsia" w:ascii="宋体" w:hAnsi="宋体" w:cs="宋体"/>
                <w:b/>
                <w:bCs/>
                <w:color w:val="auto"/>
                <w:sz w:val="21"/>
                <w:szCs w:val="21"/>
                <w:highlight w:val="none"/>
              </w:rPr>
              <w:t xml:space="preserve"> </w:t>
            </w:r>
            <w:r>
              <w:rPr>
                <w:rFonts w:hint="eastAsia" w:ascii="宋体" w:hAnsi="宋体" w:cs="宋体"/>
                <w:color w:val="auto"/>
                <w:sz w:val="21"/>
                <w:szCs w:val="21"/>
                <w:highlight w:val="none"/>
              </w:rPr>
              <w:t xml:space="preserve">   实验室管理系统和监测数据综合管理系统，部署于环保厅的云服务器中，本项目为对原系统的升级改造，延用项目原网络建设架构，不涉及新的网络建设。</w:t>
            </w:r>
          </w:p>
          <w:p>
            <w:pPr>
              <w:pStyle w:val="35"/>
              <w:spacing w:line="320" w:lineRule="exact"/>
              <w:rPr>
                <w:rFonts w:ascii="宋体" w:hAnsi="宋体" w:cs="宋体"/>
                <w:b/>
                <w:bCs/>
                <w:color w:val="auto"/>
                <w:sz w:val="21"/>
                <w:szCs w:val="21"/>
                <w:highlight w:val="none"/>
              </w:rPr>
            </w:pPr>
            <w:r>
              <w:rPr>
                <w:rFonts w:hint="eastAsia" w:ascii="宋体" w:hAnsi="宋体" w:cs="宋体"/>
                <w:b/>
                <w:bCs/>
                <w:color w:val="auto"/>
                <w:sz w:val="21"/>
                <w:szCs w:val="21"/>
                <w:highlight w:val="none"/>
              </w:rPr>
              <w:t>（六）数据处理和存储系统设计</w:t>
            </w:r>
          </w:p>
          <w:p>
            <w:pPr>
              <w:pStyle w:val="35"/>
              <w:spacing w:line="320" w:lineRule="exact"/>
              <w:rPr>
                <w:rFonts w:ascii="宋体" w:hAnsi="宋体" w:cs="宋体"/>
                <w:b/>
                <w:bCs/>
                <w:color w:val="auto"/>
                <w:sz w:val="21"/>
                <w:szCs w:val="21"/>
                <w:highlight w:val="none"/>
              </w:rPr>
            </w:pPr>
            <w:r>
              <w:rPr>
                <w:rFonts w:hint="eastAsia" w:ascii="宋体" w:hAnsi="宋体" w:cs="宋体"/>
                <w:b/>
                <w:bCs/>
                <w:color w:val="auto"/>
                <w:sz w:val="21"/>
                <w:szCs w:val="21"/>
                <w:highlight w:val="none"/>
              </w:rPr>
              <w:t>1.存储架构设计原则</w:t>
            </w:r>
          </w:p>
          <w:p>
            <w:pPr>
              <w:ind w:firstLine="420" w:firstLineChars="200"/>
              <w:rPr>
                <w:rFonts w:ascii="宋体" w:hAnsi="宋体" w:cs="宋体"/>
                <w:color w:val="auto"/>
                <w:szCs w:val="21"/>
                <w:highlight w:val="none"/>
              </w:rPr>
            </w:pPr>
            <w:r>
              <w:rPr>
                <w:rFonts w:hint="eastAsia" w:ascii="宋体" w:hAnsi="宋体" w:cs="宋体"/>
                <w:color w:val="auto"/>
                <w:szCs w:val="21"/>
                <w:highlight w:val="none"/>
              </w:rPr>
              <w:t>存储系统在建设过程中应当遵循如下原则：</w:t>
            </w:r>
          </w:p>
          <w:p>
            <w:pPr>
              <w:rPr>
                <w:rFonts w:ascii="宋体" w:hAnsi="宋体" w:cs="宋体"/>
                <w:b/>
                <w:bCs/>
                <w:color w:val="auto"/>
                <w:szCs w:val="21"/>
                <w:highlight w:val="none"/>
              </w:rPr>
            </w:pPr>
            <w:r>
              <w:rPr>
                <w:rFonts w:hint="eastAsia" w:ascii="宋体" w:hAnsi="宋体" w:cs="宋体"/>
                <w:b/>
                <w:bCs/>
                <w:color w:val="auto"/>
                <w:szCs w:val="21"/>
                <w:highlight w:val="none"/>
              </w:rPr>
              <w:t>1.1 安全可靠性原则</w:t>
            </w:r>
          </w:p>
          <w:p>
            <w:pPr>
              <w:ind w:firstLine="420" w:firstLineChars="200"/>
              <w:rPr>
                <w:rFonts w:ascii="宋体" w:hAnsi="宋体" w:cs="宋体"/>
                <w:color w:val="auto"/>
                <w:szCs w:val="21"/>
                <w:highlight w:val="none"/>
              </w:rPr>
            </w:pPr>
            <w:r>
              <w:rPr>
                <w:rFonts w:hint="eastAsia" w:ascii="宋体" w:hAnsi="宋体" w:cs="宋体"/>
                <w:color w:val="auto"/>
                <w:szCs w:val="21"/>
                <w:highlight w:val="none"/>
              </w:rPr>
              <w:t>系统支持分布式架构</w:t>
            </w:r>
          </w:p>
          <w:p>
            <w:pPr>
              <w:ind w:firstLine="420" w:firstLineChars="200"/>
              <w:rPr>
                <w:rFonts w:ascii="宋体" w:hAnsi="宋体" w:cs="宋体"/>
                <w:color w:val="auto"/>
                <w:szCs w:val="21"/>
                <w:highlight w:val="none"/>
              </w:rPr>
            </w:pPr>
            <w:r>
              <w:rPr>
                <w:rFonts w:hint="eastAsia" w:ascii="宋体" w:hAnsi="宋体" w:cs="宋体"/>
                <w:color w:val="auto"/>
                <w:szCs w:val="21"/>
                <w:highlight w:val="none"/>
              </w:rPr>
              <w:t>系统支持从硬件层面，数据层面到业务层面高可用，满足可用性原则；</w:t>
            </w:r>
          </w:p>
          <w:p>
            <w:pPr>
              <w:ind w:firstLine="420" w:firstLineChars="200"/>
              <w:rPr>
                <w:rFonts w:ascii="宋体" w:hAnsi="宋体" w:cs="宋体"/>
                <w:color w:val="auto"/>
                <w:szCs w:val="21"/>
                <w:highlight w:val="none"/>
              </w:rPr>
            </w:pPr>
            <w:r>
              <w:rPr>
                <w:rFonts w:hint="eastAsia" w:ascii="宋体" w:hAnsi="宋体" w:cs="宋体"/>
                <w:color w:val="auto"/>
                <w:szCs w:val="21"/>
                <w:highlight w:val="none"/>
              </w:rPr>
              <w:t>系统支持存储系统集群，满足高可靠性需求；</w:t>
            </w:r>
          </w:p>
          <w:p>
            <w:pPr>
              <w:ind w:firstLine="420" w:firstLineChars="200"/>
              <w:rPr>
                <w:rFonts w:ascii="宋体" w:hAnsi="宋体" w:cs="宋体"/>
                <w:color w:val="auto"/>
                <w:szCs w:val="21"/>
                <w:highlight w:val="none"/>
              </w:rPr>
            </w:pPr>
            <w:r>
              <w:rPr>
                <w:rFonts w:hint="eastAsia" w:ascii="宋体" w:hAnsi="宋体" w:cs="宋体"/>
                <w:color w:val="auto"/>
                <w:szCs w:val="21"/>
                <w:highlight w:val="none"/>
              </w:rPr>
              <w:t>系统具备充分的数据冗余，数据容错能力；</w:t>
            </w:r>
          </w:p>
          <w:p>
            <w:pPr>
              <w:ind w:firstLine="420" w:firstLineChars="200"/>
              <w:rPr>
                <w:rFonts w:ascii="宋体" w:hAnsi="宋体" w:cs="宋体"/>
                <w:color w:val="auto"/>
                <w:szCs w:val="21"/>
                <w:highlight w:val="none"/>
              </w:rPr>
            </w:pPr>
            <w:r>
              <w:rPr>
                <w:rFonts w:hint="eastAsia" w:ascii="宋体" w:hAnsi="宋体" w:cs="宋体"/>
                <w:color w:val="auto"/>
                <w:szCs w:val="21"/>
                <w:highlight w:val="none"/>
              </w:rPr>
              <w:t>系统具有专业的技术保障体系以及数据可靠性保证机制；</w:t>
            </w:r>
          </w:p>
          <w:p>
            <w:pPr>
              <w:ind w:firstLine="420" w:firstLineChars="200"/>
              <w:rPr>
                <w:rFonts w:ascii="宋体" w:hAnsi="宋体" w:cs="宋体"/>
                <w:color w:val="auto"/>
                <w:szCs w:val="21"/>
                <w:highlight w:val="none"/>
              </w:rPr>
            </w:pPr>
            <w:r>
              <w:rPr>
                <w:rFonts w:hint="eastAsia" w:ascii="宋体" w:hAnsi="宋体" w:cs="宋体"/>
                <w:color w:val="auto"/>
                <w:szCs w:val="21"/>
                <w:highlight w:val="none"/>
              </w:rPr>
              <w:t>系统在存储节点损坏时（包括硬盘，机柜的故障），不会丢失数据；</w:t>
            </w:r>
          </w:p>
          <w:p>
            <w:pPr>
              <w:ind w:firstLine="420" w:firstLineChars="200"/>
              <w:rPr>
                <w:rFonts w:ascii="宋体" w:hAnsi="宋体" w:cs="宋体"/>
                <w:color w:val="auto"/>
                <w:szCs w:val="21"/>
                <w:highlight w:val="none"/>
              </w:rPr>
            </w:pPr>
            <w:r>
              <w:rPr>
                <w:rFonts w:hint="eastAsia" w:ascii="宋体" w:hAnsi="宋体" w:cs="宋体"/>
                <w:color w:val="auto"/>
                <w:szCs w:val="21"/>
                <w:highlight w:val="none"/>
              </w:rPr>
              <w:t>系统在发生数据损坏时，有数据自愈能力；</w:t>
            </w:r>
          </w:p>
          <w:p>
            <w:pPr>
              <w:ind w:firstLine="420" w:firstLineChars="200"/>
              <w:rPr>
                <w:rFonts w:ascii="宋体" w:hAnsi="宋体" w:cs="宋体"/>
                <w:color w:val="auto"/>
                <w:szCs w:val="21"/>
                <w:highlight w:val="none"/>
              </w:rPr>
            </w:pPr>
            <w:r>
              <w:rPr>
                <w:rFonts w:hint="eastAsia" w:ascii="宋体" w:hAnsi="宋体" w:cs="宋体"/>
                <w:color w:val="auto"/>
                <w:szCs w:val="21"/>
                <w:highlight w:val="none"/>
              </w:rPr>
              <w:t>对工作环境要求较低，环境适应能力强；</w:t>
            </w:r>
          </w:p>
          <w:p>
            <w:pPr>
              <w:ind w:firstLine="420" w:firstLineChars="200"/>
              <w:rPr>
                <w:rFonts w:ascii="宋体" w:hAnsi="宋体" w:cs="宋体"/>
                <w:color w:val="auto"/>
                <w:szCs w:val="21"/>
                <w:highlight w:val="none"/>
              </w:rPr>
            </w:pPr>
            <w:r>
              <w:rPr>
                <w:rFonts w:hint="eastAsia" w:ascii="宋体" w:hAnsi="宋体" w:cs="宋体"/>
                <w:color w:val="auto"/>
                <w:szCs w:val="21"/>
                <w:highlight w:val="none"/>
              </w:rPr>
              <w:t>确保系统具有高度的安全性，提供安全的登录和访问措施，防止系统被攻击；</w:t>
            </w:r>
          </w:p>
          <w:p>
            <w:pPr>
              <w:ind w:firstLine="420" w:firstLineChars="200"/>
              <w:rPr>
                <w:rFonts w:ascii="宋体" w:hAnsi="宋体" w:cs="宋体"/>
                <w:color w:val="auto"/>
                <w:szCs w:val="21"/>
                <w:highlight w:val="none"/>
              </w:rPr>
            </w:pPr>
            <w:r>
              <w:rPr>
                <w:rFonts w:hint="eastAsia" w:ascii="宋体" w:hAnsi="宋体" w:cs="宋体"/>
                <w:color w:val="auto"/>
                <w:szCs w:val="21"/>
                <w:highlight w:val="none"/>
              </w:rPr>
              <w:t>异常掉电后不丢失数据，供电恢复后自动重新启动并自动恢复正常连接；</w:t>
            </w:r>
          </w:p>
          <w:p>
            <w:pPr>
              <w:ind w:firstLine="420" w:firstLineChars="200"/>
              <w:rPr>
                <w:rFonts w:ascii="宋体" w:hAnsi="宋体" w:cs="宋体"/>
                <w:color w:val="auto"/>
                <w:szCs w:val="21"/>
                <w:highlight w:val="none"/>
              </w:rPr>
            </w:pPr>
            <w:r>
              <w:rPr>
                <w:rFonts w:hint="eastAsia" w:ascii="宋体" w:hAnsi="宋体" w:cs="宋体"/>
                <w:color w:val="auto"/>
                <w:szCs w:val="21"/>
                <w:highlight w:val="none"/>
              </w:rPr>
              <w:t>系统器件选择要考虑能支持7×24小时连续长时间大压力下工作。</w:t>
            </w:r>
          </w:p>
          <w:p>
            <w:pPr>
              <w:rPr>
                <w:rFonts w:ascii="宋体" w:hAnsi="宋体" w:cs="宋体"/>
                <w:color w:val="auto"/>
                <w:szCs w:val="21"/>
                <w:highlight w:val="none"/>
              </w:rPr>
            </w:pPr>
            <w:r>
              <w:rPr>
                <w:rFonts w:hint="eastAsia" w:ascii="宋体" w:hAnsi="宋体" w:cs="宋体"/>
                <w:b/>
                <w:bCs/>
                <w:color w:val="auto"/>
                <w:szCs w:val="21"/>
                <w:highlight w:val="none"/>
              </w:rPr>
              <w:t>1.2 扩展性原则</w:t>
            </w:r>
          </w:p>
          <w:p>
            <w:pPr>
              <w:ind w:firstLine="420" w:firstLineChars="200"/>
              <w:rPr>
                <w:rFonts w:ascii="宋体" w:hAnsi="宋体" w:cs="宋体"/>
                <w:color w:val="auto"/>
                <w:szCs w:val="21"/>
                <w:highlight w:val="none"/>
              </w:rPr>
            </w:pPr>
            <w:r>
              <w:rPr>
                <w:rFonts w:hint="eastAsia" w:ascii="宋体" w:hAnsi="宋体" w:cs="宋体"/>
                <w:color w:val="auto"/>
                <w:szCs w:val="21"/>
                <w:highlight w:val="none"/>
              </w:rPr>
              <w:t>系统易于扩展，支持TB级数据存储；</w:t>
            </w:r>
          </w:p>
          <w:p>
            <w:pPr>
              <w:ind w:firstLine="420" w:firstLineChars="200"/>
              <w:rPr>
                <w:rFonts w:ascii="宋体" w:hAnsi="宋体" w:cs="宋体"/>
                <w:color w:val="auto"/>
                <w:szCs w:val="21"/>
                <w:highlight w:val="none"/>
              </w:rPr>
            </w:pPr>
            <w:r>
              <w:rPr>
                <w:rFonts w:hint="eastAsia" w:ascii="宋体" w:hAnsi="宋体" w:cs="宋体"/>
                <w:color w:val="auto"/>
                <w:szCs w:val="21"/>
                <w:highlight w:val="none"/>
              </w:rPr>
              <w:t>系统在容量扩展时，性能得到提升；</w:t>
            </w:r>
          </w:p>
          <w:p>
            <w:pPr>
              <w:ind w:firstLine="420" w:firstLineChars="200"/>
              <w:rPr>
                <w:rFonts w:ascii="宋体" w:hAnsi="宋体" w:cs="宋体"/>
                <w:color w:val="auto"/>
                <w:szCs w:val="21"/>
                <w:highlight w:val="none"/>
              </w:rPr>
            </w:pPr>
            <w:r>
              <w:rPr>
                <w:rFonts w:hint="eastAsia" w:ascii="宋体" w:hAnsi="宋体" w:cs="宋体"/>
                <w:color w:val="auto"/>
                <w:szCs w:val="21"/>
                <w:highlight w:val="none"/>
              </w:rPr>
              <w:t>系统选择标准化的部件，利于灵活替换和容量扩展。</w:t>
            </w:r>
          </w:p>
          <w:p>
            <w:pPr>
              <w:rPr>
                <w:rFonts w:ascii="宋体" w:hAnsi="宋体" w:cs="宋体"/>
                <w:color w:val="auto"/>
                <w:szCs w:val="21"/>
                <w:highlight w:val="none"/>
              </w:rPr>
            </w:pPr>
            <w:r>
              <w:rPr>
                <w:rFonts w:hint="eastAsia" w:ascii="宋体" w:hAnsi="宋体" w:cs="宋体"/>
                <w:b/>
                <w:bCs/>
                <w:color w:val="auto"/>
                <w:szCs w:val="21"/>
                <w:highlight w:val="none"/>
              </w:rPr>
              <w:t>1.3 先进性原则</w:t>
            </w:r>
          </w:p>
          <w:p>
            <w:pPr>
              <w:ind w:firstLine="420" w:firstLineChars="200"/>
              <w:rPr>
                <w:rFonts w:ascii="宋体" w:hAnsi="宋体" w:cs="宋体"/>
                <w:color w:val="auto"/>
                <w:szCs w:val="21"/>
                <w:highlight w:val="none"/>
              </w:rPr>
            </w:pPr>
            <w:r>
              <w:rPr>
                <w:rFonts w:hint="eastAsia" w:ascii="宋体" w:hAnsi="宋体" w:cs="宋体"/>
                <w:color w:val="auto"/>
                <w:szCs w:val="21"/>
                <w:highlight w:val="none"/>
              </w:rPr>
              <w:t>系统必须严格遵循国际标准、国家标准和国内通信行业的规范要求；</w:t>
            </w:r>
          </w:p>
          <w:p>
            <w:pPr>
              <w:ind w:firstLine="420" w:firstLineChars="200"/>
              <w:rPr>
                <w:rFonts w:ascii="宋体" w:hAnsi="宋体" w:cs="宋体"/>
                <w:color w:val="auto"/>
                <w:szCs w:val="21"/>
                <w:highlight w:val="none"/>
              </w:rPr>
            </w:pPr>
            <w:r>
              <w:rPr>
                <w:rFonts w:hint="eastAsia" w:ascii="宋体" w:hAnsi="宋体" w:cs="宋体"/>
                <w:color w:val="auto"/>
                <w:szCs w:val="21"/>
                <w:highlight w:val="none"/>
              </w:rPr>
              <w:t>需符合存储技术以及IT行业的发展趋势，所选用的产品型号已规模上量；</w:t>
            </w:r>
          </w:p>
          <w:p>
            <w:pPr>
              <w:ind w:firstLine="420" w:firstLineChars="200"/>
              <w:rPr>
                <w:rFonts w:ascii="宋体" w:hAnsi="宋体" w:cs="宋体"/>
                <w:color w:val="auto"/>
                <w:szCs w:val="21"/>
                <w:highlight w:val="none"/>
              </w:rPr>
            </w:pPr>
            <w:r>
              <w:rPr>
                <w:rFonts w:hint="eastAsia" w:ascii="宋体" w:hAnsi="宋体" w:cs="宋体"/>
                <w:color w:val="auto"/>
                <w:szCs w:val="21"/>
                <w:highlight w:val="none"/>
              </w:rPr>
              <w:t>所有的系统处于先进的技术水平，确保较长时间内技术上不落伍；</w:t>
            </w:r>
          </w:p>
          <w:p>
            <w:pPr>
              <w:ind w:firstLine="420" w:firstLineChars="200"/>
              <w:rPr>
                <w:rFonts w:ascii="宋体" w:hAnsi="宋体" w:cs="宋体"/>
                <w:color w:val="auto"/>
                <w:szCs w:val="21"/>
                <w:highlight w:val="none"/>
              </w:rPr>
            </w:pPr>
            <w:r>
              <w:rPr>
                <w:rFonts w:hint="eastAsia" w:ascii="宋体" w:hAnsi="宋体" w:cs="宋体"/>
                <w:color w:val="auto"/>
                <w:szCs w:val="21"/>
                <w:highlight w:val="none"/>
              </w:rPr>
              <w:t>系统的处理能力要达到业内领先，对于本次业务的使用要留有一定的余量，以满足后续升级的需求。</w:t>
            </w:r>
          </w:p>
          <w:p>
            <w:pPr>
              <w:rPr>
                <w:rFonts w:ascii="宋体" w:hAnsi="宋体" w:cs="宋体"/>
                <w:color w:val="auto"/>
                <w:szCs w:val="21"/>
                <w:highlight w:val="none"/>
              </w:rPr>
            </w:pPr>
            <w:r>
              <w:rPr>
                <w:rFonts w:hint="eastAsia" w:ascii="宋体" w:hAnsi="宋体" w:cs="宋体"/>
                <w:b/>
                <w:bCs/>
                <w:color w:val="auto"/>
                <w:szCs w:val="21"/>
                <w:highlight w:val="none"/>
              </w:rPr>
              <w:t xml:space="preserve">1.4 开放性原则 </w:t>
            </w:r>
            <w:r>
              <w:rPr>
                <w:rFonts w:hint="eastAsia" w:ascii="宋体" w:hAnsi="宋体" w:cs="宋体"/>
                <w:color w:val="auto"/>
                <w:szCs w:val="21"/>
                <w:highlight w:val="none"/>
              </w:rPr>
              <w:t xml:space="preserve"> </w:t>
            </w:r>
          </w:p>
          <w:p>
            <w:pPr>
              <w:ind w:firstLine="420" w:firstLineChars="200"/>
              <w:rPr>
                <w:rFonts w:ascii="宋体" w:hAnsi="宋体" w:cs="宋体"/>
                <w:color w:val="auto"/>
                <w:szCs w:val="21"/>
                <w:highlight w:val="none"/>
              </w:rPr>
            </w:pPr>
            <w:r>
              <w:rPr>
                <w:rFonts w:hint="eastAsia" w:ascii="宋体" w:hAnsi="宋体" w:cs="宋体"/>
                <w:color w:val="auto"/>
                <w:szCs w:val="21"/>
                <w:highlight w:val="none"/>
              </w:rPr>
              <w:t>系统必须支持国际上通用的标准网络存储协议、国际标准的应用开放协议；</w:t>
            </w:r>
          </w:p>
          <w:p>
            <w:pPr>
              <w:ind w:firstLine="420" w:firstLineChars="200"/>
              <w:rPr>
                <w:rFonts w:ascii="宋体" w:hAnsi="宋体" w:cs="宋体"/>
                <w:color w:val="auto"/>
                <w:szCs w:val="21"/>
                <w:highlight w:val="none"/>
              </w:rPr>
            </w:pPr>
            <w:r>
              <w:rPr>
                <w:rFonts w:hint="eastAsia" w:ascii="宋体" w:hAnsi="宋体" w:cs="宋体"/>
                <w:color w:val="auto"/>
                <w:szCs w:val="21"/>
                <w:highlight w:val="none"/>
              </w:rPr>
              <w:t>与主流服务器之间保持良好的兼容性；</w:t>
            </w:r>
          </w:p>
          <w:p>
            <w:pPr>
              <w:ind w:firstLine="420" w:firstLineChars="200"/>
              <w:rPr>
                <w:rFonts w:ascii="宋体" w:hAnsi="宋体" w:cs="宋体"/>
                <w:color w:val="auto"/>
                <w:szCs w:val="21"/>
                <w:highlight w:val="none"/>
              </w:rPr>
            </w:pPr>
            <w:r>
              <w:rPr>
                <w:rFonts w:hint="eastAsia" w:ascii="宋体" w:hAnsi="宋体" w:cs="宋体"/>
                <w:color w:val="auto"/>
                <w:szCs w:val="21"/>
                <w:highlight w:val="none"/>
              </w:rPr>
              <w:t>兼容各主流操作系统及应用程序；</w:t>
            </w:r>
          </w:p>
          <w:p>
            <w:pPr>
              <w:ind w:firstLine="420" w:firstLineChars="200"/>
              <w:rPr>
                <w:rFonts w:ascii="宋体" w:hAnsi="宋体" w:cs="宋体"/>
                <w:color w:val="auto"/>
                <w:szCs w:val="21"/>
                <w:highlight w:val="none"/>
              </w:rPr>
            </w:pPr>
            <w:r>
              <w:rPr>
                <w:rFonts w:hint="eastAsia" w:ascii="宋体" w:hAnsi="宋体" w:cs="宋体"/>
                <w:color w:val="auto"/>
                <w:szCs w:val="21"/>
                <w:highlight w:val="none"/>
              </w:rPr>
              <w:t>可以与第三方管理平台集成，提供给客户定制化的管理维护手段；</w:t>
            </w:r>
          </w:p>
          <w:p>
            <w:pPr>
              <w:ind w:firstLine="420" w:firstLineChars="200"/>
              <w:rPr>
                <w:rFonts w:ascii="宋体" w:hAnsi="宋体" w:cs="宋体"/>
                <w:color w:val="auto"/>
                <w:szCs w:val="21"/>
                <w:highlight w:val="none"/>
              </w:rPr>
            </w:pPr>
            <w:r>
              <w:rPr>
                <w:rFonts w:hint="eastAsia" w:ascii="宋体" w:hAnsi="宋体" w:cs="宋体"/>
                <w:color w:val="auto"/>
                <w:szCs w:val="21"/>
                <w:highlight w:val="none"/>
              </w:rPr>
              <w:t>满足今后的发展，留有充分的扩充余地。</w:t>
            </w:r>
          </w:p>
          <w:p>
            <w:pPr>
              <w:rPr>
                <w:rFonts w:ascii="宋体" w:hAnsi="宋体" w:cs="宋体"/>
                <w:color w:val="auto"/>
                <w:szCs w:val="21"/>
                <w:highlight w:val="none"/>
              </w:rPr>
            </w:pPr>
            <w:r>
              <w:rPr>
                <w:rFonts w:hint="eastAsia" w:ascii="宋体" w:hAnsi="宋体" w:cs="宋体"/>
                <w:b/>
                <w:bCs/>
                <w:color w:val="auto"/>
                <w:szCs w:val="21"/>
                <w:highlight w:val="none"/>
              </w:rPr>
              <w:t>1.5 易维护性原则</w:t>
            </w:r>
            <w:r>
              <w:rPr>
                <w:rFonts w:hint="eastAsia" w:ascii="宋体" w:hAnsi="宋体" w:cs="宋体"/>
                <w:color w:val="auto"/>
                <w:szCs w:val="21"/>
                <w:highlight w:val="none"/>
              </w:rPr>
              <w:t xml:space="preserve">  </w:t>
            </w:r>
          </w:p>
          <w:p>
            <w:pPr>
              <w:ind w:firstLine="420" w:firstLineChars="200"/>
              <w:rPr>
                <w:rFonts w:ascii="宋体" w:hAnsi="宋体" w:cs="宋体"/>
                <w:color w:val="auto"/>
                <w:szCs w:val="21"/>
                <w:highlight w:val="none"/>
              </w:rPr>
            </w:pPr>
            <w:r>
              <w:rPr>
                <w:rFonts w:hint="eastAsia" w:ascii="宋体" w:hAnsi="宋体" w:cs="宋体"/>
                <w:color w:val="auto"/>
                <w:szCs w:val="21"/>
                <w:highlight w:val="none"/>
              </w:rPr>
              <w:t>系统支持简体中文，通俗易懂，操作方便、简单；</w:t>
            </w:r>
          </w:p>
          <w:p>
            <w:pPr>
              <w:ind w:firstLine="420" w:firstLineChars="200"/>
              <w:rPr>
                <w:rFonts w:ascii="宋体" w:hAnsi="宋体" w:cs="宋体"/>
                <w:color w:val="auto"/>
                <w:szCs w:val="21"/>
                <w:highlight w:val="none"/>
              </w:rPr>
            </w:pPr>
            <w:r>
              <w:rPr>
                <w:rFonts w:hint="eastAsia" w:ascii="宋体" w:hAnsi="宋体" w:cs="宋体"/>
                <w:color w:val="auto"/>
                <w:szCs w:val="21"/>
                <w:highlight w:val="none"/>
              </w:rPr>
              <w:t>系统具有充分的权限管理，日志管理、故障管理，并能够实现故障自动报警；</w:t>
            </w:r>
          </w:p>
          <w:p>
            <w:pPr>
              <w:ind w:firstLine="420" w:firstLineChars="200"/>
              <w:rPr>
                <w:rFonts w:ascii="宋体" w:hAnsi="宋体" w:cs="宋体"/>
                <w:color w:val="auto"/>
                <w:szCs w:val="21"/>
                <w:highlight w:val="none"/>
              </w:rPr>
            </w:pPr>
            <w:r>
              <w:rPr>
                <w:rFonts w:hint="eastAsia" w:ascii="宋体" w:hAnsi="宋体" w:cs="宋体"/>
                <w:color w:val="auto"/>
                <w:szCs w:val="21"/>
                <w:highlight w:val="none"/>
              </w:rPr>
              <w:t>系统设备安装使用简单，无需专业人员维护；</w:t>
            </w:r>
          </w:p>
          <w:p>
            <w:pPr>
              <w:ind w:firstLine="420" w:firstLineChars="200"/>
              <w:rPr>
                <w:rFonts w:ascii="宋体" w:hAnsi="宋体" w:cs="宋体"/>
                <w:color w:val="auto"/>
                <w:szCs w:val="21"/>
                <w:highlight w:val="none"/>
              </w:rPr>
            </w:pPr>
            <w:r>
              <w:rPr>
                <w:rFonts w:hint="eastAsia" w:ascii="宋体" w:hAnsi="宋体" w:cs="宋体"/>
                <w:color w:val="auto"/>
                <w:szCs w:val="21"/>
                <w:highlight w:val="none"/>
              </w:rPr>
              <w:t>系统容量可按需要在线扩展，无需停止业务；</w:t>
            </w:r>
          </w:p>
          <w:p>
            <w:pPr>
              <w:ind w:firstLine="420" w:firstLineChars="200"/>
              <w:rPr>
                <w:rFonts w:ascii="宋体" w:hAnsi="宋体" w:cs="宋体"/>
                <w:color w:val="auto"/>
                <w:szCs w:val="21"/>
                <w:highlight w:val="none"/>
              </w:rPr>
            </w:pPr>
            <w:r>
              <w:rPr>
                <w:rFonts w:hint="eastAsia" w:ascii="宋体" w:hAnsi="宋体" w:cs="宋体"/>
                <w:color w:val="auto"/>
                <w:szCs w:val="21"/>
                <w:highlight w:val="none"/>
              </w:rPr>
              <w:t>系统功能扩充需要升级时，支持不中断业务升级；</w:t>
            </w:r>
          </w:p>
          <w:p>
            <w:pPr>
              <w:ind w:firstLine="420" w:firstLineChars="200"/>
              <w:rPr>
                <w:rFonts w:ascii="宋体" w:hAnsi="宋体" w:cs="宋体"/>
                <w:color w:val="auto"/>
                <w:szCs w:val="21"/>
                <w:highlight w:val="none"/>
              </w:rPr>
            </w:pPr>
            <w:r>
              <w:rPr>
                <w:rFonts w:hint="eastAsia" w:ascii="宋体" w:hAnsi="宋体" w:cs="宋体"/>
                <w:color w:val="auto"/>
                <w:szCs w:val="21"/>
                <w:highlight w:val="none"/>
              </w:rPr>
              <w:t>支持图形化界面管理方式。</w:t>
            </w:r>
          </w:p>
          <w:p>
            <w:pPr>
              <w:rPr>
                <w:rFonts w:ascii="宋体" w:hAnsi="宋体" w:cs="宋体"/>
                <w:b/>
                <w:bCs/>
                <w:color w:val="auto"/>
                <w:szCs w:val="21"/>
                <w:highlight w:val="none"/>
              </w:rPr>
            </w:pPr>
            <w:r>
              <w:rPr>
                <w:rFonts w:hint="eastAsia" w:ascii="宋体" w:hAnsi="宋体" w:cs="宋体"/>
                <w:b/>
                <w:bCs/>
                <w:color w:val="auto"/>
                <w:szCs w:val="21"/>
                <w:highlight w:val="none"/>
              </w:rPr>
              <w:t>1.6 经济性原则</w:t>
            </w:r>
          </w:p>
          <w:p>
            <w:pPr>
              <w:ind w:firstLine="420" w:firstLineChars="200"/>
              <w:rPr>
                <w:rFonts w:ascii="宋体" w:hAnsi="宋体" w:cs="宋体"/>
                <w:color w:val="auto"/>
                <w:szCs w:val="21"/>
                <w:highlight w:val="none"/>
              </w:rPr>
            </w:pPr>
            <w:r>
              <w:rPr>
                <w:rFonts w:hint="eastAsia" w:ascii="宋体" w:hAnsi="宋体" w:cs="宋体"/>
                <w:color w:val="auto"/>
                <w:szCs w:val="21"/>
                <w:highlight w:val="none"/>
              </w:rPr>
              <w:t>综合考虑集中存储系统的性能和价格，最经济最有效地进行建设，性能价格比在同类系统和条件下达到最优。</w:t>
            </w:r>
          </w:p>
          <w:p>
            <w:pPr>
              <w:rPr>
                <w:rFonts w:ascii="宋体" w:hAnsi="宋体" w:cs="宋体"/>
                <w:color w:val="auto"/>
                <w:szCs w:val="21"/>
                <w:highlight w:val="none"/>
              </w:rPr>
            </w:pPr>
            <w:r>
              <w:rPr>
                <w:rFonts w:hint="eastAsia" w:ascii="宋体" w:hAnsi="宋体" w:cs="宋体"/>
                <w:b/>
                <w:bCs/>
                <w:color w:val="auto"/>
                <w:szCs w:val="21"/>
                <w:highlight w:val="none"/>
              </w:rPr>
              <w:t>1.7 绿色性原则</w:t>
            </w:r>
          </w:p>
          <w:p>
            <w:pPr>
              <w:ind w:firstLine="420" w:firstLineChars="200"/>
              <w:rPr>
                <w:rFonts w:ascii="宋体" w:hAnsi="宋体" w:cs="宋体"/>
                <w:color w:val="auto"/>
                <w:szCs w:val="21"/>
                <w:highlight w:val="none"/>
              </w:rPr>
            </w:pPr>
            <w:r>
              <w:rPr>
                <w:rFonts w:hint="eastAsia" w:ascii="宋体" w:hAnsi="宋体" w:cs="宋体"/>
                <w:color w:val="auto"/>
                <w:szCs w:val="21"/>
                <w:highlight w:val="none"/>
              </w:rPr>
              <w:t>满足环保与节能的要求，噪声低、能耗低、无污染；</w:t>
            </w:r>
          </w:p>
          <w:p>
            <w:pPr>
              <w:ind w:firstLine="420" w:firstLineChars="200"/>
              <w:rPr>
                <w:rFonts w:ascii="宋体" w:hAnsi="宋体" w:cs="宋体"/>
                <w:color w:val="auto"/>
                <w:szCs w:val="21"/>
                <w:highlight w:val="none"/>
              </w:rPr>
            </w:pPr>
            <w:r>
              <w:rPr>
                <w:rFonts w:hint="eastAsia" w:ascii="宋体" w:hAnsi="宋体" w:cs="宋体"/>
                <w:color w:val="auto"/>
                <w:szCs w:val="21"/>
                <w:highlight w:val="none"/>
              </w:rPr>
              <w:t>必须选用无铅器件；</w:t>
            </w:r>
          </w:p>
          <w:p>
            <w:pPr>
              <w:ind w:firstLine="420" w:firstLineChars="200"/>
              <w:rPr>
                <w:rFonts w:ascii="宋体" w:hAnsi="宋体" w:cs="宋体"/>
                <w:color w:val="auto"/>
                <w:szCs w:val="21"/>
                <w:highlight w:val="none"/>
              </w:rPr>
            </w:pPr>
            <w:r>
              <w:rPr>
                <w:rFonts w:hint="eastAsia" w:ascii="宋体" w:hAnsi="宋体" w:cs="宋体"/>
                <w:color w:val="auto"/>
                <w:szCs w:val="21"/>
                <w:highlight w:val="none"/>
              </w:rPr>
              <w:t>有节能降耗的技术手段；</w:t>
            </w:r>
          </w:p>
          <w:p>
            <w:pPr>
              <w:pStyle w:val="35"/>
              <w:spacing w:line="320" w:lineRule="exact"/>
              <w:ind w:firstLine="420" w:firstLineChars="200"/>
              <w:rPr>
                <w:rFonts w:ascii="宋体" w:hAnsi="宋体" w:cs="宋体"/>
                <w:b/>
                <w:bCs/>
                <w:color w:val="auto"/>
                <w:sz w:val="21"/>
                <w:szCs w:val="21"/>
                <w:highlight w:val="none"/>
              </w:rPr>
            </w:pPr>
            <w:r>
              <w:rPr>
                <w:rFonts w:hint="eastAsia" w:ascii="宋体" w:hAnsi="宋体" w:cs="宋体"/>
                <w:color w:val="auto"/>
                <w:sz w:val="21"/>
                <w:szCs w:val="21"/>
                <w:highlight w:val="none"/>
              </w:rPr>
              <w:t>具备环境管理认证，符合环保规定，包材可回收，支持重复利用。</w:t>
            </w:r>
          </w:p>
          <w:p>
            <w:pPr>
              <w:pStyle w:val="35"/>
              <w:spacing w:line="320" w:lineRule="exact"/>
              <w:rPr>
                <w:rFonts w:ascii="宋体" w:hAnsi="宋体" w:cs="宋体"/>
                <w:b/>
                <w:bCs/>
                <w:color w:val="auto"/>
                <w:sz w:val="21"/>
                <w:szCs w:val="21"/>
                <w:highlight w:val="none"/>
              </w:rPr>
            </w:pPr>
            <w:r>
              <w:rPr>
                <w:rFonts w:hint="eastAsia" w:ascii="宋体" w:hAnsi="宋体" w:cs="宋体"/>
                <w:b/>
                <w:bCs/>
                <w:color w:val="auto"/>
                <w:sz w:val="21"/>
                <w:szCs w:val="21"/>
                <w:highlight w:val="none"/>
              </w:rPr>
              <w:t>2.存储系统架构设计</w:t>
            </w:r>
          </w:p>
          <w:p>
            <w:pPr>
              <w:adjustRightInd w:val="0"/>
              <w:spacing w:line="320" w:lineRule="exact"/>
              <w:ind w:firstLine="420" w:firstLineChars="200"/>
              <w:textAlignment w:val="baseline"/>
              <w:rPr>
                <w:rFonts w:ascii="宋体" w:hAnsi="宋体" w:cs="宋体"/>
                <w:color w:val="auto"/>
                <w:szCs w:val="21"/>
                <w:highlight w:val="none"/>
              </w:rPr>
            </w:pPr>
            <w:r>
              <w:rPr>
                <w:rFonts w:hint="eastAsia" w:ascii="宋体" w:hAnsi="宋体" w:cs="宋体"/>
                <w:color w:val="auto"/>
                <w:szCs w:val="21"/>
                <w:highlight w:val="none"/>
              </w:rPr>
              <w:t>本项目部署在广西壮族自治区生态环境局信息中心机房，利用其提供的云主机资源存储。</w:t>
            </w:r>
          </w:p>
          <w:p>
            <w:pPr>
              <w:pStyle w:val="35"/>
              <w:spacing w:line="320" w:lineRule="exact"/>
              <w:rPr>
                <w:rFonts w:ascii="宋体" w:hAnsi="宋体" w:cs="宋体"/>
                <w:b/>
                <w:bCs/>
                <w:color w:val="auto"/>
                <w:sz w:val="21"/>
                <w:szCs w:val="21"/>
                <w:highlight w:val="none"/>
              </w:rPr>
            </w:pPr>
            <w:r>
              <w:rPr>
                <w:rFonts w:hint="eastAsia" w:ascii="宋体" w:hAnsi="宋体" w:cs="宋体"/>
                <w:color w:val="auto"/>
                <w:sz w:val="21"/>
                <w:szCs w:val="21"/>
                <w:highlight w:val="none"/>
              </w:rPr>
              <w:t>在备份系统的设计上，采用备份服务器及本机RAID备份机制来保证用户数据的安全。</w:t>
            </w:r>
          </w:p>
          <w:p>
            <w:pPr>
              <w:pStyle w:val="35"/>
              <w:spacing w:line="320" w:lineRule="exact"/>
              <w:rPr>
                <w:rFonts w:ascii="宋体" w:hAnsi="宋体" w:cs="宋体"/>
                <w:b/>
                <w:bCs/>
                <w:color w:val="auto"/>
                <w:sz w:val="21"/>
                <w:szCs w:val="21"/>
                <w:highlight w:val="none"/>
              </w:rPr>
            </w:pPr>
            <w:r>
              <w:rPr>
                <w:rFonts w:hint="eastAsia" w:ascii="宋体" w:hAnsi="宋体" w:cs="宋体"/>
                <w:b/>
                <w:bCs/>
                <w:color w:val="auto"/>
                <w:sz w:val="21"/>
                <w:szCs w:val="21"/>
                <w:highlight w:val="none"/>
              </w:rPr>
              <w:t>3.备份策略</w:t>
            </w:r>
          </w:p>
          <w:p>
            <w:pPr>
              <w:adjustRightInd w:val="0"/>
              <w:spacing w:line="320" w:lineRule="exact"/>
              <w:textAlignment w:val="baseline"/>
              <w:rPr>
                <w:rFonts w:ascii="宋体" w:hAnsi="宋体" w:cs="宋体"/>
                <w:b/>
                <w:bCs/>
                <w:color w:val="auto"/>
                <w:szCs w:val="21"/>
                <w:highlight w:val="none"/>
              </w:rPr>
            </w:pPr>
            <w:r>
              <w:rPr>
                <w:rFonts w:hint="eastAsia" w:ascii="宋体" w:hAnsi="宋体" w:cs="宋体"/>
                <w:b/>
                <w:bCs/>
                <w:color w:val="auto"/>
                <w:szCs w:val="21"/>
                <w:highlight w:val="none"/>
              </w:rPr>
              <w:t>3.1业务数据库数据备份策略</w:t>
            </w:r>
          </w:p>
          <w:p>
            <w:pPr>
              <w:adjustRightInd w:val="0"/>
              <w:spacing w:line="320" w:lineRule="exact"/>
              <w:ind w:firstLine="420" w:firstLineChars="200"/>
              <w:textAlignment w:val="baseline"/>
              <w:rPr>
                <w:rFonts w:ascii="宋体" w:hAnsi="宋体" w:cs="宋体"/>
                <w:color w:val="auto"/>
                <w:szCs w:val="21"/>
                <w:highlight w:val="none"/>
              </w:rPr>
            </w:pPr>
            <w:r>
              <w:rPr>
                <w:rFonts w:hint="eastAsia" w:ascii="宋体" w:hAnsi="宋体" w:cs="宋体"/>
                <w:color w:val="auto"/>
                <w:szCs w:val="21"/>
                <w:highlight w:val="none"/>
              </w:rPr>
              <w:t>以周为备份周期，每周日进行一次数据库数据全量备份，其余每天进行数据增量备份；</w:t>
            </w:r>
          </w:p>
          <w:p>
            <w:pPr>
              <w:adjustRightInd w:val="0"/>
              <w:spacing w:line="320" w:lineRule="exact"/>
              <w:ind w:firstLine="420" w:firstLineChars="200"/>
              <w:textAlignment w:val="baseline"/>
              <w:rPr>
                <w:rFonts w:ascii="宋体" w:hAnsi="宋体" w:cs="宋体"/>
                <w:color w:val="auto"/>
                <w:szCs w:val="21"/>
                <w:highlight w:val="none"/>
              </w:rPr>
            </w:pPr>
            <w:r>
              <w:rPr>
                <w:rFonts w:hint="eastAsia" w:ascii="宋体" w:hAnsi="宋体" w:cs="宋体"/>
                <w:color w:val="auto"/>
                <w:szCs w:val="21"/>
                <w:highlight w:val="none"/>
              </w:rPr>
              <w:t>数据库增量数据备份启动时间分别设定在</w:t>
            </w:r>
            <w:r>
              <w:rPr>
                <w:rFonts w:hint="eastAsia" w:ascii="宋体" w:hAnsi="宋体" w:cs="宋体"/>
                <w:color w:val="auto"/>
                <w:szCs w:val="21"/>
                <w:highlight w:val="none"/>
                <w:lang w:val="en-US" w:eastAsia="zh-CN"/>
              </w:rPr>
              <w:t>23:00-01:00</w:t>
            </w:r>
            <w:r>
              <w:rPr>
                <w:rFonts w:hint="eastAsia" w:ascii="宋体" w:hAnsi="宋体" w:cs="宋体"/>
                <w:color w:val="auto"/>
                <w:szCs w:val="21"/>
                <w:highlight w:val="none"/>
              </w:rPr>
              <w:t>启动；</w:t>
            </w:r>
          </w:p>
          <w:p>
            <w:pPr>
              <w:adjustRightInd w:val="0"/>
              <w:spacing w:line="320" w:lineRule="exact"/>
              <w:ind w:firstLine="420" w:firstLineChars="200"/>
              <w:textAlignment w:val="baseline"/>
              <w:rPr>
                <w:rFonts w:ascii="宋体" w:hAnsi="宋体" w:cs="宋体"/>
                <w:color w:val="auto"/>
                <w:szCs w:val="21"/>
                <w:highlight w:val="none"/>
              </w:rPr>
            </w:pPr>
            <w:r>
              <w:rPr>
                <w:rFonts w:hint="eastAsia" w:ascii="宋体" w:hAnsi="宋体" w:cs="宋体"/>
                <w:color w:val="auto"/>
                <w:szCs w:val="21"/>
                <w:highlight w:val="none"/>
              </w:rPr>
              <w:t>备份数据保留两</w:t>
            </w:r>
            <w:r>
              <w:rPr>
                <w:rFonts w:hint="eastAsia" w:ascii="宋体" w:hAnsi="宋体" w:cs="宋体"/>
                <w:color w:val="auto"/>
                <w:szCs w:val="21"/>
                <w:highlight w:val="none"/>
                <w:lang w:eastAsia="zh-CN"/>
              </w:rPr>
              <w:t>个月</w:t>
            </w:r>
            <w:r>
              <w:rPr>
                <w:rFonts w:hint="eastAsia" w:ascii="宋体" w:hAnsi="宋体" w:cs="宋体"/>
                <w:color w:val="auto"/>
                <w:szCs w:val="21"/>
                <w:highlight w:val="none"/>
              </w:rPr>
              <w:t>，两个可恢复数据版本。</w:t>
            </w:r>
          </w:p>
          <w:p>
            <w:pPr>
              <w:adjustRightInd w:val="0"/>
              <w:spacing w:line="320" w:lineRule="exact"/>
              <w:textAlignment w:val="baseline"/>
              <w:rPr>
                <w:rFonts w:ascii="宋体" w:hAnsi="宋体" w:cs="宋体"/>
                <w:color w:val="auto"/>
                <w:szCs w:val="21"/>
                <w:highlight w:val="none"/>
              </w:rPr>
            </w:pPr>
            <w:r>
              <w:rPr>
                <w:rFonts w:hint="eastAsia" w:ascii="宋体" w:hAnsi="宋体" w:cs="宋体"/>
                <w:b/>
                <w:bCs/>
                <w:color w:val="auto"/>
                <w:szCs w:val="21"/>
                <w:highlight w:val="none"/>
              </w:rPr>
              <w:t>3.2重要的数据文件的备份策略</w:t>
            </w:r>
          </w:p>
          <w:p>
            <w:pPr>
              <w:adjustRightInd w:val="0"/>
              <w:spacing w:line="320" w:lineRule="exact"/>
              <w:ind w:firstLine="420" w:firstLineChars="200"/>
              <w:textAlignment w:val="baseline"/>
              <w:rPr>
                <w:rFonts w:ascii="宋体" w:hAnsi="宋体" w:cs="宋体"/>
                <w:color w:val="auto"/>
                <w:szCs w:val="21"/>
                <w:highlight w:val="none"/>
              </w:rPr>
            </w:pPr>
            <w:r>
              <w:rPr>
                <w:rFonts w:hint="eastAsia" w:ascii="宋体" w:hAnsi="宋体" w:cs="宋体"/>
                <w:color w:val="auto"/>
                <w:szCs w:val="21"/>
                <w:highlight w:val="none"/>
              </w:rPr>
              <w:t>对在系统运行时形成的重要的数据文件采用如下数据备份策略：</w:t>
            </w:r>
          </w:p>
          <w:p>
            <w:pPr>
              <w:adjustRightInd w:val="0"/>
              <w:spacing w:line="320" w:lineRule="exact"/>
              <w:ind w:firstLine="420" w:firstLineChars="200"/>
              <w:textAlignment w:val="baseline"/>
              <w:rPr>
                <w:rFonts w:ascii="宋体" w:hAnsi="宋体" w:cs="宋体"/>
                <w:color w:val="auto"/>
                <w:szCs w:val="21"/>
                <w:highlight w:val="none"/>
              </w:rPr>
            </w:pPr>
            <w:r>
              <w:rPr>
                <w:rFonts w:hint="eastAsia" w:ascii="宋体" w:hAnsi="宋体" w:cs="宋体"/>
                <w:color w:val="auto"/>
                <w:szCs w:val="21"/>
                <w:highlight w:val="none"/>
              </w:rPr>
              <w:t>以周为备份周期，每周日进行一次全量数据备份，其余每天进行数据增量备份；</w:t>
            </w:r>
          </w:p>
          <w:p>
            <w:pPr>
              <w:adjustRightInd w:val="0"/>
              <w:spacing w:line="320" w:lineRule="exact"/>
              <w:ind w:firstLine="420" w:firstLineChars="200"/>
              <w:textAlignment w:val="baseline"/>
              <w:rPr>
                <w:rFonts w:ascii="宋体" w:hAnsi="宋体" w:cs="宋体"/>
                <w:color w:val="auto"/>
                <w:szCs w:val="21"/>
                <w:highlight w:val="none"/>
              </w:rPr>
            </w:pPr>
            <w:r>
              <w:rPr>
                <w:rFonts w:hint="eastAsia" w:ascii="宋体" w:hAnsi="宋体" w:cs="宋体"/>
                <w:color w:val="auto"/>
                <w:szCs w:val="21"/>
                <w:highlight w:val="none"/>
              </w:rPr>
              <w:t>备份启动时间设定在</w:t>
            </w:r>
            <w:r>
              <w:rPr>
                <w:rFonts w:hint="eastAsia" w:ascii="宋体" w:hAnsi="宋体" w:cs="宋体"/>
                <w:color w:val="auto"/>
                <w:szCs w:val="21"/>
                <w:highlight w:val="none"/>
                <w:lang w:val="en-US" w:eastAsia="zh-CN"/>
              </w:rPr>
              <w:t>23:00</w:t>
            </w:r>
            <w:r>
              <w:rPr>
                <w:rFonts w:hint="eastAsia" w:ascii="宋体" w:hAnsi="宋体" w:cs="宋体"/>
                <w:color w:val="auto"/>
                <w:szCs w:val="21"/>
                <w:highlight w:val="none"/>
              </w:rPr>
              <w:t>自动启动；</w:t>
            </w:r>
          </w:p>
          <w:p>
            <w:pPr>
              <w:adjustRightInd w:val="0"/>
              <w:spacing w:line="320" w:lineRule="exact"/>
              <w:ind w:firstLine="420" w:firstLineChars="200"/>
              <w:textAlignment w:val="baseline"/>
              <w:rPr>
                <w:rFonts w:ascii="宋体" w:hAnsi="宋体" w:cs="宋体"/>
                <w:color w:val="auto"/>
                <w:szCs w:val="21"/>
                <w:highlight w:val="none"/>
              </w:rPr>
            </w:pPr>
            <w:r>
              <w:rPr>
                <w:rFonts w:hint="eastAsia" w:ascii="宋体" w:hAnsi="宋体" w:cs="宋体"/>
                <w:color w:val="auto"/>
                <w:szCs w:val="21"/>
                <w:highlight w:val="none"/>
              </w:rPr>
              <w:t>备份数据保留两</w:t>
            </w:r>
            <w:r>
              <w:rPr>
                <w:rFonts w:hint="eastAsia" w:ascii="宋体" w:hAnsi="宋体" w:cs="宋体"/>
                <w:color w:val="auto"/>
                <w:szCs w:val="21"/>
                <w:highlight w:val="none"/>
                <w:lang w:eastAsia="zh-CN"/>
              </w:rPr>
              <w:t>个月</w:t>
            </w:r>
            <w:r>
              <w:rPr>
                <w:rFonts w:hint="eastAsia" w:ascii="宋体" w:hAnsi="宋体" w:cs="宋体"/>
                <w:color w:val="auto"/>
                <w:szCs w:val="21"/>
                <w:highlight w:val="none"/>
              </w:rPr>
              <w:t>。</w:t>
            </w:r>
          </w:p>
          <w:p>
            <w:pPr>
              <w:adjustRightInd w:val="0"/>
              <w:spacing w:line="320" w:lineRule="exact"/>
              <w:textAlignment w:val="baseline"/>
              <w:rPr>
                <w:rFonts w:ascii="宋体" w:hAnsi="宋体" w:cs="宋体"/>
                <w:color w:val="auto"/>
                <w:szCs w:val="21"/>
                <w:highlight w:val="none"/>
              </w:rPr>
            </w:pPr>
            <w:r>
              <w:rPr>
                <w:rFonts w:hint="eastAsia" w:ascii="宋体" w:hAnsi="宋体" w:cs="宋体"/>
                <w:b/>
                <w:bCs/>
                <w:color w:val="auto"/>
                <w:szCs w:val="21"/>
                <w:highlight w:val="none"/>
              </w:rPr>
              <w:t>3.3操作系统及应用系统数据文件数据</w:t>
            </w:r>
          </w:p>
          <w:p>
            <w:pPr>
              <w:adjustRightInd w:val="0"/>
              <w:spacing w:line="320" w:lineRule="exact"/>
              <w:ind w:firstLine="420" w:firstLineChars="200"/>
              <w:textAlignment w:val="baseline"/>
              <w:rPr>
                <w:rFonts w:ascii="宋体" w:hAnsi="宋体" w:cs="宋体"/>
                <w:color w:val="auto"/>
                <w:szCs w:val="21"/>
                <w:highlight w:val="none"/>
              </w:rPr>
            </w:pPr>
            <w:r>
              <w:rPr>
                <w:rFonts w:hint="eastAsia" w:ascii="宋体" w:hAnsi="宋体" w:cs="宋体"/>
                <w:color w:val="auto"/>
                <w:szCs w:val="21"/>
                <w:highlight w:val="none"/>
              </w:rPr>
              <w:t>对操作系统及应用系统数据，采用如下备份策略：</w:t>
            </w:r>
          </w:p>
          <w:p>
            <w:pPr>
              <w:adjustRightInd w:val="0"/>
              <w:spacing w:line="320" w:lineRule="exact"/>
              <w:ind w:firstLine="420" w:firstLineChars="200"/>
              <w:textAlignment w:val="baseline"/>
              <w:rPr>
                <w:rFonts w:ascii="宋体" w:hAnsi="宋体" w:cs="宋体"/>
                <w:color w:val="auto"/>
                <w:szCs w:val="21"/>
                <w:highlight w:val="none"/>
              </w:rPr>
            </w:pPr>
            <w:r>
              <w:rPr>
                <w:rFonts w:hint="eastAsia" w:ascii="宋体" w:hAnsi="宋体" w:cs="宋体"/>
                <w:color w:val="auto"/>
                <w:szCs w:val="21"/>
                <w:highlight w:val="none"/>
              </w:rPr>
              <w:t>以月为备份周期，每月完成一次全量备份，每月中的周日进行一次数据增量备；</w:t>
            </w:r>
          </w:p>
          <w:p>
            <w:pPr>
              <w:adjustRightInd w:val="0"/>
              <w:spacing w:line="320" w:lineRule="exact"/>
              <w:ind w:firstLine="420" w:firstLineChars="200"/>
              <w:textAlignment w:val="baseline"/>
              <w:rPr>
                <w:rFonts w:ascii="宋体" w:hAnsi="宋体" w:cs="宋体"/>
                <w:color w:val="auto"/>
                <w:szCs w:val="21"/>
                <w:highlight w:val="none"/>
              </w:rPr>
            </w:pPr>
            <w:r>
              <w:rPr>
                <w:rFonts w:hint="eastAsia" w:ascii="宋体" w:hAnsi="宋体" w:cs="宋体"/>
                <w:color w:val="auto"/>
                <w:szCs w:val="21"/>
                <w:highlight w:val="none"/>
              </w:rPr>
              <w:t>备份启动时间设定在每个周日的凌晨三时自动启动；</w:t>
            </w:r>
          </w:p>
          <w:p>
            <w:pPr>
              <w:pStyle w:val="35"/>
              <w:spacing w:line="320" w:lineRule="exact"/>
              <w:ind w:firstLine="420" w:firstLineChars="200"/>
              <w:rPr>
                <w:rFonts w:ascii="宋体" w:hAnsi="宋体" w:cs="宋体"/>
                <w:b/>
                <w:bCs/>
                <w:color w:val="auto"/>
                <w:sz w:val="21"/>
                <w:szCs w:val="21"/>
                <w:highlight w:val="none"/>
              </w:rPr>
            </w:pPr>
            <w:r>
              <w:rPr>
                <w:rFonts w:hint="eastAsia" w:ascii="宋体" w:hAnsi="宋体" w:cs="宋体"/>
                <w:color w:val="auto"/>
                <w:sz w:val="21"/>
                <w:szCs w:val="21"/>
                <w:highlight w:val="none"/>
              </w:rPr>
              <w:t>备份数据保留两个月。</w:t>
            </w:r>
          </w:p>
          <w:p>
            <w:pPr>
              <w:pStyle w:val="35"/>
              <w:spacing w:line="320" w:lineRule="exact"/>
              <w:rPr>
                <w:rFonts w:ascii="宋体" w:hAnsi="宋体" w:cs="宋体"/>
                <w:b/>
                <w:bCs/>
                <w:color w:val="auto"/>
                <w:sz w:val="21"/>
                <w:szCs w:val="21"/>
                <w:highlight w:val="none"/>
              </w:rPr>
            </w:pPr>
            <w:r>
              <w:rPr>
                <w:rFonts w:hint="eastAsia" w:ascii="宋体" w:hAnsi="宋体" w:cs="宋体"/>
                <w:b/>
                <w:bCs/>
                <w:color w:val="auto"/>
                <w:sz w:val="21"/>
                <w:szCs w:val="21"/>
                <w:highlight w:val="none"/>
              </w:rPr>
              <w:t>4.系统恢复</w:t>
            </w:r>
          </w:p>
          <w:p>
            <w:pPr>
              <w:adjustRightInd w:val="0"/>
              <w:spacing w:line="320" w:lineRule="exact"/>
              <w:textAlignment w:val="baseline"/>
              <w:rPr>
                <w:rFonts w:ascii="宋体" w:hAnsi="宋体" w:cs="宋体"/>
                <w:b/>
                <w:bCs/>
                <w:color w:val="auto"/>
                <w:szCs w:val="21"/>
                <w:highlight w:val="none"/>
              </w:rPr>
            </w:pPr>
            <w:r>
              <w:rPr>
                <w:rFonts w:hint="eastAsia" w:ascii="宋体" w:hAnsi="宋体" w:cs="宋体"/>
                <w:b/>
                <w:bCs/>
                <w:color w:val="auto"/>
                <w:szCs w:val="21"/>
                <w:highlight w:val="none"/>
              </w:rPr>
              <w:t>4.1全系统数据恢复</w:t>
            </w:r>
          </w:p>
          <w:p>
            <w:pPr>
              <w:adjustRightInd w:val="0"/>
              <w:spacing w:line="320" w:lineRule="exact"/>
              <w:ind w:firstLine="420" w:firstLineChars="200"/>
              <w:textAlignment w:val="baseline"/>
              <w:rPr>
                <w:rFonts w:hint="eastAsia" w:ascii="宋体" w:hAnsi="宋体" w:eastAsia="宋体" w:cs="宋体"/>
                <w:color w:val="auto"/>
                <w:szCs w:val="21"/>
                <w:highlight w:val="none"/>
                <w:lang w:val="en-US" w:eastAsia="zh-CN"/>
              </w:rPr>
            </w:pPr>
            <w:r>
              <w:rPr>
                <w:rFonts w:hint="eastAsia" w:ascii="宋体" w:hAnsi="宋体" w:cs="宋体"/>
                <w:color w:val="auto"/>
                <w:szCs w:val="21"/>
                <w:highlight w:val="none"/>
                <w:lang w:eastAsia="zh-CN"/>
              </w:rPr>
              <w:t>在全系统数据恢复时，利用磁盘复制，进行快速的数据恢复。</w:t>
            </w:r>
          </w:p>
          <w:p>
            <w:pPr>
              <w:adjustRightInd w:val="0"/>
              <w:spacing w:line="320" w:lineRule="exact"/>
              <w:textAlignment w:val="baseline"/>
              <w:rPr>
                <w:rFonts w:ascii="宋体" w:hAnsi="宋体" w:cs="宋体"/>
                <w:b/>
                <w:bCs/>
                <w:color w:val="auto"/>
                <w:szCs w:val="21"/>
                <w:highlight w:val="none"/>
              </w:rPr>
            </w:pPr>
            <w:r>
              <w:rPr>
                <w:rFonts w:hint="eastAsia" w:ascii="宋体" w:hAnsi="宋体" w:cs="宋体"/>
                <w:b/>
                <w:bCs/>
                <w:color w:val="auto"/>
                <w:szCs w:val="21"/>
                <w:highlight w:val="none"/>
              </w:rPr>
              <w:t>4.2文件类数据恢复</w:t>
            </w:r>
          </w:p>
          <w:p>
            <w:pPr>
              <w:adjustRightInd w:val="0"/>
              <w:spacing w:line="320" w:lineRule="exact"/>
              <w:ind w:firstLine="420" w:firstLineChars="200"/>
              <w:textAlignment w:val="baseline"/>
              <w:rPr>
                <w:rFonts w:ascii="宋体" w:hAnsi="宋体" w:cs="宋体"/>
                <w:color w:val="auto"/>
                <w:szCs w:val="21"/>
                <w:highlight w:val="none"/>
              </w:rPr>
            </w:pPr>
            <w:r>
              <w:rPr>
                <w:rFonts w:hint="eastAsia" w:ascii="宋体" w:hAnsi="宋体" w:cs="宋体"/>
                <w:color w:val="auto"/>
                <w:szCs w:val="21"/>
                <w:highlight w:val="none"/>
              </w:rPr>
              <w:t>利用备份系统的恢复功能，恢复受损的个别数据。</w:t>
            </w:r>
          </w:p>
          <w:p>
            <w:pPr>
              <w:adjustRightInd w:val="0"/>
              <w:spacing w:line="320" w:lineRule="exact"/>
              <w:ind w:firstLine="420" w:firstLineChars="200"/>
              <w:textAlignment w:val="baseline"/>
              <w:rPr>
                <w:rFonts w:ascii="宋体" w:hAnsi="宋体" w:cs="宋体"/>
                <w:color w:val="auto"/>
                <w:szCs w:val="21"/>
                <w:highlight w:val="none"/>
              </w:rPr>
            </w:pPr>
            <w:r>
              <w:rPr>
                <w:rFonts w:hint="eastAsia" w:ascii="宋体" w:hAnsi="宋体" w:cs="宋体"/>
                <w:color w:val="auto"/>
                <w:szCs w:val="21"/>
                <w:highlight w:val="none"/>
              </w:rPr>
              <w:t>只需浏览备份数据库或目录，找到该文件，触动恢复功能，软件将自动驱动存储设备，加载相应的存储媒体，然后恢复指定文件。</w:t>
            </w:r>
          </w:p>
          <w:p>
            <w:pPr>
              <w:adjustRightInd w:val="0"/>
              <w:spacing w:line="320" w:lineRule="exact"/>
              <w:textAlignment w:val="baseline"/>
              <w:rPr>
                <w:rFonts w:ascii="宋体" w:hAnsi="宋体" w:cs="宋体"/>
                <w:b/>
                <w:bCs/>
                <w:color w:val="auto"/>
                <w:szCs w:val="21"/>
                <w:highlight w:val="none"/>
              </w:rPr>
            </w:pPr>
            <w:r>
              <w:rPr>
                <w:rFonts w:hint="eastAsia" w:ascii="宋体" w:hAnsi="宋体" w:cs="宋体"/>
                <w:b/>
                <w:bCs/>
                <w:color w:val="auto"/>
                <w:szCs w:val="21"/>
                <w:highlight w:val="none"/>
              </w:rPr>
              <w:t>4.3数据库数据的恢复</w:t>
            </w:r>
          </w:p>
          <w:p>
            <w:pPr>
              <w:pStyle w:val="2"/>
              <w:ind w:left="0" w:firstLine="420" w:firstLineChars="200"/>
              <w:rPr>
                <w:rFonts w:ascii="宋体" w:hAnsi="宋体" w:cs="宋体"/>
                <w:b/>
                <w:bCs/>
                <w:color w:val="auto"/>
                <w:sz w:val="21"/>
                <w:szCs w:val="21"/>
                <w:highlight w:val="none"/>
              </w:rPr>
            </w:pPr>
            <w:r>
              <w:rPr>
                <w:rFonts w:hint="eastAsia" w:ascii="宋体" w:hAnsi="宋体" w:cs="宋体"/>
                <w:color w:val="auto"/>
                <w:sz w:val="21"/>
                <w:szCs w:val="21"/>
                <w:highlight w:val="none"/>
              </w:rPr>
              <w:t>可通过预先设定的恢复脚本实现数据库的数据的恢复。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9521" w:type="dxa"/>
            <w:shd w:val="clear" w:color="auto" w:fill="EEECE1" w:themeFill="background2"/>
            <w:vAlign w:val="center"/>
          </w:tcPr>
          <w:p>
            <w:pPr>
              <w:pStyle w:val="2"/>
              <w:ind w:left="0"/>
              <w:jc w:val="both"/>
              <w:rPr>
                <w:rFonts w:ascii="宋体" w:hAnsi="宋体" w:cs="宋体"/>
                <w:b/>
                <w:bCs/>
                <w:color w:val="auto"/>
                <w:sz w:val="21"/>
                <w:szCs w:val="21"/>
                <w:highlight w:val="none"/>
              </w:rPr>
            </w:pPr>
            <w:r>
              <w:rPr>
                <w:rFonts w:hint="eastAsia" w:ascii="宋体" w:hAnsi="宋体" w:cs="宋体"/>
                <w:b/>
                <w:bCs/>
                <w:color w:val="auto"/>
                <w:sz w:val="21"/>
                <w:szCs w:val="21"/>
                <w:highlight w:val="none"/>
              </w:rPr>
              <w:t>四、技术性能要求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21" w:type="dxa"/>
          </w:tcPr>
          <w:p>
            <w:pPr>
              <w:spacing w:line="3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服务成果的技术性能必须达到本项目升级改造建设内容的所有功能，实现本项目的最终建设目标。</w:t>
            </w:r>
          </w:p>
          <w:p>
            <w:pPr>
              <w:spacing w:line="320" w:lineRule="exact"/>
              <w:ind w:firstLine="420" w:firstLineChars="200"/>
              <w:rPr>
                <w:rFonts w:ascii="宋体" w:hAnsi="宋体" w:cs="宋体"/>
                <w:b/>
                <w:bCs/>
                <w:color w:val="auto"/>
                <w:szCs w:val="21"/>
                <w:highlight w:val="none"/>
              </w:rPr>
            </w:pPr>
            <w:r>
              <w:rPr>
                <w:color w:val="auto"/>
                <w:highlight w:val="none"/>
              </w:rPr>
              <w:t>系统</w:t>
            </w:r>
            <w:r>
              <w:rPr>
                <w:rFonts w:hint="eastAsia"/>
                <w:color w:val="auto"/>
                <w:highlight w:val="none"/>
              </w:rPr>
              <w:t>升级改造工作</w:t>
            </w:r>
            <w:r>
              <w:rPr>
                <w:color w:val="auto"/>
                <w:highlight w:val="none"/>
              </w:rPr>
              <w:t>中应严格遵循软件工程国家标准的开发、测试和集成规范，遵循生态环境部及广西壮族自治区有关信息标准规范。系统所使用的基础信息编码应完全遵从国家及广西自治区有关信息编码规范，适应采购人有关业务需求，并在系统中实现基础编码的维护和更新。</w:t>
            </w:r>
          </w:p>
          <w:p>
            <w:pPr>
              <w:spacing w:line="320" w:lineRule="exact"/>
              <w:rPr>
                <w:rFonts w:ascii="宋体" w:hAnsi="宋体" w:cs="宋体"/>
                <w:b/>
                <w:bCs/>
                <w:color w:val="auto"/>
                <w:szCs w:val="21"/>
                <w:highlight w:val="none"/>
              </w:rPr>
            </w:pPr>
            <w:r>
              <w:rPr>
                <w:rFonts w:hint="eastAsia" w:ascii="宋体" w:hAnsi="宋体" w:cs="宋体"/>
                <w:b/>
                <w:bCs/>
                <w:color w:val="auto"/>
                <w:szCs w:val="21"/>
                <w:highlight w:val="none"/>
              </w:rPr>
              <w:t>（一）总体技术路线</w:t>
            </w:r>
          </w:p>
          <w:p>
            <w:pPr>
              <w:spacing w:line="320" w:lineRule="exact"/>
              <w:rPr>
                <w:rFonts w:ascii="宋体" w:hAnsi="宋体" w:cs="宋体"/>
                <w:b/>
                <w:bCs/>
                <w:color w:val="auto"/>
                <w:szCs w:val="21"/>
                <w:highlight w:val="none"/>
              </w:rPr>
            </w:pPr>
            <w:r>
              <w:rPr>
                <w:rFonts w:hint="eastAsia" w:ascii="宋体" w:hAnsi="宋体" w:cs="宋体"/>
                <w:b/>
                <w:bCs/>
                <w:color w:val="auto"/>
                <w:szCs w:val="21"/>
                <w:highlight w:val="none"/>
              </w:rPr>
              <w:t>1. 采用Java EE开发技术框架：</w:t>
            </w:r>
          </w:p>
          <w:p>
            <w:pPr>
              <w:spacing w:line="3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采用Java EE开发技术框架，合理集成以Java EE为标准的软件产品构建本系统的软件平台。</w:t>
            </w:r>
          </w:p>
          <w:p>
            <w:pPr>
              <w:spacing w:line="320" w:lineRule="exact"/>
              <w:rPr>
                <w:rFonts w:ascii="宋体" w:hAnsi="宋体" w:cs="宋体"/>
                <w:b/>
                <w:bCs/>
                <w:color w:val="auto"/>
                <w:szCs w:val="21"/>
                <w:highlight w:val="none"/>
              </w:rPr>
            </w:pPr>
            <w:r>
              <w:rPr>
                <w:rFonts w:hint="eastAsia" w:ascii="宋体" w:hAnsi="宋体" w:cs="宋体"/>
                <w:b/>
                <w:bCs/>
                <w:color w:val="auto"/>
                <w:szCs w:val="21"/>
                <w:highlight w:val="none"/>
              </w:rPr>
              <w:t>2. B/S开发模式：</w:t>
            </w:r>
          </w:p>
          <w:p>
            <w:pPr>
              <w:spacing w:line="3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采用B/S架构进行开发，以数据操作、信息查询、数据浏览为主，要求操作简单直观、易于维护。</w:t>
            </w:r>
          </w:p>
          <w:p>
            <w:pPr>
              <w:spacing w:line="320" w:lineRule="exact"/>
              <w:rPr>
                <w:rFonts w:ascii="宋体" w:hAnsi="宋体" w:cs="宋体"/>
                <w:b/>
                <w:bCs/>
                <w:color w:val="auto"/>
                <w:szCs w:val="21"/>
                <w:highlight w:val="none"/>
              </w:rPr>
            </w:pPr>
            <w:r>
              <w:rPr>
                <w:rFonts w:hint="eastAsia" w:ascii="宋体" w:hAnsi="宋体" w:cs="宋体"/>
                <w:b/>
                <w:bCs/>
                <w:color w:val="auto"/>
                <w:szCs w:val="21"/>
                <w:highlight w:val="none"/>
              </w:rPr>
              <w:t>3. 数据可视化技术：</w:t>
            </w:r>
          </w:p>
          <w:p>
            <w:pPr>
              <w:spacing w:line="3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要求采用数据可视化技术，利用采集的数据，构成数据图像，同时将数据的各个属性值以多维数据的形式表示，可以从不同的维度观察数据，对数据进行更深入的观察和分析。</w:t>
            </w:r>
          </w:p>
          <w:p>
            <w:pPr>
              <w:spacing w:line="320" w:lineRule="exact"/>
              <w:rPr>
                <w:rFonts w:ascii="宋体" w:hAnsi="宋体" w:cs="宋体"/>
                <w:b/>
                <w:bCs/>
                <w:color w:val="auto"/>
                <w:szCs w:val="21"/>
                <w:highlight w:val="none"/>
              </w:rPr>
            </w:pPr>
            <w:r>
              <w:rPr>
                <w:rFonts w:hint="eastAsia" w:ascii="宋体" w:hAnsi="宋体" w:cs="宋体"/>
                <w:b/>
                <w:bCs/>
                <w:color w:val="auto"/>
                <w:szCs w:val="21"/>
                <w:highlight w:val="none"/>
              </w:rPr>
              <w:t>4. 单点登录：</w:t>
            </w:r>
          </w:p>
          <w:p>
            <w:pPr>
              <w:spacing w:line="320" w:lineRule="exact"/>
              <w:ind w:firstLine="367" w:firstLineChars="175"/>
              <w:rPr>
                <w:rFonts w:ascii="宋体" w:hAnsi="宋体" w:cs="宋体"/>
                <w:color w:val="auto"/>
                <w:szCs w:val="21"/>
                <w:highlight w:val="none"/>
              </w:rPr>
            </w:pPr>
            <w:r>
              <w:rPr>
                <w:rFonts w:hint="eastAsia" w:ascii="宋体" w:hAnsi="宋体" w:cs="宋体"/>
                <w:color w:val="auto"/>
                <w:szCs w:val="21"/>
                <w:highlight w:val="none"/>
              </w:rPr>
              <w:t>单点登录（SSO），实现单位内部统一的登陆验证机制，解决将来在统一验证系统架构下开发的应用程序的单点登陆问题，并兼容企业现有的应用系统单点登陆。</w:t>
            </w:r>
          </w:p>
          <w:p>
            <w:pPr>
              <w:spacing w:line="320" w:lineRule="exact"/>
              <w:rPr>
                <w:rFonts w:ascii="宋体" w:hAnsi="宋体" w:cs="宋体"/>
                <w:b/>
                <w:bCs/>
                <w:color w:val="auto"/>
                <w:szCs w:val="21"/>
                <w:highlight w:val="none"/>
              </w:rPr>
            </w:pPr>
            <w:r>
              <w:rPr>
                <w:rFonts w:hint="eastAsia" w:ascii="宋体" w:hAnsi="宋体" w:cs="宋体"/>
                <w:b/>
                <w:bCs/>
                <w:color w:val="auto"/>
                <w:szCs w:val="21"/>
                <w:highlight w:val="none"/>
              </w:rPr>
              <w:t>5. Web Service技术：</w:t>
            </w:r>
          </w:p>
          <w:p>
            <w:pPr>
              <w:spacing w:line="3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采用简化风格（RESTful）的Web Service技术设计资源型数据服务接口，提供数据采集的效率和接口易用性。</w:t>
            </w:r>
          </w:p>
          <w:p>
            <w:pPr>
              <w:spacing w:line="320" w:lineRule="exact"/>
              <w:rPr>
                <w:rFonts w:ascii="宋体" w:hAnsi="宋体" w:cs="宋体"/>
                <w:b/>
                <w:bCs/>
                <w:color w:val="auto"/>
                <w:szCs w:val="21"/>
                <w:highlight w:val="none"/>
              </w:rPr>
            </w:pPr>
            <w:r>
              <w:rPr>
                <w:rFonts w:hint="eastAsia" w:ascii="宋体" w:hAnsi="宋体" w:cs="宋体"/>
                <w:b/>
                <w:bCs/>
                <w:color w:val="auto"/>
                <w:szCs w:val="21"/>
                <w:highlight w:val="none"/>
              </w:rPr>
              <w:t>6. 移动端H5开发技术：</w:t>
            </w:r>
          </w:p>
          <w:p>
            <w:pPr>
              <w:spacing w:line="320" w:lineRule="exact"/>
              <w:ind w:firstLine="420" w:firstLineChars="200"/>
              <w:rPr>
                <w:rFonts w:ascii="宋体" w:hAnsi="宋体" w:cs="宋体"/>
                <w:b/>
                <w:bCs/>
                <w:color w:val="auto"/>
                <w:szCs w:val="21"/>
                <w:highlight w:val="none"/>
              </w:rPr>
            </w:pPr>
            <w:r>
              <w:rPr>
                <w:rFonts w:hint="eastAsia" w:ascii="宋体" w:hAnsi="宋体" w:cs="宋体"/>
                <w:color w:val="auto"/>
                <w:szCs w:val="21"/>
                <w:highlight w:val="none"/>
              </w:rPr>
              <w:t>利用移动端H5开发技术，为本项目中的终端应用提供操作可行性以及快速的交互通道。</w:t>
            </w:r>
          </w:p>
          <w:p>
            <w:pPr>
              <w:spacing w:line="320" w:lineRule="exact"/>
              <w:rPr>
                <w:rFonts w:ascii="宋体" w:hAnsi="宋体" w:cs="宋体"/>
                <w:color w:val="auto"/>
                <w:szCs w:val="21"/>
                <w:highlight w:val="none"/>
              </w:rPr>
            </w:pPr>
            <w:r>
              <w:rPr>
                <w:rFonts w:hint="eastAsia" w:ascii="宋体" w:hAnsi="宋体" w:cs="宋体"/>
                <w:b/>
                <w:bCs/>
                <w:color w:val="auto"/>
                <w:szCs w:val="21"/>
                <w:highlight w:val="none"/>
              </w:rPr>
              <w:t>7. 业务流程与业务交互需采用国产成熟的消息服务中间件技术。</w:t>
            </w:r>
          </w:p>
          <w:p>
            <w:pPr>
              <w:spacing w:line="320" w:lineRule="exact"/>
              <w:rPr>
                <w:rFonts w:ascii="宋体" w:hAnsi="宋体" w:cs="宋体"/>
                <w:b/>
                <w:bCs/>
                <w:color w:val="auto"/>
                <w:szCs w:val="21"/>
                <w:highlight w:val="none"/>
              </w:rPr>
            </w:pPr>
            <w:r>
              <w:rPr>
                <w:rFonts w:hint="eastAsia" w:ascii="宋体" w:hAnsi="宋体" w:cs="宋体"/>
                <w:b/>
                <w:bCs/>
                <w:color w:val="auto"/>
                <w:szCs w:val="21"/>
                <w:highlight w:val="none"/>
              </w:rPr>
              <w:t>8. 系统报告报表制作采用可灵活定制、配置报表的成熟工具软件</w:t>
            </w:r>
            <w:r>
              <w:rPr>
                <w:rFonts w:hint="eastAsia" w:ascii="宋体" w:hAnsi="宋体" w:cs="宋体"/>
                <w:color w:val="auto"/>
                <w:szCs w:val="21"/>
                <w:highlight w:val="none"/>
              </w:rPr>
              <w:t>。</w:t>
            </w:r>
          </w:p>
          <w:p>
            <w:pPr>
              <w:spacing w:line="320" w:lineRule="exact"/>
              <w:rPr>
                <w:rFonts w:ascii="宋体" w:hAnsi="宋体" w:cs="宋体"/>
                <w:b/>
                <w:bCs/>
                <w:color w:val="auto"/>
                <w:szCs w:val="21"/>
                <w:highlight w:val="none"/>
              </w:rPr>
            </w:pPr>
            <w:r>
              <w:rPr>
                <w:rFonts w:hint="eastAsia" w:ascii="宋体" w:hAnsi="宋体" w:cs="宋体"/>
                <w:b/>
                <w:bCs/>
                <w:color w:val="auto"/>
                <w:szCs w:val="21"/>
                <w:highlight w:val="none"/>
              </w:rPr>
              <w:t>（二）功能指标要求</w:t>
            </w:r>
          </w:p>
          <w:p>
            <w:pPr>
              <w:spacing w:line="3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本次升级改造项目主要实现以下六个部分的业务功能：</w:t>
            </w:r>
          </w:p>
          <w:p>
            <w:pPr>
              <w:spacing w:line="320" w:lineRule="exact"/>
              <w:rPr>
                <w:rFonts w:ascii="宋体" w:hAnsi="宋体" w:cs="宋体"/>
                <w:b/>
                <w:bCs/>
                <w:color w:val="auto"/>
                <w:szCs w:val="21"/>
                <w:highlight w:val="none"/>
              </w:rPr>
            </w:pPr>
            <w:r>
              <w:rPr>
                <w:rFonts w:hint="eastAsia" w:ascii="宋体" w:hAnsi="宋体" w:cs="宋体"/>
                <w:b/>
                <w:bCs/>
                <w:color w:val="auto"/>
                <w:szCs w:val="21"/>
                <w:highlight w:val="none"/>
              </w:rPr>
              <w:t>1. 实验室管理系统</w:t>
            </w:r>
          </w:p>
          <w:p>
            <w:pPr>
              <w:spacing w:line="3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按照当前监测业务管理要求，对监测业务的采样管理、分析管理、质控管理三大任务重点映射的功能模块进行升级，将生物分析与化学分析区分剥离，新建生物分析模块以适应生物分析的独特性，开发终端系统，实现数据便捷填写、样品扫码交接等事项，新增质量监督与评审流程，在解决当前系统使用问题的基础上，进一步提升监测业务工作效率。</w:t>
            </w:r>
          </w:p>
          <w:p>
            <w:pPr>
              <w:spacing w:line="320" w:lineRule="exact"/>
              <w:rPr>
                <w:rFonts w:ascii="宋体" w:hAnsi="宋体" w:cs="宋体"/>
                <w:b/>
                <w:bCs/>
                <w:color w:val="auto"/>
                <w:szCs w:val="21"/>
                <w:highlight w:val="none"/>
              </w:rPr>
            </w:pPr>
            <w:r>
              <w:rPr>
                <w:rFonts w:hint="eastAsia" w:ascii="宋体" w:hAnsi="宋体" w:cs="宋体"/>
                <w:b/>
                <w:bCs/>
                <w:color w:val="auto"/>
                <w:szCs w:val="21"/>
                <w:highlight w:val="none"/>
              </w:rPr>
              <w:t>2. 海洋环境监测数据综合管理系统</w:t>
            </w:r>
          </w:p>
          <w:p>
            <w:pPr>
              <w:spacing w:line="3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在原有基础之上提升系统容错性，针对已经入库的异常数据，若发现数据有问题，可以进行数据删除、重新导入、重新评价，保证数据质量；基于新政策下的评价体系，保证评价结果的有效性，将海洋环境监测要素进行自动考核评价。能自动生成报表、报告，极大程度地减轻工作人员需要在短时间内编制报表报告的压力。提供可视化界面将所有监测业务数据、环境质量数据进行可视化展示，全面说清广西海洋环境整体生态环境质量现状、环境变化趋势。</w:t>
            </w:r>
          </w:p>
          <w:p>
            <w:pPr>
              <w:spacing w:line="320" w:lineRule="exact"/>
              <w:rPr>
                <w:rFonts w:ascii="宋体" w:hAnsi="宋体" w:cs="宋体"/>
                <w:b/>
                <w:bCs/>
                <w:color w:val="auto"/>
                <w:szCs w:val="21"/>
                <w:highlight w:val="none"/>
              </w:rPr>
            </w:pPr>
            <w:r>
              <w:rPr>
                <w:rFonts w:hint="eastAsia" w:ascii="宋体" w:hAnsi="宋体" w:cs="宋体"/>
                <w:b/>
                <w:bCs/>
                <w:color w:val="auto"/>
                <w:szCs w:val="21"/>
                <w:highlight w:val="none"/>
              </w:rPr>
              <w:t>3. 综合业务管理</w:t>
            </w:r>
          </w:p>
          <w:p>
            <w:pPr>
              <w:spacing w:line="3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新增标书合同评审流程、科研管理功能，内部事项增加培训管理、加班登记、数据使用申请流程，进一步推动日常业务的全流程无纸化进行。</w:t>
            </w:r>
          </w:p>
          <w:p>
            <w:pPr>
              <w:spacing w:line="320" w:lineRule="exact"/>
              <w:rPr>
                <w:rFonts w:ascii="宋体" w:hAnsi="宋体" w:cs="宋体"/>
                <w:b/>
                <w:bCs/>
                <w:color w:val="auto"/>
                <w:szCs w:val="21"/>
                <w:highlight w:val="none"/>
              </w:rPr>
            </w:pPr>
            <w:r>
              <w:rPr>
                <w:rFonts w:hint="eastAsia" w:ascii="宋体" w:hAnsi="宋体" w:cs="宋体"/>
                <w:b/>
                <w:bCs/>
                <w:color w:val="auto"/>
                <w:szCs w:val="21"/>
                <w:highlight w:val="none"/>
              </w:rPr>
              <w:t>4. 移动监测</w:t>
            </w:r>
          </w:p>
          <w:p>
            <w:pPr>
              <w:spacing w:line="3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新增移动监测APP功能，包括临时任务管理、采样管理、样品管理、分析管理、仪器管理、物资管理功能，方便通过移动APP开展监测业务工作。</w:t>
            </w:r>
          </w:p>
          <w:p>
            <w:pPr>
              <w:spacing w:line="320" w:lineRule="exact"/>
              <w:rPr>
                <w:rFonts w:ascii="宋体" w:hAnsi="宋体" w:cs="宋体"/>
                <w:b/>
                <w:bCs/>
                <w:color w:val="auto"/>
                <w:szCs w:val="21"/>
                <w:highlight w:val="none"/>
              </w:rPr>
            </w:pPr>
            <w:r>
              <w:rPr>
                <w:rFonts w:hint="eastAsia" w:ascii="宋体" w:hAnsi="宋体" w:cs="宋体"/>
                <w:b/>
                <w:bCs/>
                <w:color w:val="auto"/>
                <w:szCs w:val="21"/>
                <w:highlight w:val="none"/>
              </w:rPr>
              <w:t>5. 接口对接及数据共享</w:t>
            </w:r>
          </w:p>
          <w:p>
            <w:pPr>
              <w:spacing w:line="3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与广西“生态云”平台集成单点登录，实现统一登录，统一身份认证；实现环境监测数据综合分析系统和广西近岸海域自动监测预警平台的集成单点登录，实现数据互联；与自治区生态环境厅新办公系统接口预留，为之后实现通知、文件、工作资料交换系统等进行对接；移动监测APP端和现有的综合业务管理平台移动APP端集成整合至自治区生态环境厅“广西生态环境”APP。</w:t>
            </w:r>
          </w:p>
          <w:p>
            <w:pPr>
              <w:spacing w:line="320" w:lineRule="exact"/>
              <w:rPr>
                <w:rFonts w:ascii="宋体" w:hAnsi="宋体" w:cs="宋体"/>
                <w:b/>
                <w:bCs/>
                <w:color w:val="auto"/>
                <w:szCs w:val="21"/>
                <w:highlight w:val="none"/>
              </w:rPr>
            </w:pPr>
            <w:r>
              <w:rPr>
                <w:rFonts w:hint="eastAsia" w:ascii="宋体" w:hAnsi="宋体" w:cs="宋体"/>
                <w:b/>
                <w:bCs/>
                <w:color w:val="auto"/>
                <w:szCs w:val="21"/>
                <w:highlight w:val="none"/>
              </w:rPr>
              <w:t>6. 国产化适配</w:t>
            </w:r>
          </w:p>
          <w:p>
            <w:pPr>
              <w:spacing w:line="320" w:lineRule="exact"/>
              <w:ind w:firstLine="420" w:firstLineChars="200"/>
              <w:rPr>
                <w:rFonts w:ascii="宋体" w:hAnsi="宋体" w:cs="宋体"/>
                <w:b/>
                <w:bCs/>
                <w:color w:val="auto"/>
                <w:szCs w:val="21"/>
                <w:highlight w:val="none"/>
              </w:rPr>
            </w:pPr>
            <w:r>
              <w:rPr>
                <w:rFonts w:hint="eastAsia" w:ascii="宋体" w:hAnsi="宋体" w:cs="宋体"/>
                <w:color w:val="auto"/>
                <w:szCs w:val="21"/>
                <w:highlight w:val="none"/>
              </w:rPr>
              <w:t>支持与广西壮族自治区海洋环境监测中心站当前所使用的国产化办公终端PC、浏览器和操作系统等对进行功能适配，未来逐步实现应用框架、国产数据库、中间件、加密中间件的国产化兼容适配，实现业务和数据兼容适配。</w:t>
            </w:r>
          </w:p>
          <w:p>
            <w:pPr>
              <w:spacing w:line="320" w:lineRule="exact"/>
              <w:rPr>
                <w:rFonts w:ascii="宋体" w:hAnsi="宋体" w:cs="宋体"/>
                <w:b/>
                <w:bCs/>
                <w:color w:val="auto"/>
                <w:szCs w:val="21"/>
                <w:highlight w:val="none"/>
              </w:rPr>
            </w:pPr>
            <w:r>
              <w:rPr>
                <w:rFonts w:hint="eastAsia" w:ascii="宋体" w:hAnsi="宋体" w:cs="宋体"/>
                <w:b/>
                <w:bCs/>
                <w:color w:val="auto"/>
                <w:szCs w:val="21"/>
                <w:highlight w:val="none"/>
              </w:rPr>
              <w:t>（三）性能指标要求</w:t>
            </w:r>
          </w:p>
          <w:p>
            <w:pPr>
              <w:spacing w:line="320" w:lineRule="exact"/>
              <w:rPr>
                <w:rFonts w:ascii="宋体" w:hAnsi="宋体" w:cs="宋体"/>
                <w:color w:val="auto"/>
                <w:szCs w:val="21"/>
                <w:highlight w:val="none"/>
              </w:rPr>
            </w:pPr>
            <w:r>
              <w:rPr>
                <w:rFonts w:hint="eastAsia" w:ascii="宋体" w:hAnsi="宋体" w:cs="宋体"/>
                <w:b/>
                <w:bCs/>
                <w:color w:val="auto"/>
                <w:szCs w:val="21"/>
                <w:highlight w:val="none"/>
              </w:rPr>
              <w:t>1. 支持用户数</w:t>
            </w:r>
            <w:r>
              <w:rPr>
                <w:rFonts w:hint="eastAsia" w:ascii="宋体" w:hAnsi="宋体" w:cs="宋体"/>
                <w:color w:val="auto"/>
                <w:szCs w:val="21"/>
                <w:highlight w:val="none"/>
              </w:rPr>
              <w:t>：</w:t>
            </w:r>
          </w:p>
          <w:p>
            <w:pPr>
              <w:spacing w:line="3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1.1 基于项目硬件及网络满足情况下，系统支持不少于500个在线用户访问。</w:t>
            </w:r>
          </w:p>
          <w:p>
            <w:pPr>
              <w:spacing w:line="3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1.2 基于项目硬件及网络满足情况下，系统支持不少于120个用户并发访问。</w:t>
            </w:r>
          </w:p>
          <w:p>
            <w:pPr>
              <w:spacing w:line="320" w:lineRule="exact"/>
              <w:rPr>
                <w:rFonts w:ascii="宋体" w:hAnsi="宋体" w:cs="宋体"/>
                <w:b/>
                <w:bCs/>
                <w:color w:val="auto"/>
                <w:szCs w:val="21"/>
                <w:highlight w:val="none"/>
              </w:rPr>
            </w:pPr>
            <w:r>
              <w:rPr>
                <w:rFonts w:hint="eastAsia" w:ascii="宋体" w:hAnsi="宋体" w:cs="宋体"/>
                <w:b/>
                <w:bCs/>
                <w:color w:val="auto"/>
                <w:szCs w:val="21"/>
                <w:highlight w:val="none"/>
              </w:rPr>
              <w:t>2. 响应时间（基于项目硬件及网络满足情况下）：</w:t>
            </w:r>
          </w:p>
          <w:p>
            <w:pPr>
              <w:spacing w:line="3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B/S架构下，每次数据浏览、查询的时间≤3秒；</w:t>
            </w:r>
          </w:p>
          <w:p>
            <w:pPr>
              <w:spacing w:line="320" w:lineRule="exact"/>
              <w:rPr>
                <w:rFonts w:ascii="宋体" w:hAnsi="宋体" w:cs="宋体"/>
                <w:b/>
                <w:bCs/>
                <w:color w:val="auto"/>
                <w:szCs w:val="21"/>
                <w:highlight w:val="none"/>
              </w:rPr>
            </w:pPr>
            <w:r>
              <w:rPr>
                <w:rFonts w:hint="eastAsia" w:ascii="宋体" w:hAnsi="宋体" w:cs="宋体"/>
                <w:b/>
                <w:bCs/>
                <w:color w:val="auto"/>
                <w:szCs w:val="21"/>
                <w:highlight w:val="none"/>
              </w:rPr>
              <w:t>3. 资源利用率:</w:t>
            </w:r>
          </w:p>
          <w:p>
            <w:pPr>
              <w:spacing w:line="3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3.1 服务器CPU占用率≤50%。</w:t>
            </w:r>
          </w:p>
          <w:p>
            <w:pPr>
              <w:spacing w:line="3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3.2 服务器内存占用率≤50%。</w:t>
            </w:r>
          </w:p>
          <w:p>
            <w:pPr>
              <w:spacing w:line="320" w:lineRule="exact"/>
              <w:rPr>
                <w:rFonts w:ascii="宋体" w:hAnsi="宋体" w:cs="宋体"/>
                <w:color w:val="auto"/>
                <w:szCs w:val="21"/>
                <w:highlight w:val="none"/>
              </w:rPr>
            </w:pPr>
            <w:r>
              <w:rPr>
                <w:rFonts w:hint="eastAsia" w:ascii="宋体" w:hAnsi="宋体" w:cs="宋体"/>
                <w:b/>
                <w:bCs/>
                <w:color w:val="auto"/>
                <w:szCs w:val="21"/>
                <w:highlight w:val="none"/>
              </w:rPr>
              <w:t>4. 稳定性</w:t>
            </w:r>
          </w:p>
          <w:p>
            <w:pPr>
              <w:spacing w:line="3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4.1 基于项目机房基础支撑，系统支持24小时事务成功率大于99%。</w:t>
            </w:r>
          </w:p>
          <w:p>
            <w:pPr>
              <w:spacing w:line="3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4.2 系统出现故障恢复不超过4小时</w:t>
            </w:r>
          </w:p>
          <w:p>
            <w:pPr>
              <w:spacing w:line="3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4.3 年故障时间累计不超过48小时</w:t>
            </w:r>
          </w:p>
          <w:p>
            <w:pPr>
              <w:spacing w:line="3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4.4 软件更新或升级对系统运行影响时间年累计不超过48小时。</w:t>
            </w:r>
          </w:p>
          <w:p>
            <w:pPr>
              <w:spacing w:line="320" w:lineRule="exact"/>
              <w:rPr>
                <w:rFonts w:ascii="宋体" w:hAnsi="宋体" w:cs="宋体"/>
                <w:b/>
                <w:bCs/>
                <w:color w:val="auto"/>
                <w:szCs w:val="21"/>
                <w:highlight w:val="none"/>
              </w:rPr>
            </w:pPr>
            <w:r>
              <w:rPr>
                <w:rFonts w:hint="eastAsia" w:ascii="宋体" w:hAnsi="宋体" w:cs="宋体"/>
                <w:b/>
                <w:bCs/>
                <w:color w:val="auto"/>
                <w:szCs w:val="21"/>
                <w:highlight w:val="none"/>
              </w:rPr>
              <w:t>5. 效率特性</w:t>
            </w:r>
          </w:p>
          <w:p>
            <w:pPr>
              <w:spacing w:line="3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5.1 单一用户系统登录响应时间≤3.5秒；</w:t>
            </w:r>
          </w:p>
          <w:p>
            <w:pPr>
              <w:spacing w:line="320" w:lineRule="exact"/>
              <w:ind w:firstLine="420" w:firstLineChars="200"/>
              <w:rPr>
                <w:rFonts w:ascii="宋体" w:hAnsi="宋体" w:cs="宋体"/>
                <w:b/>
                <w:bCs/>
                <w:color w:val="auto"/>
                <w:szCs w:val="21"/>
                <w:highlight w:val="none"/>
              </w:rPr>
            </w:pPr>
            <w:r>
              <w:rPr>
                <w:rFonts w:hint="eastAsia" w:ascii="宋体" w:hAnsi="宋体" w:cs="宋体"/>
                <w:color w:val="auto"/>
                <w:szCs w:val="21"/>
                <w:highlight w:val="none"/>
              </w:rPr>
              <w:t>5.2 单一用户基础业务数据查询速度≤5秒。</w:t>
            </w:r>
          </w:p>
          <w:p>
            <w:pPr>
              <w:pStyle w:val="39"/>
              <w:spacing w:before="0" w:after="0" w:line="240" w:lineRule="auto"/>
              <w:ind w:firstLine="0" w:firstLineChars="0"/>
              <w:rPr>
                <w:rFonts w:ascii="Times New Roman" w:hAnsi="Times New Roman"/>
                <w:color w:val="auto"/>
                <w:kern w:val="2"/>
                <w:sz w:val="21"/>
                <w:szCs w:val="21"/>
                <w:highlight w:val="none"/>
              </w:rPr>
            </w:pPr>
            <w:r>
              <w:rPr>
                <w:rFonts w:hint="eastAsia" w:ascii="Times New Roman" w:hAnsi="Times New Roman"/>
                <w:color w:val="auto"/>
                <w:kern w:val="2"/>
                <w:sz w:val="21"/>
                <w:szCs w:val="21"/>
                <w:highlight w:val="none"/>
              </w:rPr>
              <w:t>（四）</w:t>
            </w:r>
            <w:r>
              <w:rPr>
                <w:rFonts w:ascii="Times New Roman" w:hAnsi="Times New Roman"/>
                <w:color w:val="auto"/>
                <w:kern w:val="2"/>
                <w:sz w:val="21"/>
                <w:szCs w:val="21"/>
                <w:highlight w:val="none"/>
              </w:rPr>
              <w:t>兼容性要求</w:t>
            </w:r>
          </w:p>
          <w:p>
            <w:pPr>
              <w:spacing w:line="3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1.系统须支持任意操作系统、任意浏览器访问且支持国产操作系统、数据库。用户界面简洁、美观、操作、灵活、方便。</w:t>
            </w:r>
          </w:p>
          <w:p>
            <w:pPr>
              <w:spacing w:line="3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2.软件具有一个完善的管理机制，必须安装方便、灵活配置、使用方便，具备监视及控制功能，拥有离线的维护环境，保证系统的良好运作。必须具备良好的可维护性，在升级和整合投入正式运行后，维护成本较低。</w:t>
            </w:r>
          </w:p>
          <w:p>
            <w:pPr>
              <w:pStyle w:val="39"/>
              <w:spacing w:before="0" w:after="0" w:line="240" w:lineRule="auto"/>
              <w:ind w:firstLine="0" w:firstLineChars="0"/>
              <w:rPr>
                <w:rFonts w:ascii="Times New Roman" w:hAnsi="Times New Roman"/>
                <w:color w:val="auto"/>
                <w:kern w:val="2"/>
                <w:sz w:val="21"/>
                <w:szCs w:val="21"/>
                <w:highlight w:val="none"/>
              </w:rPr>
            </w:pPr>
            <w:r>
              <w:rPr>
                <w:rFonts w:hint="eastAsia" w:ascii="宋体" w:hAnsi="宋体" w:cs="宋体"/>
                <w:color w:val="auto"/>
                <w:sz w:val="21"/>
                <w:szCs w:val="21"/>
                <w:highlight w:val="none"/>
              </w:rPr>
              <w:t>（五）</w:t>
            </w:r>
            <w:r>
              <w:rPr>
                <w:rFonts w:ascii="Times New Roman" w:hAnsi="Times New Roman"/>
                <w:color w:val="auto"/>
                <w:kern w:val="2"/>
                <w:sz w:val="21"/>
                <w:szCs w:val="21"/>
                <w:highlight w:val="none"/>
              </w:rPr>
              <w:t>安全性要求</w:t>
            </w:r>
          </w:p>
          <w:p>
            <w:pPr>
              <w:spacing w:line="3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1.整个升级系统的设计、开发过程需要综合考虑系统的安全设计，符合《生态环境监控系统建设规范 安全体系》（DB32/T 2776-2015）要求，成交供应商在系统建设过程中必须采用合理的安全防范措施，实现对数据和数据库用户的安全控制和管理，消除和减小系统模块与数据库面临潜在的安全威胁（如弱口令、SQL注入、跨站脚本攻击）的影响。</w:t>
            </w:r>
          </w:p>
          <w:p>
            <w:pPr>
              <w:pStyle w:val="2"/>
              <w:ind w:left="0" w:firstLine="420" w:firstLineChars="200"/>
              <w:rPr>
                <w:rFonts w:ascii="宋体" w:hAnsi="宋体" w:cs="宋体"/>
                <w:b/>
                <w:bCs/>
                <w:color w:val="auto"/>
                <w:sz w:val="21"/>
                <w:szCs w:val="21"/>
                <w:highlight w:val="none"/>
              </w:rPr>
            </w:pPr>
            <w:r>
              <w:rPr>
                <w:rFonts w:hint="eastAsia" w:ascii="宋体" w:hAnsi="宋体" w:cs="宋体"/>
                <w:color w:val="auto"/>
                <w:sz w:val="21"/>
                <w:szCs w:val="21"/>
                <w:highlight w:val="none"/>
              </w:rPr>
              <w:t>2.对系统中存储的大量的数据，在数据加工处理、分发和使用过程中均需要采取严格的安全措施。须制定完备的数据备份策略，当数据遭受破坏时可实时恢复，确保数据安全。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jc w:val="center"/>
        </w:trPr>
        <w:tc>
          <w:tcPr>
            <w:tcW w:w="9521" w:type="dxa"/>
            <w:shd w:val="clear" w:color="auto" w:fill="EEECE1" w:themeFill="background2"/>
            <w:vAlign w:val="center"/>
          </w:tcPr>
          <w:p>
            <w:pPr>
              <w:pStyle w:val="2"/>
              <w:ind w:left="0"/>
              <w:jc w:val="both"/>
              <w:rPr>
                <w:rFonts w:ascii="宋体" w:hAnsi="宋体" w:cs="宋体"/>
                <w:b/>
                <w:bCs/>
                <w:color w:val="auto"/>
                <w:sz w:val="21"/>
                <w:szCs w:val="21"/>
                <w:highlight w:val="none"/>
              </w:rPr>
            </w:pPr>
            <w:r>
              <w:rPr>
                <w:rFonts w:hint="eastAsia" w:ascii="宋体" w:hAnsi="宋体" w:cs="宋体"/>
                <w:b/>
                <w:bCs/>
                <w:color w:val="auto"/>
                <w:sz w:val="21"/>
                <w:szCs w:val="21"/>
                <w:highlight w:val="none"/>
              </w:rPr>
              <w:t>五、实施要求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21" w:type="dxa"/>
          </w:tcPr>
          <w:p>
            <w:pPr>
              <w:spacing w:line="320" w:lineRule="exact"/>
              <w:rPr>
                <w:rFonts w:ascii="宋体" w:hAnsi="宋体" w:cs="宋体"/>
                <w:b/>
                <w:bCs/>
                <w:color w:val="auto"/>
                <w:szCs w:val="21"/>
                <w:highlight w:val="none"/>
              </w:rPr>
            </w:pPr>
            <w:r>
              <w:rPr>
                <w:rFonts w:hint="eastAsia" w:ascii="宋体" w:hAnsi="宋体" w:cs="宋体"/>
                <w:b/>
                <w:bCs/>
                <w:color w:val="auto"/>
                <w:szCs w:val="21"/>
                <w:highlight w:val="none"/>
              </w:rPr>
              <w:t>1．项目进度要求</w:t>
            </w:r>
          </w:p>
          <w:p>
            <w:pPr>
              <w:spacing w:line="3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签订合同之日起，8个月内完成合同中所要求的所有系统开发任务和系统试运行工作，其中5个月内完成合同中所要求的所有系统开发任务，3个月完成系统试运行工作。在试运行期间完成对使用该系统的相关人员培训，并达到验收标准。</w:t>
            </w:r>
          </w:p>
          <w:p>
            <w:pPr>
              <w:spacing w:line="320" w:lineRule="exact"/>
              <w:rPr>
                <w:rFonts w:ascii="宋体" w:hAnsi="宋体" w:cs="宋体"/>
                <w:b/>
                <w:bCs/>
                <w:color w:val="auto"/>
                <w:szCs w:val="21"/>
                <w:highlight w:val="none"/>
              </w:rPr>
            </w:pPr>
            <w:r>
              <w:rPr>
                <w:rFonts w:hint="eastAsia" w:ascii="宋体" w:hAnsi="宋体" w:cs="宋体"/>
                <w:b/>
                <w:bCs/>
                <w:color w:val="auto"/>
                <w:szCs w:val="21"/>
                <w:highlight w:val="none"/>
              </w:rPr>
              <w:t>2．质量控制要求</w:t>
            </w:r>
          </w:p>
          <w:p>
            <w:pPr>
              <w:spacing w:line="3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投标人承诺对项目全过程进行质量管理，并组织项目实施和文档编写，积极配合支持采购方的相关质量控制和质量管理监督活动。</w:t>
            </w:r>
          </w:p>
          <w:p>
            <w:pPr>
              <w:spacing w:line="3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质量控制至少包括质量保证体系、质量保证文件、质量保证程序、质量保证措施（至少包括项目沟通机制、项目变更方案、项目实施监控、系统应急方案、风险控制措施。</w:t>
            </w:r>
          </w:p>
          <w:p>
            <w:pPr>
              <w:spacing w:line="320" w:lineRule="exact"/>
              <w:rPr>
                <w:rFonts w:ascii="宋体" w:hAnsi="宋体" w:cs="宋体"/>
                <w:b/>
                <w:bCs/>
                <w:color w:val="auto"/>
                <w:szCs w:val="21"/>
                <w:highlight w:val="none"/>
              </w:rPr>
            </w:pPr>
            <w:r>
              <w:rPr>
                <w:rFonts w:hint="eastAsia" w:ascii="宋体" w:hAnsi="宋体" w:cs="宋体"/>
                <w:b/>
                <w:bCs/>
                <w:color w:val="auto"/>
                <w:szCs w:val="21"/>
                <w:highlight w:val="none"/>
              </w:rPr>
              <w:t>3. 项目测试要求</w:t>
            </w:r>
          </w:p>
          <w:p>
            <w:pPr>
              <w:spacing w:line="3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投标人必须制定本项目软件系统提供整体的测试方案。至少包括测试标准、测试方案指定、测试范围、测试计划（单元测试、集成测试、系统测试、压力测试）、测试输出文档等内容。</w:t>
            </w:r>
          </w:p>
          <w:p>
            <w:pPr>
              <w:spacing w:line="320" w:lineRule="exact"/>
              <w:ind w:firstLine="420" w:firstLineChars="200"/>
              <w:rPr>
                <w:rFonts w:ascii="宋体" w:hAnsi="宋体" w:cs="宋体"/>
                <w:b/>
                <w:bCs/>
                <w:color w:val="auto"/>
                <w:szCs w:val="21"/>
                <w:highlight w:val="none"/>
              </w:rPr>
            </w:pPr>
            <w:r>
              <w:rPr>
                <w:rFonts w:hint="eastAsia" w:ascii="宋体" w:hAnsi="宋体" w:cs="宋体"/>
                <w:color w:val="auto"/>
                <w:szCs w:val="21"/>
                <w:highlight w:val="none"/>
              </w:rPr>
              <w:t>系统的测试标准根据合同内容、系统业务需求文本、系统需求规格说明书等内容制定。</w:t>
            </w:r>
          </w:p>
          <w:p>
            <w:pPr>
              <w:spacing w:line="320" w:lineRule="exact"/>
              <w:rPr>
                <w:rFonts w:ascii="宋体" w:hAnsi="宋体" w:cs="宋体"/>
                <w:b/>
                <w:bCs/>
                <w:color w:val="auto"/>
                <w:szCs w:val="21"/>
                <w:highlight w:val="none"/>
              </w:rPr>
            </w:pPr>
            <w:r>
              <w:rPr>
                <w:rFonts w:hint="eastAsia" w:ascii="宋体" w:hAnsi="宋体" w:cs="宋体"/>
                <w:b/>
                <w:bCs/>
                <w:color w:val="auto"/>
                <w:szCs w:val="21"/>
                <w:highlight w:val="none"/>
              </w:rPr>
              <w:t>4. 项目团队要求</w:t>
            </w:r>
          </w:p>
          <w:p>
            <w:pPr>
              <w:spacing w:line="320" w:lineRule="exact"/>
              <w:ind w:firstLine="422" w:firstLineChars="200"/>
              <w:rPr>
                <w:rFonts w:ascii="宋体" w:hAnsi="宋体" w:cs="宋体"/>
                <w:b/>
                <w:bCs/>
                <w:color w:val="auto"/>
                <w:szCs w:val="21"/>
                <w:highlight w:val="none"/>
              </w:rPr>
            </w:pPr>
            <w:r>
              <w:rPr>
                <w:rFonts w:hint="eastAsia" w:ascii="宋体" w:hAnsi="宋体" w:cs="宋体"/>
                <w:b/>
                <w:bCs/>
                <w:color w:val="auto"/>
                <w:szCs w:val="21"/>
                <w:highlight w:val="none"/>
              </w:rPr>
              <w:t>4.1对项目经理和技术负责人的要求</w:t>
            </w:r>
          </w:p>
          <w:p>
            <w:pPr>
              <w:spacing w:line="3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投标人应明确项目经理和技术负责人在本项目中的岗位职责。</w:t>
            </w:r>
          </w:p>
          <w:p>
            <w:pPr>
              <w:spacing w:line="3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根据项目工作建设工作的业务性质，投标人应分别配备经验丰富的项目经理、技术负责人承担本项目工作。</w:t>
            </w:r>
          </w:p>
          <w:p>
            <w:pPr>
              <w:spacing w:line="320" w:lineRule="exact"/>
              <w:ind w:firstLine="422" w:firstLineChars="200"/>
              <w:rPr>
                <w:rFonts w:ascii="宋体" w:hAnsi="宋体" w:cs="宋体"/>
                <w:b/>
                <w:bCs/>
                <w:color w:val="auto"/>
                <w:szCs w:val="21"/>
                <w:highlight w:val="none"/>
              </w:rPr>
            </w:pPr>
            <w:r>
              <w:rPr>
                <w:rFonts w:hint="eastAsia" w:ascii="宋体" w:hAnsi="宋体" w:cs="宋体"/>
                <w:b/>
                <w:bCs/>
                <w:color w:val="auto"/>
                <w:szCs w:val="21"/>
                <w:highlight w:val="none"/>
              </w:rPr>
              <w:t>4.2项目组织机构</w:t>
            </w:r>
          </w:p>
          <w:p>
            <w:pPr>
              <w:spacing w:line="3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投标人必须成立合理的组织机构，建立健全保障项目顺利实施的各项管理制度和质量保证体系，按照项目招标要求安排好项目管理团队参加本项目的建设。</w:t>
            </w:r>
          </w:p>
          <w:p>
            <w:pPr>
              <w:spacing w:line="3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项目团队至少应包含项目经理（1人）、技术负责人（1人）、应用开发、软件测试、系统集成、项目管理、用户培训、项目实施、运行维护等成员。</w:t>
            </w:r>
          </w:p>
          <w:p>
            <w:pPr>
              <w:spacing w:line="320" w:lineRule="exact"/>
              <w:rPr>
                <w:rFonts w:ascii="宋体" w:hAnsi="宋体" w:cs="宋体"/>
                <w:b/>
                <w:bCs/>
                <w:color w:val="auto"/>
                <w:szCs w:val="21"/>
                <w:highlight w:val="none"/>
              </w:rPr>
            </w:pPr>
            <w:r>
              <w:rPr>
                <w:rFonts w:hint="eastAsia" w:ascii="宋体" w:hAnsi="宋体" w:cs="宋体"/>
                <w:b/>
                <w:bCs/>
                <w:color w:val="auto"/>
                <w:szCs w:val="21"/>
                <w:highlight w:val="none"/>
              </w:rPr>
              <w:t>5．项目培训要求</w:t>
            </w:r>
          </w:p>
          <w:p>
            <w:pPr>
              <w:spacing w:line="320" w:lineRule="exact"/>
              <w:ind w:firstLine="420" w:firstLineChars="200"/>
              <w:rPr>
                <w:rFonts w:ascii="宋体" w:hAnsi="宋体" w:cs="宋体"/>
                <w:b/>
                <w:bCs/>
                <w:color w:val="auto"/>
                <w:szCs w:val="21"/>
                <w:highlight w:val="none"/>
              </w:rPr>
            </w:pPr>
            <w:r>
              <w:rPr>
                <w:color w:val="auto"/>
                <w:szCs w:val="21"/>
                <w:highlight w:val="none"/>
              </w:rPr>
              <w:t>成交供应商需制定详细的培训方案，</w:t>
            </w:r>
            <w:r>
              <w:rPr>
                <w:rFonts w:hint="eastAsia" w:ascii="宋体" w:hAnsi="宋体" w:cs="宋体"/>
                <w:color w:val="auto"/>
                <w:szCs w:val="21"/>
                <w:highlight w:val="none"/>
              </w:rPr>
              <w:t>提供至少2次的集中培训，培训内容包括业务操作培训和系统维护等培训。通过培训，使参加培训的人员能熟练地使用终端设备和应用软件系统。</w:t>
            </w:r>
            <w:r>
              <w:rPr>
                <w:color w:val="auto"/>
                <w:szCs w:val="21"/>
                <w:highlight w:val="none"/>
              </w:rPr>
              <w:t>培训服务包括但不限于以下内容：</w:t>
            </w:r>
          </w:p>
          <w:p>
            <w:pPr>
              <w:spacing w:line="320" w:lineRule="exact"/>
              <w:ind w:firstLine="422" w:firstLineChars="200"/>
              <w:rPr>
                <w:rFonts w:ascii="宋体" w:hAnsi="宋体" w:cs="宋体"/>
                <w:color w:val="auto"/>
                <w:szCs w:val="21"/>
                <w:highlight w:val="none"/>
              </w:rPr>
            </w:pPr>
            <w:r>
              <w:rPr>
                <w:rFonts w:hint="eastAsia" w:ascii="宋体" w:hAnsi="宋体" w:cs="宋体"/>
                <w:b/>
                <w:bCs/>
                <w:color w:val="auto"/>
                <w:szCs w:val="21"/>
                <w:highlight w:val="none"/>
              </w:rPr>
              <w:t>5.1培训内容：</w:t>
            </w:r>
            <w:r>
              <w:rPr>
                <w:color w:val="auto"/>
                <w:szCs w:val="21"/>
                <w:highlight w:val="none"/>
              </w:rPr>
              <w:t>需求调研阶段的系统试用培训、开发配置阶段的系统管理员培训、上线试运行前的用户操作培训。针对用户操作培训，可以按照功能模块、岗位、角色进行针对性的培训工作，并针对不同的岗位、角色、功能模块提供相应的培训资料及课程，可以根据培训效果实现系统功能模块分布部署上线试运行。</w:t>
            </w:r>
          </w:p>
          <w:p>
            <w:pPr>
              <w:spacing w:line="320" w:lineRule="exact"/>
              <w:ind w:firstLine="422" w:firstLineChars="200"/>
              <w:rPr>
                <w:rFonts w:ascii="宋体" w:hAnsi="宋体" w:cs="宋体"/>
                <w:color w:val="auto"/>
                <w:szCs w:val="21"/>
                <w:highlight w:val="none"/>
              </w:rPr>
            </w:pPr>
            <w:r>
              <w:rPr>
                <w:rFonts w:hint="eastAsia" w:ascii="宋体" w:hAnsi="宋体" w:cs="宋体"/>
                <w:b/>
                <w:bCs/>
                <w:color w:val="auto"/>
                <w:szCs w:val="21"/>
                <w:highlight w:val="none"/>
              </w:rPr>
              <w:t>5.2培训对象：</w:t>
            </w:r>
            <w:r>
              <w:rPr>
                <w:rFonts w:hint="eastAsia"/>
                <w:color w:val="auto"/>
                <w:szCs w:val="21"/>
                <w:highlight w:val="none"/>
              </w:rPr>
              <w:t>采购人的</w:t>
            </w:r>
            <w:r>
              <w:rPr>
                <w:color w:val="auto"/>
                <w:szCs w:val="21"/>
                <w:highlight w:val="none"/>
              </w:rPr>
              <w:t>业务管理与相关</w:t>
            </w:r>
            <w:r>
              <w:rPr>
                <w:rFonts w:hint="eastAsia" w:ascii="宋体" w:hAnsi="宋体" w:cs="宋体"/>
                <w:color w:val="auto"/>
                <w:szCs w:val="21"/>
                <w:highlight w:val="none"/>
              </w:rPr>
              <w:t>系统运行维护人员和系统使用人员。</w:t>
            </w:r>
          </w:p>
          <w:p>
            <w:pPr>
              <w:spacing w:line="320" w:lineRule="exact"/>
              <w:ind w:firstLine="422" w:firstLineChars="200"/>
              <w:rPr>
                <w:rFonts w:ascii="宋体" w:hAnsi="宋体" w:cs="宋体"/>
                <w:b/>
                <w:bCs/>
                <w:color w:val="auto"/>
                <w:szCs w:val="21"/>
                <w:highlight w:val="none"/>
              </w:rPr>
            </w:pPr>
            <w:r>
              <w:rPr>
                <w:rFonts w:hint="eastAsia" w:ascii="宋体" w:hAnsi="宋体" w:cs="宋体"/>
                <w:b/>
                <w:bCs/>
                <w:color w:val="auto"/>
                <w:szCs w:val="21"/>
                <w:highlight w:val="none"/>
              </w:rPr>
              <w:t>5.3培训时间：</w:t>
            </w:r>
            <w:r>
              <w:rPr>
                <w:rFonts w:hint="eastAsia" w:ascii="宋体" w:hAnsi="宋体" w:cs="宋体"/>
                <w:color w:val="auto"/>
                <w:szCs w:val="21"/>
                <w:highlight w:val="none"/>
              </w:rPr>
              <w:t>根据项目实施的情况，按采购人的要求及实际需要安排。</w:t>
            </w:r>
          </w:p>
          <w:p>
            <w:pPr>
              <w:pStyle w:val="2"/>
              <w:ind w:left="0" w:firstLine="422" w:firstLineChars="200"/>
              <w:rPr>
                <w:rFonts w:ascii="宋体" w:hAnsi="宋体" w:cs="宋体"/>
                <w:b/>
                <w:bCs/>
                <w:color w:val="auto"/>
                <w:sz w:val="21"/>
                <w:szCs w:val="21"/>
                <w:highlight w:val="none"/>
              </w:rPr>
            </w:pPr>
            <w:r>
              <w:rPr>
                <w:rFonts w:hint="eastAsia" w:ascii="宋体" w:hAnsi="宋体" w:cs="宋体"/>
                <w:b/>
                <w:bCs/>
                <w:color w:val="auto"/>
                <w:sz w:val="21"/>
                <w:szCs w:val="21"/>
                <w:highlight w:val="none"/>
              </w:rPr>
              <w:t>5.4培训地点：</w:t>
            </w:r>
            <w:r>
              <w:rPr>
                <w:rFonts w:hint="eastAsia"/>
                <w:color w:val="auto"/>
                <w:kern w:val="2"/>
                <w:sz w:val="21"/>
                <w:szCs w:val="21"/>
                <w:highlight w:val="none"/>
              </w:rPr>
              <w:t>采购人指定地点。</w:t>
            </w:r>
          </w:p>
        </w:tc>
      </w:tr>
    </w:tbl>
    <w:p>
      <w:pPr>
        <w:pStyle w:val="2"/>
        <w:ind w:left="0" w:leftChars="0" w:firstLine="0" w:firstLineChars="0"/>
        <w:rPr>
          <w:rFonts w:hint="eastAsia" w:ascii="宋体" w:hAnsi="宋体"/>
          <w:b/>
          <w:sz w:val="32"/>
          <w:szCs w:val="32"/>
          <w:highlight w:val="none"/>
        </w:rPr>
      </w:pPr>
    </w:p>
    <w:p>
      <w:pPr>
        <w:jc w:val="center"/>
        <w:rPr>
          <w:highlight w:val="none"/>
        </w:rPr>
      </w:pPr>
      <w:r>
        <w:rPr>
          <w:rFonts w:hint="eastAsia" w:ascii="宋体" w:hAnsi="宋体"/>
          <w:b/>
          <w:sz w:val="32"/>
          <w:szCs w:val="32"/>
          <w:highlight w:val="none"/>
        </w:rPr>
        <w:t>第</w:t>
      </w:r>
      <w:r>
        <w:rPr>
          <w:rFonts w:hint="eastAsia" w:ascii="宋体" w:hAnsi="宋体"/>
          <w:b/>
          <w:sz w:val="32"/>
          <w:szCs w:val="32"/>
          <w:highlight w:val="none"/>
          <w:lang w:eastAsia="zh-CN"/>
        </w:rPr>
        <w:t>二</w:t>
      </w:r>
      <w:r>
        <w:rPr>
          <w:rFonts w:hint="eastAsia" w:ascii="宋体" w:hAnsi="宋体"/>
          <w:b/>
          <w:sz w:val="32"/>
          <w:szCs w:val="32"/>
          <w:highlight w:val="none"/>
        </w:rPr>
        <w:t xml:space="preserve">部分—— </w:t>
      </w:r>
      <w:r>
        <w:rPr>
          <w:rFonts w:hint="eastAsia" w:ascii="宋体" w:hAnsi="宋体"/>
          <w:b/>
          <w:sz w:val="32"/>
          <w:szCs w:val="32"/>
          <w:highlight w:val="none"/>
          <w:lang w:eastAsia="zh-CN"/>
        </w:rPr>
        <w:t>商务要求</w:t>
      </w:r>
    </w:p>
    <w:tbl>
      <w:tblPr>
        <w:tblStyle w:val="59"/>
        <w:tblW w:w="950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65"/>
        <w:gridCol w:w="1312"/>
        <w:gridCol w:w="753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7" w:hRule="atLeast"/>
          <w:jc w:val="center"/>
        </w:trPr>
        <w:tc>
          <w:tcPr>
            <w:tcW w:w="665" w:type="dxa"/>
            <w:shd w:val="clear" w:color="auto" w:fill="EEECE1" w:themeFill="background2"/>
            <w:vAlign w:val="center"/>
          </w:tcPr>
          <w:p>
            <w:pPr>
              <w:jc w:val="center"/>
              <w:rPr>
                <w:rFonts w:ascii="宋体" w:hAnsi="宋体" w:cs="宋体"/>
                <w:b/>
                <w:bCs/>
                <w:color w:val="auto"/>
                <w:highlight w:val="none"/>
              </w:rPr>
            </w:pPr>
            <w:r>
              <w:rPr>
                <w:rFonts w:hint="eastAsia" w:ascii="宋体" w:hAnsi="宋体" w:cs="宋体"/>
                <w:b/>
                <w:bCs/>
                <w:color w:val="auto"/>
                <w:highlight w:val="none"/>
              </w:rPr>
              <w:t>序号</w:t>
            </w:r>
          </w:p>
        </w:tc>
        <w:tc>
          <w:tcPr>
            <w:tcW w:w="1312" w:type="dxa"/>
            <w:shd w:val="clear" w:color="auto" w:fill="EEECE1" w:themeFill="background2"/>
            <w:vAlign w:val="center"/>
          </w:tcPr>
          <w:p>
            <w:pPr>
              <w:jc w:val="center"/>
              <w:rPr>
                <w:rFonts w:ascii="宋体" w:hAnsi="宋体" w:cs="宋体"/>
                <w:b/>
                <w:bCs/>
                <w:color w:val="auto"/>
                <w:highlight w:val="none"/>
              </w:rPr>
            </w:pPr>
            <w:r>
              <w:rPr>
                <w:rFonts w:hint="eastAsia" w:ascii="宋体" w:hAnsi="宋体" w:cs="宋体"/>
                <w:b/>
                <w:bCs/>
                <w:color w:val="auto"/>
                <w:highlight w:val="none"/>
              </w:rPr>
              <w:t>服务内容</w:t>
            </w:r>
          </w:p>
        </w:tc>
        <w:tc>
          <w:tcPr>
            <w:tcW w:w="7532" w:type="dxa"/>
            <w:shd w:val="clear" w:color="auto" w:fill="EEECE1" w:themeFill="background2"/>
            <w:vAlign w:val="center"/>
          </w:tcPr>
          <w:p>
            <w:pPr>
              <w:jc w:val="center"/>
              <w:rPr>
                <w:rFonts w:ascii="宋体" w:hAnsi="宋体" w:cs="宋体"/>
                <w:b/>
                <w:bCs/>
                <w:color w:val="auto"/>
                <w:szCs w:val="21"/>
                <w:highlight w:val="none"/>
              </w:rPr>
            </w:pPr>
            <w:r>
              <w:rPr>
                <w:rFonts w:hint="eastAsia" w:ascii="宋体" w:hAnsi="宋体" w:cs="宋体"/>
                <w:b/>
                <w:bCs/>
                <w:color w:val="auto"/>
                <w:szCs w:val="21"/>
                <w:highlight w:val="none"/>
              </w:rPr>
              <w:t>商务要求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7" w:hRule="atLeast"/>
          <w:jc w:val="center"/>
        </w:trPr>
        <w:tc>
          <w:tcPr>
            <w:tcW w:w="665" w:type="dxa"/>
            <w:vAlign w:val="center"/>
          </w:tcPr>
          <w:p>
            <w:pPr>
              <w:jc w:val="center"/>
              <w:rPr>
                <w:rFonts w:ascii="宋体" w:hAnsi="宋体" w:cs="宋体"/>
                <w:color w:val="auto"/>
                <w:highlight w:val="none"/>
              </w:rPr>
            </w:pPr>
            <w:r>
              <w:rPr>
                <w:rFonts w:hint="eastAsia" w:ascii="宋体" w:hAnsi="宋体" w:cs="宋体"/>
                <w:color w:val="auto"/>
                <w:highlight w:val="none"/>
              </w:rPr>
              <w:t>1</w:t>
            </w:r>
          </w:p>
        </w:tc>
        <w:tc>
          <w:tcPr>
            <w:tcW w:w="1312" w:type="dxa"/>
            <w:vAlign w:val="center"/>
          </w:tcPr>
          <w:p>
            <w:pPr>
              <w:jc w:val="center"/>
              <w:rPr>
                <w:rFonts w:ascii="宋体" w:hAnsi="宋体" w:cs="宋体"/>
                <w:color w:val="auto"/>
                <w:highlight w:val="none"/>
              </w:rPr>
            </w:pPr>
            <w:r>
              <w:rPr>
                <w:rFonts w:hint="eastAsia" w:ascii="宋体" w:hAnsi="宋体" w:cs="宋体"/>
                <w:color w:val="auto"/>
                <w:szCs w:val="21"/>
                <w:highlight w:val="none"/>
              </w:rPr>
              <w:t>▲报价要求</w:t>
            </w:r>
          </w:p>
        </w:tc>
        <w:tc>
          <w:tcPr>
            <w:tcW w:w="7532" w:type="dxa"/>
            <w:vAlign w:val="center"/>
          </w:tcPr>
          <w:p>
            <w:pPr>
              <w:spacing w:line="330" w:lineRule="exact"/>
              <w:ind w:firstLine="420" w:firstLineChars="200"/>
              <w:jc w:val="left"/>
              <w:rPr>
                <w:rFonts w:ascii="宋体" w:hAnsi="宋体" w:cs="宋体"/>
                <w:bCs/>
                <w:color w:val="auto"/>
                <w:kern w:val="0"/>
                <w:szCs w:val="21"/>
                <w:highlight w:val="none"/>
              </w:rPr>
            </w:pPr>
            <w:r>
              <w:rPr>
                <w:rFonts w:hint="eastAsia" w:ascii="宋体" w:hAnsi="宋体" w:cs="宋体"/>
                <w:bCs/>
                <w:color w:val="auto"/>
                <w:kern w:val="0"/>
                <w:szCs w:val="21"/>
                <w:highlight w:val="none"/>
              </w:rPr>
              <w:t>1.本项目为总价包干合同。</w:t>
            </w:r>
            <w:r>
              <w:rPr>
                <w:rFonts w:hint="eastAsia" w:ascii="宋体" w:hAnsi="宋体" w:cs="宋体"/>
                <w:color w:val="auto"/>
                <w:szCs w:val="21"/>
                <w:highlight w:val="none"/>
              </w:rPr>
              <w:t>投标报价为投标人完成本项目所有服务内容所产生的一切成本及费用的总和，包括但不限于人工费、服务费、软件编辑及升级、</w:t>
            </w:r>
            <w:r>
              <w:rPr>
                <w:rFonts w:hint="eastAsia" w:ascii="宋体" w:hAnsi="宋体" w:cs="宋体"/>
                <w:bCs/>
                <w:color w:val="auto"/>
                <w:kern w:val="0"/>
                <w:szCs w:val="21"/>
                <w:highlight w:val="none"/>
              </w:rPr>
              <w:t>交通费、材料费、误工费食宿费、通讯费、</w:t>
            </w:r>
            <w:r>
              <w:rPr>
                <w:rFonts w:hint="eastAsia" w:ascii="宋体" w:hAnsi="宋体" w:cs="宋体"/>
                <w:color w:val="auto"/>
                <w:szCs w:val="21"/>
                <w:highlight w:val="none"/>
              </w:rPr>
              <w:t>税费、保险、</w:t>
            </w:r>
            <w:r>
              <w:rPr>
                <w:rFonts w:hint="eastAsia" w:ascii="宋体" w:hAnsi="宋体" w:cs="宋体"/>
                <w:bCs/>
                <w:color w:val="auto"/>
                <w:kern w:val="0"/>
                <w:szCs w:val="21"/>
                <w:highlight w:val="none"/>
              </w:rPr>
              <w:t>质保费用、验收费、</w:t>
            </w:r>
            <w:r>
              <w:rPr>
                <w:rFonts w:hint="eastAsia" w:ascii="宋体" w:hAnsi="宋体" w:cs="宋体"/>
                <w:color w:val="auto"/>
                <w:szCs w:val="21"/>
                <w:highlight w:val="none"/>
              </w:rPr>
              <w:t>后续技术支持</w:t>
            </w:r>
            <w:r>
              <w:rPr>
                <w:rFonts w:hint="eastAsia" w:ascii="宋体" w:hAnsi="宋体" w:cs="宋体"/>
                <w:bCs/>
                <w:color w:val="auto"/>
                <w:kern w:val="0"/>
                <w:szCs w:val="21"/>
                <w:highlight w:val="none"/>
              </w:rPr>
              <w:t>及合同所示的所有责任义务和各种风险等合同履约过程可预见或不可预见的一切成本、费用。</w:t>
            </w:r>
          </w:p>
          <w:p>
            <w:pPr>
              <w:spacing w:line="330" w:lineRule="exact"/>
              <w:ind w:firstLine="420" w:firstLineChars="200"/>
              <w:jc w:val="left"/>
              <w:rPr>
                <w:rFonts w:ascii="宋体" w:hAnsi="宋体" w:cs="宋体"/>
                <w:bCs/>
                <w:color w:val="auto"/>
                <w:kern w:val="0"/>
                <w:szCs w:val="21"/>
                <w:highlight w:val="none"/>
              </w:rPr>
            </w:pPr>
            <w:r>
              <w:rPr>
                <w:rFonts w:hint="eastAsia" w:ascii="宋体" w:hAnsi="宋体" w:cs="宋体"/>
                <w:bCs/>
                <w:color w:val="auto"/>
                <w:kern w:val="0"/>
                <w:szCs w:val="21"/>
                <w:highlight w:val="none"/>
              </w:rPr>
              <w:t>2.</w:t>
            </w:r>
            <w:r>
              <w:rPr>
                <w:rFonts w:hint="eastAsia" w:ascii="宋体" w:hAnsi="宋体" w:cs="宋体"/>
                <w:color w:val="auto"/>
                <w:szCs w:val="21"/>
                <w:highlight w:val="none"/>
              </w:rPr>
              <w:t>对于本文件中明确列明必须报价的货物或服务，投标人应分别报价。</w:t>
            </w:r>
          </w:p>
          <w:p>
            <w:pPr>
              <w:spacing w:line="330" w:lineRule="exact"/>
              <w:ind w:firstLine="420" w:firstLineChars="200"/>
              <w:jc w:val="left"/>
              <w:rPr>
                <w:rFonts w:ascii="宋体" w:hAnsi="宋体" w:cs="宋体"/>
                <w:bCs/>
                <w:color w:val="auto"/>
                <w:kern w:val="0"/>
                <w:szCs w:val="21"/>
                <w:highlight w:val="none"/>
              </w:rPr>
            </w:pPr>
            <w:r>
              <w:rPr>
                <w:rFonts w:hint="eastAsia" w:ascii="宋体" w:hAnsi="宋体" w:cs="宋体"/>
                <w:bCs/>
                <w:color w:val="auto"/>
                <w:kern w:val="0"/>
                <w:szCs w:val="21"/>
                <w:highlight w:val="none"/>
              </w:rPr>
              <w:t>3.</w:t>
            </w:r>
            <w:r>
              <w:rPr>
                <w:rFonts w:hint="eastAsia" w:ascii="宋体" w:hAnsi="宋体" w:cs="宋体"/>
                <w:color w:val="auto"/>
                <w:szCs w:val="21"/>
                <w:highlight w:val="none"/>
              </w:rPr>
              <w:t>对于本文件中未列明，而投标人认为必需的费用也需列入总报价。在合同实施时，采购人将不予支付成交供应商没有列入的项目费用，并认为此项目的费用已包括在响应总报价中。</w:t>
            </w:r>
          </w:p>
          <w:p>
            <w:pPr>
              <w:spacing w:line="330" w:lineRule="exact"/>
              <w:ind w:firstLine="420" w:firstLineChars="200"/>
              <w:jc w:val="left"/>
              <w:rPr>
                <w:rFonts w:ascii="宋体" w:hAnsi="宋体" w:cs="宋体"/>
                <w:color w:val="auto"/>
                <w:szCs w:val="21"/>
                <w:highlight w:val="none"/>
                <w:u w:val="single"/>
              </w:rPr>
            </w:pPr>
            <w:r>
              <w:rPr>
                <w:rFonts w:hint="eastAsia" w:ascii="宋体" w:hAnsi="宋体" w:cs="宋体"/>
                <w:bCs/>
                <w:color w:val="auto"/>
                <w:kern w:val="0"/>
                <w:szCs w:val="21"/>
                <w:highlight w:val="none"/>
              </w:rPr>
              <w:t>4.除本项目合同价款及采购人认可的特殊情况外，采购人不再为本项目另付任何其他费用给成交供应商。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7" w:hRule="atLeast"/>
          <w:jc w:val="center"/>
        </w:trPr>
        <w:tc>
          <w:tcPr>
            <w:tcW w:w="665" w:type="dxa"/>
            <w:vAlign w:val="center"/>
          </w:tcPr>
          <w:p>
            <w:pPr>
              <w:jc w:val="center"/>
              <w:rPr>
                <w:rFonts w:ascii="宋体" w:hAnsi="宋体" w:cs="宋体"/>
                <w:color w:val="auto"/>
                <w:highlight w:val="none"/>
              </w:rPr>
            </w:pPr>
            <w:r>
              <w:rPr>
                <w:rFonts w:hint="eastAsia" w:ascii="宋体" w:hAnsi="宋体" w:cs="宋体"/>
                <w:color w:val="auto"/>
                <w:highlight w:val="none"/>
              </w:rPr>
              <w:t>2</w:t>
            </w:r>
          </w:p>
        </w:tc>
        <w:tc>
          <w:tcPr>
            <w:tcW w:w="1312" w:type="dxa"/>
            <w:vAlign w:val="center"/>
          </w:tcPr>
          <w:p>
            <w:pPr>
              <w:jc w:val="center"/>
              <w:rPr>
                <w:rFonts w:ascii="宋体" w:hAnsi="宋体" w:cs="宋体"/>
                <w:color w:val="auto"/>
                <w:highlight w:val="none"/>
              </w:rPr>
            </w:pPr>
            <w:r>
              <w:rPr>
                <w:rFonts w:hint="eastAsia" w:ascii="宋体" w:hAnsi="宋体" w:cs="宋体"/>
                <w:color w:val="auto"/>
                <w:highlight w:val="none"/>
              </w:rPr>
              <w:t>服务成果提交时间、地点</w:t>
            </w:r>
          </w:p>
        </w:tc>
        <w:tc>
          <w:tcPr>
            <w:tcW w:w="7532" w:type="dxa"/>
            <w:vAlign w:val="center"/>
          </w:tcPr>
          <w:p>
            <w:pPr>
              <w:spacing w:line="330" w:lineRule="exact"/>
              <w:ind w:firstLine="422" w:firstLineChars="200"/>
              <w:jc w:val="left"/>
              <w:rPr>
                <w:rFonts w:ascii="宋体" w:hAnsi="宋体" w:cs="宋体"/>
                <w:color w:val="auto"/>
                <w:highlight w:val="none"/>
              </w:rPr>
            </w:pPr>
            <w:r>
              <w:rPr>
                <w:rFonts w:hint="eastAsia" w:ascii="宋体" w:hAnsi="宋体" w:cs="宋体"/>
                <w:b/>
                <w:bCs/>
                <w:color w:val="auto"/>
                <w:highlight w:val="none"/>
              </w:rPr>
              <w:t>1.时间：</w:t>
            </w:r>
            <w:r>
              <w:rPr>
                <w:rFonts w:hint="eastAsia" w:ascii="宋体" w:hAnsi="宋体" w:cs="宋体"/>
                <w:color w:val="auto"/>
                <w:highlight w:val="none"/>
              </w:rPr>
              <w:t>签订合同之日起，</w:t>
            </w:r>
            <w:r>
              <w:rPr>
                <w:rFonts w:hint="eastAsia" w:ascii="宋体" w:hAnsi="宋体" w:cs="宋体"/>
                <w:color w:val="auto"/>
                <w:highlight w:val="none"/>
                <w:lang w:val="en-US" w:eastAsia="zh-CN"/>
              </w:rPr>
              <w:t>7</w:t>
            </w:r>
            <w:r>
              <w:rPr>
                <w:rFonts w:hint="eastAsia" w:ascii="宋体" w:hAnsi="宋体" w:cs="宋体"/>
                <w:color w:val="auto"/>
                <w:highlight w:val="none"/>
              </w:rPr>
              <w:t>个月内完成合同中所要求的所有系统开发任务和系统试运行工作，其中</w:t>
            </w:r>
            <w:r>
              <w:rPr>
                <w:rFonts w:hint="eastAsia" w:ascii="宋体" w:hAnsi="宋体" w:cs="宋体"/>
                <w:color w:val="auto"/>
                <w:highlight w:val="none"/>
                <w:lang w:val="en-US" w:eastAsia="zh-CN"/>
              </w:rPr>
              <w:t>4</w:t>
            </w:r>
            <w:r>
              <w:rPr>
                <w:rFonts w:hint="eastAsia" w:ascii="宋体" w:hAnsi="宋体" w:cs="宋体"/>
                <w:color w:val="auto"/>
                <w:highlight w:val="none"/>
              </w:rPr>
              <w:t>个月内完成合同中所要求的所有系统开发任务，3个月完成系统试运行工作。在试运行期间完成对使用该系统的相关人员培训，并达到验收标准。</w:t>
            </w:r>
          </w:p>
          <w:p>
            <w:pPr>
              <w:spacing w:line="330" w:lineRule="exact"/>
              <w:ind w:firstLine="422" w:firstLineChars="200"/>
              <w:jc w:val="left"/>
              <w:rPr>
                <w:rFonts w:ascii="宋体" w:hAnsi="宋体" w:cs="宋体"/>
                <w:color w:val="auto"/>
                <w:highlight w:val="none"/>
              </w:rPr>
            </w:pPr>
            <w:r>
              <w:rPr>
                <w:rFonts w:hint="eastAsia" w:ascii="宋体" w:hAnsi="宋体" w:cs="宋体"/>
                <w:b/>
                <w:bCs/>
                <w:color w:val="auto"/>
                <w:szCs w:val="21"/>
                <w:highlight w:val="none"/>
              </w:rPr>
              <w:t>2.地点：</w:t>
            </w:r>
            <w:r>
              <w:rPr>
                <w:rFonts w:hint="eastAsia" w:ascii="宋体" w:hAnsi="宋体" w:cs="宋体"/>
                <w:color w:val="auto"/>
                <w:szCs w:val="21"/>
                <w:highlight w:val="none"/>
              </w:rPr>
              <w:t>采购人指定地点。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7" w:hRule="atLeast"/>
          <w:jc w:val="center"/>
        </w:trPr>
        <w:tc>
          <w:tcPr>
            <w:tcW w:w="665" w:type="dxa"/>
            <w:vAlign w:val="center"/>
          </w:tcPr>
          <w:p>
            <w:pPr>
              <w:jc w:val="center"/>
              <w:rPr>
                <w:rFonts w:ascii="宋体" w:hAnsi="宋体" w:cs="宋体"/>
                <w:color w:val="auto"/>
                <w:highlight w:val="none"/>
              </w:rPr>
            </w:pPr>
            <w:r>
              <w:rPr>
                <w:rFonts w:hint="eastAsia" w:ascii="宋体" w:hAnsi="宋体" w:cs="宋体"/>
                <w:color w:val="auto"/>
                <w:highlight w:val="none"/>
              </w:rPr>
              <w:t>3</w:t>
            </w:r>
          </w:p>
        </w:tc>
        <w:tc>
          <w:tcPr>
            <w:tcW w:w="1312" w:type="dxa"/>
            <w:vAlign w:val="center"/>
          </w:tcPr>
          <w:p>
            <w:pPr>
              <w:spacing w:line="360" w:lineRule="exact"/>
              <w:ind w:left="-105" w:leftChars="-50" w:right="-105" w:rightChars="-50"/>
              <w:jc w:val="center"/>
              <w:rPr>
                <w:rFonts w:ascii="宋体" w:hAnsi="宋体" w:cs="宋体"/>
                <w:color w:val="auto"/>
                <w:highlight w:val="none"/>
              </w:rPr>
            </w:pPr>
            <w:r>
              <w:rPr>
                <w:rFonts w:hint="eastAsia" w:ascii="宋体" w:hAnsi="宋体" w:cs="宋体"/>
                <w:color w:val="auto"/>
                <w:szCs w:val="21"/>
                <w:highlight w:val="none"/>
              </w:rPr>
              <w:t>合同签订日期</w:t>
            </w:r>
          </w:p>
        </w:tc>
        <w:tc>
          <w:tcPr>
            <w:tcW w:w="7532" w:type="dxa"/>
            <w:vAlign w:val="center"/>
          </w:tcPr>
          <w:p>
            <w:pPr>
              <w:spacing w:line="330" w:lineRule="exact"/>
              <w:rPr>
                <w:rFonts w:ascii="宋体" w:hAnsi="宋体" w:cs="宋体"/>
                <w:b/>
                <w:bCs/>
                <w:color w:val="auto"/>
                <w:szCs w:val="21"/>
                <w:highlight w:val="none"/>
              </w:rPr>
            </w:pPr>
            <w:r>
              <w:rPr>
                <w:rFonts w:hint="eastAsia" w:ascii="宋体" w:hAnsi="宋体" w:cs="宋体"/>
                <w:color w:val="auto"/>
                <w:szCs w:val="21"/>
                <w:highlight w:val="none"/>
              </w:rPr>
              <w:t>成交通知书发出后</w:t>
            </w:r>
            <w:r>
              <w:rPr>
                <w:rFonts w:hint="eastAsia" w:ascii="宋体" w:hAnsi="宋体" w:cs="宋体"/>
                <w:color w:val="auto"/>
                <w:szCs w:val="21"/>
                <w:highlight w:val="none"/>
                <w:u w:val="single"/>
              </w:rPr>
              <w:t xml:space="preserve"> 8 个</w:t>
            </w:r>
            <w:r>
              <w:rPr>
                <w:rFonts w:hint="eastAsia" w:ascii="宋体" w:hAnsi="宋体" w:cs="宋体"/>
                <w:color w:val="auto"/>
                <w:szCs w:val="21"/>
                <w:highlight w:val="none"/>
              </w:rPr>
              <w:t>工作日内。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7" w:hRule="atLeast"/>
          <w:jc w:val="center"/>
        </w:trPr>
        <w:tc>
          <w:tcPr>
            <w:tcW w:w="665" w:type="dxa"/>
            <w:vAlign w:val="center"/>
          </w:tcPr>
          <w:p>
            <w:pPr>
              <w:jc w:val="center"/>
              <w:rPr>
                <w:rFonts w:ascii="宋体" w:hAnsi="宋体" w:cs="宋体"/>
                <w:color w:val="auto"/>
                <w:highlight w:val="none"/>
              </w:rPr>
            </w:pPr>
            <w:r>
              <w:rPr>
                <w:rFonts w:hint="eastAsia" w:ascii="宋体" w:hAnsi="宋体" w:cs="宋体"/>
                <w:color w:val="auto"/>
                <w:highlight w:val="none"/>
              </w:rPr>
              <w:t>4</w:t>
            </w:r>
          </w:p>
        </w:tc>
        <w:tc>
          <w:tcPr>
            <w:tcW w:w="1312" w:type="dxa"/>
            <w:vAlign w:val="center"/>
          </w:tcPr>
          <w:p>
            <w:pPr>
              <w:jc w:val="center"/>
              <w:rPr>
                <w:rFonts w:ascii="宋体" w:hAnsi="宋体" w:cs="宋体"/>
                <w:color w:val="auto"/>
                <w:highlight w:val="none"/>
              </w:rPr>
            </w:pPr>
            <w:r>
              <w:rPr>
                <w:rFonts w:hint="eastAsia" w:ascii="宋体" w:hAnsi="宋体" w:cs="宋体"/>
                <w:color w:val="auto"/>
                <w:highlight w:val="none"/>
              </w:rPr>
              <w:t>知识产权</w:t>
            </w:r>
          </w:p>
        </w:tc>
        <w:tc>
          <w:tcPr>
            <w:tcW w:w="7532" w:type="dxa"/>
            <w:vAlign w:val="center"/>
          </w:tcPr>
          <w:p>
            <w:pPr>
              <w:spacing w:line="330" w:lineRule="exact"/>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1.成交供应商须保证，在本合同执行中形成的任何成果或知识产权的所有权归采购人所有，而且成交供应商应当完成采购人知识产权所有权确认所必需的全部行为、证书和文件等，并提供相应的支持和协助。</w:t>
            </w:r>
          </w:p>
          <w:p>
            <w:pPr>
              <w:spacing w:line="330" w:lineRule="exact"/>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采购人在中华人民共和国境内使用成交供应商提供的产品及服务时，免受第三方提出的侵犯其专利权或其它知识产权的起诉。如果第三方提出侵权指控，成交供应商应承担由此而引起的一切法律责任和费用。</w:t>
            </w:r>
          </w:p>
          <w:p>
            <w:pPr>
              <w:spacing w:line="330" w:lineRule="exact"/>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2.成交供应商应妥善保管原始记录、监测过程质量控制等档案资料，确保原始记录信息完整，可以溯源。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2" w:hRule="atLeast"/>
          <w:jc w:val="center"/>
        </w:trPr>
        <w:tc>
          <w:tcPr>
            <w:tcW w:w="665" w:type="dxa"/>
            <w:vAlign w:val="center"/>
          </w:tcPr>
          <w:p>
            <w:pPr>
              <w:jc w:val="center"/>
              <w:rPr>
                <w:rFonts w:ascii="宋体" w:hAnsi="宋体" w:cs="宋体"/>
                <w:color w:val="auto"/>
                <w:highlight w:val="none"/>
              </w:rPr>
            </w:pPr>
            <w:r>
              <w:rPr>
                <w:rFonts w:hint="eastAsia" w:ascii="宋体" w:hAnsi="宋体" w:cs="宋体"/>
                <w:color w:val="auto"/>
                <w:highlight w:val="none"/>
              </w:rPr>
              <w:t>5</w:t>
            </w:r>
          </w:p>
        </w:tc>
        <w:tc>
          <w:tcPr>
            <w:tcW w:w="1312" w:type="dxa"/>
            <w:vAlign w:val="center"/>
          </w:tcPr>
          <w:p>
            <w:pPr>
              <w:jc w:val="center"/>
              <w:rPr>
                <w:rFonts w:ascii="宋体" w:hAnsi="宋体" w:cs="宋体"/>
                <w:color w:val="auto"/>
                <w:highlight w:val="none"/>
              </w:rPr>
            </w:pPr>
            <w:r>
              <w:rPr>
                <w:rFonts w:hint="eastAsia" w:ascii="宋体" w:hAnsi="宋体" w:cs="宋体"/>
                <w:color w:val="auto"/>
                <w:szCs w:val="21"/>
                <w:highlight w:val="none"/>
              </w:rPr>
              <w:t>▲</w:t>
            </w:r>
            <w:r>
              <w:rPr>
                <w:rFonts w:hint="eastAsia" w:ascii="宋体" w:hAnsi="宋体" w:cs="宋体"/>
                <w:color w:val="auto"/>
                <w:highlight w:val="none"/>
              </w:rPr>
              <w:t>质保期</w:t>
            </w:r>
          </w:p>
          <w:p>
            <w:pPr>
              <w:jc w:val="center"/>
              <w:rPr>
                <w:rFonts w:ascii="宋体" w:hAnsi="宋体" w:cs="宋体"/>
                <w:color w:val="auto"/>
                <w:highlight w:val="none"/>
              </w:rPr>
            </w:pPr>
            <w:r>
              <w:rPr>
                <w:rFonts w:hint="eastAsia" w:ascii="宋体" w:hAnsi="宋体" w:cs="宋体"/>
                <w:color w:val="auto"/>
                <w:highlight w:val="none"/>
              </w:rPr>
              <w:t>（保修期）</w:t>
            </w:r>
          </w:p>
        </w:tc>
        <w:tc>
          <w:tcPr>
            <w:tcW w:w="7532" w:type="dxa"/>
            <w:vAlign w:val="center"/>
          </w:tcPr>
          <w:p>
            <w:pPr>
              <w:spacing w:line="330" w:lineRule="exact"/>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从服务成果验收合格并签署验收合格单之日起计算质保期（保修期），本项目质保期（保修期）为</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u w:val="single"/>
                <w:lang w:val="en-US" w:eastAsia="zh-CN"/>
              </w:rPr>
              <w:t>730</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个日历日。在质量保证期内，服务成果出现任何问题，乙方均应按甲方的要求负责及时处理解决，并承担一切费用</w:t>
            </w:r>
            <w:r>
              <w:rPr>
                <w:rFonts w:hint="eastAsia" w:ascii="宋体" w:hAnsi="宋体" w:cs="宋体"/>
                <w:color w:val="auto"/>
                <w:szCs w:val="21"/>
                <w:highlight w:val="none"/>
                <w:lang w:val="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7" w:hRule="atLeast"/>
          <w:jc w:val="center"/>
        </w:trPr>
        <w:tc>
          <w:tcPr>
            <w:tcW w:w="665" w:type="dxa"/>
            <w:vAlign w:val="center"/>
          </w:tcPr>
          <w:p>
            <w:pPr>
              <w:jc w:val="center"/>
              <w:rPr>
                <w:rFonts w:ascii="宋体" w:hAnsi="宋体" w:cs="宋体"/>
                <w:color w:val="auto"/>
                <w:highlight w:val="none"/>
              </w:rPr>
            </w:pPr>
            <w:r>
              <w:rPr>
                <w:rFonts w:hint="eastAsia" w:ascii="宋体" w:hAnsi="宋体" w:cs="宋体"/>
                <w:color w:val="auto"/>
                <w:highlight w:val="none"/>
              </w:rPr>
              <w:t>6</w:t>
            </w:r>
          </w:p>
        </w:tc>
        <w:tc>
          <w:tcPr>
            <w:tcW w:w="1312" w:type="dxa"/>
            <w:vAlign w:val="center"/>
          </w:tcPr>
          <w:p>
            <w:pPr>
              <w:jc w:val="center"/>
              <w:rPr>
                <w:rFonts w:ascii="宋体" w:hAnsi="宋体" w:cs="宋体"/>
                <w:color w:val="auto"/>
                <w:highlight w:val="none"/>
              </w:rPr>
            </w:pPr>
            <w:r>
              <w:rPr>
                <w:rFonts w:hint="eastAsia" w:ascii="宋体" w:hAnsi="宋体" w:cs="宋体"/>
                <w:color w:val="auto"/>
                <w:szCs w:val="21"/>
                <w:highlight w:val="none"/>
              </w:rPr>
              <w:t>▲</w:t>
            </w:r>
            <w:r>
              <w:rPr>
                <w:rFonts w:hint="eastAsia" w:ascii="宋体" w:hAnsi="宋体" w:cs="宋体"/>
                <w:color w:val="auto"/>
                <w:highlight w:val="none"/>
              </w:rPr>
              <w:t>服务期要求</w:t>
            </w:r>
          </w:p>
        </w:tc>
        <w:tc>
          <w:tcPr>
            <w:tcW w:w="7532" w:type="dxa"/>
            <w:vAlign w:val="center"/>
          </w:tcPr>
          <w:p>
            <w:pPr>
              <w:spacing w:line="330" w:lineRule="exact"/>
              <w:jc w:val="left"/>
              <w:rPr>
                <w:rFonts w:ascii="宋体" w:hAnsi="宋体" w:cs="宋体"/>
                <w:b/>
                <w:bCs/>
                <w:color w:val="auto"/>
                <w:highlight w:val="none"/>
              </w:rPr>
            </w:pPr>
            <w:r>
              <w:rPr>
                <w:rFonts w:hint="eastAsia" w:ascii="宋体" w:hAnsi="宋体" w:cs="宋体"/>
                <w:b/>
                <w:bCs/>
                <w:color w:val="auto"/>
                <w:highlight w:val="none"/>
              </w:rPr>
              <w:t>成交供应商在服务期内应当为采购人提供以下技术支持和咨询服务：</w:t>
            </w:r>
          </w:p>
          <w:p>
            <w:pPr>
              <w:spacing w:line="330" w:lineRule="exact"/>
              <w:ind w:firstLine="420" w:firstLineChars="200"/>
              <w:rPr>
                <w:rFonts w:ascii="宋体" w:hAnsi="宋体" w:cs="宋体"/>
                <w:color w:val="auto"/>
                <w:highlight w:val="none"/>
              </w:rPr>
            </w:pPr>
            <w:r>
              <w:rPr>
                <w:rFonts w:hint="eastAsia" w:ascii="宋体" w:hAnsi="宋体" w:cs="宋体"/>
                <w:color w:val="auto"/>
                <w:highlight w:val="none"/>
              </w:rPr>
              <w:t>1.质保期内，</w:t>
            </w:r>
            <w:r>
              <w:rPr>
                <w:rFonts w:hint="eastAsia" w:ascii="宋体" w:hAnsi="宋体" w:cs="宋体"/>
                <w:color w:val="auto"/>
                <w:highlight w:val="none"/>
                <w:lang w:val="en-US" w:eastAsia="zh-CN"/>
              </w:rPr>
              <w:t>提供升级改造后整个系统的运行维护服务，</w:t>
            </w:r>
            <w:r>
              <w:rPr>
                <w:rFonts w:hint="eastAsia" w:ascii="宋体" w:hAnsi="宋体" w:cs="宋体"/>
                <w:color w:val="auto"/>
                <w:highlight w:val="none"/>
              </w:rPr>
              <w:t>通过远程登录、400电话、QQ在线、邮件等技术支持，提供日常系统疑问咨询解答，帮助业务人员顺利完成系统日常运作和维护。解答人员必须是本项目主要开发人员。</w:t>
            </w:r>
          </w:p>
          <w:p>
            <w:pPr>
              <w:spacing w:line="330" w:lineRule="exact"/>
              <w:ind w:firstLine="420" w:firstLineChars="200"/>
              <w:rPr>
                <w:rFonts w:ascii="宋体" w:hAnsi="宋体" w:cs="宋体"/>
                <w:color w:val="auto"/>
                <w:highlight w:val="none"/>
              </w:rPr>
            </w:pPr>
            <w:r>
              <w:rPr>
                <w:rFonts w:hint="eastAsia" w:ascii="宋体" w:hAnsi="宋体" w:cs="宋体"/>
                <w:color w:val="auto"/>
                <w:highlight w:val="none"/>
              </w:rPr>
              <w:t>2.提供7*24小时的服务响应，并在接到甲方通知后4小时内解决故障；若远程无法修复，需要到现场运行维护的，应在48个小时内到维护现场；一般问题应在24小时内解决，预计故障将超过24小时的，须提出明确解决方案。在投标文件中须提供售后服务联系人和联系电话。</w:t>
            </w:r>
          </w:p>
          <w:p>
            <w:pPr>
              <w:spacing w:line="330" w:lineRule="exact"/>
              <w:ind w:firstLine="420" w:firstLineChars="200"/>
              <w:jc w:val="left"/>
              <w:rPr>
                <w:rFonts w:ascii="宋体" w:hAnsi="宋体" w:cs="宋体"/>
                <w:color w:val="auto"/>
                <w:highlight w:val="none"/>
              </w:rPr>
            </w:pPr>
            <w:r>
              <w:rPr>
                <w:rFonts w:hint="eastAsia" w:ascii="宋体" w:hAnsi="宋体" w:cs="宋体"/>
                <w:color w:val="auto"/>
                <w:highlight w:val="none"/>
              </w:rPr>
              <w:t>3.在质保期内，提供应用系统小版本升级及对软件现有功能的维护；质保期结束后，提供终身咨询服务及有偿维护服务。</w:t>
            </w:r>
          </w:p>
          <w:p>
            <w:pPr>
              <w:spacing w:line="330" w:lineRule="exact"/>
              <w:ind w:firstLine="420" w:firstLineChars="200"/>
              <w:jc w:val="left"/>
              <w:rPr>
                <w:rFonts w:ascii="宋体" w:hAnsi="宋体" w:cs="宋体"/>
                <w:color w:val="auto"/>
                <w:highlight w:val="none"/>
              </w:rPr>
            </w:pPr>
            <w:r>
              <w:rPr>
                <w:rFonts w:hint="eastAsia" w:ascii="宋体" w:hAnsi="宋体" w:cs="宋体"/>
                <w:color w:val="auto"/>
                <w:highlight w:val="none"/>
              </w:rPr>
              <w:t>4.配置专业的售后服务团队，按照规范、合理的售后管理体系提供技术支持服务，确保系统运维服务质量。</w:t>
            </w:r>
          </w:p>
          <w:p>
            <w:pPr>
              <w:spacing w:line="330" w:lineRule="exact"/>
              <w:jc w:val="left"/>
              <w:rPr>
                <w:rFonts w:ascii="宋体" w:hAnsi="宋体" w:cs="宋体"/>
                <w:color w:val="auto"/>
                <w:highlight w:val="none"/>
              </w:rPr>
            </w:pPr>
            <w:r>
              <w:rPr>
                <w:rFonts w:hint="eastAsia" w:ascii="宋体" w:hAnsi="宋体" w:cs="宋体"/>
                <w:color w:val="auto"/>
                <w:highlight w:val="none"/>
              </w:rPr>
              <w:t xml:space="preserve">    5.追踪记录系统出现的问题、及时解决问题，并发送季度维护报告给采购人。</w:t>
            </w:r>
          </w:p>
          <w:p>
            <w:pPr>
              <w:spacing w:line="330" w:lineRule="exact"/>
              <w:ind w:firstLine="420"/>
              <w:jc w:val="left"/>
              <w:rPr>
                <w:color w:val="auto"/>
                <w:highlight w:val="none"/>
              </w:rPr>
            </w:pPr>
            <w:r>
              <w:rPr>
                <w:rFonts w:hint="eastAsia" w:ascii="宋体" w:hAnsi="宋体" w:cs="宋体"/>
                <w:color w:val="auto"/>
                <w:highlight w:val="none"/>
              </w:rPr>
              <w:t>6.提供部分源代码，响应产品代码开放程度需满足甲方自助运维及功能模块拓展需求。提供的源代码及框架、库，应确保甲方能离线部署、离线自助运维系统及离线自助拓展功能模块。</w:t>
            </w:r>
          </w:p>
          <w:p>
            <w:pPr>
              <w:pStyle w:val="18"/>
              <w:spacing w:line="330" w:lineRule="exact"/>
              <w:rPr>
                <w:rFonts w:ascii="宋体" w:hAnsi="宋体" w:cs="宋体"/>
                <w:b/>
                <w:bCs/>
                <w:color w:val="auto"/>
                <w:highlight w:val="none"/>
              </w:rPr>
            </w:pPr>
            <w:r>
              <w:rPr>
                <w:rFonts w:hint="eastAsia" w:ascii="宋体" w:hAnsi="宋体" w:cs="宋体"/>
                <w:color w:val="auto"/>
                <w:highlight w:val="none"/>
              </w:rPr>
              <w:t xml:space="preserve">    7.提供系统运行所需完整数据字典及其管理维护功能。</w:t>
            </w:r>
          </w:p>
          <w:p>
            <w:pPr>
              <w:spacing w:line="330" w:lineRule="exact"/>
              <w:jc w:val="left"/>
              <w:rPr>
                <w:rFonts w:ascii="宋体" w:hAnsi="宋体" w:cs="宋体"/>
                <w:b/>
                <w:bCs/>
                <w:color w:val="auto"/>
                <w:highlight w:val="none"/>
              </w:rPr>
            </w:pPr>
            <w:r>
              <w:rPr>
                <w:rFonts w:hint="eastAsia" w:ascii="宋体" w:hAnsi="宋体" w:cs="宋体"/>
                <w:b/>
                <w:bCs/>
                <w:color w:val="auto"/>
                <w:highlight w:val="none"/>
              </w:rPr>
              <w:t>质保期内对成交供应商的其它要求：</w:t>
            </w:r>
          </w:p>
          <w:p>
            <w:pPr>
              <w:spacing w:line="330" w:lineRule="exact"/>
              <w:ind w:firstLine="420"/>
              <w:jc w:val="left"/>
              <w:rPr>
                <w:rFonts w:ascii="宋体" w:hAnsi="宋体" w:cs="宋体"/>
                <w:color w:val="auto"/>
                <w:highlight w:val="none"/>
              </w:rPr>
            </w:pPr>
            <w:r>
              <w:rPr>
                <w:rFonts w:hint="eastAsia" w:ascii="宋体" w:hAnsi="宋体" w:cs="宋体"/>
                <w:color w:val="auto"/>
                <w:highlight w:val="none"/>
              </w:rPr>
              <w:t>1.成交供应商负责本项目合同履行期间的所有安全工作，服务期间因成交供应商原因造成的任何安全事故，所有的责任及损失均由成交供应商自行承担。成交供应商与员工之间的各种纠纷，由成交供应商自行解决。</w:t>
            </w:r>
          </w:p>
          <w:p>
            <w:pPr>
              <w:spacing w:line="330" w:lineRule="exact"/>
              <w:ind w:firstLine="420"/>
              <w:jc w:val="left"/>
              <w:rPr>
                <w:rFonts w:ascii="宋体" w:hAnsi="宋体" w:cs="宋体"/>
                <w:color w:val="auto"/>
                <w:highlight w:val="none"/>
              </w:rPr>
            </w:pPr>
            <w:r>
              <w:rPr>
                <w:rFonts w:hint="eastAsia" w:ascii="宋体" w:hAnsi="宋体" w:cs="宋体"/>
                <w:color w:val="auto"/>
                <w:highlight w:val="none"/>
              </w:rPr>
              <w:t>2.成交供应商负责投入本项目员工的一切工资、福利等，如合同履行期间发生工伤、疾病乃至死亡的一切责任及费用由成交供应商全部负责解决或支付。</w:t>
            </w:r>
          </w:p>
          <w:p>
            <w:pPr>
              <w:spacing w:line="330" w:lineRule="exact"/>
              <w:ind w:firstLine="420"/>
              <w:jc w:val="left"/>
              <w:rPr>
                <w:rFonts w:ascii="宋体" w:hAnsi="宋体" w:cs="宋体"/>
                <w:color w:val="auto"/>
                <w:highlight w:val="none"/>
              </w:rPr>
            </w:pPr>
            <w:r>
              <w:rPr>
                <w:rFonts w:hint="eastAsia" w:ascii="宋体" w:hAnsi="宋体" w:cs="宋体"/>
                <w:color w:val="auto"/>
                <w:highlight w:val="none"/>
              </w:rPr>
              <w:t>3.须加强对投入本项目工作人员的管理，包括及时更换不称职或违规的工作人员、不得安排已在采购人有违规记录行为的工作人员重新上岗。</w:t>
            </w:r>
          </w:p>
          <w:p>
            <w:pPr>
              <w:spacing w:line="330" w:lineRule="exact"/>
              <w:ind w:firstLine="420"/>
              <w:jc w:val="left"/>
              <w:rPr>
                <w:rFonts w:ascii="宋体" w:hAnsi="宋体" w:cs="宋体"/>
                <w:color w:val="auto"/>
                <w:highlight w:val="none"/>
              </w:rPr>
            </w:pPr>
            <w:r>
              <w:rPr>
                <w:rFonts w:hint="eastAsia" w:ascii="宋体" w:hAnsi="宋体" w:cs="宋体"/>
                <w:color w:val="auto"/>
                <w:highlight w:val="none"/>
              </w:rPr>
              <w:t>4.配合采购人接受上级领导部门的监督、检查，提供必须的资料。</w:t>
            </w:r>
          </w:p>
          <w:p>
            <w:pPr>
              <w:spacing w:line="330" w:lineRule="exact"/>
              <w:ind w:firstLine="420"/>
              <w:jc w:val="left"/>
              <w:rPr>
                <w:rFonts w:ascii="宋体" w:hAnsi="宋体" w:cs="宋体"/>
                <w:color w:val="auto"/>
                <w:highlight w:val="none"/>
              </w:rPr>
            </w:pPr>
            <w:r>
              <w:rPr>
                <w:rFonts w:hint="eastAsia" w:ascii="宋体" w:hAnsi="宋体" w:cs="宋体"/>
                <w:color w:val="auto"/>
                <w:highlight w:val="none"/>
              </w:rPr>
              <w:t>5.未经采购人同意，成交供应商不得在合同期限内将管理权转包或分包。</w:t>
            </w:r>
          </w:p>
          <w:p>
            <w:pPr>
              <w:spacing w:line="330" w:lineRule="exact"/>
              <w:ind w:firstLine="420"/>
              <w:jc w:val="left"/>
              <w:rPr>
                <w:rFonts w:ascii="宋体" w:hAnsi="宋体" w:cs="宋体"/>
                <w:color w:val="auto"/>
                <w:highlight w:val="none"/>
              </w:rPr>
            </w:pPr>
            <w:r>
              <w:rPr>
                <w:rFonts w:hint="eastAsia" w:ascii="宋体" w:hAnsi="宋体" w:cs="宋体"/>
                <w:color w:val="auto"/>
                <w:highlight w:val="none"/>
              </w:rPr>
              <w:t>6.参加本项目磋商采购的所有服务成果必须完全符合磋商文件每项要求，所提供的服务须与采购要求完全一致或优于采购要求，服务成果无知识产权纠纷，且符合国家标准；如因成交供应商的问题直接影响采购人工作正常运转的，采购人将按国家相关法律法规的规定追究其相关责任，同时采购人有权单方解除合同，由此给采购人造成的一切损失均由该成交供应商负责赔偿。</w:t>
            </w:r>
          </w:p>
          <w:p>
            <w:pPr>
              <w:spacing w:line="330" w:lineRule="exact"/>
              <w:jc w:val="left"/>
              <w:rPr>
                <w:rFonts w:ascii="宋体" w:hAnsi="宋体" w:cs="宋体"/>
                <w:color w:val="auto"/>
                <w:highlight w:val="none"/>
              </w:rPr>
            </w:pPr>
            <w:r>
              <w:rPr>
                <w:rFonts w:hint="eastAsia" w:ascii="宋体" w:hAnsi="宋体" w:cs="宋体"/>
                <w:b/>
                <w:bCs/>
                <w:color w:val="auto"/>
                <w:szCs w:val="21"/>
                <w:highlight w:val="none"/>
              </w:rPr>
              <w:t>注：以上费用均包含在磋商报价中。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1" w:hRule="atLeast"/>
          <w:jc w:val="center"/>
        </w:trPr>
        <w:tc>
          <w:tcPr>
            <w:tcW w:w="665" w:type="dxa"/>
            <w:vAlign w:val="center"/>
          </w:tcPr>
          <w:p>
            <w:pPr>
              <w:jc w:val="center"/>
              <w:rPr>
                <w:rFonts w:ascii="宋体" w:hAnsi="宋体" w:cs="宋体"/>
                <w:color w:val="auto"/>
                <w:highlight w:val="none"/>
              </w:rPr>
            </w:pPr>
            <w:r>
              <w:rPr>
                <w:rFonts w:hint="eastAsia" w:ascii="宋体" w:hAnsi="宋体" w:cs="宋体"/>
                <w:color w:val="auto"/>
                <w:highlight w:val="none"/>
              </w:rPr>
              <w:t>7</w:t>
            </w:r>
          </w:p>
        </w:tc>
        <w:tc>
          <w:tcPr>
            <w:tcW w:w="1312" w:type="dxa"/>
            <w:vAlign w:val="center"/>
          </w:tcPr>
          <w:p>
            <w:pPr>
              <w:jc w:val="center"/>
              <w:rPr>
                <w:rFonts w:ascii="宋体" w:hAnsi="宋体" w:cs="宋体"/>
                <w:color w:val="auto"/>
                <w:highlight w:val="none"/>
              </w:rPr>
            </w:pPr>
            <w:r>
              <w:rPr>
                <w:rFonts w:ascii="宋体" w:hAnsi="宋体" w:cs="宋体"/>
                <w:color w:val="auto"/>
                <w:szCs w:val="21"/>
                <w:highlight w:val="none"/>
              </w:rPr>
              <w:t>▲</w:t>
            </w:r>
            <w:r>
              <w:rPr>
                <w:rFonts w:hint="eastAsia" w:ascii="宋体" w:hAnsi="宋体" w:cs="宋体"/>
                <w:color w:val="auto"/>
                <w:szCs w:val="21"/>
                <w:highlight w:val="none"/>
              </w:rPr>
              <w:t>验收方式</w:t>
            </w:r>
          </w:p>
        </w:tc>
        <w:tc>
          <w:tcPr>
            <w:tcW w:w="7532" w:type="dxa"/>
            <w:vAlign w:val="center"/>
          </w:tcPr>
          <w:p>
            <w:pPr>
              <w:spacing w:line="330" w:lineRule="exact"/>
              <w:ind w:firstLine="420" w:firstLineChars="200"/>
              <w:rPr>
                <w:rFonts w:ascii="宋体" w:hAnsi="宋体" w:cs="宋体"/>
                <w:color w:val="auto"/>
                <w:highlight w:val="none"/>
              </w:rPr>
            </w:pPr>
            <w:r>
              <w:rPr>
                <w:rFonts w:hint="eastAsia" w:ascii="宋体" w:hAnsi="宋体" w:cs="宋体"/>
                <w:color w:val="auto"/>
                <w:highlight w:val="none"/>
              </w:rPr>
              <w:t>1. 预验收</w:t>
            </w:r>
          </w:p>
          <w:p>
            <w:pPr>
              <w:spacing w:line="330" w:lineRule="exact"/>
              <w:ind w:firstLine="420" w:firstLineChars="200"/>
              <w:rPr>
                <w:rFonts w:ascii="宋体" w:hAnsi="宋体" w:cs="宋体"/>
                <w:color w:val="auto"/>
                <w:highlight w:val="none"/>
              </w:rPr>
            </w:pPr>
            <w:r>
              <w:rPr>
                <w:rFonts w:hint="eastAsia" w:ascii="宋体" w:hAnsi="宋体" w:cs="宋体"/>
                <w:color w:val="auto"/>
                <w:highlight w:val="none"/>
              </w:rPr>
              <w:t>系统所有功能开发完成、业务流程上线试运行2个月后，由采购方组织开展预验收，</w:t>
            </w:r>
            <w:r>
              <w:rPr>
                <w:rFonts w:hint="eastAsia" w:ascii="宋体" w:hAnsi="宋体" w:cs="宋体"/>
                <w:color w:val="auto"/>
                <w:szCs w:val="21"/>
                <w:highlight w:val="none"/>
              </w:rPr>
              <w:t>成交供应商</w:t>
            </w:r>
            <w:r>
              <w:rPr>
                <w:rFonts w:hint="eastAsia" w:ascii="宋体" w:hAnsi="宋体" w:cs="宋体"/>
                <w:color w:val="auto"/>
                <w:highlight w:val="none"/>
              </w:rPr>
              <w:t>配合派员参加，对采购方各个部门涉及的系统功能进行运行和检验，对预验收过程中反馈的问题及时解决，完成时限为30日内完成。</w:t>
            </w:r>
          </w:p>
          <w:p>
            <w:pPr>
              <w:spacing w:line="330" w:lineRule="exact"/>
              <w:ind w:firstLine="420" w:firstLineChars="200"/>
              <w:rPr>
                <w:rFonts w:ascii="宋体" w:hAnsi="宋体" w:cs="宋体"/>
                <w:color w:val="auto"/>
                <w:highlight w:val="none"/>
              </w:rPr>
            </w:pPr>
            <w:r>
              <w:rPr>
                <w:rFonts w:hint="eastAsia" w:ascii="宋体" w:hAnsi="宋体" w:cs="宋体"/>
                <w:color w:val="auto"/>
                <w:highlight w:val="none"/>
              </w:rPr>
              <w:t>2. 最终验收条件</w:t>
            </w:r>
          </w:p>
          <w:p>
            <w:pPr>
              <w:spacing w:line="330" w:lineRule="exact"/>
              <w:ind w:firstLine="420" w:firstLineChars="200"/>
              <w:rPr>
                <w:rFonts w:ascii="宋体" w:hAnsi="宋体" w:cs="宋体"/>
                <w:color w:val="auto"/>
                <w:highlight w:val="none"/>
              </w:rPr>
            </w:pPr>
            <w:r>
              <w:rPr>
                <w:rFonts w:hint="eastAsia" w:ascii="宋体" w:hAnsi="宋体" w:cs="宋体"/>
                <w:color w:val="auto"/>
                <w:highlight w:val="none"/>
              </w:rPr>
              <w:t>（1）</w:t>
            </w:r>
            <w:r>
              <w:rPr>
                <w:rFonts w:hint="eastAsia" w:ascii="宋体" w:hAnsi="宋体" w:cs="宋体"/>
                <w:color w:val="auto"/>
                <w:szCs w:val="21"/>
                <w:highlight w:val="none"/>
              </w:rPr>
              <w:t>成交供应商</w:t>
            </w:r>
            <w:r>
              <w:rPr>
                <w:rFonts w:hint="eastAsia" w:ascii="宋体" w:hAnsi="宋体" w:cs="宋体"/>
                <w:color w:val="auto"/>
                <w:highlight w:val="none"/>
              </w:rPr>
              <w:t>服务内容满足本合同的约定、竞争性磋商文件的要求及</w:t>
            </w:r>
            <w:r>
              <w:rPr>
                <w:rFonts w:hint="eastAsia" w:ascii="宋体" w:hAnsi="宋体" w:cs="宋体"/>
                <w:color w:val="auto"/>
                <w:szCs w:val="21"/>
                <w:highlight w:val="none"/>
              </w:rPr>
              <w:t>成交供应商</w:t>
            </w:r>
            <w:r>
              <w:rPr>
                <w:rFonts w:hint="eastAsia" w:ascii="宋体" w:hAnsi="宋体" w:cs="宋体"/>
                <w:color w:val="auto"/>
                <w:highlight w:val="none"/>
              </w:rPr>
              <w:t>响应文件承诺一致，交付服务产品性能或指标达到规定的标准。</w:t>
            </w:r>
          </w:p>
          <w:p>
            <w:pPr>
              <w:spacing w:line="330" w:lineRule="exact"/>
              <w:ind w:firstLine="420" w:firstLineChars="200"/>
              <w:rPr>
                <w:rFonts w:ascii="宋体" w:hAnsi="宋体" w:cs="宋体"/>
                <w:color w:val="auto"/>
                <w:highlight w:val="none"/>
              </w:rPr>
            </w:pPr>
            <w:r>
              <w:rPr>
                <w:rFonts w:hint="eastAsia" w:ascii="宋体" w:hAnsi="宋体" w:cs="宋体"/>
                <w:color w:val="auto"/>
                <w:highlight w:val="none"/>
              </w:rPr>
              <w:t>（2）</w:t>
            </w:r>
            <w:r>
              <w:rPr>
                <w:rFonts w:hint="eastAsia" w:ascii="宋体" w:hAnsi="宋体" w:cs="宋体"/>
                <w:color w:val="auto"/>
                <w:szCs w:val="21"/>
                <w:highlight w:val="none"/>
              </w:rPr>
              <w:t>成交供应商</w:t>
            </w:r>
            <w:r>
              <w:rPr>
                <w:rFonts w:hint="eastAsia" w:ascii="宋体" w:hAnsi="宋体" w:cs="宋体"/>
                <w:color w:val="auto"/>
                <w:highlight w:val="none"/>
              </w:rPr>
              <w:t>完成采购方组织的预验收和预验收问题的解决，在测试或试运行期间所出现的问题得到解决。</w:t>
            </w:r>
          </w:p>
          <w:p>
            <w:pPr>
              <w:spacing w:line="330" w:lineRule="exact"/>
              <w:ind w:firstLine="420" w:firstLineChars="200"/>
              <w:rPr>
                <w:rFonts w:ascii="宋体" w:hAnsi="宋体" w:cs="宋体"/>
                <w:color w:val="auto"/>
                <w:highlight w:val="none"/>
              </w:rPr>
            </w:pPr>
            <w:r>
              <w:rPr>
                <w:rFonts w:hint="eastAsia" w:ascii="宋体" w:hAnsi="宋体" w:cs="宋体"/>
                <w:color w:val="auto"/>
                <w:highlight w:val="none"/>
              </w:rPr>
              <w:t>（3）系统所有功能指标达到验收标准、同时所有业务流程上线试运行3个月、系统根据采购方需求生成10份典型监测报告/报表后，</w:t>
            </w:r>
            <w:r>
              <w:rPr>
                <w:rFonts w:hint="eastAsia" w:ascii="宋体" w:hAnsi="宋体" w:cs="宋体"/>
                <w:color w:val="auto"/>
                <w:szCs w:val="21"/>
                <w:highlight w:val="none"/>
              </w:rPr>
              <w:t>成交供应商</w:t>
            </w:r>
            <w:r>
              <w:rPr>
                <w:rFonts w:hint="eastAsia" w:ascii="宋体" w:hAnsi="宋体" w:cs="宋体"/>
                <w:color w:val="auto"/>
                <w:highlight w:val="none"/>
              </w:rPr>
              <w:t>可提出正式验收申请。验收申请经采购方同意后，由采购方组织对系统进行验收。</w:t>
            </w:r>
          </w:p>
          <w:p>
            <w:pPr>
              <w:spacing w:line="330" w:lineRule="exact"/>
              <w:ind w:firstLine="420" w:firstLineChars="200"/>
              <w:rPr>
                <w:rFonts w:ascii="宋体" w:hAnsi="宋体" w:cs="宋体"/>
                <w:color w:val="auto"/>
                <w:highlight w:val="none"/>
              </w:rPr>
            </w:pPr>
            <w:r>
              <w:rPr>
                <w:rFonts w:hint="eastAsia" w:ascii="宋体" w:hAnsi="宋体" w:cs="宋体"/>
                <w:color w:val="auto"/>
                <w:highlight w:val="none"/>
              </w:rPr>
              <w:t>（4）验收前，</w:t>
            </w:r>
            <w:r>
              <w:rPr>
                <w:rFonts w:hint="eastAsia" w:ascii="宋体" w:hAnsi="宋体" w:cs="宋体"/>
                <w:color w:val="auto"/>
                <w:szCs w:val="21"/>
                <w:highlight w:val="none"/>
              </w:rPr>
              <w:t>成交供应商</w:t>
            </w:r>
            <w:r>
              <w:rPr>
                <w:rFonts w:hint="eastAsia" w:ascii="宋体" w:hAnsi="宋体" w:cs="宋体"/>
                <w:color w:val="auto"/>
                <w:highlight w:val="none"/>
              </w:rPr>
              <w:t>须按要求在验收开始前制定验收计划，同时应将开发过程中各阶段性文档资料汇集成册，以电子版和纸质版交付采购方。每个材料2份，主要包括：</w:t>
            </w:r>
          </w:p>
          <w:p>
            <w:pPr>
              <w:spacing w:line="330" w:lineRule="exact"/>
              <w:ind w:firstLine="420" w:firstLineChars="200"/>
              <w:rPr>
                <w:rFonts w:ascii="宋体" w:hAnsi="宋体" w:cs="宋体"/>
                <w:color w:val="auto"/>
                <w:highlight w:val="none"/>
              </w:rPr>
            </w:pPr>
            <w:r>
              <w:rPr>
                <w:rFonts w:hint="eastAsia" w:ascii="宋体" w:hAnsi="宋体" w:cs="宋体"/>
                <w:color w:val="auto"/>
                <w:highlight w:val="none"/>
              </w:rPr>
              <w:t>①项目启动阶段：《项目实施计划》</w:t>
            </w:r>
          </w:p>
          <w:p>
            <w:pPr>
              <w:spacing w:line="330" w:lineRule="exact"/>
              <w:ind w:firstLine="420" w:firstLineChars="200"/>
              <w:rPr>
                <w:rFonts w:ascii="宋体" w:hAnsi="宋体" w:cs="宋体"/>
                <w:color w:val="auto"/>
                <w:highlight w:val="none"/>
              </w:rPr>
            </w:pPr>
            <w:r>
              <w:rPr>
                <w:rFonts w:hint="eastAsia" w:ascii="宋体" w:hAnsi="宋体" w:cs="宋体"/>
                <w:color w:val="auto"/>
                <w:highlight w:val="none"/>
              </w:rPr>
              <w:t>②需求分析阶段：《需求规格说明书》</w:t>
            </w:r>
          </w:p>
          <w:p>
            <w:pPr>
              <w:spacing w:line="330" w:lineRule="exact"/>
              <w:ind w:firstLine="420" w:firstLineChars="200"/>
              <w:rPr>
                <w:rFonts w:ascii="宋体" w:hAnsi="宋体" w:cs="宋体"/>
                <w:color w:val="auto"/>
                <w:highlight w:val="none"/>
              </w:rPr>
            </w:pPr>
            <w:r>
              <w:rPr>
                <w:rFonts w:hint="eastAsia" w:ascii="宋体" w:hAnsi="宋体" w:cs="宋体"/>
                <w:color w:val="auto"/>
                <w:highlight w:val="none"/>
              </w:rPr>
              <w:t>③测试阶段：《测试计划》、《测试用例记录》、《测试分析报告》</w:t>
            </w:r>
          </w:p>
          <w:p>
            <w:pPr>
              <w:spacing w:line="330" w:lineRule="exact"/>
              <w:ind w:firstLine="420" w:firstLineChars="200"/>
              <w:rPr>
                <w:rFonts w:ascii="宋体" w:hAnsi="宋体" w:cs="宋体"/>
                <w:color w:val="auto"/>
                <w:highlight w:val="none"/>
              </w:rPr>
            </w:pPr>
            <w:r>
              <w:rPr>
                <w:rFonts w:hint="eastAsia" w:ascii="宋体" w:hAnsi="宋体" w:cs="宋体"/>
                <w:color w:val="auto"/>
                <w:highlight w:val="none"/>
              </w:rPr>
              <w:t>④上线试运行阶段：《上线试运行计划》、《上线试运行报告》</w:t>
            </w:r>
          </w:p>
          <w:p>
            <w:pPr>
              <w:spacing w:line="330" w:lineRule="exact"/>
              <w:ind w:firstLine="420" w:firstLineChars="200"/>
              <w:rPr>
                <w:rFonts w:ascii="宋体" w:hAnsi="宋体" w:cs="宋体"/>
                <w:color w:val="auto"/>
                <w:highlight w:val="none"/>
              </w:rPr>
            </w:pPr>
            <w:r>
              <w:rPr>
                <w:rFonts w:hint="eastAsia" w:ascii="宋体" w:hAnsi="宋体" w:cs="宋体"/>
                <w:color w:val="auto"/>
                <w:highlight w:val="none"/>
              </w:rPr>
              <w:t>⑤交付使用：《用户操作手册》、《系统安装维护手册》</w:t>
            </w:r>
          </w:p>
          <w:p>
            <w:pPr>
              <w:spacing w:line="330" w:lineRule="exact"/>
              <w:ind w:firstLine="420" w:firstLineChars="200"/>
              <w:rPr>
                <w:rFonts w:ascii="宋体" w:hAnsi="宋体" w:cs="宋体"/>
                <w:color w:val="auto"/>
                <w:highlight w:val="none"/>
              </w:rPr>
            </w:pPr>
            <w:r>
              <w:rPr>
                <w:rFonts w:hint="eastAsia" w:ascii="宋体" w:hAnsi="宋体" w:cs="宋体"/>
                <w:color w:val="auto"/>
                <w:highlight w:val="none"/>
              </w:rPr>
              <w:t>⑥培训计划、培训记录</w:t>
            </w:r>
          </w:p>
          <w:p>
            <w:pPr>
              <w:spacing w:line="330" w:lineRule="exact"/>
              <w:ind w:firstLine="420" w:firstLineChars="200"/>
              <w:rPr>
                <w:rFonts w:ascii="宋体" w:hAnsi="宋体" w:cs="宋体"/>
                <w:color w:val="auto"/>
                <w:highlight w:val="none"/>
              </w:rPr>
            </w:pPr>
            <w:r>
              <w:rPr>
                <w:rFonts w:hint="eastAsia" w:ascii="宋体" w:hAnsi="宋体" w:cs="宋体"/>
                <w:color w:val="auto"/>
                <w:highlight w:val="none"/>
              </w:rPr>
              <w:t>⑦甲方认为必要的其他文档</w:t>
            </w:r>
          </w:p>
          <w:p>
            <w:pPr>
              <w:spacing w:line="330" w:lineRule="exact"/>
              <w:ind w:firstLine="420" w:firstLineChars="200"/>
              <w:rPr>
                <w:rFonts w:ascii="宋体" w:hAnsi="宋体" w:cs="宋体"/>
                <w:color w:val="auto"/>
                <w:highlight w:val="none"/>
              </w:rPr>
            </w:pPr>
            <w:r>
              <w:rPr>
                <w:rFonts w:hint="eastAsia" w:ascii="宋体" w:hAnsi="宋体" w:cs="宋体"/>
                <w:color w:val="auto"/>
                <w:highlight w:val="none"/>
              </w:rPr>
              <w:t>3. 最终验收过程</w:t>
            </w:r>
          </w:p>
          <w:p>
            <w:pPr>
              <w:spacing w:line="330" w:lineRule="exact"/>
              <w:ind w:firstLine="420" w:firstLineChars="200"/>
              <w:rPr>
                <w:rFonts w:ascii="宋体" w:hAnsi="宋体" w:cs="宋体"/>
                <w:color w:val="auto"/>
                <w:highlight w:val="none"/>
              </w:rPr>
            </w:pPr>
            <w:r>
              <w:rPr>
                <w:rFonts w:hint="eastAsia" w:ascii="宋体" w:hAnsi="宋体" w:cs="宋体"/>
                <w:color w:val="auto"/>
                <w:highlight w:val="none"/>
              </w:rPr>
              <w:t>采购方确定第三方专业机构组织项目最终验收，验收时</w:t>
            </w:r>
            <w:r>
              <w:rPr>
                <w:rFonts w:hint="eastAsia" w:ascii="宋体" w:hAnsi="宋体" w:cs="宋体"/>
                <w:color w:val="auto"/>
                <w:szCs w:val="21"/>
                <w:highlight w:val="none"/>
              </w:rPr>
              <w:t>成交供应商</w:t>
            </w:r>
            <w:r>
              <w:rPr>
                <w:rFonts w:hint="eastAsia" w:ascii="宋体" w:hAnsi="宋体" w:cs="宋体"/>
                <w:color w:val="auto"/>
                <w:highlight w:val="none"/>
              </w:rPr>
              <w:t>必须在现场，验收费用由</w:t>
            </w:r>
            <w:r>
              <w:rPr>
                <w:rFonts w:hint="eastAsia" w:ascii="宋体" w:hAnsi="宋体" w:cs="宋体"/>
                <w:color w:val="auto"/>
                <w:szCs w:val="21"/>
                <w:highlight w:val="none"/>
              </w:rPr>
              <w:t>成交供应商</w:t>
            </w:r>
            <w:r>
              <w:rPr>
                <w:rFonts w:hint="eastAsia" w:ascii="宋体" w:hAnsi="宋体" w:cs="宋体"/>
                <w:color w:val="auto"/>
                <w:highlight w:val="none"/>
              </w:rPr>
              <w:t>负责。服务质量和服务内容符合合同的约定、竞争性磋商文件的要求及</w:t>
            </w:r>
            <w:r>
              <w:rPr>
                <w:rFonts w:hint="eastAsia" w:ascii="宋体" w:hAnsi="宋体" w:cs="宋体"/>
                <w:color w:val="auto"/>
                <w:szCs w:val="21"/>
                <w:highlight w:val="none"/>
              </w:rPr>
              <w:t>成交供应商</w:t>
            </w:r>
            <w:r>
              <w:rPr>
                <w:rFonts w:hint="eastAsia" w:ascii="宋体" w:hAnsi="宋体" w:cs="宋体"/>
                <w:color w:val="auto"/>
                <w:highlight w:val="none"/>
              </w:rPr>
              <w:t>响应文件承诺要求的，由采购方和</w:t>
            </w:r>
            <w:r>
              <w:rPr>
                <w:rFonts w:hint="eastAsia" w:ascii="宋体" w:hAnsi="宋体" w:cs="宋体"/>
                <w:color w:val="auto"/>
                <w:szCs w:val="21"/>
                <w:highlight w:val="none"/>
              </w:rPr>
              <w:t>成交供应商</w:t>
            </w:r>
            <w:r>
              <w:rPr>
                <w:rFonts w:hint="eastAsia" w:ascii="宋体" w:hAnsi="宋体" w:cs="宋体"/>
                <w:color w:val="auto"/>
                <w:highlight w:val="none"/>
              </w:rPr>
              <w:t>双方签署验收合格单并加盖采购方公章。采购方负责验收的监督和指导工作。验收结束后，</w:t>
            </w:r>
            <w:r>
              <w:rPr>
                <w:rFonts w:hint="eastAsia" w:ascii="宋体" w:hAnsi="宋体" w:cs="宋体"/>
                <w:color w:val="auto"/>
                <w:szCs w:val="21"/>
                <w:highlight w:val="none"/>
              </w:rPr>
              <w:t>成交供应商</w:t>
            </w:r>
            <w:r>
              <w:rPr>
                <w:rFonts w:hint="eastAsia" w:ascii="宋体" w:hAnsi="宋体" w:cs="宋体"/>
                <w:color w:val="auto"/>
                <w:highlight w:val="none"/>
              </w:rPr>
              <w:t>须提交《验收总结》材料。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7" w:hRule="atLeast"/>
          <w:jc w:val="center"/>
        </w:trPr>
        <w:tc>
          <w:tcPr>
            <w:tcW w:w="665" w:type="dxa"/>
            <w:vAlign w:val="center"/>
          </w:tcPr>
          <w:p>
            <w:pPr>
              <w:jc w:val="center"/>
              <w:rPr>
                <w:rFonts w:ascii="宋体" w:hAnsi="宋体" w:cs="宋体"/>
                <w:color w:val="auto"/>
                <w:highlight w:val="none"/>
              </w:rPr>
            </w:pPr>
            <w:r>
              <w:rPr>
                <w:rFonts w:hint="eastAsia" w:ascii="宋体" w:hAnsi="宋体" w:cs="宋体"/>
                <w:color w:val="auto"/>
                <w:highlight w:val="none"/>
              </w:rPr>
              <w:t>8</w:t>
            </w:r>
          </w:p>
        </w:tc>
        <w:tc>
          <w:tcPr>
            <w:tcW w:w="1312" w:type="dxa"/>
            <w:vAlign w:val="center"/>
          </w:tcPr>
          <w:p>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培训</w:t>
            </w:r>
          </w:p>
        </w:tc>
        <w:tc>
          <w:tcPr>
            <w:tcW w:w="7532" w:type="dxa"/>
            <w:vAlign w:val="center"/>
          </w:tcPr>
          <w:p>
            <w:pPr>
              <w:spacing w:line="330" w:lineRule="exact"/>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成交供应商对其提供产品或服务的使用和操作应尽培训义务。供应商应提供对采购人的基本培训，使采购人的使用人员熟练掌握所培训内容，熟练掌握全部功能，培训的相关费用包括在响应报价中，采购人不再另行支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7" w:hRule="atLeast"/>
          <w:jc w:val="center"/>
        </w:trPr>
        <w:tc>
          <w:tcPr>
            <w:tcW w:w="665" w:type="dxa"/>
            <w:vAlign w:val="center"/>
          </w:tcPr>
          <w:p>
            <w:pPr>
              <w:jc w:val="center"/>
              <w:rPr>
                <w:rFonts w:hint="eastAsia" w:ascii="宋体" w:hAnsi="宋体" w:eastAsia="宋体" w:cs="宋体"/>
                <w:color w:val="auto"/>
                <w:highlight w:val="none"/>
                <w:lang w:eastAsia="zh-CN"/>
              </w:rPr>
            </w:pPr>
            <w:r>
              <w:rPr>
                <w:rFonts w:hint="eastAsia" w:ascii="宋体" w:hAnsi="宋体" w:cs="宋体"/>
                <w:color w:val="auto"/>
                <w:highlight w:val="none"/>
                <w:lang w:val="en-US" w:eastAsia="zh-CN"/>
              </w:rPr>
              <w:t>9</w:t>
            </w:r>
          </w:p>
        </w:tc>
        <w:tc>
          <w:tcPr>
            <w:tcW w:w="1312" w:type="dxa"/>
            <w:vAlign w:val="center"/>
          </w:tcPr>
          <w:p>
            <w:pPr>
              <w:jc w:val="center"/>
              <w:rPr>
                <w:rFonts w:ascii="宋体" w:hAnsi="宋体" w:cs="宋体"/>
                <w:color w:val="auto"/>
                <w:highlight w:val="none"/>
              </w:rPr>
            </w:pPr>
            <w:r>
              <w:rPr>
                <w:rFonts w:hint="eastAsia" w:ascii="宋体" w:hAnsi="宋体" w:cs="宋体"/>
                <w:color w:val="auto"/>
                <w:highlight w:val="none"/>
              </w:rPr>
              <w:t>付款要求</w:t>
            </w:r>
          </w:p>
        </w:tc>
        <w:tc>
          <w:tcPr>
            <w:tcW w:w="7532" w:type="dxa"/>
            <w:vAlign w:val="center"/>
          </w:tcPr>
          <w:p>
            <w:pPr>
              <w:spacing w:line="330" w:lineRule="exact"/>
              <w:ind w:firstLine="420" w:firstLineChars="200"/>
              <w:jc w:val="left"/>
              <w:rPr>
                <w:color w:val="auto"/>
                <w:highlight w:val="none"/>
              </w:rPr>
            </w:pPr>
            <w:bookmarkStart w:id="46" w:name="_Hlk41641939"/>
            <w:r>
              <w:rPr>
                <w:rFonts w:hint="eastAsia"/>
                <w:color w:val="auto"/>
                <w:highlight w:val="none"/>
              </w:rPr>
              <w:t xml:space="preserve"> 1. 合同签订以及具备实施条件后15日内，</w:t>
            </w:r>
            <w:r>
              <w:rPr>
                <w:rFonts w:hint="eastAsia" w:ascii="宋体" w:hAnsi="宋体" w:cs="宋体"/>
                <w:color w:val="auto"/>
                <w:szCs w:val="21"/>
                <w:highlight w:val="none"/>
              </w:rPr>
              <w:t>成交供应商</w:t>
            </w:r>
            <w:r>
              <w:rPr>
                <w:rFonts w:hint="eastAsia"/>
                <w:color w:val="auto"/>
                <w:highlight w:val="none"/>
              </w:rPr>
              <w:t>向采购方提供合同总金额50%的预付款发票和合同总金额2%的履约保证金，履约保证金收取形式为银行保函，有效期不少于20个月。合同签订以及具备实施条件后20日内，采购方支付合同总金额的50％预付款。</w:t>
            </w:r>
          </w:p>
          <w:p>
            <w:pPr>
              <w:spacing w:line="330" w:lineRule="exact"/>
              <w:ind w:firstLine="420" w:firstLineChars="200"/>
              <w:jc w:val="left"/>
              <w:rPr>
                <w:color w:val="auto"/>
                <w:highlight w:val="none"/>
              </w:rPr>
            </w:pPr>
            <w:r>
              <w:rPr>
                <w:rFonts w:hint="eastAsia"/>
                <w:color w:val="auto"/>
                <w:highlight w:val="none"/>
              </w:rPr>
              <w:t xml:space="preserve">2. </w:t>
            </w:r>
            <w:r>
              <w:rPr>
                <w:rFonts w:hint="eastAsia" w:ascii="宋体" w:hAnsi="宋体" w:cs="宋体"/>
                <w:color w:val="auto"/>
                <w:szCs w:val="21"/>
                <w:highlight w:val="none"/>
              </w:rPr>
              <w:t>成交供应商</w:t>
            </w:r>
            <w:r>
              <w:rPr>
                <w:rFonts w:hint="eastAsia"/>
                <w:color w:val="auto"/>
                <w:highlight w:val="none"/>
              </w:rPr>
              <w:t>完成系统开发主要功能测试后，向采购方提交证明材料，采购方收到支付申请和发票后15个工作日内，向</w:t>
            </w:r>
            <w:r>
              <w:rPr>
                <w:rFonts w:hint="eastAsia" w:ascii="宋体" w:hAnsi="宋体" w:cs="宋体"/>
                <w:color w:val="auto"/>
                <w:szCs w:val="21"/>
                <w:highlight w:val="none"/>
              </w:rPr>
              <w:t>成交供应商</w:t>
            </w:r>
            <w:r>
              <w:rPr>
                <w:rFonts w:hint="eastAsia"/>
                <w:color w:val="auto"/>
                <w:highlight w:val="none"/>
              </w:rPr>
              <w:t>支付合同总金额的35％合同款。</w:t>
            </w:r>
          </w:p>
          <w:p>
            <w:pPr>
              <w:spacing w:line="330" w:lineRule="exact"/>
              <w:ind w:firstLine="420" w:firstLineChars="200"/>
              <w:jc w:val="left"/>
              <w:rPr>
                <w:color w:val="auto"/>
                <w:highlight w:val="none"/>
              </w:rPr>
            </w:pPr>
            <w:r>
              <w:rPr>
                <w:rFonts w:hint="eastAsia"/>
                <w:color w:val="auto"/>
                <w:highlight w:val="none"/>
              </w:rPr>
              <w:t xml:space="preserve">3. </w:t>
            </w:r>
            <w:r>
              <w:rPr>
                <w:rFonts w:hint="eastAsia" w:ascii="宋体" w:hAnsi="宋体" w:cs="宋体"/>
                <w:color w:val="auto"/>
                <w:szCs w:val="21"/>
                <w:highlight w:val="none"/>
              </w:rPr>
              <w:t>成交供应商</w:t>
            </w:r>
            <w:r>
              <w:rPr>
                <w:rFonts w:hint="eastAsia"/>
                <w:color w:val="auto"/>
                <w:highlight w:val="none"/>
              </w:rPr>
              <w:t>通过采购方组织的终验后，向采购方提交证明材料，采购方收到支付申请和发票后15个工作日内，向</w:t>
            </w:r>
            <w:r>
              <w:rPr>
                <w:rFonts w:hint="eastAsia" w:ascii="宋体" w:hAnsi="宋体" w:cs="宋体"/>
                <w:color w:val="auto"/>
                <w:szCs w:val="21"/>
                <w:highlight w:val="none"/>
              </w:rPr>
              <w:t>成交供应商</w:t>
            </w:r>
            <w:r>
              <w:rPr>
                <w:rFonts w:hint="eastAsia"/>
                <w:color w:val="auto"/>
                <w:highlight w:val="none"/>
              </w:rPr>
              <w:t>支付合同总金额的15％合同尾款。</w:t>
            </w:r>
          </w:p>
          <w:p>
            <w:pPr>
              <w:spacing w:line="330" w:lineRule="exact"/>
              <w:ind w:firstLine="420" w:firstLineChars="200"/>
              <w:jc w:val="left"/>
              <w:rPr>
                <w:color w:val="auto"/>
                <w:highlight w:val="none"/>
              </w:rPr>
            </w:pPr>
            <w:r>
              <w:rPr>
                <w:rFonts w:hint="eastAsia"/>
                <w:color w:val="auto"/>
                <w:highlight w:val="none"/>
              </w:rPr>
              <w:t>4.履约保证金有效期至质保期后，如</w:t>
            </w:r>
            <w:r>
              <w:rPr>
                <w:rFonts w:hint="eastAsia" w:ascii="宋体" w:hAnsi="宋体" w:cs="宋体"/>
                <w:color w:val="auto"/>
                <w:szCs w:val="21"/>
                <w:highlight w:val="none"/>
              </w:rPr>
              <w:t>成交供应商</w:t>
            </w:r>
            <w:r>
              <w:rPr>
                <w:rFonts w:hint="eastAsia"/>
                <w:color w:val="auto"/>
                <w:highlight w:val="none"/>
              </w:rPr>
              <w:t>无履约瑕疵，采购方收到</w:t>
            </w:r>
            <w:r>
              <w:rPr>
                <w:rFonts w:hint="eastAsia" w:ascii="宋体" w:hAnsi="宋体" w:cs="宋体"/>
                <w:color w:val="auto"/>
                <w:szCs w:val="21"/>
                <w:highlight w:val="none"/>
              </w:rPr>
              <w:t>成交供应商</w:t>
            </w:r>
            <w:r>
              <w:rPr>
                <w:rFonts w:hint="eastAsia"/>
                <w:color w:val="auto"/>
                <w:highlight w:val="none"/>
              </w:rPr>
              <w:t>申请后退还履约保证金。</w:t>
            </w:r>
          </w:p>
          <w:p>
            <w:pPr>
              <w:spacing w:line="330" w:lineRule="exact"/>
              <w:ind w:firstLine="420" w:firstLineChars="200"/>
              <w:jc w:val="left"/>
              <w:rPr>
                <w:color w:val="auto"/>
                <w:highlight w:val="none"/>
              </w:rPr>
            </w:pPr>
            <w:r>
              <w:rPr>
                <w:rFonts w:hint="eastAsia"/>
                <w:color w:val="auto"/>
                <w:highlight w:val="none"/>
              </w:rPr>
              <w:t>5.甲方在支付每笔款项前，</w:t>
            </w:r>
            <w:r>
              <w:rPr>
                <w:rFonts w:hint="eastAsia" w:ascii="宋体" w:hAnsi="宋体" w:cs="宋体"/>
                <w:color w:val="auto"/>
                <w:szCs w:val="21"/>
                <w:highlight w:val="none"/>
              </w:rPr>
              <w:t>成交供应商</w:t>
            </w:r>
            <w:r>
              <w:rPr>
                <w:rFonts w:hint="eastAsia"/>
                <w:color w:val="auto"/>
                <w:highlight w:val="none"/>
              </w:rPr>
              <w:t>应当提供请款函和可供政府审计并且符合税务规定的正式发票，否则甲方有权拒付相应款项直至</w:t>
            </w:r>
            <w:r>
              <w:rPr>
                <w:rFonts w:hint="eastAsia" w:ascii="宋体" w:hAnsi="宋体" w:cs="宋体"/>
                <w:color w:val="auto"/>
                <w:szCs w:val="21"/>
                <w:highlight w:val="none"/>
              </w:rPr>
              <w:t>成交供应商</w:t>
            </w:r>
            <w:r>
              <w:rPr>
                <w:rFonts w:hint="eastAsia"/>
                <w:color w:val="auto"/>
                <w:highlight w:val="none"/>
              </w:rPr>
              <w:t>能提供符合规定的发票为止。</w:t>
            </w:r>
            <w:bookmarkEnd w:id="46"/>
          </w:p>
          <w:p>
            <w:pPr>
              <w:spacing w:line="330" w:lineRule="exact"/>
              <w:ind w:firstLine="420" w:firstLineChars="200"/>
              <w:jc w:val="left"/>
              <w:rPr>
                <w:color w:val="auto"/>
                <w:highlight w:val="none"/>
              </w:rPr>
            </w:pPr>
            <w:r>
              <w:rPr>
                <w:rFonts w:hint="eastAsia"/>
                <w:color w:val="auto"/>
                <w:highlight w:val="none"/>
              </w:rPr>
              <w:t>6.合同执行中相关的一切税费均由</w:t>
            </w:r>
            <w:r>
              <w:rPr>
                <w:rFonts w:hint="eastAsia" w:ascii="宋体" w:hAnsi="宋体" w:cs="宋体"/>
                <w:color w:val="auto"/>
                <w:szCs w:val="21"/>
                <w:highlight w:val="none"/>
              </w:rPr>
              <w:t>成交供应商</w:t>
            </w:r>
            <w:r>
              <w:rPr>
                <w:rFonts w:hint="eastAsia"/>
                <w:color w:val="auto"/>
                <w:highlight w:val="none"/>
              </w:rPr>
              <w:t>负担。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7" w:hRule="atLeast"/>
          <w:jc w:val="center"/>
        </w:trPr>
        <w:tc>
          <w:tcPr>
            <w:tcW w:w="665" w:type="dxa"/>
            <w:vAlign w:val="center"/>
          </w:tcPr>
          <w:p>
            <w:pPr>
              <w:jc w:val="center"/>
              <w:rPr>
                <w:rFonts w:hint="eastAsia" w:ascii="宋体" w:hAnsi="宋体" w:eastAsia="宋体" w:cs="宋体"/>
                <w:color w:val="auto"/>
                <w:highlight w:val="none"/>
                <w:lang w:eastAsia="zh-CN"/>
              </w:rPr>
            </w:pPr>
            <w:r>
              <w:rPr>
                <w:rFonts w:hint="eastAsia" w:ascii="宋体" w:hAnsi="宋体" w:cs="宋体"/>
                <w:color w:val="auto"/>
                <w:highlight w:val="none"/>
              </w:rPr>
              <w:t>1</w:t>
            </w:r>
            <w:r>
              <w:rPr>
                <w:rFonts w:hint="eastAsia" w:ascii="宋体" w:hAnsi="宋体" w:cs="宋体"/>
                <w:color w:val="auto"/>
                <w:highlight w:val="none"/>
                <w:lang w:val="en-US" w:eastAsia="zh-CN"/>
              </w:rPr>
              <w:t>0</w:t>
            </w:r>
          </w:p>
        </w:tc>
        <w:tc>
          <w:tcPr>
            <w:tcW w:w="1312" w:type="dxa"/>
            <w:vAlign w:val="center"/>
          </w:tcPr>
          <w:p>
            <w:pPr>
              <w:jc w:val="center"/>
              <w:rPr>
                <w:rFonts w:ascii="宋体" w:hAnsi="宋体" w:cs="宋体"/>
                <w:color w:val="auto"/>
                <w:highlight w:val="none"/>
              </w:rPr>
            </w:pPr>
            <w:r>
              <w:rPr>
                <w:rFonts w:hint="eastAsia" w:ascii="宋体" w:hAnsi="宋体" w:cs="宋体"/>
                <w:color w:val="auto"/>
                <w:szCs w:val="21"/>
                <w:highlight w:val="none"/>
              </w:rPr>
              <w:t>履约保证金</w:t>
            </w:r>
          </w:p>
        </w:tc>
        <w:tc>
          <w:tcPr>
            <w:tcW w:w="7532" w:type="dxa"/>
            <w:vAlign w:val="center"/>
          </w:tcPr>
          <w:p>
            <w:pPr>
              <w:pStyle w:val="2"/>
              <w:spacing w:line="330" w:lineRule="exact"/>
              <w:ind w:left="0" w:firstLine="420" w:firstLineChars="200"/>
              <w:rPr>
                <w:rFonts w:ascii="宋体" w:hAnsi="宋体" w:cs="宋体"/>
                <w:color w:val="auto"/>
                <w:sz w:val="21"/>
                <w:szCs w:val="21"/>
                <w:highlight w:val="none"/>
                <w:lang w:bidi="ar"/>
              </w:rPr>
            </w:pPr>
            <w:r>
              <w:rPr>
                <w:rFonts w:hint="eastAsia" w:ascii="宋体" w:hAnsi="宋体" w:cs="宋体"/>
                <w:color w:val="auto"/>
                <w:kern w:val="2"/>
                <w:sz w:val="21"/>
                <w:szCs w:val="21"/>
                <w:highlight w:val="none"/>
              </w:rPr>
              <w:t>本合同签订以及具备实施条件后 15 个日历日内，成交供应商向采购人提供</w:t>
            </w:r>
            <w:r>
              <w:rPr>
                <w:rFonts w:hint="eastAsia" w:ascii="宋体" w:hAnsi="宋体" w:cs="宋体"/>
                <w:color w:val="auto"/>
                <w:kern w:val="2"/>
                <w:sz w:val="21"/>
                <w:szCs w:val="21"/>
                <w:highlight w:val="none"/>
                <w:u w:val="single"/>
              </w:rPr>
              <w:t xml:space="preserve">        </w:t>
            </w:r>
            <w:r>
              <w:rPr>
                <w:rFonts w:hint="eastAsia" w:ascii="宋体" w:hAnsi="宋体" w:cs="宋体"/>
                <w:color w:val="auto"/>
                <w:kern w:val="2"/>
                <w:sz w:val="21"/>
                <w:szCs w:val="21"/>
                <w:highlight w:val="none"/>
              </w:rPr>
              <w:t>合同总金额2%的履约保证金，履约保证金收取形式为银行保函，有效期不少于20个月。如成交供应商不按合同约定的内容履约，则扣除其履约金，履约金不足以赔偿损失的，按实际损失赔偿。合同期限满后，由成交供应商向采购人提供《广西壮族自治区政府采购项目合同验收书》及《政府采购项目履约保证金退付意见书》，采购人在收到合格材料后15个工作日内办理退还手续（不计利息），将因违约（如有）被扣除后剩余的履约金无息退还给成交供应商。成交供应商不及时办理退还履约金手续所造成的一切后果，由成交供应商自行承担。履约金因违约等原因被扣除，数额不足的，成交供应商应及时补足。</w:t>
            </w:r>
          </w:p>
        </w:tc>
      </w:tr>
    </w:tbl>
    <w:p>
      <w:pPr>
        <w:pStyle w:val="2"/>
        <w:ind w:left="0" w:leftChars="0" w:firstLine="0" w:firstLineChars="0"/>
        <w:rPr>
          <w:rFonts w:hint="eastAsia"/>
          <w:highlight w:val="none"/>
        </w:rPr>
      </w:pPr>
    </w:p>
    <w:p>
      <w:pPr>
        <w:pStyle w:val="2"/>
        <w:ind w:left="0" w:leftChars="0" w:firstLine="482" w:firstLineChars="200"/>
        <w:jc w:val="both"/>
        <w:rPr>
          <w:rFonts w:hint="eastAsia" w:ascii="宋体" w:hAnsi="宋体" w:cs="宋体"/>
          <w:b/>
          <w:bCs/>
          <w:szCs w:val="21"/>
          <w:highlight w:val="none"/>
        </w:rPr>
      </w:pPr>
    </w:p>
    <w:p>
      <w:pPr>
        <w:pStyle w:val="2"/>
        <w:ind w:left="0" w:leftChars="0" w:firstLine="422" w:firstLineChars="200"/>
        <w:jc w:val="both"/>
        <w:rPr>
          <w:rFonts w:hint="eastAsia" w:ascii="宋体" w:hAnsi="宋体" w:cs="宋体"/>
          <w:b/>
          <w:bCs/>
          <w:sz w:val="21"/>
          <w:szCs w:val="21"/>
          <w:highlight w:val="none"/>
        </w:rPr>
      </w:pPr>
      <w:r>
        <w:rPr>
          <w:rFonts w:hint="eastAsia" w:ascii="宋体" w:hAnsi="宋体" w:cs="宋体"/>
          <w:b/>
          <w:bCs/>
          <w:sz w:val="21"/>
          <w:szCs w:val="21"/>
          <w:highlight w:val="none"/>
        </w:rPr>
        <w:t>（</w:t>
      </w:r>
      <w:r>
        <w:rPr>
          <w:rFonts w:hint="eastAsia" w:ascii="宋体" w:hAnsi="宋体" w:cs="宋体"/>
          <w:b/>
          <w:bCs/>
          <w:sz w:val="21"/>
          <w:szCs w:val="21"/>
          <w:highlight w:val="none"/>
          <w:lang w:eastAsia="zh-CN"/>
        </w:rPr>
        <w:t>五</w:t>
      </w:r>
      <w:r>
        <w:rPr>
          <w:rFonts w:hint="eastAsia" w:ascii="宋体" w:hAnsi="宋体" w:cs="宋体"/>
          <w:b/>
          <w:bCs/>
          <w:sz w:val="21"/>
          <w:szCs w:val="21"/>
          <w:highlight w:val="none"/>
        </w:rPr>
        <w:t>）其他要求及说明</w:t>
      </w:r>
    </w:p>
    <w:p>
      <w:pPr>
        <w:pStyle w:val="2"/>
        <w:ind w:left="0" w:leftChars="0" w:firstLine="482" w:firstLineChars="200"/>
        <w:jc w:val="both"/>
        <w:rPr>
          <w:rFonts w:hint="eastAsia" w:ascii="宋体" w:hAnsi="宋体" w:cs="宋体"/>
          <w:b/>
          <w:bCs/>
          <w:szCs w:val="21"/>
          <w:highlight w:val="none"/>
        </w:rPr>
      </w:pPr>
    </w:p>
    <w:tbl>
      <w:tblPr>
        <w:tblStyle w:val="59"/>
        <w:tblW w:w="9510" w:type="dxa"/>
        <w:tblInd w:w="17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67"/>
        <w:gridCol w:w="1470"/>
        <w:gridCol w:w="737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trPr>
        <w:tc>
          <w:tcPr>
            <w:tcW w:w="667" w:type="dxa"/>
            <w:vAlign w:val="center"/>
          </w:tcPr>
          <w:p>
            <w:pPr>
              <w:pStyle w:val="2"/>
              <w:ind w:left="0"/>
              <w:jc w:val="center"/>
              <w:rPr>
                <w:rFonts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1</w:t>
            </w:r>
          </w:p>
        </w:tc>
        <w:tc>
          <w:tcPr>
            <w:tcW w:w="1470" w:type="dxa"/>
            <w:vAlign w:val="center"/>
          </w:tcPr>
          <w:p>
            <w:pPr>
              <w:pStyle w:val="2"/>
              <w:ind w:left="0"/>
              <w:jc w:val="center"/>
              <w:rPr>
                <w:rFonts w:asciiTheme="minorEastAsia" w:hAnsiTheme="minorEastAsia" w:eastAsiaTheme="minorEastAsia" w:cstheme="minorEastAsia"/>
                <w:b/>
                <w:bCs/>
                <w:sz w:val="21"/>
                <w:szCs w:val="21"/>
                <w:highlight w:val="none"/>
              </w:rPr>
            </w:pPr>
            <w:r>
              <w:rPr>
                <w:rFonts w:hint="eastAsia" w:asciiTheme="minorEastAsia" w:hAnsiTheme="minorEastAsia" w:eastAsiaTheme="minorEastAsia" w:cstheme="minorEastAsia"/>
                <w:sz w:val="21"/>
                <w:szCs w:val="21"/>
                <w:highlight w:val="none"/>
              </w:rPr>
              <w:t>演示要求</w:t>
            </w:r>
          </w:p>
        </w:tc>
        <w:tc>
          <w:tcPr>
            <w:tcW w:w="7373" w:type="dxa"/>
            <w:vAlign w:val="center"/>
          </w:tcPr>
          <w:p>
            <w:pPr>
              <w:pStyle w:val="2"/>
              <w:ind w:left="0"/>
              <w:rPr>
                <w:rFonts w:asciiTheme="minorEastAsia" w:hAnsiTheme="minorEastAsia" w:eastAsiaTheme="minorEastAsia" w:cstheme="minorEastAsia"/>
                <w:b/>
                <w:bCs/>
                <w:sz w:val="21"/>
                <w:szCs w:val="21"/>
                <w:highlight w:val="none"/>
              </w:rPr>
            </w:pPr>
            <w:r>
              <w:rPr>
                <w:rFonts w:hint="eastAsia" w:asciiTheme="minorEastAsia" w:hAnsiTheme="minorEastAsia" w:eastAsiaTheme="minorEastAsia" w:cstheme="minorEastAsia"/>
                <w:sz w:val="21"/>
                <w:szCs w:val="21"/>
                <w:highlight w:val="none"/>
              </w:rPr>
              <w:sym w:font="Wingdings 2" w:char="F052"/>
            </w:r>
            <w:r>
              <w:rPr>
                <w:rFonts w:hint="eastAsia" w:asciiTheme="minorEastAsia" w:hAnsiTheme="minorEastAsia" w:eastAsiaTheme="minorEastAsia" w:cstheme="minorEastAsia"/>
                <w:sz w:val="21"/>
                <w:szCs w:val="21"/>
                <w:highlight w:val="none"/>
              </w:rPr>
              <w:t>无要求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atLeast"/>
        </w:trPr>
        <w:tc>
          <w:tcPr>
            <w:tcW w:w="667" w:type="dxa"/>
            <w:vAlign w:val="center"/>
          </w:tcPr>
          <w:p>
            <w:pPr>
              <w:pStyle w:val="2"/>
              <w:ind w:left="0"/>
              <w:jc w:val="center"/>
              <w:rPr>
                <w:rFonts w:ascii="宋体" w:hAnsi="宋体" w:cs="宋体"/>
                <w:sz w:val="21"/>
                <w:szCs w:val="21"/>
                <w:highlight w:val="none"/>
              </w:rPr>
            </w:pPr>
            <w:r>
              <w:rPr>
                <w:rFonts w:hint="eastAsia" w:ascii="宋体" w:hAnsi="宋体" w:cs="宋体"/>
                <w:sz w:val="21"/>
                <w:szCs w:val="21"/>
                <w:highlight w:val="none"/>
              </w:rPr>
              <w:t>2</w:t>
            </w:r>
          </w:p>
        </w:tc>
        <w:tc>
          <w:tcPr>
            <w:tcW w:w="1470" w:type="dxa"/>
            <w:vAlign w:val="center"/>
          </w:tcPr>
          <w:p>
            <w:pPr>
              <w:pStyle w:val="2"/>
              <w:ind w:left="0"/>
              <w:jc w:val="center"/>
              <w:rPr>
                <w:rFonts w:ascii="宋体" w:hAnsi="宋体" w:cs="宋体"/>
                <w:b/>
                <w:bCs/>
                <w:sz w:val="21"/>
                <w:szCs w:val="21"/>
                <w:highlight w:val="none"/>
              </w:rPr>
            </w:pPr>
            <w:r>
              <w:rPr>
                <w:rFonts w:ascii="宋体" w:hAnsi="宋体" w:cs="宋体"/>
                <w:sz w:val="21"/>
                <w:szCs w:val="21"/>
                <w:highlight w:val="none"/>
              </w:rPr>
              <w:t>本项目附件</w:t>
            </w:r>
          </w:p>
        </w:tc>
        <w:tc>
          <w:tcPr>
            <w:tcW w:w="7373" w:type="dxa"/>
            <w:vAlign w:val="center"/>
          </w:tcPr>
          <w:p>
            <w:pPr>
              <w:pStyle w:val="2"/>
              <w:ind w:left="0"/>
              <w:rPr>
                <w:rFonts w:ascii="宋体" w:hAnsi="宋体" w:cs="宋体"/>
                <w:b/>
                <w:bCs/>
                <w:sz w:val="21"/>
                <w:szCs w:val="21"/>
                <w:highlight w:val="none"/>
              </w:rPr>
            </w:pPr>
            <w:r>
              <w:rPr>
                <w:rFonts w:hint="eastAsia" w:asciiTheme="minorEastAsia" w:hAnsiTheme="minorEastAsia" w:eastAsiaTheme="minorEastAsia" w:cstheme="minorEastAsia"/>
                <w:sz w:val="21"/>
                <w:szCs w:val="21"/>
                <w:highlight w:val="none"/>
              </w:rPr>
              <w:sym w:font="Wingdings 2" w:char="F052"/>
            </w:r>
            <w:r>
              <w:rPr>
                <w:rFonts w:ascii="宋体" w:hAnsi="宋体" w:cs="宋体"/>
                <w:sz w:val="21"/>
                <w:szCs w:val="21"/>
                <w:highlight w:val="none"/>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4" w:hRule="atLeast"/>
        </w:trPr>
        <w:tc>
          <w:tcPr>
            <w:tcW w:w="667" w:type="dxa"/>
            <w:vAlign w:val="center"/>
          </w:tcPr>
          <w:p>
            <w:pPr>
              <w:pStyle w:val="2"/>
              <w:ind w:left="0"/>
              <w:jc w:val="center"/>
              <w:rPr>
                <w:rFonts w:ascii="宋体" w:hAnsi="宋体" w:cs="宋体"/>
                <w:sz w:val="21"/>
                <w:szCs w:val="21"/>
                <w:highlight w:val="none"/>
              </w:rPr>
            </w:pPr>
            <w:r>
              <w:rPr>
                <w:rFonts w:hint="eastAsia" w:ascii="宋体" w:hAnsi="宋体" w:cs="宋体"/>
                <w:sz w:val="21"/>
                <w:szCs w:val="21"/>
                <w:highlight w:val="none"/>
              </w:rPr>
              <w:t>3</w:t>
            </w:r>
          </w:p>
        </w:tc>
        <w:tc>
          <w:tcPr>
            <w:tcW w:w="1470" w:type="dxa"/>
            <w:vAlign w:val="center"/>
          </w:tcPr>
          <w:p>
            <w:pPr>
              <w:pStyle w:val="2"/>
              <w:ind w:left="0"/>
              <w:jc w:val="center"/>
              <w:rPr>
                <w:rFonts w:ascii="宋体" w:hAnsi="宋体" w:cs="宋体"/>
                <w:b/>
                <w:bCs/>
                <w:sz w:val="21"/>
                <w:szCs w:val="21"/>
                <w:highlight w:val="none"/>
              </w:rPr>
            </w:pPr>
            <w:r>
              <w:rPr>
                <w:rFonts w:ascii="宋体" w:hAnsi="宋体" w:cs="宋体"/>
                <w:sz w:val="21"/>
                <w:szCs w:val="21"/>
                <w:highlight w:val="none"/>
              </w:rPr>
              <w:t>本项目图纸</w:t>
            </w:r>
          </w:p>
        </w:tc>
        <w:tc>
          <w:tcPr>
            <w:tcW w:w="7373" w:type="dxa"/>
            <w:vAlign w:val="center"/>
          </w:tcPr>
          <w:p>
            <w:pPr>
              <w:pStyle w:val="2"/>
              <w:ind w:left="0"/>
              <w:rPr>
                <w:rFonts w:ascii="宋体" w:hAnsi="宋体" w:cs="宋体"/>
                <w:b/>
                <w:bCs/>
                <w:sz w:val="21"/>
                <w:szCs w:val="21"/>
                <w:highlight w:val="none"/>
              </w:rPr>
            </w:pPr>
            <w:r>
              <w:rPr>
                <w:rFonts w:hint="eastAsia" w:asciiTheme="minorEastAsia" w:hAnsiTheme="minorEastAsia" w:eastAsiaTheme="minorEastAsia" w:cstheme="minorEastAsia"/>
                <w:sz w:val="21"/>
                <w:szCs w:val="21"/>
                <w:highlight w:val="none"/>
              </w:rPr>
              <w:sym w:font="Wingdings 2" w:char="F052"/>
            </w:r>
            <w:r>
              <w:rPr>
                <w:rFonts w:ascii="宋体" w:hAnsi="宋体" w:cs="宋体"/>
                <w:sz w:val="21"/>
                <w:szCs w:val="21"/>
                <w:highlight w:val="none"/>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7" w:type="dxa"/>
          </w:tcPr>
          <w:p>
            <w:pPr>
              <w:pStyle w:val="2"/>
              <w:ind w:left="0"/>
              <w:jc w:val="center"/>
              <w:rPr>
                <w:rFonts w:ascii="宋体" w:hAnsi="宋体" w:cs="宋体"/>
                <w:sz w:val="21"/>
                <w:szCs w:val="21"/>
                <w:highlight w:val="none"/>
              </w:rPr>
            </w:pPr>
          </w:p>
          <w:p>
            <w:pPr>
              <w:pStyle w:val="2"/>
              <w:ind w:left="0"/>
              <w:jc w:val="center"/>
              <w:rPr>
                <w:rFonts w:ascii="宋体" w:hAnsi="宋体" w:cs="宋体"/>
                <w:sz w:val="21"/>
                <w:szCs w:val="21"/>
                <w:highlight w:val="none"/>
              </w:rPr>
            </w:pPr>
            <w:r>
              <w:rPr>
                <w:rFonts w:hint="eastAsia" w:ascii="宋体" w:hAnsi="宋体" w:cs="宋体"/>
                <w:sz w:val="21"/>
                <w:szCs w:val="21"/>
                <w:highlight w:val="none"/>
              </w:rPr>
              <w:t>4</w:t>
            </w:r>
          </w:p>
        </w:tc>
        <w:tc>
          <w:tcPr>
            <w:tcW w:w="1470" w:type="dxa"/>
          </w:tcPr>
          <w:p>
            <w:pPr>
              <w:pStyle w:val="2"/>
              <w:ind w:left="0"/>
              <w:jc w:val="center"/>
              <w:rPr>
                <w:rFonts w:ascii="宋体" w:hAnsi="宋体" w:cs="宋体"/>
                <w:sz w:val="21"/>
                <w:szCs w:val="21"/>
                <w:highlight w:val="none"/>
              </w:rPr>
            </w:pPr>
          </w:p>
          <w:p>
            <w:pPr>
              <w:pStyle w:val="2"/>
              <w:ind w:left="0"/>
              <w:jc w:val="center"/>
              <w:rPr>
                <w:rFonts w:ascii="宋体" w:hAnsi="宋体" w:cs="宋体"/>
                <w:b/>
                <w:bCs/>
                <w:sz w:val="21"/>
                <w:szCs w:val="21"/>
                <w:highlight w:val="none"/>
              </w:rPr>
            </w:pPr>
            <w:r>
              <w:rPr>
                <w:rFonts w:ascii="宋体" w:hAnsi="宋体" w:cs="宋体"/>
                <w:sz w:val="21"/>
                <w:szCs w:val="21"/>
                <w:highlight w:val="none"/>
              </w:rPr>
              <w:t>其他</w:t>
            </w:r>
          </w:p>
        </w:tc>
        <w:tc>
          <w:tcPr>
            <w:tcW w:w="7373" w:type="dxa"/>
          </w:tcPr>
          <w:p>
            <w:pPr>
              <w:pStyle w:val="2"/>
              <w:ind w:left="0"/>
              <w:rPr>
                <w:rFonts w:ascii="宋体" w:hAnsi="宋体" w:cs="宋体"/>
                <w:sz w:val="21"/>
                <w:szCs w:val="21"/>
                <w:highlight w:val="none"/>
              </w:rPr>
            </w:pPr>
            <w:r>
              <w:rPr>
                <w:rFonts w:ascii="宋体" w:hAnsi="宋体" w:cs="宋体"/>
                <w:sz w:val="21"/>
                <w:szCs w:val="21"/>
                <w:highlight w:val="none"/>
              </w:rPr>
              <w:t>（1）其他未尽事宜由供需双方在采购合同中详细约定。</w:t>
            </w:r>
          </w:p>
          <w:p>
            <w:pPr>
              <w:pStyle w:val="2"/>
              <w:ind w:left="0"/>
              <w:rPr>
                <w:rFonts w:ascii="宋体" w:hAnsi="宋体" w:cs="宋体"/>
                <w:b/>
                <w:bCs/>
                <w:sz w:val="21"/>
                <w:szCs w:val="21"/>
                <w:highlight w:val="none"/>
              </w:rPr>
            </w:pPr>
            <w:r>
              <w:rPr>
                <w:rFonts w:ascii="宋体" w:hAnsi="宋体" w:cs="宋体"/>
                <w:sz w:val="21"/>
                <w:szCs w:val="21"/>
                <w:highlight w:val="none"/>
              </w:rPr>
              <w:t>（2）标注“▲”的条款或要求系指实质性条款或实质性要求，必须满足，如存在负偏离将导致响应被否决。</w:t>
            </w:r>
          </w:p>
        </w:tc>
      </w:tr>
    </w:tbl>
    <w:p>
      <w:pPr>
        <w:pStyle w:val="8"/>
        <w:ind w:firstLine="0"/>
        <w:rPr>
          <w:rFonts w:ascii="宋体" w:hAnsi="宋体" w:cs="宋体"/>
          <w:sz w:val="36"/>
          <w:szCs w:val="36"/>
          <w:highlight w:val="none"/>
        </w:rPr>
      </w:pPr>
    </w:p>
    <w:p>
      <w:pPr>
        <w:pStyle w:val="8"/>
        <w:ind w:firstLine="0"/>
        <w:rPr>
          <w:rFonts w:ascii="宋体" w:hAnsi="宋体" w:cs="宋体"/>
          <w:sz w:val="36"/>
          <w:szCs w:val="36"/>
          <w:highlight w:val="none"/>
        </w:rPr>
      </w:pPr>
    </w:p>
    <w:p>
      <w:pPr>
        <w:pStyle w:val="8"/>
        <w:ind w:firstLine="0"/>
        <w:rPr>
          <w:rFonts w:ascii="宋体" w:hAnsi="宋体" w:cs="宋体"/>
          <w:sz w:val="36"/>
          <w:szCs w:val="36"/>
          <w:highlight w:val="none"/>
        </w:rPr>
      </w:pPr>
    </w:p>
    <w:p>
      <w:pPr>
        <w:pStyle w:val="8"/>
        <w:ind w:firstLine="0"/>
        <w:rPr>
          <w:rFonts w:ascii="宋体" w:hAnsi="宋体" w:cs="宋体"/>
          <w:sz w:val="36"/>
          <w:szCs w:val="36"/>
          <w:highlight w:val="none"/>
        </w:rPr>
      </w:pPr>
    </w:p>
    <w:p>
      <w:pPr>
        <w:pStyle w:val="8"/>
        <w:ind w:firstLine="0"/>
        <w:rPr>
          <w:rFonts w:ascii="宋体" w:hAnsi="宋体" w:cs="宋体"/>
          <w:sz w:val="36"/>
          <w:szCs w:val="36"/>
          <w:highlight w:val="none"/>
        </w:rPr>
      </w:pPr>
    </w:p>
    <w:p>
      <w:pPr>
        <w:pStyle w:val="8"/>
        <w:ind w:firstLine="0"/>
        <w:rPr>
          <w:rFonts w:ascii="宋体" w:hAnsi="宋体" w:cs="宋体"/>
          <w:sz w:val="36"/>
          <w:szCs w:val="36"/>
          <w:highlight w:val="none"/>
        </w:rPr>
      </w:pPr>
    </w:p>
    <w:p>
      <w:pPr>
        <w:pStyle w:val="8"/>
        <w:ind w:firstLine="0"/>
        <w:rPr>
          <w:rFonts w:ascii="宋体" w:hAnsi="宋体" w:cs="宋体"/>
          <w:sz w:val="36"/>
          <w:szCs w:val="36"/>
          <w:highlight w:val="none"/>
        </w:rPr>
      </w:pPr>
    </w:p>
    <w:p>
      <w:pPr>
        <w:pStyle w:val="8"/>
        <w:ind w:firstLine="0"/>
        <w:rPr>
          <w:rFonts w:ascii="宋体" w:hAnsi="宋体" w:cs="宋体"/>
          <w:sz w:val="36"/>
          <w:szCs w:val="36"/>
          <w:highlight w:val="none"/>
        </w:rPr>
      </w:pPr>
    </w:p>
    <w:p>
      <w:pPr>
        <w:pStyle w:val="8"/>
        <w:ind w:firstLine="0"/>
        <w:rPr>
          <w:rFonts w:ascii="宋体" w:hAnsi="宋体" w:cs="宋体"/>
          <w:sz w:val="36"/>
          <w:szCs w:val="36"/>
          <w:highlight w:val="none"/>
        </w:rPr>
      </w:pPr>
    </w:p>
    <w:p>
      <w:pPr>
        <w:pStyle w:val="8"/>
        <w:ind w:firstLine="0"/>
        <w:rPr>
          <w:rFonts w:ascii="宋体" w:hAnsi="宋体" w:cs="宋体"/>
          <w:sz w:val="36"/>
          <w:szCs w:val="36"/>
          <w:highlight w:val="none"/>
        </w:rPr>
      </w:pPr>
    </w:p>
    <w:p>
      <w:pPr>
        <w:pStyle w:val="3"/>
        <w:keepNext w:val="0"/>
        <w:keepLines w:val="0"/>
        <w:kinsoku w:val="0"/>
        <w:spacing w:before="0" w:after="0" w:line="400" w:lineRule="exact"/>
        <w:jc w:val="center"/>
        <w:rPr>
          <w:rFonts w:hint="eastAsia" w:ascii="宋体" w:hAnsi="宋体" w:cs="宋体"/>
          <w:bCs w:val="0"/>
          <w:sz w:val="36"/>
          <w:szCs w:val="36"/>
          <w:highlight w:val="none"/>
        </w:rPr>
      </w:pPr>
    </w:p>
    <w:p>
      <w:pPr>
        <w:pStyle w:val="3"/>
        <w:keepNext w:val="0"/>
        <w:keepLines w:val="0"/>
        <w:kinsoku w:val="0"/>
        <w:spacing w:before="0" w:after="0" w:line="400" w:lineRule="exact"/>
        <w:jc w:val="center"/>
        <w:rPr>
          <w:rFonts w:ascii="宋体" w:hAnsi="宋体" w:cs="宋体"/>
          <w:bCs w:val="0"/>
          <w:sz w:val="36"/>
          <w:szCs w:val="36"/>
          <w:highlight w:val="none"/>
        </w:rPr>
      </w:pPr>
      <w:r>
        <w:rPr>
          <w:rFonts w:hint="eastAsia" w:ascii="宋体" w:hAnsi="宋体" w:cs="宋体"/>
          <w:bCs w:val="0"/>
          <w:sz w:val="36"/>
          <w:szCs w:val="36"/>
          <w:highlight w:val="none"/>
        </w:rPr>
        <w:t>第四章  响应文件格式</w:t>
      </w:r>
      <w:bookmarkEnd w:id="42"/>
    </w:p>
    <w:p>
      <w:pPr>
        <w:kinsoku w:val="0"/>
        <w:spacing w:line="500" w:lineRule="exact"/>
        <w:rPr>
          <w:rFonts w:ascii="宋体" w:hAnsi="宋体" w:cs="宋体"/>
          <w:szCs w:val="21"/>
          <w:highlight w:val="none"/>
        </w:rPr>
      </w:pPr>
    </w:p>
    <w:p>
      <w:pPr>
        <w:pStyle w:val="308"/>
        <w:kinsoku w:val="0"/>
        <w:rPr>
          <w:rFonts w:ascii="宋体" w:hAnsi="宋体" w:cs="宋体"/>
          <w:szCs w:val="21"/>
          <w:highlight w:val="none"/>
        </w:rPr>
      </w:pPr>
    </w:p>
    <w:p>
      <w:pPr>
        <w:kinsoku w:val="0"/>
        <w:snapToGrid w:val="0"/>
        <w:spacing w:before="156" w:beforeLines="50" w:after="50" w:line="360" w:lineRule="exact"/>
        <w:outlineLvl w:val="1"/>
        <w:rPr>
          <w:rFonts w:ascii="宋体" w:hAnsi="宋体" w:cs="宋体"/>
          <w:bCs/>
          <w:sz w:val="28"/>
          <w:szCs w:val="28"/>
          <w:highlight w:val="none"/>
        </w:rPr>
      </w:pPr>
      <w:r>
        <w:rPr>
          <w:rFonts w:hint="eastAsia" w:ascii="宋体" w:hAnsi="宋体" w:cs="宋体"/>
          <w:bCs/>
          <w:sz w:val="28"/>
          <w:szCs w:val="28"/>
          <w:highlight w:val="none"/>
        </w:rPr>
        <w:t>一、电子备份响应文件外包装封面及响应文件封面格式</w:t>
      </w:r>
    </w:p>
    <w:p>
      <w:pPr>
        <w:kinsoku w:val="0"/>
        <w:snapToGrid w:val="0"/>
        <w:spacing w:before="156" w:beforeLines="50" w:after="50" w:line="360" w:lineRule="exact"/>
        <w:rPr>
          <w:rFonts w:ascii="宋体" w:hAnsi="宋体" w:cs="宋体"/>
          <w:b/>
          <w:szCs w:val="21"/>
          <w:highlight w:val="none"/>
        </w:rPr>
      </w:pPr>
    </w:p>
    <w:p>
      <w:pPr>
        <w:pStyle w:val="308"/>
        <w:kinsoku w:val="0"/>
        <w:rPr>
          <w:highlight w:val="none"/>
        </w:rPr>
      </w:pPr>
    </w:p>
    <w:p>
      <w:pPr>
        <w:kinsoku w:val="0"/>
        <w:snapToGrid w:val="0"/>
        <w:spacing w:before="156" w:beforeLines="50" w:after="50" w:line="360" w:lineRule="exact"/>
        <w:jc w:val="center"/>
        <w:rPr>
          <w:rFonts w:ascii="宋体" w:hAnsi="宋体" w:cs="宋体"/>
          <w:szCs w:val="21"/>
          <w:highlight w:val="none"/>
        </w:rPr>
      </w:pPr>
      <w:r>
        <w:rPr>
          <w:rFonts w:hint="eastAsia" w:ascii="宋体" w:hAnsi="宋体" w:cs="宋体"/>
          <w:b/>
          <w:sz w:val="24"/>
          <w:highlight w:val="none"/>
        </w:rPr>
        <w:t>（一）响应文件的外包装封面格式</w:t>
      </w:r>
      <w:r>
        <w:rPr>
          <w:rFonts w:hint="eastAsia" w:ascii="宋体" w:hAnsi="宋体" w:cs="宋体"/>
          <w:szCs w:val="21"/>
          <w:highlight w:val="none"/>
        </w:rPr>
        <w:t xml:space="preserve"> </w:t>
      </w:r>
    </w:p>
    <w:p>
      <w:pPr>
        <w:kinsoku w:val="0"/>
        <w:snapToGrid w:val="0"/>
        <w:spacing w:before="156" w:beforeLines="50" w:after="50" w:line="360" w:lineRule="exact"/>
        <w:jc w:val="center"/>
        <w:rPr>
          <w:rFonts w:ascii="宋体" w:hAnsi="宋体" w:cs="宋体"/>
          <w:sz w:val="32"/>
          <w:szCs w:val="32"/>
          <w:highlight w:val="none"/>
        </w:rPr>
      </w:pPr>
    </w:p>
    <w:p>
      <w:pPr>
        <w:kinsoku w:val="0"/>
        <w:snapToGrid w:val="0"/>
        <w:spacing w:before="156" w:beforeLines="50" w:after="50" w:line="360" w:lineRule="exact"/>
        <w:jc w:val="center"/>
        <w:rPr>
          <w:rFonts w:ascii="宋体" w:hAnsi="宋体" w:cs="宋体"/>
          <w:sz w:val="32"/>
          <w:szCs w:val="32"/>
          <w:highlight w:val="none"/>
        </w:rPr>
      </w:pPr>
      <w:r>
        <w:rPr>
          <w:rFonts w:hint="eastAsia" w:ascii="宋体" w:hAnsi="宋体" w:cs="宋体"/>
          <w:sz w:val="32"/>
          <w:szCs w:val="32"/>
          <w:highlight w:val="none"/>
        </w:rPr>
        <w:t>响应文件</w:t>
      </w:r>
    </w:p>
    <w:p>
      <w:pPr>
        <w:kinsoku w:val="0"/>
        <w:snapToGrid w:val="0"/>
        <w:spacing w:before="156" w:beforeLines="50" w:after="50" w:line="360" w:lineRule="exact"/>
        <w:ind w:firstLine="630" w:firstLineChars="300"/>
        <w:rPr>
          <w:rFonts w:ascii="宋体" w:hAnsi="宋体" w:cs="宋体"/>
          <w:bCs/>
          <w:szCs w:val="21"/>
          <w:highlight w:val="none"/>
          <w:u w:val="single"/>
        </w:rPr>
      </w:pPr>
      <w:r>
        <w:rPr>
          <w:rFonts w:hint="eastAsia" w:ascii="宋体" w:hAnsi="宋体" w:cs="宋体"/>
          <w:szCs w:val="21"/>
          <w:highlight w:val="none"/>
        </w:rPr>
        <w:t>项目名称</w:t>
      </w:r>
      <w:r>
        <w:rPr>
          <w:rFonts w:hint="eastAsia" w:ascii="宋体" w:hAnsi="宋体" w:cs="宋体"/>
          <w:bCs/>
          <w:szCs w:val="21"/>
          <w:highlight w:val="none"/>
        </w:rPr>
        <w:t>：</w:t>
      </w:r>
      <w:r>
        <w:rPr>
          <w:rFonts w:hint="eastAsia" w:ascii="宋体" w:hAnsi="宋体" w:cs="宋体"/>
          <w:bCs/>
          <w:szCs w:val="21"/>
          <w:highlight w:val="none"/>
          <w:u w:val="single"/>
        </w:rPr>
        <w:t xml:space="preserve">                       </w:t>
      </w:r>
    </w:p>
    <w:p>
      <w:pPr>
        <w:kinsoku w:val="0"/>
        <w:snapToGrid w:val="0"/>
        <w:spacing w:before="156" w:beforeLines="50" w:after="50" w:line="360" w:lineRule="exact"/>
        <w:ind w:firstLine="630" w:firstLineChars="300"/>
        <w:rPr>
          <w:rFonts w:ascii="宋体" w:hAnsi="宋体" w:cs="宋体"/>
          <w:bCs/>
          <w:szCs w:val="21"/>
          <w:highlight w:val="none"/>
          <w:u w:val="single"/>
        </w:rPr>
      </w:pPr>
      <w:r>
        <w:rPr>
          <w:rFonts w:hint="eastAsia" w:ascii="宋体" w:hAnsi="宋体" w:cs="宋体"/>
          <w:szCs w:val="21"/>
          <w:highlight w:val="none"/>
        </w:rPr>
        <w:t>项目编号</w:t>
      </w:r>
      <w:r>
        <w:rPr>
          <w:rFonts w:hint="eastAsia" w:ascii="宋体" w:hAnsi="宋体" w:cs="宋体"/>
          <w:bCs/>
          <w:szCs w:val="21"/>
          <w:highlight w:val="none"/>
        </w:rPr>
        <w:t>：</w:t>
      </w:r>
      <w:r>
        <w:rPr>
          <w:rFonts w:hint="eastAsia" w:ascii="宋体" w:hAnsi="宋体" w:cs="宋体"/>
          <w:bCs/>
          <w:szCs w:val="21"/>
          <w:highlight w:val="none"/>
          <w:u w:val="single"/>
        </w:rPr>
        <w:t xml:space="preserve">         </w:t>
      </w:r>
    </w:p>
    <w:p>
      <w:pPr>
        <w:kinsoku w:val="0"/>
        <w:snapToGrid w:val="0"/>
        <w:spacing w:before="156" w:beforeLines="50" w:after="50" w:line="360" w:lineRule="exact"/>
        <w:ind w:firstLine="632" w:firstLineChars="300"/>
        <w:rPr>
          <w:rFonts w:ascii="宋体" w:hAnsi="宋体" w:cs="宋体"/>
          <w:bCs/>
          <w:szCs w:val="21"/>
          <w:highlight w:val="none"/>
        </w:rPr>
      </w:pPr>
      <w:r>
        <w:rPr>
          <w:rFonts w:hint="eastAsia" w:ascii="宋体" w:hAnsi="宋体" w:cs="宋体"/>
          <w:b/>
          <w:bCs/>
          <w:szCs w:val="21"/>
          <w:highlight w:val="none"/>
        </w:rPr>
        <w:t xml:space="preserve">响应文件名称：电子备份响应文件  </w:t>
      </w:r>
      <w:r>
        <w:rPr>
          <w:rFonts w:hint="eastAsia" w:ascii="宋体" w:hAnsi="宋体" w:cs="宋体"/>
          <w:b/>
          <w:bCs/>
          <w:szCs w:val="21"/>
          <w:highlight w:val="none"/>
          <w:u w:val="single"/>
        </w:rPr>
        <w:t xml:space="preserve">     </w:t>
      </w:r>
      <w:r>
        <w:rPr>
          <w:rFonts w:hint="eastAsia" w:ascii="宋体" w:hAnsi="宋体" w:cs="宋体"/>
          <w:bCs/>
          <w:szCs w:val="21"/>
          <w:highlight w:val="none"/>
          <w:u w:val="single"/>
        </w:rPr>
        <w:t xml:space="preserve">   </w:t>
      </w:r>
    </w:p>
    <w:p>
      <w:pPr>
        <w:pStyle w:val="8"/>
        <w:kinsoku w:val="0"/>
        <w:snapToGrid w:val="0"/>
        <w:spacing w:before="50" w:after="50" w:line="440" w:lineRule="exact"/>
        <w:ind w:firstLine="630" w:firstLineChars="300"/>
        <w:rPr>
          <w:rFonts w:ascii="宋体" w:hAnsi="宋体" w:cs="宋体"/>
          <w:bCs/>
          <w:szCs w:val="21"/>
          <w:highlight w:val="none"/>
          <w:u w:val="single"/>
        </w:rPr>
      </w:pPr>
      <w:r>
        <w:rPr>
          <w:rFonts w:hint="eastAsia" w:ascii="宋体" w:hAnsi="宋体" w:cs="宋体"/>
          <w:szCs w:val="21"/>
          <w:highlight w:val="none"/>
        </w:rPr>
        <w:t>投标人名称</w:t>
      </w:r>
      <w:r>
        <w:rPr>
          <w:rFonts w:hint="eastAsia" w:ascii="宋体" w:hAnsi="宋体" w:cs="宋体"/>
          <w:bCs/>
          <w:szCs w:val="21"/>
          <w:highlight w:val="none"/>
        </w:rPr>
        <w:t>：（盖章）</w:t>
      </w:r>
      <w:r>
        <w:rPr>
          <w:rFonts w:hint="eastAsia" w:ascii="宋体" w:hAnsi="宋体" w:cs="宋体"/>
          <w:bCs/>
          <w:szCs w:val="21"/>
          <w:highlight w:val="none"/>
          <w:u w:val="single"/>
        </w:rPr>
        <w:t xml:space="preserve">   </w:t>
      </w:r>
    </w:p>
    <w:p>
      <w:pPr>
        <w:pStyle w:val="8"/>
        <w:kinsoku w:val="0"/>
        <w:snapToGrid w:val="0"/>
        <w:spacing w:before="50" w:after="50" w:line="440" w:lineRule="exact"/>
        <w:rPr>
          <w:rFonts w:ascii="宋体" w:hAnsi="宋体" w:cs="宋体"/>
          <w:bCs/>
          <w:szCs w:val="21"/>
          <w:highlight w:val="none"/>
          <w:u w:val="single"/>
        </w:rPr>
      </w:pPr>
      <w:r>
        <w:rPr>
          <w:rFonts w:hint="eastAsia" w:ascii="宋体" w:hAnsi="宋体" w:cs="宋体"/>
          <w:bCs/>
          <w:szCs w:val="21"/>
          <w:highlight w:val="none"/>
        </w:rPr>
        <w:t xml:space="preserve">  投标人地址：  </w:t>
      </w:r>
      <w:r>
        <w:rPr>
          <w:rFonts w:hint="eastAsia" w:ascii="宋体" w:hAnsi="宋体" w:cs="宋体"/>
          <w:bCs/>
          <w:szCs w:val="21"/>
          <w:highlight w:val="none"/>
          <w:u w:val="single"/>
        </w:rPr>
        <w:t xml:space="preserve">           </w:t>
      </w:r>
    </w:p>
    <w:p>
      <w:pPr>
        <w:pStyle w:val="8"/>
        <w:kinsoku w:val="0"/>
        <w:snapToGrid w:val="0"/>
        <w:spacing w:before="50" w:after="50" w:line="360" w:lineRule="exact"/>
        <w:ind w:firstLine="630" w:firstLineChars="300"/>
        <w:rPr>
          <w:rFonts w:ascii="宋体" w:hAnsi="宋体" w:cs="宋体"/>
          <w:bCs/>
          <w:szCs w:val="21"/>
          <w:highlight w:val="none"/>
        </w:rPr>
      </w:pPr>
      <w:r>
        <w:rPr>
          <w:rFonts w:hint="eastAsia" w:ascii="宋体" w:hAnsi="宋体" w:cs="宋体"/>
          <w:bCs/>
          <w:szCs w:val="21"/>
          <w:highlight w:val="none"/>
        </w:rPr>
        <w:t>（响应文件开启会开始时才能启封）</w:t>
      </w:r>
    </w:p>
    <w:p>
      <w:pPr>
        <w:pStyle w:val="8"/>
        <w:kinsoku w:val="0"/>
        <w:snapToGrid w:val="0"/>
        <w:spacing w:before="50" w:after="50" w:line="360" w:lineRule="exact"/>
        <w:ind w:firstLine="0"/>
        <w:rPr>
          <w:rFonts w:ascii="宋体" w:hAnsi="宋体" w:cs="宋体"/>
          <w:bCs/>
          <w:szCs w:val="21"/>
          <w:highlight w:val="none"/>
          <w:u w:val="single"/>
        </w:rPr>
      </w:pPr>
      <w:r>
        <w:rPr>
          <w:rFonts w:hint="eastAsia" w:ascii="宋体" w:hAnsi="宋体" w:cs="宋体"/>
          <w:bCs/>
          <w:szCs w:val="21"/>
          <w:highlight w:val="none"/>
          <w:u w:val="single"/>
        </w:rPr>
        <w:t xml:space="preserve">                                                                                                     </w:t>
      </w:r>
    </w:p>
    <w:p>
      <w:pPr>
        <w:kinsoku w:val="0"/>
        <w:snapToGrid w:val="0"/>
        <w:spacing w:before="156" w:beforeLines="50" w:after="50" w:line="360" w:lineRule="exact"/>
        <w:jc w:val="center"/>
        <w:outlineLvl w:val="1"/>
        <w:rPr>
          <w:rFonts w:ascii="宋体" w:hAnsi="宋体" w:cs="宋体"/>
          <w:szCs w:val="21"/>
          <w:highlight w:val="none"/>
        </w:rPr>
      </w:pPr>
      <w:r>
        <w:rPr>
          <w:rFonts w:hint="eastAsia" w:ascii="宋体" w:hAnsi="宋体" w:cs="宋体"/>
          <w:szCs w:val="21"/>
          <w:highlight w:val="none"/>
        </w:rPr>
        <w:t xml:space="preserve">                                                     年      月      日</w:t>
      </w:r>
    </w:p>
    <w:p>
      <w:pPr>
        <w:kinsoku w:val="0"/>
        <w:snapToGrid w:val="0"/>
        <w:spacing w:after="50" w:line="360" w:lineRule="exact"/>
        <w:rPr>
          <w:rFonts w:ascii="宋体"/>
          <w:szCs w:val="21"/>
          <w:highlight w:val="none"/>
        </w:rPr>
      </w:pPr>
      <w:r>
        <w:rPr>
          <w:highlight w:val="none"/>
        </w:rPr>
        <mc:AlternateContent>
          <mc:Choice Requires="wps">
            <w:drawing>
              <wp:anchor distT="0" distB="0" distL="114300" distR="114300" simplePos="0" relativeHeight="251661312" behindDoc="0" locked="0" layoutInCell="1" allowOverlap="1">
                <wp:simplePos x="0" y="0"/>
                <wp:positionH relativeFrom="column">
                  <wp:posOffset>19050</wp:posOffset>
                </wp:positionH>
                <wp:positionV relativeFrom="paragraph">
                  <wp:posOffset>148590</wp:posOffset>
                </wp:positionV>
                <wp:extent cx="6242050" cy="22225"/>
                <wp:effectExtent l="0" t="4445" r="6350" b="11430"/>
                <wp:wrapNone/>
                <wp:docPr id="5" name="直线 9"/>
                <wp:cNvGraphicFramePr/>
                <a:graphic xmlns:a="http://schemas.openxmlformats.org/drawingml/2006/main">
                  <a:graphicData uri="http://schemas.microsoft.com/office/word/2010/wordprocessingShape">
                    <wps:wsp>
                      <wps:cNvCnPr/>
                      <wps:spPr>
                        <a:xfrm>
                          <a:off x="0" y="0"/>
                          <a:ext cx="6242050" cy="22225"/>
                        </a:xfrm>
                        <a:prstGeom prst="line">
                          <a:avLst/>
                        </a:prstGeom>
                        <a:ln w="9525" cap="flat" cmpd="sng">
                          <a:solidFill>
                            <a:srgbClr val="000000"/>
                          </a:solidFill>
                          <a:prstDash val="solid"/>
                          <a:headEnd type="none" w="med" len="med"/>
                          <a:tailEnd type="none" w="med" len="med"/>
                        </a:ln>
                      </wps:spPr>
                      <wps:bodyPr/>
                    </wps:wsp>
                  </a:graphicData>
                </a:graphic>
              </wp:anchor>
            </w:drawing>
          </mc:Choice>
          <mc:Fallback>
            <w:pict>
              <v:line id="直线 9" o:spid="_x0000_s1026" o:spt="20" style="position:absolute;left:0pt;margin-left:1.5pt;margin-top:11.7pt;height:1.75pt;width:491.5pt;z-index:251661312;mso-width-relative:page;mso-height-relative:page;" filled="f" stroked="t" coordsize="21600,21600" o:gfxdata="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">
                <v:fill on="f" focussize="0,0"/>
                <v:stroke color="#000000" joinstyle="round"/>
                <v:imagedata o:title=""/>
                <o:lock v:ext="edit" aspectratio="f"/>
              </v:line>
            </w:pict>
          </mc:Fallback>
        </mc:AlternateContent>
      </w:r>
    </w:p>
    <w:p>
      <w:pPr>
        <w:kinsoku w:val="0"/>
        <w:snapToGrid w:val="0"/>
        <w:spacing w:before="156" w:beforeLines="50" w:after="50" w:line="360" w:lineRule="exact"/>
        <w:jc w:val="center"/>
        <w:rPr>
          <w:rFonts w:ascii="宋体" w:hAnsi="宋体" w:cs="宋体"/>
          <w:b/>
          <w:sz w:val="24"/>
          <w:highlight w:val="none"/>
        </w:rPr>
      </w:pPr>
      <w:r>
        <w:rPr>
          <w:rFonts w:hint="eastAsia" w:ascii="宋体" w:hAnsi="宋体" w:cs="宋体"/>
          <w:b/>
          <w:sz w:val="24"/>
          <w:highlight w:val="none"/>
        </w:rPr>
        <w:t>（二）电子备份投标文件封面格式</w:t>
      </w:r>
    </w:p>
    <w:p>
      <w:pPr>
        <w:kinsoku w:val="0"/>
        <w:snapToGrid w:val="0"/>
        <w:spacing w:before="156" w:beforeLines="50" w:after="50" w:line="360" w:lineRule="exact"/>
        <w:jc w:val="center"/>
        <w:outlineLvl w:val="1"/>
        <w:rPr>
          <w:rFonts w:ascii="宋体" w:hAnsi="宋体"/>
          <w:b/>
          <w:sz w:val="36"/>
          <w:szCs w:val="36"/>
          <w:highlight w:val="none"/>
        </w:rPr>
      </w:pPr>
    </w:p>
    <w:p>
      <w:pPr>
        <w:kinsoku w:val="0"/>
        <w:snapToGrid w:val="0"/>
        <w:spacing w:before="156" w:beforeLines="50" w:after="50" w:line="360" w:lineRule="exact"/>
        <w:jc w:val="center"/>
        <w:rPr>
          <w:rFonts w:ascii="宋体" w:hAnsi="宋体" w:cs="宋体"/>
          <w:sz w:val="32"/>
          <w:szCs w:val="32"/>
          <w:highlight w:val="none"/>
        </w:rPr>
      </w:pPr>
      <w:r>
        <w:rPr>
          <w:rFonts w:hint="eastAsia" w:ascii="宋体" w:hAnsi="宋体" w:cs="宋体"/>
          <w:sz w:val="32"/>
          <w:szCs w:val="32"/>
          <w:highlight w:val="none"/>
        </w:rPr>
        <w:t>响应文件</w:t>
      </w:r>
    </w:p>
    <w:p>
      <w:pPr>
        <w:kinsoku w:val="0"/>
        <w:snapToGrid w:val="0"/>
        <w:spacing w:after="50" w:line="360" w:lineRule="exact"/>
        <w:jc w:val="center"/>
        <w:rPr>
          <w:rFonts w:ascii="宋体"/>
          <w:b/>
          <w:sz w:val="28"/>
          <w:szCs w:val="28"/>
          <w:highlight w:val="none"/>
        </w:rPr>
      </w:pPr>
    </w:p>
    <w:p>
      <w:pPr>
        <w:kinsoku w:val="0"/>
        <w:snapToGrid w:val="0"/>
        <w:spacing w:after="50" w:line="360" w:lineRule="exact"/>
        <w:jc w:val="center"/>
        <w:rPr>
          <w:rFonts w:ascii="宋体"/>
          <w:b/>
          <w:sz w:val="28"/>
          <w:szCs w:val="28"/>
          <w:highlight w:val="none"/>
        </w:rPr>
      </w:pPr>
      <w:r>
        <w:rPr>
          <w:rFonts w:ascii="宋体" w:hAnsi="宋体"/>
          <w:b/>
          <w:sz w:val="28"/>
          <w:szCs w:val="28"/>
          <w:highlight w:val="none"/>
        </w:rPr>
        <w:t>(</w:t>
      </w:r>
      <w:r>
        <w:rPr>
          <w:rFonts w:hint="eastAsia" w:ascii="宋体" w:hAnsi="宋体"/>
          <w:b/>
          <w:sz w:val="28"/>
          <w:szCs w:val="28"/>
          <w:highlight w:val="none"/>
        </w:rPr>
        <w:t>价格文件、资格证明文件和商务技术文件</w:t>
      </w:r>
      <w:r>
        <w:rPr>
          <w:rFonts w:ascii="宋体" w:hAnsi="宋体"/>
          <w:b/>
          <w:sz w:val="28"/>
          <w:szCs w:val="28"/>
          <w:highlight w:val="none"/>
        </w:rPr>
        <w:t>)</w:t>
      </w:r>
    </w:p>
    <w:p>
      <w:pPr>
        <w:kinsoku w:val="0"/>
        <w:snapToGrid w:val="0"/>
        <w:spacing w:after="50" w:line="360" w:lineRule="exact"/>
        <w:jc w:val="center"/>
        <w:rPr>
          <w:rFonts w:ascii="宋体"/>
          <w:bCs/>
          <w:sz w:val="24"/>
          <w:highlight w:val="none"/>
        </w:rPr>
      </w:pPr>
    </w:p>
    <w:p>
      <w:pPr>
        <w:kinsoku w:val="0"/>
        <w:snapToGrid w:val="0"/>
        <w:spacing w:after="50" w:line="360" w:lineRule="exact"/>
        <w:ind w:firstLine="630" w:firstLineChars="300"/>
        <w:rPr>
          <w:rFonts w:ascii="宋体"/>
          <w:bCs/>
          <w:szCs w:val="21"/>
          <w:highlight w:val="none"/>
        </w:rPr>
      </w:pPr>
      <w:r>
        <w:rPr>
          <w:rFonts w:hint="eastAsia" w:ascii="宋体" w:hAnsi="宋体"/>
          <w:bCs/>
          <w:szCs w:val="21"/>
          <w:highlight w:val="none"/>
        </w:rPr>
        <w:t>项目名称：</w:t>
      </w:r>
    </w:p>
    <w:p>
      <w:pPr>
        <w:kinsoku w:val="0"/>
        <w:snapToGrid w:val="0"/>
        <w:spacing w:after="50" w:line="360" w:lineRule="exact"/>
        <w:ind w:firstLine="630" w:firstLineChars="300"/>
        <w:rPr>
          <w:rFonts w:ascii="宋体"/>
          <w:bCs/>
          <w:szCs w:val="21"/>
          <w:highlight w:val="none"/>
        </w:rPr>
      </w:pPr>
      <w:r>
        <w:rPr>
          <w:rFonts w:hint="eastAsia" w:ascii="宋体" w:hAnsi="宋体"/>
          <w:bCs/>
          <w:szCs w:val="21"/>
          <w:highlight w:val="none"/>
        </w:rPr>
        <w:t>项目编号：</w:t>
      </w:r>
    </w:p>
    <w:p>
      <w:pPr>
        <w:kinsoku w:val="0"/>
        <w:snapToGrid w:val="0"/>
        <w:spacing w:after="50" w:line="360" w:lineRule="exact"/>
        <w:ind w:firstLine="630" w:firstLineChars="300"/>
        <w:rPr>
          <w:rFonts w:ascii="宋体"/>
          <w:bCs/>
          <w:szCs w:val="21"/>
          <w:highlight w:val="none"/>
        </w:rPr>
      </w:pPr>
      <w:r>
        <w:rPr>
          <w:rFonts w:hint="eastAsia" w:ascii="宋体" w:hAnsi="宋体"/>
          <w:bCs/>
          <w:szCs w:val="21"/>
          <w:highlight w:val="none"/>
        </w:rPr>
        <w:t>投标人名称：</w:t>
      </w:r>
    </w:p>
    <w:p>
      <w:pPr>
        <w:kinsoku w:val="0"/>
        <w:snapToGrid w:val="0"/>
        <w:spacing w:after="50" w:line="360" w:lineRule="exact"/>
        <w:ind w:firstLine="630" w:firstLineChars="300"/>
        <w:outlineLvl w:val="1"/>
        <w:rPr>
          <w:rFonts w:ascii="宋体"/>
          <w:szCs w:val="21"/>
          <w:highlight w:val="none"/>
        </w:rPr>
      </w:pPr>
      <w:r>
        <w:rPr>
          <w:rFonts w:ascii="宋体" w:hAnsi="宋体"/>
          <w:szCs w:val="21"/>
          <w:highlight w:val="none"/>
        </w:rPr>
        <w:t xml:space="preserve"> </w:t>
      </w:r>
      <w:r>
        <w:rPr>
          <w:rFonts w:hint="eastAsia" w:ascii="宋体" w:hAnsi="宋体"/>
          <w:szCs w:val="21"/>
          <w:highlight w:val="none"/>
        </w:rPr>
        <w:t>年</w:t>
      </w:r>
      <w:r>
        <w:rPr>
          <w:rFonts w:ascii="宋体" w:hAnsi="宋体"/>
          <w:szCs w:val="21"/>
          <w:highlight w:val="none"/>
        </w:rPr>
        <w:t xml:space="preserve">  </w:t>
      </w:r>
      <w:r>
        <w:rPr>
          <w:rFonts w:hint="eastAsia" w:ascii="宋体" w:hAnsi="宋体"/>
          <w:szCs w:val="21"/>
          <w:highlight w:val="none"/>
        </w:rPr>
        <w:t>月</w:t>
      </w:r>
      <w:r>
        <w:rPr>
          <w:rFonts w:ascii="宋体" w:hAnsi="宋体"/>
          <w:szCs w:val="21"/>
          <w:highlight w:val="none"/>
        </w:rPr>
        <w:t xml:space="preserve">  </w:t>
      </w:r>
      <w:r>
        <w:rPr>
          <w:rFonts w:hint="eastAsia" w:ascii="宋体" w:hAnsi="宋体"/>
          <w:szCs w:val="21"/>
          <w:highlight w:val="none"/>
        </w:rPr>
        <w:t>日</w:t>
      </w:r>
    </w:p>
    <w:p>
      <w:pPr>
        <w:kinsoku w:val="0"/>
        <w:spacing w:line="520" w:lineRule="exact"/>
        <w:rPr>
          <w:rFonts w:hint="eastAsia" w:ascii="宋体" w:hAnsi="宋体" w:cs="宋体"/>
          <w:b/>
          <w:sz w:val="28"/>
          <w:szCs w:val="28"/>
          <w:highlight w:val="none"/>
        </w:rPr>
      </w:pPr>
    </w:p>
    <w:p>
      <w:pPr>
        <w:pStyle w:val="2"/>
        <w:rPr>
          <w:rFonts w:hint="eastAsia"/>
          <w:highlight w:val="none"/>
        </w:rPr>
      </w:pPr>
    </w:p>
    <w:p>
      <w:pPr>
        <w:kinsoku w:val="0"/>
        <w:spacing w:line="520" w:lineRule="exact"/>
        <w:rPr>
          <w:rFonts w:ascii="宋体" w:hAnsi="宋体" w:cs="宋体"/>
          <w:b/>
          <w:szCs w:val="21"/>
          <w:highlight w:val="none"/>
        </w:rPr>
      </w:pPr>
      <w:r>
        <w:rPr>
          <w:rFonts w:hint="eastAsia" w:ascii="宋体" w:hAnsi="宋体" w:cs="宋体"/>
          <w:b/>
          <w:szCs w:val="21"/>
          <w:highlight w:val="none"/>
        </w:rPr>
        <w:t xml:space="preserve">附件1 </w:t>
      </w:r>
    </w:p>
    <w:p>
      <w:pPr>
        <w:kinsoku w:val="0"/>
        <w:spacing w:line="520" w:lineRule="exact"/>
        <w:jc w:val="center"/>
        <w:rPr>
          <w:rFonts w:ascii="宋体" w:hAnsi="宋体" w:cs="宋体"/>
          <w:b/>
          <w:sz w:val="30"/>
          <w:szCs w:val="30"/>
          <w:highlight w:val="none"/>
        </w:rPr>
      </w:pPr>
      <w:r>
        <w:rPr>
          <w:rFonts w:hint="eastAsia" w:ascii="宋体" w:hAnsi="宋体" w:cs="宋体"/>
          <w:b/>
          <w:sz w:val="30"/>
          <w:szCs w:val="30"/>
          <w:highlight w:val="none"/>
        </w:rPr>
        <w:t>磋 商 书</w:t>
      </w:r>
    </w:p>
    <w:p>
      <w:pPr>
        <w:kinsoku w:val="0"/>
        <w:spacing w:line="520" w:lineRule="exact"/>
        <w:jc w:val="center"/>
        <w:rPr>
          <w:rFonts w:ascii="宋体" w:hAnsi="宋体" w:cs="宋体"/>
          <w:b/>
          <w:szCs w:val="21"/>
          <w:highlight w:val="none"/>
        </w:rPr>
      </w:pPr>
    </w:p>
    <w:p>
      <w:pPr>
        <w:pStyle w:val="29"/>
        <w:kinsoku w:val="0"/>
        <w:spacing w:line="520" w:lineRule="exact"/>
        <w:rPr>
          <w:rFonts w:hAnsi="宋体" w:cs="宋体"/>
          <w:highlight w:val="none"/>
        </w:rPr>
      </w:pPr>
      <w:r>
        <w:rPr>
          <w:rFonts w:hint="eastAsia" w:hAnsi="宋体" w:cs="宋体"/>
          <w:highlight w:val="none"/>
          <w:u w:val="single"/>
        </w:rPr>
        <w:t>采购代理机构名称</w:t>
      </w:r>
      <w:r>
        <w:rPr>
          <w:rFonts w:hint="eastAsia" w:hAnsi="宋体" w:cs="宋体"/>
          <w:highlight w:val="none"/>
        </w:rPr>
        <w:t>：</w:t>
      </w:r>
    </w:p>
    <w:p>
      <w:pPr>
        <w:pStyle w:val="29"/>
        <w:kinsoku w:val="0"/>
        <w:spacing w:line="520" w:lineRule="exact"/>
        <w:ind w:firstLine="480"/>
        <w:rPr>
          <w:rFonts w:hAnsi="宋体" w:cs="宋体"/>
          <w:highlight w:val="none"/>
        </w:rPr>
      </w:pPr>
      <w:r>
        <w:rPr>
          <w:rFonts w:hint="eastAsia" w:hAnsi="宋体" w:cs="宋体"/>
          <w:highlight w:val="none"/>
        </w:rPr>
        <w:t>依据贵方</w:t>
      </w:r>
      <w:r>
        <w:rPr>
          <w:rFonts w:hint="eastAsia" w:hAnsi="宋体" w:cs="宋体"/>
          <w:highlight w:val="none"/>
          <w:u w:val="single"/>
        </w:rPr>
        <w:t>（项目名称/项目编号）</w:t>
      </w:r>
      <w:r>
        <w:rPr>
          <w:rFonts w:hint="eastAsia" w:hAnsi="宋体" w:cs="宋体"/>
          <w:highlight w:val="none"/>
        </w:rPr>
        <w:t>项目采购的磋商邀请，我方</w:t>
      </w:r>
      <w:r>
        <w:rPr>
          <w:rFonts w:hint="eastAsia" w:hAnsi="宋体" w:cs="宋体"/>
          <w:highlight w:val="none"/>
          <w:u w:val="single"/>
        </w:rPr>
        <w:t>（姓名和职务）</w:t>
      </w:r>
      <w:r>
        <w:rPr>
          <w:rFonts w:hint="eastAsia" w:hAnsi="宋体" w:cs="宋体"/>
          <w:highlight w:val="none"/>
        </w:rPr>
        <w:t>经正式授权并代表本单位</w:t>
      </w:r>
      <w:r>
        <w:rPr>
          <w:rFonts w:hint="eastAsia" w:hAnsi="宋体" w:cs="宋体"/>
          <w:highlight w:val="none"/>
          <w:u w:val="single"/>
        </w:rPr>
        <w:t>（投标人名称、地址）</w:t>
      </w:r>
      <w:r>
        <w:rPr>
          <w:rFonts w:hint="eastAsia" w:hAnsi="宋体" w:cs="宋体"/>
          <w:highlight w:val="none"/>
        </w:rPr>
        <w:t>提交下述响应文件</w:t>
      </w:r>
      <w:r>
        <w:rPr>
          <w:rFonts w:hint="eastAsia" w:hAnsi="宋体" w:cs="宋体"/>
          <w:b/>
          <w:highlight w:val="none"/>
        </w:rPr>
        <w:t>（价格文件、资格审查文件和商务技术文件）</w:t>
      </w:r>
      <w:r>
        <w:rPr>
          <w:rFonts w:hint="eastAsia" w:hAnsi="宋体" w:cs="宋体"/>
          <w:highlight w:val="none"/>
        </w:rPr>
        <w:t>。</w:t>
      </w:r>
    </w:p>
    <w:p>
      <w:pPr>
        <w:pStyle w:val="29"/>
        <w:numPr>
          <w:ilvl w:val="0"/>
          <w:numId w:val="12"/>
        </w:numPr>
        <w:kinsoku w:val="0"/>
        <w:spacing w:line="520" w:lineRule="exact"/>
        <w:ind w:firstLine="480"/>
        <w:rPr>
          <w:rFonts w:hAnsi="宋体" w:cs="宋体"/>
          <w:bCs/>
          <w:highlight w:val="none"/>
        </w:rPr>
      </w:pPr>
      <w:r>
        <w:rPr>
          <w:rFonts w:hint="eastAsia" w:hAnsi="宋体" w:cs="宋体"/>
          <w:bCs/>
          <w:highlight w:val="none"/>
        </w:rPr>
        <w:t>价格文件；</w:t>
      </w:r>
    </w:p>
    <w:p>
      <w:pPr>
        <w:pStyle w:val="29"/>
        <w:kinsoku w:val="0"/>
        <w:spacing w:line="520" w:lineRule="exact"/>
        <w:ind w:firstLine="480"/>
        <w:rPr>
          <w:rFonts w:hAnsi="宋体" w:cs="宋体"/>
          <w:bCs/>
          <w:highlight w:val="none"/>
        </w:rPr>
      </w:pPr>
      <w:r>
        <w:rPr>
          <w:rFonts w:hint="eastAsia" w:hAnsi="宋体" w:cs="宋体"/>
          <w:bCs/>
          <w:highlight w:val="none"/>
        </w:rPr>
        <w:t>2. 资格审查文件；</w:t>
      </w:r>
    </w:p>
    <w:p>
      <w:pPr>
        <w:pStyle w:val="29"/>
        <w:kinsoku w:val="0"/>
        <w:spacing w:line="520" w:lineRule="exact"/>
        <w:ind w:firstLine="480"/>
        <w:rPr>
          <w:rFonts w:hAnsi="宋体" w:cs="宋体"/>
          <w:bCs/>
          <w:highlight w:val="none"/>
        </w:rPr>
      </w:pPr>
      <w:r>
        <w:rPr>
          <w:rFonts w:hint="eastAsia" w:hAnsi="宋体" w:cs="宋体"/>
          <w:bCs/>
          <w:highlight w:val="none"/>
        </w:rPr>
        <w:t>3. 商务技术文件；</w:t>
      </w:r>
    </w:p>
    <w:p>
      <w:pPr>
        <w:pStyle w:val="29"/>
        <w:kinsoku w:val="0"/>
        <w:spacing w:line="520" w:lineRule="exact"/>
        <w:ind w:firstLine="480"/>
        <w:rPr>
          <w:rFonts w:hAnsi="宋体" w:cs="宋体"/>
          <w:highlight w:val="none"/>
        </w:rPr>
      </w:pPr>
      <w:r>
        <w:rPr>
          <w:rFonts w:hint="eastAsia" w:hAnsi="宋体" w:cs="宋体"/>
          <w:highlight w:val="none"/>
        </w:rPr>
        <w:t>4. 按本项目投标人须知和采购需求提供的有关文件。</w:t>
      </w:r>
    </w:p>
    <w:p>
      <w:pPr>
        <w:pStyle w:val="29"/>
        <w:kinsoku w:val="0"/>
        <w:spacing w:line="520" w:lineRule="exact"/>
        <w:ind w:firstLine="315" w:firstLineChars="150"/>
        <w:rPr>
          <w:rFonts w:hAnsi="宋体" w:cs="宋体"/>
          <w:highlight w:val="none"/>
        </w:rPr>
      </w:pPr>
      <w:r>
        <w:rPr>
          <w:rFonts w:hint="eastAsia" w:hAnsi="宋体" w:cs="宋体"/>
          <w:highlight w:val="none"/>
        </w:rPr>
        <w:t>在此，授权代表宣布同意如下：</w:t>
      </w:r>
    </w:p>
    <w:p>
      <w:pPr>
        <w:pStyle w:val="29"/>
        <w:kinsoku w:val="0"/>
        <w:spacing w:line="520" w:lineRule="exact"/>
        <w:ind w:firstLine="525" w:firstLineChars="250"/>
        <w:rPr>
          <w:rFonts w:hAnsi="宋体" w:cs="宋体"/>
          <w:highlight w:val="none"/>
        </w:rPr>
      </w:pPr>
      <w:r>
        <w:rPr>
          <w:rFonts w:hint="eastAsia" w:hAnsi="宋体" w:cs="宋体"/>
          <w:highlight w:val="none"/>
        </w:rPr>
        <w:t>1. 将按竞争性磋商文件的约定履行合同责任和义务；</w:t>
      </w:r>
    </w:p>
    <w:p>
      <w:pPr>
        <w:pStyle w:val="29"/>
        <w:kinsoku w:val="0"/>
        <w:spacing w:line="520" w:lineRule="exact"/>
        <w:ind w:firstLine="539" w:firstLineChars="257"/>
        <w:rPr>
          <w:rFonts w:hAnsi="宋体" w:cs="宋体"/>
          <w:highlight w:val="none"/>
        </w:rPr>
      </w:pPr>
      <w:r>
        <w:rPr>
          <w:rFonts w:hint="eastAsia" w:hAnsi="宋体" w:cs="宋体"/>
          <w:highlight w:val="none"/>
        </w:rPr>
        <w:t>2. 我方已详细研究了竞争性磋商文件的所有内容，包括补遗文件（如果有的话）和所有已提供的参考资料及有关附件并完全明白，对竞争性磋商文件的合理性、合法性不再有异议；我方放弃在此方面提出含糊意见、质疑或误解的一切权力；</w:t>
      </w:r>
    </w:p>
    <w:p>
      <w:pPr>
        <w:pStyle w:val="29"/>
        <w:kinsoku w:val="0"/>
        <w:spacing w:line="520" w:lineRule="exact"/>
        <w:ind w:left="2" w:firstLine="537" w:firstLineChars="256"/>
        <w:rPr>
          <w:rFonts w:hAnsi="宋体" w:cs="宋体"/>
          <w:highlight w:val="none"/>
        </w:rPr>
      </w:pPr>
      <w:r>
        <w:rPr>
          <w:rFonts w:hint="eastAsia" w:hAnsi="宋体" w:cs="宋体"/>
          <w:highlight w:val="none"/>
        </w:rPr>
        <w:t>3. 同意提供按照贵方可能要求的与其磋商有关的一切数据或资料；</w:t>
      </w:r>
    </w:p>
    <w:p>
      <w:pPr>
        <w:pStyle w:val="29"/>
        <w:kinsoku w:val="0"/>
        <w:spacing w:line="520" w:lineRule="exact"/>
        <w:ind w:firstLine="567" w:firstLineChars="270"/>
        <w:rPr>
          <w:rFonts w:hAnsi="宋体" w:cs="宋体"/>
          <w:highlight w:val="none"/>
          <w:u w:val="single"/>
        </w:rPr>
      </w:pPr>
      <w:r>
        <w:rPr>
          <w:rFonts w:hint="eastAsia" w:hAnsi="宋体" w:cs="宋体"/>
          <w:highlight w:val="none"/>
        </w:rPr>
        <w:t>4. 与本磋商有关的一切正式往来信函请寄：</w:t>
      </w:r>
      <w:r>
        <w:rPr>
          <w:rFonts w:hint="eastAsia" w:hAnsi="宋体" w:cs="宋体"/>
          <w:highlight w:val="none"/>
          <w:u w:val="single"/>
        </w:rPr>
        <w:t xml:space="preserve">                       </w:t>
      </w:r>
    </w:p>
    <w:p>
      <w:pPr>
        <w:pStyle w:val="29"/>
        <w:kinsoku w:val="0"/>
        <w:spacing w:line="520" w:lineRule="exact"/>
        <w:ind w:firstLine="840"/>
        <w:rPr>
          <w:rFonts w:hAnsi="宋体" w:cs="宋体"/>
          <w:highlight w:val="none"/>
          <w:u w:val="single"/>
        </w:rPr>
      </w:pPr>
      <w:r>
        <w:rPr>
          <w:rFonts w:hint="eastAsia" w:hAnsi="宋体" w:cs="宋体"/>
          <w:highlight w:val="none"/>
        </w:rPr>
        <w:t>地址：</w:t>
      </w:r>
      <w:r>
        <w:rPr>
          <w:rFonts w:hint="eastAsia" w:hAnsi="宋体" w:cs="宋体"/>
          <w:highlight w:val="none"/>
          <w:u w:val="single"/>
        </w:rPr>
        <w:t xml:space="preserve">                </w:t>
      </w:r>
      <w:r>
        <w:rPr>
          <w:rFonts w:hint="eastAsia" w:hAnsi="宋体" w:cs="宋体"/>
          <w:highlight w:val="none"/>
        </w:rPr>
        <w:t xml:space="preserve">  联系人：</w:t>
      </w:r>
      <w:r>
        <w:rPr>
          <w:rFonts w:hint="eastAsia" w:hAnsi="宋体" w:cs="宋体"/>
          <w:highlight w:val="none"/>
          <w:u w:val="single"/>
        </w:rPr>
        <w:t xml:space="preserve">          .</w:t>
      </w:r>
    </w:p>
    <w:p>
      <w:pPr>
        <w:pStyle w:val="29"/>
        <w:kinsoku w:val="0"/>
        <w:spacing w:line="520" w:lineRule="exact"/>
        <w:ind w:firstLine="840"/>
        <w:rPr>
          <w:rFonts w:hAnsi="宋体" w:cs="宋体"/>
          <w:highlight w:val="none"/>
        </w:rPr>
      </w:pPr>
      <w:r>
        <w:rPr>
          <w:rFonts w:hint="eastAsia" w:hAnsi="宋体" w:cs="宋体"/>
          <w:highlight w:val="none"/>
        </w:rPr>
        <w:t>电话/传真：</w:t>
      </w:r>
      <w:r>
        <w:rPr>
          <w:rFonts w:hint="eastAsia" w:hAnsi="宋体" w:cs="宋体"/>
          <w:highlight w:val="none"/>
          <w:u w:val="single"/>
        </w:rPr>
        <w:t xml:space="preserve">           </w:t>
      </w:r>
      <w:r>
        <w:rPr>
          <w:rFonts w:hint="eastAsia" w:hAnsi="宋体" w:cs="宋体"/>
          <w:highlight w:val="none"/>
        </w:rPr>
        <w:t xml:space="preserve"> 电子函件：</w:t>
      </w:r>
      <w:r>
        <w:rPr>
          <w:rFonts w:hint="eastAsia" w:hAnsi="宋体" w:cs="宋体"/>
          <w:highlight w:val="none"/>
          <w:u w:val="single"/>
        </w:rPr>
        <w:t xml:space="preserve">          .</w:t>
      </w:r>
    </w:p>
    <w:p>
      <w:pPr>
        <w:pStyle w:val="29"/>
        <w:kinsoku w:val="0"/>
        <w:spacing w:line="520" w:lineRule="exact"/>
        <w:ind w:firstLine="840"/>
        <w:rPr>
          <w:rFonts w:hAnsi="宋体" w:cs="宋体"/>
          <w:highlight w:val="none"/>
        </w:rPr>
      </w:pPr>
      <w:r>
        <w:rPr>
          <w:rFonts w:hint="eastAsia" w:hAnsi="宋体" w:cs="宋体"/>
          <w:highlight w:val="none"/>
        </w:rPr>
        <w:t>开户银行：</w:t>
      </w:r>
      <w:r>
        <w:rPr>
          <w:rFonts w:hint="eastAsia" w:hAnsi="宋体" w:cs="宋体"/>
          <w:highlight w:val="none"/>
          <w:u w:val="single"/>
        </w:rPr>
        <w:t xml:space="preserve">            </w:t>
      </w:r>
      <w:r>
        <w:rPr>
          <w:rFonts w:hint="eastAsia" w:hAnsi="宋体" w:cs="宋体"/>
          <w:highlight w:val="none"/>
        </w:rPr>
        <w:t xml:space="preserve">  帐号：</w:t>
      </w:r>
      <w:r>
        <w:rPr>
          <w:rFonts w:hint="eastAsia" w:hAnsi="宋体" w:cs="宋体"/>
          <w:highlight w:val="none"/>
          <w:u w:val="single"/>
        </w:rPr>
        <w:t xml:space="preserve">             .             </w:t>
      </w:r>
      <w:r>
        <w:rPr>
          <w:rFonts w:hint="eastAsia" w:hAnsi="宋体" w:cs="宋体"/>
          <w:highlight w:val="none"/>
        </w:rPr>
        <w:t xml:space="preserve">              </w:t>
      </w:r>
    </w:p>
    <w:p>
      <w:pPr>
        <w:pStyle w:val="29"/>
        <w:kinsoku w:val="0"/>
        <w:spacing w:line="520" w:lineRule="exact"/>
        <w:ind w:firstLine="840"/>
        <w:rPr>
          <w:rFonts w:hAnsi="宋体" w:cs="宋体"/>
          <w:highlight w:val="none"/>
          <w:u w:val="single"/>
        </w:rPr>
      </w:pPr>
      <w:r>
        <w:rPr>
          <w:rFonts w:hint="eastAsia" w:hAnsi="宋体" w:cs="宋体"/>
          <w:highlight w:val="none"/>
        </w:rPr>
        <w:t>日期：</w:t>
      </w:r>
      <w:r>
        <w:rPr>
          <w:rFonts w:hint="eastAsia" w:hAnsi="宋体" w:cs="宋体"/>
          <w:highlight w:val="none"/>
          <w:u w:val="single"/>
        </w:rPr>
        <w:t xml:space="preserve">      </w:t>
      </w:r>
      <w:r>
        <w:rPr>
          <w:rFonts w:hint="eastAsia" w:hAnsi="宋体" w:cs="宋体"/>
          <w:highlight w:val="none"/>
        </w:rPr>
        <w:t>年</w:t>
      </w:r>
      <w:r>
        <w:rPr>
          <w:rFonts w:hint="eastAsia" w:hAnsi="宋体" w:cs="宋体"/>
          <w:highlight w:val="none"/>
          <w:u w:val="single"/>
        </w:rPr>
        <w:t xml:space="preserve">    </w:t>
      </w:r>
      <w:r>
        <w:rPr>
          <w:rFonts w:hint="eastAsia" w:hAnsi="宋体" w:cs="宋体"/>
          <w:highlight w:val="none"/>
        </w:rPr>
        <w:t>月</w:t>
      </w:r>
      <w:r>
        <w:rPr>
          <w:rFonts w:hint="eastAsia" w:hAnsi="宋体" w:cs="宋体"/>
          <w:highlight w:val="none"/>
          <w:u w:val="single"/>
        </w:rPr>
        <w:t xml:space="preserve">    </w:t>
      </w:r>
      <w:r>
        <w:rPr>
          <w:rFonts w:hint="eastAsia" w:hAnsi="宋体" w:cs="宋体"/>
          <w:highlight w:val="none"/>
        </w:rPr>
        <w:t>日</w:t>
      </w:r>
    </w:p>
    <w:p>
      <w:pPr>
        <w:pStyle w:val="29"/>
        <w:kinsoku w:val="0"/>
        <w:spacing w:line="520" w:lineRule="exact"/>
        <w:ind w:firstLine="840"/>
        <w:rPr>
          <w:rFonts w:hAnsi="宋体" w:cs="宋体"/>
          <w:highlight w:val="none"/>
          <w:u w:val="single"/>
        </w:rPr>
      </w:pPr>
      <w:r>
        <w:rPr>
          <w:rFonts w:hint="eastAsia" w:hAnsi="宋体" w:cs="宋体"/>
          <w:highlight w:val="none"/>
        </w:rPr>
        <w:t>法定代表人（负责人）签字：</w:t>
      </w:r>
      <w:r>
        <w:rPr>
          <w:rFonts w:hint="eastAsia" w:hAnsi="宋体" w:cs="宋体"/>
          <w:highlight w:val="none"/>
          <w:u w:val="single"/>
        </w:rPr>
        <w:t xml:space="preserve">             .                        </w:t>
      </w:r>
    </w:p>
    <w:p>
      <w:pPr>
        <w:pStyle w:val="29"/>
        <w:kinsoku w:val="0"/>
        <w:spacing w:line="520" w:lineRule="exact"/>
        <w:ind w:firstLine="840"/>
        <w:rPr>
          <w:rFonts w:hAnsi="宋体" w:cs="宋体"/>
          <w:highlight w:val="none"/>
        </w:rPr>
      </w:pPr>
      <w:r>
        <w:rPr>
          <w:rFonts w:hint="eastAsia" w:hAnsi="宋体" w:cs="宋体"/>
          <w:highlight w:val="none"/>
        </w:rPr>
        <w:t>投标人名称（公章）：</w:t>
      </w:r>
      <w:r>
        <w:rPr>
          <w:rFonts w:hint="eastAsia" w:hAnsi="宋体" w:cs="宋体"/>
          <w:highlight w:val="none"/>
          <w:u w:val="single"/>
        </w:rPr>
        <w:t xml:space="preserve">             .                                     </w:t>
      </w:r>
      <w:r>
        <w:rPr>
          <w:rFonts w:hint="eastAsia" w:hAnsi="宋体" w:cs="宋体"/>
          <w:highlight w:val="none"/>
        </w:rPr>
        <w:t xml:space="preserve">                           </w:t>
      </w:r>
    </w:p>
    <w:p>
      <w:pPr>
        <w:pStyle w:val="29"/>
        <w:kinsoku w:val="0"/>
        <w:spacing w:line="520" w:lineRule="exact"/>
        <w:ind w:firstLine="840"/>
        <w:rPr>
          <w:rFonts w:hAnsi="宋体" w:cs="宋体"/>
          <w:highlight w:val="none"/>
        </w:rPr>
      </w:pPr>
      <w:r>
        <w:rPr>
          <w:rFonts w:hint="eastAsia" w:hAnsi="宋体" w:cs="宋体"/>
          <w:highlight w:val="none"/>
        </w:rPr>
        <w:t xml:space="preserve">                     </w:t>
      </w:r>
    </w:p>
    <w:p>
      <w:pPr>
        <w:kinsoku w:val="0"/>
        <w:spacing w:line="300" w:lineRule="auto"/>
        <w:rPr>
          <w:rFonts w:ascii="宋体" w:hAnsi="宋体" w:cs="宋体"/>
          <w:szCs w:val="21"/>
          <w:highlight w:val="none"/>
        </w:rPr>
      </w:pPr>
    </w:p>
    <w:p>
      <w:pPr>
        <w:kinsoku w:val="0"/>
        <w:spacing w:line="500" w:lineRule="exact"/>
        <w:rPr>
          <w:rFonts w:ascii="宋体" w:hAnsi="宋体" w:cs="宋体"/>
          <w:b/>
          <w:szCs w:val="21"/>
          <w:highlight w:val="none"/>
        </w:rPr>
      </w:pPr>
      <w:r>
        <w:rPr>
          <w:rFonts w:hint="eastAsia" w:ascii="宋体" w:hAnsi="宋体" w:cs="宋体"/>
          <w:szCs w:val="21"/>
          <w:highlight w:val="none"/>
        </w:rPr>
        <w:br w:type="page"/>
      </w:r>
      <w:r>
        <w:rPr>
          <w:rFonts w:hint="eastAsia" w:ascii="宋体" w:hAnsi="宋体" w:cs="宋体"/>
          <w:b/>
          <w:szCs w:val="21"/>
          <w:highlight w:val="none"/>
        </w:rPr>
        <w:t xml:space="preserve">附件2             </w:t>
      </w:r>
    </w:p>
    <w:p>
      <w:pPr>
        <w:kinsoku w:val="0"/>
        <w:spacing w:line="500" w:lineRule="exact"/>
        <w:rPr>
          <w:rFonts w:ascii="宋体" w:hAnsi="宋体" w:cs="宋体"/>
          <w:b/>
          <w:sz w:val="32"/>
          <w:szCs w:val="32"/>
          <w:highlight w:val="none"/>
        </w:rPr>
      </w:pPr>
    </w:p>
    <w:p>
      <w:pPr>
        <w:kinsoku w:val="0"/>
        <w:spacing w:line="520" w:lineRule="exact"/>
        <w:jc w:val="center"/>
        <w:rPr>
          <w:rFonts w:ascii="宋体" w:hAnsi="宋体" w:cs="宋体"/>
          <w:szCs w:val="21"/>
          <w:highlight w:val="none"/>
        </w:rPr>
      </w:pPr>
      <w:r>
        <w:rPr>
          <w:rFonts w:hint="eastAsia" w:ascii="宋体" w:hAnsi="宋体" w:cs="宋体"/>
          <w:b/>
          <w:sz w:val="30"/>
          <w:szCs w:val="30"/>
          <w:highlight w:val="none"/>
        </w:rPr>
        <w:t>报 价 表</w:t>
      </w:r>
    </w:p>
    <w:p>
      <w:pPr>
        <w:kinsoku w:val="0"/>
        <w:spacing w:before="156" w:beforeLines="50" w:after="156" w:afterLines="50" w:line="360" w:lineRule="exact"/>
        <w:rPr>
          <w:rFonts w:ascii="宋体" w:hAnsi="宋体" w:cs="宋体"/>
          <w:szCs w:val="21"/>
          <w:highlight w:val="none"/>
          <w:u w:val="single"/>
        </w:rPr>
      </w:pPr>
      <w:r>
        <w:rPr>
          <w:rFonts w:hint="eastAsia" w:ascii="宋体" w:hAnsi="宋体" w:cs="宋体"/>
          <w:szCs w:val="21"/>
          <w:highlight w:val="none"/>
        </w:rPr>
        <w:t>项目名称：</w:t>
      </w:r>
      <w:r>
        <w:rPr>
          <w:rFonts w:hint="eastAsia" w:ascii="宋体" w:hAnsi="宋体" w:cs="宋体"/>
          <w:szCs w:val="21"/>
          <w:highlight w:val="none"/>
          <w:u w:val="single"/>
        </w:rPr>
        <w:t xml:space="preserve">                 </w:t>
      </w:r>
    </w:p>
    <w:p>
      <w:pPr>
        <w:kinsoku w:val="0"/>
        <w:spacing w:before="156" w:beforeLines="50" w:after="156" w:afterLines="50" w:line="360" w:lineRule="exact"/>
        <w:rPr>
          <w:rFonts w:ascii="宋体" w:hAnsi="宋体" w:cs="宋体"/>
          <w:szCs w:val="21"/>
          <w:highlight w:val="none"/>
          <w:u w:val="single"/>
        </w:rPr>
      </w:pPr>
      <w:r>
        <w:rPr>
          <w:rFonts w:hint="eastAsia" w:ascii="宋体" w:hAnsi="宋体" w:cs="宋体"/>
          <w:szCs w:val="21"/>
          <w:highlight w:val="none"/>
        </w:rPr>
        <w:t>项目编号：</w:t>
      </w:r>
      <w:r>
        <w:rPr>
          <w:rFonts w:hint="eastAsia" w:ascii="宋体" w:hAnsi="宋体" w:cs="宋体"/>
          <w:szCs w:val="21"/>
          <w:highlight w:val="none"/>
          <w:u w:val="single"/>
        </w:rPr>
        <w:t xml:space="preserve">     </w:t>
      </w:r>
    </w:p>
    <w:tbl>
      <w:tblPr>
        <w:tblStyle w:val="58"/>
        <w:tblW w:w="9617"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01"/>
        <w:gridCol w:w="4586"/>
        <w:gridCol w:w="1276"/>
        <w:gridCol w:w="1423"/>
        <w:gridCol w:w="1531"/>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01" w:hRule="atLeast"/>
          <w:jc w:val="center"/>
        </w:trPr>
        <w:tc>
          <w:tcPr>
            <w:tcW w:w="801" w:type="dxa"/>
            <w:tcBorders>
              <w:top w:val="single" w:color="auto" w:sz="4" w:space="0"/>
              <w:left w:val="single" w:color="auto" w:sz="4" w:space="0"/>
              <w:bottom w:val="single" w:color="auto" w:sz="4" w:space="0"/>
              <w:right w:val="single" w:color="auto" w:sz="4" w:space="0"/>
            </w:tcBorders>
            <w:tcMar>
              <w:left w:w="0" w:type="dxa"/>
              <w:right w:w="0" w:type="dxa"/>
            </w:tcMar>
            <w:vAlign w:val="center"/>
          </w:tcPr>
          <w:p>
            <w:pPr>
              <w:kinsoku w:val="0"/>
              <w:spacing w:line="240" w:lineRule="exact"/>
              <w:jc w:val="center"/>
              <w:rPr>
                <w:rFonts w:ascii="宋体" w:hAnsi="宋体" w:cs="宋体"/>
                <w:szCs w:val="21"/>
                <w:highlight w:val="none"/>
              </w:rPr>
            </w:pPr>
            <w:r>
              <w:rPr>
                <w:rFonts w:hint="eastAsia" w:ascii="宋体" w:hAnsi="宋体" w:cs="宋体"/>
                <w:szCs w:val="21"/>
                <w:highlight w:val="none"/>
              </w:rPr>
              <w:t>项号</w:t>
            </w:r>
          </w:p>
        </w:tc>
        <w:tc>
          <w:tcPr>
            <w:tcW w:w="4586" w:type="dxa"/>
            <w:tcBorders>
              <w:top w:val="single" w:color="auto" w:sz="4" w:space="0"/>
              <w:left w:val="single" w:color="auto" w:sz="4" w:space="0"/>
              <w:bottom w:val="single" w:color="auto" w:sz="4" w:space="0"/>
              <w:right w:val="single" w:color="auto" w:sz="4" w:space="0"/>
            </w:tcBorders>
            <w:vAlign w:val="center"/>
          </w:tcPr>
          <w:p>
            <w:pPr>
              <w:kinsoku w:val="0"/>
              <w:spacing w:line="240" w:lineRule="exact"/>
              <w:jc w:val="center"/>
              <w:rPr>
                <w:rFonts w:ascii="宋体" w:hAnsi="宋体" w:cs="宋体"/>
                <w:szCs w:val="21"/>
                <w:highlight w:val="none"/>
              </w:rPr>
            </w:pPr>
            <w:r>
              <w:rPr>
                <w:rFonts w:hint="eastAsia" w:ascii="宋体" w:hAnsi="宋体" w:cs="宋体"/>
                <w:szCs w:val="21"/>
                <w:highlight w:val="none"/>
              </w:rPr>
              <w:t>服务名称</w:t>
            </w:r>
          </w:p>
        </w:tc>
        <w:tc>
          <w:tcPr>
            <w:tcW w:w="1276" w:type="dxa"/>
            <w:tcBorders>
              <w:top w:val="single" w:color="auto" w:sz="4" w:space="0"/>
              <w:left w:val="single" w:color="auto" w:sz="4" w:space="0"/>
              <w:bottom w:val="single" w:color="auto" w:sz="4" w:space="0"/>
              <w:right w:val="single" w:color="auto" w:sz="4" w:space="0"/>
            </w:tcBorders>
            <w:vAlign w:val="center"/>
          </w:tcPr>
          <w:p>
            <w:pPr>
              <w:kinsoku w:val="0"/>
              <w:spacing w:line="240" w:lineRule="exact"/>
              <w:jc w:val="center"/>
              <w:rPr>
                <w:rFonts w:ascii="宋体" w:hAnsi="宋体" w:cs="宋体"/>
                <w:szCs w:val="21"/>
                <w:highlight w:val="none"/>
              </w:rPr>
            </w:pPr>
            <w:r>
              <w:rPr>
                <w:rFonts w:hint="eastAsia" w:ascii="宋体" w:hAnsi="宋体" w:cs="宋体"/>
                <w:szCs w:val="21"/>
                <w:highlight w:val="none"/>
              </w:rPr>
              <w:t>数量单位</w:t>
            </w:r>
          </w:p>
        </w:tc>
        <w:tc>
          <w:tcPr>
            <w:tcW w:w="1423" w:type="dxa"/>
            <w:tcBorders>
              <w:top w:val="single" w:color="auto" w:sz="4" w:space="0"/>
              <w:left w:val="single" w:color="auto" w:sz="4" w:space="0"/>
              <w:bottom w:val="single" w:color="auto" w:sz="4" w:space="0"/>
              <w:right w:val="single" w:color="auto" w:sz="4" w:space="0"/>
            </w:tcBorders>
            <w:vAlign w:val="center"/>
          </w:tcPr>
          <w:p>
            <w:pPr>
              <w:kinsoku w:val="0"/>
              <w:spacing w:line="240" w:lineRule="exact"/>
              <w:jc w:val="center"/>
              <w:rPr>
                <w:rFonts w:ascii="宋体" w:hAnsi="宋体" w:cs="宋体"/>
                <w:szCs w:val="21"/>
                <w:highlight w:val="none"/>
              </w:rPr>
            </w:pPr>
            <w:r>
              <w:rPr>
                <w:rFonts w:hint="eastAsia" w:ascii="宋体" w:hAnsi="宋体" w:cs="宋体"/>
                <w:szCs w:val="21"/>
                <w:highlight w:val="none"/>
              </w:rPr>
              <w:t>报价（元）</w:t>
            </w:r>
          </w:p>
        </w:tc>
        <w:tc>
          <w:tcPr>
            <w:tcW w:w="1531" w:type="dxa"/>
            <w:tcBorders>
              <w:top w:val="single" w:color="auto" w:sz="4" w:space="0"/>
              <w:left w:val="single" w:color="auto" w:sz="4" w:space="0"/>
              <w:bottom w:val="single" w:color="auto" w:sz="4" w:space="0"/>
              <w:right w:val="single" w:color="auto" w:sz="4" w:space="0"/>
            </w:tcBorders>
            <w:vAlign w:val="center"/>
          </w:tcPr>
          <w:p>
            <w:pPr>
              <w:kinsoku w:val="0"/>
              <w:spacing w:line="240" w:lineRule="exact"/>
              <w:jc w:val="center"/>
              <w:rPr>
                <w:rFonts w:ascii="宋体" w:hAnsi="宋体" w:cs="宋体"/>
                <w:szCs w:val="21"/>
                <w:highlight w:val="none"/>
              </w:rPr>
            </w:pPr>
            <w:r>
              <w:rPr>
                <w:rFonts w:hint="eastAsia" w:ascii="宋体" w:hAnsi="宋体" w:cs="宋体"/>
                <w:bCs/>
                <w:kern w:val="0"/>
                <w:highlight w:val="none"/>
              </w:rPr>
              <w:t>说  明</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4" w:hRule="atLeast"/>
          <w:jc w:val="center"/>
        </w:trPr>
        <w:tc>
          <w:tcPr>
            <w:tcW w:w="801" w:type="dxa"/>
            <w:tcBorders>
              <w:top w:val="single" w:color="auto" w:sz="4" w:space="0"/>
              <w:left w:val="single" w:color="auto" w:sz="4" w:space="0"/>
              <w:bottom w:val="single" w:color="auto" w:sz="4" w:space="0"/>
              <w:right w:val="single" w:color="auto" w:sz="4" w:space="0"/>
            </w:tcBorders>
            <w:vAlign w:val="center"/>
          </w:tcPr>
          <w:p>
            <w:pPr>
              <w:kinsoku w:val="0"/>
              <w:spacing w:line="240" w:lineRule="exact"/>
              <w:jc w:val="center"/>
              <w:rPr>
                <w:rFonts w:ascii="宋体" w:hAnsi="宋体" w:cs="宋体"/>
                <w:szCs w:val="21"/>
                <w:highlight w:val="none"/>
              </w:rPr>
            </w:pPr>
            <w:r>
              <w:rPr>
                <w:rFonts w:hint="eastAsia" w:ascii="宋体" w:hAnsi="宋体" w:cs="宋体"/>
                <w:szCs w:val="21"/>
                <w:highlight w:val="none"/>
              </w:rPr>
              <w:t>1</w:t>
            </w:r>
          </w:p>
        </w:tc>
        <w:tc>
          <w:tcPr>
            <w:tcW w:w="4586" w:type="dxa"/>
            <w:tcBorders>
              <w:top w:val="single" w:color="auto" w:sz="4" w:space="0"/>
              <w:left w:val="single" w:color="auto" w:sz="4" w:space="0"/>
              <w:bottom w:val="single" w:color="auto" w:sz="4" w:space="0"/>
              <w:right w:val="single" w:color="auto" w:sz="4" w:space="0"/>
            </w:tcBorders>
            <w:vAlign w:val="center"/>
          </w:tcPr>
          <w:p>
            <w:pPr>
              <w:kinsoku w:val="0"/>
              <w:spacing w:line="240" w:lineRule="exact"/>
              <w:jc w:val="center"/>
              <w:rPr>
                <w:rFonts w:ascii="宋体" w:hAnsi="宋体" w:cs="宋体"/>
                <w:szCs w:val="21"/>
                <w:highlight w:val="none"/>
              </w:rPr>
            </w:pPr>
          </w:p>
        </w:tc>
        <w:tc>
          <w:tcPr>
            <w:tcW w:w="1276" w:type="dxa"/>
            <w:tcBorders>
              <w:top w:val="single" w:color="auto" w:sz="4" w:space="0"/>
              <w:left w:val="single" w:color="auto" w:sz="4" w:space="0"/>
              <w:bottom w:val="single" w:color="auto" w:sz="4" w:space="0"/>
              <w:right w:val="single" w:color="auto" w:sz="4" w:space="0"/>
            </w:tcBorders>
            <w:vAlign w:val="center"/>
          </w:tcPr>
          <w:p>
            <w:pPr>
              <w:kinsoku w:val="0"/>
              <w:spacing w:line="240" w:lineRule="exact"/>
              <w:jc w:val="center"/>
              <w:rPr>
                <w:rFonts w:ascii="宋体" w:hAnsi="宋体" w:cs="宋体"/>
                <w:szCs w:val="21"/>
                <w:highlight w:val="none"/>
              </w:rPr>
            </w:pPr>
          </w:p>
        </w:tc>
        <w:tc>
          <w:tcPr>
            <w:tcW w:w="1423" w:type="dxa"/>
            <w:tcBorders>
              <w:top w:val="single" w:color="auto" w:sz="4" w:space="0"/>
              <w:left w:val="single" w:color="auto" w:sz="4" w:space="0"/>
              <w:bottom w:val="single" w:color="auto" w:sz="4" w:space="0"/>
              <w:right w:val="single" w:color="auto" w:sz="4" w:space="0"/>
            </w:tcBorders>
            <w:vAlign w:val="center"/>
          </w:tcPr>
          <w:p>
            <w:pPr>
              <w:pStyle w:val="376"/>
              <w:kinsoku w:val="0"/>
              <w:snapToGrid w:val="0"/>
              <w:spacing w:line="240" w:lineRule="exact"/>
              <w:ind w:firstLine="0" w:firstLineChars="0"/>
              <w:jc w:val="center"/>
              <w:rPr>
                <w:rFonts w:ascii="宋体" w:hAnsi="宋体" w:cs="宋体"/>
                <w:szCs w:val="21"/>
                <w:highlight w:val="none"/>
              </w:rPr>
            </w:pPr>
          </w:p>
        </w:tc>
        <w:tc>
          <w:tcPr>
            <w:tcW w:w="1531" w:type="dxa"/>
            <w:tcBorders>
              <w:top w:val="single" w:color="auto" w:sz="4" w:space="0"/>
              <w:left w:val="single" w:color="auto" w:sz="4" w:space="0"/>
              <w:bottom w:val="single" w:color="auto" w:sz="4" w:space="0"/>
              <w:right w:val="single" w:color="auto" w:sz="4" w:space="0"/>
            </w:tcBorders>
            <w:vAlign w:val="center"/>
          </w:tcPr>
          <w:p>
            <w:pPr>
              <w:pStyle w:val="376"/>
              <w:kinsoku w:val="0"/>
              <w:snapToGrid w:val="0"/>
              <w:spacing w:line="240" w:lineRule="exact"/>
              <w:ind w:firstLine="0" w:firstLineChars="0"/>
              <w:jc w:val="center"/>
              <w:rPr>
                <w:rFonts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19" w:hRule="atLeast"/>
          <w:jc w:val="center"/>
        </w:trPr>
        <w:tc>
          <w:tcPr>
            <w:tcW w:w="6663" w:type="dxa"/>
            <w:gridSpan w:val="3"/>
            <w:tcBorders>
              <w:top w:val="single" w:color="auto" w:sz="4" w:space="0"/>
              <w:left w:val="single" w:color="auto" w:sz="4" w:space="0"/>
              <w:bottom w:val="single" w:color="auto" w:sz="4" w:space="0"/>
              <w:right w:val="single" w:color="auto" w:sz="4" w:space="0"/>
            </w:tcBorders>
            <w:vAlign w:val="center"/>
          </w:tcPr>
          <w:p>
            <w:pPr>
              <w:pStyle w:val="376"/>
              <w:kinsoku w:val="0"/>
              <w:snapToGrid w:val="0"/>
              <w:spacing w:line="240" w:lineRule="exact"/>
              <w:ind w:firstLine="0" w:firstLineChars="0"/>
              <w:jc w:val="center"/>
              <w:rPr>
                <w:rFonts w:ascii="宋体" w:hAnsi="宋体" w:cs="宋体"/>
                <w:b/>
                <w:bCs/>
                <w:szCs w:val="21"/>
                <w:highlight w:val="none"/>
              </w:rPr>
            </w:pPr>
            <w:r>
              <w:rPr>
                <w:rFonts w:hint="eastAsia" w:ascii="宋体" w:hAnsi="宋体" w:cs="宋体"/>
                <w:b/>
                <w:bCs/>
                <w:szCs w:val="21"/>
                <w:highlight w:val="none"/>
              </w:rPr>
              <w:t>合计</w:t>
            </w:r>
          </w:p>
        </w:tc>
        <w:tc>
          <w:tcPr>
            <w:tcW w:w="1423" w:type="dxa"/>
            <w:tcBorders>
              <w:top w:val="single" w:color="auto" w:sz="4" w:space="0"/>
              <w:left w:val="single" w:color="auto" w:sz="4" w:space="0"/>
              <w:bottom w:val="single" w:color="auto" w:sz="4" w:space="0"/>
              <w:right w:val="single" w:color="auto" w:sz="4" w:space="0"/>
            </w:tcBorders>
            <w:vAlign w:val="center"/>
          </w:tcPr>
          <w:p>
            <w:pPr>
              <w:pStyle w:val="376"/>
              <w:kinsoku w:val="0"/>
              <w:snapToGrid w:val="0"/>
              <w:spacing w:line="240" w:lineRule="exact"/>
              <w:ind w:firstLine="0" w:firstLineChars="0"/>
              <w:jc w:val="center"/>
              <w:rPr>
                <w:rFonts w:ascii="宋体" w:hAnsi="宋体" w:cs="宋体"/>
                <w:b/>
                <w:bCs/>
                <w:szCs w:val="21"/>
                <w:highlight w:val="none"/>
              </w:rPr>
            </w:pPr>
          </w:p>
        </w:tc>
        <w:tc>
          <w:tcPr>
            <w:tcW w:w="1531" w:type="dxa"/>
            <w:tcBorders>
              <w:top w:val="single" w:color="auto" w:sz="4" w:space="0"/>
              <w:left w:val="single" w:color="auto" w:sz="4" w:space="0"/>
              <w:bottom w:val="single" w:color="auto" w:sz="4" w:space="0"/>
              <w:right w:val="single" w:color="auto" w:sz="4" w:space="0"/>
            </w:tcBorders>
            <w:vAlign w:val="center"/>
          </w:tcPr>
          <w:p>
            <w:pPr>
              <w:pStyle w:val="376"/>
              <w:kinsoku w:val="0"/>
              <w:snapToGrid w:val="0"/>
              <w:spacing w:line="240" w:lineRule="exact"/>
              <w:ind w:firstLine="0" w:firstLineChars="0"/>
              <w:jc w:val="center"/>
              <w:rPr>
                <w:rFonts w:ascii="宋体" w:hAnsi="宋体" w:cs="宋体"/>
                <w:b/>
                <w:bCs/>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281" w:hRule="atLeast"/>
          <w:jc w:val="center"/>
        </w:trPr>
        <w:tc>
          <w:tcPr>
            <w:tcW w:w="9617" w:type="dxa"/>
            <w:gridSpan w:val="5"/>
            <w:tcBorders>
              <w:top w:val="single" w:color="auto" w:sz="4" w:space="0"/>
              <w:left w:val="single" w:color="auto" w:sz="4" w:space="0"/>
              <w:bottom w:val="single" w:color="auto" w:sz="4" w:space="0"/>
              <w:right w:val="single" w:color="auto" w:sz="4" w:space="0"/>
            </w:tcBorders>
            <w:vAlign w:val="center"/>
          </w:tcPr>
          <w:p>
            <w:pPr>
              <w:pStyle w:val="376"/>
              <w:kinsoku w:val="0"/>
              <w:snapToGrid w:val="0"/>
              <w:spacing w:line="600" w:lineRule="exact"/>
              <w:ind w:firstLine="0" w:firstLineChars="0"/>
              <w:jc w:val="left"/>
              <w:rPr>
                <w:rFonts w:ascii="宋体" w:hAnsi="宋体"/>
                <w:szCs w:val="21"/>
                <w:highlight w:val="none"/>
              </w:rPr>
            </w:pPr>
            <w:r>
              <w:rPr>
                <w:rFonts w:hint="eastAsia" w:ascii="宋体" w:hAnsi="宋体" w:cs="宋体"/>
                <w:b/>
                <w:bCs/>
                <w:szCs w:val="21"/>
                <w:highlight w:val="none"/>
              </w:rPr>
              <w:t>合计总金额：</w:t>
            </w:r>
            <w:r>
              <w:rPr>
                <w:rFonts w:hint="eastAsia" w:ascii="宋体" w:hAnsi="宋体"/>
                <w:szCs w:val="21"/>
                <w:highlight w:val="none"/>
              </w:rPr>
              <w:t>（大写）人民币_________________元，（小写）¥_______________</w:t>
            </w:r>
          </w:p>
          <w:p>
            <w:pPr>
              <w:pStyle w:val="376"/>
              <w:kinsoku w:val="0"/>
              <w:snapToGrid w:val="0"/>
              <w:spacing w:line="600" w:lineRule="exact"/>
              <w:ind w:firstLine="0" w:firstLineChars="0"/>
              <w:jc w:val="left"/>
              <w:rPr>
                <w:rFonts w:ascii="宋体" w:hAnsi="宋体"/>
                <w:szCs w:val="21"/>
                <w:highlight w:val="none"/>
                <w:u w:val="single"/>
              </w:rPr>
            </w:pPr>
            <w:r>
              <w:rPr>
                <w:rFonts w:hint="eastAsia" w:ascii="宋体" w:hAnsi="宋体" w:cs="宋体"/>
                <w:b/>
                <w:bCs/>
                <w:kern w:val="0"/>
                <w:szCs w:val="21"/>
                <w:highlight w:val="none"/>
                <w:lang w:bidi="ar"/>
              </w:rPr>
              <w:t>服务期：</w:t>
            </w:r>
            <w:r>
              <w:rPr>
                <w:rFonts w:hint="eastAsia" w:ascii="宋体" w:hAnsi="宋体" w:cs="宋体"/>
                <w:kern w:val="0"/>
                <w:szCs w:val="21"/>
                <w:highlight w:val="none"/>
                <w:u w:val="single"/>
                <w:lang w:bidi="ar"/>
              </w:rPr>
              <w:t xml:space="preserve">                      .</w:t>
            </w:r>
          </w:p>
        </w:tc>
      </w:tr>
    </w:tbl>
    <w:p>
      <w:pPr>
        <w:kinsoku w:val="0"/>
        <w:spacing w:before="156" w:beforeLines="50" w:after="156" w:afterLines="50" w:line="360" w:lineRule="exact"/>
        <w:ind w:firstLine="210" w:firstLineChars="100"/>
        <w:rPr>
          <w:rFonts w:ascii="宋体" w:hAnsi="宋体" w:cs="宋体"/>
          <w:szCs w:val="21"/>
          <w:highlight w:val="none"/>
        </w:rPr>
      </w:pPr>
      <w:r>
        <w:rPr>
          <w:rFonts w:hint="eastAsia" w:ascii="宋体" w:hAnsi="宋体" w:cs="宋体"/>
          <w:szCs w:val="21"/>
          <w:highlight w:val="none"/>
        </w:rPr>
        <w:t>注：1、所有价格精确到小数点后两位。</w:t>
      </w:r>
    </w:p>
    <w:p>
      <w:pPr>
        <w:kinsoku w:val="0"/>
        <w:spacing w:line="500" w:lineRule="exact"/>
        <w:ind w:firstLine="630" w:firstLineChars="300"/>
        <w:rPr>
          <w:rFonts w:ascii="宋体" w:hAnsi="宋体" w:cs="宋体"/>
          <w:bCs/>
          <w:highlight w:val="none"/>
        </w:rPr>
      </w:pPr>
      <w:r>
        <w:rPr>
          <w:rFonts w:hint="eastAsia" w:ascii="宋体" w:hAnsi="宋体" w:cs="宋体"/>
          <w:bCs/>
          <w:highlight w:val="none"/>
        </w:rPr>
        <w:t>2、报价包含内容见第三章采购项目需求中的要求。</w:t>
      </w:r>
    </w:p>
    <w:p>
      <w:pPr>
        <w:kinsoku w:val="0"/>
        <w:adjustRightInd w:val="0"/>
        <w:snapToGrid w:val="0"/>
        <w:spacing w:line="300" w:lineRule="exact"/>
        <w:ind w:left="735" w:leftChars="200" w:hanging="315" w:hangingChars="150"/>
        <w:rPr>
          <w:rFonts w:ascii="宋体" w:hAnsi="宋体" w:cs="宋体"/>
          <w:szCs w:val="21"/>
          <w:highlight w:val="none"/>
        </w:rPr>
      </w:pPr>
    </w:p>
    <w:p>
      <w:pPr>
        <w:pStyle w:val="29"/>
        <w:kinsoku w:val="0"/>
        <w:spacing w:line="500" w:lineRule="exact"/>
        <w:ind w:firstLine="420" w:firstLineChars="200"/>
        <w:rPr>
          <w:rFonts w:hAnsi="宋体" w:cs="宋体"/>
          <w:highlight w:val="none"/>
        </w:rPr>
      </w:pPr>
    </w:p>
    <w:p>
      <w:pPr>
        <w:pStyle w:val="29"/>
        <w:kinsoku w:val="0"/>
        <w:spacing w:line="500" w:lineRule="exact"/>
        <w:ind w:firstLine="420" w:firstLineChars="200"/>
        <w:rPr>
          <w:rFonts w:hAnsi="宋体" w:cs="宋体"/>
          <w:highlight w:val="none"/>
          <w:u w:val="single"/>
        </w:rPr>
      </w:pPr>
      <w:r>
        <w:rPr>
          <w:rFonts w:hint="eastAsia" w:hAnsi="宋体" w:cs="宋体"/>
          <w:highlight w:val="none"/>
        </w:rPr>
        <w:t>法定代表人（负责人）或委托代理人（签字）：</w:t>
      </w:r>
      <w:r>
        <w:rPr>
          <w:rFonts w:hint="eastAsia" w:hAnsi="宋体" w:cs="宋体"/>
          <w:highlight w:val="none"/>
          <w:u w:val="single"/>
        </w:rPr>
        <w:t xml:space="preserve">             </w:t>
      </w:r>
    </w:p>
    <w:p>
      <w:pPr>
        <w:pStyle w:val="29"/>
        <w:kinsoku w:val="0"/>
        <w:spacing w:line="500" w:lineRule="exact"/>
        <w:ind w:firstLine="420" w:firstLineChars="200"/>
        <w:rPr>
          <w:rFonts w:hAnsi="宋体" w:cs="宋体"/>
          <w:highlight w:val="none"/>
          <w:u w:val="single"/>
        </w:rPr>
      </w:pPr>
      <w:r>
        <w:rPr>
          <w:rFonts w:hint="eastAsia" w:hAnsi="宋体" w:cs="宋体"/>
          <w:highlight w:val="none"/>
        </w:rPr>
        <w:t>投标人名称（公章）：</w:t>
      </w:r>
      <w:r>
        <w:rPr>
          <w:rFonts w:hint="eastAsia" w:hAnsi="宋体" w:cs="宋体"/>
          <w:highlight w:val="none"/>
          <w:u w:val="single"/>
        </w:rPr>
        <w:t xml:space="preserve">       </w:t>
      </w:r>
    </w:p>
    <w:p>
      <w:pPr>
        <w:kinsoku w:val="0"/>
        <w:spacing w:line="500" w:lineRule="exact"/>
        <w:ind w:firstLine="420" w:firstLineChars="200"/>
        <w:rPr>
          <w:rFonts w:ascii="宋体" w:hAnsi="宋体" w:cs="宋体"/>
          <w:szCs w:val="21"/>
          <w:highlight w:val="none"/>
        </w:rPr>
      </w:pPr>
      <w:r>
        <w:rPr>
          <w:rFonts w:hint="eastAsia" w:ascii="宋体" w:hAnsi="宋体" w:cs="宋体"/>
          <w:highlight w:val="none"/>
        </w:rPr>
        <w:t>报价时间：</w:t>
      </w:r>
      <w:r>
        <w:rPr>
          <w:rFonts w:hint="eastAsia" w:ascii="宋体" w:hAnsi="宋体" w:cs="宋体"/>
          <w:highlight w:val="none"/>
          <w:u w:val="single"/>
        </w:rPr>
        <w:t xml:space="preserve">     </w:t>
      </w:r>
      <w:r>
        <w:rPr>
          <w:rFonts w:hint="eastAsia" w:ascii="宋体" w:hAnsi="宋体" w:cs="宋体"/>
          <w:highlight w:val="none"/>
        </w:rPr>
        <w:t>年</w:t>
      </w:r>
      <w:r>
        <w:rPr>
          <w:rFonts w:hint="eastAsia" w:ascii="宋体" w:hAnsi="宋体" w:cs="宋体"/>
          <w:highlight w:val="none"/>
          <w:u w:val="single"/>
        </w:rPr>
        <w:t xml:space="preserve">     </w:t>
      </w:r>
      <w:r>
        <w:rPr>
          <w:rFonts w:hint="eastAsia" w:ascii="宋体" w:hAnsi="宋体" w:cs="宋体"/>
          <w:highlight w:val="none"/>
        </w:rPr>
        <w:t>月</w:t>
      </w:r>
      <w:r>
        <w:rPr>
          <w:rFonts w:hint="eastAsia" w:ascii="宋体" w:hAnsi="宋体" w:cs="宋体"/>
          <w:highlight w:val="none"/>
          <w:u w:val="single"/>
        </w:rPr>
        <w:t xml:space="preserve">    </w:t>
      </w:r>
      <w:r>
        <w:rPr>
          <w:rFonts w:hint="eastAsia" w:ascii="宋体" w:hAnsi="宋体" w:cs="宋体"/>
          <w:highlight w:val="none"/>
        </w:rPr>
        <w:t>日</w:t>
      </w:r>
    </w:p>
    <w:p>
      <w:pPr>
        <w:kinsoku w:val="0"/>
        <w:spacing w:line="500" w:lineRule="exact"/>
        <w:ind w:firstLine="420"/>
        <w:rPr>
          <w:rFonts w:ascii="宋体" w:hAnsi="宋体" w:cs="宋体"/>
          <w:szCs w:val="21"/>
          <w:highlight w:val="none"/>
        </w:rPr>
      </w:pPr>
    </w:p>
    <w:p>
      <w:pPr>
        <w:kinsoku w:val="0"/>
        <w:adjustRightInd w:val="0"/>
        <w:snapToGrid w:val="0"/>
        <w:spacing w:line="300" w:lineRule="auto"/>
        <w:ind w:left="-88" w:leftChars="-42"/>
        <w:rPr>
          <w:rFonts w:ascii="宋体" w:hAnsi="宋体" w:cs="宋体"/>
          <w:b/>
          <w:szCs w:val="21"/>
          <w:highlight w:val="none"/>
        </w:rPr>
      </w:pPr>
      <w:r>
        <w:rPr>
          <w:rFonts w:hint="eastAsia" w:ascii="宋体" w:hAnsi="宋体" w:cs="宋体"/>
          <w:b/>
          <w:sz w:val="32"/>
          <w:szCs w:val="32"/>
          <w:highlight w:val="none"/>
        </w:rPr>
        <w:br w:type="page"/>
      </w:r>
      <w:r>
        <w:rPr>
          <w:rFonts w:hint="eastAsia" w:ascii="宋体" w:hAnsi="宋体" w:cs="宋体"/>
          <w:b/>
          <w:szCs w:val="21"/>
          <w:highlight w:val="none"/>
        </w:rPr>
        <w:t xml:space="preserve">附件3  </w:t>
      </w:r>
    </w:p>
    <w:p>
      <w:pPr>
        <w:kinsoku w:val="0"/>
        <w:spacing w:line="300" w:lineRule="auto"/>
        <w:rPr>
          <w:rFonts w:ascii="宋体" w:hAnsi="宋体" w:cs="宋体"/>
          <w:b/>
          <w:szCs w:val="21"/>
          <w:highlight w:val="none"/>
        </w:rPr>
      </w:pPr>
    </w:p>
    <w:p>
      <w:pPr>
        <w:kinsoku w:val="0"/>
        <w:spacing w:line="300" w:lineRule="auto"/>
        <w:jc w:val="center"/>
        <w:rPr>
          <w:rFonts w:ascii="宋体" w:hAnsi="宋体" w:cs="宋体"/>
          <w:sz w:val="30"/>
          <w:szCs w:val="30"/>
          <w:highlight w:val="none"/>
        </w:rPr>
      </w:pPr>
      <w:r>
        <w:rPr>
          <w:rFonts w:hint="eastAsia" w:ascii="宋体" w:hAnsi="宋体" w:cs="宋体"/>
          <w:sz w:val="30"/>
          <w:szCs w:val="30"/>
          <w:highlight w:val="none"/>
        </w:rPr>
        <w:t>商务服务（技术）响应偏离情况说明表</w:t>
      </w:r>
    </w:p>
    <w:p>
      <w:pPr>
        <w:kinsoku w:val="0"/>
        <w:spacing w:line="300" w:lineRule="auto"/>
        <w:rPr>
          <w:rFonts w:ascii="宋体" w:hAnsi="宋体" w:cs="宋体"/>
          <w:szCs w:val="21"/>
          <w:highlight w:val="none"/>
        </w:rPr>
      </w:pPr>
    </w:p>
    <w:p>
      <w:pPr>
        <w:kinsoku w:val="0"/>
        <w:spacing w:before="156" w:beforeLines="50" w:after="156" w:afterLines="50" w:line="360" w:lineRule="exact"/>
        <w:ind w:firstLine="210" w:firstLineChars="100"/>
        <w:rPr>
          <w:rFonts w:ascii="宋体" w:hAnsi="宋体" w:cs="宋体"/>
          <w:szCs w:val="21"/>
          <w:highlight w:val="none"/>
          <w:u w:val="single"/>
        </w:rPr>
      </w:pPr>
      <w:r>
        <w:rPr>
          <w:rFonts w:hint="eastAsia" w:ascii="宋体" w:hAnsi="宋体" w:cs="宋体"/>
          <w:szCs w:val="21"/>
          <w:highlight w:val="none"/>
        </w:rPr>
        <w:t>项目名称：</w:t>
      </w:r>
      <w:r>
        <w:rPr>
          <w:rFonts w:hint="eastAsia" w:ascii="宋体" w:hAnsi="宋体" w:cs="宋体"/>
          <w:szCs w:val="21"/>
          <w:highlight w:val="none"/>
          <w:u w:val="single"/>
        </w:rPr>
        <w:t xml:space="preserve">                </w:t>
      </w:r>
    </w:p>
    <w:p>
      <w:pPr>
        <w:kinsoku w:val="0"/>
        <w:spacing w:before="156" w:beforeLines="50" w:after="156" w:afterLines="50" w:line="360" w:lineRule="exact"/>
        <w:ind w:firstLine="210" w:firstLineChars="100"/>
        <w:rPr>
          <w:rFonts w:ascii="宋体" w:hAnsi="宋体" w:cs="宋体"/>
          <w:szCs w:val="21"/>
          <w:highlight w:val="none"/>
          <w:u w:val="single"/>
        </w:rPr>
      </w:pPr>
      <w:r>
        <w:rPr>
          <w:rFonts w:hint="eastAsia" w:ascii="宋体" w:hAnsi="宋体" w:cs="宋体"/>
          <w:szCs w:val="21"/>
          <w:highlight w:val="none"/>
        </w:rPr>
        <w:t xml:space="preserve">项目编号：         </w:t>
      </w:r>
    </w:p>
    <w:tbl>
      <w:tblPr>
        <w:tblStyle w:val="58"/>
        <w:tblW w:w="9185" w:type="dxa"/>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28" w:type="dxa"/>
          <w:bottom w:w="0" w:type="dxa"/>
          <w:right w:w="28" w:type="dxa"/>
        </w:tblCellMar>
      </w:tblPr>
      <w:tblGrid>
        <w:gridCol w:w="606"/>
        <w:gridCol w:w="2809"/>
        <w:gridCol w:w="2945"/>
        <w:gridCol w:w="1464"/>
        <w:gridCol w:w="1361"/>
      </w:tblGrid>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28" w:type="dxa"/>
            <w:bottom w:w="0" w:type="dxa"/>
            <w:right w:w="28" w:type="dxa"/>
          </w:tblCellMar>
        </w:tblPrEx>
        <w:trPr>
          <w:trHeight w:val="420" w:hRule="atLeast"/>
          <w:jc w:val="center"/>
        </w:trPr>
        <w:tc>
          <w:tcPr>
            <w:tcW w:w="606" w:type="dxa"/>
            <w:vAlign w:val="center"/>
          </w:tcPr>
          <w:p>
            <w:pPr>
              <w:kinsoku w:val="0"/>
              <w:adjustRightInd w:val="0"/>
              <w:snapToGrid w:val="0"/>
              <w:spacing w:line="300" w:lineRule="auto"/>
              <w:jc w:val="center"/>
              <w:outlineLvl w:val="0"/>
              <w:rPr>
                <w:rFonts w:ascii="宋体" w:hAnsi="宋体" w:cs="宋体"/>
                <w:szCs w:val="21"/>
                <w:highlight w:val="none"/>
              </w:rPr>
            </w:pPr>
            <w:r>
              <w:rPr>
                <w:rFonts w:hint="eastAsia" w:ascii="宋体" w:hAnsi="宋体" w:cs="宋体"/>
                <w:szCs w:val="21"/>
                <w:highlight w:val="none"/>
              </w:rPr>
              <w:t xml:space="preserve">                     </w:t>
            </w:r>
            <w:bookmarkStart w:id="47" w:name="_Toc173211900"/>
            <w:bookmarkStart w:id="48" w:name="_Toc405905876"/>
            <w:bookmarkStart w:id="49" w:name="_Toc254970729"/>
            <w:bookmarkStart w:id="50" w:name="_Toc254970588"/>
            <w:bookmarkStart w:id="51" w:name="_Toc173066401"/>
            <w:r>
              <w:rPr>
                <w:rFonts w:hint="eastAsia" w:ascii="宋体" w:hAnsi="宋体" w:cs="宋体"/>
                <w:szCs w:val="21"/>
                <w:highlight w:val="none"/>
              </w:rPr>
              <w:t>序号</w:t>
            </w:r>
            <w:bookmarkEnd w:id="47"/>
            <w:bookmarkEnd w:id="48"/>
            <w:bookmarkEnd w:id="49"/>
            <w:bookmarkEnd w:id="50"/>
            <w:bookmarkEnd w:id="51"/>
          </w:p>
        </w:tc>
        <w:tc>
          <w:tcPr>
            <w:tcW w:w="2809" w:type="dxa"/>
            <w:vAlign w:val="center"/>
          </w:tcPr>
          <w:p>
            <w:pPr>
              <w:kinsoku w:val="0"/>
              <w:adjustRightInd w:val="0"/>
              <w:snapToGrid w:val="0"/>
              <w:spacing w:line="300" w:lineRule="auto"/>
              <w:jc w:val="center"/>
              <w:outlineLvl w:val="0"/>
              <w:rPr>
                <w:rFonts w:ascii="宋体" w:hAnsi="宋体" w:cs="宋体"/>
                <w:szCs w:val="21"/>
                <w:highlight w:val="none"/>
              </w:rPr>
            </w:pPr>
            <w:bookmarkStart w:id="52" w:name="_Toc254970730"/>
            <w:bookmarkStart w:id="53" w:name="_Toc254970589"/>
            <w:bookmarkStart w:id="54" w:name="_Toc173066402"/>
            <w:bookmarkStart w:id="55" w:name="_Toc405905877"/>
            <w:bookmarkStart w:id="56" w:name="_Toc173211901"/>
            <w:r>
              <w:rPr>
                <w:rFonts w:hint="eastAsia" w:ascii="宋体" w:hAnsi="宋体" w:cs="宋体"/>
                <w:szCs w:val="21"/>
                <w:highlight w:val="none"/>
              </w:rPr>
              <w:t>竞争性磋商文件要求</w:t>
            </w:r>
            <w:bookmarkEnd w:id="52"/>
            <w:bookmarkEnd w:id="53"/>
            <w:bookmarkEnd w:id="54"/>
            <w:bookmarkEnd w:id="55"/>
            <w:bookmarkEnd w:id="56"/>
          </w:p>
        </w:tc>
        <w:tc>
          <w:tcPr>
            <w:tcW w:w="2945" w:type="dxa"/>
            <w:vAlign w:val="center"/>
          </w:tcPr>
          <w:p>
            <w:pPr>
              <w:kinsoku w:val="0"/>
              <w:adjustRightInd w:val="0"/>
              <w:snapToGrid w:val="0"/>
              <w:spacing w:line="300" w:lineRule="auto"/>
              <w:jc w:val="center"/>
              <w:outlineLvl w:val="0"/>
              <w:rPr>
                <w:rFonts w:ascii="宋体" w:hAnsi="宋体" w:cs="宋体"/>
                <w:szCs w:val="21"/>
                <w:highlight w:val="none"/>
              </w:rPr>
            </w:pPr>
            <w:bookmarkStart w:id="57" w:name="_Toc254970590"/>
            <w:bookmarkStart w:id="58" w:name="_Toc254970731"/>
            <w:bookmarkStart w:id="59" w:name="_Toc173066403"/>
            <w:bookmarkStart w:id="60" w:name="_Toc405905878"/>
            <w:bookmarkStart w:id="61" w:name="_Toc173211902"/>
            <w:r>
              <w:rPr>
                <w:rFonts w:hint="eastAsia" w:ascii="宋体" w:hAnsi="宋体" w:cs="宋体"/>
                <w:szCs w:val="21"/>
                <w:highlight w:val="none"/>
              </w:rPr>
              <w:t>响应文件具体响应</w:t>
            </w:r>
            <w:bookmarkEnd w:id="57"/>
            <w:bookmarkEnd w:id="58"/>
            <w:bookmarkEnd w:id="59"/>
            <w:bookmarkEnd w:id="60"/>
            <w:bookmarkEnd w:id="61"/>
          </w:p>
        </w:tc>
        <w:tc>
          <w:tcPr>
            <w:tcW w:w="1464" w:type="dxa"/>
            <w:vAlign w:val="center"/>
          </w:tcPr>
          <w:p>
            <w:pPr>
              <w:kinsoku w:val="0"/>
              <w:adjustRightInd w:val="0"/>
              <w:snapToGrid w:val="0"/>
              <w:spacing w:line="300" w:lineRule="auto"/>
              <w:jc w:val="center"/>
              <w:outlineLvl w:val="0"/>
              <w:rPr>
                <w:rFonts w:ascii="宋体" w:hAnsi="宋体" w:cs="宋体"/>
                <w:szCs w:val="21"/>
                <w:highlight w:val="none"/>
              </w:rPr>
            </w:pPr>
            <w:bookmarkStart w:id="62" w:name="_Toc405905879"/>
            <w:bookmarkStart w:id="63" w:name="_Toc254970591"/>
            <w:bookmarkStart w:id="64" w:name="_Toc173211903"/>
            <w:bookmarkStart w:id="65" w:name="_Toc254970732"/>
            <w:bookmarkStart w:id="66" w:name="_Toc173066404"/>
            <w:r>
              <w:rPr>
                <w:rFonts w:hint="eastAsia" w:ascii="宋体" w:hAnsi="宋体" w:cs="宋体"/>
                <w:szCs w:val="21"/>
                <w:highlight w:val="none"/>
              </w:rPr>
              <w:t>偏离</w:t>
            </w:r>
            <w:bookmarkEnd w:id="62"/>
            <w:bookmarkEnd w:id="63"/>
            <w:bookmarkEnd w:id="64"/>
            <w:bookmarkEnd w:id="65"/>
            <w:bookmarkEnd w:id="66"/>
            <w:r>
              <w:rPr>
                <w:rFonts w:hint="eastAsia" w:ascii="宋体" w:hAnsi="宋体" w:cs="宋体"/>
                <w:szCs w:val="21"/>
                <w:highlight w:val="none"/>
              </w:rPr>
              <w:t>情况</w:t>
            </w:r>
          </w:p>
        </w:tc>
        <w:tc>
          <w:tcPr>
            <w:tcW w:w="1361" w:type="dxa"/>
            <w:vAlign w:val="center"/>
          </w:tcPr>
          <w:p>
            <w:pPr>
              <w:kinsoku w:val="0"/>
              <w:adjustRightInd w:val="0"/>
              <w:snapToGrid w:val="0"/>
              <w:spacing w:line="300" w:lineRule="auto"/>
              <w:jc w:val="center"/>
              <w:outlineLvl w:val="0"/>
              <w:rPr>
                <w:rFonts w:ascii="宋体" w:hAnsi="宋体" w:cs="宋体"/>
                <w:szCs w:val="21"/>
                <w:highlight w:val="none"/>
              </w:rPr>
            </w:pPr>
            <w:r>
              <w:rPr>
                <w:rFonts w:hint="eastAsia" w:ascii="宋体" w:hAnsi="宋体" w:cs="宋体"/>
                <w:szCs w:val="21"/>
                <w:highlight w:val="none"/>
              </w:rPr>
              <w:t>备注</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28" w:type="dxa"/>
            <w:bottom w:w="0" w:type="dxa"/>
            <w:right w:w="28" w:type="dxa"/>
          </w:tblCellMar>
        </w:tblPrEx>
        <w:trPr>
          <w:trHeight w:val="405" w:hRule="atLeast"/>
          <w:jc w:val="center"/>
        </w:trPr>
        <w:tc>
          <w:tcPr>
            <w:tcW w:w="9185" w:type="dxa"/>
            <w:gridSpan w:val="5"/>
            <w:vAlign w:val="center"/>
          </w:tcPr>
          <w:p>
            <w:pPr>
              <w:kinsoku w:val="0"/>
              <w:adjustRightInd w:val="0"/>
              <w:snapToGrid w:val="0"/>
              <w:spacing w:line="240" w:lineRule="exact"/>
              <w:jc w:val="center"/>
              <w:outlineLvl w:val="0"/>
              <w:rPr>
                <w:rFonts w:ascii="宋体" w:hAnsi="宋体" w:cs="宋体"/>
                <w:szCs w:val="21"/>
                <w:highlight w:val="none"/>
              </w:rPr>
            </w:pPr>
            <w:bookmarkStart w:id="67" w:name="_Toc405905881"/>
            <w:r>
              <w:rPr>
                <w:rFonts w:hint="eastAsia" w:ascii="宋体" w:hAnsi="宋体" w:cs="宋体"/>
                <w:szCs w:val="21"/>
                <w:highlight w:val="none"/>
              </w:rPr>
              <w:t>商务部分</w:t>
            </w:r>
            <w:bookmarkEnd w:id="67"/>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28" w:type="dxa"/>
            <w:bottom w:w="0" w:type="dxa"/>
            <w:right w:w="28" w:type="dxa"/>
          </w:tblCellMar>
        </w:tblPrEx>
        <w:trPr>
          <w:trHeight w:val="405" w:hRule="atLeast"/>
          <w:jc w:val="center"/>
        </w:trPr>
        <w:tc>
          <w:tcPr>
            <w:tcW w:w="606" w:type="dxa"/>
            <w:vAlign w:val="center"/>
          </w:tcPr>
          <w:p>
            <w:pPr>
              <w:kinsoku w:val="0"/>
              <w:adjustRightInd w:val="0"/>
              <w:snapToGrid w:val="0"/>
              <w:spacing w:line="240" w:lineRule="exact"/>
              <w:jc w:val="center"/>
              <w:outlineLvl w:val="0"/>
              <w:rPr>
                <w:rFonts w:ascii="宋体" w:hAnsi="宋体" w:cs="宋体"/>
                <w:szCs w:val="21"/>
                <w:highlight w:val="none"/>
              </w:rPr>
            </w:pPr>
            <w:bookmarkStart w:id="68" w:name="_Toc254970593"/>
            <w:bookmarkStart w:id="69" w:name="_Toc173066406"/>
            <w:bookmarkStart w:id="70" w:name="_Toc405905882"/>
            <w:bookmarkStart w:id="71" w:name="_Toc173211905"/>
            <w:bookmarkStart w:id="72" w:name="_Toc254970734"/>
            <w:r>
              <w:rPr>
                <w:rFonts w:hint="eastAsia" w:ascii="宋体" w:hAnsi="宋体" w:cs="宋体"/>
                <w:szCs w:val="21"/>
                <w:highlight w:val="none"/>
              </w:rPr>
              <w:t>1</w:t>
            </w:r>
            <w:bookmarkEnd w:id="68"/>
            <w:bookmarkEnd w:id="69"/>
            <w:bookmarkEnd w:id="70"/>
            <w:bookmarkEnd w:id="71"/>
            <w:bookmarkEnd w:id="72"/>
          </w:p>
        </w:tc>
        <w:tc>
          <w:tcPr>
            <w:tcW w:w="2809" w:type="dxa"/>
            <w:vAlign w:val="center"/>
          </w:tcPr>
          <w:p>
            <w:pPr>
              <w:kinsoku w:val="0"/>
              <w:adjustRightInd w:val="0"/>
              <w:snapToGrid w:val="0"/>
              <w:spacing w:line="240" w:lineRule="exact"/>
              <w:jc w:val="center"/>
              <w:outlineLvl w:val="0"/>
              <w:rPr>
                <w:rFonts w:ascii="宋体" w:hAnsi="宋体" w:cs="宋体"/>
                <w:szCs w:val="21"/>
                <w:highlight w:val="none"/>
              </w:rPr>
            </w:pPr>
          </w:p>
        </w:tc>
        <w:tc>
          <w:tcPr>
            <w:tcW w:w="2945" w:type="dxa"/>
            <w:vAlign w:val="center"/>
          </w:tcPr>
          <w:p>
            <w:pPr>
              <w:kinsoku w:val="0"/>
              <w:adjustRightInd w:val="0"/>
              <w:snapToGrid w:val="0"/>
              <w:spacing w:line="240" w:lineRule="exact"/>
              <w:jc w:val="center"/>
              <w:outlineLvl w:val="0"/>
              <w:rPr>
                <w:rFonts w:ascii="宋体" w:hAnsi="宋体" w:cs="宋体"/>
                <w:szCs w:val="21"/>
                <w:highlight w:val="none"/>
              </w:rPr>
            </w:pPr>
          </w:p>
        </w:tc>
        <w:tc>
          <w:tcPr>
            <w:tcW w:w="1464" w:type="dxa"/>
            <w:vAlign w:val="center"/>
          </w:tcPr>
          <w:p>
            <w:pPr>
              <w:kinsoku w:val="0"/>
              <w:adjustRightInd w:val="0"/>
              <w:snapToGrid w:val="0"/>
              <w:spacing w:line="240" w:lineRule="exact"/>
              <w:jc w:val="center"/>
              <w:outlineLvl w:val="0"/>
              <w:rPr>
                <w:rFonts w:ascii="宋体" w:hAnsi="宋体" w:cs="宋体"/>
                <w:szCs w:val="21"/>
                <w:highlight w:val="none"/>
              </w:rPr>
            </w:pPr>
          </w:p>
        </w:tc>
        <w:tc>
          <w:tcPr>
            <w:tcW w:w="1361" w:type="dxa"/>
            <w:vAlign w:val="center"/>
          </w:tcPr>
          <w:p>
            <w:pPr>
              <w:kinsoku w:val="0"/>
              <w:adjustRightInd w:val="0"/>
              <w:snapToGrid w:val="0"/>
              <w:spacing w:line="240" w:lineRule="exact"/>
              <w:jc w:val="center"/>
              <w:outlineLvl w:val="0"/>
              <w:rPr>
                <w:rFonts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28" w:type="dxa"/>
            <w:bottom w:w="0" w:type="dxa"/>
            <w:right w:w="28" w:type="dxa"/>
          </w:tblCellMar>
        </w:tblPrEx>
        <w:trPr>
          <w:trHeight w:val="405" w:hRule="atLeast"/>
          <w:jc w:val="center"/>
        </w:trPr>
        <w:tc>
          <w:tcPr>
            <w:tcW w:w="606" w:type="dxa"/>
            <w:vAlign w:val="center"/>
          </w:tcPr>
          <w:p>
            <w:pPr>
              <w:kinsoku w:val="0"/>
              <w:adjustRightInd w:val="0"/>
              <w:snapToGrid w:val="0"/>
              <w:spacing w:line="240" w:lineRule="exact"/>
              <w:jc w:val="center"/>
              <w:outlineLvl w:val="0"/>
              <w:rPr>
                <w:rFonts w:ascii="宋体" w:hAnsi="宋体" w:cs="宋体"/>
                <w:szCs w:val="21"/>
                <w:highlight w:val="none"/>
              </w:rPr>
            </w:pPr>
            <w:bookmarkStart w:id="73" w:name="_Toc173211906"/>
            <w:bookmarkStart w:id="74" w:name="_Toc254970594"/>
            <w:bookmarkStart w:id="75" w:name="_Toc254970735"/>
            <w:bookmarkStart w:id="76" w:name="_Toc173066407"/>
            <w:bookmarkStart w:id="77" w:name="_Toc405905883"/>
            <w:r>
              <w:rPr>
                <w:rFonts w:hint="eastAsia" w:ascii="宋体" w:hAnsi="宋体" w:cs="宋体"/>
                <w:szCs w:val="21"/>
                <w:highlight w:val="none"/>
              </w:rPr>
              <w:t>2</w:t>
            </w:r>
            <w:bookmarkEnd w:id="73"/>
            <w:bookmarkEnd w:id="74"/>
            <w:bookmarkEnd w:id="75"/>
            <w:bookmarkEnd w:id="76"/>
            <w:bookmarkEnd w:id="77"/>
          </w:p>
        </w:tc>
        <w:tc>
          <w:tcPr>
            <w:tcW w:w="2809" w:type="dxa"/>
            <w:vAlign w:val="center"/>
          </w:tcPr>
          <w:p>
            <w:pPr>
              <w:kinsoku w:val="0"/>
              <w:adjustRightInd w:val="0"/>
              <w:snapToGrid w:val="0"/>
              <w:spacing w:line="240" w:lineRule="exact"/>
              <w:jc w:val="center"/>
              <w:outlineLvl w:val="0"/>
              <w:rPr>
                <w:rFonts w:ascii="宋体" w:hAnsi="宋体" w:cs="宋体"/>
                <w:szCs w:val="21"/>
                <w:highlight w:val="none"/>
              </w:rPr>
            </w:pPr>
          </w:p>
        </w:tc>
        <w:tc>
          <w:tcPr>
            <w:tcW w:w="2945" w:type="dxa"/>
            <w:vAlign w:val="center"/>
          </w:tcPr>
          <w:p>
            <w:pPr>
              <w:kinsoku w:val="0"/>
              <w:adjustRightInd w:val="0"/>
              <w:snapToGrid w:val="0"/>
              <w:spacing w:line="240" w:lineRule="exact"/>
              <w:jc w:val="center"/>
              <w:outlineLvl w:val="0"/>
              <w:rPr>
                <w:rFonts w:ascii="宋体" w:hAnsi="宋体" w:cs="宋体"/>
                <w:szCs w:val="21"/>
                <w:highlight w:val="none"/>
              </w:rPr>
            </w:pPr>
          </w:p>
        </w:tc>
        <w:tc>
          <w:tcPr>
            <w:tcW w:w="1464" w:type="dxa"/>
            <w:vAlign w:val="center"/>
          </w:tcPr>
          <w:p>
            <w:pPr>
              <w:kinsoku w:val="0"/>
              <w:adjustRightInd w:val="0"/>
              <w:snapToGrid w:val="0"/>
              <w:spacing w:line="240" w:lineRule="exact"/>
              <w:jc w:val="center"/>
              <w:outlineLvl w:val="0"/>
              <w:rPr>
                <w:rFonts w:ascii="宋体" w:hAnsi="宋体" w:cs="宋体"/>
                <w:szCs w:val="21"/>
                <w:highlight w:val="none"/>
              </w:rPr>
            </w:pPr>
          </w:p>
        </w:tc>
        <w:tc>
          <w:tcPr>
            <w:tcW w:w="1361" w:type="dxa"/>
            <w:vAlign w:val="center"/>
          </w:tcPr>
          <w:p>
            <w:pPr>
              <w:kinsoku w:val="0"/>
              <w:adjustRightInd w:val="0"/>
              <w:snapToGrid w:val="0"/>
              <w:spacing w:line="240" w:lineRule="exact"/>
              <w:jc w:val="center"/>
              <w:outlineLvl w:val="0"/>
              <w:rPr>
                <w:rFonts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28" w:type="dxa"/>
            <w:bottom w:w="0" w:type="dxa"/>
            <w:right w:w="28" w:type="dxa"/>
          </w:tblCellMar>
        </w:tblPrEx>
        <w:trPr>
          <w:trHeight w:val="405" w:hRule="atLeast"/>
          <w:jc w:val="center"/>
        </w:trPr>
        <w:tc>
          <w:tcPr>
            <w:tcW w:w="606" w:type="dxa"/>
            <w:vAlign w:val="center"/>
          </w:tcPr>
          <w:p>
            <w:pPr>
              <w:kinsoku w:val="0"/>
              <w:adjustRightInd w:val="0"/>
              <w:snapToGrid w:val="0"/>
              <w:spacing w:line="240" w:lineRule="exact"/>
              <w:jc w:val="center"/>
              <w:outlineLvl w:val="0"/>
              <w:rPr>
                <w:rFonts w:ascii="宋体" w:hAnsi="宋体" w:cs="宋体"/>
                <w:szCs w:val="21"/>
                <w:highlight w:val="none"/>
              </w:rPr>
            </w:pPr>
            <w:bookmarkStart w:id="78" w:name="_Toc173211907"/>
            <w:bookmarkStart w:id="79" w:name="_Toc405905884"/>
            <w:bookmarkStart w:id="80" w:name="_Toc254970736"/>
            <w:bookmarkStart w:id="81" w:name="_Toc254970595"/>
            <w:bookmarkStart w:id="82" w:name="_Toc173066408"/>
            <w:r>
              <w:rPr>
                <w:rFonts w:hint="eastAsia" w:ascii="宋体" w:hAnsi="宋体" w:cs="宋体"/>
                <w:szCs w:val="21"/>
                <w:highlight w:val="none"/>
              </w:rPr>
              <w:t>3</w:t>
            </w:r>
            <w:bookmarkEnd w:id="78"/>
            <w:bookmarkEnd w:id="79"/>
            <w:bookmarkEnd w:id="80"/>
            <w:bookmarkEnd w:id="81"/>
            <w:bookmarkEnd w:id="82"/>
          </w:p>
        </w:tc>
        <w:tc>
          <w:tcPr>
            <w:tcW w:w="2809" w:type="dxa"/>
            <w:vAlign w:val="center"/>
          </w:tcPr>
          <w:p>
            <w:pPr>
              <w:kinsoku w:val="0"/>
              <w:adjustRightInd w:val="0"/>
              <w:snapToGrid w:val="0"/>
              <w:spacing w:line="240" w:lineRule="exact"/>
              <w:jc w:val="center"/>
              <w:outlineLvl w:val="0"/>
              <w:rPr>
                <w:rFonts w:ascii="宋体" w:hAnsi="宋体" w:cs="宋体"/>
                <w:szCs w:val="21"/>
                <w:highlight w:val="none"/>
              </w:rPr>
            </w:pPr>
          </w:p>
        </w:tc>
        <w:tc>
          <w:tcPr>
            <w:tcW w:w="2945" w:type="dxa"/>
            <w:vAlign w:val="center"/>
          </w:tcPr>
          <w:p>
            <w:pPr>
              <w:kinsoku w:val="0"/>
              <w:adjustRightInd w:val="0"/>
              <w:snapToGrid w:val="0"/>
              <w:spacing w:line="240" w:lineRule="exact"/>
              <w:jc w:val="center"/>
              <w:outlineLvl w:val="0"/>
              <w:rPr>
                <w:rFonts w:ascii="宋体" w:hAnsi="宋体" w:cs="宋体"/>
                <w:szCs w:val="21"/>
                <w:highlight w:val="none"/>
              </w:rPr>
            </w:pPr>
          </w:p>
        </w:tc>
        <w:tc>
          <w:tcPr>
            <w:tcW w:w="1464" w:type="dxa"/>
            <w:vAlign w:val="center"/>
          </w:tcPr>
          <w:p>
            <w:pPr>
              <w:kinsoku w:val="0"/>
              <w:adjustRightInd w:val="0"/>
              <w:snapToGrid w:val="0"/>
              <w:spacing w:line="240" w:lineRule="exact"/>
              <w:jc w:val="center"/>
              <w:outlineLvl w:val="0"/>
              <w:rPr>
                <w:rFonts w:ascii="宋体" w:hAnsi="宋体" w:cs="宋体"/>
                <w:szCs w:val="21"/>
                <w:highlight w:val="none"/>
              </w:rPr>
            </w:pPr>
          </w:p>
        </w:tc>
        <w:tc>
          <w:tcPr>
            <w:tcW w:w="1361" w:type="dxa"/>
            <w:vAlign w:val="center"/>
          </w:tcPr>
          <w:p>
            <w:pPr>
              <w:kinsoku w:val="0"/>
              <w:adjustRightInd w:val="0"/>
              <w:snapToGrid w:val="0"/>
              <w:spacing w:line="240" w:lineRule="exact"/>
              <w:jc w:val="center"/>
              <w:outlineLvl w:val="0"/>
              <w:rPr>
                <w:rFonts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28" w:type="dxa"/>
            <w:bottom w:w="0" w:type="dxa"/>
            <w:right w:w="28" w:type="dxa"/>
          </w:tblCellMar>
        </w:tblPrEx>
        <w:trPr>
          <w:trHeight w:val="405" w:hRule="atLeast"/>
          <w:jc w:val="center"/>
        </w:trPr>
        <w:tc>
          <w:tcPr>
            <w:tcW w:w="606" w:type="dxa"/>
            <w:vAlign w:val="center"/>
          </w:tcPr>
          <w:p>
            <w:pPr>
              <w:kinsoku w:val="0"/>
              <w:adjustRightInd w:val="0"/>
              <w:snapToGrid w:val="0"/>
              <w:spacing w:line="240" w:lineRule="exact"/>
              <w:jc w:val="center"/>
              <w:outlineLvl w:val="0"/>
              <w:rPr>
                <w:rFonts w:ascii="宋体" w:hAnsi="宋体" w:cs="宋体"/>
                <w:szCs w:val="21"/>
                <w:highlight w:val="none"/>
              </w:rPr>
            </w:pPr>
            <w:bookmarkStart w:id="83" w:name="_Toc405905885"/>
            <w:r>
              <w:rPr>
                <w:rFonts w:hint="eastAsia" w:ascii="宋体" w:hAnsi="宋体" w:cs="宋体"/>
                <w:szCs w:val="21"/>
                <w:highlight w:val="none"/>
              </w:rPr>
              <w:t>…</w:t>
            </w:r>
            <w:bookmarkEnd w:id="83"/>
          </w:p>
        </w:tc>
        <w:tc>
          <w:tcPr>
            <w:tcW w:w="2809" w:type="dxa"/>
            <w:vAlign w:val="center"/>
          </w:tcPr>
          <w:p>
            <w:pPr>
              <w:kinsoku w:val="0"/>
              <w:adjustRightInd w:val="0"/>
              <w:snapToGrid w:val="0"/>
              <w:spacing w:line="240" w:lineRule="exact"/>
              <w:jc w:val="center"/>
              <w:outlineLvl w:val="0"/>
              <w:rPr>
                <w:rFonts w:ascii="宋体" w:hAnsi="宋体" w:cs="宋体"/>
                <w:szCs w:val="21"/>
                <w:highlight w:val="none"/>
              </w:rPr>
            </w:pPr>
          </w:p>
        </w:tc>
        <w:tc>
          <w:tcPr>
            <w:tcW w:w="2945" w:type="dxa"/>
            <w:vAlign w:val="center"/>
          </w:tcPr>
          <w:p>
            <w:pPr>
              <w:kinsoku w:val="0"/>
              <w:adjustRightInd w:val="0"/>
              <w:snapToGrid w:val="0"/>
              <w:spacing w:line="240" w:lineRule="exact"/>
              <w:jc w:val="center"/>
              <w:outlineLvl w:val="0"/>
              <w:rPr>
                <w:rFonts w:ascii="宋体" w:hAnsi="宋体" w:cs="宋体"/>
                <w:szCs w:val="21"/>
                <w:highlight w:val="none"/>
              </w:rPr>
            </w:pPr>
          </w:p>
        </w:tc>
        <w:tc>
          <w:tcPr>
            <w:tcW w:w="1464" w:type="dxa"/>
            <w:vAlign w:val="center"/>
          </w:tcPr>
          <w:p>
            <w:pPr>
              <w:kinsoku w:val="0"/>
              <w:adjustRightInd w:val="0"/>
              <w:snapToGrid w:val="0"/>
              <w:spacing w:line="240" w:lineRule="exact"/>
              <w:jc w:val="center"/>
              <w:outlineLvl w:val="0"/>
              <w:rPr>
                <w:rFonts w:ascii="宋体" w:hAnsi="宋体" w:cs="宋体"/>
                <w:szCs w:val="21"/>
                <w:highlight w:val="none"/>
              </w:rPr>
            </w:pPr>
          </w:p>
        </w:tc>
        <w:tc>
          <w:tcPr>
            <w:tcW w:w="1361" w:type="dxa"/>
            <w:vAlign w:val="center"/>
          </w:tcPr>
          <w:p>
            <w:pPr>
              <w:kinsoku w:val="0"/>
              <w:adjustRightInd w:val="0"/>
              <w:snapToGrid w:val="0"/>
              <w:spacing w:line="240" w:lineRule="exact"/>
              <w:jc w:val="center"/>
              <w:outlineLvl w:val="0"/>
              <w:rPr>
                <w:rFonts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28" w:type="dxa"/>
            <w:bottom w:w="0" w:type="dxa"/>
            <w:right w:w="28" w:type="dxa"/>
          </w:tblCellMar>
        </w:tblPrEx>
        <w:trPr>
          <w:trHeight w:val="405" w:hRule="atLeast"/>
          <w:jc w:val="center"/>
        </w:trPr>
        <w:tc>
          <w:tcPr>
            <w:tcW w:w="9185" w:type="dxa"/>
            <w:gridSpan w:val="5"/>
            <w:vAlign w:val="center"/>
          </w:tcPr>
          <w:p>
            <w:pPr>
              <w:kinsoku w:val="0"/>
              <w:adjustRightInd w:val="0"/>
              <w:snapToGrid w:val="0"/>
              <w:spacing w:line="240" w:lineRule="exact"/>
              <w:jc w:val="center"/>
              <w:outlineLvl w:val="0"/>
              <w:rPr>
                <w:rFonts w:ascii="宋体" w:hAnsi="宋体" w:cs="宋体"/>
                <w:szCs w:val="21"/>
                <w:highlight w:val="none"/>
              </w:rPr>
            </w:pPr>
            <w:bookmarkStart w:id="84" w:name="_Toc405905886"/>
            <w:r>
              <w:rPr>
                <w:rFonts w:hint="eastAsia" w:ascii="宋体" w:hAnsi="宋体" w:cs="宋体"/>
                <w:szCs w:val="21"/>
                <w:highlight w:val="none"/>
              </w:rPr>
              <w:t>服务技术部分</w:t>
            </w:r>
            <w:bookmarkEnd w:id="84"/>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28" w:type="dxa"/>
            <w:bottom w:w="0" w:type="dxa"/>
            <w:right w:w="28" w:type="dxa"/>
          </w:tblCellMar>
        </w:tblPrEx>
        <w:trPr>
          <w:trHeight w:val="405" w:hRule="atLeast"/>
          <w:jc w:val="center"/>
        </w:trPr>
        <w:tc>
          <w:tcPr>
            <w:tcW w:w="606" w:type="dxa"/>
            <w:vAlign w:val="center"/>
          </w:tcPr>
          <w:p>
            <w:pPr>
              <w:kinsoku w:val="0"/>
              <w:adjustRightInd w:val="0"/>
              <w:snapToGrid w:val="0"/>
              <w:spacing w:line="240" w:lineRule="exact"/>
              <w:jc w:val="center"/>
              <w:outlineLvl w:val="0"/>
              <w:rPr>
                <w:rFonts w:ascii="宋体" w:hAnsi="宋体" w:cs="宋体"/>
                <w:szCs w:val="21"/>
                <w:highlight w:val="none"/>
              </w:rPr>
            </w:pPr>
            <w:bookmarkStart w:id="85" w:name="_Toc405905887"/>
            <w:r>
              <w:rPr>
                <w:rFonts w:hint="eastAsia" w:ascii="宋体" w:hAnsi="宋体" w:cs="宋体"/>
                <w:szCs w:val="21"/>
                <w:highlight w:val="none"/>
              </w:rPr>
              <w:t>1</w:t>
            </w:r>
            <w:bookmarkEnd w:id="85"/>
          </w:p>
        </w:tc>
        <w:tc>
          <w:tcPr>
            <w:tcW w:w="2809" w:type="dxa"/>
            <w:vAlign w:val="center"/>
          </w:tcPr>
          <w:p>
            <w:pPr>
              <w:kinsoku w:val="0"/>
              <w:adjustRightInd w:val="0"/>
              <w:snapToGrid w:val="0"/>
              <w:spacing w:line="240" w:lineRule="exact"/>
              <w:jc w:val="center"/>
              <w:outlineLvl w:val="0"/>
              <w:rPr>
                <w:rFonts w:ascii="宋体" w:hAnsi="宋体" w:cs="宋体"/>
                <w:szCs w:val="21"/>
                <w:highlight w:val="none"/>
              </w:rPr>
            </w:pPr>
          </w:p>
        </w:tc>
        <w:tc>
          <w:tcPr>
            <w:tcW w:w="2945" w:type="dxa"/>
            <w:vAlign w:val="center"/>
          </w:tcPr>
          <w:p>
            <w:pPr>
              <w:kinsoku w:val="0"/>
              <w:adjustRightInd w:val="0"/>
              <w:snapToGrid w:val="0"/>
              <w:spacing w:line="240" w:lineRule="exact"/>
              <w:jc w:val="center"/>
              <w:outlineLvl w:val="0"/>
              <w:rPr>
                <w:rFonts w:ascii="宋体" w:hAnsi="宋体" w:cs="宋体"/>
                <w:szCs w:val="21"/>
                <w:highlight w:val="none"/>
              </w:rPr>
            </w:pPr>
          </w:p>
        </w:tc>
        <w:tc>
          <w:tcPr>
            <w:tcW w:w="1464" w:type="dxa"/>
            <w:vAlign w:val="center"/>
          </w:tcPr>
          <w:p>
            <w:pPr>
              <w:kinsoku w:val="0"/>
              <w:adjustRightInd w:val="0"/>
              <w:snapToGrid w:val="0"/>
              <w:spacing w:line="240" w:lineRule="exact"/>
              <w:jc w:val="center"/>
              <w:outlineLvl w:val="0"/>
              <w:rPr>
                <w:rFonts w:ascii="宋体" w:hAnsi="宋体" w:cs="宋体"/>
                <w:szCs w:val="21"/>
                <w:highlight w:val="none"/>
              </w:rPr>
            </w:pPr>
          </w:p>
        </w:tc>
        <w:tc>
          <w:tcPr>
            <w:tcW w:w="1361" w:type="dxa"/>
            <w:vAlign w:val="center"/>
          </w:tcPr>
          <w:p>
            <w:pPr>
              <w:kinsoku w:val="0"/>
              <w:adjustRightInd w:val="0"/>
              <w:snapToGrid w:val="0"/>
              <w:spacing w:line="240" w:lineRule="exact"/>
              <w:jc w:val="center"/>
              <w:outlineLvl w:val="0"/>
              <w:rPr>
                <w:rFonts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28" w:type="dxa"/>
            <w:bottom w:w="0" w:type="dxa"/>
            <w:right w:w="28" w:type="dxa"/>
          </w:tblCellMar>
        </w:tblPrEx>
        <w:trPr>
          <w:trHeight w:val="405" w:hRule="atLeast"/>
          <w:jc w:val="center"/>
        </w:trPr>
        <w:tc>
          <w:tcPr>
            <w:tcW w:w="606" w:type="dxa"/>
            <w:vAlign w:val="center"/>
          </w:tcPr>
          <w:p>
            <w:pPr>
              <w:kinsoku w:val="0"/>
              <w:adjustRightInd w:val="0"/>
              <w:snapToGrid w:val="0"/>
              <w:spacing w:line="240" w:lineRule="exact"/>
              <w:jc w:val="center"/>
              <w:outlineLvl w:val="0"/>
              <w:rPr>
                <w:rFonts w:ascii="宋体" w:hAnsi="宋体" w:cs="宋体"/>
                <w:szCs w:val="21"/>
                <w:highlight w:val="none"/>
              </w:rPr>
            </w:pPr>
            <w:bookmarkStart w:id="86" w:name="_Toc405905888"/>
            <w:r>
              <w:rPr>
                <w:rFonts w:hint="eastAsia" w:ascii="宋体" w:hAnsi="宋体" w:cs="宋体"/>
                <w:szCs w:val="21"/>
                <w:highlight w:val="none"/>
              </w:rPr>
              <w:t>2</w:t>
            </w:r>
            <w:bookmarkEnd w:id="86"/>
          </w:p>
        </w:tc>
        <w:tc>
          <w:tcPr>
            <w:tcW w:w="2809" w:type="dxa"/>
            <w:vAlign w:val="center"/>
          </w:tcPr>
          <w:p>
            <w:pPr>
              <w:kinsoku w:val="0"/>
              <w:adjustRightInd w:val="0"/>
              <w:snapToGrid w:val="0"/>
              <w:spacing w:line="240" w:lineRule="exact"/>
              <w:jc w:val="center"/>
              <w:outlineLvl w:val="0"/>
              <w:rPr>
                <w:rFonts w:ascii="宋体" w:hAnsi="宋体" w:cs="宋体"/>
                <w:szCs w:val="21"/>
                <w:highlight w:val="none"/>
              </w:rPr>
            </w:pPr>
          </w:p>
        </w:tc>
        <w:tc>
          <w:tcPr>
            <w:tcW w:w="2945" w:type="dxa"/>
            <w:vAlign w:val="center"/>
          </w:tcPr>
          <w:p>
            <w:pPr>
              <w:kinsoku w:val="0"/>
              <w:adjustRightInd w:val="0"/>
              <w:snapToGrid w:val="0"/>
              <w:spacing w:line="240" w:lineRule="exact"/>
              <w:jc w:val="center"/>
              <w:outlineLvl w:val="0"/>
              <w:rPr>
                <w:rFonts w:ascii="宋体" w:hAnsi="宋体" w:cs="宋体"/>
                <w:szCs w:val="21"/>
                <w:highlight w:val="none"/>
              </w:rPr>
            </w:pPr>
          </w:p>
        </w:tc>
        <w:tc>
          <w:tcPr>
            <w:tcW w:w="1464" w:type="dxa"/>
            <w:vAlign w:val="center"/>
          </w:tcPr>
          <w:p>
            <w:pPr>
              <w:kinsoku w:val="0"/>
              <w:adjustRightInd w:val="0"/>
              <w:snapToGrid w:val="0"/>
              <w:spacing w:line="240" w:lineRule="exact"/>
              <w:jc w:val="center"/>
              <w:outlineLvl w:val="0"/>
              <w:rPr>
                <w:rFonts w:ascii="宋体" w:hAnsi="宋体" w:cs="宋体"/>
                <w:szCs w:val="21"/>
                <w:highlight w:val="none"/>
              </w:rPr>
            </w:pPr>
          </w:p>
        </w:tc>
        <w:tc>
          <w:tcPr>
            <w:tcW w:w="1361" w:type="dxa"/>
            <w:vAlign w:val="center"/>
          </w:tcPr>
          <w:p>
            <w:pPr>
              <w:kinsoku w:val="0"/>
              <w:adjustRightInd w:val="0"/>
              <w:snapToGrid w:val="0"/>
              <w:spacing w:line="240" w:lineRule="exact"/>
              <w:jc w:val="center"/>
              <w:outlineLvl w:val="0"/>
              <w:rPr>
                <w:rFonts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28" w:type="dxa"/>
            <w:bottom w:w="0" w:type="dxa"/>
            <w:right w:w="28" w:type="dxa"/>
          </w:tblCellMar>
        </w:tblPrEx>
        <w:trPr>
          <w:trHeight w:val="405" w:hRule="atLeast"/>
          <w:jc w:val="center"/>
        </w:trPr>
        <w:tc>
          <w:tcPr>
            <w:tcW w:w="606" w:type="dxa"/>
            <w:vAlign w:val="center"/>
          </w:tcPr>
          <w:p>
            <w:pPr>
              <w:kinsoku w:val="0"/>
              <w:adjustRightInd w:val="0"/>
              <w:snapToGrid w:val="0"/>
              <w:spacing w:line="240" w:lineRule="exact"/>
              <w:jc w:val="center"/>
              <w:outlineLvl w:val="0"/>
              <w:rPr>
                <w:rFonts w:ascii="宋体" w:hAnsi="宋体" w:cs="宋体"/>
                <w:szCs w:val="21"/>
                <w:highlight w:val="none"/>
              </w:rPr>
            </w:pPr>
            <w:bookmarkStart w:id="87" w:name="_Toc405905889"/>
            <w:r>
              <w:rPr>
                <w:rFonts w:hint="eastAsia" w:ascii="宋体" w:hAnsi="宋体" w:cs="宋体"/>
                <w:szCs w:val="21"/>
                <w:highlight w:val="none"/>
              </w:rPr>
              <w:t>3</w:t>
            </w:r>
            <w:bookmarkEnd w:id="87"/>
          </w:p>
        </w:tc>
        <w:tc>
          <w:tcPr>
            <w:tcW w:w="2809" w:type="dxa"/>
            <w:vAlign w:val="center"/>
          </w:tcPr>
          <w:p>
            <w:pPr>
              <w:kinsoku w:val="0"/>
              <w:adjustRightInd w:val="0"/>
              <w:snapToGrid w:val="0"/>
              <w:spacing w:line="240" w:lineRule="exact"/>
              <w:jc w:val="center"/>
              <w:outlineLvl w:val="0"/>
              <w:rPr>
                <w:rFonts w:ascii="宋体" w:hAnsi="宋体" w:cs="宋体"/>
                <w:szCs w:val="21"/>
                <w:highlight w:val="none"/>
              </w:rPr>
            </w:pPr>
          </w:p>
        </w:tc>
        <w:tc>
          <w:tcPr>
            <w:tcW w:w="2945" w:type="dxa"/>
            <w:vAlign w:val="center"/>
          </w:tcPr>
          <w:p>
            <w:pPr>
              <w:kinsoku w:val="0"/>
              <w:adjustRightInd w:val="0"/>
              <w:snapToGrid w:val="0"/>
              <w:spacing w:line="240" w:lineRule="exact"/>
              <w:jc w:val="center"/>
              <w:outlineLvl w:val="0"/>
              <w:rPr>
                <w:rFonts w:ascii="宋体" w:hAnsi="宋体" w:cs="宋体"/>
                <w:szCs w:val="21"/>
                <w:highlight w:val="none"/>
              </w:rPr>
            </w:pPr>
          </w:p>
        </w:tc>
        <w:tc>
          <w:tcPr>
            <w:tcW w:w="1464" w:type="dxa"/>
            <w:vAlign w:val="center"/>
          </w:tcPr>
          <w:p>
            <w:pPr>
              <w:kinsoku w:val="0"/>
              <w:adjustRightInd w:val="0"/>
              <w:snapToGrid w:val="0"/>
              <w:spacing w:line="240" w:lineRule="exact"/>
              <w:jc w:val="center"/>
              <w:outlineLvl w:val="0"/>
              <w:rPr>
                <w:rFonts w:ascii="宋体" w:hAnsi="宋体" w:cs="宋体"/>
                <w:szCs w:val="21"/>
                <w:highlight w:val="none"/>
              </w:rPr>
            </w:pPr>
          </w:p>
        </w:tc>
        <w:tc>
          <w:tcPr>
            <w:tcW w:w="1361" w:type="dxa"/>
            <w:vAlign w:val="center"/>
          </w:tcPr>
          <w:p>
            <w:pPr>
              <w:kinsoku w:val="0"/>
              <w:adjustRightInd w:val="0"/>
              <w:snapToGrid w:val="0"/>
              <w:spacing w:line="240" w:lineRule="exact"/>
              <w:jc w:val="center"/>
              <w:outlineLvl w:val="0"/>
              <w:rPr>
                <w:rFonts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28" w:type="dxa"/>
            <w:bottom w:w="0" w:type="dxa"/>
            <w:right w:w="28" w:type="dxa"/>
          </w:tblCellMar>
        </w:tblPrEx>
        <w:trPr>
          <w:trHeight w:val="405" w:hRule="atLeast"/>
          <w:jc w:val="center"/>
        </w:trPr>
        <w:tc>
          <w:tcPr>
            <w:tcW w:w="606" w:type="dxa"/>
            <w:vAlign w:val="center"/>
          </w:tcPr>
          <w:p>
            <w:pPr>
              <w:kinsoku w:val="0"/>
              <w:adjustRightInd w:val="0"/>
              <w:snapToGrid w:val="0"/>
              <w:spacing w:line="240" w:lineRule="exact"/>
              <w:jc w:val="center"/>
              <w:outlineLvl w:val="0"/>
              <w:rPr>
                <w:rFonts w:ascii="宋体" w:hAnsi="宋体" w:cs="宋体"/>
                <w:szCs w:val="21"/>
                <w:highlight w:val="none"/>
              </w:rPr>
            </w:pPr>
            <w:bookmarkStart w:id="88" w:name="_Toc405905890"/>
            <w:r>
              <w:rPr>
                <w:rFonts w:hint="eastAsia" w:ascii="宋体" w:hAnsi="宋体" w:cs="宋体"/>
                <w:szCs w:val="21"/>
                <w:highlight w:val="none"/>
              </w:rPr>
              <w:t>…</w:t>
            </w:r>
            <w:bookmarkEnd w:id="88"/>
          </w:p>
        </w:tc>
        <w:tc>
          <w:tcPr>
            <w:tcW w:w="2809" w:type="dxa"/>
            <w:vAlign w:val="center"/>
          </w:tcPr>
          <w:p>
            <w:pPr>
              <w:kinsoku w:val="0"/>
              <w:adjustRightInd w:val="0"/>
              <w:snapToGrid w:val="0"/>
              <w:spacing w:line="240" w:lineRule="exact"/>
              <w:jc w:val="center"/>
              <w:outlineLvl w:val="0"/>
              <w:rPr>
                <w:rFonts w:ascii="宋体" w:hAnsi="宋体" w:cs="宋体"/>
                <w:szCs w:val="21"/>
                <w:highlight w:val="none"/>
              </w:rPr>
            </w:pPr>
          </w:p>
        </w:tc>
        <w:tc>
          <w:tcPr>
            <w:tcW w:w="2945" w:type="dxa"/>
            <w:vAlign w:val="center"/>
          </w:tcPr>
          <w:p>
            <w:pPr>
              <w:kinsoku w:val="0"/>
              <w:adjustRightInd w:val="0"/>
              <w:snapToGrid w:val="0"/>
              <w:spacing w:line="240" w:lineRule="exact"/>
              <w:jc w:val="center"/>
              <w:outlineLvl w:val="0"/>
              <w:rPr>
                <w:rFonts w:ascii="宋体" w:hAnsi="宋体" w:cs="宋体"/>
                <w:szCs w:val="21"/>
                <w:highlight w:val="none"/>
              </w:rPr>
            </w:pPr>
          </w:p>
        </w:tc>
        <w:tc>
          <w:tcPr>
            <w:tcW w:w="1464" w:type="dxa"/>
            <w:tcBorders>
              <w:right w:val="single" w:color="auto" w:sz="4" w:space="0"/>
            </w:tcBorders>
            <w:vAlign w:val="center"/>
          </w:tcPr>
          <w:p>
            <w:pPr>
              <w:kinsoku w:val="0"/>
              <w:adjustRightInd w:val="0"/>
              <w:snapToGrid w:val="0"/>
              <w:spacing w:line="240" w:lineRule="exact"/>
              <w:jc w:val="center"/>
              <w:outlineLvl w:val="0"/>
              <w:rPr>
                <w:rFonts w:ascii="宋体" w:hAnsi="宋体" w:cs="宋体"/>
                <w:szCs w:val="21"/>
                <w:highlight w:val="none"/>
              </w:rPr>
            </w:pPr>
          </w:p>
        </w:tc>
        <w:tc>
          <w:tcPr>
            <w:tcW w:w="1361" w:type="dxa"/>
            <w:tcBorders>
              <w:left w:val="single" w:color="auto" w:sz="4" w:space="0"/>
            </w:tcBorders>
            <w:vAlign w:val="center"/>
          </w:tcPr>
          <w:p>
            <w:pPr>
              <w:kinsoku w:val="0"/>
              <w:adjustRightInd w:val="0"/>
              <w:snapToGrid w:val="0"/>
              <w:spacing w:line="240" w:lineRule="exact"/>
              <w:jc w:val="center"/>
              <w:outlineLvl w:val="0"/>
              <w:rPr>
                <w:rFonts w:ascii="宋体" w:hAnsi="宋体" w:cs="宋体"/>
                <w:szCs w:val="21"/>
                <w:highlight w:val="none"/>
              </w:rPr>
            </w:pPr>
          </w:p>
        </w:tc>
      </w:tr>
    </w:tbl>
    <w:p>
      <w:pPr>
        <w:kinsoku w:val="0"/>
        <w:adjustRightInd w:val="0"/>
        <w:snapToGrid w:val="0"/>
        <w:spacing w:line="360" w:lineRule="exact"/>
        <w:rPr>
          <w:rFonts w:ascii="宋体" w:hAnsi="宋体" w:cs="宋体"/>
          <w:szCs w:val="21"/>
          <w:highlight w:val="none"/>
        </w:rPr>
      </w:pPr>
      <w:r>
        <w:rPr>
          <w:rFonts w:hint="eastAsia" w:ascii="宋体" w:hAnsi="宋体" w:cs="宋体"/>
          <w:szCs w:val="21"/>
          <w:highlight w:val="none"/>
        </w:rPr>
        <w:t>说明：</w:t>
      </w:r>
      <w:r>
        <w:rPr>
          <w:rFonts w:hint="eastAsia" w:ascii="宋体" w:hAnsi="宋体" w:cs="宋体"/>
          <w:highlight w:val="none"/>
        </w:rPr>
        <w:t>1.应写明响应文件</w:t>
      </w:r>
      <w:r>
        <w:rPr>
          <w:rFonts w:hint="eastAsia" w:ascii="宋体" w:hAnsi="宋体" w:cs="宋体"/>
          <w:szCs w:val="21"/>
          <w:highlight w:val="none"/>
        </w:rPr>
        <w:t>对</w:t>
      </w:r>
      <w:r>
        <w:rPr>
          <w:rFonts w:hint="eastAsia" w:ascii="宋体" w:hAnsi="宋体" w:cs="宋体"/>
          <w:highlight w:val="none"/>
        </w:rPr>
        <w:t>商务与技术要求的</w:t>
      </w:r>
      <w:r>
        <w:rPr>
          <w:rFonts w:hint="eastAsia" w:ascii="宋体" w:hAnsi="宋体" w:cs="宋体"/>
          <w:szCs w:val="21"/>
          <w:highlight w:val="none"/>
        </w:rPr>
        <w:t>响应和偏离情况</w:t>
      </w:r>
      <w:r>
        <w:rPr>
          <w:rFonts w:hint="eastAsia" w:ascii="宋体" w:hAnsi="宋体" w:cs="宋体"/>
          <w:bCs/>
          <w:szCs w:val="21"/>
          <w:highlight w:val="none"/>
        </w:rPr>
        <w:t>；</w:t>
      </w:r>
    </w:p>
    <w:p>
      <w:pPr>
        <w:pStyle w:val="22"/>
        <w:kinsoku w:val="0"/>
        <w:spacing w:line="360" w:lineRule="exact"/>
        <w:ind w:firstLine="630" w:firstLineChars="300"/>
        <w:rPr>
          <w:rFonts w:ascii="宋体" w:hAnsi="宋体" w:eastAsia="宋体" w:cs="宋体"/>
          <w:sz w:val="21"/>
          <w:szCs w:val="21"/>
          <w:highlight w:val="none"/>
        </w:rPr>
      </w:pPr>
      <w:r>
        <w:rPr>
          <w:rFonts w:hint="eastAsia" w:ascii="宋体" w:hAnsi="宋体" w:eastAsia="宋体" w:cs="宋体"/>
          <w:sz w:val="21"/>
          <w:szCs w:val="21"/>
          <w:highlight w:val="none"/>
        </w:rPr>
        <w:t>2.应对照竞争性磋商文件“第三章  采购项目需求”，逐条说明所提供服务已对竞争性磋商文件的商务、服务技术做出了实质性的响应，并申明商务、服务技术条文的响应和偏离情况，如果仅注明“符合”、“满足”或简单复制竞争性磋商文件要求，将导致磋商被拒绝。</w:t>
      </w:r>
    </w:p>
    <w:p>
      <w:pPr>
        <w:kinsoku w:val="0"/>
        <w:spacing w:line="360" w:lineRule="exact"/>
        <w:rPr>
          <w:rFonts w:ascii="宋体" w:hAnsi="宋体" w:cs="宋体"/>
          <w:b/>
          <w:bCs/>
          <w:kern w:val="0"/>
          <w:szCs w:val="21"/>
          <w:highlight w:val="none"/>
          <w:lang w:bidi="ar"/>
        </w:rPr>
      </w:pPr>
    </w:p>
    <w:p>
      <w:pPr>
        <w:kinsoku w:val="0"/>
        <w:spacing w:line="360" w:lineRule="exact"/>
        <w:rPr>
          <w:rFonts w:ascii="宋体" w:hAnsi="宋体" w:cs="宋体"/>
          <w:b/>
          <w:bCs/>
          <w:kern w:val="0"/>
          <w:szCs w:val="21"/>
          <w:highlight w:val="none"/>
          <w:lang w:bidi="ar"/>
        </w:rPr>
      </w:pPr>
    </w:p>
    <w:p>
      <w:pPr>
        <w:pStyle w:val="22"/>
        <w:kinsoku w:val="0"/>
        <w:spacing w:line="360" w:lineRule="exact"/>
        <w:ind w:firstLine="4830" w:firstLineChars="2300"/>
        <w:rPr>
          <w:rFonts w:ascii="宋体" w:hAnsi="宋体" w:eastAsia="宋体" w:cs="宋体"/>
          <w:sz w:val="21"/>
          <w:szCs w:val="21"/>
          <w:highlight w:val="none"/>
        </w:rPr>
      </w:pPr>
      <w:r>
        <w:rPr>
          <w:rFonts w:hint="eastAsia" w:ascii="宋体" w:hAnsi="宋体" w:eastAsia="宋体" w:cs="宋体"/>
          <w:sz w:val="21"/>
          <w:szCs w:val="21"/>
          <w:highlight w:val="none"/>
        </w:rPr>
        <w:t xml:space="preserve">投标人名称（公章）：   </w:t>
      </w:r>
      <w:r>
        <w:rPr>
          <w:rFonts w:hint="eastAsia" w:hAnsi="宋体" w:cs="宋体"/>
          <w:highlight w:val="none"/>
          <w:u w:val="single"/>
        </w:rPr>
        <w:t xml:space="preserve">  </w:t>
      </w:r>
    </w:p>
    <w:p>
      <w:pPr>
        <w:pStyle w:val="22"/>
        <w:kinsoku w:val="0"/>
        <w:spacing w:line="360" w:lineRule="exact"/>
        <w:ind w:firstLine="630" w:firstLineChars="300"/>
        <w:rPr>
          <w:rFonts w:ascii="宋体" w:hAnsi="宋体" w:eastAsia="宋体" w:cs="宋体"/>
          <w:sz w:val="21"/>
          <w:szCs w:val="21"/>
          <w:highlight w:val="none"/>
        </w:rPr>
      </w:pPr>
      <w:r>
        <w:rPr>
          <w:rFonts w:hint="eastAsia" w:ascii="宋体" w:hAnsi="宋体" w:eastAsia="宋体" w:cs="宋体"/>
          <w:sz w:val="21"/>
          <w:szCs w:val="21"/>
          <w:highlight w:val="none"/>
        </w:rPr>
        <w:t xml:space="preserve"> </w:t>
      </w:r>
    </w:p>
    <w:p>
      <w:pPr>
        <w:pStyle w:val="29"/>
        <w:kinsoku w:val="0"/>
        <w:spacing w:line="360" w:lineRule="exact"/>
        <w:ind w:firstLine="4725" w:firstLineChars="2250"/>
        <w:rPr>
          <w:rFonts w:hAnsi="宋体" w:cs="宋体"/>
          <w:highlight w:val="none"/>
        </w:rPr>
      </w:pPr>
      <w:r>
        <w:rPr>
          <w:rFonts w:hint="eastAsia" w:hAnsi="宋体" w:cs="宋体"/>
          <w:highlight w:val="none"/>
        </w:rPr>
        <w:t>法定代表人（负责人）或委托代理人签字：</w:t>
      </w:r>
      <w:r>
        <w:rPr>
          <w:rFonts w:hint="eastAsia" w:hAnsi="宋体" w:cs="宋体"/>
          <w:highlight w:val="none"/>
          <w:u w:val="single"/>
        </w:rPr>
        <w:t xml:space="preserve">               </w:t>
      </w:r>
      <w:r>
        <w:rPr>
          <w:rFonts w:hint="eastAsia" w:hAnsi="宋体" w:cs="宋体"/>
          <w:highlight w:val="none"/>
        </w:rPr>
        <w:t xml:space="preserve">  </w:t>
      </w:r>
    </w:p>
    <w:p>
      <w:pPr>
        <w:pStyle w:val="29"/>
        <w:kinsoku w:val="0"/>
        <w:spacing w:line="360" w:lineRule="exact"/>
        <w:ind w:firstLine="1470" w:firstLineChars="700"/>
        <w:rPr>
          <w:rFonts w:hAnsi="宋体" w:cs="宋体"/>
          <w:highlight w:val="none"/>
        </w:rPr>
      </w:pPr>
    </w:p>
    <w:p>
      <w:pPr>
        <w:pStyle w:val="29"/>
        <w:kinsoku w:val="0"/>
        <w:spacing w:line="360" w:lineRule="exact"/>
        <w:ind w:firstLine="5670" w:firstLineChars="2700"/>
        <w:rPr>
          <w:rFonts w:hAnsi="宋体" w:cs="宋体"/>
          <w:highlight w:val="none"/>
          <w:u w:val="single"/>
        </w:rPr>
      </w:pPr>
      <w:r>
        <w:rPr>
          <w:rFonts w:hint="eastAsia" w:hAnsi="宋体" w:cs="宋体"/>
          <w:highlight w:val="none"/>
          <w:u w:val="single"/>
        </w:rPr>
        <w:t xml:space="preserve">        </w:t>
      </w:r>
      <w:r>
        <w:rPr>
          <w:rFonts w:hint="eastAsia" w:hAnsi="宋体" w:cs="宋体"/>
          <w:highlight w:val="none"/>
        </w:rPr>
        <w:t>年</w:t>
      </w:r>
      <w:r>
        <w:rPr>
          <w:rFonts w:hint="eastAsia" w:hAnsi="宋体" w:cs="宋体"/>
          <w:highlight w:val="none"/>
          <w:u w:val="single"/>
        </w:rPr>
        <w:t xml:space="preserve">     </w:t>
      </w:r>
      <w:r>
        <w:rPr>
          <w:rFonts w:hint="eastAsia" w:hAnsi="宋体" w:cs="宋体"/>
          <w:highlight w:val="none"/>
        </w:rPr>
        <w:t>月</w:t>
      </w:r>
      <w:r>
        <w:rPr>
          <w:rFonts w:hint="eastAsia" w:hAnsi="宋体" w:cs="宋体"/>
          <w:highlight w:val="none"/>
          <w:u w:val="single"/>
        </w:rPr>
        <w:t xml:space="preserve">     </w:t>
      </w:r>
      <w:r>
        <w:rPr>
          <w:rFonts w:hint="eastAsia" w:hAnsi="宋体" w:cs="宋体"/>
          <w:highlight w:val="none"/>
        </w:rPr>
        <w:t>日</w:t>
      </w:r>
    </w:p>
    <w:p>
      <w:pPr>
        <w:kinsoku w:val="0"/>
        <w:spacing w:line="300" w:lineRule="auto"/>
        <w:rPr>
          <w:rFonts w:ascii="宋体" w:hAnsi="宋体" w:cs="宋体"/>
          <w:szCs w:val="21"/>
          <w:highlight w:val="none"/>
        </w:rPr>
      </w:pPr>
    </w:p>
    <w:p>
      <w:pPr>
        <w:kinsoku w:val="0"/>
        <w:spacing w:line="300" w:lineRule="auto"/>
        <w:rPr>
          <w:rFonts w:ascii="宋体" w:hAnsi="宋体" w:cs="宋体"/>
          <w:szCs w:val="21"/>
          <w:highlight w:val="none"/>
        </w:rPr>
      </w:pPr>
    </w:p>
    <w:p>
      <w:pPr>
        <w:kinsoku w:val="0"/>
        <w:spacing w:line="600" w:lineRule="exact"/>
        <w:rPr>
          <w:rFonts w:ascii="宋体" w:hAnsi="宋体" w:cs="宋体"/>
          <w:b/>
          <w:szCs w:val="21"/>
          <w:highlight w:val="none"/>
        </w:rPr>
      </w:pPr>
      <w:r>
        <w:rPr>
          <w:rFonts w:hint="eastAsia" w:ascii="宋体" w:hAnsi="宋体" w:cs="宋体"/>
          <w:szCs w:val="21"/>
          <w:highlight w:val="none"/>
        </w:rPr>
        <w:br w:type="page"/>
      </w:r>
      <w:r>
        <w:rPr>
          <w:rFonts w:hint="eastAsia" w:ascii="宋体" w:hAnsi="宋体" w:cs="宋体"/>
          <w:b/>
          <w:szCs w:val="21"/>
          <w:highlight w:val="none"/>
        </w:rPr>
        <w:t>附件4</w:t>
      </w:r>
    </w:p>
    <w:p>
      <w:pPr>
        <w:kinsoku w:val="0"/>
        <w:adjustRightInd w:val="0"/>
        <w:snapToGrid w:val="0"/>
        <w:spacing w:line="600" w:lineRule="exact"/>
        <w:jc w:val="center"/>
        <w:rPr>
          <w:rFonts w:ascii="宋体" w:hAnsi="宋体" w:cs="宋体"/>
          <w:sz w:val="30"/>
          <w:szCs w:val="30"/>
          <w:highlight w:val="none"/>
        </w:rPr>
      </w:pPr>
      <w:r>
        <w:rPr>
          <w:rFonts w:hint="eastAsia" w:ascii="宋体" w:hAnsi="宋体" w:cs="宋体"/>
          <w:sz w:val="30"/>
          <w:szCs w:val="30"/>
          <w:highlight w:val="none"/>
        </w:rPr>
        <w:t>法定代表人（负责人）授权委托书</w:t>
      </w:r>
    </w:p>
    <w:p>
      <w:pPr>
        <w:kinsoku w:val="0"/>
        <w:spacing w:line="500" w:lineRule="exact"/>
        <w:rPr>
          <w:rFonts w:ascii="宋体" w:hAnsi="宋体" w:cs="宋体"/>
          <w:szCs w:val="21"/>
          <w:highlight w:val="none"/>
        </w:rPr>
      </w:pPr>
      <w:r>
        <w:rPr>
          <w:rFonts w:hint="eastAsia" w:ascii="宋体" w:hAnsi="宋体" w:cs="宋体"/>
          <w:szCs w:val="21"/>
          <w:highlight w:val="none"/>
        </w:rPr>
        <w:t>采购代理机构名称：</w:t>
      </w:r>
    </w:p>
    <w:p>
      <w:pPr>
        <w:pStyle w:val="29"/>
        <w:kinsoku w:val="0"/>
        <w:spacing w:line="500" w:lineRule="exact"/>
        <w:ind w:firstLine="420"/>
        <w:rPr>
          <w:rFonts w:hAnsi="宋体" w:cs="宋体"/>
          <w:highlight w:val="none"/>
        </w:rPr>
      </w:pPr>
      <w:r>
        <w:rPr>
          <w:rFonts w:hint="eastAsia" w:hAnsi="宋体" w:cs="宋体"/>
          <w:highlight w:val="none"/>
        </w:rPr>
        <w:t>本授权委托书声明：我</w:t>
      </w:r>
      <w:r>
        <w:rPr>
          <w:rFonts w:hint="eastAsia" w:hAnsi="宋体" w:cs="宋体"/>
          <w:highlight w:val="none"/>
          <w:u w:val="single"/>
        </w:rPr>
        <w:t xml:space="preserve">        </w:t>
      </w:r>
      <w:r>
        <w:rPr>
          <w:rFonts w:hint="eastAsia" w:hAnsi="宋体" w:cs="宋体"/>
          <w:highlight w:val="none"/>
        </w:rPr>
        <w:t>(姓名)系</w:t>
      </w:r>
      <w:r>
        <w:rPr>
          <w:rFonts w:hint="eastAsia" w:hAnsi="宋体" w:cs="宋体"/>
          <w:highlight w:val="none"/>
          <w:u w:val="single"/>
        </w:rPr>
        <w:t xml:space="preserve">                </w:t>
      </w:r>
      <w:r>
        <w:rPr>
          <w:rFonts w:hint="eastAsia" w:hAnsi="宋体" w:cs="宋体"/>
          <w:highlight w:val="none"/>
        </w:rPr>
        <w:t>(投标人名称)的法定代表人（或负责人），现授权委托</w:t>
      </w:r>
      <w:r>
        <w:rPr>
          <w:rFonts w:hint="eastAsia" w:hAnsi="宋体" w:cs="宋体"/>
          <w:highlight w:val="none"/>
          <w:u w:val="single"/>
        </w:rPr>
        <w:t xml:space="preserve">          </w:t>
      </w:r>
      <w:r>
        <w:rPr>
          <w:rFonts w:hint="eastAsia" w:hAnsi="宋体" w:cs="宋体"/>
          <w:highlight w:val="none"/>
        </w:rPr>
        <w:t>(姓名)为我单位参加贵公司组织的（项目名称、项目编号）</w:t>
      </w:r>
      <w:r>
        <w:rPr>
          <w:rFonts w:hint="eastAsia" w:hAnsi="宋体" w:cs="宋体"/>
          <w:highlight w:val="none"/>
          <w:u w:val="single"/>
        </w:rPr>
        <w:t xml:space="preserve">             </w:t>
      </w:r>
      <w:r>
        <w:rPr>
          <w:rFonts w:hint="eastAsia" w:hAnsi="宋体" w:cs="宋体"/>
          <w:highlight w:val="none"/>
        </w:rPr>
        <w:t>政府采购活动的委托代理人，代理权限为：</w:t>
      </w:r>
      <w:r>
        <w:rPr>
          <w:rFonts w:hint="eastAsia" w:hAnsi="宋体" w:cs="宋体"/>
          <w:highlight w:val="none"/>
          <w:u w:val="single"/>
        </w:rPr>
        <w:t xml:space="preserve"> 该项目竞争性磋商文件的购买、投标、签署文件和处理与之有关的一切事务</w:t>
      </w:r>
      <w:r>
        <w:rPr>
          <w:rFonts w:hint="eastAsia" w:hAnsi="宋体" w:cs="宋体"/>
          <w:highlight w:val="none"/>
        </w:rPr>
        <w:t>，委托代理人在政府采购活动过程中所签署的一切文件和处理与之有关的一切事务，我均予以承认。</w:t>
      </w:r>
    </w:p>
    <w:p>
      <w:pPr>
        <w:kinsoku w:val="0"/>
        <w:spacing w:line="500" w:lineRule="exact"/>
        <w:ind w:firstLine="420" w:firstLineChars="200"/>
        <w:rPr>
          <w:rFonts w:ascii="宋体" w:hAnsi="宋体" w:cs="宋体"/>
          <w:szCs w:val="21"/>
          <w:highlight w:val="none"/>
        </w:rPr>
      </w:pPr>
      <w:r>
        <w:rPr>
          <w:rFonts w:hint="eastAsia" w:ascii="宋体" w:hAnsi="宋体" w:cs="宋体"/>
          <w:szCs w:val="21"/>
          <w:highlight w:val="none"/>
        </w:rPr>
        <w:t xml:space="preserve">代理期限从     年   月   日起至     年   月   日止。 </w:t>
      </w:r>
    </w:p>
    <w:p>
      <w:pPr>
        <w:pStyle w:val="29"/>
        <w:kinsoku w:val="0"/>
        <w:spacing w:line="500" w:lineRule="exact"/>
        <w:ind w:firstLine="420" w:firstLineChars="200"/>
        <w:rPr>
          <w:rFonts w:hAnsi="宋体" w:cs="宋体"/>
          <w:highlight w:val="none"/>
        </w:rPr>
      </w:pPr>
      <w:r>
        <w:rPr>
          <w:rFonts w:hint="eastAsia" w:hAnsi="宋体" w:cs="宋体"/>
          <w:highlight w:val="none"/>
        </w:rPr>
        <w:t xml:space="preserve">代理人无转委权。特此委托。  </w:t>
      </w:r>
    </w:p>
    <w:p>
      <w:pPr>
        <w:kinsoku w:val="0"/>
        <w:spacing w:line="500" w:lineRule="exact"/>
        <w:rPr>
          <w:rFonts w:ascii="宋体" w:hAnsi="宋体" w:cs="宋体"/>
          <w:szCs w:val="21"/>
          <w:highlight w:val="none"/>
        </w:rPr>
      </w:pPr>
    </w:p>
    <w:p>
      <w:pPr>
        <w:kinsoku w:val="0"/>
        <w:spacing w:line="500" w:lineRule="exact"/>
        <w:rPr>
          <w:rFonts w:ascii="宋体" w:hAnsi="宋体" w:cs="宋体"/>
          <w:szCs w:val="21"/>
          <w:highlight w:val="none"/>
        </w:rPr>
      </w:pPr>
      <w:r>
        <w:rPr>
          <w:rFonts w:hint="eastAsia" w:ascii="宋体" w:hAnsi="宋体" w:cs="宋体"/>
          <w:szCs w:val="21"/>
          <w:highlight w:val="none"/>
        </w:rPr>
        <w:t xml:space="preserve">法定代表人（负责人）（签字）： </w:t>
      </w:r>
    </w:p>
    <w:p>
      <w:pPr>
        <w:kinsoku w:val="0"/>
        <w:spacing w:line="500" w:lineRule="exact"/>
        <w:rPr>
          <w:rFonts w:ascii="宋体" w:hAnsi="宋体" w:cs="宋体"/>
          <w:szCs w:val="21"/>
          <w:highlight w:val="none"/>
        </w:rPr>
      </w:pPr>
      <w:r>
        <w:rPr>
          <w:rFonts w:hint="eastAsia" w:ascii="宋体" w:hAnsi="宋体" w:cs="宋体"/>
          <w:szCs w:val="21"/>
          <w:highlight w:val="none"/>
        </w:rPr>
        <w:t xml:space="preserve">委托代理人（签字）： </w:t>
      </w:r>
    </w:p>
    <w:p>
      <w:pPr>
        <w:kinsoku w:val="0"/>
        <w:spacing w:line="500" w:lineRule="exact"/>
        <w:rPr>
          <w:rFonts w:ascii="宋体" w:hAnsi="宋体" w:cs="宋体"/>
          <w:szCs w:val="21"/>
          <w:highlight w:val="none"/>
        </w:rPr>
      </w:pPr>
      <w:r>
        <w:rPr>
          <w:rFonts w:hint="eastAsia" w:ascii="宋体" w:hAnsi="宋体" w:cs="宋体"/>
          <w:szCs w:val="21"/>
          <w:highlight w:val="none"/>
        </w:rPr>
        <w:t xml:space="preserve">投标人（公章）：    </w:t>
      </w:r>
    </w:p>
    <w:p>
      <w:pPr>
        <w:kinsoku w:val="0"/>
        <w:spacing w:line="500" w:lineRule="exact"/>
        <w:rPr>
          <w:rFonts w:ascii="宋体" w:hAnsi="宋体" w:cs="宋体"/>
          <w:szCs w:val="21"/>
          <w:highlight w:val="none"/>
        </w:rPr>
      </w:pPr>
      <w:r>
        <w:rPr>
          <w:rFonts w:hint="eastAsia" w:ascii="宋体" w:hAnsi="宋体" w:cs="宋体"/>
          <w:szCs w:val="21"/>
          <w:highlight w:val="none"/>
        </w:rPr>
        <w:t>签发日期：      年    月   日</w:t>
      </w:r>
    </w:p>
    <w:p>
      <w:pPr>
        <w:kinsoku w:val="0"/>
        <w:spacing w:line="500" w:lineRule="exact"/>
        <w:rPr>
          <w:rFonts w:ascii="宋体" w:hAnsi="宋体" w:cs="宋体"/>
          <w:szCs w:val="21"/>
          <w:highlight w:val="none"/>
        </w:rPr>
      </w:pPr>
    </w:p>
    <w:p>
      <w:pPr>
        <w:kinsoku w:val="0"/>
        <w:spacing w:line="500" w:lineRule="exact"/>
        <w:rPr>
          <w:rFonts w:ascii="宋体" w:hAnsi="宋体" w:cs="宋体"/>
          <w:szCs w:val="21"/>
          <w:highlight w:val="none"/>
        </w:rPr>
      </w:pPr>
      <w:r>
        <w:rPr>
          <w:rFonts w:hint="eastAsia" w:ascii="宋体" w:hAnsi="宋体" w:cs="宋体"/>
          <w:szCs w:val="21"/>
          <w:highlight w:val="none"/>
        </w:rPr>
        <w:t>附：委托代理人工作单位：</w:t>
      </w:r>
      <w:r>
        <w:rPr>
          <w:rFonts w:hint="eastAsia" w:ascii="宋体" w:hAnsi="宋体" w:cs="宋体"/>
          <w:b/>
          <w:szCs w:val="21"/>
          <w:highlight w:val="none"/>
          <w:u w:val="single"/>
        </w:rPr>
        <w:t xml:space="preserve">                             </w:t>
      </w:r>
      <w:r>
        <w:rPr>
          <w:rFonts w:hint="eastAsia" w:ascii="宋体" w:hAnsi="宋体" w:cs="宋体"/>
          <w:b/>
          <w:szCs w:val="21"/>
          <w:highlight w:val="none"/>
        </w:rPr>
        <w:t>.</w:t>
      </w:r>
      <w:r>
        <w:rPr>
          <w:rFonts w:hint="eastAsia" w:ascii="宋体" w:hAnsi="宋体" w:cs="宋体"/>
          <w:szCs w:val="21"/>
          <w:highlight w:val="none"/>
        </w:rPr>
        <w:t xml:space="preserve">               </w:t>
      </w:r>
    </w:p>
    <w:p>
      <w:pPr>
        <w:kinsoku w:val="0"/>
        <w:spacing w:line="500" w:lineRule="exact"/>
        <w:ind w:firstLine="420" w:firstLineChars="200"/>
        <w:rPr>
          <w:rFonts w:ascii="宋体" w:hAnsi="宋体" w:cs="宋体"/>
          <w:szCs w:val="21"/>
          <w:highlight w:val="none"/>
        </w:rPr>
      </w:pPr>
      <w:r>
        <w:rPr>
          <w:rFonts w:hint="eastAsia" w:ascii="宋体" w:hAnsi="宋体" w:cs="宋体"/>
          <w:szCs w:val="21"/>
          <w:highlight w:val="none"/>
        </w:rPr>
        <w:t>职务：</w:t>
      </w:r>
      <w:r>
        <w:rPr>
          <w:rFonts w:hint="eastAsia" w:ascii="宋体" w:hAnsi="宋体" w:cs="宋体"/>
          <w:szCs w:val="21"/>
          <w:highlight w:val="none"/>
          <w:u w:val="single"/>
        </w:rPr>
        <w:t xml:space="preserve">                     </w:t>
      </w:r>
      <w:r>
        <w:rPr>
          <w:rFonts w:hint="eastAsia" w:ascii="宋体" w:hAnsi="宋体" w:cs="宋体"/>
          <w:szCs w:val="21"/>
          <w:highlight w:val="none"/>
        </w:rPr>
        <w:t xml:space="preserve">     性别：</w:t>
      </w:r>
      <w:r>
        <w:rPr>
          <w:rFonts w:hint="eastAsia" w:ascii="宋体" w:hAnsi="宋体" w:cs="宋体"/>
          <w:szCs w:val="21"/>
          <w:highlight w:val="none"/>
          <w:u w:val="single"/>
        </w:rPr>
        <w:t xml:space="preserve">                       .  </w:t>
      </w:r>
      <w:r>
        <w:rPr>
          <w:rFonts w:hint="eastAsia" w:ascii="宋体" w:hAnsi="宋体" w:cs="宋体"/>
          <w:szCs w:val="21"/>
          <w:highlight w:val="none"/>
        </w:rPr>
        <w:t xml:space="preserve">  </w:t>
      </w:r>
    </w:p>
    <w:p>
      <w:pPr>
        <w:kinsoku w:val="0"/>
        <w:spacing w:line="520" w:lineRule="exact"/>
        <w:rPr>
          <w:rFonts w:ascii="宋体" w:hAnsi="宋体" w:cs="宋体"/>
          <w:szCs w:val="21"/>
          <w:highlight w:val="none"/>
        </w:rPr>
      </w:pPr>
      <w:r>
        <w:rPr>
          <w:rFonts w:hint="eastAsia" w:ascii="宋体" w:hAnsi="宋体" w:cs="宋体"/>
          <w:szCs w:val="21"/>
          <w:highlight w:val="none"/>
        </w:rPr>
        <w:t>身份证号码：</w:t>
      </w:r>
    </w:p>
    <w:tbl>
      <w:tblPr>
        <w:tblStyle w:val="58"/>
        <w:tblW w:w="8960" w:type="dxa"/>
        <w:tblInd w:w="33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311" w:hRule="atLeast"/>
        </w:trPr>
        <w:tc>
          <w:tcPr>
            <w:tcW w:w="8960" w:type="dxa"/>
          </w:tcPr>
          <w:p>
            <w:pPr>
              <w:kinsoku w:val="0"/>
              <w:spacing w:line="300" w:lineRule="auto"/>
              <w:rPr>
                <w:rFonts w:ascii="宋体" w:hAnsi="宋体" w:cs="宋体"/>
                <w:szCs w:val="21"/>
                <w:highlight w:val="none"/>
              </w:rPr>
            </w:pPr>
            <w:r>
              <w:rPr>
                <w:rFonts w:hint="eastAsia" w:ascii="宋体" w:hAnsi="宋体" w:cs="宋体"/>
                <w:szCs w:val="21"/>
                <w:highlight w:val="none"/>
              </w:rPr>
              <w:t>粘贴委托代理人的正面及反面身份证复印件</w:t>
            </w:r>
          </w:p>
        </w:tc>
      </w:tr>
    </w:tbl>
    <w:p>
      <w:pPr>
        <w:pStyle w:val="8"/>
        <w:kinsoku w:val="0"/>
        <w:overflowPunct w:val="0"/>
        <w:spacing w:line="560" w:lineRule="exact"/>
        <w:ind w:firstLine="0"/>
        <w:rPr>
          <w:rFonts w:ascii="宋体" w:hAnsi="宋体" w:cs="宋体"/>
          <w:b/>
          <w:szCs w:val="21"/>
          <w:highlight w:val="none"/>
          <w:u w:val="single"/>
        </w:rPr>
      </w:pPr>
    </w:p>
    <w:p>
      <w:pPr>
        <w:pStyle w:val="8"/>
        <w:kinsoku w:val="0"/>
        <w:overflowPunct w:val="0"/>
        <w:spacing w:line="560" w:lineRule="exact"/>
        <w:ind w:firstLine="0"/>
        <w:rPr>
          <w:rFonts w:ascii="宋体" w:hAnsi="宋体" w:cs="宋体"/>
          <w:b/>
          <w:szCs w:val="21"/>
          <w:highlight w:val="none"/>
          <w:u w:val="single"/>
        </w:rPr>
      </w:pPr>
    </w:p>
    <w:p>
      <w:pPr>
        <w:pStyle w:val="8"/>
        <w:kinsoku w:val="0"/>
        <w:overflowPunct w:val="0"/>
        <w:spacing w:line="560" w:lineRule="exact"/>
        <w:ind w:firstLine="0"/>
        <w:rPr>
          <w:rFonts w:ascii="宋体" w:hAnsi="宋体" w:cs="宋体"/>
          <w:b/>
          <w:szCs w:val="21"/>
          <w:highlight w:val="none"/>
          <w:u w:val="single"/>
        </w:rPr>
      </w:pPr>
    </w:p>
    <w:p>
      <w:pPr>
        <w:kinsoku w:val="0"/>
        <w:rPr>
          <w:rFonts w:ascii="宋体" w:hAnsi="宋体"/>
          <w:b/>
          <w:szCs w:val="21"/>
          <w:highlight w:val="none"/>
        </w:rPr>
      </w:pPr>
    </w:p>
    <w:p>
      <w:pPr>
        <w:kinsoku w:val="0"/>
        <w:rPr>
          <w:rFonts w:ascii="宋体" w:hAnsi="宋体"/>
          <w:b/>
          <w:szCs w:val="21"/>
          <w:highlight w:val="none"/>
        </w:rPr>
      </w:pPr>
      <w:r>
        <w:rPr>
          <w:rFonts w:hint="eastAsia" w:ascii="宋体" w:hAnsi="宋体"/>
          <w:b/>
          <w:szCs w:val="21"/>
          <w:highlight w:val="none"/>
        </w:rPr>
        <w:t>附件5</w:t>
      </w:r>
    </w:p>
    <w:p>
      <w:pPr>
        <w:pStyle w:val="8"/>
        <w:kinsoku w:val="0"/>
        <w:overflowPunct w:val="0"/>
        <w:spacing w:line="560" w:lineRule="exact"/>
        <w:ind w:firstLine="0"/>
        <w:jc w:val="center"/>
        <w:rPr>
          <w:rFonts w:ascii="宋体" w:hAnsi="宋体" w:cs="宋体"/>
          <w:sz w:val="30"/>
          <w:szCs w:val="30"/>
          <w:highlight w:val="none"/>
        </w:rPr>
      </w:pPr>
      <w:r>
        <w:rPr>
          <w:rFonts w:hint="eastAsia" w:ascii="宋体" w:hAnsi="宋体" w:cs="宋体"/>
          <w:sz w:val="30"/>
          <w:szCs w:val="30"/>
          <w:highlight w:val="none"/>
        </w:rPr>
        <w:t>近三年内，在经营活动中没有重大违法记录的声明函（格式）</w:t>
      </w:r>
    </w:p>
    <w:p>
      <w:pPr>
        <w:kinsoku w:val="0"/>
        <w:adjustRightInd w:val="0"/>
        <w:snapToGrid w:val="0"/>
        <w:spacing w:line="360" w:lineRule="exact"/>
        <w:rPr>
          <w:rFonts w:ascii="宋体" w:hAnsi="宋体" w:cs="宋体"/>
          <w:szCs w:val="21"/>
          <w:highlight w:val="none"/>
        </w:rPr>
      </w:pPr>
      <w:r>
        <w:rPr>
          <w:rFonts w:hint="eastAsia" w:ascii="宋体" w:hAnsi="宋体" w:cs="宋体"/>
          <w:szCs w:val="21"/>
          <w:highlight w:val="none"/>
        </w:rPr>
        <w:t>致：</w:t>
      </w:r>
      <w:r>
        <w:rPr>
          <w:rFonts w:hint="eastAsia" w:ascii="宋体" w:hAnsi="宋体" w:cs="宋体"/>
          <w:szCs w:val="21"/>
          <w:highlight w:val="none"/>
          <w:u w:val="single"/>
        </w:rPr>
        <w:t xml:space="preserve"> （采购代理机构名称） </w:t>
      </w:r>
    </w:p>
    <w:p>
      <w:pPr>
        <w:kinsoku w:val="0"/>
        <w:adjustRightInd w:val="0"/>
        <w:snapToGrid w:val="0"/>
        <w:spacing w:line="360" w:lineRule="exact"/>
        <w:ind w:firstLine="315" w:firstLineChars="150"/>
        <w:jc w:val="left"/>
        <w:rPr>
          <w:rFonts w:ascii="宋体" w:hAnsi="宋体" w:cs="宋体"/>
          <w:szCs w:val="21"/>
          <w:highlight w:val="none"/>
        </w:rPr>
      </w:pPr>
      <w:r>
        <w:rPr>
          <w:rFonts w:hint="eastAsia" w:ascii="宋体" w:hAnsi="宋体" w:cs="宋体"/>
          <w:szCs w:val="21"/>
          <w:highlight w:val="none"/>
        </w:rPr>
        <w:t>我单位近三年在经营活动中没有重大违法记录（包括：因违法经营受到刑事处罚或者责令停产停业，吊销许可证或者执照、较大数额罚款等行政处罚），特此声明。</w:t>
      </w:r>
    </w:p>
    <w:p>
      <w:pPr>
        <w:kinsoku w:val="0"/>
        <w:adjustRightInd w:val="0"/>
        <w:snapToGrid w:val="0"/>
        <w:spacing w:line="360" w:lineRule="exact"/>
        <w:ind w:firstLine="315" w:firstLineChars="150"/>
        <w:jc w:val="left"/>
        <w:rPr>
          <w:rFonts w:ascii="宋体" w:hAnsi="宋体" w:cs="宋体"/>
          <w:highlight w:val="none"/>
        </w:rPr>
      </w:pPr>
      <w:r>
        <w:rPr>
          <w:rFonts w:hint="eastAsia" w:ascii="宋体" w:hAnsi="宋体" w:cs="宋体"/>
          <w:szCs w:val="21"/>
          <w:highlight w:val="none"/>
        </w:rPr>
        <w:t>若采购人在本项目采购过程中发现我单位近三年内在经营活动中有重大违法记录，我单位将无条件地退出本项目的磋商，并承担因此引起的一切后果。</w:t>
      </w:r>
    </w:p>
    <w:p>
      <w:pPr>
        <w:kinsoku w:val="0"/>
        <w:adjustRightInd w:val="0"/>
        <w:snapToGrid w:val="0"/>
        <w:spacing w:line="200" w:lineRule="exact"/>
        <w:ind w:firstLine="315" w:firstLineChars="150"/>
        <w:jc w:val="left"/>
        <w:rPr>
          <w:rFonts w:ascii="宋体" w:hAnsi="宋体" w:cs="宋体"/>
          <w:highlight w:val="none"/>
        </w:rPr>
      </w:pPr>
    </w:p>
    <w:p>
      <w:pPr>
        <w:kinsoku w:val="0"/>
        <w:adjustRightInd w:val="0"/>
        <w:snapToGrid w:val="0"/>
        <w:spacing w:line="400" w:lineRule="exact"/>
        <w:ind w:firstLine="315" w:firstLineChars="150"/>
        <w:jc w:val="left"/>
        <w:rPr>
          <w:rFonts w:ascii="宋体" w:hAnsi="宋体" w:cs="宋体"/>
          <w:szCs w:val="21"/>
          <w:highlight w:val="none"/>
        </w:rPr>
      </w:pPr>
      <w:r>
        <w:rPr>
          <w:rFonts w:hint="eastAsia" w:ascii="宋体" w:hAnsi="宋体" w:cs="宋体"/>
          <w:highlight w:val="none"/>
        </w:rPr>
        <w:t>投标人</w:t>
      </w:r>
      <w:r>
        <w:rPr>
          <w:rFonts w:hint="eastAsia" w:ascii="宋体" w:hAnsi="宋体" w:cs="宋体"/>
          <w:szCs w:val="21"/>
          <w:highlight w:val="none"/>
        </w:rPr>
        <w:t>（公章）：</w:t>
      </w:r>
      <w:r>
        <w:rPr>
          <w:rFonts w:hint="eastAsia" w:ascii="宋体" w:hAnsi="宋体" w:cs="宋体"/>
          <w:szCs w:val="21"/>
          <w:highlight w:val="none"/>
          <w:u w:val="single"/>
        </w:rPr>
        <w:t xml:space="preserve">                      </w:t>
      </w:r>
      <w:r>
        <w:rPr>
          <w:rFonts w:hint="eastAsia" w:ascii="宋体" w:hAnsi="宋体" w:cs="宋体"/>
          <w:szCs w:val="21"/>
          <w:highlight w:val="none"/>
        </w:rPr>
        <w:t xml:space="preserve">      </w:t>
      </w:r>
    </w:p>
    <w:p>
      <w:pPr>
        <w:kinsoku w:val="0"/>
        <w:adjustRightInd w:val="0"/>
        <w:snapToGrid w:val="0"/>
        <w:spacing w:line="400" w:lineRule="exact"/>
        <w:ind w:firstLine="315" w:firstLineChars="150"/>
        <w:jc w:val="left"/>
        <w:rPr>
          <w:rFonts w:ascii="宋体" w:hAnsi="宋体" w:cs="宋体"/>
          <w:szCs w:val="21"/>
          <w:highlight w:val="none"/>
        </w:rPr>
      </w:pPr>
      <w:r>
        <w:rPr>
          <w:rFonts w:hint="eastAsia" w:ascii="宋体" w:hAnsi="宋体" w:cs="宋体"/>
          <w:szCs w:val="21"/>
          <w:highlight w:val="none"/>
        </w:rPr>
        <w:t>法定代表人（负责人）（签字）：</w:t>
      </w:r>
      <w:r>
        <w:rPr>
          <w:rFonts w:hint="eastAsia" w:ascii="宋体" w:hAnsi="宋体" w:cs="宋体"/>
          <w:szCs w:val="21"/>
          <w:highlight w:val="none"/>
          <w:u w:val="single"/>
        </w:rPr>
        <w:t xml:space="preserve">                  </w:t>
      </w:r>
      <w:r>
        <w:rPr>
          <w:rFonts w:hint="eastAsia" w:ascii="宋体" w:hAnsi="宋体" w:cs="宋体"/>
          <w:szCs w:val="21"/>
          <w:highlight w:val="none"/>
        </w:rPr>
        <w:t xml:space="preserve"> </w:t>
      </w:r>
    </w:p>
    <w:p>
      <w:pPr>
        <w:kinsoku w:val="0"/>
        <w:adjustRightInd w:val="0"/>
        <w:snapToGrid w:val="0"/>
        <w:spacing w:line="400" w:lineRule="exact"/>
        <w:ind w:firstLine="315" w:firstLineChars="150"/>
        <w:jc w:val="left"/>
        <w:rPr>
          <w:rFonts w:ascii="宋体" w:hAnsi="宋体" w:cs="宋体"/>
          <w:highlight w:val="none"/>
        </w:rPr>
      </w:pPr>
      <w:r>
        <w:rPr>
          <w:rFonts w:hint="eastAsia" w:ascii="宋体" w:hAnsi="宋体" w:cs="宋体"/>
          <w:highlight w:val="none"/>
        </w:rPr>
        <w:t xml:space="preserve">日期：         </w:t>
      </w:r>
    </w:p>
    <w:p>
      <w:pPr>
        <w:kinsoku w:val="0"/>
        <w:spacing w:line="240" w:lineRule="exact"/>
        <w:rPr>
          <w:rFonts w:ascii="宋体" w:hAnsi="宋体" w:cs="宋体"/>
          <w:b/>
          <w:szCs w:val="21"/>
          <w:highlight w:val="none"/>
          <w:u w:val="single"/>
        </w:rPr>
      </w:pPr>
      <w:bookmarkStart w:id="89" w:name="_Toc405905891"/>
      <w:r>
        <w:rPr>
          <w:rFonts w:hint="eastAsia" w:ascii="宋体" w:hAnsi="宋体" w:cs="宋体"/>
          <w:b/>
          <w:szCs w:val="21"/>
          <w:highlight w:val="none"/>
          <w:u w:val="single"/>
        </w:rPr>
        <w:t xml:space="preserve">                                                                                            .</w:t>
      </w:r>
    </w:p>
    <w:p>
      <w:pPr>
        <w:kinsoku w:val="0"/>
        <w:spacing w:line="240" w:lineRule="exact"/>
        <w:rPr>
          <w:rFonts w:ascii="宋体" w:hAnsi="宋体" w:cs="宋体"/>
          <w:b/>
          <w:szCs w:val="21"/>
          <w:highlight w:val="none"/>
        </w:rPr>
      </w:pPr>
      <w:r>
        <w:rPr>
          <w:rFonts w:hint="eastAsia" w:ascii="宋体" w:hAnsi="宋体" w:cs="宋体"/>
          <w:b/>
          <w:szCs w:val="21"/>
          <w:highlight w:val="none"/>
        </w:rPr>
        <w:t>附件6</w:t>
      </w:r>
    </w:p>
    <w:p>
      <w:pPr>
        <w:kinsoku w:val="0"/>
        <w:spacing w:line="400" w:lineRule="exact"/>
        <w:ind w:left="420" w:hanging="420"/>
        <w:jc w:val="center"/>
        <w:rPr>
          <w:rFonts w:ascii="宋体" w:hAnsi="宋体" w:cs="宋体"/>
          <w:kern w:val="0"/>
          <w:sz w:val="30"/>
          <w:szCs w:val="30"/>
          <w:highlight w:val="none"/>
        </w:rPr>
      </w:pPr>
      <w:r>
        <w:rPr>
          <w:rFonts w:hint="eastAsia" w:ascii="宋体" w:hAnsi="宋体" w:cs="宋体"/>
          <w:kern w:val="0"/>
          <w:sz w:val="30"/>
          <w:szCs w:val="30"/>
          <w:highlight w:val="none"/>
        </w:rPr>
        <w:t>中小企业声明函</w:t>
      </w:r>
    </w:p>
    <w:p>
      <w:pPr>
        <w:pStyle w:val="52"/>
        <w:widowControl w:val="0"/>
        <w:kinsoku w:val="0"/>
        <w:adjustRightInd w:val="0"/>
        <w:snapToGrid w:val="0"/>
        <w:spacing w:before="0" w:beforeAutospacing="0" w:after="0" w:afterAutospacing="0"/>
        <w:rPr>
          <w:rFonts w:cs="宋体"/>
          <w:kern w:val="2"/>
          <w:sz w:val="21"/>
          <w:szCs w:val="21"/>
          <w:highlight w:val="none"/>
        </w:rPr>
      </w:pPr>
    </w:p>
    <w:p>
      <w:pPr>
        <w:kinsoku w:val="0"/>
        <w:spacing w:line="340" w:lineRule="exact"/>
        <w:ind w:firstLine="420" w:firstLineChars="200"/>
        <w:rPr>
          <w:rFonts w:ascii="宋体" w:hAnsi="宋体" w:cs="宋体"/>
          <w:szCs w:val="21"/>
          <w:highlight w:val="none"/>
        </w:rPr>
      </w:pPr>
      <w:r>
        <w:rPr>
          <w:rFonts w:hint="eastAsia" w:cs="宋体"/>
          <w:szCs w:val="21"/>
          <w:highlight w:val="none"/>
        </w:rPr>
        <w:t>　　</w:t>
      </w:r>
      <w:r>
        <w:rPr>
          <w:rFonts w:hint="eastAsia" w:ascii="宋体" w:hAnsi="宋体" w:cs="宋体"/>
          <w:szCs w:val="21"/>
          <w:highlight w:val="none"/>
        </w:rPr>
        <w:t xml:space="preserve">本公司（联合体）郑重声明，根据《政府采购促进中小企业发展管理办法》（财库﹝2021﹞46 号）的规定，本公司 </w:t>
      </w:r>
      <w:r>
        <w:rPr>
          <w:rFonts w:hint="eastAsia" w:ascii="宋体" w:hAnsi="宋体" w:cs="宋体"/>
          <w:szCs w:val="21"/>
          <w:highlight w:val="none"/>
          <w:u w:val="single"/>
        </w:rPr>
        <w:t>（联合体）</w:t>
      </w:r>
      <w:r>
        <w:rPr>
          <w:rFonts w:hint="eastAsia" w:ascii="宋体" w:hAnsi="宋体" w:cs="宋体"/>
          <w:szCs w:val="21"/>
          <w:highlight w:val="none"/>
        </w:rPr>
        <w:t>参加</w:t>
      </w:r>
      <w:r>
        <w:rPr>
          <w:rFonts w:hint="eastAsia" w:ascii="宋体" w:hAnsi="宋体" w:cs="宋体"/>
          <w:szCs w:val="21"/>
          <w:highlight w:val="none"/>
          <w:u w:val="single"/>
        </w:rPr>
        <w:t>单位名称</w:t>
      </w:r>
      <w:r>
        <w:rPr>
          <w:rFonts w:hint="eastAsia" w:ascii="宋体" w:hAnsi="宋体" w:cs="宋体"/>
          <w:szCs w:val="21"/>
          <w:highlight w:val="none"/>
        </w:rPr>
        <w:t>的</w:t>
      </w:r>
      <w:r>
        <w:rPr>
          <w:rFonts w:hint="eastAsia" w:ascii="宋体" w:hAnsi="宋体" w:cs="宋体"/>
          <w:szCs w:val="21"/>
          <w:highlight w:val="none"/>
          <w:u w:val="single"/>
        </w:rPr>
        <w:t>（项目名称）</w:t>
      </w:r>
      <w:r>
        <w:rPr>
          <w:rFonts w:hint="eastAsia" w:ascii="宋体" w:hAnsi="宋体" w:cs="宋体"/>
          <w:szCs w:val="21"/>
          <w:highlight w:val="none"/>
        </w:rPr>
        <w:t xml:space="preserve">采购活动，工程的施工单位全部为符合政策要求的中小企业（或者：服务全部由符合政策要求的中小企业承接）。相关企业（含联合体中的中小企业、签订分包意向协议的中小企业）的具体情况如下： </w:t>
      </w:r>
    </w:p>
    <w:p>
      <w:pPr>
        <w:kinsoku w:val="0"/>
        <w:spacing w:line="340" w:lineRule="exact"/>
        <w:ind w:firstLine="420" w:firstLineChars="200"/>
        <w:rPr>
          <w:rFonts w:ascii="宋体" w:hAnsi="宋体" w:cs="宋体"/>
          <w:szCs w:val="21"/>
          <w:highlight w:val="none"/>
        </w:rPr>
      </w:pPr>
      <w:r>
        <w:rPr>
          <w:rFonts w:hint="eastAsia" w:ascii="宋体" w:hAnsi="宋体" w:cs="宋体"/>
          <w:szCs w:val="21"/>
          <w:highlight w:val="none"/>
        </w:rPr>
        <w:t>1.</w:t>
      </w:r>
      <w:r>
        <w:rPr>
          <w:rFonts w:hint="eastAsia" w:ascii="宋体" w:hAnsi="宋体" w:cs="宋体"/>
          <w:szCs w:val="21"/>
          <w:highlight w:val="none"/>
          <w:u w:val="single"/>
        </w:rPr>
        <w:t>（标的名称）</w:t>
      </w:r>
      <w:r>
        <w:rPr>
          <w:rFonts w:hint="eastAsia" w:ascii="宋体" w:hAnsi="宋体" w:cs="宋体"/>
          <w:szCs w:val="21"/>
          <w:highlight w:val="none"/>
        </w:rPr>
        <w:t xml:space="preserve"> ，属于</w:t>
      </w:r>
      <w:r>
        <w:rPr>
          <w:rFonts w:hint="eastAsia" w:ascii="宋体" w:hAnsi="宋体" w:cs="宋体"/>
          <w:szCs w:val="21"/>
          <w:highlight w:val="none"/>
          <w:u w:val="single"/>
        </w:rPr>
        <w:t>（采购文件中明确的所属行业）</w:t>
      </w:r>
      <w:r>
        <w:rPr>
          <w:rFonts w:hint="eastAsia" w:ascii="宋体" w:hAnsi="宋体" w:cs="宋体"/>
          <w:szCs w:val="21"/>
          <w:highlight w:val="none"/>
        </w:rPr>
        <w:t>； 承建（承接）企业为（</w:t>
      </w:r>
      <w:r>
        <w:rPr>
          <w:rFonts w:hint="eastAsia" w:ascii="宋体" w:hAnsi="宋体" w:cs="宋体"/>
          <w:szCs w:val="21"/>
          <w:highlight w:val="none"/>
          <w:u w:val="single"/>
        </w:rPr>
        <w:t>企业名称）</w:t>
      </w:r>
      <w:r>
        <w:rPr>
          <w:rFonts w:hint="eastAsia" w:ascii="宋体" w:hAnsi="宋体" w:cs="宋体"/>
          <w:szCs w:val="21"/>
          <w:highlight w:val="none"/>
        </w:rPr>
        <w:t>，从业人员</w:t>
      </w:r>
      <w:r>
        <w:rPr>
          <w:rFonts w:hint="eastAsia" w:ascii="宋体" w:hAnsi="宋体" w:cs="宋体"/>
          <w:szCs w:val="21"/>
          <w:highlight w:val="none"/>
          <w:u w:val="single"/>
        </w:rPr>
        <w:t xml:space="preserve">     </w:t>
      </w:r>
      <w:r>
        <w:rPr>
          <w:rFonts w:hint="eastAsia" w:ascii="宋体" w:hAnsi="宋体" w:cs="宋体"/>
          <w:szCs w:val="21"/>
          <w:highlight w:val="none"/>
        </w:rPr>
        <w:t>人，营业收入为</w:t>
      </w:r>
      <w:r>
        <w:rPr>
          <w:rFonts w:hint="eastAsia" w:ascii="宋体" w:hAnsi="宋体" w:cs="宋体"/>
          <w:szCs w:val="21"/>
          <w:highlight w:val="none"/>
          <w:u w:val="single"/>
        </w:rPr>
        <w:t xml:space="preserve">       </w:t>
      </w:r>
      <w:r>
        <w:rPr>
          <w:rFonts w:hint="eastAsia" w:ascii="宋体" w:hAnsi="宋体" w:cs="宋体"/>
          <w:szCs w:val="21"/>
          <w:highlight w:val="none"/>
        </w:rPr>
        <w:t>万元，资产总额为</w:t>
      </w:r>
      <w:r>
        <w:rPr>
          <w:rFonts w:hint="eastAsia" w:ascii="宋体" w:hAnsi="宋体" w:cs="宋体"/>
          <w:szCs w:val="21"/>
          <w:highlight w:val="none"/>
          <w:u w:val="single"/>
        </w:rPr>
        <w:t xml:space="preserve">       </w:t>
      </w:r>
      <w:r>
        <w:rPr>
          <w:rFonts w:hint="eastAsia" w:ascii="宋体" w:hAnsi="宋体" w:cs="宋体"/>
          <w:szCs w:val="21"/>
          <w:highlight w:val="none"/>
        </w:rPr>
        <w:t>万元，属于</w:t>
      </w:r>
      <w:r>
        <w:rPr>
          <w:rFonts w:hint="eastAsia" w:ascii="宋体" w:hAnsi="宋体" w:cs="宋体"/>
          <w:szCs w:val="21"/>
          <w:highlight w:val="none"/>
          <w:u w:val="single"/>
        </w:rPr>
        <w:t>（中型企业、小型企业、微型企业）</w:t>
      </w:r>
      <w:r>
        <w:rPr>
          <w:rFonts w:hint="eastAsia" w:ascii="宋体" w:hAnsi="宋体" w:cs="宋体"/>
          <w:szCs w:val="21"/>
          <w:highlight w:val="none"/>
        </w:rPr>
        <w:t>；</w:t>
      </w:r>
    </w:p>
    <w:p>
      <w:pPr>
        <w:kinsoku w:val="0"/>
        <w:spacing w:line="340" w:lineRule="exact"/>
        <w:ind w:firstLine="420" w:firstLineChars="200"/>
        <w:rPr>
          <w:rFonts w:ascii="宋体" w:hAnsi="宋体" w:cs="宋体"/>
          <w:szCs w:val="21"/>
          <w:highlight w:val="none"/>
        </w:rPr>
      </w:pPr>
      <w:r>
        <w:rPr>
          <w:rFonts w:hint="eastAsia" w:ascii="宋体" w:hAnsi="宋体" w:cs="宋体"/>
          <w:szCs w:val="21"/>
          <w:highlight w:val="none"/>
        </w:rPr>
        <w:t>2.</w:t>
      </w:r>
      <w:r>
        <w:rPr>
          <w:rFonts w:hint="eastAsia" w:ascii="宋体" w:hAnsi="宋体" w:cs="宋体"/>
          <w:szCs w:val="21"/>
          <w:highlight w:val="none"/>
          <w:u w:val="single"/>
        </w:rPr>
        <w:t>（标的名称）</w:t>
      </w:r>
      <w:r>
        <w:rPr>
          <w:rFonts w:hint="eastAsia" w:ascii="宋体" w:hAnsi="宋体" w:cs="宋体"/>
          <w:szCs w:val="21"/>
          <w:highlight w:val="none"/>
        </w:rPr>
        <w:t xml:space="preserve"> ，属于</w:t>
      </w:r>
      <w:r>
        <w:rPr>
          <w:rFonts w:hint="eastAsia" w:ascii="宋体" w:hAnsi="宋体" w:cs="宋体"/>
          <w:szCs w:val="21"/>
          <w:highlight w:val="none"/>
          <w:u w:val="single"/>
        </w:rPr>
        <w:t>（采购文件中明确的所属行业）</w:t>
      </w:r>
      <w:r>
        <w:rPr>
          <w:rFonts w:hint="eastAsia" w:ascii="宋体" w:hAnsi="宋体" w:cs="宋体"/>
          <w:szCs w:val="21"/>
          <w:highlight w:val="none"/>
        </w:rPr>
        <w:t>； 承建（承接）企业为（</w:t>
      </w:r>
      <w:r>
        <w:rPr>
          <w:rFonts w:hint="eastAsia" w:ascii="宋体" w:hAnsi="宋体" w:cs="宋体"/>
          <w:szCs w:val="21"/>
          <w:highlight w:val="none"/>
          <w:u w:val="single"/>
        </w:rPr>
        <w:t>企业名称）</w:t>
      </w:r>
      <w:r>
        <w:rPr>
          <w:rFonts w:hint="eastAsia" w:ascii="宋体" w:hAnsi="宋体" w:cs="宋体"/>
          <w:szCs w:val="21"/>
          <w:highlight w:val="none"/>
        </w:rPr>
        <w:t>，从业人员</w:t>
      </w:r>
      <w:r>
        <w:rPr>
          <w:rFonts w:hint="eastAsia" w:ascii="宋体" w:hAnsi="宋体" w:cs="宋体"/>
          <w:szCs w:val="21"/>
          <w:highlight w:val="none"/>
          <w:u w:val="single"/>
        </w:rPr>
        <w:t xml:space="preserve">     </w:t>
      </w:r>
      <w:r>
        <w:rPr>
          <w:rFonts w:hint="eastAsia" w:ascii="宋体" w:hAnsi="宋体" w:cs="宋体"/>
          <w:szCs w:val="21"/>
          <w:highlight w:val="none"/>
        </w:rPr>
        <w:t>人，营业收入为</w:t>
      </w:r>
      <w:r>
        <w:rPr>
          <w:rFonts w:hint="eastAsia" w:ascii="宋体" w:hAnsi="宋体" w:cs="宋体"/>
          <w:szCs w:val="21"/>
          <w:highlight w:val="none"/>
          <w:u w:val="single"/>
        </w:rPr>
        <w:t xml:space="preserve">      </w:t>
      </w:r>
      <w:r>
        <w:rPr>
          <w:rFonts w:hint="eastAsia" w:ascii="宋体" w:hAnsi="宋体" w:cs="宋体"/>
          <w:szCs w:val="21"/>
          <w:highlight w:val="none"/>
        </w:rPr>
        <w:t>万元，资产总额为</w:t>
      </w:r>
      <w:r>
        <w:rPr>
          <w:rFonts w:hint="eastAsia" w:ascii="宋体" w:hAnsi="宋体" w:cs="宋体"/>
          <w:szCs w:val="21"/>
          <w:highlight w:val="none"/>
          <w:u w:val="single"/>
        </w:rPr>
        <w:t xml:space="preserve">     </w:t>
      </w:r>
      <w:r>
        <w:rPr>
          <w:rFonts w:hint="eastAsia" w:ascii="宋体" w:hAnsi="宋体" w:cs="宋体"/>
          <w:szCs w:val="21"/>
          <w:highlight w:val="none"/>
        </w:rPr>
        <w:t>万元，属于（</w:t>
      </w:r>
      <w:r>
        <w:rPr>
          <w:rFonts w:hint="eastAsia" w:ascii="宋体" w:hAnsi="宋体" w:cs="宋体"/>
          <w:szCs w:val="21"/>
          <w:highlight w:val="none"/>
          <w:u w:val="single"/>
        </w:rPr>
        <w:t>中型企业、小型企业、微型企业）</w:t>
      </w:r>
      <w:r>
        <w:rPr>
          <w:rFonts w:hint="eastAsia" w:ascii="宋体" w:hAnsi="宋体" w:cs="宋体"/>
          <w:szCs w:val="21"/>
          <w:highlight w:val="none"/>
        </w:rPr>
        <w:t>；</w:t>
      </w:r>
    </w:p>
    <w:p>
      <w:pPr>
        <w:kinsoku w:val="0"/>
        <w:spacing w:line="340" w:lineRule="exact"/>
        <w:ind w:firstLine="420" w:firstLineChars="200"/>
        <w:rPr>
          <w:rFonts w:ascii="宋体" w:hAnsi="宋体" w:cs="宋体"/>
          <w:szCs w:val="21"/>
          <w:highlight w:val="none"/>
        </w:rPr>
      </w:pPr>
      <w:r>
        <w:rPr>
          <w:rFonts w:hint="eastAsia" w:ascii="宋体" w:hAnsi="宋体" w:cs="宋体"/>
          <w:szCs w:val="21"/>
          <w:highlight w:val="none"/>
        </w:rPr>
        <w:t xml:space="preserve">…… </w:t>
      </w:r>
    </w:p>
    <w:p>
      <w:pPr>
        <w:pStyle w:val="52"/>
        <w:widowControl w:val="0"/>
        <w:kinsoku w:val="0"/>
        <w:adjustRightInd w:val="0"/>
        <w:snapToGrid w:val="0"/>
        <w:spacing w:before="0" w:beforeAutospacing="0" w:after="0" w:afterAutospacing="0" w:line="340" w:lineRule="exact"/>
        <w:ind w:firstLine="420" w:firstLineChars="200"/>
        <w:rPr>
          <w:rFonts w:cs="宋体"/>
          <w:kern w:val="2"/>
          <w:sz w:val="21"/>
          <w:szCs w:val="21"/>
          <w:highlight w:val="none"/>
        </w:rPr>
      </w:pPr>
      <w:r>
        <w:rPr>
          <w:rFonts w:hint="eastAsia" w:cs="宋体"/>
          <w:sz w:val="21"/>
          <w:szCs w:val="21"/>
          <w:highlight w:val="none"/>
        </w:rPr>
        <w:t>以上企业，不属于大企业的分支机构，不存在控股股东 为大企业的情形，也不存在与大企业的负责人为同一人的情 形。 本企业对上述声明内容的真实性负责。如有虚假，将依 法承担相应责任。</w:t>
      </w:r>
    </w:p>
    <w:p>
      <w:pPr>
        <w:pStyle w:val="52"/>
        <w:widowControl w:val="0"/>
        <w:kinsoku w:val="0"/>
        <w:adjustRightInd w:val="0"/>
        <w:snapToGrid w:val="0"/>
        <w:spacing w:before="0" w:beforeAutospacing="0" w:after="0" w:afterAutospacing="0" w:line="340" w:lineRule="exact"/>
        <w:ind w:right="420" w:firstLine="5376" w:firstLineChars="2560"/>
        <w:rPr>
          <w:rFonts w:cs="宋体"/>
          <w:kern w:val="2"/>
          <w:sz w:val="21"/>
          <w:szCs w:val="21"/>
          <w:highlight w:val="none"/>
        </w:rPr>
      </w:pPr>
      <w:r>
        <w:rPr>
          <w:rFonts w:hint="eastAsia" w:cs="宋体"/>
          <w:kern w:val="2"/>
          <w:sz w:val="21"/>
          <w:szCs w:val="21"/>
          <w:highlight w:val="none"/>
        </w:rPr>
        <w:t>企业名称（公章）：　</w:t>
      </w:r>
    </w:p>
    <w:p>
      <w:pPr>
        <w:pStyle w:val="8"/>
        <w:kinsoku w:val="0"/>
        <w:adjustRightInd w:val="0"/>
        <w:snapToGrid w:val="0"/>
        <w:spacing w:line="340" w:lineRule="exact"/>
        <w:ind w:left="1413" w:leftChars="673" w:firstLine="5901" w:firstLineChars="2810"/>
        <w:rPr>
          <w:rFonts w:ascii="宋体" w:hAnsi="宋体" w:cs="宋体"/>
          <w:highlight w:val="none"/>
        </w:rPr>
      </w:pPr>
      <w:r>
        <w:rPr>
          <w:rFonts w:hint="eastAsia" w:ascii="宋体" w:hAnsi="宋体" w:cs="宋体"/>
          <w:bCs/>
          <w:szCs w:val="21"/>
          <w:highlight w:val="none"/>
        </w:rPr>
        <w:t>年    月    日</w:t>
      </w:r>
    </w:p>
    <w:p>
      <w:pPr>
        <w:pStyle w:val="8"/>
        <w:kinsoku w:val="0"/>
        <w:adjustRightInd w:val="0"/>
        <w:snapToGrid w:val="0"/>
        <w:spacing w:line="400" w:lineRule="exact"/>
        <w:ind w:firstLine="0"/>
        <w:rPr>
          <w:rFonts w:ascii="宋体" w:hAnsi="宋体" w:cs="宋体"/>
          <w:szCs w:val="21"/>
          <w:highlight w:val="none"/>
        </w:rPr>
      </w:pPr>
      <w:r>
        <w:rPr>
          <w:rFonts w:hint="eastAsia" w:ascii="宋体" w:hAnsi="宋体" w:cs="宋体"/>
          <w:b/>
          <w:bCs/>
          <w:szCs w:val="21"/>
          <w:highlight w:val="none"/>
        </w:rPr>
        <w:t>说明：</w:t>
      </w:r>
      <w:r>
        <w:rPr>
          <w:rFonts w:ascii="宋体" w:hAnsi="宋体"/>
          <w:b/>
          <w:bCs/>
          <w:highlight w:val="none"/>
        </w:rPr>
        <w:t>从业人员、营业收入、资产总额填报上一年度数据，无上一年度数据的新成立企业可不填报</w:t>
      </w:r>
      <w:r>
        <w:rPr>
          <w:rFonts w:hint="eastAsia" w:ascii="宋体" w:hAnsi="宋体"/>
          <w:b/>
          <w:bCs/>
          <w:highlight w:val="none"/>
        </w:rPr>
        <w:t>。</w:t>
      </w:r>
    </w:p>
    <w:p>
      <w:pPr>
        <w:kinsoku w:val="0"/>
        <w:spacing w:line="300" w:lineRule="auto"/>
        <w:rPr>
          <w:rFonts w:ascii="宋体" w:hAnsi="宋体" w:cs="宋体"/>
          <w:b/>
          <w:highlight w:val="none"/>
          <w:u w:val="single"/>
        </w:rPr>
      </w:pPr>
      <w:r>
        <w:rPr>
          <w:rFonts w:hint="eastAsia" w:ascii="宋体" w:hAnsi="宋体" w:cs="宋体"/>
          <w:highlight w:val="none"/>
          <w:u w:val="single"/>
        </w:rPr>
        <w:t xml:space="preserve">                                                                                            </w:t>
      </w:r>
      <w:r>
        <w:rPr>
          <w:rFonts w:hint="eastAsia" w:ascii="宋体" w:hAnsi="宋体" w:cs="宋体"/>
          <w:highlight w:val="none"/>
        </w:rPr>
        <w:t>.</w:t>
      </w:r>
    </w:p>
    <w:p>
      <w:pPr>
        <w:kinsoku w:val="0"/>
        <w:spacing w:line="360" w:lineRule="exact"/>
        <w:rPr>
          <w:rFonts w:ascii="宋体" w:hAnsi="宋体" w:cs="宋体"/>
          <w:kern w:val="0"/>
          <w:sz w:val="36"/>
          <w:szCs w:val="36"/>
          <w:highlight w:val="none"/>
        </w:rPr>
      </w:pPr>
      <w:r>
        <w:rPr>
          <w:rFonts w:hint="eastAsia" w:ascii="宋体" w:hAnsi="宋体" w:cs="宋体"/>
          <w:b/>
          <w:szCs w:val="21"/>
          <w:highlight w:val="none"/>
        </w:rPr>
        <w:t>附件7</w:t>
      </w:r>
    </w:p>
    <w:p>
      <w:pPr>
        <w:kinsoku w:val="0"/>
        <w:spacing w:line="600" w:lineRule="exact"/>
        <w:ind w:left="420" w:hanging="420"/>
        <w:jc w:val="center"/>
        <w:rPr>
          <w:rFonts w:ascii="宋体" w:hAnsi="宋体" w:cs="宋体"/>
          <w:spacing w:val="6"/>
          <w:szCs w:val="21"/>
          <w:highlight w:val="none"/>
        </w:rPr>
      </w:pPr>
      <w:r>
        <w:rPr>
          <w:rFonts w:hint="eastAsia" w:ascii="宋体" w:hAnsi="宋体" w:cs="宋体"/>
          <w:kern w:val="0"/>
          <w:sz w:val="36"/>
          <w:szCs w:val="36"/>
          <w:highlight w:val="none"/>
        </w:rPr>
        <w:t>残疾人福利性单位声明函</w:t>
      </w:r>
    </w:p>
    <w:p>
      <w:pPr>
        <w:kinsoku w:val="0"/>
        <w:spacing w:line="360" w:lineRule="exact"/>
        <w:ind w:firstLine="444" w:firstLineChars="200"/>
        <w:rPr>
          <w:rFonts w:ascii="宋体" w:hAnsi="宋体" w:cs="宋体"/>
          <w:spacing w:val="6"/>
          <w:szCs w:val="21"/>
          <w:highlight w:val="none"/>
        </w:rPr>
      </w:pPr>
      <w:r>
        <w:rPr>
          <w:rFonts w:hint="eastAsia" w:ascii="宋体" w:hAnsi="宋体" w:cs="宋体"/>
          <w:spacing w:val="6"/>
          <w:szCs w:val="21"/>
          <w:highlight w:val="none"/>
        </w:rPr>
        <w:t>本单位郑重声明，根据《财政部 民政部 中国残疾人联合会关于促进残疾人就业政府采购政策的通知》（财库</w:t>
      </w:r>
      <w:r>
        <w:rPr>
          <w:rFonts w:hint="eastAsia" w:ascii="宋体" w:hAnsi="宋体" w:cs="宋体"/>
          <w:szCs w:val="21"/>
          <w:highlight w:val="none"/>
        </w:rPr>
        <w:t>〔2017〕 141</w:t>
      </w:r>
      <w:r>
        <w:rPr>
          <w:rFonts w:hint="eastAsia" w:ascii="宋体" w:hAnsi="宋体" w:cs="宋体"/>
          <w:spacing w:val="6"/>
          <w:szCs w:val="21"/>
          <w:highlight w:val="none"/>
        </w:rPr>
        <w:t>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kinsoku w:val="0"/>
        <w:spacing w:line="360" w:lineRule="exact"/>
        <w:ind w:firstLine="444" w:firstLineChars="200"/>
        <w:rPr>
          <w:rFonts w:hAnsi="宋体" w:cs="宋体"/>
          <w:highlight w:val="none"/>
        </w:rPr>
      </w:pPr>
      <w:r>
        <w:rPr>
          <w:rFonts w:hint="eastAsia" w:ascii="宋体" w:hAnsi="宋体" w:cs="宋体"/>
          <w:spacing w:val="6"/>
          <w:szCs w:val="21"/>
          <w:highlight w:val="none"/>
        </w:rPr>
        <w:t>本单位对上述声明的真实性负责。如有虚假，将依法承担相应责任。</w:t>
      </w:r>
    </w:p>
    <w:p>
      <w:pPr>
        <w:pStyle w:val="29"/>
        <w:kinsoku w:val="0"/>
        <w:adjustRightInd w:val="0"/>
        <w:snapToGrid w:val="0"/>
        <w:spacing w:line="400" w:lineRule="exact"/>
        <w:ind w:firstLine="424" w:firstLineChars="202"/>
        <w:rPr>
          <w:rFonts w:hAnsi="宋体" w:cs="宋体"/>
          <w:highlight w:val="none"/>
        </w:rPr>
      </w:pPr>
      <w:r>
        <w:rPr>
          <w:rFonts w:hint="eastAsia" w:hAnsi="宋体" w:cs="宋体"/>
          <w:highlight w:val="none"/>
        </w:rPr>
        <w:t>企业名称（公章）：</w:t>
      </w:r>
      <w:r>
        <w:rPr>
          <w:rFonts w:hint="eastAsia" w:hAnsi="宋体" w:cs="宋体"/>
          <w:highlight w:val="none"/>
          <w:u w:val="single"/>
        </w:rPr>
        <w:t xml:space="preserve">                      </w:t>
      </w:r>
    </w:p>
    <w:p>
      <w:pPr>
        <w:pStyle w:val="29"/>
        <w:kinsoku w:val="0"/>
        <w:adjustRightInd w:val="0"/>
        <w:snapToGrid w:val="0"/>
        <w:spacing w:line="400" w:lineRule="exact"/>
        <w:ind w:firstLine="424" w:firstLineChars="202"/>
        <w:rPr>
          <w:rFonts w:hAnsi="宋体" w:cs="宋体"/>
          <w:highlight w:val="none"/>
          <w:u w:val="single"/>
        </w:rPr>
      </w:pPr>
      <w:r>
        <w:rPr>
          <w:rFonts w:hint="eastAsia" w:hAnsi="宋体" w:cs="宋体"/>
          <w:highlight w:val="none"/>
        </w:rPr>
        <w:t>法定代表人（负责人）或授权代表（签字）：</w:t>
      </w:r>
      <w:r>
        <w:rPr>
          <w:rFonts w:hint="eastAsia" w:hAnsi="宋体" w:cs="宋体"/>
          <w:highlight w:val="none"/>
          <w:u w:val="single"/>
        </w:rPr>
        <w:t xml:space="preserve">                     </w:t>
      </w:r>
    </w:p>
    <w:p>
      <w:pPr>
        <w:pStyle w:val="29"/>
        <w:kinsoku w:val="0"/>
        <w:adjustRightInd w:val="0"/>
        <w:snapToGrid w:val="0"/>
        <w:spacing w:line="400" w:lineRule="exact"/>
        <w:ind w:firstLine="424" w:firstLineChars="202"/>
        <w:rPr>
          <w:rFonts w:hAnsi="宋体" w:cs="宋体"/>
          <w:highlight w:val="none"/>
          <w:u w:val="single"/>
        </w:rPr>
      </w:pPr>
      <w:r>
        <w:rPr>
          <w:rFonts w:hint="eastAsia" w:hAnsi="宋体" w:cs="宋体"/>
          <w:highlight w:val="none"/>
        </w:rPr>
        <w:t>日期：</w:t>
      </w:r>
      <w:r>
        <w:rPr>
          <w:rFonts w:hint="eastAsia" w:hAnsi="宋体" w:cs="宋体"/>
          <w:highlight w:val="none"/>
          <w:u w:val="single"/>
        </w:rPr>
        <w:t xml:space="preserve">                 </w:t>
      </w:r>
    </w:p>
    <w:p>
      <w:pPr>
        <w:pStyle w:val="29"/>
        <w:kinsoku w:val="0"/>
        <w:adjustRightInd w:val="0"/>
        <w:snapToGrid w:val="0"/>
        <w:spacing w:line="100" w:lineRule="exact"/>
        <w:rPr>
          <w:rFonts w:hAnsi="宋体" w:cs="宋体"/>
          <w:bCs/>
          <w:sz w:val="36"/>
          <w:szCs w:val="36"/>
          <w:highlight w:val="none"/>
        </w:rPr>
      </w:pPr>
    </w:p>
    <w:p>
      <w:pPr>
        <w:pStyle w:val="29"/>
        <w:kinsoku w:val="0"/>
        <w:adjustRightInd w:val="0"/>
        <w:snapToGrid w:val="0"/>
        <w:spacing w:line="100" w:lineRule="exact"/>
        <w:rPr>
          <w:rFonts w:hAnsi="宋体" w:cs="宋体"/>
          <w:bCs/>
          <w:highlight w:val="none"/>
        </w:rPr>
      </w:pPr>
      <w:r>
        <w:rPr>
          <w:rFonts w:hint="eastAsia" w:hAnsi="宋体" w:cs="宋体"/>
          <w:highlight w:val="none"/>
        </w:rPr>
        <w:br w:type="page"/>
      </w:r>
      <w:r>
        <w:rPr>
          <w:rFonts w:hint="eastAsia" w:hAnsi="宋体" w:cs="宋体"/>
          <w:bCs/>
          <w:highlight w:val="none"/>
        </w:rPr>
        <w:t xml:space="preserve"> </w:t>
      </w:r>
    </w:p>
    <w:p>
      <w:pPr>
        <w:pStyle w:val="3"/>
        <w:keepNext w:val="0"/>
        <w:keepLines w:val="0"/>
        <w:tabs>
          <w:tab w:val="left" w:pos="1800"/>
          <w:tab w:val="center" w:pos="4875"/>
        </w:tabs>
        <w:kinsoku w:val="0"/>
        <w:spacing w:before="0" w:after="0" w:line="600" w:lineRule="exact"/>
        <w:jc w:val="left"/>
        <w:rPr>
          <w:rFonts w:ascii="宋体" w:hAnsi="宋体" w:cs="宋体"/>
          <w:b w:val="0"/>
          <w:kern w:val="0"/>
          <w:sz w:val="36"/>
          <w:szCs w:val="36"/>
          <w:highlight w:val="none"/>
        </w:rPr>
      </w:pPr>
      <w:r>
        <w:rPr>
          <w:rFonts w:hint="eastAsia" w:ascii="宋体" w:hAnsi="宋体" w:cs="宋体"/>
          <w:b w:val="0"/>
          <w:kern w:val="0"/>
          <w:sz w:val="36"/>
          <w:szCs w:val="36"/>
          <w:highlight w:val="none"/>
        </w:rPr>
        <w:tab/>
      </w:r>
      <w:r>
        <w:rPr>
          <w:rFonts w:hint="eastAsia" w:ascii="宋体" w:hAnsi="宋体" w:cs="宋体"/>
          <w:bCs w:val="0"/>
          <w:kern w:val="0"/>
          <w:sz w:val="36"/>
          <w:szCs w:val="36"/>
          <w:highlight w:val="none"/>
        </w:rPr>
        <w:tab/>
      </w:r>
      <w:r>
        <w:rPr>
          <w:rFonts w:hint="eastAsia" w:ascii="宋体" w:hAnsi="宋体" w:cs="宋体"/>
          <w:bCs w:val="0"/>
          <w:kern w:val="0"/>
          <w:sz w:val="36"/>
          <w:szCs w:val="36"/>
          <w:highlight w:val="none"/>
        </w:rPr>
        <w:t>第五章  合同主要条款</w:t>
      </w:r>
      <w:bookmarkEnd w:id="89"/>
    </w:p>
    <w:p>
      <w:pPr>
        <w:spacing w:line="600" w:lineRule="exact"/>
        <w:ind w:firstLine="960" w:firstLineChars="400"/>
        <w:rPr>
          <w:rFonts w:hint="eastAsia" w:ascii="宋体" w:hAnsi="宋体" w:cs="宋体"/>
          <w:kern w:val="0"/>
          <w:sz w:val="24"/>
          <w:highlight w:val="none"/>
          <w:u w:val="single"/>
        </w:rPr>
      </w:pPr>
      <w:r>
        <w:rPr>
          <w:rFonts w:hint="eastAsia" w:ascii="宋体" w:hAnsi="宋体" w:cs="宋体"/>
          <w:kern w:val="0"/>
          <w:sz w:val="24"/>
          <w:highlight w:val="none"/>
          <w:u w:val="single"/>
        </w:rPr>
        <w:t xml:space="preserve">                                    </w:t>
      </w:r>
    </w:p>
    <w:p>
      <w:pPr>
        <w:spacing w:line="600" w:lineRule="exact"/>
        <w:rPr>
          <w:rFonts w:ascii="Times New Roman" w:hAnsi="Times New Roman"/>
          <w:sz w:val="28"/>
          <w:szCs w:val="28"/>
          <w:highlight w:val="none"/>
        </w:rPr>
      </w:pPr>
      <w:r>
        <w:rPr>
          <w:rFonts w:hint="eastAsia" w:ascii="宋体" w:hAnsi="宋体" w:eastAsia="宋体" w:cs="宋体"/>
          <w:b/>
          <w:bCs/>
          <w:sz w:val="32"/>
          <w:szCs w:val="32"/>
          <w:highlight w:val="none"/>
        </w:rPr>
        <w:t>合同编号：</w:t>
      </w:r>
      <w:r>
        <w:rPr>
          <w:rFonts w:hint="eastAsia" w:ascii="宋体" w:hAnsi="宋体" w:eastAsia="宋体" w:cs="宋体"/>
          <w:b/>
          <w:bCs/>
          <w:kern w:val="0"/>
          <w:sz w:val="32"/>
          <w:szCs w:val="32"/>
          <w:highlight w:val="none"/>
        </w:rPr>
        <w:t xml:space="preserve"> </w:t>
      </w:r>
      <w:r>
        <w:rPr>
          <w:rFonts w:ascii="Times New Roman" w:hAnsi="Times New Roman" w:eastAsia="仿宋"/>
          <w:kern w:val="0"/>
          <w:sz w:val="32"/>
          <w:szCs w:val="32"/>
          <w:highlight w:val="none"/>
        </w:rPr>
        <w:t xml:space="preserve">           </w:t>
      </w:r>
    </w:p>
    <w:p>
      <w:pPr>
        <w:spacing w:line="600" w:lineRule="exact"/>
        <w:jc w:val="center"/>
        <w:rPr>
          <w:rFonts w:ascii="Times New Roman" w:hAnsi="Times New Roman" w:eastAsia="方正小标宋_GBK"/>
          <w:kern w:val="0"/>
          <w:sz w:val="44"/>
          <w:szCs w:val="44"/>
          <w:highlight w:val="none"/>
        </w:rPr>
      </w:pPr>
      <w:r>
        <w:rPr>
          <w:rFonts w:ascii="Times New Roman" w:hAnsi="Times New Roman" w:eastAsia="方正小标宋_GBK"/>
          <w:kern w:val="0"/>
          <w:sz w:val="44"/>
          <w:szCs w:val="44"/>
          <w:highlight w:val="none"/>
        </w:rPr>
        <w:t>政府采购技术服务合同</w:t>
      </w:r>
    </w:p>
    <w:p>
      <w:pPr>
        <w:spacing w:line="600" w:lineRule="exact"/>
        <w:rPr>
          <w:rFonts w:ascii="Times New Roman" w:hAnsi="Times New Roman" w:eastAsia="方正小标宋_GBK"/>
          <w:kern w:val="0"/>
          <w:sz w:val="44"/>
          <w:szCs w:val="44"/>
          <w:highlight w:val="none"/>
        </w:rPr>
      </w:pPr>
    </w:p>
    <w:p>
      <w:pPr>
        <w:keepNext w:val="0"/>
        <w:keepLines w:val="0"/>
        <w:pageBreakBefore w:val="0"/>
        <w:widowControl w:val="0"/>
        <w:kinsoku/>
        <w:wordWrap/>
        <w:overflowPunct/>
        <w:topLinePunct w:val="0"/>
        <w:autoSpaceDE/>
        <w:autoSpaceDN/>
        <w:bidi w:val="0"/>
        <w:adjustRightInd/>
        <w:snapToGrid/>
        <w:spacing w:line="560" w:lineRule="exact"/>
        <w:ind w:firstLine="964" w:firstLineChars="400"/>
        <w:textAlignment w:val="auto"/>
        <w:rPr>
          <w:rFonts w:hint="eastAsia" w:ascii="宋体" w:hAnsi="宋体" w:cs="宋体"/>
          <w:kern w:val="0"/>
          <w:sz w:val="24"/>
          <w:highlight w:val="none"/>
        </w:rPr>
      </w:pPr>
      <w:r>
        <w:rPr>
          <w:rFonts w:hint="eastAsia" w:ascii="宋体" w:hAnsi="宋体" w:cs="宋体"/>
          <w:b/>
          <w:bCs/>
          <w:kern w:val="0"/>
          <w:sz w:val="24"/>
          <w:highlight w:val="none"/>
        </w:rPr>
        <w:t>采购计划号：</w:t>
      </w:r>
      <w:r>
        <w:rPr>
          <w:rFonts w:hint="eastAsia" w:ascii="宋体" w:hAnsi="宋体" w:cs="宋体"/>
          <w:sz w:val="24"/>
          <w:highlight w:val="none"/>
          <w:u w:val="single"/>
          <w:lang w:val="en-US" w:eastAsia="zh-CN"/>
        </w:rPr>
        <w:t>广西政采【2022】15715号</w:t>
      </w:r>
      <w:r>
        <w:rPr>
          <w:rFonts w:hint="eastAsia" w:ascii="宋体" w:hAnsi="宋体" w:cs="宋体"/>
          <w:sz w:val="24"/>
          <w:highlight w:val="none"/>
          <w:u w:val="single"/>
        </w:rPr>
        <w:t xml:space="preserve">             </w:t>
      </w:r>
      <w:r>
        <w:rPr>
          <w:rFonts w:hint="eastAsia" w:ascii="宋体" w:hAnsi="宋体" w:cs="宋体"/>
          <w:sz w:val="24"/>
          <w:highlight w:val="none"/>
          <w:u w:val="single"/>
          <w:lang w:val="en-US" w:eastAsia="zh-CN"/>
        </w:rPr>
        <w:t>.</w:t>
      </w:r>
      <w:r>
        <w:rPr>
          <w:rFonts w:hint="eastAsia" w:ascii="宋体" w:hAnsi="宋体" w:cs="宋体"/>
          <w:sz w:val="24"/>
          <w:highlight w:val="none"/>
          <w:u w:val="single"/>
        </w:rPr>
        <w:t xml:space="preserve">        </w:t>
      </w:r>
    </w:p>
    <w:p>
      <w:pPr>
        <w:keepNext w:val="0"/>
        <w:keepLines w:val="0"/>
        <w:pageBreakBefore w:val="0"/>
        <w:widowControl w:val="0"/>
        <w:kinsoku/>
        <w:wordWrap/>
        <w:overflowPunct/>
        <w:topLinePunct w:val="0"/>
        <w:autoSpaceDE/>
        <w:autoSpaceDN/>
        <w:bidi w:val="0"/>
        <w:adjustRightInd/>
        <w:snapToGrid/>
        <w:spacing w:line="560" w:lineRule="exact"/>
        <w:ind w:firstLine="964" w:firstLineChars="400"/>
        <w:textAlignment w:val="auto"/>
        <w:rPr>
          <w:rFonts w:hint="eastAsia" w:ascii="宋体" w:hAnsi="宋体" w:cs="宋体"/>
          <w:kern w:val="0"/>
          <w:sz w:val="24"/>
          <w:highlight w:val="none"/>
        </w:rPr>
      </w:pPr>
      <w:r>
        <w:rPr>
          <w:rFonts w:hint="eastAsia" w:ascii="宋体" w:hAnsi="宋体" w:cs="宋体"/>
          <w:b/>
          <w:bCs/>
          <w:kern w:val="0"/>
          <w:sz w:val="24"/>
          <w:highlight w:val="none"/>
        </w:rPr>
        <w:t>项目名称：</w:t>
      </w:r>
      <w:r>
        <w:rPr>
          <w:rFonts w:hint="eastAsia" w:ascii="宋体" w:hAnsi="宋体" w:cs="宋体"/>
          <w:sz w:val="24"/>
          <w:highlight w:val="none"/>
          <w:u w:val="single"/>
        </w:rPr>
        <w:t xml:space="preserve">  </w:t>
      </w:r>
      <w:r>
        <w:rPr>
          <w:rFonts w:hint="eastAsia" w:ascii="宋体" w:hAnsi="宋体" w:cs="宋体"/>
          <w:sz w:val="24"/>
          <w:highlight w:val="none"/>
          <w:u w:val="single"/>
          <w:lang w:eastAsia="zh-CN"/>
        </w:rPr>
        <w:t>环境监测数据综合分析系统升级改造项目采购</w:t>
      </w:r>
      <w:r>
        <w:rPr>
          <w:rFonts w:hint="eastAsia" w:ascii="宋体" w:hAnsi="宋体" w:cs="宋体"/>
          <w:sz w:val="24"/>
          <w:highlight w:val="none"/>
          <w:u w:val="single"/>
          <w:lang w:val="en-US" w:eastAsia="zh-CN"/>
        </w:rPr>
        <w:t xml:space="preserve">. </w:t>
      </w:r>
      <w:r>
        <w:rPr>
          <w:rFonts w:hint="eastAsia" w:ascii="宋体" w:hAnsi="宋体" w:cs="宋体"/>
          <w:sz w:val="24"/>
          <w:highlight w:val="none"/>
          <w:u w:val="single"/>
        </w:rPr>
        <w:t xml:space="preserve">        </w:t>
      </w:r>
    </w:p>
    <w:p>
      <w:pPr>
        <w:keepNext w:val="0"/>
        <w:keepLines w:val="0"/>
        <w:pageBreakBefore w:val="0"/>
        <w:widowControl w:val="0"/>
        <w:kinsoku/>
        <w:wordWrap/>
        <w:overflowPunct/>
        <w:topLinePunct w:val="0"/>
        <w:autoSpaceDE/>
        <w:autoSpaceDN/>
        <w:bidi w:val="0"/>
        <w:adjustRightInd/>
        <w:snapToGrid/>
        <w:spacing w:line="560" w:lineRule="exact"/>
        <w:ind w:firstLine="964" w:firstLineChars="400"/>
        <w:textAlignment w:val="auto"/>
        <w:rPr>
          <w:rFonts w:hint="eastAsia" w:ascii="宋体" w:hAnsi="宋体" w:cs="宋体"/>
          <w:kern w:val="0"/>
          <w:sz w:val="24"/>
          <w:highlight w:val="none"/>
          <w:u w:val="single"/>
        </w:rPr>
      </w:pPr>
      <w:r>
        <w:rPr>
          <w:rFonts w:hint="eastAsia" w:ascii="宋体" w:hAnsi="宋体" w:cs="宋体"/>
          <w:b/>
          <w:bCs/>
          <w:kern w:val="0"/>
          <w:sz w:val="24"/>
          <w:highlight w:val="none"/>
        </w:rPr>
        <w:t>项目编号：</w:t>
      </w:r>
      <w:r>
        <w:rPr>
          <w:rFonts w:hint="eastAsia" w:ascii="宋体" w:hAnsi="宋体" w:cs="宋体"/>
          <w:kern w:val="0"/>
          <w:sz w:val="24"/>
          <w:highlight w:val="none"/>
          <w:u w:val="single"/>
        </w:rPr>
        <w:t xml:space="preserve"> </w:t>
      </w:r>
      <w:r>
        <w:rPr>
          <w:rFonts w:hint="eastAsia" w:ascii="宋体" w:hAnsi="宋体" w:cs="宋体"/>
          <w:sz w:val="24"/>
          <w:highlight w:val="none"/>
          <w:u w:val="single"/>
        </w:rPr>
        <w:t xml:space="preserve"> </w:t>
      </w:r>
      <w:r>
        <w:rPr>
          <w:rFonts w:hint="eastAsia" w:ascii="宋体" w:hAnsi="宋体" w:cs="宋体"/>
          <w:sz w:val="24"/>
          <w:highlight w:val="none"/>
          <w:u w:val="single"/>
          <w:lang w:eastAsia="zh-CN"/>
        </w:rPr>
        <w:t>GXZC2022-C3-002794-GXXY</w:t>
      </w:r>
      <w:r>
        <w:rPr>
          <w:rFonts w:hint="eastAsia" w:ascii="宋体" w:hAnsi="宋体" w:cs="宋体"/>
          <w:sz w:val="24"/>
          <w:highlight w:val="none"/>
          <w:u w:val="single"/>
          <w:lang w:val="en-US" w:eastAsia="zh-CN"/>
        </w:rPr>
        <w:t xml:space="preserve">    </w:t>
      </w:r>
      <w:r>
        <w:rPr>
          <w:rFonts w:hint="eastAsia" w:ascii="宋体" w:hAnsi="宋体" w:cs="宋体"/>
          <w:sz w:val="24"/>
          <w:highlight w:val="none"/>
          <w:u w:val="single"/>
        </w:rPr>
        <w:t xml:space="preserve">         </w:t>
      </w:r>
      <w:r>
        <w:rPr>
          <w:rFonts w:hint="eastAsia" w:ascii="宋体" w:hAnsi="宋体" w:cs="宋体"/>
          <w:sz w:val="24"/>
          <w:highlight w:val="none"/>
          <w:u w:val="single"/>
          <w:lang w:val="en-US" w:eastAsia="zh-CN"/>
        </w:rPr>
        <w:t>.</w:t>
      </w:r>
      <w:r>
        <w:rPr>
          <w:rFonts w:hint="eastAsia" w:ascii="宋体" w:hAnsi="宋体" w:cs="宋体"/>
          <w:sz w:val="24"/>
          <w:highlight w:val="none"/>
          <w:u w:val="single"/>
        </w:rPr>
        <w:t xml:space="preserve">        </w:t>
      </w:r>
    </w:p>
    <w:p>
      <w:pPr>
        <w:keepNext w:val="0"/>
        <w:keepLines w:val="0"/>
        <w:pageBreakBefore w:val="0"/>
        <w:widowControl w:val="0"/>
        <w:kinsoku/>
        <w:wordWrap/>
        <w:overflowPunct/>
        <w:topLinePunct w:val="0"/>
        <w:autoSpaceDE/>
        <w:autoSpaceDN/>
        <w:bidi w:val="0"/>
        <w:adjustRightInd/>
        <w:snapToGrid/>
        <w:spacing w:line="560" w:lineRule="exact"/>
        <w:ind w:firstLine="964" w:firstLineChars="400"/>
        <w:textAlignment w:val="auto"/>
        <w:rPr>
          <w:rFonts w:hint="eastAsia" w:ascii="宋体" w:hAnsi="宋体" w:cs="宋体"/>
          <w:kern w:val="0"/>
          <w:sz w:val="24"/>
          <w:highlight w:val="none"/>
        </w:rPr>
      </w:pPr>
      <w:r>
        <w:rPr>
          <w:rFonts w:hint="eastAsia" w:ascii="宋体" w:hAnsi="宋体" w:cs="宋体"/>
          <w:b/>
          <w:bCs/>
          <w:kern w:val="0"/>
          <w:sz w:val="24"/>
          <w:highlight w:val="none"/>
        </w:rPr>
        <w:t>签订地点：</w:t>
      </w:r>
      <w:r>
        <w:rPr>
          <w:rFonts w:hint="eastAsia" w:ascii="宋体" w:hAnsi="宋体" w:cs="宋体"/>
          <w:sz w:val="24"/>
          <w:highlight w:val="none"/>
          <w:u w:val="single"/>
        </w:rPr>
        <w:t xml:space="preserve">                                      </w:t>
      </w:r>
      <w:r>
        <w:rPr>
          <w:rFonts w:hint="eastAsia" w:ascii="宋体" w:hAnsi="宋体" w:cs="宋体"/>
          <w:sz w:val="24"/>
          <w:highlight w:val="none"/>
          <w:u w:val="single"/>
          <w:lang w:val="en-US" w:eastAsia="zh-CN"/>
        </w:rPr>
        <w:t>.</w:t>
      </w:r>
      <w:r>
        <w:rPr>
          <w:rFonts w:hint="eastAsia" w:ascii="宋体" w:hAnsi="宋体" w:cs="宋体"/>
          <w:sz w:val="24"/>
          <w:highlight w:val="none"/>
          <w:u w:val="single"/>
        </w:rPr>
        <w:t xml:space="preserve">        </w:t>
      </w:r>
    </w:p>
    <w:p>
      <w:pPr>
        <w:keepNext w:val="0"/>
        <w:keepLines w:val="0"/>
        <w:pageBreakBefore w:val="0"/>
        <w:widowControl w:val="0"/>
        <w:kinsoku/>
        <w:wordWrap/>
        <w:overflowPunct/>
        <w:topLinePunct w:val="0"/>
        <w:autoSpaceDE/>
        <w:autoSpaceDN/>
        <w:bidi w:val="0"/>
        <w:adjustRightInd/>
        <w:snapToGrid/>
        <w:spacing w:line="560" w:lineRule="exact"/>
        <w:ind w:firstLine="964" w:firstLineChars="400"/>
        <w:textAlignment w:val="auto"/>
        <w:rPr>
          <w:rFonts w:hint="eastAsia" w:ascii="宋体" w:hAnsi="宋体" w:cs="宋体"/>
          <w:kern w:val="0"/>
          <w:sz w:val="24"/>
          <w:highlight w:val="none"/>
        </w:rPr>
      </w:pPr>
      <w:r>
        <w:rPr>
          <w:rFonts w:hint="eastAsia" w:ascii="宋体" w:hAnsi="宋体" w:cs="宋体"/>
          <w:b/>
          <w:bCs/>
          <w:kern w:val="0"/>
          <w:sz w:val="24"/>
          <w:highlight w:val="none"/>
        </w:rPr>
        <w:t>签订时间：</w:t>
      </w:r>
      <w:r>
        <w:rPr>
          <w:rFonts w:hint="eastAsia" w:ascii="宋体" w:hAnsi="宋体" w:cs="宋体"/>
          <w:sz w:val="24"/>
          <w:highlight w:val="none"/>
          <w:u w:val="single"/>
        </w:rPr>
        <w:t xml:space="preserve">                                      </w:t>
      </w:r>
      <w:r>
        <w:rPr>
          <w:rFonts w:hint="eastAsia" w:ascii="宋体" w:hAnsi="宋体" w:cs="宋体"/>
          <w:sz w:val="24"/>
          <w:highlight w:val="none"/>
          <w:u w:val="single"/>
          <w:lang w:val="en-US" w:eastAsia="zh-CN"/>
        </w:rPr>
        <w:t>.</w:t>
      </w:r>
      <w:r>
        <w:rPr>
          <w:rFonts w:hint="eastAsia" w:ascii="宋体" w:hAnsi="宋体" w:cs="宋体"/>
          <w:sz w:val="24"/>
          <w:highlight w:val="none"/>
          <w:u w:val="single"/>
        </w:rPr>
        <w:t xml:space="preserve">        </w:t>
      </w:r>
    </w:p>
    <w:p>
      <w:pPr>
        <w:keepNext w:val="0"/>
        <w:keepLines w:val="0"/>
        <w:pageBreakBefore w:val="0"/>
        <w:widowControl w:val="0"/>
        <w:kinsoku/>
        <w:wordWrap/>
        <w:overflowPunct/>
        <w:topLinePunct w:val="0"/>
        <w:autoSpaceDE/>
        <w:autoSpaceDN/>
        <w:bidi w:val="0"/>
        <w:adjustRightInd/>
        <w:snapToGrid/>
        <w:spacing w:line="560" w:lineRule="exact"/>
        <w:ind w:firstLine="964" w:firstLineChars="400"/>
        <w:textAlignment w:val="auto"/>
        <w:rPr>
          <w:rFonts w:hint="eastAsia" w:ascii="宋体" w:hAnsi="宋体" w:cs="宋体"/>
          <w:b/>
          <w:bCs/>
          <w:kern w:val="0"/>
          <w:sz w:val="24"/>
          <w:highlight w:val="none"/>
        </w:rPr>
      </w:pPr>
    </w:p>
    <w:p>
      <w:pPr>
        <w:keepNext w:val="0"/>
        <w:keepLines w:val="0"/>
        <w:pageBreakBefore w:val="0"/>
        <w:widowControl w:val="0"/>
        <w:kinsoku/>
        <w:wordWrap/>
        <w:overflowPunct/>
        <w:topLinePunct w:val="0"/>
        <w:autoSpaceDE/>
        <w:autoSpaceDN/>
        <w:bidi w:val="0"/>
        <w:adjustRightInd/>
        <w:snapToGrid/>
        <w:spacing w:line="560" w:lineRule="exact"/>
        <w:ind w:firstLine="964" w:firstLineChars="400"/>
        <w:textAlignment w:val="auto"/>
        <w:rPr>
          <w:rFonts w:hint="eastAsia" w:ascii="宋体" w:hAnsi="宋体" w:cs="宋体"/>
          <w:kern w:val="0"/>
          <w:sz w:val="24"/>
          <w:highlight w:val="none"/>
        </w:rPr>
      </w:pPr>
      <w:r>
        <w:rPr>
          <w:rFonts w:hint="eastAsia" w:ascii="宋体" w:hAnsi="宋体" w:cs="宋体"/>
          <w:b/>
          <w:bCs/>
          <w:kern w:val="0"/>
          <w:sz w:val="24"/>
          <w:highlight w:val="none"/>
        </w:rPr>
        <w:t>甲方（采购人）：</w:t>
      </w:r>
      <w:r>
        <w:rPr>
          <w:rFonts w:hint="eastAsia" w:ascii="宋体" w:hAnsi="宋体" w:cs="宋体"/>
          <w:kern w:val="0"/>
          <w:sz w:val="24"/>
          <w:highlight w:val="none"/>
          <w:u w:val="single"/>
        </w:rPr>
        <w:t>广西壮族自治区海洋环境监测中心站</w:t>
      </w:r>
      <w:r>
        <w:rPr>
          <w:rFonts w:hint="eastAsia" w:ascii="宋体" w:hAnsi="宋体" w:cs="宋体"/>
          <w:kern w:val="0"/>
          <w:sz w:val="24"/>
          <w:highlight w:val="none"/>
          <w:u w:val="single"/>
          <w:lang w:val="en-US" w:eastAsia="zh-CN"/>
        </w:rPr>
        <w:t>.</w:t>
      </w:r>
      <w:r>
        <w:rPr>
          <w:rFonts w:hint="eastAsia" w:ascii="宋体" w:hAnsi="宋体" w:cs="宋体"/>
          <w:kern w:val="0"/>
          <w:sz w:val="24"/>
          <w:highlight w:val="none"/>
          <w:u w:val="single"/>
        </w:rPr>
        <w:t xml:space="preserve">       </w:t>
      </w:r>
    </w:p>
    <w:p>
      <w:pPr>
        <w:keepNext w:val="0"/>
        <w:keepLines w:val="0"/>
        <w:pageBreakBefore w:val="0"/>
        <w:widowControl w:val="0"/>
        <w:kinsoku/>
        <w:wordWrap/>
        <w:overflowPunct/>
        <w:topLinePunct w:val="0"/>
        <w:autoSpaceDE/>
        <w:autoSpaceDN/>
        <w:bidi w:val="0"/>
        <w:adjustRightInd/>
        <w:snapToGrid/>
        <w:spacing w:line="560" w:lineRule="exact"/>
        <w:ind w:firstLine="964" w:firstLineChars="400"/>
        <w:textAlignment w:val="auto"/>
        <w:rPr>
          <w:rFonts w:hint="eastAsia" w:ascii="宋体" w:hAnsi="宋体" w:cs="宋体"/>
          <w:kern w:val="0"/>
          <w:sz w:val="24"/>
          <w:highlight w:val="none"/>
        </w:rPr>
      </w:pPr>
      <w:r>
        <w:rPr>
          <w:rFonts w:hint="eastAsia" w:ascii="宋体" w:hAnsi="宋体" w:cs="宋体"/>
          <w:b/>
          <w:bCs/>
          <w:kern w:val="0"/>
          <w:sz w:val="24"/>
          <w:highlight w:val="none"/>
        </w:rPr>
        <w:t>住所地：</w:t>
      </w:r>
      <w:r>
        <w:rPr>
          <w:rFonts w:hint="eastAsia" w:ascii="宋体" w:hAnsi="宋体" w:cs="宋体"/>
          <w:kern w:val="0"/>
          <w:sz w:val="24"/>
          <w:highlight w:val="none"/>
          <w:u w:val="single"/>
        </w:rPr>
        <w:t xml:space="preserve">        北海市公园路49号</w:t>
      </w:r>
      <w:r>
        <w:rPr>
          <w:rFonts w:hint="eastAsia" w:ascii="宋体" w:hAnsi="宋体" w:cs="宋体"/>
          <w:kern w:val="0"/>
          <w:sz w:val="24"/>
          <w:highlight w:val="none"/>
          <w:u w:val="single"/>
          <w:lang w:val="en-US" w:eastAsia="zh-CN"/>
        </w:rPr>
        <w:t xml:space="preserve"> </w:t>
      </w:r>
      <w:r>
        <w:rPr>
          <w:rFonts w:hint="eastAsia" w:ascii="宋体" w:hAnsi="宋体" w:cs="宋体"/>
          <w:kern w:val="0"/>
          <w:sz w:val="24"/>
          <w:highlight w:val="none"/>
          <w:u w:val="single"/>
        </w:rPr>
        <w:t xml:space="preserve">              </w:t>
      </w:r>
      <w:r>
        <w:rPr>
          <w:rFonts w:hint="eastAsia" w:ascii="宋体" w:hAnsi="宋体" w:cs="宋体"/>
          <w:kern w:val="0"/>
          <w:sz w:val="24"/>
          <w:highlight w:val="none"/>
          <w:u w:val="single"/>
          <w:lang w:val="en-US" w:eastAsia="zh-CN"/>
        </w:rPr>
        <w:t>.</w:t>
      </w:r>
      <w:r>
        <w:rPr>
          <w:rFonts w:hint="eastAsia" w:ascii="宋体" w:hAnsi="宋体" w:cs="宋体"/>
          <w:kern w:val="0"/>
          <w:sz w:val="24"/>
          <w:highlight w:val="none"/>
          <w:u w:val="single"/>
        </w:rPr>
        <w:t xml:space="preserve">        </w:t>
      </w:r>
    </w:p>
    <w:p>
      <w:pPr>
        <w:keepNext w:val="0"/>
        <w:keepLines w:val="0"/>
        <w:pageBreakBefore w:val="0"/>
        <w:widowControl w:val="0"/>
        <w:kinsoku/>
        <w:wordWrap/>
        <w:overflowPunct/>
        <w:topLinePunct w:val="0"/>
        <w:autoSpaceDE/>
        <w:autoSpaceDN/>
        <w:bidi w:val="0"/>
        <w:adjustRightInd/>
        <w:snapToGrid/>
        <w:spacing w:line="560" w:lineRule="exact"/>
        <w:ind w:firstLine="964" w:firstLineChars="400"/>
        <w:textAlignment w:val="auto"/>
        <w:rPr>
          <w:rFonts w:hint="eastAsia" w:ascii="宋体" w:hAnsi="宋体" w:cs="宋体"/>
          <w:kern w:val="0"/>
          <w:sz w:val="24"/>
          <w:highlight w:val="none"/>
          <w:u w:val="single"/>
        </w:rPr>
      </w:pPr>
      <w:r>
        <w:rPr>
          <w:rFonts w:hint="eastAsia" w:ascii="宋体" w:hAnsi="宋体" w:cs="宋体"/>
          <w:b/>
          <w:bCs/>
          <w:kern w:val="0"/>
          <w:sz w:val="24"/>
          <w:highlight w:val="none"/>
        </w:rPr>
        <w:t>法定代表人：</w:t>
      </w:r>
      <w:r>
        <w:rPr>
          <w:rFonts w:hint="eastAsia" w:ascii="宋体" w:hAnsi="宋体" w:cs="宋体"/>
          <w:kern w:val="0"/>
          <w:sz w:val="24"/>
          <w:highlight w:val="none"/>
          <w:u w:val="single"/>
        </w:rPr>
        <w:t xml:space="preserve">    郭梅修           </w:t>
      </w:r>
      <w:r>
        <w:rPr>
          <w:rFonts w:hint="eastAsia" w:ascii="宋体" w:hAnsi="宋体" w:cs="宋体"/>
          <w:kern w:val="0"/>
          <w:sz w:val="24"/>
          <w:highlight w:val="none"/>
          <w:u w:val="single"/>
          <w:lang w:val="en-US" w:eastAsia="zh-CN"/>
        </w:rPr>
        <w:t xml:space="preserve">         </w:t>
      </w:r>
      <w:r>
        <w:rPr>
          <w:rFonts w:hint="eastAsia" w:ascii="宋体" w:hAnsi="宋体" w:cs="宋体"/>
          <w:kern w:val="0"/>
          <w:sz w:val="24"/>
          <w:highlight w:val="none"/>
          <w:u w:val="single"/>
        </w:rPr>
        <w:t xml:space="preserve">      </w:t>
      </w:r>
      <w:r>
        <w:rPr>
          <w:rFonts w:hint="eastAsia" w:ascii="宋体" w:hAnsi="宋体" w:cs="宋体"/>
          <w:kern w:val="0"/>
          <w:sz w:val="24"/>
          <w:highlight w:val="none"/>
          <w:u w:val="single"/>
          <w:lang w:val="en-US" w:eastAsia="zh-CN"/>
        </w:rPr>
        <w:t>.</w:t>
      </w:r>
      <w:r>
        <w:rPr>
          <w:rFonts w:hint="eastAsia" w:ascii="宋体" w:hAnsi="宋体" w:cs="宋体"/>
          <w:kern w:val="0"/>
          <w:sz w:val="24"/>
          <w:highlight w:val="none"/>
          <w:u w:val="single"/>
        </w:rPr>
        <w:t xml:space="preserve">        </w:t>
      </w:r>
    </w:p>
    <w:p>
      <w:pPr>
        <w:keepNext w:val="0"/>
        <w:keepLines w:val="0"/>
        <w:pageBreakBefore w:val="0"/>
        <w:widowControl w:val="0"/>
        <w:kinsoku/>
        <w:wordWrap/>
        <w:overflowPunct/>
        <w:topLinePunct w:val="0"/>
        <w:autoSpaceDE/>
        <w:autoSpaceDN/>
        <w:bidi w:val="0"/>
        <w:adjustRightInd/>
        <w:snapToGrid/>
        <w:spacing w:line="560" w:lineRule="exact"/>
        <w:ind w:firstLine="964" w:firstLineChars="400"/>
        <w:textAlignment w:val="auto"/>
        <w:rPr>
          <w:rFonts w:hint="eastAsia" w:ascii="宋体" w:hAnsi="宋体" w:cs="宋体"/>
          <w:kern w:val="0"/>
          <w:sz w:val="24"/>
          <w:highlight w:val="none"/>
        </w:rPr>
      </w:pPr>
      <w:r>
        <w:rPr>
          <w:rFonts w:hint="eastAsia" w:ascii="宋体" w:hAnsi="宋体" w:cs="宋体"/>
          <w:b/>
          <w:bCs/>
          <w:kern w:val="0"/>
          <w:sz w:val="24"/>
          <w:highlight w:val="none"/>
        </w:rPr>
        <w:t>通讯地址：</w:t>
      </w:r>
      <w:r>
        <w:rPr>
          <w:rFonts w:hint="eastAsia" w:ascii="宋体" w:hAnsi="宋体" w:cs="宋体"/>
          <w:kern w:val="0"/>
          <w:sz w:val="24"/>
          <w:highlight w:val="none"/>
          <w:u w:val="single"/>
        </w:rPr>
        <w:t xml:space="preserve">      北海市公园路49号</w:t>
      </w:r>
      <w:r>
        <w:rPr>
          <w:rFonts w:hint="eastAsia" w:ascii="宋体" w:hAnsi="宋体" w:cs="宋体"/>
          <w:kern w:val="0"/>
          <w:sz w:val="24"/>
          <w:highlight w:val="none"/>
          <w:u w:val="single"/>
          <w:lang w:val="en-US" w:eastAsia="zh-CN"/>
        </w:rPr>
        <w:t xml:space="preserve">             </w:t>
      </w:r>
      <w:r>
        <w:rPr>
          <w:rFonts w:hint="eastAsia" w:ascii="宋体" w:hAnsi="宋体" w:cs="宋体"/>
          <w:kern w:val="0"/>
          <w:sz w:val="24"/>
          <w:highlight w:val="none"/>
          <w:u w:val="single"/>
        </w:rPr>
        <w:t xml:space="preserve">  </w:t>
      </w:r>
      <w:r>
        <w:rPr>
          <w:rFonts w:hint="eastAsia" w:ascii="宋体" w:hAnsi="宋体" w:cs="宋体"/>
          <w:kern w:val="0"/>
          <w:sz w:val="24"/>
          <w:highlight w:val="none"/>
          <w:u w:val="single"/>
          <w:lang w:val="en-US" w:eastAsia="zh-CN"/>
        </w:rPr>
        <w:t>.</w:t>
      </w:r>
      <w:r>
        <w:rPr>
          <w:rFonts w:hint="eastAsia" w:ascii="宋体" w:hAnsi="宋体" w:cs="宋体"/>
          <w:kern w:val="0"/>
          <w:sz w:val="24"/>
          <w:highlight w:val="none"/>
          <w:u w:val="single"/>
        </w:rPr>
        <w:t xml:space="preserve">       </w:t>
      </w:r>
    </w:p>
    <w:p>
      <w:pPr>
        <w:keepNext w:val="0"/>
        <w:keepLines w:val="0"/>
        <w:pageBreakBefore w:val="0"/>
        <w:widowControl w:val="0"/>
        <w:kinsoku/>
        <w:wordWrap/>
        <w:overflowPunct/>
        <w:topLinePunct w:val="0"/>
        <w:autoSpaceDE/>
        <w:autoSpaceDN/>
        <w:bidi w:val="0"/>
        <w:adjustRightInd/>
        <w:snapToGrid/>
        <w:spacing w:line="560" w:lineRule="exact"/>
        <w:ind w:firstLine="964" w:firstLineChars="400"/>
        <w:textAlignment w:val="auto"/>
        <w:rPr>
          <w:rFonts w:hint="eastAsia" w:ascii="宋体" w:hAnsi="宋体" w:cs="宋体"/>
          <w:kern w:val="0"/>
          <w:sz w:val="24"/>
          <w:highlight w:val="none"/>
          <w:u w:val="single"/>
        </w:rPr>
      </w:pPr>
      <w:r>
        <w:rPr>
          <w:rFonts w:hint="eastAsia" w:ascii="宋体" w:hAnsi="宋体" w:cs="宋体"/>
          <w:b/>
          <w:bCs/>
          <w:kern w:val="0"/>
          <w:sz w:val="24"/>
          <w:highlight w:val="none"/>
        </w:rPr>
        <w:t>联系电话：</w:t>
      </w:r>
      <w:r>
        <w:rPr>
          <w:rFonts w:hint="eastAsia" w:ascii="宋体" w:hAnsi="宋体" w:cs="宋体"/>
          <w:kern w:val="0"/>
          <w:sz w:val="24"/>
          <w:highlight w:val="none"/>
          <w:u w:val="single"/>
        </w:rPr>
        <w:t xml:space="preserve">      0779-6801868  </w:t>
      </w:r>
      <w:r>
        <w:rPr>
          <w:rFonts w:hint="eastAsia" w:ascii="宋体" w:hAnsi="宋体" w:cs="宋体"/>
          <w:kern w:val="0"/>
          <w:sz w:val="24"/>
          <w:highlight w:val="none"/>
          <w:u w:val="single"/>
          <w:lang w:val="en-US" w:eastAsia="zh-CN"/>
        </w:rPr>
        <w:t xml:space="preserve">             </w:t>
      </w:r>
      <w:r>
        <w:rPr>
          <w:rFonts w:hint="eastAsia" w:ascii="宋体" w:hAnsi="宋体" w:cs="宋体"/>
          <w:kern w:val="0"/>
          <w:sz w:val="24"/>
          <w:highlight w:val="none"/>
          <w:u w:val="single"/>
        </w:rPr>
        <w:t xml:space="preserve">     </w:t>
      </w:r>
      <w:r>
        <w:rPr>
          <w:rFonts w:hint="eastAsia" w:ascii="宋体" w:hAnsi="宋体" w:cs="宋体"/>
          <w:kern w:val="0"/>
          <w:sz w:val="24"/>
          <w:highlight w:val="none"/>
          <w:u w:val="single"/>
          <w:lang w:val="en-US" w:eastAsia="zh-CN"/>
        </w:rPr>
        <w:t>.</w:t>
      </w:r>
      <w:r>
        <w:rPr>
          <w:rFonts w:hint="eastAsia" w:ascii="宋体" w:hAnsi="宋体" w:cs="宋体"/>
          <w:kern w:val="0"/>
          <w:sz w:val="24"/>
          <w:highlight w:val="none"/>
          <w:u w:val="single"/>
        </w:rPr>
        <w:t xml:space="preserve">       </w:t>
      </w:r>
    </w:p>
    <w:p>
      <w:pPr>
        <w:keepNext w:val="0"/>
        <w:keepLines w:val="0"/>
        <w:pageBreakBefore w:val="0"/>
        <w:widowControl w:val="0"/>
        <w:kinsoku/>
        <w:wordWrap/>
        <w:overflowPunct/>
        <w:topLinePunct w:val="0"/>
        <w:autoSpaceDE/>
        <w:autoSpaceDN/>
        <w:bidi w:val="0"/>
        <w:adjustRightInd/>
        <w:snapToGrid/>
        <w:spacing w:line="560" w:lineRule="exact"/>
        <w:ind w:firstLine="964" w:firstLineChars="400"/>
        <w:textAlignment w:val="auto"/>
        <w:rPr>
          <w:rFonts w:hint="eastAsia" w:ascii="宋体" w:hAnsi="宋体" w:cs="宋体"/>
          <w:kern w:val="0"/>
          <w:sz w:val="24"/>
          <w:highlight w:val="none"/>
        </w:rPr>
      </w:pPr>
      <w:r>
        <w:rPr>
          <w:rFonts w:hint="eastAsia" w:ascii="宋体" w:hAnsi="宋体" w:cs="宋体"/>
          <w:b/>
          <w:bCs/>
          <w:kern w:val="0"/>
          <w:sz w:val="24"/>
          <w:highlight w:val="none"/>
        </w:rPr>
        <w:t>电子邮箱：</w:t>
      </w:r>
      <w:r>
        <w:rPr>
          <w:rFonts w:hint="eastAsia" w:ascii="宋体" w:hAnsi="宋体" w:cs="宋体"/>
          <w:kern w:val="0"/>
          <w:sz w:val="24"/>
          <w:highlight w:val="none"/>
          <w:u w:val="single"/>
        </w:rPr>
        <w:t xml:space="preserve">      hyjcbgs@vip.163.com</w:t>
      </w:r>
      <w:r>
        <w:rPr>
          <w:rFonts w:hint="eastAsia" w:ascii="宋体" w:hAnsi="宋体" w:cs="宋体"/>
          <w:kern w:val="0"/>
          <w:sz w:val="24"/>
          <w:highlight w:val="none"/>
          <w:u w:val="single"/>
          <w:lang w:val="en-US" w:eastAsia="zh-CN"/>
        </w:rPr>
        <w:t xml:space="preserve">             .</w:t>
      </w:r>
      <w:r>
        <w:rPr>
          <w:rFonts w:hint="eastAsia" w:ascii="宋体" w:hAnsi="宋体" w:cs="宋体"/>
          <w:kern w:val="0"/>
          <w:sz w:val="24"/>
          <w:highlight w:val="none"/>
          <w:u w:val="single"/>
        </w:rPr>
        <w:t xml:space="preserve">      </w:t>
      </w:r>
    </w:p>
    <w:p>
      <w:pPr>
        <w:keepNext w:val="0"/>
        <w:keepLines w:val="0"/>
        <w:pageBreakBefore w:val="0"/>
        <w:widowControl w:val="0"/>
        <w:kinsoku/>
        <w:wordWrap/>
        <w:overflowPunct/>
        <w:topLinePunct w:val="0"/>
        <w:autoSpaceDE/>
        <w:autoSpaceDN/>
        <w:bidi w:val="0"/>
        <w:adjustRightInd/>
        <w:snapToGrid/>
        <w:spacing w:line="560" w:lineRule="exact"/>
        <w:ind w:firstLine="964" w:firstLineChars="400"/>
        <w:textAlignment w:val="auto"/>
        <w:rPr>
          <w:rFonts w:hint="eastAsia" w:ascii="宋体" w:hAnsi="宋体" w:cs="宋体"/>
          <w:b/>
          <w:bCs/>
          <w:kern w:val="0"/>
          <w:sz w:val="24"/>
          <w:highlight w:val="none"/>
        </w:rPr>
      </w:pPr>
    </w:p>
    <w:p>
      <w:pPr>
        <w:keepNext w:val="0"/>
        <w:keepLines w:val="0"/>
        <w:pageBreakBefore w:val="0"/>
        <w:widowControl w:val="0"/>
        <w:kinsoku/>
        <w:wordWrap/>
        <w:overflowPunct/>
        <w:topLinePunct w:val="0"/>
        <w:autoSpaceDE/>
        <w:autoSpaceDN/>
        <w:bidi w:val="0"/>
        <w:adjustRightInd/>
        <w:snapToGrid/>
        <w:spacing w:line="560" w:lineRule="exact"/>
        <w:ind w:firstLine="964" w:firstLineChars="400"/>
        <w:textAlignment w:val="auto"/>
        <w:rPr>
          <w:rFonts w:hint="eastAsia" w:ascii="宋体" w:hAnsi="宋体" w:cs="宋体"/>
          <w:kern w:val="0"/>
          <w:sz w:val="24"/>
          <w:highlight w:val="none"/>
          <w:u w:val="single"/>
        </w:rPr>
      </w:pPr>
      <w:r>
        <w:rPr>
          <w:rFonts w:hint="eastAsia" w:ascii="宋体" w:hAnsi="宋体" w:cs="宋体"/>
          <w:b/>
          <w:bCs/>
          <w:kern w:val="0"/>
          <w:sz w:val="24"/>
          <w:highlight w:val="none"/>
        </w:rPr>
        <w:t>乙方（供应商）：</w:t>
      </w:r>
      <w:r>
        <w:rPr>
          <w:rFonts w:hint="eastAsia" w:ascii="宋体" w:hAnsi="宋体" w:cs="宋体"/>
          <w:kern w:val="0"/>
          <w:sz w:val="24"/>
          <w:highlight w:val="none"/>
          <w:u w:val="single"/>
        </w:rPr>
        <w:t xml:space="preserve">                                </w:t>
      </w:r>
      <w:r>
        <w:rPr>
          <w:rFonts w:hint="eastAsia" w:ascii="宋体" w:hAnsi="宋体" w:cs="宋体"/>
          <w:kern w:val="0"/>
          <w:sz w:val="24"/>
          <w:highlight w:val="none"/>
          <w:u w:val="single"/>
          <w:lang w:val="en-US" w:eastAsia="zh-CN"/>
        </w:rPr>
        <w:t>.</w:t>
      </w:r>
      <w:r>
        <w:rPr>
          <w:rFonts w:hint="eastAsia" w:ascii="宋体" w:hAnsi="宋体" w:cs="宋体"/>
          <w:kern w:val="0"/>
          <w:sz w:val="24"/>
          <w:highlight w:val="none"/>
          <w:u w:val="single"/>
        </w:rPr>
        <w:t xml:space="preserve">        </w:t>
      </w:r>
    </w:p>
    <w:p>
      <w:pPr>
        <w:keepNext w:val="0"/>
        <w:keepLines w:val="0"/>
        <w:pageBreakBefore w:val="0"/>
        <w:widowControl w:val="0"/>
        <w:kinsoku/>
        <w:wordWrap/>
        <w:overflowPunct/>
        <w:topLinePunct w:val="0"/>
        <w:autoSpaceDE/>
        <w:autoSpaceDN/>
        <w:bidi w:val="0"/>
        <w:adjustRightInd/>
        <w:snapToGrid/>
        <w:spacing w:line="560" w:lineRule="exact"/>
        <w:ind w:firstLine="964" w:firstLineChars="400"/>
        <w:textAlignment w:val="auto"/>
        <w:rPr>
          <w:rFonts w:hint="eastAsia" w:ascii="宋体" w:hAnsi="宋体" w:cs="宋体"/>
          <w:kern w:val="0"/>
          <w:sz w:val="24"/>
          <w:highlight w:val="none"/>
          <w:u w:val="single"/>
        </w:rPr>
      </w:pPr>
      <w:r>
        <w:rPr>
          <w:rFonts w:hint="eastAsia" w:ascii="宋体" w:hAnsi="宋体" w:cs="宋体"/>
          <w:b/>
          <w:bCs/>
          <w:kern w:val="0"/>
          <w:sz w:val="24"/>
          <w:highlight w:val="none"/>
        </w:rPr>
        <w:t>住所地：</w:t>
      </w:r>
      <w:r>
        <w:rPr>
          <w:rFonts w:hint="eastAsia" w:ascii="宋体" w:hAnsi="宋体" w:cs="宋体"/>
          <w:kern w:val="0"/>
          <w:sz w:val="24"/>
          <w:highlight w:val="none"/>
          <w:u w:val="single"/>
        </w:rPr>
        <w:t xml:space="preserve">                                        </w:t>
      </w:r>
      <w:r>
        <w:rPr>
          <w:rFonts w:hint="eastAsia" w:ascii="宋体" w:hAnsi="宋体" w:cs="宋体"/>
          <w:kern w:val="0"/>
          <w:sz w:val="24"/>
          <w:highlight w:val="none"/>
          <w:u w:val="single"/>
          <w:lang w:val="en-US" w:eastAsia="zh-CN"/>
        </w:rPr>
        <w:t>.</w:t>
      </w:r>
      <w:r>
        <w:rPr>
          <w:rFonts w:hint="eastAsia" w:ascii="宋体" w:hAnsi="宋体" w:cs="宋体"/>
          <w:kern w:val="0"/>
          <w:sz w:val="24"/>
          <w:highlight w:val="none"/>
          <w:u w:val="single"/>
        </w:rPr>
        <w:t xml:space="preserve">        </w:t>
      </w:r>
    </w:p>
    <w:p>
      <w:pPr>
        <w:keepNext w:val="0"/>
        <w:keepLines w:val="0"/>
        <w:pageBreakBefore w:val="0"/>
        <w:widowControl w:val="0"/>
        <w:kinsoku/>
        <w:wordWrap/>
        <w:overflowPunct/>
        <w:topLinePunct w:val="0"/>
        <w:autoSpaceDE/>
        <w:autoSpaceDN/>
        <w:bidi w:val="0"/>
        <w:adjustRightInd/>
        <w:snapToGrid/>
        <w:spacing w:line="560" w:lineRule="exact"/>
        <w:ind w:firstLine="964" w:firstLineChars="400"/>
        <w:textAlignment w:val="auto"/>
        <w:rPr>
          <w:rFonts w:hint="eastAsia" w:ascii="宋体" w:hAnsi="宋体" w:cs="宋体"/>
          <w:kern w:val="0"/>
          <w:sz w:val="24"/>
          <w:highlight w:val="none"/>
          <w:u w:val="single"/>
        </w:rPr>
      </w:pPr>
      <w:r>
        <w:rPr>
          <w:rFonts w:hint="eastAsia" w:ascii="宋体" w:hAnsi="宋体" w:cs="宋体"/>
          <w:b/>
          <w:bCs/>
          <w:kern w:val="0"/>
          <w:sz w:val="24"/>
          <w:highlight w:val="none"/>
        </w:rPr>
        <w:t>法定代表人：</w:t>
      </w:r>
      <w:r>
        <w:rPr>
          <w:rFonts w:hint="eastAsia" w:ascii="宋体" w:hAnsi="宋体" w:cs="宋体"/>
          <w:kern w:val="0"/>
          <w:sz w:val="24"/>
          <w:highlight w:val="none"/>
          <w:u w:val="single"/>
        </w:rPr>
        <w:t xml:space="preserve">                                    </w:t>
      </w:r>
      <w:r>
        <w:rPr>
          <w:rFonts w:hint="eastAsia" w:ascii="宋体" w:hAnsi="宋体" w:cs="宋体"/>
          <w:kern w:val="0"/>
          <w:sz w:val="24"/>
          <w:highlight w:val="none"/>
          <w:u w:val="single"/>
          <w:lang w:val="en-US" w:eastAsia="zh-CN"/>
        </w:rPr>
        <w:t>.</w:t>
      </w:r>
      <w:r>
        <w:rPr>
          <w:rFonts w:hint="eastAsia" w:ascii="宋体" w:hAnsi="宋体" w:cs="宋体"/>
          <w:kern w:val="0"/>
          <w:sz w:val="24"/>
          <w:highlight w:val="none"/>
          <w:u w:val="single"/>
        </w:rPr>
        <w:t xml:space="preserve">        </w:t>
      </w:r>
    </w:p>
    <w:p>
      <w:pPr>
        <w:keepNext w:val="0"/>
        <w:keepLines w:val="0"/>
        <w:pageBreakBefore w:val="0"/>
        <w:widowControl w:val="0"/>
        <w:kinsoku/>
        <w:wordWrap/>
        <w:overflowPunct/>
        <w:topLinePunct w:val="0"/>
        <w:autoSpaceDE/>
        <w:autoSpaceDN/>
        <w:bidi w:val="0"/>
        <w:adjustRightInd/>
        <w:snapToGrid/>
        <w:spacing w:line="560" w:lineRule="exact"/>
        <w:ind w:firstLine="964" w:firstLineChars="400"/>
        <w:textAlignment w:val="auto"/>
        <w:rPr>
          <w:rFonts w:hint="eastAsia" w:ascii="宋体" w:hAnsi="宋体" w:cs="宋体"/>
          <w:kern w:val="0"/>
          <w:sz w:val="24"/>
          <w:highlight w:val="none"/>
        </w:rPr>
      </w:pPr>
      <w:r>
        <w:rPr>
          <w:rFonts w:hint="eastAsia" w:ascii="宋体" w:hAnsi="宋体" w:cs="宋体"/>
          <w:b/>
          <w:bCs/>
          <w:kern w:val="0"/>
          <w:sz w:val="24"/>
          <w:highlight w:val="none"/>
        </w:rPr>
        <w:t>通讯地址：</w:t>
      </w:r>
      <w:r>
        <w:rPr>
          <w:rFonts w:hint="eastAsia" w:ascii="宋体" w:hAnsi="宋体" w:cs="宋体"/>
          <w:kern w:val="0"/>
          <w:sz w:val="24"/>
          <w:highlight w:val="none"/>
          <w:u w:val="single"/>
        </w:rPr>
        <w:t xml:space="preserve">                                      </w:t>
      </w:r>
      <w:r>
        <w:rPr>
          <w:rFonts w:hint="eastAsia" w:ascii="宋体" w:hAnsi="宋体" w:cs="宋体"/>
          <w:kern w:val="0"/>
          <w:sz w:val="24"/>
          <w:highlight w:val="none"/>
          <w:u w:val="single"/>
          <w:lang w:val="en-US" w:eastAsia="zh-CN"/>
        </w:rPr>
        <w:t>.</w:t>
      </w:r>
      <w:r>
        <w:rPr>
          <w:rFonts w:hint="eastAsia" w:ascii="宋体" w:hAnsi="宋体" w:cs="宋体"/>
          <w:kern w:val="0"/>
          <w:sz w:val="24"/>
          <w:highlight w:val="none"/>
          <w:u w:val="single"/>
        </w:rPr>
        <w:t xml:space="preserve">        </w:t>
      </w:r>
    </w:p>
    <w:p>
      <w:pPr>
        <w:keepNext w:val="0"/>
        <w:keepLines w:val="0"/>
        <w:pageBreakBefore w:val="0"/>
        <w:widowControl w:val="0"/>
        <w:kinsoku/>
        <w:wordWrap/>
        <w:overflowPunct/>
        <w:topLinePunct w:val="0"/>
        <w:autoSpaceDE/>
        <w:autoSpaceDN/>
        <w:bidi w:val="0"/>
        <w:adjustRightInd/>
        <w:snapToGrid/>
        <w:spacing w:line="560" w:lineRule="exact"/>
        <w:ind w:firstLine="964" w:firstLineChars="400"/>
        <w:textAlignment w:val="auto"/>
        <w:rPr>
          <w:rFonts w:hint="eastAsia" w:ascii="宋体" w:hAnsi="宋体" w:cs="宋体"/>
          <w:kern w:val="0"/>
          <w:sz w:val="24"/>
          <w:highlight w:val="none"/>
        </w:rPr>
      </w:pPr>
      <w:r>
        <w:rPr>
          <w:rFonts w:hint="eastAsia" w:ascii="宋体" w:hAnsi="宋体" w:cs="宋体"/>
          <w:b/>
          <w:bCs/>
          <w:kern w:val="0"/>
          <w:sz w:val="24"/>
          <w:highlight w:val="none"/>
        </w:rPr>
        <w:t>联系电话：</w:t>
      </w:r>
      <w:r>
        <w:rPr>
          <w:rFonts w:hint="eastAsia" w:ascii="宋体" w:hAnsi="宋体" w:cs="宋体"/>
          <w:kern w:val="0"/>
          <w:sz w:val="24"/>
          <w:highlight w:val="none"/>
          <w:u w:val="single"/>
        </w:rPr>
        <w:t xml:space="preserve">                                      </w:t>
      </w:r>
      <w:r>
        <w:rPr>
          <w:rFonts w:hint="eastAsia" w:ascii="宋体" w:hAnsi="宋体" w:cs="宋体"/>
          <w:kern w:val="0"/>
          <w:sz w:val="24"/>
          <w:highlight w:val="none"/>
          <w:u w:val="single"/>
          <w:lang w:val="en-US" w:eastAsia="zh-CN"/>
        </w:rPr>
        <w:t>.</w:t>
      </w:r>
      <w:r>
        <w:rPr>
          <w:rFonts w:hint="eastAsia" w:ascii="宋体" w:hAnsi="宋体" w:cs="宋体"/>
          <w:kern w:val="0"/>
          <w:sz w:val="24"/>
          <w:highlight w:val="none"/>
          <w:u w:val="single"/>
        </w:rPr>
        <w:t xml:space="preserve">        </w:t>
      </w:r>
    </w:p>
    <w:p>
      <w:pPr>
        <w:keepNext w:val="0"/>
        <w:keepLines w:val="0"/>
        <w:pageBreakBefore w:val="0"/>
        <w:widowControl w:val="0"/>
        <w:kinsoku/>
        <w:wordWrap/>
        <w:overflowPunct/>
        <w:topLinePunct w:val="0"/>
        <w:autoSpaceDE/>
        <w:autoSpaceDN/>
        <w:bidi w:val="0"/>
        <w:adjustRightInd/>
        <w:snapToGrid/>
        <w:spacing w:line="560" w:lineRule="exact"/>
        <w:ind w:firstLine="964" w:firstLineChars="400"/>
        <w:textAlignment w:val="auto"/>
        <w:rPr>
          <w:rFonts w:ascii="宋体" w:hAnsi="宋体" w:cs="宋体"/>
          <w:b/>
          <w:bCs/>
          <w:sz w:val="32"/>
          <w:szCs w:val="32"/>
          <w:highlight w:val="none"/>
        </w:rPr>
      </w:pPr>
      <w:r>
        <w:rPr>
          <w:rFonts w:hint="eastAsia" w:ascii="宋体" w:hAnsi="宋体" w:cs="宋体"/>
          <w:b/>
          <w:bCs/>
          <w:kern w:val="0"/>
          <w:sz w:val="24"/>
          <w:highlight w:val="none"/>
        </w:rPr>
        <w:t>电子邮箱：</w:t>
      </w:r>
      <w:r>
        <w:rPr>
          <w:rFonts w:hint="eastAsia" w:ascii="宋体" w:hAnsi="宋体" w:cs="宋体"/>
          <w:kern w:val="0"/>
          <w:sz w:val="24"/>
          <w:highlight w:val="none"/>
          <w:u w:val="single"/>
        </w:rPr>
        <w:t xml:space="preserve">                                      </w:t>
      </w:r>
      <w:r>
        <w:rPr>
          <w:rFonts w:hint="eastAsia" w:ascii="宋体" w:hAnsi="宋体" w:cs="宋体"/>
          <w:kern w:val="0"/>
          <w:sz w:val="24"/>
          <w:highlight w:val="none"/>
          <w:u w:val="single"/>
          <w:lang w:val="en-US" w:eastAsia="zh-CN"/>
        </w:rPr>
        <w:t>.</w:t>
      </w:r>
      <w:r>
        <w:rPr>
          <w:rFonts w:hint="eastAsia" w:ascii="宋体" w:hAnsi="宋体" w:cs="宋体"/>
          <w:kern w:val="0"/>
          <w:sz w:val="24"/>
          <w:highlight w:val="none"/>
          <w:u w:val="single"/>
        </w:rPr>
        <w:t xml:space="preserve">        </w:t>
      </w:r>
    </w:p>
    <w:p>
      <w:pPr>
        <w:keepNext/>
        <w:keepLines/>
        <w:pageBreakBefore w:val="0"/>
        <w:widowControl/>
        <w:kinsoku/>
        <w:wordWrap/>
        <w:overflowPunct/>
        <w:topLinePunct w:val="0"/>
        <w:autoSpaceDE/>
        <w:autoSpaceDN/>
        <w:bidi w:val="0"/>
        <w:adjustRightInd/>
        <w:snapToGrid/>
        <w:spacing w:line="380" w:lineRule="exact"/>
        <w:ind w:firstLine="420" w:firstLineChars="200"/>
        <w:jc w:val="left"/>
        <w:textAlignment w:val="auto"/>
        <w:rPr>
          <w:rFonts w:hint="eastAsia" w:ascii="宋体" w:hAnsi="宋体" w:cs="宋体"/>
          <w:color w:val="auto"/>
          <w:szCs w:val="21"/>
          <w:highlight w:val="none"/>
        </w:rPr>
      </w:pPr>
    </w:p>
    <w:p>
      <w:pPr>
        <w:keepNext/>
        <w:keepLines/>
        <w:pageBreakBefore w:val="0"/>
        <w:widowControl/>
        <w:kinsoku/>
        <w:wordWrap/>
        <w:overflowPunct/>
        <w:topLinePunct w:val="0"/>
        <w:autoSpaceDE/>
        <w:autoSpaceDN/>
        <w:bidi w:val="0"/>
        <w:adjustRightInd/>
        <w:snapToGrid/>
        <w:spacing w:line="400" w:lineRule="exact"/>
        <w:ind w:firstLine="420" w:firstLineChars="200"/>
        <w:jc w:val="left"/>
        <w:textAlignment w:val="auto"/>
        <w:rPr>
          <w:rFonts w:ascii="宋体" w:hAnsi="宋体" w:cs="宋体"/>
          <w:color w:val="auto"/>
          <w:szCs w:val="21"/>
          <w:highlight w:val="none"/>
        </w:rPr>
      </w:pPr>
      <w:r>
        <w:rPr>
          <w:rFonts w:hint="eastAsia" w:ascii="宋体" w:hAnsi="宋体" w:cs="宋体"/>
          <w:color w:val="auto"/>
          <w:szCs w:val="21"/>
          <w:highlight w:val="none"/>
        </w:rPr>
        <w:t>根据《中华人民共和国政府采购法》《中华人民共和国民法典》等法律、法规规定，按照竞争性磋商文件（采购文件）规定条款和响应文件及承诺，甲乙双方签订本合同。</w:t>
      </w:r>
    </w:p>
    <w:p>
      <w:pPr>
        <w:keepNext/>
        <w:keepLines/>
        <w:pageBreakBefore w:val="0"/>
        <w:widowControl/>
        <w:kinsoku/>
        <w:wordWrap/>
        <w:overflowPunct/>
        <w:topLinePunct w:val="0"/>
        <w:autoSpaceDE/>
        <w:autoSpaceDN/>
        <w:bidi w:val="0"/>
        <w:adjustRightInd/>
        <w:snapToGrid/>
        <w:spacing w:line="400" w:lineRule="exact"/>
        <w:ind w:firstLine="422" w:firstLineChars="200"/>
        <w:textAlignment w:val="auto"/>
        <w:rPr>
          <w:rFonts w:ascii="宋体" w:hAnsi="宋体" w:cs="宋体"/>
          <w:bCs/>
          <w:color w:val="auto"/>
          <w:szCs w:val="21"/>
          <w:highlight w:val="none"/>
        </w:rPr>
      </w:pPr>
      <w:r>
        <w:rPr>
          <w:rFonts w:hint="eastAsia" w:ascii="宋体" w:hAnsi="宋体" w:cs="宋体"/>
          <w:b/>
          <w:color w:val="auto"/>
          <w:szCs w:val="21"/>
          <w:highlight w:val="none"/>
        </w:rPr>
        <w:t>第一条　合同标的</w:t>
      </w:r>
    </w:p>
    <w:p>
      <w:pPr>
        <w:keepNext/>
        <w:keepLines/>
        <w:pageBreakBefore w:val="0"/>
        <w:widowControl/>
        <w:kinsoku/>
        <w:wordWrap/>
        <w:overflowPunct/>
        <w:topLinePunct w:val="0"/>
        <w:autoSpaceDE/>
        <w:autoSpaceDN/>
        <w:bidi w:val="0"/>
        <w:adjustRightInd/>
        <w:snapToGrid/>
        <w:spacing w:line="40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1</w:t>
      </w:r>
      <w:r>
        <w:rPr>
          <w:rFonts w:hint="eastAsia" w:ascii="宋体" w:hAnsi="宋体" w:cs="宋体"/>
          <w:color w:val="auto"/>
          <w:szCs w:val="21"/>
          <w:highlight w:val="none"/>
          <w:lang w:val="en"/>
        </w:rPr>
        <w:t>.</w:t>
      </w:r>
      <w:r>
        <w:rPr>
          <w:rFonts w:hint="eastAsia" w:ascii="宋体" w:hAnsi="宋体" w:cs="宋体"/>
          <w:color w:val="auto"/>
          <w:szCs w:val="21"/>
          <w:highlight w:val="none"/>
        </w:rPr>
        <w:t>服务一览表</w:t>
      </w:r>
    </w:p>
    <w:tbl>
      <w:tblPr>
        <w:tblStyle w:val="58"/>
        <w:tblW w:w="946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18"/>
        <w:gridCol w:w="1428"/>
        <w:gridCol w:w="4373"/>
        <w:gridCol w:w="660"/>
        <w:gridCol w:w="675"/>
        <w:gridCol w:w="870"/>
        <w:gridCol w:w="94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5" w:hRule="atLeast"/>
          <w:jc w:val="center"/>
        </w:trPr>
        <w:tc>
          <w:tcPr>
            <w:tcW w:w="518" w:type="dxa"/>
            <w:tcBorders>
              <w:top w:val="single" w:color="auto" w:sz="4" w:space="0"/>
              <w:left w:val="single" w:color="auto" w:sz="4" w:space="0"/>
              <w:bottom w:val="single" w:color="auto" w:sz="4" w:space="0"/>
              <w:right w:val="single" w:color="auto" w:sz="4" w:space="0"/>
            </w:tcBorders>
            <w:vAlign w:val="center"/>
          </w:tcPr>
          <w:p>
            <w:pPr>
              <w:keepNext/>
              <w:keepLines/>
              <w:pageBreakBefore w:val="0"/>
              <w:widowControl/>
              <w:kinsoku/>
              <w:wordWrap/>
              <w:overflowPunct/>
              <w:topLinePunct w:val="0"/>
              <w:autoSpaceDE/>
              <w:autoSpaceDN/>
              <w:bidi w:val="0"/>
              <w:adjustRightInd/>
              <w:snapToGrid/>
              <w:spacing w:line="240" w:lineRule="exact"/>
              <w:ind w:left="-105" w:leftChars="-50" w:right="-105" w:rightChars="-50"/>
              <w:jc w:val="center"/>
              <w:textAlignment w:val="auto"/>
              <w:rPr>
                <w:rFonts w:ascii="宋体" w:hAnsi="宋体" w:cs="宋体"/>
                <w:color w:val="auto"/>
                <w:szCs w:val="21"/>
                <w:highlight w:val="none"/>
              </w:rPr>
            </w:pPr>
            <w:r>
              <w:rPr>
                <w:rFonts w:hint="eastAsia" w:ascii="宋体" w:hAnsi="宋体" w:cs="宋体"/>
                <w:color w:val="auto"/>
                <w:szCs w:val="21"/>
                <w:highlight w:val="none"/>
              </w:rPr>
              <w:t>序号</w:t>
            </w:r>
          </w:p>
        </w:tc>
        <w:tc>
          <w:tcPr>
            <w:tcW w:w="1428" w:type="dxa"/>
            <w:tcBorders>
              <w:top w:val="single" w:color="auto" w:sz="4" w:space="0"/>
              <w:left w:val="single" w:color="auto" w:sz="4" w:space="0"/>
              <w:bottom w:val="single" w:color="auto" w:sz="4" w:space="0"/>
              <w:right w:val="single" w:color="auto" w:sz="4" w:space="0"/>
            </w:tcBorders>
            <w:vAlign w:val="center"/>
          </w:tcPr>
          <w:p>
            <w:pPr>
              <w:keepNext/>
              <w:keepLines/>
              <w:pageBreakBefore w:val="0"/>
              <w:widowControl/>
              <w:wordWrap/>
              <w:topLinePunct w:val="0"/>
              <w:bidi w:val="0"/>
              <w:spacing w:line="400" w:lineRule="exact"/>
              <w:jc w:val="center"/>
              <w:rPr>
                <w:rFonts w:ascii="宋体" w:hAnsi="宋体" w:cs="宋体"/>
                <w:color w:val="auto"/>
                <w:szCs w:val="21"/>
                <w:highlight w:val="none"/>
              </w:rPr>
            </w:pPr>
            <w:r>
              <w:rPr>
                <w:rFonts w:hint="eastAsia" w:ascii="宋体" w:hAnsi="宋体" w:cs="宋体"/>
                <w:color w:val="auto"/>
                <w:szCs w:val="21"/>
                <w:highlight w:val="none"/>
              </w:rPr>
              <w:t>名称</w:t>
            </w:r>
          </w:p>
        </w:tc>
        <w:tc>
          <w:tcPr>
            <w:tcW w:w="4373" w:type="dxa"/>
            <w:tcBorders>
              <w:top w:val="single" w:color="auto" w:sz="4" w:space="0"/>
              <w:left w:val="single" w:color="auto" w:sz="4" w:space="0"/>
              <w:bottom w:val="single" w:color="auto" w:sz="4" w:space="0"/>
              <w:right w:val="single" w:color="auto" w:sz="4" w:space="0"/>
            </w:tcBorders>
            <w:vAlign w:val="center"/>
          </w:tcPr>
          <w:p>
            <w:pPr>
              <w:keepNext/>
              <w:keepLines/>
              <w:pageBreakBefore w:val="0"/>
              <w:widowControl/>
              <w:wordWrap/>
              <w:topLinePunct w:val="0"/>
              <w:bidi w:val="0"/>
              <w:spacing w:line="400" w:lineRule="exact"/>
              <w:jc w:val="center"/>
              <w:rPr>
                <w:rFonts w:ascii="宋体" w:hAnsi="宋体" w:cs="宋体"/>
                <w:color w:val="auto"/>
                <w:szCs w:val="21"/>
                <w:highlight w:val="none"/>
              </w:rPr>
            </w:pPr>
            <w:r>
              <w:rPr>
                <w:rFonts w:hint="eastAsia" w:ascii="宋体" w:hAnsi="宋体" w:cs="宋体"/>
                <w:color w:val="auto"/>
                <w:szCs w:val="21"/>
                <w:highlight w:val="none"/>
              </w:rPr>
              <w:t>服务内容</w:t>
            </w:r>
          </w:p>
        </w:tc>
        <w:tc>
          <w:tcPr>
            <w:tcW w:w="660" w:type="dxa"/>
            <w:tcBorders>
              <w:top w:val="single" w:color="auto" w:sz="4" w:space="0"/>
              <w:left w:val="single" w:color="auto" w:sz="4" w:space="0"/>
              <w:bottom w:val="single" w:color="auto" w:sz="4" w:space="0"/>
              <w:right w:val="single" w:color="auto" w:sz="4" w:space="0"/>
            </w:tcBorders>
            <w:vAlign w:val="center"/>
          </w:tcPr>
          <w:p>
            <w:pPr>
              <w:keepNext/>
              <w:keepLines/>
              <w:pageBreakBefore w:val="0"/>
              <w:widowControl/>
              <w:wordWrap/>
              <w:topLinePunct w:val="0"/>
              <w:bidi w:val="0"/>
              <w:spacing w:line="400" w:lineRule="exact"/>
              <w:jc w:val="center"/>
              <w:rPr>
                <w:rFonts w:ascii="宋体" w:hAnsi="宋体" w:cs="宋体"/>
                <w:color w:val="auto"/>
                <w:szCs w:val="21"/>
                <w:highlight w:val="none"/>
              </w:rPr>
            </w:pPr>
            <w:r>
              <w:rPr>
                <w:rFonts w:hint="eastAsia" w:ascii="宋体" w:hAnsi="宋体" w:cs="宋体"/>
                <w:color w:val="auto"/>
                <w:szCs w:val="21"/>
                <w:highlight w:val="none"/>
              </w:rPr>
              <w:t>数量</w:t>
            </w:r>
          </w:p>
        </w:tc>
        <w:tc>
          <w:tcPr>
            <w:tcW w:w="675" w:type="dxa"/>
            <w:tcBorders>
              <w:top w:val="single" w:color="auto" w:sz="4" w:space="0"/>
              <w:left w:val="single" w:color="auto" w:sz="4" w:space="0"/>
              <w:bottom w:val="single" w:color="auto" w:sz="4" w:space="0"/>
              <w:right w:val="single" w:color="auto" w:sz="4" w:space="0"/>
            </w:tcBorders>
            <w:vAlign w:val="center"/>
          </w:tcPr>
          <w:p>
            <w:pPr>
              <w:keepNext/>
              <w:keepLines/>
              <w:pageBreakBefore w:val="0"/>
              <w:widowControl/>
              <w:wordWrap/>
              <w:topLinePunct w:val="0"/>
              <w:bidi w:val="0"/>
              <w:spacing w:line="400" w:lineRule="exact"/>
              <w:jc w:val="center"/>
              <w:rPr>
                <w:rFonts w:ascii="宋体" w:hAnsi="宋体" w:cs="宋体"/>
                <w:color w:val="auto"/>
                <w:szCs w:val="21"/>
                <w:highlight w:val="none"/>
              </w:rPr>
            </w:pPr>
            <w:r>
              <w:rPr>
                <w:rFonts w:hint="eastAsia" w:ascii="宋体" w:hAnsi="宋体" w:cs="宋体"/>
                <w:color w:val="auto"/>
                <w:szCs w:val="21"/>
                <w:highlight w:val="none"/>
              </w:rPr>
              <w:t>单位</w:t>
            </w:r>
          </w:p>
        </w:tc>
        <w:tc>
          <w:tcPr>
            <w:tcW w:w="870" w:type="dxa"/>
            <w:tcBorders>
              <w:top w:val="single" w:color="auto" w:sz="4" w:space="0"/>
              <w:left w:val="single" w:color="auto" w:sz="4" w:space="0"/>
              <w:bottom w:val="single" w:color="auto" w:sz="4" w:space="0"/>
              <w:right w:val="single" w:color="auto" w:sz="4" w:space="0"/>
            </w:tcBorders>
            <w:vAlign w:val="center"/>
          </w:tcPr>
          <w:p>
            <w:pPr>
              <w:keepNext/>
              <w:keepLines/>
              <w:pageBreakBefore w:val="0"/>
              <w:widowControl/>
              <w:kinsoku/>
              <w:wordWrap/>
              <w:overflowPunct/>
              <w:topLinePunct w:val="0"/>
              <w:autoSpaceDE/>
              <w:autoSpaceDN/>
              <w:bidi w:val="0"/>
              <w:adjustRightInd/>
              <w:snapToGrid/>
              <w:spacing w:line="240" w:lineRule="exact"/>
              <w:jc w:val="center"/>
              <w:textAlignment w:val="auto"/>
              <w:rPr>
                <w:rFonts w:ascii="宋体" w:hAnsi="宋体" w:cs="宋体"/>
                <w:color w:val="auto"/>
                <w:szCs w:val="21"/>
                <w:highlight w:val="none"/>
              </w:rPr>
            </w:pPr>
            <w:r>
              <w:rPr>
                <w:rFonts w:hint="eastAsia" w:ascii="宋体" w:hAnsi="宋体" w:cs="宋体"/>
                <w:color w:val="auto"/>
                <w:szCs w:val="21"/>
                <w:highlight w:val="none"/>
              </w:rPr>
              <w:t>单  价</w:t>
            </w:r>
          </w:p>
          <w:p>
            <w:pPr>
              <w:keepNext/>
              <w:keepLines/>
              <w:pageBreakBefore w:val="0"/>
              <w:widowControl/>
              <w:kinsoku/>
              <w:wordWrap/>
              <w:overflowPunct/>
              <w:topLinePunct w:val="0"/>
              <w:autoSpaceDE/>
              <w:autoSpaceDN/>
              <w:bidi w:val="0"/>
              <w:adjustRightInd/>
              <w:snapToGrid/>
              <w:spacing w:line="240" w:lineRule="exact"/>
              <w:jc w:val="center"/>
              <w:textAlignment w:val="auto"/>
              <w:rPr>
                <w:rFonts w:ascii="宋体" w:hAnsi="宋体" w:cs="宋体"/>
                <w:color w:val="auto"/>
                <w:szCs w:val="21"/>
                <w:highlight w:val="none"/>
              </w:rPr>
            </w:pPr>
            <w:r>
              <w:rPr>
                <w:rFonts w:hint="eastAsia" w:ascii="宋体" w:hAnsi="宋体" w:cs="宋体"/>
                <w:color w:val="auto"/>
                <w:szCs w:val="21"/>
                <w:highlight w:val="none"/>
              </w:rPr>
              <w:t>（元）</w:t>
            </w:r>
          </w:p>
        </w:tc>
        <w:tc>
          <w:tcPr>
            <w:tcW w:w="941" w:type="dxa"/>
            <w:tcBorders>
              <w:top w:val="single" w:color="auto" w:sz="4" w:space="0"/>
              <w:left w:val="single" w:color="auto" w:sz="4" w:space="0"/>
              <w:bottom w:val="single" w:color="auto" w:sz="4" w:space="0"/>
              <w:right w:val="single" w:color="auto" w:sz="4" w:space="0"/>
            </w:tcBorders>
            <w:vAlign w:val="center"/>
          </w:tcPr>
          <w:p>
            <w:pPr>
              <w:keepNext/>
              <w:keepLines/>
              <w:pageBreakBefore w:val="0"/>
              <w:widowControl/>
              <w:kinsoku/>
              <w:wordWrap/>
              <w:overflowPunct/>
              <w:topLinePunct w:val="0"/>
              <w:autoSpaceDE/>
              <w:autoSpaceDN/>
              <w:bidi w:val="0"/>
              <w:adjustRightInd/>
              <w:snapToGrid/>
              <w:spacing w:line="240" w:lineRule="exact"/>
              <w:jc w:val="center"/>
              <w:textAlignment w:val="auto"/>
              <w:rPr>
                <w:rFonts w:ascii="宋体" w:hAnsi="宋体" w:cs="宋体"/>
                <w:color w:val="auto"/>
                <w:szCs w:val="21"/>
                <w:highlight w:val="none"/>
              </w:rPr>
            </w:pPr>
            <w:r>
              <w:rPr>
                <w:rFonts w:hint="eastAsia" w:ascii="宋体" w:hAnsi="宋体" w:cs="宋体"/>
                <w:color w:val="auto"/>
                <w:szCs w:val="21"/>
                <w:highlight w:val="none"/>
              </w:rPr>
              <w:t>总  价</w:t>
            </w:r>
          </w:p>
          <w:p>
            <w:pPr>
              <w:keepNext/>
              <w:keepLines/>
              <w:pageBreakBefore w:val="0"/>
              <w:widowControl/>
              <w:kinsoku/>
              <w:wordWrap/>
              <w:overflowPunct/>
              <w:topLinePunct w:val="0"/>
              <w:autoSpaceDE/>
              <w:autoSpaceDN/>
              <w:bidi w:val="0"/>
              <w:adjustRightInd/>
              <w:snapToGrid/>
              <w:spacing w:line="240" w:lineRule="exact"/>
              <w:jc w:val="center"/>
              <w:textAlignment w:val="auto"/>
              <w:rPr>
                <w:rFonts w:ascii="宋体" w:hAnsi="宋体" w:cs="宋体"/>
                <w:color w:val="auto"/>
                <w:szCs w:val="21"/>
                <w:highlight w:val="none"/>
              </w:rPr>
            </w:pPr>
            <w:r>
              <w:rPr>
                <w:rFonts w:hint="eastAsia" w:ascii="宋体" w:hAnsi="宋体" w:cs="宋体"/>
                <w:color w:val="auto"/>
                <w:szCs w:val="21"/>
                <w:highlight w:val="none"/>
              </w:rPr>
              <w:t>（元）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727" w:hRule="atLeast"/>
          <w:jc w:val="center"/>
        </w:trPr>
        <w:tc>
          <w:tcPr>
            <w:tcW w:w="518" w:type="dxa"/>
            <w:tcBorders>
              <w:top w:val="single" w:color="auto" w:sz="4" w:space="0"/>
              <w:left w:val="single" w:color="auto" w:sz="4" w:space="0"/>
              <w:bottom w:val="single" w:color="auto" w:sz="4" w:space="0"/>
              <w:right w:val="single" w:color="auto" w:sz="4" w:space="0"/>
            </w:tcBorders>
            <w:vAlign w:val="center"/>
          </w:tcPr>
          <w:p>
            <w:pPr>
              <w:keepNext/>
              <w:keepLines/>
              <w:pageBreakBefore w:val="0"/>
              <w:widowControl/>
              <w:wordWrap/>
              <w:topLinePunct w:val="0"/>
              <w:bidi w:val="0"/>
              <w:spacing w:line="400" w:lineRule="exact"/>
              <w:jc w:val="center"/>
              <w:rPr>
                <w:rFonts w:ascii="宋体" w:hAnsi="宋体" w:cs="宋体"/>
                <w:color w:val="auto"/>
                <w:szCs w:val="21"/>
                <w:highlight w:val="none"/>
              </w:rPr>
            </w:pPr>
            <w:r>
              <w:rPr>
                <w:rFonts w:hint="eastAsia" w:ascii="宋体" w:hAnsi="宋体" w:cs="宋体"/>
                <w:color w:val="auto"/>
                <w:szCs w:val="21"/>
                <w:highlight w:val="none"/>
              </w:rPr>
              <w:t>1</w:t>
            </w:r>
          </w:p>
        </w:tc>
        <w:tc>
          <w:tcPr>
            <w:tcW w:w="1428" w:type="dxa"/>
            <w:tcBorders>
              <w:top w:val="single" w:color="auto" w:sz="4" w:space="0"/>
              <w:left w:val="single" w:color="auto" w:sz="4" w:space="0"/>
              <w:bottom w:val="single" w:color="auto" w:sz="4" w:space="0"/>
              <w:right w:val="single" w:color="auto" w:sz="4" w:space="0"/>
            </w:tcBorders>
            <w:vAlign w:val="center"/>
          </w:tcPr>
          <w:p>
            <w:pPr>
              <w:keepNext/>
              <w:keepLines/>
              <w:pageBreakBefore w:val="0"/>
              <w:widowControl/>
              <w:wordWrap/>
              <w:topLinePunct w:val="0"/>
              <w:bidi w:val="0"/>
              <w:spacing w:line="400" w:lineRule="exact"/>
              <w:rPr>
                <w:rFonts w:hint="eastAsia" w:ascii="宋体" w:hAnsi="宋体" w:eastAsia="宋体" w:cs="宋体"/>
                <w:color w:val="auto"/>
                <w:szCs w:val="21"/>
                <w:highlight w:val="none"/>
                <w:lang w:eastAsia="zh-CN"/>
              </w:rPr>
            </w:pPr>
            <w:r>
              <w:rPr>
                <w:rFonts w:hint="eastAsia" w:ascii="宋体" w:hAnsi="宋体" w:cs="宋体"/>
                <w:color w:val="auto"/>
                <w:szCs w:val="21"/>
                <w:highlight w:val="none"/>
                <w:lang w:eastAsia="zh-CN"/>
              </w:rPr>
              <w:t>环境监测数据综合分析系统升级改造项目采购</w:t>
            </w:r>
          </w:p>
        </w:tc>
        <w:tc>
          <w:tcPr>
            <w:tcW w:w="4373" w:type="dxa"/>
            <w:tcBorders>
              <w:top w:val="single" w:color="auto" w:sz="4" w:space="0"/>
              <w:left w:val="single" w:color="auto" w:sz="4" w:space="0"/>
              <w:bottom w:val="single" w:color="auto" w:sz="4" w:space="0"/>
              <w:right w:val="single" w:color="auto" w:sz="4" w:space="0"/>
            </w:tcBorders>
            <w:vAlign w:val="center"/>
          </w:tcPr>
          <w:p>
            <w:pPr>
              <w:keepNext/>
              <w:keepLines/>
              <w:pageBreakBefore w:val="0"/>
              <w:widowControl/>
              <w:wordWrap/>
              <w:topLinePunct w:val="0"/>
              <w:bidi w:val="0"/>
              <w:spacing w:line="320" w:lineRule="exact"/>
              <w:rPr>
                <w:rFonts w:ascii="宋体" w:hAnsi="宋体" w:cs="宋体"/>
                <w:color w:val="auto"/>
                <w:szCs w:val="21"/>
                <w:highlight w:val="none"/>
              </w:rPr>
            </w:pPr>
            <w:r>
              <w:rPr>
                <w:rFonts w:hint="eastAsia" w:ascii="宋体" w:hAnsi="宋体" w:cs="宋体"/>
                <w:color w:val="auto"/>
                <w:szCs w:val="21"/>
                <w:highlight w:val="none"/>
              </w:rPr>
              <w:t>在已建成的环境监测数据综合分析系统基础上，结合实际需求，针对实验室管理系统、海洋环境监测数据综合管理系统、综合业务管理模块进行功能升级和优化，对已建或拟建设的自治区生态环境厅内涉及海洋业务相关的系统进行系统集成和接口对接，整体对系统从底层支撑到顶层应用的升级改造，并对国产化终端系统进行适配，解决当前系统使用存在的问题，更好适应海洋生态环境监测分析、质量评价新要求和实际政策变化，服务环境管理。</w:t>
            </w:r>
          </w:p>
        </w:tc>
        <w:tc>
          <w:tcPr>
            <w:tcW w:w="660" w:type="dxa"/>
            <w:tcBorders>
              <w:top w:val="single" w:color="auto" w:sz="4" w:space="0"/>
              <w:left w:val="single" w:color="auto" w:sz="4" w:space="0"/>
              <w:bottom w:val="single" w:color="auto" w:sz="4" w:space="0"/>
              <w:right w:val="single" w:color="auto" w:sz="4" w:space="0"/>
            </w:tcBorders>
            <w:vAlign w:val="center"/>
          </w:tcPr>
          <w:p>
            <w:pPr>
              <w:keepNext/>
              <w:keepLines/>
              <w:pageBreakBefore w:val="0"/>
              <w:widowControl/>
              <w:wordWrap/>
              <w:topLinePunct w:val="0"/>
              <w:bidi w:val="0"/>
              <w:spacing w:line="400" w:lineRule="exact"/>
              <w:rPr>
                <w:rFonts w:ascii="宋体" w:hAnsi="宋体" w:cs="宋体"/>
                <w:color w:val="auto"/>
                <w:szCs w:val="21"/>
                <w:highlight w:val="none"/>
              </w:rPr>
            </w:pPr>
            <w:r>
              <w:rPr>
                <w:rFonts w:hint="eastAsia" w:ascii="宋体" w:hAnsi="宋体" w:cs="宋体"/>
                <w:color w:val="auto"/>
                <w:szCs w:val="21"/>
                <w:highlight w:val="none"/>
              </w:rPr>
              <w:t xml:space="preserve">  1</w:t>
            </w:r>
          </w:p>
        </w:tc>
        <w:tc>
          <w:tcPr>
            <w:tcW w:w="675" w:type="dxa"/>
            <w:tcBorders>
              <w:top w:val="single" w:color="auto" w:sz="4" w:space="0"/>
              <w:left w:val="single" w:color="auto" w:sz="4" w:space="0"/>
              <w:bottom w:val="single" w:color="auto" w:sz="4" w:space="0"/>
              <w:right w:val="single" w:color="auto" w:sz="4" w:space="0"/>
            </w:tcBorders>
            <w:vAlign w:val="center"/>
          </w:tcPr>
          <w:p>
            <w:pPr>
              <w:keepNext/>
              <w:keepLines/>
              <w:pageBreakBefore w:val="0"/>
              <w:widowControl/>
              <w:wordWrap/>
              <w:topLinePunct w:val="0"/>
              <w:bidi w:val="0"/>
              <w:spacing w:line="400" w:lineRule="exact"/>
              <w:jc w:val="center"/>
              <w:rPr>
                <w:rFonts w:ascii="宋体" w:hAnsi="宋体" w:cs="宋体"/>
                <w:color w:val="auto"/>
                <w:szCs w:val="21"/>
                <w:highlight w:val="none"/>
              </w:rPr>
            </w:pPr>
            <w:r>
              <w:rPr>
                <w:rFonts w:hint="eastAsia" w:ascii="宋体" w:hAnsi="宋体" w:cs="宋体"/>
                <w:color w:val="auto"/>
                <w:szCs w:val="21"/>
                <w:highlight w:val="none"/>
              </w:rPr>
              <w:t>项</w:t>
            </w:r>
          </w:p>
        </w:tc>
        <w:tc>
          <w:tcPr>
            <w:tcW w:w="870" w:type="dxa"/>
            <w:tcBorders>
              <w:top w:val="single" w:color="auto" w:sz="4" w:space="0"/>
              <w:left w:val="single" w:color="auto" w:sz="4" w:space="0"/>
              <w:bottom w:val="single" w:color="auto" w:sz="4" w:space="0"/>
              <w:right w:val="single" w:color="auto" w:sz="4" w:space="0"/>
            </w:tcBorders>
            <w:vAlign w:val="center"/>
          </w:tcPr>
          <w:p>
            <w:pPr>
              <w:keepNext/>
              <w:keepLines/>
              <w:pageBreakBefore w:val="0"/>
              <w:widowControl/>
              <w:wordWrap/>
              <w:topLinePunct w:val="0"/>
              <w:bidi w:val="0"/>
              <w:spacing w:line="400" w:lineRule="exact"/>
              <w:rPr>
                <w:rFonts w:ascii="宋体" w:hAnsi="宋体" w:cs="宋体"/>
                <w:color w:val="auto"/>
                <w:szCs w:val="21"/>
                <w:highlight w:val="none"/>
                <w:lang w:val="en"/>
              </w:rPr>
            </w:pPr>
          </w:p>
        </w:tc>
        <w:tc>
          <w:tcPr>
            <w:tcW w:w="941" w:type="dxa"/>
            <w:tcBorders>
              <w:top w:val="single" w:color="auto" w:sz="4" w:space="0"/>
              <w:left w:val="single" w:color="auto" w:sz="4" w:space="0"/>
              <w:bottom w:val="single" w:color="auto" w:sz="4" w:space="0"/>
              <w:right w:val="single" w:color="auto" w:sz="4" w:space="0"/>
            </w:tcBorders>
            <w:vAlign w:val="center"/>
          </w:tcPr>
          <w:p>
            <w:pPr>
              <w:keepNext/>
              <w:keepLines/>
              <w:pageBreakBefore w:val="0"/>
              <w:widowControl/>
              <w:wordWrap/>
              <w:topLinePunct w:val="0"/>
              <w:bidi w:val="0"/>
              <w:spacing w:line="400" w:lineRule="exact"/>
              <w:rPr>
                <w:rFonts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5" w:hRule="atLeast"/>
          <w:jc w:val="center"/>
        </w:trPr>
        <w:tc>
          <w:tcPr>
            <w:tcW w:w="9465" w:type="dxa"/>
            <w:gridSpan w:val="7"/>
            <w:tcBorders>
              <w:top w:val="single" w:color="auto" w:sz="4" w:space="0"/>
              <w:left w:val="single" w:color="auto" w:sz="4" w:space="0"/>
              <w:bottom w:val="single" w:color="auto" w:sz="4" w:space="0"/>
              <w:right w:val="single" w:color="auto" w:sz="4" w:space="0"/>
            </w:tcBorders>
            <w:vAlign w:val="center"/>
          </w:tcPr>
          <w:p>
            <w:pPr>
              <w:keepNext/>
              <w:keepLines/>
              <w:pageBreakBefore w:val="0"/>
              <w:widowControl/>
              <w:wordWrap/>
              <w:topLinePunct w:val="0"/>
              <w:bidi w:val="0"/>
              <w:spacing w:line="400" w:lineRule="exact"/>
              <w:rPr>
                <w:rFonts w:ascii="宋体" w:hAnsi="宋体" w:cs="宋体"/>
                <w:color w:val="auto"/>
                <w:szCs w:val="21"/>
                <w:highlight w:val="none"/>
              </w:rPr>
            </w:pPr>
            <w:r>
              <w:rPr>
                <w:rFonts w:hint="eastAsia" w:ascii="宋体" w:hAnsi="宋体" w:cs="宋体"/>
                <w:color w:val="auto"/>
                <w:szCs w:val="21"/>
                <w:highlight w:val="none"/>
              </w:rPr>
              <w:t>合同合计金额（人民币，大写）：</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元整（￥</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w:t>
            </w:r>
          </w:p>
        </w:tc>
      </w:tr>
    </w:tbl>
    <w:p>
      <w:pPr>
        <w:keepNext/>
        <w:keepLines/>
        <w:pageBreakBefore w:val="0"/>
        <w:widowControl/>
        <w:kinsoku/>
        <w:wordWrap/>
        <w:overflowPunct/>
        <w:topLinePunct w:val="0"/>
        <w:autoSpaceDE/>
        <w:autoSpaceDN/>
        <w:bidi w:val="0"/>
        <w:spacing w:line="40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2</w:t>
      </w:r>
      <w:r>
        <w:rPr>
          <w:rFonts w:hint="eastAsia" w:ascii="宋体" w:hAnsi="宋体" w:cs="宋体"/>
          <w:color w:val="auto"/>
          <w:szCs w:val="21"/>
          <w:highlight w:val="none"/>
          <w:lang w:val="en"/>
        </w:rPr>
        <w:t>.</w:t>
      </w:r>
      <w:r>
        <w:rPr>
          <w:rFonts w:hint="eastAsia" w:ascii="宋体" w:hAnsi="宋体" w:cs="宋体"/>
          <w:color w:val="auto"/>
          <w:szCs w:val="21"/>
          <w:highlight w:val="none"/>
        </w:rPr>
        <w:t>合同合计金额包括但不限于满足本次招标全部采购需求所应提供的服务，以及伴随的货物和工程（如有）的价格</w:t>
      </w:r>
      <w:r>
        <w:rPr>
          <w:rFonts w:hint="eastAsia" w:ascii="宋体" w:hAnsi="宋体" w:cs="宋体"/>
          <w:color w:val="auto"/>
          <w:kern w:val="0"/>
          <w:szCs w:val="21"/>
          <w:highlight w:val="none"/>
        </w:rPr>
        <w:t>，包括但不限于</w:t>
      </w:r>
      <w:r>
        <w:rPr>
          <w:rFonts w:hint="eastAsia" w:ascii="宋体" w:hAnsi="宋体" w:cs="宋体"/>
          <w:color w:val="auto"/>
          <w:szCs w:val="21"/>
          <w:highlight w:val="none"/>
        </w:rPr>
        <w:t>服务、货物、工程的成本、运输（含保险）、安装（如有）、调试、检验、技术服务、培训、验收、保险、税费、质保、售后技术支持、版权使用费（如有）等所有费用。本项目竞争性磋商文件中另有约定的，从其约定。</w:t>
      </w:r>
    </w:p>
    <w:p>
      <w:pPr>
        <w:keepNext/>
        <w:keepLines/>
        <w:pageBreakBefore w:val="0"/>
        <w:widowControl/>
        <w:kinsoku/>
        <w:wordWrap/>
        <w:overflowPunct/>
        <w:topLinePunct w:val="0"/>
        <w:autoSpaceDE/>
        <w:autoSpaceDN/>
        <w:bidi w:val="0"/>
        <w:spacing w:line="400" w:lineRule="exact"/>
        <w:ind w:firstLine="422" w:firstLineChars="200"/>
        <w:textAlignment w:val="auto"/>
        <w:rPr>
          <w:rFonts w:ascii="宋体" w:hAnsi="宋体" w:cs="宋体"/>
          <w:b/>
          <w:color w:val="auto"/>
          <w:szCs w:val="21"/>
          <w:highlight w:val="none"/>
        </w:rPr>
      </w:pPr>
      <w:r>
        <w:rPr>
          <w:rFonts w:hint="eastAsia" w:ascii="宋体" w:hAnsi="宋体" w:cs="宋体"/>
          <w:b/>
          <w:color w:val="auto"/>
          <w:szCs w:val="21"/>
          <w:highlight w:val="none"/>
        </w:rPr>
        <w:t>第二条　质量保证</w:t>
      </w:r>
    </w:p>
    <w:p>
      <w:pPr>
        <w:keepNext/>
        <w:keepLines/>
        <w:pageBreakBefore w:val="0"/>
        <w:widowControl/>
        <w:kinsoku/>
        <w:wordWrap/>
        <w:overflowPunct/>
        <w:topLinePunct w:val="0"/>
        <w:autoSpaceDE/>
        <w:autoSpaceDN/>
        <w:bidi w:val="0"/>
        <w:spacing w:line="40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乙方所提供的服务、服务质量、服务内容及服务期限必须与本合同的约定、竞争性磋商文件的要求、响应文件的承诺相一致，有国家强制性标准的，还必须符合国家强制性标准的规定，没有国家强制性标准但有其他标准的，必须符合其他标准的规定。</w:t>
      </w:r>
    </w:p>
    <w:p>
      <w:pPr>
        <w:keepNext/>
        <w:keepLines/>
        <w:pageBreakBefore w:val="0"/>
        <w:widowControl/>
        <w:kinsoku/>
        <w:wordWrap/>
        <w:overflowPunct/>
        <w:topLinePunct w:val="0"/>
        <w:autoSpaceDE/>
        <w:autoSpaceDN/>
        <w:bidi w:val="0"/>
        <w:spacing w:line="400" w:lineRule="exact"/>
        <w:ind w:firstLine="422" w:firstLineChars="200"/>
        <w:textAlignment w:val="auto"/>
        <w:rPr>
          <w:rFonts w:ascii="宋体" w:hAnsi="宋体" w:cs="宋体"/>
          <w:bCs/>
          <w:color w:val="auto"/>
          <w:szCs w:val="21"/>
          <w:highlight w:val="none"/>
        </w:rPr>
      </w:pPr>
      <w:r>
        <w:rPr>
          <w:rFonts w:hint="eastAsia" w:ascii="宋体" w:hAnsi="宋体" w:cs="宋体"/>
          <w:b/>
          <w:color w:val="auto"/>
          <w:szCs w:val="21"/>
          <w:highlight w:val="none"/>
        </w:rPr>
        <w:t>第三条　权利保证</w:t>
      </w:r>
    </w:p>
    <w:p>
      <w:pPr>
        <w:keepNext/>
        <w:keepLines/>
        <w:pageBreakBefore w:val="0"/>
        <w:widowControl/>
        <w:kinsoku/>
        <w:wordWrap/>
        <w:overflowPunct/>
        <w:topLinePunct w:val="0"/>
        <w:autoSpaceDE/>
        <w:autoSpaceDN/>
        <w:bidi w:val="0"/>
        <w:spacing w:line="40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1</w:t>
      </w:r>
      <w:r>
        <w:rPr>
          <w:rFonts w:hint="eastAsia" w:ascii="宋体" w:hAnsi="宋体" w:cs="宋体"/>
          <w:color w:val="auto"/>
          <w:szCs w:val="21"/>
          <w:highlight w:val="none"/>
          <w:lang w:val="en"/>
        </w:rPr>
        <w:t>.</w:t>
      </w:r>
      <w:r>
        <w:rPr>
          <w:rFonts w:hint="eastAsia" w:ascii="宋体" w:hAnsi="宋体" w:cs="宋体"/>
          <w:color w:val="auto"/>
          <w:szCs w:val="21"/>
          <w:highlight w:val="none"/>
        </w:rPr>
        <w:t>甲方有权随时向乙方了解服务进度和对服务资金使用情况进行监督、检查，并要求乙方提供相关资料。</w:t>
      </w:r>
    </w:p>
    <w:p>
      <w:pPr>
        <w:keepNext/>
        <w:keepLines/>
        <w:pageBreakBefore w:val="0"/>
        <w:widowControl/>
        <w:kinsoku/>
        <w:wordWrap/>
        <w:overflowPunct/>
        <w:topLinePunct w:val="0"/>
        <w:autoSpaceDE/>
        <w:autoSpaceDN/>
        <w:bidi w:val="0"/>
        <w:spacing w:line="40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2</w:t>
      </w:r>
      <w:r>
        <w:rPr>
          <w:rFonts w:hint="eastAsia" w:ascii="宋体" w:hAnsi="宋体" w:cs="宋体"/>
          <w:color w:val="auto"/>
          <w:szCs w:val="21"/>
          <w:highlight w:val="none"/>
          <w:lang w:val="en"/>
        </w:rPr>
        <w:t>.</w:t>
      </w:r>
      <w:r>
        <w:rPr>
          <w:rFonts w:hint="eastAsia" w:ascii="宋体" w:hAnsi="宋体" w:cs="宋体"/>
          <w:color w:val="auto"/>
          <w:szCs w:val="21"/>
          <w:highlight w:val="none"/>
        </w:rPr>
        <w:t>甲方有权按照本合同的约定或有关法律法规、政府管理的相关职能规定，对乙方服务进行监督和检查，有权要求乙方按照监督检查情况制定相应措施并加以整改。甲方不因行使该监督和检查权而承担任何责任，也不因此而减轻或免除乙方根据本合同的约定或相关法律法规规定应承担的任何义务或责任。</w:t>
      </w:r>
    </w:p>
    <w:p>
      <w:pPr>
        <w:keepNext/>
        <w:keepLines/>
        <w:pageBreakBefore w:val="0"/>
        <w:widowControl/>
        <w:kinsoku/>
        <w:wordWrap/>
        <w:overflowPunct/>
        <w:topLinePunct w:val="0"/>
        <w:autoSpaceDE/>
        <w:autoSpaceDN/>
        <w:bidi w:val="0"/>
        <w:spacing w:line="40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3</w:t>
      </w:r>
      <w:r>
        <w:rPr>
          <w:rFonts w:hint="eastAsia" w:ascii="宋体" w:hAnsi="宋体" w:cs="宋体"/>
          <w:color w:val="auto"/>
          <w:szCs w:val="21"/>
          <w:highlight w:val="none"/>
          <w:lang w:val="en"/>
        </w:rPr>
        <w:t>.</w:t>
      </w:r>
      <w:r>
        <w:rPr>
          <w:rFonts w:hint="eastAsia" w:ascii="宋体" w:hAnsi="宋体" w:cs="宋体"/>
          <w:color w:val="auto"/>
          <w:szCs w:val="21"/>
          <w:highlight w:val="none"/>
        </w:rPr>
        <w:t>乙方须保证所提供服务在使用时不会侵犯任何第三方的专利权、商标权、工业设计权等知识产权及其他合法权利，且所有权、处分权等没有受到任何限制。</w:t>
      </w:r>
    </w:p>
    <w:p>
      <w:pPr>
        <w:keepNext/>
        <w:keepLines/>
        <w:pageBreakBefore w:val="0"/>
        <w:widowControl/>
        <w:kinsoku/>
        <w:wordWrap/>
        <w:overflowPunct/>
        <w:topLinePunct w:val="0"/>
        <w:autoSpaceDE/>
        <w:autoSpaceDN/>
        <w:bidi w:val="0"/>
        <w:spacing w:line="40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4</w:t>
      </w:r>
      <w:r>
        <w:rPr>
          <w:rFonts w:hint="eastAsia" w:ascii="宋体" w:hAnsi="宋体" w:cs="宋体"/>
          <w:color w:val="auto"/>
          <w:szCs w:val="21"/>
          <w:highlight w:val="none"/>
          <w:lang w:val="en"/>
        </w:rPr>
        <w:t>.</w:t>
      </w:r>
      <w:r>
        <w:rPr>
          <w:rFonts w:hint="eastAsia" w:ascii="宋体" w:hAnsi="宋体" w:cs="宋体"/>
          <w:color w:val="auto"/>
          <w:szCs w:val="21"/>
          <w:highlight w:val="none"/>
        </w:rPr>
        <w:t>没有甲方事先书面同意，乙方不得将由甲方提供的有关合同或者任何合同条文、规格、计划、图纸、样品、资料或乙方制作的数据、工作报告提供给与履行本合同无关的任何其他人。即使向履行合同有关的人员提供，也应注意保密并限于履行合同的必需范围。乙方的保密义务持续有效，不因为本合同履行终止、解除或者无效而解除。</w:t>
      </w:r>
    </w:p>
    <w:p>
      <w:pPr>
        <w:keepNext/>
        <w:keepLines/>
        <w:pageBreakBefore w:val="0"/>
        <w:widowControl/>
        <w:kinsoku/>
        <w:wordWrap/>
        <w:overflowPunct/>
        <w:topLinePunct w:val="0"/>
        <w:autoSpaceDE/>
        <w:autoSpaceDN/>
        <w:bidi w:val="0"/>
        <w:spacing w:line="40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5</w:t>
      </w:r>
      <w:r>
        <w:rPr>
          <w:rFonts w:hint="eastAsia" w:ascii="宋体" w:hAnsi="宋体" w:cs="宋体"/>
          <w:color w:val="auto"/>
          <w:szCs w:val="21"/>
          <w:highlight w:val="none"/>
          <w:lang w:val="en"/>
        </w:rPr>
        <w:t>.</w:t>
      </w:r>
      <w:r>
        <w:rPr>
          <w:rFonts w:hint="eastAsia" w:ascii="宋体" w:hAnsi="宋体" w:cs="宋体"/>
          <w:color w:val="auto"/>
          <w:szCs w:val="21"/>
          <w:highlight w:val="none"/>
        </w:rPr>
        <w:t>乙方须保证所交付的服务成果的所有权完全属于甲方且无任何抵押、质押、查封等产权瑕疵。如乙方所交付服务成果有产权瑕疵的，视为乙方违约。但在已经全部支付完合同款后才发现有产权瑕疵的，乙方除了支付违约金，还应负担甲方由此产生的一切损失。</w:t>
      </w:r>
    </w:p>
    <w:p>
      <w:pPr>
        <w:keepNext/>
        <w:keepLines/>
        <w:pageBreakBefore w:val="0"/>
        <w:widowControl/>
        <w:kinsoku/>
        <w:wordWrap/>
        <w:overflowPunct/>
        <w:topLinePunct w:val="0"/>
        <w:autoSpaceDE/>
        <w:autoSpaceDN/>
        <w:bidi w:val="0"/>
        <w:spacing w:line="400" w:lineRule="exact"/>
        <w:ind w:firstLine="422" w:firstLineChars="200"/>
        <w:textAlignment w:val="auto"/>
        <w:rPr>
          <w:rFonts w:ascii="宋体" w:hAnsi="宋体" w:cs="宋体"/>
          <w:bCs/>
          <w:color w:val="auto"/>
          <w:szCs w:val="21"/>
          <w:highlight w:val="none"/>
        </w:rPr>
      </w:pPr>
      <w:r>
        <w:rPr>
          <w:rFonts w:hint="eastAsia" w:ascii="宋体" w:hAnsi="宋体" w:cs="宋体"/>
          <w:b/>
          <w:color w:val="auto"/>
          <w:szCs w:val="21"/>
          <w:highlight w:val="none"/>
        </w:rPr>
        <w:t>第四条　交付和验收</w:t>
      </w:r>
    </w:p>
    <w:p>
      <w:pPr>
        <w:keepNext/>
        <w:keepLines/>
        <w:pageBreakBefore w:val="0"/>
        <w:widowControl/>
        <w:kinsoku/>
        <w:wordWrap/>
        <w:overflowPunct/>
        <w:topLinePunct w:val="0"/>
        <w:autoSpaceDE/>
        <w:autoSpaceDN/>
        <w:bidi w:val="0"/>
        <w:spacing w:line="40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1</w:t>
      </w:r>
      <w:r>
        <w:rPr>
          <w:rFonts w:hint="eastAsia" w:ascii="宋体" w:hAnsi="宋体" w:cs="宋体"/>
          <w:color w:val="auto"/>
          <w:szCs w:val="21"/>
          <w:highlight w:val="none"/>
          <w:lang w:val="en"/>
        </w:rPr>
        <w:t>.</w:t>
      </w:r>
      <w:r>
        <w:rPr>
          <w:rFonts w:hint="eastAsia" w:ascii="宋体" w:hAnsi="宋体" w:cs="宋体"/>
          <w:color w:val="auto"/>
          <w:szCs w:val="21"/>
          <w:highlight w:val="none"/>
        </w:rPr>
        <w:t>服务时间：</w:t>
      </w:r>
      <w:r>
        <w:rPr>
          <w:rFonts w:hint="eastAsia" w:ascii="宋体" w:hAnsi="宋体" w:cs="宋体"/>
          <w:color w:val="auto"/>
          <w:szCs w:val="21"/>
          <w:highlight w:val="none"/>
          <w:u w:val="single"/>
        </w:rPr>
        <w:t>　签订合同后</w:t>
      </w:r>
      <w:r>
        <w:rPr>
          <w:rFonts w:hint="eastAsia" w:ascii="宋体" w:hAnsi="宋体" w:cs="宋体"/>
          <w:color w:val="auto"/>
          <w:szCs w:val="21"/>
          <w:highlight w:val="none"/>
          <w:u w:val="single"/>
          <w:lang w:val="en-US" w:eastAsia="zh-CN"/>
        </w:rPr>
        <w:t>7</w:t>
      </w:r>
      <w:r>
        <w:rPr>
          <w:rFonts w:hint="eastAsia" w:ascii="宋体" w:hAnsi="宋体" w:cs="宋体"/>
          <w:color w:val="auto"/>
          <w:szCs w:val="21"/>
          <w:highlight w:val="none"/>
          <w:u w:val="single"/>
        </w:rPr>
        <w:t>个月内  　　　　</w:t>
      </w:r>
      <w:r>
        <w:rPr>
          <w:rFonts w:hint="eastAsia" w:ascii="宋体" w:hAnsi="宋体" w:cs="宋体"/>
          <w:color w:val="auto"/>
          <w:szCs w:val="21"/>
          <w:highlight w:val="none"/>
        </w:rPr>
        <w:t>。</w:t>
      </w:r>
    </w:p>
    <w:p>
      <w:pPr>
        <w:keepNext/>
        <w:keepLines/>
        <w:pageBreakBefore w:val="0"/>
        <w:widowControl/>
        <w:kinsoku/>
        <w:wordWrap/>
        <w:overflowPunct/>
        <w:topLinePunct w:val="0"/>
        <w:autoSpaceDE/>
        <w:autoSpaceDN/>
        <w:bidi w:val="0"/>
        <w:spacing w:line="40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2</w:t>
      </w:r>
      <w:r>
        <w:rPr>
          <w:rFonts w:hint="eastAsia" w:ascii="宋体" w:hAnsi="宋体" w:cs="宋体"/>
          <w:color w:val="auto"/>
          <w:szCs w:val="21"/>
          <w:highlight w:val="none"/>
          <w:lang w:val="en"/>
        </w:rPr>
        <w:t>.服务地点：</w:t>
      </w:r>
      <w:r>
        <w:rPr>
          <w:rFonts w:hint="eastAsia" w:ascii="宋体" w:hAnsi="宋体" w:cs="宋体"/>
          <w:color w:val="auto"/>
          <w:szCs w:val="21"/>
          <w:highlight w:val="none"/>
          <w:u w:val="single"/>
          <w:lang w:val="en"/>
        </w:rPr>
        <w:t>　</w:t>
      </w:r>
      <w:r>
        <w:rPr>
          <w:rFonts w:hint="eastAsia" w:ascii="宋体" w:hAnsi="宋体" w:cs="宋体"/>
          <w:color w:val="auto"/>
          <w:szCs w:val="21"/>
          <w:highlight w:val="none"/>
          <w:u w:val="single"/>
        </w:rPr>
        <w:t>广西北海市内或甲方指定地点</w:t>
      </w:r>
      <w:r>
        <w:rPr>
          <w:rFonts w:hint="eastAsia" w:ascii="宋体" w:hAnsi="宋体" w:cs="宋体"/>
          <w:color w:val="auto"/>
          <w:szCs w:val="21"/>
          <w:highlight w:val="none"/>
          <w:u w:val="single"/>
          <w:lang w:val="en"/>
        </w:rPr>
        <w:t>　</w:t>
      </w:r>
      <w:r>
        <w:rPr>
          <w:rFonts w:hint="eastAsia" w:ascii="宋体" w:hAnsi="宋体" w:cs="宋体"/>
          <w:color w:val="auto"/>
          <w:szCs w:val="21"/>
          <w:highlight w:val="none"/>
          <w:lang w:val="en"/>
        </w:rPr>
        <w:t>。</w:t>
      </w:r>
    </w:p>
    <w:p>
      <w:pPr>
        <w:keepNext/>
        <w:keepLines/>
        <w:pageBreakBefore w:val="0"/>
        <w:widowControl/>
        <w:kinsoku/>
        <w:wordWrap/>
        <w:overflowPunct/>
        <w:topLinePunct w:val="0"/>
        <w:autoSpaceDE/>
        <w:autoSpaceDN/>
        <w:bidi w:val="0"/>
        <w:spacing w:line="40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3</w:t>
      </w:r>
      <w:r>
        <w:rPr>
          <w:rFonts w:hint="eastAsia" w:ascii="宋体" w:hAnsi="宋体" w:cs="宋体"/>
          <w:color w:val="auto"/>
          <w:szCs w:val="21"/>
          <w:highlight w:val="none"/>
          <w:lang w:val="en"/>
        </w:rPr>
        <w:t>.</w:t>
      </w:r>
      <w:r>
        <w:rPr>
          <w:rFonts w:hint="eastAsia" w:ascii="宋体" w:hAnsi="宋体" w:cs="宋体"/>
          <w:color w:val="auto"/>
          <w:szCs w:val="21"/>
          <w:highlight w:val="none"/>
        </w:rPr>
        <w:t>乙方应按本合同的约定、本项目竞争性磋商文件的要求、乙方响应文件的承诺向甲方提供相应的服务，并提供服务质量和服务内容的相关技术资料。</w:t>
      </w:r>
    </w:p>
    <w:p>
      <w:pPr>
        <w:keepNext/>
        <w:keepLines/>
        <w:pageBreakBefore w:val="0"/>
        <w:widowControl/>
        <w:kinsoku/>
        <w:wordWrap/>
        <w:overflowPunct/>
        <w:topLinePunct w:val="0"/>
        <w:autoSpaceDE/>
        <w:autoSpaceDN/>
        <w:bidi w:val="0"/>
        <w:spacing w:line="40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4</w:t>
      </w:r>
      <w:r>
        <w:rPr>
          <w:rFonts w:hint="eastAsia" w:ascii="宋体" w:hAnsi="宋体" w:cs="宋体"/>
          <w:color w:val="auto"/>
          <w:szCs w:val="21"/>
          <w:highlight w:val="none"/>
          <w:lang w:val="en"/>
        </w:rPr>
        <w:t>.</w:t>
      </w:r>
      <w:r>
        <w:rPr>
          <w:rFonts w:hint="eastAsia" w:ascii="宋体" w:hAnsi="宋体" w:cs="宋体"/>
          <w:color w:val="auto"/>
          <w:szCs w:val="21"/>
          <w:highlight w:val="none"/>
        </w:rPr>
        <w:t>乙方提供不符合本合同约定的、竞争性磋商文件要求的、乙方响应文件承诺的服务成果，甲方有权拒绝接受。</w:t>
      </w:r>
    </w:p>
    <w:p>
      <w:pPr>
        <w:keepNext/>
        <w:keepLines/>
        <w:pageBreakBefore w:val="0"/>
        <w:widowControl/>
        <w:kinsoku/>
        <w:wordWrap/>
        <w:overflowPunct/>
        <w:topLinePunct w:val="0"/>
        <w:autoSpaceDE/>
        <w:autoSpaceDN/>
        <w:bidi w:val="0"/>
        <w:spacing w:line="40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5</w:t>
      </w:r>
      <w:r>
        <w:rPr>
          <w:rFonts w:hint="eastAsia" w:ascii="宋体" w:hAnsi="宋体" w:cs="宋体"/>
          <w:color w:val="auto"/>
          <w:szCs w:val="21"/>
          <w:highlight w:val="none"/>
          <w:lang w:val="en"/>
        </w:rPr>
        <w:t>.</w:t>
      </w:r>
      <w:r>
        <w:rPr>
          <w:rFonts w:hint="eastAsia" w:ascii="宋体" w:hAnsi="宋体" w:cs="宋体"/>
          <w:color w:val="auto"/>
          <w:szCs w:val="21"/>
          <w:highlight w:val="none"/>
        </w:rPr>
        <w:t>乙方在完成服务前应对服务作出全面检查和对验收文件进行整理，并列出清单，作为甲方服务验收的技术依据，清单应随提交的服务成果交给甲方。</w:t>
      </w:r>
    </w:p>
    <w:p>
      <w:pPr>
        <w:keepNext/>
        <w:keepLines/>
        <w:pageBreakBefore w:val="0"/>
        <w:widowControl/>
        <w:kinsoku/>
        <w:wordWrap/>
        <w:overflowPunct/>
        <w:topLinePunct w:val="0"/>
        <w:autoSpaceDE/>
        <w:autoSpaceDN/>
        <w:bidi w:val="0"/>
        <w:spacing w:line="40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6</w:t>
      </w:r>
      <w:r>
        <w:rPr>
          <w:rFonts w:hint="eastAsia" w:ascii="宋体" w:hAnsi="宋体" w:cs="宋体"/>
          <w:color w:val="auto"/>
          <w:szCs w:val="21"/>
          <w:highlight w:val="none"/>
          <w:lang w:val="en"/>
        </w:rPr>
        <w:t>.</w:t>
      </w:r>
      <w:r>
        <w:rPr>
          <w:rFonts w:hint="eastAsia" w:ascii="宋体" w:hAnsi="宋体" w:cs="宋体"/>
          <w:color w:val="auto"/>
          <w:szCs w:val="21"/>
          <w:highlight w:val="none"/>
        </w:rPr>
        <w:t>乙方完成服务后应及时书面通知甲方进行验收，甲方应在收到通知后</w:t>
      </w:r>
      <w:r>
        <w:rPr>
          <w:rFonts w:ascii="宋体" w:hAnsi="宋体" w:cs="宋体"/>
          <w:color w:val="auto"/>
          <w:szCs w:val="21"/>
          <w:highlight w:val="none"/>
        </w:rPr>
        <w:t>3</w:t>
      </w:r>
      <w:r>
        <w:rPr>
          <w:rFonts w:hint="eastAsia" w:ascii="宋体" w:hAnsi="宋体" w:cs="宋体"/>
          <w:color w:val="auto"/>
          <w:szCs w:val="21"/>
          <w:highlight w:val="none"/>
        </w:rPr>
        <w:t>0个工作日内进行验收，逾期不开始验收的，乙方可视同验收合格。</w:t>
      </w:r>
    </w:p>
    <w:p>
      <w:pPr>
        <w:keepNext/>
        <w:keepLines/>
        <w:pageBreakBefore w:val="0"/>
        <w:widowControl/>
        <w:kinsoku/>
        <w:wordWrap/>
        <w:overflowPunct/>
        <w:topLinePunct w:val="0"/>
        <w:autoSpaceDE/>
        <w:autoSpaceDN/>
        <w:bidi w:val="0"/>
        <w:spacing w:line="40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7.预验收和最终验收</w:t>
      </w:r>
    </w:p>
    <w:p>
      <w:pPr>
        <w:keepNext/>
        <w:keepLines/>
        <w:pageBreakBefore w:val="0"/>
        <w:widowControl/>
        <w:kinsoku/>
        <w:wordWrap/>
        <w:overflowPunct/>
        <w:topLinePunct w:val="0"/>
        <w:autoSpaceDE/>
        <w:autoSpaceDN/>
        <w:bidi w:val="0"/>
        <w:spacing w:line="40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7.1 预验收</w:t>
      </w:r>
    </w:p>
    <w:p>
      <w:pPr>
        <w:keepNext/>
        <w:keepLines/>
        <w:pageBreakBefore w:val="0"/>
        <w:widowControl/>
        <w:kinsoku/>
        <w:wordWrap/>
        <w:overflowPunct/>
        <w:topLinePunct w:val="0"/>
        <w:autoSpaceDE/>
        <w:autoSpaceDN/>
        <w:bidi w:val="0"/>
        <w:spacing w:line="40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系统所有功能开发完成、业务流程上线试运行2个月后，由甲方组织开展预验收，乙方配合派员参加，对甲方各个部门涉及的系统功能进行运行和检验，对预验收过程中反馈的问题及时解决，完成时限为30日内完成。</w:t>
      </w:r>
    </w:p>
    <w:p>
      <w:pPr>
        <w:keepNext/>
        <w:keepLines/>
        <w:pageBreakBefore w:val="0"/>
        <w:widowControl/>
        <w:kinsoku/>
        <w:wordWrap/>
        <w:overflowPunct/>
        <w:topLinePunct w:val="0"/>
        <w:autoSpaceDE/>
        <w:autoSpaceDN/>
        <w:bidi w:val="0"/>
        <w:spacing w:line="40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7.2 最终验收</w:t>
      </w:r>
    </w:p>
    <w:p>
      <w:pPr>
        <w:keepNext/>
        <w:keepLines/>
        <w:pageBreakBefore w:val="0"/>
        <w:widowControl/>
        <w:kinsoku/>
        <w:wordWrap/>
        <w:overflowPunct/>
        <w:topLinePunct w:val="0"/>
        <w:autoSpaceDE/>
        <w:autoSpaceDN/>
        <w:bidi w:val="0"/>
        <w:spacing w:line="40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甲乙双方应按照《广西壮族自治区政府采购项目履约验收管理办法》、本合同的约定、竞争性磋商文件的要求、乙方的响应文件的承诺进行正式验收。甲方确定第三方专业机构组织项目最终验收，验收时乙方必须在现场，验收费用由乙方负责。服务质量和服务内容符合本合同的约定、竞争性磋商文件的要求及乙方响应文件承诺要求的，由甲乙双方签署验收合格单并加盖甲方公章，甲乙双方各执贰份。</w:t>
      </w:r>
    </w:p>
    <w:p>
      <w:pPr>
        <w:keepNext/>
        <w:keepLines/>
        <w:pageBreakBefore w:val="0"/>
        <w:widowControl/>
        <w:kinsoku/>
        <w:wordWrap/>
        <w:overflowPunct/>
        <w:topLinePunct w:val="0"/>
        <w:autoSpaceDE/>
        <w:autoSpaceDN/>
        <w:bidi w:val="0"/>
        <w:spacing w:line="40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8</w:t>
      </w:r>
      <w:r>
        <w:rPr>
          <w:rFonts w:hint="eastAsia" w:ascii="宋体" w:hAnsi="宋体" w:cs="宋体"/>
          <w:color w:val="auto"/>
          <w:szCs w:val="21"/>
          <w:highlight w:val="none"/>
          <w:lang w:val="en"/>
        </w:rPr>
        <w:t>.</w:t>
      </w:r>
      <w:r>
        <w:rPr>
          <w:rFonts w:hint="eastAsia" w:ascii="宋体" w:hAnsi="宋体" w:cs="宋体"/>
          <w:color w:val="auto"/>
          <w:szCs w:val="21"/>
          <w:highlight w:val="none"/>
        </w:rPr>
        <w:t>甲方在预验收或者最终验收过程中发现乙方提供的服务、服务质量或服务内容不满足本合同的约定、竞争性磋商文件的要求及乙方响应文件承诺的，可暂缓向乙方付款，直到乙方及时完善并提交相应的服务成果且经甲方验收合格后，方可办理付款。</w:t>
      </w:r>
    </w:p>
    <w:p>
      <w:pPr>
        <w:keepNext/>
        <w:keepLines/>
        <w:pageBreakBefore w:val="0"/>
        <w:widowControl/>
        <w:kinsoku/>
        <w:wordWrap/>
        <w:overflowPunct/>
        <w:topLinePunct w:val="0"/>
        <w:autoSpaceDE/>
        <w:autoSpaceDN/>
        <w:bidi w:val="0"/>
        <w:spacing w:line="40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9</w:t>
      </w:r>
      <w:r>
        <w:rPr>
          <w:rFonts w:hint="eastAsia" w:ascii="宋体" w:hAnsi="宋体" w:cs="宋体"/>
          <w:color w:val="auto"/>
          <w:szCs w:val="21"/>
          <w:highlight w:val="none"/>
          <w:lang w:val="en"/>
        </w:rPr>
        <w:t>.</w:t>
      </w:r>
      <w:r>
        <w:rPr>
          <w:rFonts w:hint="eastAsia" w:ascii="宋体" w:hAnsi="宋体" w:cs="宋体"/>
          <w:color w:val="auto"/>
          <w:szCs w:val="21"/>
          <w:highlight w:val="none"/>
        </w:rPr>
        <w:t>甲方验收时发现乙方提供的服务、服务质量或服务内容不满足本合同的约定、竞争性磋商文件的要求及乙方响应文件承诺，并以书面形式提出异议的，乙方应自收到甲方书面异议后五个工作日内予以解决，否则甲方有权不出具验收合格单。乙方因解决异议问题而造成逾期的，按乙方逾期交付处理。</w:t>
      </w:r>
    </w:p>
    <w:p>
      <w:pPr>
        <w:keepNext/>
        <w:keepLines/>
        <w:pageBreakBefore w:val="0"/>
        <w:widowControl/>
        <w:kinsoku/>
        <w:wordWrap/>
        <w:overflowPunct/>
        <w:topLinePunct w:val="0"/>
        <w:autoSpaceDE/>
        <w:autoSpaceDN/>
        <w:bidi w:val="0"/>
        <w:spacing w:line="400" w:lineRule="exact"/>
        <w:ind w:firstLine="422" w:firstLineChars="200"/>
        <w:textAlignment w:val="auto"/>
        <w:rPr>
          <w:rFonts w:ascii="宋体" w:hAnsi="宋体" w:cs="宋体"/>
          <w:color w:val="auto"/>
          <w:szCs w:val="21"/>
          <w:highlight w:val="none"/>
        </w:rPr>
      </w:pPr>
      <w:r>
        <w:rPr>
          <w:rFonts w:hint="eastAsia" w:ascii="宋体" w:hAnsi="宋体" w:cs="宋体"/>
          <w:b/>
          <w:color w:val="auto"/>
          <w:szCs w:val="21"/>
          <w:highlight w:val="none"/>
        </w:rPr>
        <w:t>第五条　售后服务、服务质量保证期及培训</w:t>
      </w:r>
    </w:p>
    <w:p>
      <w:pPr>
        <w:keepNext/>
        <w:keepLines/>
        <w:pageBreakBefore w:val="0"/>
        <w:widowControl/>
        <w:kinsoku/>
        <w:wordWrap/>
        <w:overflowPunct/>
        <w:topLinePunct w:val="0"/>
        <w:autoSpaceDE/>
        <w:autoSpaceDN/>
        <w:bidi w:val="0"/>
        <w:spacing w:line="400" w:lineRule="exact"/>
        <w:ind w:firstLine="422" w:firstLineChars="200"/>
        <w:textAlignment w:val="auto"/>
        <w:rPr>
          <w:rFonts w:ascii="宋体" w:hAnsi="宋体" w:cs="宋体"/>
          <w:color w:val="auto"/>
          <w:szCs w:val="21"/>
          <w:highlight w:val="none"/>
          <w:lang w:val="en"/>
        </w:rPr>
      </w:pPr>
      <w:r>
        <w:rPr>
          <w:rFonts w:hint="eastAsia" w:ascii="宋体" w:hAnsi="宋体" w:cs="宋体"/>
          <w:b/>
          <w:bCs/>
          <w:color w:val="auto"/>
          <w:szCs w:val="21"/>
          <w:highlight w:val="none"/>
        </w:rPr>
        <w:t>1</w:t>
      </w:r>
      <w:r>
        <w:rPr>
          <w:rFonts w:hint="eastAsia" w:ascii="宋体" w:hAnsi="宋体" w:cs="宋体"/>
          <w:b/>
          <w:bCs/>
          <w:color w:val="auto"/>
          <w:szCs w:val="21"/>
          <w:highlight w:val="none"/>
          <w:lang w:val="en"/>
        </w:rPr>
        <w:t>.基本要求</w:t>
      </w:r>
      <w:r>
        <w:rPr>
          <w:rFonts w:hint="eastAsia" w:ascii="宋体" w:hAnsi="宋体" w:cs="宋体"/>
          <w:color w:val="auto"/>
          <w:szCs w:val="21"/>
          <w:highlight w:val="none"/>
          <w:lang w:val="en"/>
        </w:rPr>
        <w:t>：</w:t>
      </w:r>
    </w:p>
    <w:p>
      <w:pPr>
        <w:keepNext/>
        <w:keepLines/>
        <w:pageBreakBefore w:val="0"/>
        <w:widowControl/>
        <w:kinsoku/>
        <w:wordWrap/>
        <w:overflowPunct/>
        <w:topLinePunct w:val="0"/>
        <w:autoSpaceDE/>
        <w:autoSpaceDN/>
        <w:bidi w:val="0"/>
        <w:spacing w:line="40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1.1</w:t>
      </w:r>
      <w:r>
        <w:rPr>
          <w:rFonts w:hint="eastAsia" w:ascii="宋体" w:hAnsi="宋体" w:cs="宋体"/>
          <w:color w:val="auto"/>
          <w:szCs w:val="21"/>
          <w:highlight w:val="none"/>
          <w:lang w:val="en"/>
        </w:rPr>
        <w:t>本合同履行期间，乙方须</w:t>
      </w:r>
      <w:r>
        <w:rPr>
          <w:rFonts w:hint="eastAsia" w:ascii="宋体" w:hAnsi="宋体" w:cs="宋体"/>
          <w:color w:val="auto"/>
          <w:szCs w:val="21"/>
          <w:highlight w:val="none"/>
        </w:rPr>
        <w:t>严格遵守国家相关法律法规以及甲方有关要求，严格执行行业标准，文明履行职责，严格管理、优质服务，自觉接受甲方的考核、评议。</w:t>
      </w:r>
    </w:p>
    <w:p>
      <w:pPr>
        <w:keepNext/>
        <w:keepLines/>
        <w:pageBreakBefore w:val="0"/>
        <w:widowControl/>
        <w:kinsoku/>
        <w:wordWrap/>
        <w:overflowPunct/>
        <w:topLinePunct w:val="0"/>
        <w:autoSpaceDE/>
        <w:autoSpaceDN/>
        <w:bidi w:val="0"/>
        <w:spacing w:line="40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1.2乙方须按照国家有关法律法规、本合同的约定、本项目竞争性磋商文件的要求及乙方响应文件的承诺为甲方提供相应的服务。如因乙方的问题直接影响甲方工作正常运转的，甲方将按国家相关法律法规的规定追究其相关责任，同时甲方有权单方解除合同，由此给甲方造成的一切损失均由该乙方负责赔偿。</w:t>
      </w:r>
    </w:p>
    <w:p>
      <w:pPr>
        <w:keepNext/>
        <w:keepLines/>
        <w:pageBreakBefore w:val="0"/>
        <w:widowControl/>
        <w:kinsoku/>
        <w:wordWrap/>
        <w:overflowPunct/>
        <w:topLinePunct w:val="0"/>
        <w:autoSpaceDE/>
        <w:autoSpaceDN/>
        <w:bidi w:val="0"/>
        <w:spacing w:line="400" w:lineRule="exact"/>
        <w:ind w:firstLine="422" w:firstLineChars="200"/>
        <w:textAlignment w:val="auto"/>
        <w:rPr>
          <w:rFonts w:ascii="宋体" w:hAnsi="宋体" w:cs="宋体"/>
          <w:b/>
          <w:bCs/>
          <w:color w:val="auto"/>
          <w:szCs w:val="21"/>
          <w:highlight w:val="none"/>
        </w:rPr>
      </w:pPr>
      <w:r>
        <w:rPr>
          <w:rFonts w:hint="eastAsia" w:ascii="宋体" w:hAnsi="宋体" w:cs="宋体"/>
          <w:b/>
          <w:bCs/>
          <w:color w:val="auto"/>
          <w:szCs w:val="21"/>
          <w:highlight w:val="none"/>
        </w:rPr>
        <w:t>2.质保期（保修期）、保修范围：</w:t>
      </w:r>
    </w:p>
    <w:p>
      <w:pPr>
        <w:keepNext/>
        <w:keepLines/>
        <w:pageBreakBefore w:val="0"/>
        <w:widowControl/>
        <w:kinsoku/>
        <w:wordWrap/>
        <w:overflowPunct/>
        <w:topLinePunct w:val="0"/>
        <w:autoSpaceDE/>
        <w:autoSpaceDN/>
        <w:bidi w:val="0"/>
        <w:spacing w:line="400" w:lineRule="exact"/>
        <w:ind w:firstLine="420" w:firstLineChars="200"/>
        <w:textAlignment w:val="auto"/>
        <w:rPr>
          <w:rFonts w:hint="eastAsia" w:ascii="宋体" w:hAnsi="宋体" w:cs="宋体"/>
          <w:color w:val="auto"/>
          <w:szCs w:val="21"/>
          <w:highlight w:val="none"/>
        </w:rPr>
      </w:pPr>
      <w:r>
        <w:rPr>
          <w:rFonts w:hint="eastAsia" w:ascii="宋体" w:hAnsi="宋体" w:cs="宋体"/>
          <w:color w:val="auto"/>
          <w:szCs w:val="21"/>
          <w:highlight w:val="none"/>
          <w:lang w:val="en-US" w:eastAsia="zh-CN"/>
        </w:rPr>
        <w:t>2.1</w:t>
      </w:r>
      <w:r>
        <w:rPr>
          <w:rFonts w:hint="eastAsia" w:ascii="宋体" w:hAnsi="宋体" w:cs="宋体"/>
          <w:color w:val="auto"/>
          <w:szCs w:val="21"/>
          <w:highlight w:val="none"/>
        </w:rPr>
        <w:t>从服务成果验收合格并签署验收合格单之日起计算质保期（保修期），本项目质保期（保修期）为</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u w:val="single"/>
          <w:lang w:val="en-US" w:eastAsia="zh-CN"/>
        </w:rPr>
        <w:t xml:space="preserve"> </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个日历日。</w:t>
      </w:r>
    </w:p>
    <w:p>
      <w:pPr>
        <w:keepNext/>
        <w:keepLines/>
        <w:pageBreakBefore w:val="0"/>
        <w:widowControl/>
        <w:kinsoku/>
        <w:wordWrap/>
        <w:overflowPunct/>
        <w:topLinePunct w:val="0"/>
        <w:autoSpaceDE/>
        <w:autoSpaceDN/>
        <w:bidi w:val="0"/>
        <w:spacing w:line="400" w:lineRule="exact"/>
        <w:ind w:firstLine="420" w:firstLineChars="200"/>
        <w:textAlignment w:val="auto"/>
        <w:rPr>
          <w:rFonts w:hint="default" w:eastAsia="宋体"/>
          <w:color w:val="auto"/>
          <w:highlight w:val="none"/>
          <w:lang w:val="en-US" w:eastAsia="zh-CN"/>
        </w:rPr>
      </w:pPr>
      <w:r>
        <w:rPr>
          <w:rFonts w:hint="eastAsia" w:ascii="宋体" w:hAnsi="宋体" w:cs="宋体"/>
          <w:color w:val="auto"/>
          <w:szCs w:val="21"/>
          <w:highlight w:val="none"/>
          <w:lang w:val="en-US" w:eastAsia="zh-CN"/>
        </w:rPr>
        <w:t>2.2 质保期内，乙方提供升级改造后整个系统的运行维护服务，通过远程登录、400电话、QQ在线、邮件等技术支持，提供日常系统疑问咨询解答，帮助业务人员顺利完成系统日常运作和维护。</w:t>
      </w:r>
    </w:p>
    <w:p>
      <w:pPr>
        <w:keepNext/>
        <w:keepLines/>
        <w:pageBreakBefore w:val="0"/>
        <w:widowControl/>
        <w:kinsoku/>
        <w:wordWrap/>
        <w:overflowPunct/>
        <w:topLinePunct w:val="0"/>
        <w:autoSpaceDE/>
        <w:autoSpaceDN/>
        <w:bidi w:val="0"/>
        <w:spacing w:line="400" w:lineRule="exact"/>
        <w:ind w:firstLine="420" w:firstLineChars="200"/>
        <w:textAlignment w:val="auto"/>
        <w:rPr>
          <w:rFonts w:hint="eastAsia" w:ascii="宋体" w:hAnsi="宋体" w:cs="宋体"/>
          <w:color w:val="auto"/>
          <w:szCs w:val="21"/>
          <w:highlight w:val="none"/>
        </w:rPr>
      </w:pPr>
      <w:r>
        <w:rPr>
          <w:rFonts w:hint="eastAsia" w:ascii="宋体" w:hAnsi="宋体" w:cs="宋体"/>
          <w:color w:val="auto"/>
          <w:szCs w:val="21"/>
          <w:highlight w:val="none"/>
          <w:lang w:val="en-US" w:eastAsia="zh-CN"/>
        </w:rPr>
        <w:t>2.3</w:t>
      </w:r>
      <w:r>
        <w:rPr>
          <w:rFonts w:hint="eastAsia" w:ascii="宋体" w:hAnsi="宋体" w:cs="宋体"/>
          <w:color w:val="auto"/>
          <w:szCs w:val="21"/>
          <w:highlight w:val="none"/>
        </w:rPr>
        <w:t>在质量保证期内因服务成果本身的技术问题，乙方应对服务出现的问题负责处理解决并承担一切费用。</w:t>
      </w:r>
    </w:p>
    <w:p>
      <w:pPr>
        <w:keepNext/>
        <w:keepLines/>
        <w:pageBreakBefore w:val="0"/>
        <w:widowControl/>
        <w:kinsoku/>
        <w:wordWrap/>
        <w:overflowPunct/>
        <w:topLinePunct w:val="0"/>
        <w:autoSpaceDE/>
        <w:autoSpaceDN/>
        <w:bidi w:val="0"/>
        <w:spacing w:line="400" w:lineRule="exact"/>
        <w:ind w:firstLine="420" w:firstLineChars="200"/>
        <w:textAlignment w:val="auto"/>
        <w:rPr>
          <w:rFonts w:hint="default" w:eastAsia="宋体"/>
          <w:color w:val="auto"/>
          <w:highlight w:val="none"/>
          <w:lang w:val="en-US" w:eastAsia="zh-CN"/>
        </w:rPr>
      </w:pPr>
      <w:r>
        <w:rPr>
          <w:rFonts w:hint="eastAsia" w:ascii="宋体" w:hAnsi="宋体" w:cs="宋体"/>
          <w:color w:val="auto"/>
          <w:szCs w:val="21"/>
          <w:highlight w:val="none"/>
          <w:lang w:val="en-US" w:eastAsia="zh-CN"/>
        </w:rPr>
        <w:t xml:space="preserve">2.4 </w:t>
      </w:r>
      <w:r>
        <w:rPr>
          <w:rFonts w:hint="eastAsia" w:ascii="宋体" w:hAnsi="宋体" w:cs="宋体"/>
          <w:color w:val="auto"/>
          <w:szCs w:val="21"/>
          <w:highlight w:val="none"/>
        </w:rPr>
        <w:t>在质量保证期内发生技术服务问题，乙方须提供7*24小时的服务响应，并在接到甲方通知后</w:t>
      </w:r>
      <w:r>
        <w:rPr>
          <w:rFonts w:hint="eastAsia" w:ascii="宋体" w:hAnsi="宋体" w:cs="宋体"/>
          <w:color w:val="auto"/>
          <w:szCs w:val="21"/>
          <w:highlight w:val="none"/>
          <w:u w:val="single"/>
        </w:rPr>
        <w:t xml:space="preserve"> 4 </w:t>
      </w:r>
      <w:r>
        <w:rPr>
          <w:rFonts w:hint="eastAsia" w:ascii="宋体" w:hAnsi="宋体" w:cs="宋体"/>
          <w:color w:val="auto"/>
          <w:szCs w:val="21"/>
          <w:highlight w:val="none"/>
        </w:rPr>
        <w:t>小时内解决故障；需要到现场运行维护的，应在</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个小时内到维护现场；一般问题应在</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小时内解决，预计故障将超过</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小时的，须提出明确解决方案。乙方技术服务联系人：</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，联系电话：</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w:t>
      </w:r>
    </w:p>
    <w:p>
      <w:pPr>
        <w:keepNext/>
        <w:keepLines/>
        <w:pageBreakBefore w:val="0"/>
        <w:widowControl/>
        <w:kinsoku/>
        <w:wordWrap/>
        <w:overflowPunct/>
        <w:topLinePunct w:val="0"/>
        <w:autoSpaceDE/>
        <w:autoSpaceDN/>
        <w:bidi w:val="0"/>
        <w:spacing w:line="400" w:lineRule="exact"/>
        <w:ind w:firstLine="422" w:firstLineChars="200"/>
        <w:textAlignment w:val="auto"/>
        <w:rPr>
          <w:rFonts w:ascii="宋体" w:hAnsi="宋体" w:cs="宋体"/>
          <w:b/>
          <w:bCs/>
          <w:color w:val="auto"/>
          <w:szCs w:val="21"/>
          <w:highlight w:val="none"/>
        </w:rPr>
      </w:pPr>
      <w:r>
        <w:rPr>
          <w:rFonts w:hint="eastAsia" w:ascii="宋体" w:hAnsi="宋体" w:cs="宋体"/>
          <w:b/>
          <w:bCs/>
          <w:color w:val="auto"/>
          <w:szCs w:val="21"/>
          <w:highlight w:val="none"/>
        </w:rPr>
        <w:t>3.培训：</w:t>
      </w:r>
    </w:p>
    <w:p>
      <w:pPr>
        <w:keepNext/>
        <w:keepLines/>
        <w:pageBreakBefore w:val="0"/>
        <w:widowControl/>
        <w:kinsoku/>
        <w:wordWrap/>
        <w:overflowPunct/>
        <w:topLinePunct w:val="0"/>
        <w:autoSpaceDE/>
        <w:autoSpaceDN/>
        <w:bidi w:val="0"/>
        <w:spacing w:line="40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乙方负责甲方有关人员的培训。培训内容、培训对象及培训的相关要求详见本项目竞争性磋商文件。</w:t>
      </w:r>
    </w:p>
    <w:p>
      <w:pPr>
        <w:keepNext/>
        <w:keepLines/>
        <w:pageBreakBefore w:val="0"/>
        <w:widowControl/>
        <w:kinsoku/>
        <w:wordWrap/>
        <w:overflowPunct/>
        <w:topLinePunct w:val="0"/>
        <w:autoSpaceDE/>
        <w:autoSpaceDN/>
        <w:bidi w:val="0"/>
        <w:spacing w:line="40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培训时间：</w:t>
      </w:r>
      <w:r>
        <w:rPr>
          <w:rFonts w:hint="eastAsia" w:ascii="宋体" w:hAnsi="宋体" w:cs="宋体"/>
          <w:color w:val="auto"/>
          <w:szCs w:val="21"/>
          <w:highlight w:val="none"/>
          <w:u w:val="single"/>
        </w:rPr>
        <w:t>　由甲方决定　　</w:t>
      </w:r>
      <w:r>
        <w:rPr>
          <w:rFonts w:hint="eastAsia" w:ascii="宋体" w:hAnsi="宋体" w:cs="宋体"/>
          <w:color w:val="auto"/>
          <w:szCs w:val="21"/>
          <w:highlight w:val="none"/>
        </w:rPr>
        <w:t>。</w:t>
      </w:r>
    </w:p>
    <w:p>
      <w:pPr>
        <w:keepNext/>
        <w:keepLines/>
        <w:pageBreakBefore w:val="0"/>
        <w:widowControl/>
        <w:kinsoku/>
        <w:wordWrap/>
        <w:overflowPunct/>
        <w:topLinePunct w:val="0"/>
        <w:autoSpaceDE/>
        <w:autoSpaceDN/>
        <w:bidi w:val="0"/>
        <w:spacing w:line="40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培训地点：</w:t>
      </w:r>
      <w:r>
        <w:rPr>
          <w:rFonts w:hint="eastAsia" w:ascii="宋体" w:hAnsi="宋体" w:cs="宋体"/>
          <w:color w:val="auto"/>
          <w:szCs w:val="21"/>
          <w:highlight w:val="none"/>
          <w:u w:val="single"/>
        </w:rPr>
        <w:t>　由甲方决定　　</w:t>
      </w:r>
      <w:r>
        <w:rPr>
          <w:rFonts w:hint="eastAsia" w:ascii="宋体" w:hAnsi="宋体" w:cs="宋体"/>
          <w:color w:val="auto"/>
          <w:szCs w:val="21"/>
          <w:highlight w:val="none"/>
        </w:rPr>
        <w:t>。</w:t>
      </w:r>
    </w:p>
    <w:p>
      <w:pPr>
        <w:keepNext/>
        <w:keepLines/>
        <w:pageBreakBefore w:val="0"/>
        <w:widowControl/>
        <w:kinsoku/>
        <w:wordWrap/>
        <w:overflowPunct/>
        <w:topLinePunct w:val="0"/>
        <w:autoSpaceDE/>
        <w:autoSpaceDN/>
        <w:bidi w:val="0"/>
        <w:spacing w:line="400" w:lineRule="exact"/>
        <w:ind w:firstLine="422" w:firstLineChars="200"/>
        <w:textAlignment w:val="auto"/>
        <w:rPr>
          <w:rFonts w:ascii="宋体" w:hAnsi="宋体" w:cs="宋体"/>
          <w:b/>
          <w:bCs/>
          <w:color w:val="auto"/>
          <w:szCs w:val="21"/>
          <w:highlight w:val="none"/>
        </w:rPr>
      </w:pPr>
      <w:r>
        <w:rPr>
          <w:rFonts w:hint="eastAsia" w:ascii="宋体" w:hAnsi="宋体" w:cs="宋体"/>
          <w:b/>
          <w:bCs/>
          <w:color w:val="auto"/>
          <w:szCs w:val="21"/>
          <w:highlight w:val="none"/>
          <w:lang w:val="en-US" w:eastAsia="zh-CN"/>
        </w:rPr>
        <w:t>4</w:t>
      </w:r>
      <w:r>
        <w:rPr>
          <w:rFonts w:hint="eastAsia" w:ascii="宋体" w:hAnsi="宋体" w:cs="宋体"/>
          <w:b/>
          <w:bCs/>
          <w:color w:val="auto"/>
          <w:szCs w:val="21"/>
          <w:highlight w:val="none"/>
        </w:rPr>
        <w:t>.其它</w:t>
      </w:r>
    </w:p>
    <w:p>
      <w:pPr>
        <w:keepNext/>
        <w:keepLines/>
        <w:pageBreakBefore w:val="0"/>
        <w:widowControl/>
        <w:kinsoku/>
        <w:wordWrap/>
        <w:overflowPunct/>
        <w:topLinePunct w:val="0"/>
        <w:autoSpaceDE/>
        <w:autoSpaceDN/>
        <w:bidi w:val="0"/>
        <w:spacing w:line="40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lang w:val="en-US" w:eastAsia="zh-CN"/>
        </w:rPr>
        <w:t>4</w:t>
      </w:r>
      <w:r>
        <w:rPr>
          <w:rFonts w:hint="eastAsia" w:ascii="宋体" w:hAnsi="宋体" w:cs="宋体"/>
          <w:color w:val="auto"/>
          <w:szCs w:val="21"/>
          <w:highlight w:val="none"/>
        </w:rPr>
        <w:t>.1乙方负责本项目合同履行期间的所有安全工作，服务期间因乙方原因造成的任何安全事故，所有的责任及损失均由乙方自行承担。乙方与员工之间的各种纠纷，由乙方自行解决。</w:t>
      </w:r>
    </w:p>
    <w:p>
      <w:pPr>
        <w:keepNext/>
        <w:keepLines/>
        <w:pageBreakBefore w:val="0"/>
        <w:widowControl/>
        <w:kinsoku/>
        <w:wordWrap/>
        <w:overflowPunct/>
        <w:topLinePunct w:val="0"/>
        <w:autoSpaceDE/>
        <w:autoSpaceDN/>
        <w:bidi w:val="0"/>
        <w:spacing w:line="40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lang w:val="en-US" w:eastAsia="zh-CN"/>
        </w:rPr>
        <w:t>4</w:t>
      </w:r>
      <w:r>
        <w:rPr>
          <w:rFonts w:hint="eastAsia" w:ascii="宋体" w:hAnsi="宋体" w:cs="宋体"/>
          <w:color w:val="auto"/>
          <w:szCs w:val="21"/>
          <w:highlight w:val="none"/>
        </w:rPr>
        <w:t>.2未经甲方同意，乙方不得在合同期限内将管理权转包或分包。</w:t>
      </w:r>
    </w:p>
    <w:p>
      <w:pPr>
        <w:keepNext/>
        <w:keepLines/>
        <w:pageBreakBefore w:val="0"/>
        <w:widowControl/>
        <w:kinsoku/>
        <w:wordWrap/>
        <w:overflowPunct/>
        <w:topLinePunct w:val="0"/>
        <w:autoSpaceDE/>
        <w:autoSpaceDN/>
        <w:bidi w:val="0"/>
        <w:spacing w:line="400" w:lineRule="exact"/>
        <w:ind w:firstLine="420" w:firstLineChars="200"/>
        <w:textAlignment w:val="auto"/>
        <w:rPr>
          <w:rFonts w:ascii="宋体" w:hAnsi="宋体" w:cs="宋体"/>
          <w:b/>
          <w:color w:val="auto"/>
          <w:szCs w:val="21"/>
          <w:highlight w:val="none"/>
        </w:rPr>
      </w:pPr>
      <w:r>
        <w:rPr>
          <w:rFonts w:hint="eastAsia" w:ascii="宋体" w:hAnsi="宋体" w:cs="宋体"/>
          <w:color w:val="auto"/>
          <w:szCs w:val="21"/>
          <w:highlight w:val="none"/>
          <w:lang w:val="en-US" w:eastAsia="zh-CN"/>
        </w:rPr>
        <w:t>4</w:t>
      </w:r>
      <w:r>
        <w:rPr>
          <w:rFonts w:hint="eastAsia" w:ascii="宋体" w:hAnsi="宋体" w:cs="宋体"/>
          <w:color w:val="auto"/>
          <w:szCs w:val="21"/>
          <w:highlight w:val="none"/>
        </w:rPr>
        <w:t>.3配合甲方接受上级领导部门的监督、检查，提供必须的资料。</w:t>
      </w:r>
    </w:p>
    <w:p>
      <w:pPr>
        <w:keepNext/>
        <w:keepLines/>
        <w:pageBreakBefore w:val="0"/>
        <w:widowControl/>
        <w:kinsoku/>
        <w:wordWrap/>
        <w:overflowPunct/>
        <w:topLinePunct w:val="0"/>
        <w:autoSpaceDE/>
        <w:autoSpaceDN/>
        <w:bidi w:val="0"/>
        <w:spacing w:line="400" w:lineRule="exact"/>
        <w:ind w:firstLine="422" w:firstLineChars="200"/>
        <w:textAlignment w:val="auto"/>
        <w:rPr>
          <w:rFonts w:ascii="宋体" w:hAnsi="宋体" w:cs="宋体"/>
          <w:b/>
          <w:color w:val="auto"/>
          <w:szCs w:val="21"/>
          <w:highlight w:val="none"/>
          <w:u w:val="single"/>
        </w:rPr>
      </w:pPr>
      <w:r>
        <w:rPr>
          <w:rFonts w:hint="eastAsia" w:ascii="宋体" w:hAnsi="宋体" w:cs="宋体"/>
          <w:b/>
          <w:color w:val="auto"/>
          <w:szCs w:val="21"/>
          <w:highlight w:val="none"/>
        </w:rPr>
        <w:t>第六条　付款方式</w:t>
      </w:r>
    </w:p>
    <w:p>
      <w:pPr>
        <w:keepNext/>
        <w:keepLines/>
        <w:pageBreakBefore w:val="0"/>
        <w:widowControl/>
        <w:kinsoku/>
        <w:wordWrap/>
        <w:overflowPunct/>
        <w:topLinePunct w:val="0"/>
        <w:autoSpaceDE/>
        <w:autoSpaceDN/>
        <w:bidi w:val="0"/>
        <w:spacing w:line="400" w:lineRule="exact"/>
        <w:ind w:firstLine="420" w:firstLineChars="200"/>
        <w:textAlignment w:val="auto"/>
        <w:rPr>
          <w:rFonts w:ascii="宋体" w:hAnsi="宋体" w:cs="宋体"/>
          <w:color w:val="auto"/>
          <w:szCs w:val="21"/>
          <w:highlight w:val="none"/>
          <w:u w:val="single"/>
        </w:rPr>
      </w:pPr>
      <w:r>
        <w:rPr>
          <w:rFonts w:hint="eastAsia" w:ascii="宋体" w:hAnsi="宋体" w:cs="宋体"/>
          <w:color w:val="auto"/>
          <w:szCs w:val="21"/>
          <w:highlight w:val="none"/>
        </w:rPr>
        <w:t>1</w:t>
      </w:r>
      <w:r>
        <w:rPr>
          <w:rFonts w:hint="eastAsia" w:ascii="宋体" w:hAnsi="宋体" w:cs="宋体"/>
          <w:color w:val="auto"/>
          <w:szCs w:val="21"/>
          <w:highlight w:val="none"/>
          <w:lang w:val="en"/>
        </w:rPr>
        <w:t>.</w:t>
      </w:r>
      <w:r>
        <w:rPr>
          <w:rFonts w:hint="eastAsia" w:ascii="宋体" w:hAnsi="宋体" w:cs="宋体"/>
          <w:color w:val="auto"/>
          <w:szCs w:val="21"/>
          <w:highlight w:val="none"/>
        </w:rPr>
        <w:t>资金性质：</w:t>
      </w:r>
      <w:r>
        <w:rPr>
          <w:rFonts w:hint="eastAsia" w:ascii="宋体" w:hAnsi="宋体" w:cs="宋体"/>
          <w:color w:val="auto"/>
          <w:szCs w:val="21"/>
          <w:highlight w:val="none"/>
          <w:u w:val="single"/>
        </w:rPr>
        <w:t>　财政性资金　</w:t>
      </w:r>
      <w:r>
        <w:rPr>
          <w:rFonts w:hint="eastAsia" w:ascii="宋体" w:hAnsi="宋体" w:cs="宋体"/>
          <w:color w:val="auto"/>
          <w:szCs w:val="21"/>
          <w:highlight w:val="none"/>
        </w:rPr>
        <w:t>。</w:t>
      </w:r>
    </w:p>
    <w:p>
      <w:pPr>
        <w:keepNext/>
        <w:keepLines/>
        <w:pageBreakBefore w:val="0"/>
        <w:widowControl/>
        <w:kinsoku/>
        <w:wordWrap/>
        <w:overflowPunct/>
        <w:topLinePunct w:val="0"/>
        <w:autoSpaceDE/>
        <w:autoSpaceDN/>
        <w:bidi w:val="0"/>
        <w:spacing w:line="40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2</w:t>
      </w:r>
      <w:r>
        <w:rPr>
          <w:rFonts w:hint="eastAsia" w:ascii="宋体" w:hAnsi="宋体" w:cs="宋体"/>
          <w:color w:val="auto"/>
          <w:szCs w:val="21"/>
          <w:highlight w:val="none"/>
          <w:lang w:val="en"/>
        </w:rPr>
        <w:t>.</w:t>
      </w:r>
      <w:r>
        <w:rPr>
          <w:rFonts w:hint="eastAsia" w:ascii="宋体" w:hAnsi="宋体" w:cs="宋体"/>
          <w:color w:val="auto"/>
          <w:szCs w:val="21"/>
          <w:highlight w:val="none"/>
        </w:rPr>
        <w:t>付款方式</w:t>
      </w:r>
    </w:p>
    <w:p>
      <w:pPr>
        <w:keepNext/>
        <w:keepLines/>
        <w:pageBreakBefore w:val="0"/>
        <w:widowControl/>
        <w:kinsoku/>
        <w:wordWrap/>
        <w:overflowPunct/>
        <w:topLinePunct w:val="0"/>
        <w:autoSpaceDE/>
        <w:autoSpaceDN/>
        <w:bidi w:val="0"/>
        <w:spacing w:line="40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甲乙双方同意按以下方式支付合同合计金额：</w:t>
      </w:r>
    </w:p>
    <w:p>
      <w:pPr>
        <w:keepNext/>
        <w:keepLines/>
        <w:pageBreakBefore w:val="0"/>
        <w:widowControl/>
        <w:kinsoku/>
        <w:wordWrap/>
        <w:overflowPunct/>
        <w:topLinePunct w:val="0"/>
        <w:autoSpaceDE/>
        <w:autoSpaceDN/>
        <w:bidi w:val="0"/>
        <w:spacing w:line="400" w:lineRule="exact"/>
        <w:ind w:firstLine="420" w:firstLineChars="200"/>
        <w:textAlignment w:val="auto"/>
        <w:rPr>
          <w:rFonts w:ascii="宋体" w:hAnsi="宋体" w:cs="宋体"/>
          <w:color w:val="auto"/>
          <w:szCs w:val="21"/>
          <w:highlight w:val="none"/>
          <w:u w:val="single"/>
        </w:rPr>
      </w:pPr>
      <w:r>
        <w:rPr>
          <w:rFonts w:hint="eastAsia" w:ascii="宋体" w:hAnsi="宋体" w:cs="宋体"/>
          <w:color w:val="auto"/>
          <w:szCs w:val="21"/>
          <w:highlight w:val="none"/>
          <w:u w:val="single"/>
        </w:rPr>
        <w:t xml:space="preserve">  1.</w:t>
      </w:r>
      <w:r>
        <w:rPr>
          <w:rFonts w:hint="eastAsia"/>
          <w:color w:val="auto"/>
          <w:szCs w:val="21"/>
          <w:highlight w:val="none"/>
          <w:u w:val="single"/>
        </w:rPr>
        <w:t xml:space="preserve"> </w:t>
      </w:r>
      <w:r>
        <w:rPr>
          <w:rFonts w:hint="eastAsia" w:ascii="宋体" w:hAnsi="宋体" w:cs="宋体"/>
          <w:color w:val="auto"/>
          <w:szCs w:val="21"/>
          <w:highlight w:val="none"/>
          <w:u w:val="single"/>
        </w:rPr>
        <w:t>合同签订以及具备实施条件后15日内，乙方向甲方提供合同总金额50%的预付款发票和合同总金额2%的履约保证金，履约保证金收取形式为银行保函，有效期不少于20个月。合同签订以及具备实施条件后20日内，甲方支付合同总金额的50％预付款。</w:t>
      </w:r>
    </w:p>
    <w:p>
      <w:pPr>
        <w:keepNext/>
        <w:keepLines/>
        <w:pageBreakBefore w:val="0"/>
        <w:widowControl/>
        <w:kinsoku/>
        <w:wordWrap/>
        <w:overflowPunct/>
        <w:topLinePunct w:val="0"/>
        <w:autoSpaceDE/>
        <w:autoSpaceDN/>
        <w:bidi w:val="0"/>
        <w:spacing w:line="400" w:lineRule="exact"/>
        <w:ind w:firstLine="420" w:firstLineChars="200"/>
        <w:textAlignment w:val="auto"/>
        <w:rPr>
          <w:rFonts w:ascii="宋体" w:hAnsi="宋体" w:cs="宋体"/>
          <w:color w:val="auto"/>
          <w:szCs w:val="21"/>
          <w:highlight w:val="none"/>
          <w:u w:val="single"/>
        </w:rPr>
      </w:pPr>
      <w:r>
        <w:rPr>
          <w:rFonts w:hint="eastAsia" w:ascii="宋体" w:hAnsi="宋体" w:cs="宋体"/>
          <w:color w:val="auto"/>
          <w:szCs w:val="21"/>
          <w:highlight w:val="none"/>
          <w:u w:val="single"/>
        </w:rPr>
        <w:t>2.</w:t>
      </w:r>
      <w:r>
        <w:rPr>
          <w:rFonts w:hint="eastAsia"/>
          <w:color w:val="auto"/>
          <w:szCs w:val="21"/>
          <w:highlight w:val="none"/>
          <w:u w:val="single"/>
        </w:rPr>
        <w:t xml:space="preserve"> </w:t>
      </w:r>
      <w:r>
        <w:rPr>
          <w:rFonts w:hint="eastAsia" w:ascii="宋体" w:hAnsi="宋体" w:cs="宋体"/>
          <w:color w:val="auto"/>
          <w:szCs w:val="21"/>
          <w:highlight w:val="none"/>
          <w:u w:val="single"/>
        </w:rPr>
        <w:t>乙方完成系统开发主要功能测试后，向甲方提交证明材料，甲方收到支付申请和发票后15个工作日内，向乙方支付合同总金额的35％合同款。</w:t>
      </w:r>
    </w:p>
    <w:p>
      <w:pPr>
        <w:keepNext/>
        <w:keepLines/>
        <w:pageBreakBefore w:val="0"/>
        <w:widowControl/>
        <w:kinsoku/>
        <w:wordWrap/>
        <w:overflowPunct/>
        <w:topLinePunct w:val="0"/>
        <w:autoSpaceDE/>
        <w:autoSpaceDN/>
        <w:bidi w:val="0"/>
        <w:spacing w:line="400" w:lineRule="exact"/>
        <w:ind w:firstLine="420" w:firstLineChars="200"/>
        <w:textAlignment w:val="auto"/>
        <w:rPr>
          <w:rFonts w:ascii="宋体" w:hAnsi="宋体" w:cs="宋体"/>
          <w:color w:val="auto"/>
          <w:szCs w:val="21"/>
          <w:highlight w:val="none"/>
          <w:u w:val="single"/>
        </w:rPr>
      </w:pPr>
      <w:r>
        <w:rPr>
          <w:rFonts w:hint="eastAsia" w:ascii="宋体" w:hAnsi="宋体" w:cs="宋体"/>
          <w:color w:val="auto"/>
          <w:szCs w:val="21"/>
          <w:highlight w:val="none"/>
          <w:u w:val="single"/>
        </w:rPr>
        <w:t>3.</w:t>
      </w:r>
      <w:r>
        <w:rPr>
          <w:rFonts w:hint="eastAsia"/>
          <w:color w:val="auto"/>
          <w:szCs w:val="21"/>
          <w:highlight w:val="none"/>
          <w:u w:val="single"/>
        </w:rPr>
        <w:t xml:space="preserve"> </w:t>
      </w:r>
      <w:r>
        <w:rPr>
          <w:rFonts w:hint="eastAsia" w:ascii="宋体" w:hAnsi="宋体" w:cs="宋体"/>
          <w:color w:val="auto"/>
          <w:szCs w:val="21"/>
          <w:highlight w:val="none"/>
          <w:u w:val="single"/>
        </w:rPr>
        <w:t>乙方通过甲方组织的终验后，向甲方提交证明材料，甲方收到支付申请和发票后15个工作日内，向乙方支付合同总金额的15％合同尾款。</w:t>
      </w:r>
    </w:p>
    <w:p>
      <w:pPr>
        <w:keepNext/>
        <w:keepLines/>
        <w:pageBreakBefore w:val="0"/>
        <w:widowControl/>
        <w:kinsoku/>
        <w:wordWrap/>
        <w:overflowPunct/>
        <w:topLinePunct w:val="0"/>
        <w:autoSpaceDE/>
        <w:autoSpaceDN/>
        <w:bidi w:val="0"/>
        <w:spacing w:line="40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4.乙方指定以下账户为接受本合同价款的账户，并对其指定的下列账户信息真实性、安全性、准确性负责。</w:t>
      </w:r>
    </w:p>
    <w:p>
      <w:pPr>
        <w:keepNext/>
        <w:keepLines/>
        <w:pageBreakBefore w:val="0"/>
        <w:widowControl/>
        <w:kinsoku/>
        <w:wordWrap/>
        <w:overflowPunct/>
        <w:topLinePunct w:val="0"/>
        <w:autoSpaceDE/>
        <w:autoSpaceDN/>
        <w:bidi w:val="0"/>
        <w:spacing w:line="40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账户名称：</w:t>
      </w:r>
      <w:r>
        <w:rPr>
          <w:rFonts w:hint="eastAsia" w:ascii="宋体" w:hAnsi="宋体" w:cs="宋体"/>
          <w:color w:val="auto"/>
          <w:szCs w:val="21"/>
          <w:highlight w:val="none"/>
          <w:u w:val="single"/>
        </w:rPr>
        <w:t>　　　　　　　　　　　　　　　　　　</w:t>
      </w:r>
      <w:r>
        <w:rPr>
          <w:rFonts w:hint="eastAsia" w:ascii="宋体" w:hAnsi="宋体" w:cs="宋体"/>
          <w:color w:val="auto"/>
          <w:szCs w:val="21"/>
          <w:highlight w:val="none"/>
        </w:rPr>
        <w:t>；</w:t>
      </w:r>
    </w:p>
    <w:p>
      <w:pPr>
        <w:keepNext/>
        <w:keepLines/>
        <w:pageBreakBefore w:val="0"/>
        <w:widowControl/>
        <w:kinsoku/>
        <w:wordWrap/>
        <w:overflowPunct/>
        <w:topLinePunct w:val="0"/>
        <w:autoSpaceDE/>
        <w:autoSpaceDN/>
        <w:bidi w:val="0"/>
        <w:spacing w:line="400" w:lineRule="exact"/>
        <w:ind w:firstLine="420" w:firstLineChars="200"/>
        <w:textAlignment w:val="auto"/>
        <w:rPr>
          <w:rFonts w:ascii="宋体" w:hAnsi="宋体" w:cs="宋体"/>
          <w:color w:val="auto"/>
          <w:szCs w:val="21"/>
          <w:highlight w:val="none"/>
          <w:u w:val="single"/>
        </w:rPr>
      </w:pPr>
      <w:r>
        <w:rPr>
          <w:rFonts w:hint="eastAsia" w:ascii="宋体" w:hAnsi="宋体" w:cs="宋体"/>
          <w:color w:val="auto"/>
          <w:szCs w:val="21"/>
          <w:highlight w:val="none"/>
        </w:rPr>
        <w:t>开户银行：</w:t>
      </w:r>
      <w:r>
        <w:rPr>
          <w:rFonts w:hint="eastAsia" w:ascii="宋体" w:hAnsi="宋体" w:cs="宋体"/>
          <w:color w:val="auto"/>
          <w:szCs w:val="21"/>
          <w:highlight w:val="none"/>
          <w:u w:val="single"/>
        </w:rPr>
        <w:t>　　　　　　　　　　　　　　　　　　</w:t>
      </w:r>
      <w:r>
        <w:rPr>
          <w:rFonts w:hint="eastAsia" w:ascii="宋体" w:hAnsi="宋体" w:cs="宋体"/>
          <w:color w:val="auto"/>
          <w:szCs w:val="21"/>
          <w:highlight w:val="none"/>
        </w:rPr>
        <w:t>；</w:t>
      </w:r>
    </w:p>
    <w:p>
      <w:pPr>
        <w:keepNext/>
        <w:keepLines/>
        <w:pageBreakBefore w:val="0"/>
        <w:widowControl/>
        <w:kinsoku/>
        <w:wordWrap/>
        <w:overflowPunct/>
        <w:topLinePunct w:val="0"/>
        <w:autoSpaceDE/>
        <w:autoSpaceDN/>
        <w:bidi w:val="0"/>
        <w:spacing w:line="400" w:lineRule="exact"/>
        <w:ind w:firstLine="420" w:firstLineChars="200"/>
        <w:textAlignment w:val="auto"/>
        <w:rPr>
          <w:rFonts w:ascii="宋体" w:hAnsi="宋体" w:cs="宋体"/>
          <w:color w:val="auto"/>
          <w:szCs w:val="21"/>
          <w:highlight w:val="none"/>
          <w:u w:val="single"/>
        </w:rPr>
      </w:pPr>
      <w:r>
        <w:rPr>
          <w:rFonts w:hint="eastAsia" w:ascii="宋体" w:hAnsi="宋体" w:cs="宋体"/>
          <w:color w:val="auto"/>
          <w:szCs w:val="21"/>
          <w:highlight w:val="none"/>
        </w:rPr>
        <w:t>银行账号：</w:t>
      </w:r>
      <w:r>
        <w:rPr>
          <w:rFonts w:hint="eastAsia" w:ascii="宋体" w:hAnsi="宋体" w:cs="宋体"/>
          <w:color w:val="auto"/>
          <w:szCs w:val="21"/>
          <w:highlight w:val="none"/>
          <w:u w:val="single"/>
        </w:rPr>
        <w:t>　　　　　　　　　　　　　　　　　　</w:t>
      </w:r>
      <w:r>
        <w:rPr>
          <w:rFonts w:hint="eastAsia" w:ascii="宋体" w:hAnsi="宋体" w:cs="宋体"/>
          <w:color w:val="auto"/>
          <w:szCs w:val="21"/>
          <w:highlight w:val="none"/>
        </w:rPr>
        <w:t>；</w:t>
      </w:r>
    </w:p>
    <w:p>
      <w:pPr>
        <w:keepNext/>
        <w:keepLines/>
        <w:pageBreakBefore w:val="0"/>
        <w:widowControl/>
        <w:kinsoku/>
        <w:wordWrap/>
        <w:overflowPunct/>
        <w:topLinePunct w:val="0"/>
        <w:autoSpaceDE/>
        <w:autoSpaceDN/>
        <w:bidi w:val="0"/>
        <w:spacing w:line="400" w:lineRule="exact"/>
        <w:ind w:firstLine="420" w:firstLineChars="200"/>
        <w:textAlignment w:val="auto"/>
        <w:rPr>
          <w:rFonts w:ascii="宋体" w:hAnsi="宋体" w:cs="宋体"/>
          <w:color w:val="auto"/>
          <w:szCs w:val="21"/>
          <w:highlight w:val="none"/>
          <w:u w:val="single"/>
        </w:rPr>
      </w:pPr>
      <w:r>
        <w:rPr>
          <w:rFonts w:hint="eastAsia" w:ascii="宋体" w:hAnsi="宋体" w:cs="宋体"/>
          <w:color w:val="auto"/>
          <w:szCs w:val="21"/>
          <w:highlight w:val="none"/>
        </w:rPr>
        <w:t>联系人：</w:t>
      </w:r>
      <w:r>
        <w:rPr>
          <w:rFonts w:hint="eastAsia" w:ascii="宋体" w:hAnsi="宋体" w:cs="宋体"/>
          <w:color w:val="auto"/>
          <w:szCs w:val="21"/>
          <w:highlight w:val="none"/>
          <w:u w:val="single"/>
        </w:rPr>
        <w:t>　　　　　　　　　　　　　　　　　　　</w:t>
      </w:r>
      <w:r>
        <w:rPr>
          <w:rFonts w:hint="eastAsia" w:ascii="宋体" w:hAnsi="宋体" w:cs="宋体"/>
          <w:color w:val="auto"/>
          <w:szCs w:val="21"/>
          <w:highlight w:val="none"/>
        </w:rPr>
        <w:t>；</w:t>
      </w:r>
    </w:p>
    <w:p>
      <w:pPr>
        <w:keepNext/>
        <w:keepLines/>
        <w:pageBreakBefore w:val="0"/>
        <w:widowControl/>
        <w:kinsoku/>
        <w:wordWrap/>
        <w:overflowPunct/>
        <w:topLinePunct w:val="0"/>
        <w:autoSpaceDE/>
        <w:autoSpaceDN/>
        <w:bidi w:val="0"/>
        <w:spacing w:line="40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联系电话：</w:t>
      </w:r>
      <w:r>
        <w:rPr>
          <w:rFonts w:hint="eastAsia" w:ascii="宋体" w:hAnsi="宋体" w:cs="宋体"/>
          <w:color w:val="auto"/>
          <w:szCs w:val="21"/>
          <w:highlight w:val="none"/>
          <w:u w:val="single"/>
        </w:rPr>
        <w:t>　　　　　　　　　　　　　　　　　　</w:t>
      </w:r>
      <w:r>
        <w:rPr>
          <w:rFonts w:hint="eastAsia" w:ascii="宋体" w:hAnsi="宋体" w:cs="宋体"/>
          <w:color w:val="auto"/>
          <w:szCs w:val="21"/>
          <w:highlight w:val="none"/>
        </w:rPr>
        <w:t>。</w:t>
      </w:r>
    </w:p>
    <w:p>
      <w:pPr>
        <w:keepNext/>
        <w:keepLines/>
        <w:pageBreakBefore w:val="0"/>
        <w:widowControl/>
        <w:kinsoku/>
        <w:wordWrap/>
        <w:overflowPunct/>
        <w:topLinePunct w:val="0"/>
        <w:autoSpaceDE/>
        <w:autoSpaceDN/>
        <w:bidi w:val="0"/>
        <w:spacing w:line="40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如乙方上述账户信息发生变更，乙方应提前向甲方发送书面通知，未能提前书面通知而产生的不利后果由乙方自行承担。</w:t>
      </w:r>
    </w:p>
    <w:p>
      <w:pPr>
        <w:keepNext/>
        <w:keepLines/>
        <w:pageBreakBefore w:val="0"/>
        <w:widowControl/>
        <w:kinsoku/>
        <w:wordWrap/>
        <w:overflowPunct/>
        <w:topLinePunct w:val="0"/>
        <w:autoSpaceDE/>
        <w:autoSpaceDN/>
        <w:bidi w:val="0"/>
        <w:spacing w:line="400" w:lineRule="exact"/>
        <w:ind w:firstLine="420" w:firstLineChars="200"/>
        <w:textAlignment w:val="auto"/>
        <w:rPr>
          <w:rFonts w:ascii="Times New Roman" w:hAnsi="Times New Roman" w:eastAsia="仿宋"/>
          <w:color w:val="auto"/>
          <w:szCs w:val="21"/>
          <w:highlight w:val="none"/>
        </w:rPr>
      </w:pPr>
      <w:r>
        <w:rPr>
          <w:rFonts w:hint="eastAsia" w:ascii="宋体" w:hAnsi="宋体" w:cs="宋体"/>
          <w:color w:val="auto"/>
          <w:szCs w:val="21"/>
          <w:highlight w:val="none"/>
        </w:rPr>
        <w:t>5</w:t>
      </w:r>
      <w:r>
        <w:rPr>
          <w:rFonts w:ascii="宋体" w:hAnsi="宋体" w:cs="宋体"/>
          <w:color w:val="auto"/>
          <w:szCs w:val="21"/>
          <w:highlight w:val="none"/>
          <w:lang w:val="en"/>
        </w:rPr>
        <w:t>.</w:t>
      </w:r>
      <w:r>
        <w:rPr>
          <w:rFonts w:ascii="宋体" w:hAnsi="宋体" w:cs="宋体"/>
          <w:color w:val="auto"/>
          <w:szCs w:val="21"/>
          <w:highlight w:val="none"/>
        </w:rPr>
        <w:t>甲方在支付每笔款项前，乙方应当提供</w:t>
      </w:r>
      <w:r>
        <w:rPr>
          <w:rFonts w:hint="eastAsia" w:ascii="宋体" w:hAnsi="宋体" w:cs="宋体"/>
          <w:color w:val="auto"/>
          <w:szCs w:val="21"/>
          <w:highlight w:val="none"/>
        </w:rPr>
        <w:t>请款函和</w:t>
      </w:r>
      <w:r>
        <w:rPr>
          <w:rFonts w:ascii="宋体" w:hAnsi="宋体" w:cs="宋体"/>
          <w:color w:val="auto"/>
          <w:szCs w:val="21"/>
          <w:highlight w:val="none"/>
        </w:rPr>
        <w:t>可供政府审计并且符合税务规定的正式发票，否则甲方有权拒付相应款项直至乙方能提供符合规定的发票为止。</w:t>
      </w:r>
    </w:p>
    <w:p>
      <w:pPr>
        <w:keepNext/>
        <w:keepLines/>
        <w:pageBreakBefore w:val="0"/>
        <w:widowControl/>
        <w:kinsoku/>
        <w:wordWrap/>
        <w:overflowPunct/>
        <w:topLinePunct w:val="0"/>
        <w:autoSpaceDE/>
        <w:autoSpaceDN/>
        <w:bidi w:val="0"/>
        <w:spacing w:line="400" w:lineRule="exact"/>
        <w:ind w:firstLine="422" w:firstLineChars="200"/>
        <w:textAlignment w:val="auto"/>
        <w:rPr>
          <w:rFonts w:ascii="宋体" w:hAnsi="宋体" w:cs="宋体"/>
          <w:bCs/>
          <w:color w:val="auto"/>
          <w:szCs w:val="21"/>
          <w:highlight w:val="none"/>
        </w:rPr>
      </w:pPr>
      <w:r>
        <w:rPr>
          <w:rFonts w:hint="eastAsia" w:ascii="宋体" w:hAnsi="宋体" w:cs="宋体"/>
          <w:b/>
          <w:color w:val="auto"/>
          <w:szCs w:val="21"/>
          <w:highlight w:val="none"/>
        </w:rPr>
        <w:t>第七条　履约保证金</w:t>
      </w:r>
    </w:p>
    <w:p>
      <w:pPr>
        <w:keepNext/>
        <w:keepLines/>
        <w:pageBreakBefore w:val="0"/>
        <w:widowControl/>
        <w:kinsoku/>
        <w:wordWrap/>
        <w:overflowPunct/>
        <w:topLinePunct w:val="0"/>
        <w:autoSpaceDE/>
        <w:autoSpaceDN/>
        <w:bidi w:val="0"/>
        <w:spacing w:line="40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1</w:t>
      </w:r>
      <w:r>
        <w:rPr>
          <w:rFonts w:hint="eastAsia" w:ascii="宋体" w:hAnsi="宋体" w:cs="宋体"/>
          <w:color w:val="auto"/>
          <w:szCs w:val="21"/>
          <w:highlight w:val="none"/>
          <w:lang w:val="en"/>
        </w:rPr>
        <w:t>.</w:t>
      </w:r>
      <w:r>
        <w:rPr>
          <w:rFonts w:hint="eastAsia" w:ascii="宋体" w:hAnsi="宋体" w:cs="宋体"/>
          <w:color w:val="auto"/>
          <w:szCs w:val="21"/>
          <w:highlight w:val="none"/>
        </w:rPr>
        <w:t>本合同签订以及具备实施条件后 15 日内，乙方向甲方提供</w:t>
      </w:r>
      <w:r>
        <w:rPr>
          <w:rFonts w:hint="eastAsia" w:ascii="宋体" w:hAnsi="宋体" w:cs="宋体"/>
          <w:color w:val="auto"/>
          <w:szCs w:val="21"/>
          <w:highlight w:val="none"/>
          <w:u w:val="single"/>
        </w:rPr>
        <w:t>合同总额2%的</w:t>
      </w:r>
      <w:r>
        <w:rPr>
          <w:rFonts w:hint="eastAsia" w:ascii="宋体" w:hAnsi="宋体" w:cs="宋体"/>
          <w:color w:val="auto"/>
          <w:szCs w:val="21"/>
          <w:highlight w:val="none"/>
        </w:rPr>
        <w:t>履约保证金（有效期不少于20个月）。如乙方不按本合同约定的内容履约，则扣除其履约金，履约金不足以赔偿损失的，按实际损失赔偿。</w:t>
      </w:r>
    </w:p>
    <w:p>
      <w:pPr>
        <w:keepNext/>
        <w:keepLines/>
        <w:pageBreakBefore w:val="0"/>
        <w:widowControl/>
        <w:kinsoku/>
        <w:wordWrap/>
        <w:overflowPunct/>
        <w:topLinePunct w:val="0"/>
        <w:autoSpaceDE/>
        <w:autoSpaceDN/>
        <w:bidi w:val="0"/>
        <w:spacing w:line="40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2</w:t>
      </w:r>
      <w:r>
        <w:rPr>
          <w:rFonts w:hint="eastAsia" w:ascii="宋体" w:hAnsi="宋体" w:cs="宋体"/>
          <w:color w:val="auto"/>
          <w:szCs w:val="21"/>
          <w:highlight w:val="none"/>
          <w:lang w:val="en"/>
        </w:rPr>
        <w:t>.</w:t>
      </w:r>
      <w:r>
        <w:rPr>
          <w:rFonts w:hint="eastAsia" w:ascii="宋体" w:hAnsi="宋体" w:cs="宋体"/>
          <w:color w:val="auto"/>
          <w:szCs w:val="21"/>
          <w:highlight w:val="none"/>
        </w:rPr>
        <w:t>履约保证金递交方式：银行出具的保函。</w:t>
      </w:r>
    </w:p>
    <w:p>
      <w:pPr>
        <w:keepNext/>
        <w:keepLines/>
        <w:pageBreakBefore w:val="0"/>
        <w:widowControl/>
        <w:kinsoku/>
        <w:wordWrap/>
        <w:overflowPunct/>
        <w:topLinePunct w:val="0"/>
        <w:autoSpaceDE/>
        <w:autoSpaceDN/>
        <w:bidi w:val="0"/>
        <w:spacing w:line="40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3</w:t>
      </w:r>
      <w:r>
        <w:rPr>
          <w:rFonts w:hint="eastAsia" w:ascii="宋体" w:hAnsi="宋体" w:cs="宋体"/>
          <w:color w:val="auto"/>
          <w:szCs w:val="21"/>
          <w:highlight w:val="none"/>
          <w:lang w:val="en"/>
        </w:rPr>
        <w:t>.</w:t>
      </w:r>
      <w:r>
        <w:rPr>
          <w:rFonts w:hint="eastAsia" w:ascii="宋体" w:hAnsi="宋体" w:cs="宋体"/>
          <w:color w:val="auto"/>
          <w:szCs w:val="21"/>
          <w:highlight w:val="none"/>
        </w:rPr>
        <w:t>履约保证金退付方式、时间及条件：由乙方向甲方提供《广西壮族自治区政府采购项目合同验收书》及《政府采购项目履约保证金退付意见书》，甲方在收到合格材料后15个工作日内办理退还手续（不计利息），将因违约（如有）被扣除后剩余的履约金无息退还给乙方。乙方不及时办理退还履约金手续所造成的一切后果，由乙方自行承担。履约金因违约等原因被扣除，数额不足的，乙方应及时补足。</w:t>
      </w:r>
    </w:p>
    <w:p>
      <w:pPr>
        <w:keepNext/>
        <w:keepLines/>
        <w:pageBreakBefore w:val="0"/>
        <w:widowControl/>
        <w:kinsoku/>
        <w:wordWrap/>
        <w:overflowPunct/>
        <w:topLinePunct w:val="0"/>
        <w:autoSpaceDE/>
        <w:autoSpaceDN/>
        <w:bidi w:val="0"/>
        <w:spacing w:line="400" w:lineRule="exact"/>
        <w:ind w:firstLine="422" w:firstLineChars="200"/>
        <w:textAlignment w:val="auto"/>
        <w:rPr>
          <w:rFonts w:ascii="宋体" w:hAnsi="宋体" w:cs="宋体"/>
          <w:b/>
          <w:color w:val="auto"/>
          <w:szCs w:val="21"/>
          <w:highlight w:val="none"/>
        </w:rPr>
      </w:pPr>
      <w:r>
        <w:rPr>
          <w:rFonts w:hint="eastAsia" w:ascii="宋体" w:hAnsi="宋体" w:cs="宋体"/>
          <w:b/>
          <w:color w:val="auto"/>
          <w:szCs w:val="21"/>
          <w:highlight w:val="none"/>
        </w:rPr>
        <w:t>第八条　税费</w:t>
      </w:r>
    </w:p>
    <w:p>
      <w:pPr>
        <w:keepNext/>
        <w:keepLines/>
        <w:pageBreakBefore w:val="0"/>
        <w:widowControl/>
        <w:kinsoku/>
        <w:wordWrap/>
        <w:overflowPunct/>
        <w:topLinePunct w:val="0"/>
        <w:autoSpaceDE/>
        <w:autoSpaceDN/>
        <w:bidi w:val="0"/>
        <w:spacing w:line="40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合同执行中相关的一切税费均由乙方负担。</w:t>
      </w:r>
    </w:p>
    <w:p>
      <w:pPr>
        <w:keepNext/>
        <w:keepLines/>
        <w:pageBreakBefore w:val="0"/>
        <w:widowControl/>
        <w:kinsoku/>
        <w:wordWrap/>
        <w:overflowPunct/>
        <w:topLinePunct w:val="0"/>
        <w:autoSpaceDE/>
        <w:autoSpaceDN/>
        <w:bidi w:val="0"/>
        <w:spacing w:line="400" w:lineRule="exact"/>
        <w:ind w:firstLine="422" w:firstLineChars="200"/>
        <w:textAlignment w:val="auto"/>
        <w:rPr>
          <w:rFonts w:ascii="宋体" w:hAnsi="宋体" w:cs="宋体"/>
          <w:bCs/>
          <w:color w:val="auto"/>
          <w:szCs w:val="21"/>
          <w:highlight w:val="none"/>
        </w:rPr>
      </w:pPr>
      <w:r>
        <w:rPr>
          <w:rFonts w:hint="eastAsia" w:ascii="宋体" w:hAnsi="宋体" w:cs="宋体"/>
          <w:b/>
          <w:color w:val="auto"/>
          <w:szCs w:val="21"/>
          <w:highlight w:val="none"/>
        </w:rPr>
        <w:t>第九条　违约责任</w:t>
      </w:r>
    </w:p>
    <w:p>
      <w:pPr>
        <w:keepNext/>
        <w:keepLines/>
        <w:pageBreakBefore w:val="0"/>
        <w:widowControl/>
        <w:kinsoku/>
        <w:wordWrap/>
        <w:overflowPunct/>
        <w:topLinePunct w:val="0"/>
        <w:autoSpaceDE/>
        <w:autoSpaceDN/>
        <w:bidi w:val="0"/>
        <w:spacing w:line="40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1</w:t>
      </w:r>
      <w:r>
        <w:rPr>
          <w:rFonts w:hint="eastAsia" w:ascii="宋体" w:hAnsi="宋体" w:cs="宋体"/>
          <w:color w:val="auto"/>
          <w:szCs w:val="21"/>
          <w:highlight w:val="none"/>
          <w:lang w:val="en"/>
        </w:rPr>
        <w:t>.</w:t>
      </w:r>
      <w:r>
        <w:rPr>
          <w:rFonts w:hint="eastAsia" w:ascii="宋体" w:hAnsi="宋体" w:cs="宋体"/>
          <w:color w:val="auto"/>
          <w:szCs w:val="21"/>
          <w:highlight w:val="none"/>
        </w:rPr>
        <w:t>乙方没有按照本合同约定的、竞争性磋商文件要求的及乙方响应文件承诺的时间或期限提供服务的，每逾期一日，应按合同合计金额的3‰向甲方支付逾期提供服务的违约金；逾期超过十日的，甲方有权单方解除合同，并要求乙方退还已收取的款项，同时乙方应按照合同合计金额的10%向甲方支付违约金并承担因此给甲方造成的经济损失。</w:t>
      </w:r>
    </w:p>
    <w:p>
      <w:pPr>
        <w:keepNext/>
        <w:keepLines/>
        <w:pageBreakBefore w:val="0"/>
        <w:widowControl/>
        <w:kinsoku/>
        <w:wordWrap/>
        <w:overflowPunct/>
        <w:topLinePunct w:val="0"/>
        <w:autoSpaceDE/>
        <w:autoSpaceDN/>
        <w:bidi w:val="0"/>
        <w:spacing w:line="40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2</w:t>
      </w:r>
      <w:r>
        <w:rPr>
          <w:rFonts w:hint="eastAsia" w:ascii="宋体" w:hAnsi="宋体" w:cs="宋体"/>
          <w:color w:val="auto"/>
          <w:szCs w:val="21"/>
          <w:highlight w:val="none"/>
          <w:lang w:val="en"/>
        </w:rPr>
        <w:t>.</w:t>
      </w:r>
      <w:r>
        <w:rPr>
          <w:rFonts w:hint="eastAsia" w:ascii="宋体" w:hAnsi="宋体" w:cs="宋体"/>
          <w:color w:val="auto"/>
          <w:szCs w:val="21"/>
          <w:highlight w:val="none"/>
        </w:rPr>
        <w:t>乙方所提供的服务、服务质量、服务内容等不符合本合同的约定、本项目竞争性磋商文件的要求、乙方响应文件承诺的，应按甲方的要求、在甲方指定的期限内予以更换或改进，未在甲方指定的期限内更换或改进的，按乙方逾期提供服务承担违约责任。</w:t>
      </w:r>
    </w:p>
    <w:p>
      <w:pPr>
        <w:keepNext/>
        <w:keepLines/>
        <w:pageBreakBefore w:val="0"/>
        <w:widowControl/>
        <w:kinsoku/>
        <w:wordWrap/>
        <w:overflowPunct/>
        <w:topLinePunct w:val="0"/>
        <w:autoSpaceDE/>
        <w:autoSpaceDN/>
        <w:bidi w:val="0"/>
        <w:spacing w:line="40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3</w:t>
      </w:r>
      <w:r>
        <w:rPr>
          <w:rFonts w:hint="eastAsia" w:ascii="宋体" w:hAnsi="宋体" w:cs="宋体"/>
          <w:color w:val="auto"/>
          <w:szCs w:val="21"/>
          <w:highlight w:val="none"/>
          <w:lang w:val="en"/>
        </w:rPr>
        <w:t>.</w:t>
      </w:r>
      <w:r>
        <w:rPr>
          <w:rFonts w:hint="eastAsia" w:ascii="宋体" w:hAnsi="宋体" w:cs="宋体"/>
          <w:color w:val="auto"/>
          <w:szCs w:val="21"/>
          <w:highlight w:val="none"/>
        </w:rPr>
        <w:t>乙方提供的服务如侵犯了第三方合法权益而引发的任何纠纷或者诉讼，均由乙方负责交涉并承担全部责任，如甲方为解决纠纷矛盾先期支付了费用的，乙方应当自收到甲方要求偿还费用的函之日起五个工作日内向甲方偿还完毕。</w:t>
      </w:r>
    </w:p>
    <w:p>
      <w:pPr>
        <w:keepNext/>
        <w:keepLines/>
        <w:pageBreakBefore w:val="0"/>
        <w:widowControl/>
        <w:kinsoku/>
        <w:wordWrap/>
        <w:overflowPunct/>
        <w:topLinePunct w:val="0"/>
        <w:autoSpaceDE/>
        <w:autoSpaceDN/>
        <w:bidi w:val="0"/>
        <w:spacing w:line="40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4</w:t>
      </w:r>
      <w:r>
        <w:rPr>
          <w:rFonts w:hint="eastAsia" w:ascii="宋体" w:hAnsi="宋体" w:cs="宋体"/>
          <w:color w:val="auto"/>
          <w:szCs w:val="21"/>
          <w:highlight w:val="none"/>
          <w:lang w:val="en"/>
        </w:rPr>
        <w:t>.</w:t>
      </w:r>
      <w:r>
        <w:rPr>
          <w:rFonts w:hint="eastAsia" w:ascii="宋体" w:hAnsi="宋体" w:cs="宋体"/>
          <w:color w:val="auto"/>
          <w:szCs w:val="21"/>
          <w:highlight w:val="none"/>
        </w:rPr>
        <w:t>乙方因履行合同所发生的其他违约行为，每违约一次，应按合同合计金额的5%向甲方支付违约金，并赔偿甲方因此所造成全部损失。</w:t>
      </w:r>
    </w:p>
    <w:p>
      <w:pPr>
        <w:keepNext/>
        <w:keepLines/>
        <w:pageBreakBefore w:val="0"/>
        <w:widowControl/>
        <w:kinsoku/>
        <w:wordWrap/>
        <w:overflowPunct/>
        <w:topLinePunct w:val="0"/>
        <w:autoSpaceDE/>
        <w:autoSpaceDN/>
        <w:bidi w:val="0"/>
        <w:spacing w:line="40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5</w:t>
      </w:r>
      <w:r>
        <w:rPr>
          <w:rFonts w:hint="eastAsia" w:ascii="宋体" w:hAnsi="宋体" w:cs="宋体"/>
          <w:color w:val="auto"/>
          <w:szCs w:val="21"/>
          <w:highlight w:val="none"/>
          <w:lang w:val="en"/>
        </w:rPr>
        <w:t>.</w:t>
      </w:r>
      <w:r>
        <w:rPr>
          <w:rFonts w:hint="eastAsia" w:ascii="宋体" w:hAnsi="宋体" w:cs="宋体"/>
          <w:color w:val="auto"/>
          <w:szCs w:val="21"/>
          <w:highlight w:val="none"/>
        </w:rPr>
        <w:t>乙方支付的违约金不足以弥补甲方损失的，应承担赔偿责任，甲方有权继续向乙方追偿。乙方应支付给甲方的任何款项，甲方有权从任何应支付未支付给乙方的款项中直接抵扣。</w:t>
      </w:r>
    </w:p>
    <w:p>
      <w:pPr>
        <w:keepNext/>
        <w:keepLines/>
        <w:pageBreakBefore w:val="0"/>
        <w:widowControl/>
        <w:kinsoku/>
        <w:wordWrap/>
        <w:overflowPunct/>
        <w:topLinePunct w:val="0"/>
        <w:autoSpaceDE/>
        <w:autoSpaceDN/>
        <w:bidi w:val="0"/>
        <w:spacing w:line="40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6</w:t>
      </w:r>
      <w:r>
        <w:rPr>
          <w:rFonts w:hint="eastAsia" w:ascii="宋体" w:hAnsi="宋体" w:cs="宋体"/>
          <w:color w:val="auto"/>
          <w:szCs w:val="21"/>
          <w:highlight w:val="none"/>
          <w:lang w:val="en"/>
        </w:rPr>
        <w:t>.</w:t>
      </w:r>
      <w:r>
        <w:rPr>
          <w:rFonts w:hint="eastAsia" w:ascii="宋体" w:hAnsi="宋体" w:cs="宋体"/>
          <w:color w:val="auto"/>
          <w:szCs w:val="21"/>
          <w:highlight w:val="none"/>
        </w:rPr>
        <w:t>本合同所称的甲方经济损失或者甲方损失，包括甲方遭受的全部直接经济损失及为此支出的合理费用（包括但不限于为此支出的调查费、诉讼费、保全费、律师费、差旅费等）。</w:t>
      </w:r>
    </w:p>
    <w:p>
      <w:pPr>
        <w:keepNext/>
        <w:keepLines/>
        <w:pageBreakBefore w:val="0"/>
        <w:widowControl/>
        <w:kinsoku/>
        <w:wordWrap/>
        <w:overflowPunct/>
        <w:topLinePunct w:val="0"/>
        <w:autoSpaceDE/>
        <w:autoSpaceDN/>
        <w:bidi w:val="0"/>
        <w:spacing w:line="40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7</w:t>
      </w:r>
      <w:r>
        <w:rPr>
          <w:rFonts w:hint="eastAsia" w:ascii="宋体" w:hAnsi="宋体" w:cs="宋体"/>
          <w:color w:val="auto"/>
          <w:szCs w:val="21"/>
          <w:highlight w:val="none"/>
          <w:lang w:val="en"/>
        </w:rPr>
        <w:t>.</w:t>
      </w:r>
      <w:r>
        <w:rPr>
          <w:rFonts w:hint="eastAsia" w:ascii="宋体" w:hAnsi="宋体" w:cs="宋体"/>
          <w:color w:val="auto"/>
          <w:szCs w:val="21"/>
          <w:highlight w:val="none"/>
        </w:rPr>
        <w:t>甲方延期支付合同款的，每天向乙方偿付延期款额3‰的违约金，但违约金累计不得超过延期款额的5%。</w:t>
      </w:r>
    </w:p>
    <w:p>
      <w:pPr>
        <w:keepNext/>
        <w:keepLines/>
        <w:pageBreakBefore w:val="0"/>
        <w:widowControl/>
        <w:kinsoku/>
        <w:wordWrap/>
        <w:overflowPunct/>
        <w:topLinePunct w:val="0"/>
        <w:autoSpaceDE/>
        <w:autoSpaceDN/>
        <w:bidi w:val="0"/>
        <w:spacing w:line="400" w:lineRule="exact"/>
        <w:ind w:firstLine="422" w:firstLineChars="200"/>
        <w:textAlignment w:val="auto"/>
        <w:rPr>
          <w:rFonts w:ascii="宋体" w:hAnsi="宋体" w:cs="宋体"/>
          <w:b/>
          <w:color w:val="auto"/>
          <w:szCs w:val="21"/>
          <w:highlight w:val="none"/>
        </w:rPr>
      </w:pPr>
      <w:r>
        <w:rPr>
          <w:rFonts w:hint="eastAsia" w:ascii="宋体" w:hAnsi="宋体" w:cs="宋体"/>
          <w:b/>
          <w:color w:val="auto"/>
          <w:szCs w:val="21"/>
          <w:highlight w:val="none"/>
        </w:rPr>
        <w:t>第十条　知识产权归属</w:t>
      </w:r>
    </w:p>
    <w:p>
      <w:pPr>
        <w:keepNext/>
        <w:keepLines/>
        <w:pageBreakBefore w:val="0"/>
        <w:widowControl/>
        <w:kinsoku/>
        <w:wordWrap/>
        <w:overflowPunct/>
        <w:topLinePunct w:val="0"/>
        <w:autoSpaceDE/>
        <w:autoSpaceDN/>
        <w:bidi w:val="0"/>
        <w:spacing w:line="40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乙方须保证，甲乙双方在本合同执行中形成的任何成果或知识产权的所有权，归甲方所有，而且乙方应当完成甲方知识产权所有权确认所必需的全部行为、证书和文件等，并提供相应的支持和协助。</w:t>
      </w:r>
    </w:p>
    <w:p>
      <w:pPr>
        <w:keepNext/>
        <w:keepLines/>
        <w:pageBreakBefore w:val="0"/>
        <w:widowControl/>
        <w:kinsoku/>
        <w:wordWrap/>
        <w:overflowPunct/>
        <w:topLinePunct w:val="0"/>
        <w:autoSpaceDE/>
        <w:autoSpaceDN/>
        <w:bidi w:val="0"/>
        <w:spacing w:line="400" w:lineRule="exact"/>
        <w:ind w:firstLine="422" w:firstLineChars="200"/>
        <w:textAlignment w:val="auto"/>
        <w:rPr>
          <w:rFonts w:ascii="宋体" w:hAnsi="宋体" w:cs="宋体"/>
          <w:b/>
          <w:color w:val="auto"/>
          <w:szCs w:val="21"/>
          <w:highlight w:val="none"/>
        </w:rPr>
      </w:pPr>
      <w:r>
        <w:rPr>
          <w:rFonts w:hint="eastAsia" w:ascii="宋体" w:hAnsi="宋体" w:cs="宋体"/>
          <w:b/>
          <w:color w:val="auto"/>
          <w:szCs w:val="21"/>
          <w:highlight w:val="none"/>
        </w:rPr>
        <w:t>第十一条　保密条款</w:t>
      </w:r>
    </w:p>
    <w:p>
      <w:pPr>
        <w:keepNext/>
        <w:keepLines/>
        <w:pageBreakBefore w:val="0"/>
        <w:widowControl/>
        <w:kinsoku/>
        <w:wordWrap/>
        <w:overflowPunct/>
        <w:topLinePunct w:val="0"/>
        <w:autoSpaceDE/>
        <w:autoSpaceDN/>
        <w:bidi w:val="0"/>
        <w:spacing w:line="40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1</w:t>
      </w:r>
      <w:r>
        <w:rPr>
          <w:rFonts w:hint="eastAsia" w:ascii="宋体" w:hAnsi="宋体" w:cs="宋体"/>
          <w:color w:val="auto"/>
          <w:szCs w:val="21"/>
          <w:highlight w:val="none"/>
          <w:lang w:val="en"/>
        </w:rPr>
        <w:t>.</w:t>
      </w:r>
      <w:r>
        <w:rPr>
          <w:rFonts w:hint="eastAsia" w:ascii="宋体" w:hAnsi="宋体" w:cs="宋体"/>
          <w:color w:val="auto"/>
          <w:szCs w:val="21"/>
          <w:highlight w:val="none"/>
        </w:rPr>
        <w:t>甲乙双方都负有保守对方的单位机密或商业秘密的义务，保密范围包括但不限于技术情报、数据资料及其他公开后对对方造成影响或损失的秘密。</w:t>
      </w:r>
    </w:p>
    <w:p>
      <w:pPr>
        <w:keepNext/>
        <w:keepLines/>
        <w:pageBreakBefore w:val="0"/>
        <w:widowControl/>
        <w:kinsoku/>
        <w:wordWrap/>
        <w:overflowPunct/>
        <w:topLinePunct w:val="0"/>
        <w:autoSpaceDE/>
        <w:autoSpaceDN/>
        <w:bidi w:val="0"/>
        <w:spacing w:line="40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2</w:t>
      </w:r>
      <w:r>
        <w:rPr>
          <w:rFonts w:hint="eastAsia" w:ascii="宋体" w:hAnsi="宋体" w:cs="宋体"/>
          <w:color w:val="auto"/>
          <w:szCs w:val="21"/>
          <w:highlight w:val="none"/>
          <w:lang w:val="en"/>
        </w:rPr>
        <w:t>.</w:t>
      </w:r>
      <w:r>
        <w:rPr>
          <w:rFonts w:hint="eastAsia" w:ascii="宋体" w:hAnsi="宋体" w:cs="宋体"/>
          <w:color w:val="auto"/>
          <w:szCs w:val="21"/>
          <w:highlight w:val="none"/>
        </w:rPr>
        <w:t>任何一方违反保密条款，给对方造成损失，应按对方的实际损失承担赔偿责任。</w:t>
      </w:r>
    </w:p>
    <w:p>
      <w:pPr>
        <w:keepNext/>
        <w:keepLines/>
        <w:pageBreakBefore w:val="0"/>
        <w:widowControl/>
        <w:kinsoku/>
        <w:wordWrap/>
        <w:overflowPunct/>
        <w:topLinePunct w:val="0"/>
        <w:autoSpaceDE/>
        <w:autoSpaceDN/>
        <w:bidi w:val="0"/>
        <w:spacing w:line="40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3</w:t>
      </w:r>
      <w:r>
        <w:rPr>
          <w:rFonts w:hint="eastAsia" w:ascii="宋体" w:hAnsi="宋体" w:cs="宋体"/>
          <w:color w:val="auto"/>
          <w:szCs w:val="21"/>
          <w:highlight w:val="none"/>
          <w:lang w:val="en"/>
        </w:rPr>
        <w:t>.</w:t>
      </w:r>
      <w:r>
        <w:rPr>
          <w:rFonts w:hint="eastAsia" w:ascii="宋体" w:hAnsi="宋体" w:cs="宋体"/>
          <w:color w:val="auto"/>
          <w:szCs w:val="21"/>
          <w:highlight w:val="none"/>
        </w:rPr>
        <w:t>本条款不因合同的变更、解除和终止而失效。</w:t>
      </w:r>
    </w:p>
    <w:p>
      <w:pPr>
        <w:keepNext/>
        <w:keepLines/>
        <w:pageBreakBefore w:val="0"/>
        <w:widowControl/>
        <w:kinsoku/>
        <w:wordWrap/>
        <w:overflowPunct/>
        <w:topLinePunct w:val="0"/>
        <w:autoSpaceDE/>
        <w:autoSpaceDN/>
        <w:bidi w:val="0"/>
        <w:spacing w:line="400" w:lineRule="exact"/>
        <w:ind w:firstLine="422" w:firstLineChars="200"/>
        <w:textAlignment w:val="auto"/>
        <w:rPr>
          <w:rFonts w:ascii="宋体" w:hAnsi="宋体" w:cs="宋体"/>
          <w:b/>
          <w:color w:val="auto"/>
          <w:szCs w:val="21"/>
          <w:highlight w:val="none"/>
        </w:rPr>
      </w:pPr>
      <w:r>
        <w:rPr>
          <w:rFonts w:hint="eastAsia" w:ascii="宋体" w:hAnsi="宋体" w:cs="宋体"/>
          <w:b/>
          <w:color w:val="auto"/>
          <w:szCs w:val="21"/>
          <w:highlight w:val="none"/>
        </w:rPr>
        <w:t>第十二条　不可抗力事件处理</w:t>
      </w:r>
    </w:p>
    <w:p>
      <w:pPr>
        <w:keepNext/>
        <w:keepLines/>
        <w:pageBreakBefore w:val="0"/>
        <w:widowControl/>
        <w:kinsoku/>
        <w:wordWrap/>
        <w:overflowPunct/>
        <w:topLinePunct w:val="0"/>
        <w:autoSpaceDE/>
        <w:autoSpaceDN/>
        <w:bidi w:val="0"/>
        <w:spacing w:line="40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1</w:t>
      </w:r>
      <w:r>
        <w:rPr>
          <w:rFonts w:hint="eastAsia" w:ascii="宋体" w:hAnsi="宋体" w:cs="宋体"/>
          <w:color w:val="auto"/>
          <w:szCs w:val="21"/>
          <w:highlight w:val="none"/>
          <w:lang w:val="en"/>
        </w:rPr>
        <w:t>.</w:t>
      </w:r>
      <w:r>
        <w:rPr>
          <w:rFonts w:hint="eastAsia" w:ascii="宋体" w:hAnsi="宋体" w:cs="宋体"/>
          <w:color w:val="auto"/>
          <w:szCs w:val="21"/>
          <w:highlight w:val="none"/>
        </w:rPr>
        <w:t>在合同有效期内，任何一方因不可抗力事件导致不能履行合同，则合同履行期可延长，其延长期与不可抗力影响期相同。</w:t>
      </w:r>
    </w:p>
    <w:p>
      <w:pPr>
        <w:keepNext/>
        <w:keepLines/>
        <w:pageBreakBefore w:val="0"/>
        <w:widowControl/>
        <w:kinsoku/>
        <w:wordWrap/>
        <w:overflowPunct/>
        <w:topLinePunct w:val="0"/>
        <w:autoSpaceDE/>
        <w:autoSpaceDN/>
        <w:bidi w:val="0"/>
        <w:spacing w:line="40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2</w:t>
      </w:r>
      <w:r>
        <w:rPr>
          <w:rFonts w:hint="eastAsia" w:ascii="宋体" w:hAnsi="宋体" w:cs="宋体"/>
          <w:color w:val="auto"/>
          <w:szCs w:val="21"/>
          <w:highlight w:val="none"/>
          <w:lang w:val="en"/>
        </w:rPr>
        <w:t>.</w:t>
      </w:r>
      <w:r>
        <w:rPr>
          <w:rFonts w:hint="eastAsia" w:ascii="宋体" w:hAnsi="宋体" w:cs="宋体"/>
          <w:color w:val="auto"/>
          <w:szCs w:val="21"/>
          <w:highlight w:val="none"/>
        </w:rPr>
        <w:t>不可抗力事件发生后，应立即通知对方，并寄送有关权威机构出具的证明。</w:t>
      </w:r>
    </w:p>
    <w:p>
      <w:pPr>
        <w:keepNext/>
        <w:keepLines/>
        <w:pageBreakBefore w:val="0"/>
        <w:widowControl/>
        <w:kinsoku/>
        <w:wordWrap/>
        <w:overflowPunct/>
        <w:topLinePunct w:val="0"/>
        <w:autoSpaceDE/>
        <w:autoSpaceDN/>
        <w:bidi w:val="0"/>
        <w:spacing w:line="40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3</w:t>
      </w:r>
      <w:r>
        <w:rPr>
          <w:rFonts w:hint="eastAsia" w:ascii="宋体" w:hAnsi="宋体" w:cs="宋体"/>
          <w:color w:val="auto"/>
          <w:szCs w:val="21"/>
          <w:highlight w:val="none"/>
          <w:lang w:val="en"/>
        </w:rPr>
        <w:t>.</w:t>
      </w:r>
      <w:r>
        <w:rPr>
          <w:rFonts w:hint="eastAsia" w:ascii="宋体" w:hAnsi="宋体" w:cs="宋体"/>
          <w:color w:val="auto"/>
          <w:szCs w:val="21"/>
          <w:highlight w:val="none"/>
        </w:rPr>
        <w:t>不可抗力事件延续一百二十天以上，双方应通过友好协商，确定是否继续履行合同。</w:t>
      </w:r>
    </w:p>
    <w:p>
      <w:pPr>
        <w:keepNext/>
        <w:keepLines/>
        <w:pageBreakBefore w:val="0"/>
        <w:widowControl/>
        <w:kinsoku/>
        <w:wordWrap/>
        <w:overflowPunct/>
        <w:topLinePunct w:val="0"/>
        <w:autoSpaceDE/>
        <w:autoSpaceDN/>
        <w:bidi w:val="0"/>
        <w:spacing w:line="40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4</w:t>
      </w:r>
      <w:r>
        <w:rPr>
          <w:rFonts w:hint="eastAsia" w:ascii="宋体" w:hAnsi="宋体" w:cs="宋体"/>
          <w:color w:val="auto"/>
          <w:szCs w:val="21"/>
          <w:highlight w:val="none"/>
          <w:lang w:val="en"/>
        </w:rPr>
        <w:t>.</w:t>
      </w:r>
      <w:r>
        <w:rPr>
          <w:rFonts w:hint="eastAsia" w:ascii="宋体" w:hAnsi="宋体" w:cs="宋体"/>
          <w:color w:val="auto"/>
          <w:szCs w:val="21"/>
          <w:highlight w:val="none"/>
        </w:rPr>
        <w:t>合同履行过程中，因接受政府行政指令而无法履行的，接受政府行政指令的一方可以免除责任。</w:t>
      </w:r>
    </w:p>
    <w:p>
      <w:pPr>
        <w:keepNext/>
        <w:keepLines/>
        <w:pageBreakBefore w:val="0"/>
        <w:widowControl/>
        <w:kinsoku/>
        <w:wordWrap/>
        <w:overflowPunct/>
        <w:topLinePunct w:val="0"/>
        <w:autoSpaceDE/>
        <w:autoSpaceDN/>
        <w:bidi w:val="0"/>
        <w:spacing w:line="400" w:lineRule="exact"/>
        <w:ind w:firstLine="422" w:firstLineChars="200"/>
        <w:textAlignment w:val="auto"/>
        <w:rPr>
          <w:rFonts w:ascii="宋体" w:hAnsi="宋体" w:cs="宋体"/>
          <w:bCs/>
          <w:color w:val="auto"/>
          <w:szCs w:val="21"/>
          <w:highlight w:val="none"/>
        </w:rPr>
      </w:pPr>
      <w:r>
        <w:rPr>
          <w:rFonts w:hint="eastAsia" w:ascii="宋体" w:hAnsi="宋体" w:cs="宋体"/>
          <w:b/>
          <w:color w:val="auto"/>
          <w:szCs w:val="21"/>
          <w:highlight w:val="none"/>
        </w:rPr>
        <w:t>第十三条　合同争议解决</w:t>
      </w:r>
    </w:p>
    <w:p>
      <w:pPr>
        <w:keepNext/>
        <w:keepLines/>
        <w:pageBreakBefore w:val="0"/>
        <w:widowControl/>
        <w:kinsoku/>
        <w:wordWrap/>
        <w:overflowPunct/>
        <w:topLinePunct w:val="0"/>
        <w:autoSpaceDE/>
        <w:autoSpaceDN/>
        <w:bidi w:val="0"/>
        <w:spacing w:line="40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1</w:t>
      </w:r>
      <w:r>
        <w:rPr>
          <w:rFonts w:hint="eastAsia" w:ascii="宋体" w:hAnsi="宋体" w:cs="宋体"/>
          <w:color w:val="auto"/>
          <w:szCs w:val="21"/>
          <w:highlight w:val="none"/>
          <w:lang w:val="en"/>
        </w:rPr>
        <w:t>.</w:t>
      </w:r>
      <w:r>
        <w:rPr>
          <w:rFonts w:hint="eastAsia" w:ascii="宋体" w:hAnsi="宋体" w:cs="宋体"/>
          <w:color w:val="auto"/>
          <w:szCs w:val="21"/>
          <w:highlight w:val="none"/>
        </w:rPr>
        <w:t>因服务质量问题发生争议的，甲方应提交具有相应资质的机构进行鉴定。服务符合标准的，鉴定费由甲方承担；服务不符合标准的，鉴定费由乙方承担。</w:t>
      </w:r>
    </w:p>
    <w:p>
      <w:pPr>
        <w:keepNext/>
        <w:keepLines/>
        <w:pageBreakBefore w:val="0"/>
        <w:widowControl/>
        <w:kinsoku/>
        <w:wordWrap/>
        <w:overflowPunct/>
        <w:topLinePunct w:val="0"/>
        <w:autoSpaceDE/>
        <w:autoSpaceDN/>
        <w:bidi w:val="0"/>
        <w:spacing w:line="400" w:lineRule="exact"/>
        <w:ind w:firstLine="420" w:firstLineChars="200"/>
        <w:textAlignment w:val="auto"/>
        <w:rPr>
          <w:color w:val="auto"/>
          <w:szCs w:val="21"/>
          <w:highlight w:val="none"/>
        </w:rPr>
      </w:pPr>
      <w:r>
        <w:rPr>
          <w:rFonts w:hint="eastAsia" w:ascii="宋体" w:hAnsi="宋体" w:cs="宋体"/>
          <w:color w:val="auto"/>
          <w:szCs w:val="21"/>
          <w:highlight w:val="none"/>
        </w:rPr>
        <w:t>2</w:t>
      </w:r>
      <w:r>
        <w:rPr>
          <w:rFonts w:hint="eastAsia" w:ascii="宋体" w:hAnsi="宋体" w:cs="宋体"/>
          <w:color w:val="auto"/>
          <w:szCs w:val="21"/>
          <w:highlight w:val="none"/>
          <w:lang w:val="en"/>
        </w:rPr>
        <w:t>.</w:t>
      </w:r>
      <w:r>
        <w:rPr>
          <w:rFonts w:hint="eastAsia" w:ascii="宋体" w:hAnsi="宋体" w:cs="宋体"/>
          <w:color w:val="auto"/>
          <w:szCs w:val="21"/>
          <w:highlight w:val="none"/>
        </w:rPr>
        <w:t>因履行本合同引起的或者与本合同有关的争议，甲乙双方应首先通过友好协商解决，如果协商不能解决，可向甲方所在地有管辖权人民法院提起诉讼。</w:t>
      </w:r>
    </w:p>
    <w:p>
      <w:pPr>
        <w:keepNext/>
        <w:keepLines/>
        <w:pageBreakBefore w:val="0"/>
        <w:widowControl/>
        <w:kinsoku/>
        <w:wordWrap/>
        <w:overflowPunct/>
        <w:topLinePunct w:val="0"/>
        <w:autoSpaceDE/>
        <w:autoSpaceDN/>
        <w:bidi w:val="0"/>
        <w:spacing w:line="40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3.诉讼期间，本合同是否继续履行，由甲方决定。</w:t>
      </w:r>
    </w:p>
    <w:p>
      <w:pPr>
        <w:keepNext/>
        <w:keepLines/>
        <w:pageBreakBefore w:val="0"/>
        <w:widowControl/>
        <w:kinsoku/>
        <w:wordWrap/>
        <w:overflowPunct/>
        <w:topLinePunct w:val="0"/>
        <w:autoSpaceDE/>
        <w:autoSpaceDN/>
        <w:bidi w:val="0"/>
        <w:spacing w:line="400" w:lineRule="exact"/>
        <w:ind w:firstLine="422" w:firstLineChars="200"/>
        <w:textAlignment w:val="auto"/>
        <w:rPr>
          <w:rFonts w:ascii="宋体" w:hAnsi="宋体" w:cs="宋体"/>
          <w:bCs/>
          <w:color w:val="auto"/>
          <w:szCs w:val="21"/>
          <w:highlight w:val="none"/>
        </w:rPr>
      </w:pPr>
      <w:r>
        <w:rPr>
          <w:rFonts w:hint="eastAsia" w:ascii="宋体" w:hAnsi="宋体" w:cs="宋体"/>
          <w:b/>
          <w:color w:val="auto"/>
          <w:szCs w:val="21"/>
          <w:highlight w:val="none"/>
        </w:rPr>
        <w:t>第十四条　合同生效及其他</w:t>
      </w:r>
    </w:p>
    <w:p>
      <w:pPr>
        <w:keepNext/>
        <w:keepLines/>
        <w:pageBreakBefore w:val="0"/>
        <w:widowControl/>
        <w:kinsoku/>
        <w:wordWrap/>
        <w:overflowPunct/>
        <w:topLinePunct w:val="0"/>
        <w:autoSpaceDE/>
        <w:autoSpaceDN/>
        <w:bidi w:val="0"/>
        <w:spacing w:line="40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1</w:t>
      </w:r>
      <w:r>
        <w:rPr>
          <w:rFonts w:hint="eastAsia" w:ascii="宋体" w:hAnsi="宋体" w:cs="宋体"/>
          <w:color w:val="auto"/>
          <w:szCs w:val="21"/>
          <w:highlight w:val="none"/>
          <w:lang w:val="en"/>
        </w:rPr>
        <w:t>.</w:t>
      </w:r>
      <w:r>
        <w:rPr>
          <w:rFonts w:hint="eastAsia" w:ascii="宋体" w:hAnsi="宋体" w:cs="宋体"/>
          <w:color w:val="auto"/>
          <w:szCs w:val="21"/>
          <w:highlight w:val="none"/>
        </w:rPr>
        <w:t>合同经甲乙双方法定代表人或者授权代表签字并加盖单位公章后生效。</w:t>
      </w:r>
    </w:p>
    <w:p>
      <w:pPr>
        <w:keepNext/>
        <w:keepLines/>
        <w:pageBreakBefore w:val="0"/>
        <w:widowControl/>
        <w:kinsoku/>
        <w:wordWrap/>
        <w:overflowPunct/>
        <w:topLinePunct w:val="0"/>
        <w:autoSpaceDE/>
        <w:autoSpaceDN/>
        <w:bidi w:val="0"/>
        <w:spacing w:line="40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2</w:t>
      </w:r>
      <w:r>
        <w:rPr>
          <w:rFonts w:hint="eastAsia" w:ascii="宋体" w:hAnsi="宋体" w:cs="宋体"/>
          <w:color w:val="auto"/>
          <w:szCs w:val="21"/>
          <w:highlight w:val="none"/>
          <w:lang w:val="en"/>
        </w:rPr>
        <w:t>.</w:t>
      </w:r>
      <w:r>
        <w:rPr>
          <w:rFonts w:hint="eastAsia" w:ascii="宋体" w:hAnsi="宋体" w:cs="宋体"/>
          <w:color w:val="auto"/>
          <w:szCs w:val="21"/>
          <w:highlight w:val="none"/>
        </w:rPr>
        <w:t>合同执行中涉及采购资金和采购内容修改或者补充的，须经政府采购监管部门审批，并签书面补充协议报政府采购监管部门备案，方可作为主合同不可分割的一部分。</w:t>
      </w:r>
    </w:p>
    <w:p>
      <w:pPr>
        <w:keepNext/>
        <w:keepLines/>
        <w:pageBreakBefore w:val="0"/>
        <w:widowControl/>
        <w:kinsoku/>
        <w:wordWrap/>
        <w:overflowPunct/>
        <w:topLinePunct w:val="0"/>
        <w:autoSpaceDE/>
        <w:autoSpaceDN/>
        <w:bidi w:val="0"/>
        <w:spacing w:line="40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3</w:t>
      </w:r>
      <w:r>
        <w:rPr>
          <w:rFonts w:hint="eastAsia" w:ascii="宋体" w:hAnsi="宋体" w:cs="宋体"/>
          <w:color w:val="auto"/>
          <w:szCs w:val="21"/>
          <w:highlight w:val="none"/>
          <w:lang w:val="en"/>
        </w:rPr>
        <w:t>.</w:t>
      </w:r>
      <w:r>
        <w:rPr>
          <w:rFonts w:hint="eastAsia" w:ascii="宋体" w:hAnsi="宋体" w:cs="宋体"/>
          <w:color w:val="auto"/>
          <w:szCs w:val="21"/>
          <w:highlight w:val="none"/>
        </w:rPr>
        <w:t>合同未尽事宜，遵照《中华人民共和国民法典》等相关法律、法规规定有关条文执行。</w:t>
      </w:r>
    </w:p>
    <w:p>
      <w:pPr>
        <w:keepNext/>
        <w:keepLines/>
        <w:pageBreakBefore w:val="0"/>
        <w:widowControl/>
        <w:kinsoku/>
        <w:wordWrap/>
        <w:overflowPunct/>
        <w:topLinePunct w:val="0"/>
        <w:autoSpaceDE/>
        <w:autoSpaceDN/>
        <w:bidi w:val="0"/>
        <w:spacing w:line="400" w:lineRule="exact"/>
        <w:ind w:firstLine="422" w:firstLineChars="200"/>
        <w:textAlignment w:val="auto"/>
        <w:rPr>
          <w:rFonts w:ascii="宋体" w:hAnsi="宋体" w:cs="宋体"/>
          <w:bCs/>
          <w:color w:val="auto"/>
          <w:szCs w:val="21"/>
          <w:highlight w:val="none"/>
        </w:rPr>
      </w:pPr>
      <w:r>
        <w:rPr>
          <w:rFonts w:hint="eastAsia" w:ascii="宋体" w:hAnsi="宋体" w:cs="宋体"/>
          <w:b/>
          <w:color w:val="auto"/>
          <w:szCs w:val="21"/>
          <w:highlight w:val="none"/>
        </w:rPr>
        <w:t>第十五条　合同的变更、终止与转让</w:t>
      </w:r>
    </w:p>
    <w:p>
      <w:pPr>
        <w:keepNext/>
        <w:keepLines/>
        <w:pageBreakBefore w:val="0"/>
        <w:widowControl/>
        <w:kinsoku/>
        <w:wordWrap/>
        <w:overflowPunct/>
        <w:topLinePunct w:val="0"/>
        <w:autoSpaceDE/>
        <w:autoSpaceDN/>
        <w:bidi w:val="0"/>
        <w:spacing w:line="40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1</w:t>
      </w:r>
      <w:r>
        <w:rPr>
          <w:rFonts w:hint="eastAsia" w:ascii="宋体" w:hAnsi="宋体" w:cs="宋体"/>
          <w:color w:val="auto"/>
          <w:szCs w:val="21"/>
          <w:highlight w:val="none"/>
          <w:lang w:val="en"/>
        </w:rPr>
        <w:t>.</w:t>
      </w:r>
      <w:r>
        <w:rPr>
          <w:rFonts w:hint="eastAsia" w:ascii="宋体" w:hAnsi="宋体" w:cs="宋体"/>
          <w:color w:val="auto"/>
          <w:szCs w:val="21"/>
          <w:highlight w:val="none"/>
        </w:rPr>
        <w:t>除《中华人民共和国政府采购法》第五十条规定的情形外，本合同一经签订，甲乙双方不得擅自变更、中止或者终止。</w:t>
      </w:r>
    </w:p>
    <w:p>
      <w:pPr>
        <w:keepNext/>
        <w:keepLines/>
        <w:pageBreakBefore w:val="0"/>
        <w:widowControl/>
        <w:kinsoku/>
        <w:wordWrap/>
        <w:overflowPunct/>
        <w:topLinePunct w:val="0"/>
        <w:autoSpaceDE/>
        <w:autoSpaceDN/>
        <w:bidi w:val="0"/>
        <w:spacing w:line="40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2</w:t>
      </w:r>
      <w:r>
        <w:rPr>
          <w:rFonts w:hint="eastAsia" w:ascii="宋体" w:hAnsi="宋体" w:cs="宋体"/>
          <w:color w:val="auto"/>
          <w:szCs w:val="21"/>
          <w:highlight w:val="none"/>
          <w:lang w:val="en"/>
        </w:rPr>
        <w:t>.</w:t>
      </w:r>
      <w:r>
        <w:rPr>
          <w:rFonts w:hint="eastAsia" w:ascii="宋体" w:hAnsi="宋体" w:cs="宋体"/>
          <w:color w:val="auto"/>
          <w:szCs w:val="21"/>
          <w:highlight w:val="none"/>
        </w:rPr>
        <w:t>未经甲方书面同意，乙方不得擅自转让其应履行的合同义务。</w:t>
      </w:r>
    </w:p>
    <w:p>
      <w:pPr>
        <w:keepNext/>
        <w:keepLines/>
        <w:pageBreakBefore w:val="0"/>
        <w:widowControl/>
        <w:kinsoku/>
        <w:wordWrap/>
        <w:overflowPunct/>
        <w:topLinePunct w:val="0"/>
        <w:autoSpaceDE/>
        <w:autoSpaceDN/>
        <w:bidi w:val="0"/>
        <w:spacing w:line="400" w:lineRule="exact"/>
        <w:ind w:firstLine="422" w:firstLineChars="200"/>
        <w:textAlignment w:val="auto"/>
        <w:rPr>
          <w:rFonts w:ascii="宋体" w:hAnsi="宋体" w:cs="宋体"/>
          <w:b/>
          <w:color w:val="auto"/>
          <w:szCs w:val="21"/>
          <w:highlight w:val="none"/>
        </w:rPr>
      </w:pPr>
      <w:r>
        <w:rPr>
          <w:rFonts w:hint="eastAsia" w:ascii="宋体" w:hAnsi="宋体" w:cs="宋体"/>
          <w:b/>
          <w:color w:val="auto"/>
          <w:szCs w:val="21"/>
          <w:highlight w:val="none"/>
        </w:rPr>
        <w:t>第十六条　</w:t>
      </w:r>
      <w:r>
        <w:rPr>
          <w:rFonts w:hint="eastAsia" w:ascii="宋体" w:hAnsi="宋体" w:cs="宋体"/>
          <w:b/>
          <w:color w:val="auto"/>
          <w:spacing w:val="-2"/>
          <w:kern w:val="0"/>
          <w:szCs w:val="21"/>
          <w:highlight w:val="none"/>
        </w:rPr>
        <w:t>本</w:t>
      </w:r>
      <w:r>
        <w:rPr>
          <w:rFonts w:hint="eastAsia" w:ascii="宋体" w:hAnsi="宋体" w:cs="宋体"/>
          <w:b/>
          <w:color w:val="auto"/>
          <w:kern w:val="0"/>
          <w:szCs w:val="21"/>
          <w:highlight w:val="none"/>
        </w:rPr>
        <w:t>合同</w:t>
      </w:r>
      <w:r>
        <w:rPr>
          <w:rFonts w:hint="eastAsia" w:ascii="宋体" w:hAnsi="宋体" w:cs="宋体"/>
          <w:b/>
          <w:color w:val="auto"/>
          <w:spacing w:val="-2"/>
          <w:kern w:val="0"/>
          <w:szCs w:val="21"/>
          <w:highlight w:val="none"/>
        </w:rPr>
        <w:t>与</w:t>
      </w:r>
      <w:r>
        <w:rPr>
          <w:rFonts w:hint="eastAsia" w:ascii="宋体" w:hAnsi="宋体" w:cs="宋体"/>
          <w:b/>
          <w:color w:val="auto"/>
          <w:kern w:val="0"/>
          <w:szCs w:val="21"/>
          <w:highlight w:val="none"/>
        </w:rPr>
        <w:t>下</w:t>
      </w:r>
      <w:r>
        <w:rPr>
          <w:rFonts w:hint="eastAsia" w:ascii="宋体" w:hAnsi="宋体" w:cs="宋体"/>
          <w:b/>
          <w:color w:val="auto"/>
          <w:spacing w:val="-2"/>
          <w:kern w:val="0"/>
          <w:szCs w:val="21"/>
          <w:highlight w:val="none"/>
        </w:rPr>
        <w:t>列</w:t>
      </w:r>
      <w:r>
        <w:rPr>
          <w:rFonts w:hint="eastAsia" w:ascii="宋体" w:hAnsi="宋体" w:cs="宋体"/>
          <w:b/>
          <w:color w:val="auto"/>
          <w:kern w:val="0"/>
          <w:szCs w:val="21"/>
          <w:highlight w:val="none"/>
        </w:rPr>
        <w:t>文</w:t>
      </w:r>
      <w:r>
        <w:rPr>
          <w:rFonts w:hint="eastAsia" w:ascii="宋体" w:hAnsi="宋体" w:cs="宋体"/>
          <w:b/>
          <w:color w:val="auto"/>
          <w:spacing w:val="-2"/>
          <w:kern w:val="0"/>
          <w:szCs w:val="21"/>
          <w:highlight w:val="none"/>
        </w:rPr>
        <w:t>件一</w:t>
      </w:r>
      <w:r>
        <w:rPr>
          <w:rFonts w:hint="eastAsia" w:ascii="宋体" w:hAnsi="宋体" w:cs="宋体"/>
          <w:b/>
          <w:color w:val="auto"/>
          <w:kern w:val="0"/>
          <w:szCs w:val="21"/>
          <w:highlight w:val="none"/>
        </w:rPr>
        <w:t>起构</w:t>
      </w:r>
      <w:r>
        <w:rPr>
          <w:rFonts w:hint="eastAsia" w:ascii="宋体" w:hAnsi="宋体" w:cs="宋体"/>
          <w:b/>
          <w:color w:val="auto"/>
          <w:spacing w:val="-2"/>
          <w:kern w:val="0"/>
          <w:szCs w:val="21"/>
          <w:highlight w:val="none"/>
        </w:rPr>
        <w:t>成</w:t>
      </w:r>
      <w:r>
        <w:rPr>
          <w:rFonts w:hint="eastAsia" w:ascii="宋体" w:hAnsi="宋体" w:cs="宋体"/>
          <w:b/>
          <w:color w:val="auto"/>
          <w:kern w:val="0"/>
          <w:szCs w:val="21"/>
          <w:highlight w:val="none"/>
        </w:rPr>
        <w:t>合</w:t>
      </w:r>
      <w:r>
        <w:rPr>
          <w:rFonts w:hint="eastAsia" w:ascii="宋体" w:hAnsi="宋体" w:cs="宋体"/>
          <w:b/>
          <w:color w:val="auto"/>
          <w:spacing w:val="-2"/>
          <w:kern w:val="0"/>
          <w:szCs w:val="21"/>
          <w:highlight w:val="none"/>
        </w:rPr>
        <w:t>同</w:t>
      </w:r>
      <w:r>
        <w:rPr>
          <w:rFonts w:hint="eastAsia" w:ascii="宋体" w:hAnsi="宋体" w:cs="宋体"/>
          <w:b/>
          <w:color w:val="auto"/>
          <w:kern w:val="0"/>
          <w:szCs w:val="21"/>
          <w:highlight w:val="none"/>
        </w:rPr>
        <w:t>文</w:t>
      </w:r>
      <w:r>
        <w:rPr>
          <w:rFonts w:hint="eastAsia" w:ascii="宋体" w:hAnsi="宋体" w:cs="宋体"/>
          <w:b/>
          <w:color w:val="auto"/>
          <w:spacing w:val="-2"/>
          <w:kern w:val="0"/>
          <w:szCs w:val="21"/>
          <w:highlight w:val="none"/>
        </w:rPr>
        <w:t>件</w:t>
      </w:r>
    </w:p>
    <w:p>
      <w:pPr>
        <w:keepNext/>
        <w:keepLines/>
        <w:pageBreakBefore w:val="0"/>
        <w:widowControl/>
        <w:kinsoku/>
        <w:wordWrap/>
        <w:overflowPunct/>
        <w:topLinePunct w:val="0"/>
        <w:autoSpaceDE/>
        <w:autoSpaceDN/>
        <w:bidi w:val="0"/>
        <w:spacing w:line="40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1</w:t>
      </w:r>
      <w:r>
        <w:rPr>
          <w:rFonts w:hint="eastAsia" w:ascii="宋体" w:hAnsi="宋体" w:cs="宋体"/>
          <w:color w:val="auto"/>
          <w:szCs w:val="21"/>
          <w:highlight w:val="none"/>
          <w:lang w:val="en"/>
        </w:rPr>
        <w:t>.</w:t>
      </w:r>
      <w:r>
        <w:rPr>
          <w:rFonts w:hint="eastAsia" w:ascii="宋体" w:hAnsi="宋体" w:cs="宋体"/>
          <w:color w:val="auto"/>
          <w:szCs w:val="21"/>
          <w:highlight w:val="none"/>
        </w:rPr>
        <w:t>成交通知书；</w:t>
      </w:r>
    </w:p>
    <w:p>
      <w:pPr>
        <w:keepNext/>
        <w:keepLines/>
        <w:pageBreakBefore w:val="0"/>
        <w:widowControl/>
        <w:kinsoku/>
        <w:wordWrap/>
        <w:overflowPunct/>
        <w:topLinePunct w:val="0"/>
        <w:autoSpaceDE/>
        <w:autoSpaceDN/>
        <w:bidi w:val="0"/>
        <w:spacing w:line="40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2</w:t>
      </w:r>
      <w:r>
        <w:rPr>
          <w:rFonts w:hint="eastAsia" w:ascii="宋体" w:hAnsi="宋体" w:cs="宋体"/>
          <w:color w:val="auto"/>
          <w:szCs w:val="21"/>
          <w:highlight w:val="none"/>
          <w:lang w:val="en"/>
        </w:rPr>
        <w:t>.</w:t>
      </w:r>
      <w:r>
        <w:rPr>
          <w:rFonts w:hint="eastAsia" w:ascii="宋体" w:hAnsi="宋体" w:cs="宋体"/>
          <w:color w:val="auto"/>
          <w:szCs w:val="21"/>
          <w:highlight w:val="none"/>
        </w:rPr>
        <w:t>乙方最终报价；</w:t>
      </w:r>
    </w:p>
    <w:p>
      <w:pPr>
        <w:keepNext/>
        <w:keepLines/>
        <w:pageBreakBefore w:val="0"/>
        <w:widowControl/>
        <w:kinsoku/>
        <w:wordWrap/>
        <w:overflowPunct/>
        <w:topLinePunct w:val="0"/>
        <w:autoSpaceDE/>
        <w:autoSpaceDN/>
        <w:bidi w:val="0"/>
        <w:spacing w:line="40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3</w:t>
      </w:r>
      <w:r>
        <w:rPr>
          <w:rFonts w:hint="eastAsia" w:ascii="宋体" w:hAnsi="宋体" w:cs="宋体"/>
          <w:color w:val="auto"/>
          <w:szCs w:val="21"/>
          <w:highlight w:val="none"/>
          <w:lang w:val="en"/>
        </w:rPr>
        <w:t>.</w:t>
      </w:r>
      <w:r>
        <w:rPr>
          <w:rFonts w:hint="eastAsia" w:ascii="宋体" w:hAnsi="宋体" w:cs="宋体"/>
          <w:color w:val="auto"/>
          <w:szCs w:val="21"/>
          <w:highlight w:val="none"/>
        </w:rPr>
        <w:t>采购需求；</w:t>
      </w:r>
    </w:p>
    <w:p>
      <w:pPr>
        <w:keepNext/>
        <w:keepLines/>
        <w:pageBreakBefore w:val="0"/>
        <w:widowControl/>
        <w:kinsoku/>
        <w:wordWrap/>
        <w:overflowPunct/>
        <w:topLinePunct w:val="0"/>
        <w:autoSpaceDE/>
        <w:autoSpaceDN/>
        <w:bidi w:val="0"/>
        <w:spacing w:line="40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4</w:t>
      </w:r>
      <w:r>
        <w:rPr>
          <w:rFonts w:hint="eastAsia" w:ascii="宋体" w:hAnsi="宋体" w:cs="宋体"/>
          <w:color w:val="auto"/>
          <w:szCs w:val="21"/>
          <w:highlight w:val="none"/>
          <w:lang w:val="en"/>
        </w:rPr>
        <w:t>.</w:t>
      </w:r>
      <w:r>
        <w:rPr>
          <w:rFonts w:hint="eastAsia" w:ascii="宋体" w:hAnsi="宋体" w:cs="宋体"/>
          <w:color w:val="auto"/>
          <w:szCs w:val="21"/>
          <w:highlight w:val="none"/>
        </w:rPr>
        <w:t>磋商书；</w:t>
      </w:r>
    </w:p>
    <w:p>
      <w:pPr>
        <w:keepNext/>
        <w:keepLines/>
        <w:pageBreakBefore w:val="0"/>
        <w:widowControl/>
        <w:kinsoku/>
        <w:wordWrap/>
        <w:overflowPunct/>
        <w:topLinePunct w:val="0"/>
        <w:autoSpaceDE/>
        <w:autoSpaceDN/>
        <w:bidi w:val="0"/>
        <w:spacing w:line="40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5</w:t>
      </w:r>
      <w:r>
        <w:rPr>
          <w:rFonts w:hint="eastAsia" w:ascii="宋体" w:hAnsi="宋体" w:cs="宋体"/>
          <w:color w:val="auto"/>
          <w:szCs w:val="21"/>
          <w:highlight w:val="none"/>
          <w:lang w:val="en"/>
        </w:rPr>
        <w:t>.乙方</w:t>
      </w:r>
      <w:r>
        <w:rPr>
          <w:rFonts w:hint="eastAsia" w:ascii="宋体" w:hAnsi="宋体" w:cs="宋体"/>
          <w:color w:val="auto"/>
          <w:szCs w:val="21"/>
          <w:highlight w:val="none"/>
        </w:rPr>
        <w:t>响应文件中的相关服务承诺文件；</w:t>
      </w:r>
    </w:p>
    <w:p>
      <w:pPr>
        <w:keepNext/>
        <w:keepLines/>
        <w:pageBreakBefore w:val="0"/>
        <w:widowControl/>
        <w:kinsoku/>
        <w:wordWrap/>
        <w:overflowPunct/>
        <w:topLinePunct w:val="0"/>
        <w:autoSpaceDE/>
        <w:autoSpaceDN/>
        <w:bidi w:val="0"/>
        <w:spacing w:line="40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6</w:t>
      </w:r>
      <w:r>
        <w:rPr>
          <w:rFonts w:hint="eastAsia" w:ascii="宋体" w:hAnsi="宋体" w:cs="宋体"/>
          <w:color w:val="auto"/>
          <w:szCs w:val="21"/>
          <w:highlight w:val="none"/>
          <w:lang w:val="en"/>
        </w:rPr>
        <w:t>.乙方</w:t>
      </w:r>
      <w:r>
        <w:rPr>
          <w:rFonts w:hint="eastAsia" w:ascii="宋体" w:hAnsi="宋体" w:cs="宋体"/>
          <w:color w:val="auto"/>
          <w:szCs w:val="21"/>
          <w:highlight w:val="none"/>
        </w:rPr>
        <w:t>响应文件中的其他相关文件；</w:t>
      </w:r>
    </w:p>
    <w:p>
      <w:pPr>
        <w:keepNext/>
        <w:keepLines/>
        <w:pageBreakBefore w:val="0"/>
        <w:widowControl/>
        <w:kinsoku/>
        <w:wordWrap/>
        <w:overflowPunct/>
        <w:topLinePunct w:val="0"/>
        <w:autoSpaceDE/>
        <w:autoSpaceDN/>
        <w:bidi w:val="0"/>
        <w:spacing w:line="40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7</w:t>
      </w:r>
      <w:r>
        <w:rPr>
          <w:rFonts w:hint="eastAsia" w:ascii="宋体" w:hAnsi="宋体" w:cs="宋体"/>
          <w:color w:val="auto"/>
          <w:szCs w:val="21"/>
          <w:highlight w:val="none"/>
          <w:lang w:val="en"/>
        </w:rPr>
        <w:t>.</w:t>
      </w:r>
      <w:r>
        <w:rPr>
          <w:rFonts w:hint="eastAsia" w:ascii="宋体" w:hAnsi="宋体" w:cs="宋体"/>
          <w:color w:val="auto"/>
          <w:szCs w:val="21"/>
          <w:highlight w:val="none"/>
        </w:rPr>
        <w:t>甲、乙双方商定的补充协议（如有）。</w:t>
      </w:r>
    </w:p>
    <w:p>
      <w:pPr>
        <w:keepNext/>
        <w:keepLines/>
        <w:pageBreakBefore w:val="0"/>
        <w:widowControl/>
        <w:kinsoku/>
        <w:wordWrap/>
        <w:overflowPunct/>
        <w:topLinePunct w:val="0"/>
        <w:autoSpaceDE/>
        <w:autoSpaceDN/>
        <w:bidi w:val="0"/>
        <w:spacing w:line="40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上述合同文件互相补充和解释。如果合同文件之间存在矛盾或者不一致之处，以本合同、上述文件的排列顺序在先者为准。</w:t>
      </w:r>
    </w:p>
    <w:p>
      <w:pPr>
        <w:keepNext/>
        <w:keepLines/>
        <w:pageBreakBefore w:val="0"/>
        <w:widowControl/>
        <w:kinsoku/>
        <w:wordWrap/>
        <w:overflowPunct/>
        <w:topLinePunct w:val="0"/>
        <w:autoSpaceDE/>
        <w:autoSpaceDN/>
        <w:bidi w:val="0"/>
        <w:spacing w:line="400" w:lineRule="exact"/>
        <w:ind w:firstLine="422" w:firstLineChars="200"/>
        <w:textAlignment w:val="auto"/>
        <w:rPr>
          <w:rFonts w:ascii="宋体" w:hAnsi="宋体" w:cs="宋体"/>
          <w:b/>
          <w:color w:val="auto"/>
          <w:szCs w:val="21"/>
          <w:highlight w:val="none"/>
        </w:rPr>
      </w:pPr>
      <w:r>
        <w:rPr>
          <w:rFonts w:hint="eastAsia" w:ascii="宋体" w:hAnsi="宋体" w:cs="宋体"/>
          <w:b/>
          <w:color w:val="auto"/>
          <w:szCs w:val="21"/>
          <w:highlight w:val="none"/>
        </w:rPr>
        <w:t>第十七条　其他约定事项</w:t>
      </w:r>
    </w:p>
    <w:p>
      <w:pPr>
        <w:keepNext/>
        <w:keepLines/>
        <w:pageBreakBefore w:val="0"/>
        <w:widowControl/>
        <w:kinsoku/>
        <w:wordWrap/>
        <w:overflowPunct/>
        <w:topLinePunct w:val="0"/>
        <w:autoSpaceDE/>
        <w:autoSpaceDN/>
        <w:bidi w:val="0"/>
        <w:spacing w:line="40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1</w:t>
      </w:r>
      <w:r>
        <w:rPr>
          <w:rFonts w:hint="eastAsia" w:ascii="宋体" w:hAnsi="宋体" w:cs="宋体"/>
          <w:color w:val="auto"/>
          <w:szCs w:val="21"/>
          <w:highlight w:val="none"/>
          <w:lang w:val="en"/>
        </w:rPr>
        <w:t>.</w:t>
      </w:r>
      <w:r>
        <w:rPr>
          <w:rFonts w:hint="eastAsia" w:ascii="宋体" w:hAnsi="宋体" w:cs="宋体"/>
          <w:color w:val="auto"/>
          <w:szCs w:val="21"/>
          <w:highlight w:val="none"/>
        </w:rPr>
        <w:t>本合同所有附件及相关文件均为本合同的有效组成部分，与本合同具有同等法律效力。若合同附件与本合同存在不一致的，则以本合同为准。</w:t>
      </w:r>
    </w:p>
    <w:p>
      <w:pPr>
        <w:keepNext/>
        <w:keepLines/>
        <w:pageBreakBefore w:val="0"/>
        <w:widowControl/>
        <w:kinsoku/>
        <w:wordWrap/>
        <w:overflowPunct/>
        <w:topLinePunct w:val="0"/>
        <w:autoSpaceDE/>
        <w:autoSpaceDN/>
        <w:bidi w:val="0"/>
        <w:spacing w:line="40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2</w:t>
      </w:r>
      <w:r>
        <w:rPr>
          <w:rFonts w:hint="eastAsia" w:ascii="宋体" w:hAnsi="宋体" w:cs="宋体"/>
          <w:color w:val="auto"/>
          <w:szCs w:val="21"/>
          <w:highlight w:val="none"/>
          <w:lang w:val="en"/>
        </w:rPr>
        <w:t>.</w:t>
      </w:r>
      <w:r>
        <w:rPr>
          <w:rFonts w:hint="eastAsia" w:ascii="宋体" w:hAnsi="宋体" w:cs="宋体"/>
          <w:color w:val="auto"/>
          <w:szCs w:val="21"/>
          <w:highlight w:val="none"/>
        </w:rPr>
        <w:t>在履行本合同过程中，所有经甲乙双方签署确认的文件（包括会议纪要、补充协议、往来信函、电子邮件等）即成为本合同的有效组成部分。</w:t>
      </w:r>
    </w:p>
    <w:p>
      <w:pPr>
        <w:keepNext/>
        <w:keepLines/>
        <w:pageBreakBefore w:val="0"/>
        <w:widowControl/>
        <w:kinsoku/>
        <w:wordWrap/>
        <w:overflowPunct/>
        <w:topLinePunct w:val="0"/>
        <w:autoSpaceDE/>
        <w:autoSpaceDN/>
        <w:bidi w:val="0"/>
        <w:spacing w:line="40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3</w:t>
      </w:r>
      <w:r>
        <w:rPr>
          <w:rFonts w:hint="eastAsia" w:ascii="宋体" w:hAnsi="宋体" w:cs="宋体"/>
          <w:color w:val="auto"/>
          <w:szCs w:val="21"/>
          <w:highlight w:val="none"/>
          <w:lang w:val="en"/>
        </w:rPr>
        <w:t>.甲乙</w:t>
      </w:r>
      <w:r>
        <w:rPr>
          <w:rFonts w:hint="eastAsia" w:ascii="宋体" w:hAnsi="宋体" w:cs="宋体"/>
          <w:color w:val="auto"/>
          <w:szCs w:val="21"/>
          <w:highlight w:val="none"/>
        </w:rPr>
        <w:t>双方确认，以下为各方真实有效通讯地址：</w:t>
      </w:r>
    </w:p>
    <w:p>
      <w:pPr>
        <w:keepNext/>
        <w:keepLines/>
        <w:pageBreakBefore w:val="0"/>
        <w:widowControl/>
        <w:kinsoku/>
        <w:wordWrap/>
        <w:overflowPunct/>
        <w:topLinePunct w:val="0"/>
        <w:autoSpaceDE/>
        <w:autoSpaceDN/>
        <w:bidi w:val="0"/>
        <w:spacing w:line="40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甲方：</w:t>
      </w:r>
      <w:r>
        <w:rPr>
          <w:rFonts w:hint="eastAsia" w:ascii="宋体" w:hAnsi="宋体" w:cs="宋体"/>
          <w:color w:val="auto"/>
          <w:szCs w:val="21"/>
          <w:highlight w:val="none"/>
          <w:u w:val="single"/>
        </w:rPr>
        <w:t>　　</w:t>
      </w:r>
      <w:r>
        <w:rPr>
          <w:rFonts w:hint="eastAsia" w:ascii="宋体" w:hAnsi="宋体" w:cs="宋体"/>
          <w:color w:val="auto"/>
          <w:szCs w:val="21"/>
          <w:highlight w:val="none"/>
        </w:rPr>
        <w:t>，地址：</w:t>
      </w:r>
      <w:r>
        <w:rPr>
          <w:rFonts w:hint="eastAsia" w:ascii="宋体" w:hAnsi="宋体" w:cs="宋体"/>
          <w:color w:val="auto"/>
          <w:szCs w:val="21"/>
          <w:highlight w:val="none"/>
          <w:u w:val="single"/>
        </w:rPr>
        <w:t>　　</w:t>
      </w:r>
      <w:r>
        <w:rPr>
          <w:rFonts w:hint="eastAsia" w:ascii="宋体" w:hAnsi="宋体" w:cs="宋体"/>
          <w:color w:val="auto"/>
          <w:szCs w:val="21"/>
          <w:highlight w:val="none"/>
        </w:rPr>
        <w:t>，收件人：</w:t>
      </w:r>
      <w:r>
        <w:rPr>
          <w:rFonts w:hint="eastAsia" w:ascii="宋体" w:hAnsi="宋体" w:cs="宋体"/>
          <w:color w:val="auto"/>
          <w:szCs w:val="21"/>
          <w:highlight w:val="none"/>
          <w:u w:val="single"/>
        </w:rPr>
        <w:t>　　</w:t>
      </w:r>
      <w:r>
        <w:rPr>
          <w:rFonts w:hint="eastAsia" w:ascii="宋体" w:hAnsi="宋体" w:cs="宋体"/>
          <w:color w:val="auto"/>
          <w:szCs w:val="21"/>
          <w:highlight w:val="none"/>
        </w:rPr>
        <w:t>，联系电话：</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，电子邮箱：</w:t>
      </w:r>
      <w:r>
        <w:rPr>
          <w:rFonts w:hint="eastAsia" w:ascii="宋体" w:hAnsi="宋体" w:cs="宋体"/>
          <w:color w:val="auto"/>
          <w:szCs w:val="21"/>
          <w:highlight w:val="none"/>
          <w:u w:val="single"/>
        </w:rPr>
        <w:t>　　</w:t>
      </w:r>
      <w:r>
        <w:rPr>
          <w:rFonts w:hint="eastAsia" w:ascii="宋体" w:hAnsi="宋体" w:cs="宋体"/>
          <w:color w:val="auto"/>
          <w:szCs w:val="21"/>
          <w:highlight w:val="none"/>
        </w:rPr>
        <w:t>。</w:t>
      </w:r>
    </w:p>
    <w:p>
      <w:pPr>
        <w:keepNext/>
        <w:keepLines/>
        <w:pageBreakBefore w:val="0"/>
        <w:widowControl/>
        <w:kinsoku/>
        <w:wordWrap/>
        <w:overflowPunct/>
        <w:topLinePunct w:val="0"/>
        <w:autoSpaceDE/>
        <w:autoSpaceDN/>
        <w:bidi w:val="0"/>
        <w:spacing w:line="40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乙方：</w:t>
      </w:r>
      <w:r>
        <w:rPr>
          <w:rFonts w:hint="eastAsia" w:ascii="宋体" w:hAnsi="宋体" w:cs="宋体"/>
          <w:color w:val="auto"/>
          <w:szCs w:val="21"/>
          <w:highlight w:val="none"/>
          <w:u w:val="single"/>
        </w:rPr>
        <w:t>　　</w:t>
      </w:r>
      <w:r>
        <w:rPr>
          <w:rFonts w:hint="eastAsia" w:ascii="宋体" w:hAnsi="宋体" w:cs="宋体"/>
          <w:color w:val="auto"/>
          <w:szCs w:val="21"/>
          <w:highlight w:val="none"/>
        </w:rPr>
        <w:t>，地址：</w:t>
      </w:r>
      <w:r>
        <w:rPr>
          <w:rFonts w:hint="eastAsia" w:ascii="宋体" w:hAnsi="宋体" w:cs="宋体"/>
          <w:color w:val="auto"/>
          <w:szCs w:val="21"/>
          <w:highlight w:val="none"/>
          <w:u w:val="single"/>
        </w:rPr>
        <w:t>　　</w:t>
      </w:r>
      <w:r>
        <w:rPr>
          <w:rFonts w:hint="eastAsia" w:ascii="宋体" w:hAnsi="宋体" w:cs="宋体"/>
          <w:color w:val="auto"/>
          <w:szCs w:val="21"/>
          <w:highlight w:val="none"/>
        </w:rPr>
        <w:t>，收件人：</w:t>
      </w:r>
      <w:r>
        <w:rPr>
          <w:rFonts w:hint="eastAsia" w:ascii="宋体" w:hAnsi="宋体" w:cs="宋体"/>
          <w:color w:val="auto"/>
          <w:szCs w:val="21"/>
          <w:highlight w:val="none"/>
          <w:u w:val="single"/>
        </w:rPr>
        <w:t>　　</w:t>
      </w:r>
      <w:r>
        <w:rPr>
          <w:rFonts w:hint="eastAsia" w:ascii="宋体" w:hAnsi="宋体" w:cs="宋体"/>
          <w:color w:val="auto"/>
          <w:szCs w:val="21"/>
          <w:highlight w:val="none"/>
        </w:rPr>
        <w:t>，联系电话：</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，电子邮箱：</w:t>
      </w:r>
      <w:r>
        <w:rPr>
          <w:rFonts w:hint="eastAsia" w:ascii="宋体" w:hAnsi="宋体" w:cs="宋体"/>
          <w:color w:val="auto"/>
          <w:szCs w:val="21"/>
          <w:highlight w:val="none"/>
          <w:u w:val="single"/>
        </w:rPr>
        <w:t>　　</w:t>
      </w:r>
      <w:r>
        <w:rPr>
          <w:rFonts w:hint="eastAsia" w:ascii="宋体" w:hAnsi="宋体" w:cs="宋体"/>
          <w:color w:val="auto"/>
          <w:szCs w:val="21"/>
          <w:highlight w:val="none"/>
        </w:rPr>
        <w:t>。</w:t>
      </w:r>
    </w:p>
    <w:p>
      <w:pPr>
        <w:keepNext/>
        <w:keepLines/>
        <w:pageBreakBefore w:val="0"/>
        <w:widowControl/>
        <w:kinsoku/>
        <w:wordWrap/>
        <w:overflowPunct/>
        <w:topLinePunct w:val="0"/>
        <w:autoSpaceDE/>
        <w:autoSpaceDN/>
        <w:bidi w:val="0"/>
        <w:spacing w:line="40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一方向对方发出的任何通知、信函和文件，以挂号信函或快递信函方式向对方地址邮寄有关通知、信函和文件的，自发出之日起第三日视为送达对方，挂号信函或快递信函的邮寄凭证即视为成功送达的有效凭证。一方地址变更的，应及时书面通知对方，否则上述地址仍为真实有效通讯地址。</w:t>
      </w:r>
    </w:p>
    <w:p>
      <w:pPr>
        <w:keepNext/>
        <w:keepLines/>
        <w:pageBreakBefore w:val="0"/>
        <w:widowControl/>
        <w:kinsoku/>
        <w:wordWrap/>
        <w:overflowPunct/>
        <w:topLinePunct w:val="0"/>
        <w:autoSpaceDE/>
        <w:autoSpaceDN/>
        <w:bidi w:val="0"/>
        <w:spacing w:line="40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lang w:val="en"/>
        </w:rPr>
        <w:t>4.</w:t>
      </w:r>
      <w:r>
        <w:rPr>
          <w:rFonts w:hint="eastAsia" w:ascii="宋体" w:hAnsi="宋体" w:cs="宋体"/>
          <w:color w:val="auto"/>
          <w:szCs w:val="21"/>
          <w:highlight w:val="none"/>
        </w:rPr>
        <w:t>本合同一式</w:t>
      </w:r>
      <w:r>
        <w:rPr>
          <w:rFonts w:hint="eastAsia" w:ascii="宋体" w:hAnsi="宋体" w:cs="宋体"/>
          <w:color w:val="auto"/>
          <w:szCs w:val="21"/>
          <w:highlight w:val="none"/>
          <w:u w:val="single"/>
          <w:lang w:eastAsia="zh-CN"/>
        </w:rPr>
        <w:t>六</w:t>
      </w:r>
      <w:r>
        <w:rPr>
          <w:rFonts w:hint="eastAsia" w:ascii="宋体" w:hAnsi="宋体" w:cs="宋体"/>
          <w:color w:val="auto"/>
          <w:szCs w:val="21"/>
          <w:highlight w:val="none"/>
        </w:rPr>
        <w:t>份，具有同等法律效力，政府采购监管部门、采购代理机构各一份，甲乙双方各</w:t>
      </w:r>
      <w:r>
        <w:rPr>
          <w:rFonts w:hint="eastAsia" w:ascii="宋体" w:hAnsi="宋体" w:cs="宋体"/>
          <w:color w:val="auto"/>
          <w:szCs w:val="21"/>
          <w:highlight w:val="none"/>
          <w:u w:val="single"/>
          <w:lang w:eastAsia="zh-CN"/>
        </w:rPr>
        <w:t>两</w:t>
      </w:r>
      <w:r>
        <w:rPr>
          <w:rFonts w:hint="eastAsia" w:ascii="宋体" w:hAnsi="宋体" w:cs="宋体"/>
          <w:color w:val="auto"/>
          <w:szCs w:val="21"/>
          <w:highlight w:val="none"/>
        </w:rPr>
        <w:t>份。</w:t>
      </w:r>
    </w:p>
    <w:p>
      <w:pPr>
        <w:keepNext/>
        <w:keepLines/>
        <w:pageBreakBefore w:val="0"/>
        <w:widowControl/>
        <w:kinsoku/>
        <w:wordWrap/>
        <w:overflowPunct/>
        <w:topLinePunct w:val="0"/>
        <w:autoSpaceDE/>
        <w:autoSpaceDN/>
        <w:bidi w:val="0"/>
        <w:adjustRightInd w:val="0"/>
        <w:snapToGrid w:val="0"/>
        <w:spacing w:line="400" w:lineRule="exact"/>
        <w:ind w:right="420" w:firstLine="420" w:firstLineChars="200"/>
        <w:textAlignment w:val="auto"/>
        <w:rPr>
          <w:rFonts w:hint="eastAsia" w:ascii="宋体" w:hAnsi="宋体" w:cs="宋体"/>
          <w:szCs w:val="21"/>
          <w:highlight w:val="none"/>
        </w:rPr>
      </w:pPr>
      <w:r>
        <w:rPr>
          <w:rFonts w:hint="eastAsia" w:ascii="宋体" w:hAnsi="宋体" w:cs="宋体"/>
          <w:color w:val="auto"/>
          <w:szCs w:val="21"/>
          <w:highlight w:val="none"/>
        </w:rPr>
        <w:t>本条款不因合同的变更、解除和终止而失效</w:t>
      </w:r>
      <w:r>
        <w:rPr>
          <w:rFonts w:hint="eastAsia" w:ascii="宋体" w:hAnsi="宋体" w:cs="宋体"/>
          <w:szCs w:val="21"/>
          <w:highlight w:val="none"/>
        </w:rPr>
        <w:t>。</w:t>
      </w:r>
    </w:p>
    <w:p>
      <w:pPr>
        <w:pStyle w:val="2"/>
        <w:keepNext/>
        <w:keepLines/>
        <w:pageBreakBefore w:val="0"/>
        <w:widowControl/>
        <w:wordWrap/>
        <w:topLinePunct w:val="0"/>
        <w:bidi w:val="0"/>
        <w:rPr>
          <w:highlight w:val="none"/>
        </w:rPr>
      </w:pPr>
    </w:p>
    <w:tbl>
      <w:tblPr>
        <w:tblStyle w:val="58"/>
        <w:tblW w:w="970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850"/>
        <w:gridCol w:w="48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6" w:hRule="atLeast"/>
          <w:jc w:val="center"/>
        </w:trPr>
        <w:tc>
          <w:tcPr>
            <w:tcW w:w="4850" w:type="dxa"/>
            <w:vAlign w:val="center"/>
          </w:tcPr>
          <w:p>
            <w:pPr>
              <w:keepNext/>
              <w:keepLines/>
              <w:pageBreakBefore w:val="0"/>
              <w:widowControl/>
              <w:wordWrap/>
              <w:topLinePunct w:val="0"/>
              <w:bidi w:val="0"/>
              <w:snapToGrid w:val="0"/>
              <w:spacing w:line="400" w:lineRule="exact"/>
              <w:rPr>
                <w:rFonts w:ascii="宋体" w:hAnsi="宋体" w:cs="宋体"/>
                <w:szCs w:val="21"/>
                <w:highlight w:val="none"/>
              </w:rPr>
            </w:pPr>
            <w:r>
              <w:rPr>
                <w:rFonts w:hint="eastAsia" w:ascii="宋体" w:hAnsi="宋体" w:cs="宋体"/>
                <w:szCs w:val="21"/>
                <w:highlight w:val="none"/>
              </w:rPr>
              <w:t xml:space="preserve">甲方（公章）           </w:t>
            </w:r>
          </w:p>
          <w:p>
            <w:pPr>
              <w:keepNext/>
              <w:keepLines/>
              <w:pageBreakBefore w:val="0"/>
              <w:widowControl/>
              <w:wordWrap/>
              <w:topLinePunct w:val="0"/>
              <w:bidi w:val="0"/>
              <w:snapToGrid w:val="0"/>
              <w:spacing w:line="400" w:lineRule="exact"/>
              <w:ind w:firstLine="945" w:firstLineChars="450"/>
              <w:jc w:val="right"/>
              <w:rPr>
                <w:rFonts w:hint="eastAsia" w:ascii="宋体" w:hAnsi="宋体" w:cs="宋体"/>
                <w:szCs w:val="21"/>
                <w:highlight w:val="none"/>
              </w:rPr>
            </w:pPr>
          </w:p>
          <w:p>
            <w:pPr>
              <w:keepNext/>
              <w:keepLines/>
              <w:pageBreakBefore w:val="0"/>
              <w:widowControl/>
              <w:wordWrap/>
              <w:topLinePunct w:val="0"/>
              <w:bidi w:val="0"/>
              <w:snapToGrid w:val="0"/>
              <w:spacing w:line="400" w:lineRule="exact"/>
              <w:ind w:firstLine="945" w:firstLineChars="450"/>
              <w:jc w:val="right"/>
              <w:rPr>
                <w:rFonts w:ascii="宋体" w:hAnsi="宋体" w:cs="宋体"/>
                <w:szCs w:val="21"/>
                <w:highlight w:val="none"/>
              </w:rPr>
            </w:pPr>
            <w:r>
              <w:rPr>
                <w:rFonts w:hint="eastAsia" w:ascii="宋体" w:hAnsi="宋体" w:cs="宋体"/>
                <w:szCs w:val="21"/>
                <w:highlight w:val="none"/>
              </w:rPr>
              <w:t>年   月   日</w:t>
            </w:r>
          </w:p>
        </w:tc>
        <w:tc>
          <w:tcPr>
            <w:tcW w:w="4850" w:type="dxa"/>
            <w:vAlign w:val="center"/>
          </w:tcPr>
          <w:p>
            <w:pPr>
              <w:keepNext/>
              <w:keepLines/>
              <w:pageBreakBefore w:val="0"/>
              <w:widowControl/>
              <w:wordWrap/>
              <w:topLinePunct w:val="0"/>
              <w:bidi w:val="0"/>
              <w:snapToGrid w:val="0"/>
              <w:spacing w:line="400" w:lineRule="exact"/>
              <w:rPr>
                <w:rFonts w:ascii="宋体" w:hAnsi="宋体" w:cs="宋体"/>
                <w:szCs w:val="21"/>
                <w:highlight w:val="none"/>
              </w:rPr>
            </w:pPr>
            <w:r>
              <w:rPr>
                <w:rFonts w:hint="eastAsia" w:ascii="宋体" w:hAnsi="宋体" w:cs="宋体"/>
                <w:szCs w:val="21"/>
                <w:highlight w:val="none"/>
              </w:rPr>
              <w:t xml:space="preserve">乙方（公章）               </w:t>
            </w:r>
          </w:p>
          <w:p>
            <w:pPr>
              <w:keepNext/>
              <w:keepLines/>
              <w:pageBreakBefore w:val="0"/>
              <w:widowControl/>
              <w:wordWrap/>
              <w:topLinePunct w:val="0"/>
              <w:bidi w:val="0"/>
              <w:snapToGrid w:val="0"/>
              <w:spacing w:line="400" w:lineRule="exact"/>
              <w:jc w:val="right"/>
              <w:rPr>
                <w:rFonts w:hint="eastAsia" w:ascii="宋体" w:hAnsi="宋体" w:cs="宋体"/>
                <w:szCs w:val="21"/>
                <w:highlight w:val="none"/>
              </w:rPr>
            </w:pPr>
          </w:p>
          <w:p>
            <w:pPr>
              <w:keepNext/>
              <w:keepLines/>
              <w:pageBreakBefore w:val="0"/>
              <w:widowControl/>
              <w:wordWrap/>
              <w:topLinePunct w:val="0"/>
              <w:bidi w:val="0"/>
              <w:snapToGrid w:val="0"/>
              <w:spacing w:line="400" w:lineRule="exact"/>
              <w:jc w:val="right"/>
              <w:rPr>
                <w:rFonts w:ascii="宋体" w:hAnsi="宋体" w:cs="宋体"/>
                <w:szCs w:val="21"/>
                <w:highlight w:val="none"/>
              </w:rPr>
            </w:pPr>
            <w:r>
              <w:rPr>
                <w:rFonts w:hint="eastAsia" w:ascii="宋体" w:hAnsi="宋体" w:cs="宋体"/>
                <w:szCs w:val="21"/>
                <w:highlight w:val="none"/>
              </w:rPr>
              <w:t>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6" w:hRule="atLeast"/>
          <w:jc w:val="center"/>
        </w:trPr>
        <w:tc>
          <w:tcPr>
            <w:tcW w:w="4850" w:type="dxa"/>
            <w:vAlign w:val="center"/>
          </w:tcPr>
          <w:p>
            <w:pPr>
              <w:pStyle w:val="165"/>
              <w:keepNext/>
              <w:keepLines/>
              <w:pageBreakBefore w:val="0"/>
              <w:widowControl/>
              <w:wordWrap/>
              <w:topLinePunct w:val="0"/>
              <w:bidi w:val="0"/>
              <w:spacing w:line="400" w:lineRule="exact"/>
              <w:ind w:firstLine="0" w:firstLineChars="0"/>
              <w:jc w:val="both"/>
              <w:rPr>
                <w:rFonts w:ascii="宋体" w:hAnsi="宋体" w:eastAsia="宋体" w:cs="宋体"/>
                <w:sz w:val="21"/>
                <w:szCs w:val="21"/>
                <w:highlight w:val="none"/>
              </w:rPr>
            </w:pPr>
            <w:r>
              <w:rPr>
                <w:rFonts w:hint="eastAsia" w:ascii="宋体" w:hAnsi="宋体" w:eastAsia="宋体" w:cs="宋体"/>
                <w:sz w:val="21"/>
                <w:szCs w:val="21"/>
                <w:highlight w:val="none"/>
              </w:rPr>
              <w:t>法定代表人（签字）：</w:t>
            </w:r>
          </w:p>
          <w:p>
            <w:pPr>
              <w:pStyle w:val="165"/>
              <w:keepNext/>
              <w:keepLines/>
              <w:pageBreakBefore w:val="0"/>
              <w:widowControl/>
              <w:wordWrap/>
              <w:topLinePunct w:val="0"/>
              <w:bidi w:val="0"/>
              <w:spacing w:line="400" w:lineRule="exact"/>
              <w:ind w:firstLine="0" w:firstLineChars="0"/>
              <w:jc w:val="both"/>
              <w:rPr>
                <w:rFonts w:ascii="宋体" w:hAnsi="宋体" w:eastAsia="宋体" w:cs="宋体"/>
                <w:sz w:val="21"/>
                <w:szCs w:val="21"/>
                <w:highlight w:val="none"/>
              </w:rPr>
            </w:pPr>
            <w:r>
              <w:rPr>
                <w:rFonts w:hint="eastAsia" w:ascii="宋体" w:hAnsi="宋体" w:eastAsia="宋体" w:cs="宋体"/>
                <w:sz w:val="21"/>
                <w:szCs w:val="21"/>
                <w:highlight w:val="none"/>
              </w:rPr>
              <w:t>或委托代理人（签字）：</w:t>
            </w:r>
          </w:p>
        </w:tc>
        <w:tc>
          <w:tcPr>
            <w:tcW w:w="4850" w:type="dxa"/>
            <w:vAlign w:val="center"/>
          </w:tcPr>
          <w:p>
            <w:pPr>
              <w:pStyle w:val="165"/>
              <w:keepNext/>
              <w:keepLines/>
              <w:pageBreakBefore w:val="0"/>
              <w:widowControl/>
              <w:wordWrap/>
              <w:topLinePunct w:val="0"/>
              <w:bidi w:val="0"/>
              <w:spacing w:line="400" w:lineRule="exact"/>
              <w:ind w:firstLine="0" w:firstLineChars="0"/>
              <w:jc w:val="both"/>
              <w:rPr>
                <w:rFonts w:ascii="宋体" w:hAnsi="宋体" w:eastAsia="宋体" w:cs="宋体"/>
                <w:sz w:val="21"/>
                <w:szCs w:val="21"/>
                <w:highlight w:val="none"/>
              </w:rPr>
            </w:pPr>
            <w:r>
              <w:rPr>
                <w:rFonts w:hint="eastAsia" w:ascii="宋体" w:hAnsi="宋体" w:eastAsia="宋体" w:cs="宋体"/>
                <w:sz w:val="21"/>
                <w:szCs w:val="21"/>
                <w:highlight w:val="none"/>
              </w:rPr>
              <w:t>法定代表人（负责人）（签字）：</w:t>
            </w:r>
          </w:p>
          <w:p>
            <w:pPr>
              <w:pStyle w:val="165"/>
              <w:keepNext/>
              <w:keepLines/>
              <w:pageBreakBefore w:val="0"/>
              <w:widowControl/>
              <w:wordWrap/>
              <w:topLinePunct w:val="0"/>
              <w:bidi w:val="0"/>
              <w:spacing w:line="400" w:lineRule="exact"/>
              <w:ind w:firstLine="0" w:firstLineChars="0"/>
              <w:jc w:val="both"/>
              <w:rPr>
                <w:rFonts w:ascii="宋体" w:hAnsi="宋体" w:eastAsia="宋体" w:cs="宋体"/>
                <w:sz w:val="21"/>
                <w:szCs w:val="21"/>
                <w:highlight w:val="none"/>
              </w:rPr>
            </w:pPr>
            <w:r>
              <w:rPr>
                <w:rFonts w:hint="eastAsia" w:ascii="宋体" w:hAnsi="宋体" w:eastAsia="宋体" w:cs="宋体"/>
                <w:sz w:val="21"/>
                <w:szCs w:val="21"/>
                <w:highlight w:val="none"/>
              </w:rPr>
              <w:t>或委托代理人（签字）：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4" w:hRule="atLeast"/>
          <w:jc w:val="center"/>
        </w:trPr>
        <w:tc>
          <w:tcPr>
            <w:tcW w:w="4850" w:type="dxa"/>
            <w:vAlign w:val="center"/>
          </w:tcPr>
          <w:p>
            <w:pPr>
              <w:pStyle w:val="165"/>
              <w:keepNext/>
              <w:keepLines/>
              <w:pageBreakBefore w:val="0"/>
              <w:widowControl/>
              <w:wordWrap/>
              <w:topLinePunct w:val="0"/>
              <w:bidi w:val="0"/>
              <w:spacing w:line="400" w:lineRule="exact"/>
              <w:ind w:firstLine="0" w:firstLineChars="0"/>
              <w:jc w:val="both"/>
              <w:rPr>
                <w:rFonts w:ascii="宋体" w:hAnsi="宋体" w:eastAsia="宋体" w:cs="宋体"/>
                <w:sz w:val="21"/>
                <w:szCs w:val="21"/>
                <w:highlight w:val="none"/>
              </w:rPr>
            </w:pPr>
            <w:r>
              <w:rPr>
                <w:rFonts w:hint="eastAsia" w:ascii="宋体" w:hAnsi="宋体" w:eastAsia="宋体" w:cs="宋体"/>
                <w:sz w:val="21"/>
                <w:szCs w:val="21"/>
                <w:highlight w:val="none"/>
              </w:rPr>
              <w:t>统一信用代码：</w:t>
            </w:r>
          </w:p>
        </w:tc>
        <w:tc>
          <w:tcPr>
            <w:tcW w:w="4850" w:type="dxa"/>
            <w:vAlign w:val="center"/>
          </w:tcPr>
          <w:p>
            <w:pPr>
              <w:pStyle w:val="165"/>
              <w:keepNext/>
              <w:keepLines/>
              <w:pageBreakBefore w:val="0"/>
              <w:widowControl/>
              <w:wordWrap/>
              <w:topLinePunct w:val="0"/>
              <w:bidi w:val="0"/>
              <w:spacing w:line="400" w:lineRule="exact"/>
              <w:ind w:firstLine="0" w:firstLineChars="0"/>
              <w:jc w:val="both"/>
              <w:rPr>
                <w:rFonts w:ascii="宋体" w:hAnsi="宋体" w:eastAsia="宋体" w:cs="宋体"/>
                <w:sz w:val="21"/>
                <w:szCs w:val="21"/>
                <w:highlight w:val="none"/>
              </w:rPr>
            </w:pPr>
            <w:r>
              <w:rPr>
                <w:rFonts w:hint="eastAsia" w:ascii="宋体" w:hAnsi="宋体" w:eastAsia="宋体" w:cs="宋体"/>
                <w:sz w:val="21"/>
                <w:szCs w:val="21"/>
                <w:highlight w:val="none"/>
              </w:rPr>
              <w:t>统一信用代码：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4" w:hRule="atLeast"/>
          <w:jc w:val="center"/>
        </w:trPr>
        <w:tc>
          <w:tcPr>
            <w:tcW w:w="4850" w:type="dxa"/>
            <w:vAlign w:val="center"/>
          </w:tcPr>
          <w:p>
            <w:pPr>
              <w:pStyle w:val="165"/>
              <w:keepNext/>
              <w:keepLines/>
              <w:pageBreakBefore w:val="0"/>
              <w:widowControl/>
              <w:wordWrap/>
              <w:topLinePunct w:val="0"/>
              <w:bidi w:val="0"/>
              <w:spacing w:line="400" w:lineRule="exact"/>
              <w:ind w:firstLine="0" w:firstLineChars="0"/>
              <w:jc w:val="both"/>
              <w:rPr>
                <w:rFonts w:ascii="宋体" w:hAnsi="宋体" w:eastAsia="宋体" w:cs="宋体"/>
                <w:sz w:val="21"/>
                <w:szCs w:val="21"/>
                <w:highlight w:val="none"/>
              </w:rPr>
            </w:pPr>
            <w:r>
              <w:rPr>
                <w:rFonts w:hint="eastAsia" w:ascii="宋体" w:hAnsi="宋体" w:eastAsia="宋体" w:cs="宋体"/>
                <w:sz w:val="21"/>
                <w:szCs w:val="21"/>
                <w:highlight w:val="none"/>
              </w:rPr>
              <w:t>邮政编码：</w:t>
            </w:r>
          </w:p>
        </w:tc>
        <w:tc>
          <w:tcPr>
            <w:tcW w:w="4850" w:type="dxa"/>
            <w:vAlign w:val="center"/>
          </w:tcPr>
          <w:p>
            <w:pPr>
              <w:pStyle w:val="165"/>
              <w:keepNext/>
              <w:keepLines/>
              <w:pageBreakBefore w:val="0"/>
              <w:widowControl/>
              <w:wordWrap/>
              <w:topLinePunct w:val="0"/>
              <w:bidi w:val="0"/>
              <w:spacing w:line="400" w:lineRule="exact"/>
              <w:ind w:firstLine="0" w:firstLineChars="0"/>
              <w:jc w:val="both"/>
              <w:rPr>
                <w:rFonts w:ascii="宋体" w:hAnsi="宋体" w:eastAsia="宋体" w:cs="宋体"/>
                <w:sz w:val="21"/>
                <w:szCs w:val="21"/>
                <w:highlight w:val="none"/>
              </w:rPr>
            </w:pPr>
            <w:r>
              <w:rPr>
                <w:rFonts w:hint="eastAsia" w:ascii="宋体" w:hAnsi="宋体" w:eastAsia="宋体" w:cs="宋体"/>
                <w:sz w:val="21"/>
                <w:szCs w:val="21"/>
                <w:highlight w:val="none"/>
              </w:rPr>
              <w:t>邮政编码：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4" w:hRule="atLeast"/>
          <w:jc w:val="center"/>
        </w:trPr>
        <w:tc>
          <w:tcPr>
            <w:tcW w:w="4850" w:type="dxa"/>
            <w:vAlign w:val="center"/>
          </w:tcPr>
          <w:p>
            <w:pPr>
              <w:pStyle w:val="165"/>
              <w:keepNext/>
              <w:keepLines/>
              <w:pageBreakBefore w:val="0"/>
              <w:widowControl/>
              <w:wordWrap/>
              <w:topLinePunct w:val="0"/>
              <w:bidi w:val="0"/>
              <w:spacing w:line="400" w:lineRule="exact"/>
              <w:ind w:firstLine="0" w:firstLineChars="0"/>
              <w:jc w:val="both"/>
              <w:rPr>
                <w:rFonts w:ascii="宋体" w:hAnsi="宋体" w:eastAsia="宋体" w:cs="宋体"/>
                <w:sz w:val="21"/>
                <w:szCs w:val="21"/>
                <w:highlight w:val="none"/>
              </w:rPr>
            </w:pPr>
            <w:r>
              <w:rPr>
                <w:rFonts w:hint="eastAsia" w:ascii="宋体" w:hAnsi="宋体" w:eastAsia="宋体" w:cs="宋体"/>
                <w:sz w:val="21"/>
                <w:szCs w:val="21"/>
                <w:highlight w:val="none"/>
              </w:rPr>
              <w:t>电话：0779-</w:t>
            </w:r>
          </w:p>
        </w:tc>
        <w:tc>
          <w:tcPr>
            <w:tcW w:w="4850" w:type="dxa"/>
            <w:vAlign w:val="center"/>
          </w:tcPr>
          <w:p>
            <w:pPr>
              <w:pStyle w:val="165"/>
              <w:keepNext/>
              <w:keepLines/>
              <w:pageBreakBefore w:val="0"/>
              <w:widowControl/>
              <w:wordWrap/>
              <w:topLinePunct w:val="0"/>
              <w:bidi w:val="0"/>
              <w:spacing w:line="400" w:lineRule="exact"/>
              <w:ind w:firstLine="0" w:firstLineChars="0"/>
              <w:jc w:val="both"/>
              <w:rPr>
                <w:rFonts w:ascii="宋体" w:hAnsi="宋体" w:eastAsia="宋体" w:cs="宋体"/>
                <w:sz w:val="21"/>
                <w:szCs w:val="21"/>
                <w:highlight w:val="none"/>
              </w:rPr>
            </w:pPr>
            <w:r>
              <w:rPr>
                <w:rFonts w:hint="eastAsia" w:ascii="宋体" w:hAnsi="宋体" w:eastAsia="宋体" w:cs="宋体"/>
                <w:sz w:val="21"/>
                <w:szCs w:val="21"/>
                <w:highlight w:val="none"/>
              </w:rPr>
              <w:t>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7" w:hRule="atLeast"/>
          <w:jc w:val="center"/>
        </w:trPr>
        <w:tc>
          <w:tcPr>
            <w:tcW w:w="4850" w:type="dxa"/>
            <w:vAlign w:val="center"/>
          </w:tcPr>
          <w:p>
            <w:pPr>
              <w:pStyle w:val="165"/>
              <w:keepNext/>
              <w:keepLines/>
              <w:pageBreakBefore w:val="0"/>
              <w:widowControl/>
              <w:wordWrap/>
              <w:topLinePunct w:val="0"/>
              <w:bidi w:val="0"/>
              <w:spacing w:line="400" w:lineRule="exact"/>
              <w:ind w:firstLine="0" w:firstLineChars="0"/>
              <w:jc w:val="both"/>
              <w:rPr>
                <w:rFonts w:ascii="宋体" w:hAnsi="宋体" w:eastAsia="宋体" w:cs="宋体"/>
                <w:sz w:val="21"/>
                <w:szCs w:val="21"/>
                <w:highlight w:val="none"/>
              </w:rPr>
            </w:pPr>
            <w:r>
              <w:rPr>
                <w:rFonts w:hint="eastAsia" w:ascii="宋体" w:hAnsi="宋体" w:eastAsia="宋体" w:cs="宋体"/>
                <w:sz w:val="21"/>
                <w:szCs w:val="21"/>
                <w:highlight w:val="none"/>
              </w:rPr>
              <w:t>开户银行：</w:t>
            </w:r>
          </w:p>
        </w:tc>
        <w:tc>
          <w:tcPr>
            <w:tcW w:w="4850" w:type="dxa"/>
            <w:vAlign w:val="center"/>
          </w:tcPr>
          <w:p>
            <w:pPr>
              <w:pStyle w:val="165"/>
              <w:keepNext/>
              <w:keepLines/>
              <w:pageBreakBefore w:val="0"/>
              <w:widowControl/>
              <w:wordWrap/>
              <w:topLinePunct w:val="0"/>
              <w:bidi w:val="0"/>
              <w:spacing w:line="400" w:lineRule="exact"/>
              <w:ind w:firstLine="0" w:firstLineChars="0"/>
              <w:jc w:val="both"/>
              <w:rPr>
                <w:rFonts w:ascii="宋体" w:hAnsi="宋体" w:eastAsia="宋体" w:cs="宋体"/>
                <w:sz w:val="21"/>
                <w:szCs w:val="21"/>
                <w:highlight w:val="none"/>
              </w:rPr>
            </w:pPr>
            <w:r>
              <w:rPr>
                <w:rFonts w:hint="eastAsia" w:ascii="宋体" w:hAnsi="宋体" w:eastAsia="宋体" w:cs="宋体"/>
                <w:sz w:val="21"/>
                <w:szCs w:val="21"/>
                <w:highlight w:val="none"/>
              </w:rPr>
              <w:t xml:space="preserve">开户银行：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jc w:val="center"/>
        </w:trPr>
        <w:tc>
          <w:tcPr>
            <w:tcW w:w="4850" w:type="dxa"/>
            <w:vAlign w:val="center"/>
          </w:tcPr>
          <w:p>
            <w:pPr>
              <w:pStyle w:val="165"/>
              <w:keepNext/>
              <w:keepLines/>
              <w:pageBreakBefore w:val="0"/>
              <w:widowControl/>
              <w:wordWrap/>
              <w:topLinePunct w:val="0"/>
              <w:bidi w:val="0"/>
              <w:spacing w:line="400" w:lineRule="exact"/>
              <w:ind w:firstLine="0" w:firstLineChars="0"/>
              <w:jc w:val="both"/>
              <w:rPr>
                <w:rFonts w:ascii="宋体" w:hAnsi="宋体" w:eastAsia="宋体" w:cs="宋体"/>
                <w:sz w:val="21"/>
                <w:szCs w:val="21"/>
                <w:highlight w:val="none"/>
              </w:rPr>
            </w:pPr>
            <w:r>
              <w:rPr>
                <w:rFonts w:hint="eastAsia" w:ascii="宋体" w:hAnsi="宋体" w:eastAsia="宋体" w:cs="宋体"/>
                <w:sz w:val="21"/>
                <w:szCs w:val="21"/>
                <w:highlight w:val="none"/>
              </w:rPr>
              <w:t>银行帐号：</w:t>
            </w:r>
          </w:p>
        </w:tc>
        <w:tc>
          <w:tcPr>
            <w:tcW w:w="4850" w:type="dxa"/>
            <w:vAlign w:val="center"/>
          </w:tcPr>
          <w:p>
            <w:pPr>
              <w:pStyle w:val="165"/>
              <w:keepNext/>
              <w:keepLines/>
              <w:pageBreakBefore w:val="0"/>
              <w:widowControl/>
              <w:wordWrap/>
              <w:topLinePunct w:val="0"/>
              <w:bidi w:val="0"/>
              <w:spacing w:line="400" w:lineRule="exact"/>
              <w:ind w:firstLine="0" w:firstLineChars="0"/>
              <w:jc w:val="both"/>
              <w:rPr>
                <w:rFonts w:ascii="宋体" w:hAnsi="宋体" w:eastAsia="宋体" w:cs="宋体"/>
                <w:sz w:val="21"/>
                <w:szCs w:val="21"/>
                <w:highlight w:val="none"/>
              </w:rPr>
            </w:pPr>
            <w:r>
              <w:rPr>
                <w:rFonts w:hint="eastAsia" w:ascii="宋体" w:hAnsi="宋体" w:eastAsia="宋体" w:cs="宋体"/>
                <w:sz w:val="21"/>
                <w:szCs w:val="21"/>
                <w:highlight w:val="none"/>
              </w:rPr>
              <w:t>银行帐号：</w:t>
            </w:r>
          </w:p>
        </w:tc>
      </w:tr>
    </w:tbl>
    <w:p>
      <w:pPr>
        <w:keepNext/>
        <w:keepLines/>
        <w:pageBreakBefore w:val="0"/>
        <w:widowControl/>
        <w:wordWrap/>
        <w:topLinePunct w:val="0"/>
        <w:bidi w:val="0"/>
        <w:snapToGrid w:val="0"/>
        <w:spacing w:line="400" w:lineRule="exact"/>
        <w:rPr>
          <w:rFonts w:ascii="宋体" w:hAnsi="宋体" w:cs="宋体"/>
          <w:b/>
          <w:szCs w:val="21"/>
          <w:highlight w:val="none"/>
        </w:rPr>
      </w:pPr>
      <w:r>
        <w:rPr>
          <w:rFonts w:hint="eastAsia" w:ascii="宋体" w:hAnsi="宋体" w:cs="宋体"/>
          <w:b/>
          <w:szCs w:val="21"/>
          <w:highlight w:val="none"/>
        </w:rPr>
        <w:t>注：1.非法定代表人签署本合同时，需附法定代表人授权委托书。</w:t>
      </w:r>
    </w:p>
    <w:p>
      <w:pPr>
        <w:pStyle w:val="69"/>
        <w:keepNext/>
        <w:keepLines/>
        <w:pageBreakBefore w:val="0"/>
        <w:widowControl/>
        <w:wordWrap/>
        <w:topLinePunct w:val="0"/>
        <w:bidi w:val="0"/>
        <w:spacing w:line="400" w:lineRule="exact"/>
        <w:ind w:firstLine="422" w:firstLineChars="200"/>
        <w:rPr>
          <w:rFonts w:ascii="宋体" w:hAnsi="宋体" w:cs="宋体"/>
          <w:sz w:val="21"/>
          <w:szCs w:val="21"/>
          <w:highlight w:val="none"/>
        </w:rPr>
      </w:pPr>
      <w:r>
        <w:rPr>
          <w:rFonts w:hint="eastAsia" w:ascii="宋体" w:hAnsi="宋体" w:cs="宋体"/>
          <w:b/>
          <w:szCs w:val="21"/>
          <w:highlight w:val="none"/>
        </w:rPr>
        <w:t>2.本合同中已注明处、合同骑缝处及合同封面均需加盖单位公章。</w:t>
      </w:r>
    </w:p>
    <w:p>
      <w:pPr>
        <w:keepNext/>
        <w:keepLines/>
        <w:pageBreakBefore w:val="0"/>
        <w:widowControl/>
        <w:wordWrap/>
        <w:topLinePunct w:val="0"/>
        <w:bidi w:val="0"/>
        <w:snapToGrid w:val="0"/>
        <w:spacing w:line="400" w:lineRule="exact"/>
        <w:ind w:firstLine="422" w:firstLineChars="200"/>
        <w:rPr>
          <w:rFonts w:hint="eastAsia" w:hAnsi="宋体" w:eastAsia="宋体" w:cs="宋体"/>
          <w:highlight w:val="none"/>
          <w:lang w:val="en-US" w:eastAsia="zh-CN"/>
        </w:rPr>
      </w:pPr>
      <w:r>
        <w:rPr>
          <w:rFonts w:hint="eastAsia" w:ascii="宋体" w:hAnsi="宋体" w:cs="宋体"/>
          <w:b/>
          <w:szCs w:val="21"/>
          <w:highlight w:val="none"/>
        </w:rPr>
        <w:t>3.本合同后附合同附件</w:t>
      </w:r>
      <w:r>
        <w:rPr>
          <w:rFonts w:hint="eastAsia" w:ascii="宋体" w:hAnsi="宋体" w:cs="宋体"/>
          <w:b/>
          <w:szCs w:val="21"/>
          <w:highlight w:val="none"/>
          <w:lang w:eastAsia="zh-CN"/>
        </w:rPr>
        <w:t>。</w:t>
      </w:r>
    </w:p>
    <w:p>
      <w:pPr>
        <w:keepNext/>
        <w:keepLines/>
        <w:widowControl/>
        <w:snapToGrid w:val="0"/>
        <w:spacing w:line="400" w:lineRule="exact"/>
        <w:jc w:val="center"/>
        <w:outlineLvl w:val="0"/>
        <w:rPr>
          <w:rFonts w:hint="eastAsia" w:ascii="宋体" w:hAnsi="宋体" w:cs="Courier New"/>
          <w:b/>
          <w:bCs/>
          <w:sz w:val="36"/>
          <w:szCs w:val="36"/>
          <w:highlight w:val="none"/>
        </w:rPr>
      </w:pPr>
      <w:bookmarkStart w:id="90" w:name="_Hlk108025537"/>
    </w:p>
    <w:p>
      <w:pPr>
        <w:pStyle w:val="2"/>
        <w:rPr>
          <w:rFonts w:hint="eastAsia"/>
          <w:highlight w:val="none"/>
        </w:rPr>
      </w:pPr>
    </w:p>
    <w:p>
      <w:pPr>
        <w:keepNext/>
        <w:keepLines/>
        <w:widowControl/>
        <w:snapToGrid w:val="0"/>
        <w:spacing w:line="400" w:lineRule="exact"/>
        <w:jc w:val="center"/>
        <w:outlineLvl w:val="0"/>
        <w:rPr>
          <w:rFonts w:hint="eastAsia" w:ascii="宋体" w:hAnsi="宋体" w:cs="Courier New"/>
          <w:b/>
          <w:bCs/>
          <w:sz w:val="36"/>
          <w:szCs w:val="36"/>
          <w:highlight w:val="none"/>
        </w:rPr>
      </w:pPr>
    </w:p>
    <w:p>
      <w:pPr>
        <w:keepNext/>
        <w:keepLines/>
        <w:widowControl/>
        <w:snapToGrid w:val="0"/>
        <w:spacing w:line="400" w:lineRule="exact"/>
        <w:jc w:val="center"/>
        <w:outlineLvl w:val="0"/>
        <w:rPr>
          <w:rFonts w:ascii="宋体" w:hAnsi="宋体" w:cs="Courier New"/>
          <w:b/>
          <w:bCs/>
          <w:sz w:val="36"/>
          <w:szCs w:val="36"/>
          <w:highlight w:val="none"/>
        </w:rPr>
      </w:pPr>
      <w:r>
        <w:rPr>
          <w:rFonts w:hint="eastAsia" w:ascii="宋体" w:hAnsi="宋体" w:cs="Courier New"/>
          <w:b/>
          <w:bCs/>
          <w:sz w:val="36"/>
          <w:szCs w:val="36"/>
          <w:highlight w:val="none"/>
        </w:rPr>
        <w:t>第六章  评标办法及评分标准</w:t>
      </w:r>
    </w:p>
    <w:p>
      <w:pPr>
        <w:keepNext/>
        <w:keepLines/>
        <w:pageBreakBefore w:val="0"/>
        <w:widowControl/>
        <w:kinsoku/>
        <w:wordWrap/>
        <w:overflowPunct/>
        <w:topLinePunct w:val="0"/>
        <w:autoSpaceDE/>
        <w:autoSpaceDN/>
        <w:bidi w:val="0"/>
        <w:spacing w:line="400" w:lineRule="exact"/>
        <w:ind w:firstLine="422" w:firstLineChars="200"/>
        <w:textAlignment w:val="auto"/>
        <w:rPr>
          <w:rFonts w:hint="eastAsia" w:ascii="宋体" w:hAnsi="宋体"/>
          <w:b/>
          <w:highlight w:val="none"/>
        </w:rPr>
      </w:pPr>
      <w:r>
        <w:rPr>
          <w:rFonts w:hint="eastAsia" w:ascii="宋体" w:hAnsi="宋体"/>
          <w:b/>
          <w:highlight w:val="none"/>
        </w:rPr>
        <w:t>一、评标原则</w:t>
      </w:r>
    </w:p>
    <w:p>
      <w:pPr>
        <w:keepNext/>
        <w:keepLines/>
        <w:pageBreakBefore w:val="0"/>
        <w:widowControl/>
        <w:kinsoku/>
        <w:wordWrap/>
        <w:overflowPunct/>
        <w:topLinePunct w:val="0"/>
        <w:autoSpaceDE/>
        <w:autoSpaceDN/>
        <w:bidi w:val="0"/>
        <w:spacing w:line="400" w:lineRule="exact"/>
        <w:ind w:firstLine="420" w:firstLineChars="200"/>
        <w:textAlignment w:val="auto"/>
        <w:rPr>
          <w:rFonts w:hint="eastAsia" w:ascii="宋体" w:hAnsi="宋体"/>
          <w:highlight w:val="none"/>
        </w:rPr>
      </w:pPr>
      <w:r>
        <w:rPr>
          <w:rFonts w:hint="eastAsia" w:ascii="宋体" w:hAnsi="宋体"/>
          <w:highlight w:val="none"/>
        </w:rPr>
        <w:t>（一）评委构成：本招标项目的评委分别由依法组成的评审专家、</w:t>
      </w:r>
      <w:r>
        <w:rPr>
          <w:rFonts w:hint="eastAsia" w:ascii="宋体" w:hAnsi="宋体"/>
          <w:highlight w:val="none"/>
          <w:lang w:eastAsia="zh-CN"/>
        </w:rPr>
        <w:t>采购人</w:t>
      </w:r>
      <w:r>
        <w:rPr>
          <w:rFonts w:hint="eastAsia" w:ascii="宋体" w:hAnsi="宋体"/>
          <w:highlight w:val="none"/>
        </w:rPr>
        <w:t>代表共</w:t>
      </w:r>
      <w:r>
        <w:rPr>
          <w:rFonts w:hint="eastAsia" w:ascii="宋体" w:hAnsi="宋体"/>
          <w:highlight w:val="none"/>
          <w:lang w:eastAsia="zh-CN"/>
        </w:rPr>
        <w:t>三</w:t>
      </w:r>
      <w:r>
        <w:rPr>
          <w:rFonts w:hint="eastAsia" w:ascii="宋体" w:hAnsi="宋体"/>
          <w:highlight w:val="none"/>
        </w:rPr>
        <w:t xml:space="preserve">人构成，其中专家人数不少于成员总数的三分之二。 </w:t>
      </w:r>
    </w:p>
    <w:p>
      <w:pPr>
        <w:keepNext/>
        <w:keepLines/>
        <w:pageBreakBefore w:val="0"/>
        <w:widowControl/>
        <w:kinsoku/>
        <w:wordWrap/>
        <w:overflowPunct/>
        <w:topLinePunct w:val="0"/>
        <w:autoSpaceDE/>
        <w:autoSpaceDN/>
        <w:bidi w:val="0"/>
        <w:spacing w:line="400" w:lineRule="exact"/>
        <w:ind w:firstLine="420" w:firstLineChars="200"/>
        <w:textAlignment w:val="auto"/>
        <w:rPr>
          <w:rFonts w:hint="eastAsia" w:hAnsi="宋体"/>
          <w:bCs/>
          <w:highlight w:val="none"/>
        </w:rPr>
      </w:pPr>
      <w:r>
        <w:rPr>
          <w:rFonts w:hint="eastAsia" w:hAnsi="宋体"/>
          <w:bCs/>
          <w:highlight w:val="none"/>
        </w:rPr>
        <w:t>（二）评标依据及方式</w:t>
      </w:r>
    </w:p>
    <w:p>
      <w:pPr>
        <w:pStyle w:val="29"/>
        <w:keepNext/>
        <w:keepLines/>
        <w:pageBreakBefore w:val="0"/>
        <w:widowControl/>
        <w:kinsoku/>
        <w:wordWrap/>
        <w:overflowPunct/>
        <w:topLinePunct w:val="0"/>
        <w:autoSpaceDE/>
        <w:autoSpaceDN/>
        <w:bidi w:val="0"/>
        <w:spacing w:line="400" w:lineRule="exact"/>
        <w:ind w:firstLine="420" w:firstLineChars="200"/>
        <w:textAlignment w:val="auto"/>
        <w:rPr>
          <w:rFonts w:hint="eastAsia" w:hAnsi="宋体"/>
          <w:b w:val="0"/>
          <w:bCs w:val="0"/>
          <w:highlight w:val="none"/>
        </w:rPr>
      </w:pPr>
      <w:r>
        <w:rPr>
          <w:rFonts w:hint="eastAsia" w:hAnsi="宋体"/>
          <w:highlight w:val="none"/>
        </w:rPr>
        <w:t>1. 评标依据：评标委员会以招标文件和投标文件为评标</w:t>
      </w:r>
      <w:r>
        <w:rPr>
          <w:rFonts w:hint="eastAsia" w:hAnsi="宋体"/>
          <w:b w:val="0"/>
          <w:bCs w:val="0"/>
          <w:highlight w:val="none"/>
        </w:rPr>
        <w:t>依据，对投标人的投标报价、技术服务方案、</w:t>
      </w:r>
      <w:r>
        <w:rPr>
          <w:rFonts w:hint="eastAsia" w:hAnsi="宋体" w:cs="宋体"/>
          <w:b w:val="0"/>
          <w:bCs w:val="0"/>
          <w:color w:val="auto"/>
          <w:szCs w:val="21"/>
          <w:highlight w:val="none"/>
          <w:lang w:eastAsia="zh-CN"/>
        </w:rPr>
        <w:t>项目实施方案</w:t>
      </w:r>
      <w:r>
        <w:rPr>
          <w:rFonts w:hint="eastAsia" w:hAnsi="宋体"/>
          <w:b w:val="0"/>
          <w:bCs w:val="0"/>
          <w:highlight w:val="none"/>
        </w:rPr>
        <w:t>、</w:t>
      </w:r>
      <w:r>
        <w:rPr>
          <w:rFonts w:hint="eastAsia" w:hAnsi="宋体"/>
          <w:b w:val="0"/>
          <w:bCs w:val="0"/>
          <w:highlight w:val="none"/>
          <w:lang w:eastAsia="zh-CN"/>
        </w:rPr>
        <w:t>售后服务方案</w:t>
      </w:r>
      <w:r>
        <w:rPr>
          <w:rFonts w:hint="eastAsia" w:hAnsi="宋体"/>
          <w:b w:val="0"/>
          <w:bCs w:val="0"/>
          <w:highlight w:val="none"/>
        </w:rPr>
        <w:t>、</w:t>
      </w:r>
      <w:r>
        <w:rPr>
          <w:rFonts w:hint="eastAsia" w:hAnsi="宋体"/>
          <w:b w:val="0"/>
          <w:bCs w:val="0"/>
          <w:highlight w:val="none"/>
          <w:lang w:eastAsia="zh-CN"/>
        </w:rPr>
        <w:t>项目培训</w:t>
      </w:r>
      <w:r>
        <w:rPr>
          <w:rFonts w:hint="eastAsia" w:hAnsi="宋体"/>
          <w:b w:val="0"/>
          <w:bCs w:val="0"/>
          <w:highlight w:val="none"/>
        </w:rPr>
        <w:t>方案、</w:t>
      </w:r>
      <w:r>
        <w:rPr>
          <w:rFonts w:hint="eastAsia" w:ascii="宋体" w:hAnsi="宋体" w:cs="宋体"/>
          <w:color w:val="auto"/>
          <w:szCs w:val="21"/>
          <w:highlight w:val="none"/>
        </w:rPr>
        <w:t>拟投入项目团队</w:t>
      </w:r>
      <w:r>
        <w:rPr>
          <w:rFonts w:hint="eastAsia" w:hAnsi="宋体"/>
          <w:b w:val="0"/>
          <w:bCs w:val="0"/>
          <w:highlight w:val="none"/>
        </w:rPr>
        <w:t>、</w:t>
      </w:r>
      <w:r>
        <w:rPr>
          <w:rFonts w:hint="eastAsia" w:ascii="宋体" w:hAnsi="宋体" w:cs="宋体"/>
          <w:color w:val="auto"/>
          <w:szCs w:val="21"/>
          <w:highlight w:val="none"/>
        </w:rPr>
        <w:t>信誉能力</w:t>
      </w:r>
      <w:r>
        <w:rPr>
          <w:rFonts w:hint="eastAsia" w:hAnsi="宋体" w:cs="宋体"/>
          <w:color w:val="auto"/>
          <w:szCs w:val="21"/>
          <w:highlight w:val="none"/>
          <w:lang w:eastAsia="zh-CN"/>
        </w:rPr>
        <w:t>、</w:t>
      </w:r>
      <w:r>
        <w:rPr>
          <w:rFonts w:hint="eastAsia" w:hAnsi="宋体"/>
          <w:b w:val="0"/>
          <w:bCs w:val="0"/>
          <w:highlight w:val="none"/>
        </w:rPr>
        <w:t>经验</w:t>
      </w:r>
      <w:r>
        <w:rPr>
          <w:rFonts w:hint="eastAsia" w:hAnsi="宋体"/>
          <w:b w:val="0"/>
          <w:bCs w:val="0"/>
          <w:highlight w:val="none"/>
          <w:lang w:eastAsia="zh-CN"/>
        </w:rPr>
        <w:t>八</w:t>
      </w:r>
      <w:r>
        <w:rPr>
          <w:rFonts w:hint="eastAsia" w:hAnsi="宋体"/>
          <w:b w:val="0"/>
          <w:bCs w:val="0"/>
          <w:highlight w:val="none"/>
        </w:rPr>
        <w:t>个方面内容按百分制打分。</w:t>
      </w:r>
    </w:p>
    <w:p>
      <w:pPr>
        <w:pStyle w:val="29"/>
        <w:keepNext/>
        <w:keepLines/>
        <w:pageBreakBefore w:val="0"/>
        <w:widowControl/>
        <w:kinsoku/>
        <w:wordWrap/>
        <w:overflowPunct/>
        <w:topLinePunct w:val="0"/>
        <w:autoSpaceDE/>
        <w:autoSpaceDN/>
        <w:bidi w:val="0"/>
        <w:spacing w:line="400" w:lineRule="exact"/>
        <w:ind w:firstLine="420" w:firstLineChars="200"/>
        <w:textAlignment w:val="auto"/>
        <w:rPr>
          <w:rFonts w:hint="eastAsia" w:hAnsi="宋体"/>
          <w:highlight w:val="none"/>
        </w:rPr>
      </w:pPr>
      <w:r>
        <w:rPr>
          <w:rFonts w:hint="eastAsia" w:hAnsi="宋体"/>
          <w:highlight w:val="none"/>
        </w:rPr>
        <w:t>2. 评标方式：以封闭方式进行评标。</w:t>
      </w:r>
    </w:p>
    <w:p>
      <w:pPr>
        <w:pStyle w:val="29"/>
        <w:keepNext/>
        <w:keepLines/>
        <w:pageBreakBefore w:val="0"/>
        <w:widowControl/>
        <w:kinsoku/>
        <w:wordWrap/>
        <w:overflowPunct/>
        <w:topLinePunct w:val="0"/>
        <w:autoSpaceDE/>
        <w:autoSpaceDN/>
        <w:bidi w:val="0"/>
        <w:spacing w:line="400" w:lineRule="exact"/>
        <w:ind w:firstLine="422" w:firstLineChars="200"/>
        <w:textAlignment w:val="auto"/>
        <w:rPr>
          <w:rFonts w:hint="eastAsia" w:hAnsi="宋体"/>
          <w:b/>
          <w:bCs/>
          <w:highlight w:val="none"/>
        </w:rPr>
      </w:pPr>
      <w:r>
        <w:rPr>
          <w:rFonts w:hint="eastAsia" w:hAnsi="宋体"/>
          <w:b/>
          <w:bCs/>
          <w:highlight w:val="none"/>
        </w:rPr>
        <w:t>二、评标办法</w:t>
      </w:r>
    </w:p>
    <w:p>
      <w:pPr>
        <w:pStyle w:val="29"/>
        <w:keepNext/>
        <w:keepLines/>
        <w:pageBreakBefore w:val="0"/>
        <w:widowControl/>
        <w:kinsoku/>
        <w:wordWrap/>
        <w:overflowPunct/>
        <w:topLinePunct w:val="0"/>
        <w:autoSpaceDE/>
        <w:autoSpaceDN/>
        <w:bidi w:val="0"/>
        <w:spacing w:line="400" w:lineRule="exact"/>
        <w:ind w:firstLine="420" w:firstLineChars="200"/>
        <w:textAlignment w:val="auto"/>
        <w:rPr>
          <w:rFonts w:hint="eastAsia" w:hAnsi="宋体"/>
          <w:bCs/>
          <w:highlight w:val="none"/>
        </w:rPr>
      </w:pPr>
      <w:r>
        <w:rPr>
          <w:rFonts w:hint="eastAsia" w:hAnsi="宋体"/>
          <w:bCs/>
          <w:highlight w:val="none"/>
        </w:rPr>
        <w:t>（一）对进入详评的，采用综合评分法。</w:t>
      </w:r>
    </w:p>
    <w:p>
      <w:pPr>
        <w:pStyle w:val="29"/>
        <w:keepNext/>
        <w:keepLines/>
        <w:pageBreakBefore w:val="0"/>
        <w:widowControl/>
        <w:kinsoku/>
        <w:wordWrap/>
        <w:overflowPunct/>
        <w:topLinePunct w:val="0"/>
        <w:autoSpaceDE/>
        <w:autoSpaceDN/>
        <w:bidi w:val="0"/>
        <w:spacing w:line="400" w:lineRule="exact"/>
        <w:ind w:firstLine="420" w:firstLineChars="200"/>
        <w:textAlignment w:val="auto"/>
        <w:rPr>
          <w:rFonts w:hint="eastAsia" w:hAnsi="宋体"/>
          <w:bCs/>
          <w:highlight w:val="none"/>
        </w:rPr>
      </w:pPr>
      <w:r>
        <w:rPr>
          <w:rFonts w:hint="eastAsia" w:hAnsi="宋体"/>
          <w:bCs/>
          <w:highlight w:val="none"/>
        </w:rPr>
        <w:t>（二）计分办法（按四舍五入取至小数点后二位）</w:t>
      </w:r>
    </w:p>
    <w:tbl>
      <w:tblPr>
        <w:tblStyle w:val="58"/>
        <w:tblW w:w="9678"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680"/>
        <w:gridCol w:w="1103"/>
        <w:gridCol w:w="870"/>
        <w:gridCol w:w="702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0" w:hRule="atLeast"/>
          <w:jc w:val="center"/>
        </w:trPr>
        <w:tc>
          <w:tcPr>
            <w:tcW w:w="680" w:type="dxa"/>
            <w:tcBorders>
              <w:right w:val="single" w:color="auto" w:sz="4" w:space="0"/>
            </w:tcBorders>
            <w:shd w:val="clear" w:color="auto" w:fill="auto"/>
            <w:vAlign w:val="center"/>
          </w:tcPr>
          <w:p>
            <w:pPr>
              <w:spacing w:line="240" w:lineRule="exact"/>
              <w:jc w:val="center"/>
              <w:rPr>
                <w:rFonts w:ascii="宋体" w:hAnsi="宋体" w:cs="宋体"/>
                <w:color w:val="auto"/>
                <w:szCs w:val="21"/>
                <w:highlight w:val="none"/>
              </w:rPr>
            </w:pPr>
            <w:r>
              <w:rPr>
                <w:rFonts w:hint="eastAsia" w:ascii="宋体" w:hAnsi="宋体" w:cs="宋体"/>
                <w:color w:val="auto"/>
                <w:szCs w:val="21"/>
                <w:highlight w:val="none"/>
              </w:rPr>
              <w:t>序号</w:t>
            </w:r>
          </w:p>
        </w:tc>
        <w:tc>
          <w:tcPr>
            <w:tcW w:w="1103" w:type="dxa"/>
            <w:tcBorders>
              <w:left w:val="single" w:color="auto" w:sz="4" w:space="0"/>
            </w:tcBorders>
            <w:shd w:val="clear" w:color="auto" w:fill="auto"/>
            <w:vAlign w:val="center"/>
          </w:tcPr>
          <w:p>
            <w:pPr>
              <w:spacing w:line="240" w:lineRule="exact"/>
              <w:jc w:val="center"/>
              <w:rPr>
                <w:rFonts w:ascii="宋体" w:hAnsi="宋体" w:cs="宋体"/>
                <w:color w:val="auto"/>
                <w:szCs w:val="21"/>
                <w:highlight w:val="none"/>
              </w:rPr>
            </w:pPr>
            <w:r>
              <w:rPr>
                <w:rFonts w:hint="eastAsia" w:ascii="宋体" w:hAnsi="宋体" w:cs="宋体"/>
                <w:color w:val="auto"/>
                <w:szCs w:val="21"/>
                <w:highlight w:val="none"/>
              </w:rPr>
              <w:t>评标项目</w:t>
            </w:r>
          </w:p>
        </w:tc>
        <w:tc>
          <w:tcPr>
            <w:tcW w:w="870" w:type="dxa"/>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240" w:lineRule="exact"/>
              <w:ind w:left="-105" w:leftChars="-50" w:right="-105" w:rightChars="-50"/>
              <w:jc w:val="center"/>
              <w:textAlignment w:val="auto"/>
              <w:rPr>
                <w:rFonts w:ascii="宋体" w:hAnsi="宋体" w:cs="宋体"/>
                <w:color w:val="auto"/>
                <w:szCs w:val="21"/>
                <w:highlight w:val="none"/>
              </w:rPr>
            </w:pPr>
            <w:r>
              <w:rPr>
                <w:rFonts w:hint="eastAsia" w:ascii="宋体" w:hAnsi="宋体" w:cs="宋体"/>
                <w:color w:val="auto"/>
                <w:szCs w:val="21"/>
                <w:highlight w:val="none"/>
              </w:rPr>
              <w:t>评标分值</w:t>
            </w:r>
          </w:p>
        </w:tc>
        <w:tc>
          <w:tcPr>
            <w:tcW w:w="7025" w:type="dxa"/>
            <w:shd w:val="clear" w:color="auto" w:fill="auto"/>
            <w:vAlign w:val="center"/>
          </w:tcPr>
          <w:p>
            <w:pPr>
              <w:spacing w:line="240" w:lineRule="exact"/>
              <w:jc w:val="center"/>
              <w:rPr>
                <w:rFonts w:ascii="宋体" w:hAnsi="宋体" w:cs="宋体"/>
                <w:color w:val="auto"/>
                <w:szCs w:val="21"/>
                <w:highlight w:val="none"/>
              </w:rPr>
            </w:pPr>
            <w:r>
              <w:rPr>
                <w:rFonts w:hint="eastAsia" w:ascii="宋体" w:hAnsi="宋体" w:cs="宋体"/>
                <w:color w:val="auto"/>
                <w:szCs w:val="21"/>
                <w:highlight w:val="none"/>
              </w:rPr>
              <w:t>评标方法描述</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0" w:hRule="atLeast"/>
          <w:jc w:val="center"/>
        </w:trPr>
        <w:tc>
          <w:tcPr>
            <w:tcW w:w="680" w:type="dxa"/>
            <w:tcBorders>
              <w:right w:val="single" w:color="auto" w:sz="4" w:space="0"/>
            </w:tcBorders>
            <w:shd w:val="clear" w:color="auto" w:fill="auto"/>
            <w:vAlign w:val="center"/>
          </w:tcPr>
          <w:p>
            <w:pPr>
              <w:spacing w:line="240" w:lineRule="exact"/>
              <w:jc w:val="center"/>
              <w:rPr>
                <w:rFonts w:ascii="宋体" w:hAnsi="宋体" w:cs="宋体"/>
                <w:color w:val="auto"/>
                <w:szCs w:val="21"/>
                <w:highlight w:val="none"/>
              </w:rPr>
            </w:pPr>
            <w:r>
              <w:rPr>
                <w:rFonts w:hint="eastAsia" w:ascii="宋体" w:hAnsi="宋体" w:cs="宋体"/>
                <w:color w:val="auto"/>
                <w:szCs w:val="21"/>
                <w:highlight w:val="none"/>
              </w:rPr>
              <w:t>1</w:t>
            </w:r>
          </w:p>
        </w:tc>
        <w:tc>
          <w:tcPr>
            <w:tcW w:w="1103" w:type="dxa"/>
            <w:tcBorders>
              <w:left w:val="single" w:color="auto" w:sz="4" w:space="0"/>
            </w:tcBorders>
            <w:shd w:val="clear" w:color="auto" w:fill="auto"/>
            <w:vAlign w:val="center"/>
          </w:tcPr>
          <w:p>
            <w:pPr>
              <w:spacing w:line="240" w:lineRule="exact"/>
              <w:jc w:val="center"/>
              <w:rPr>
                <w:rFonts w:ascii="宋体" w:hAnsi="宋体" w:cs="宋体"/>
                <w:color w:val="auto"/>
                <w:szCs w:val="21"/>
                <w:highlight w:val="none"/>
              </w:rPr>
            </w:pPr>
            <w:r>
              <w:rPr>
                <w:rFonts w:hint="eastAsia" w:ascii="宋体" w:hAnsi="宋体" w:cs="宋体"/>
                <w:color w:val="auto"/>
                <w:szCs w:val="21"/>
                <w:highlight w:val="none"/>
              </w:rPr>
              <w:t>价格分</w:t>
            </w:r>
          </w:p>
        </w:tc>
        <w:tc>
          <w:tcPr>
            <w:tcW w:w="870" w:type="dxa"/>
            <w:shd w:val="clear" w:color="auto" w:fill="auto"/>
            <w:vAlign w:val="center"/>
          </w:tcPr>
          <w:p>
            <w:pPr>
              <w:spacing w:line="240" w:lineRule="exact"/>
              <w:jc w:val="center"/>
              <w:rPr>
                <w:rFonts w:ascii="宋体" w:hAnsi="宋体" w:cs="宋体"/>
                <w:color w:val="auto"/>
                <w:szCs w:val="21"/>
                <w:highlight w:val="none"/>
              </w:rPr>
            </w:pPr>
            <w:r>
              <w:rPr>
                <w:rFonts w:hint="eastAsia" w:ascii="宋体" w:hAnsi="宋体" w:cs="宋体"/>
                <w:color w:val="auto"/>
                <w:szCs w:val="21"/>
                <w:highlight w:val="none"/>
              </w:rPr>
              <w:t>10分</w:t>
            </w:r>
          </w:p>
        </w:tc>
        <w:tc>
          <w:tcPr>
            <w:tcW w:w="7025" w:type="dxa"/>
            <w:shd w:val="clear" w:color="auto" w:fill="auto"/>
            <w:vAlign w:val="center"/>
          </w:tcPr>
          <w:p>
            <w:pPr>
              <w:pStyle w:val="29"/>
              <w:keepNext w:val="0"/>
              <w:keepLines w:val="0"/>
              <w:adjustRightInd/>
              <w:snapToGrid/>
              <w:spacing w:line="340" w:lineRule="exact"/>
              <w:ind w:firstLine="420" w:firstLineChars="200"/>
              <w:jc w:val="left"/>
              <w:rPr>
                <w:rFonts w:hAnsi="宋体"/>
                <w:bCs/>
                <w:color w:val="auto"/>
                <w:highlight w:val="none"/>
              </w:rPr>
            </w:pPr>
            <w:r>
              <w:rPr>
                <w:rFonts w:hint="eastAsia" w:hAnsi="宋体"/>
                <w:bCs/>
                <w:color w:val="auto"/>
                <w:highlight w:val="none"/>
              </w:rPr>
              <w:t>（1）评标价为投标人的投标报价进行政策性扣除后的价格，评标价只是作为评标时使用。最终成交供应商的成交金额＝投标报价。</w:t>
            </w:r>
          </w:p>
          <w:p>
            <w:pPr>
              <w:pStyle w:val="29"/>
              <w:keepNext w:val="0"/>
              <w:keepLines w:val="0"/>
              <w:adjustRightInd/>
              <w:snapToGrid/>
              <w:spacing w:line="340" w:lineRule="exact"/>
              <w:ind w:firstLine="420" w:firstLineChars="200"/>
              <w:jc w:val="left"/>
              <w:rPr>
                <w:rFonts w:hAnsi="宋体"/>
                <w:color w:val="auto"/>
                <w:highlight w:val="none"/>
              </w:rPr>
            </w:pPr>
            <w:r>
              <w:rPr>
                <w:rFonts w:hint="eastAsia" w:hAnsi="宋体"/>
                <w:bCs/>
                <w:color w:val="auto"/>
                <w:highlight w:val="none"/>
              </w:rPr>
              <w:t>（2）</w:t>
            </w:r>
            <w:r>
              <w:rPr>
                <w:rFonts w:hint="eastAsia" w:hAnsi="宋体"/>
                <w:color w:val="auto"/>
                <w:highlight w:val="none"/>
              </w:rPr>
              <w:t>按照《广西壮族自治区财政厅关于贯彻落实政府采购支持中小企业发展政策的通知》（桂财采〔2022〕31号）精神，严格执行《政府采购促进中小企业发展管理办法》（财库[2020]46号）的规定，投标人划分为小型或微型企业的（按该办法中规定的格式提供《中小企业声明函》），对投标报价给予20%的扣除。</w:t>
            </w:r>
          </w:p>
          <w:p>
            <w:pPr>
              <w:pStyle w:val="29"/>
              <w:keepNext w:val="0"/>
              <w:keepLines w:val="0"/>
              <w:adjustRightInd/>
              <w:snapToGrid/>
              <w:spacing w:line="340" w:lineRule="exact"/>
              <w:ind w:firstLine="420" w:firstLineChars="200"/>
              <w:jc w:val="left"/>
              <w:rPr>
                <w:rFonts w:hAnsi="宋体"/>
                <w:bCs/>
                <w:color w:val="auto"/>
                <w:highlight w:val="none"/>
              </w:rPr>
            </w:pPr>
            <w:r>
              <w:rPr>
                <w:rFonts w:hint="eastAsia" w:hAnsi="宋体"/>
                <w:bCs/>
                <w:color w:val="auto"/>
                <w:highlight w:val="none"/>
              </w:rPr>
              <w:t>（3）按照《财政部、司法部关于政府采购支持监狱企业发展有关问题的通知》（财库〔2014〕68号）的规定，监狱企业视同小型、微型企业，享受预留份额、评审中价格扣除等促进中小企业发展的政府采购政策。监狱企业参加政府采购活动时，应当提供由省级以上监狱管理局、戒毒管理局(含新疆生产建设兵团)出具的属于监狱企业的证明文件。</w:t>
            </w:r>
          </w:p>
          <w:p>
            <w:pPr>
              <w:pStyle w:val="29"/>
              <w:keepNext w:val="0"/>
              <w:keepLines w:val="0"/>
              <w:adjustRightInd/>
              <w:snapToGrid/>
              <w:spacing w:line="340" w:lineRule="exact"/>
              <w:ind w:firstLine="420" w:firstLineChars="200"/>
              <w:jc w:val="left"/>
              <w:rPr>
                <w:rFonts w:hAnsi="宋体"/>
                <w:bCs/>
                <w:color w:val="auto"/>
                <w:highlight w:val="none"/>
              </w:rPr>
            </w:pPr>
            <w:r>
              <w:rPr>
                <w:rFonts w:hint="eastAsia" w:hAnsi="宋体"/>
                <w:bCs/>
                <w:color w:val="auto"/>
                <w:highlight w:val="none"/>
              </w:rPr>
              <w:t>（4）按照《关于促进残疾人就业政府采购政策的通知》（财库〔2017〕141号）的规定，残疾人福利性单位视同小型、微型企业，享受预留份额、评审中价格扣除等促进中小企业发展的政府采购政策。残疾人福利性单位参加政府采购活动时，应当提供该通知规定的《残疾人福利性单位声明函》，并对声明的真实性负责。残疾人福利性单位属于小型、微型企业的，不重复享受政策。</w:t>
            </w:r>
          </w:p>
          <w:p>
            <w:pPr>
              <w:pStyle w:val="29"/>
              <w:keepNext w:val="0"/>
              <w:keepLines w:val="0"/>
              <w:adjustRightInd/>
              <w:snapToGrid/>
              <w:spacing w:line="340" w:lineRule="exact"/>
              <w:ind w:firstLine="420" w:firstLineChars="200"/>
              <w:jc w:val="left"/>
              <w:rPr>
                <w:rFonts w:hAnsi="宋体"/>
                <w:bCs/>
                <w:color w:val="auto"/>
                <w:highlight w:val="none"/>
              </w:rPr>
            </w:pPr>
            <w:r>
              <w:rPr>
                <w:rFonts w:hint="eastAsia" w:hAnsi="宋体"/>
                <w:bCs/>
                <w:color w:val="auto"/>
                <w:highlight w:val="none"/>
              </w:rPr>
              <w:t>（5）政策性扣除计算方法：投标人承诺为监狱企业或残疾人福利性单位或小型微型企业的，该投标人的投标报价给予20%的扣除，扣除后的价格为评审价，即评审价=投标报价×（1-20%）；除上述情况外，评审价=投标报价。</w:t>
            </w:r>
          </w:p>
          <w:p>
            <w:pPr>
              <w:pStyle w:val="29"/>
              <w:keepNext w:val="0"/>
              <w:keepLines w:val="0"/>
              <w:spacing w:line="340" w:lineRule="exact"/>
              <w:ind w:firstLine="420" w:firstLineChars="200"/>
              <w:jc w:val="left"/>
              <w:outlineLvl w:val="0"/>
              <w:rPr>
                <w:rFonts w:hAnsi="宋体"/>
                <w:bCs/>
                <w:color w:val="auto"/>
                <w:highlight w:val="none"/>
              </w:rPr>
            </w:pPr>
            <w:r>
              <w:rPr>
                <w:rFonts w:hint="eastAsia" w:hAnsi="宋体"/>
                <w:bCs/>
                <w:color w:val="auto"/>
                <w:highlight w:val="none"/>
              </w:rPr>
              <w:t>（6）</w:t>
            </w:r>
            <w:r>
              <w:rPr>
                <w:rFonts w:hint="eastAsia" w:hAnsi="宋体"/>
                <w:color w:val="auto"/>
                <w:highlight w:val="none"/>
              </w:rPr>
              <w:t>满足磋商文件要求且评审价最低的评标报价为评标基准价。</w:t>
            </w:r>
          </w:p>
          <w:p>
            <w:pPr>
              <w:spacing w:line="340" w:lineRule="exact"/>
              <w:ind w:firstLine="420" w:firstLineChars="200"/>
              <w:jc w:val="left"/>
              <w:rPr>
                <w:rFonts w:ascii="宋体" w:hAnsi="宋体" w:cs="宋体"/>
                <w:color w:val="auto"/>
                <w:szCs w:val="21"/>
                <w:highlight w:val="none"/>
              </w:rPr>
            </w:pPr>
            <w:r>
              <w:rPr>
                <w:rFonts w:hint="eastAsia" w:hAnsi="宋体"/>
                <w:bCs/>
                <w:color w:val="auto"/>
                <w:highlight w:val="none"/>
              </w:rPr>
              <w:t>（7）价格</w:t>
            </w:r>
            <w:r>
              <w:rPr>
                <w:rFonts w:hint="eastAsia" w:ascii="宋体" w:hAnsi="宋体" w:cs="宋体"/>
                <w:bCs/>
                <w:color w:val="auto"/>
                <w:highlight w:val="none"/>
              </w:rPr>
              <w:t>分计算公式：</w:t>
            </w:r>
            <w:r>
              <w:rPr>
                <w:rFonts w:hint="eastAsia" w:ascii="宋体" w:hAnsi="宋体" w:cs="宋体"/>
                <w:color w:val="auto"/>
                <w:highlight w:val="none"/>
              </w:rPr>
              <w:t>某投标人价格分 =评标基准价（金额）/某投标人评审价（金额）×10分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0" w:hRule="atLeast"/>
          <w:jc w:val="center"/>
        </w:trPr>
        <w:tc>
          <w:tcPr>
            <w:tcW w:w="680" w:type="dxa"/>
            <w:tcBorders>
              <w:right w:val="single" w:color="auto" w:sz="4" w:space="0"/>
            </w:tcBorders>
            <w:shd w:val="clear" w:color="auto" w:fill="auto"/>
            <w:vAlign w:val="center"/>
          </w:tcPr>
          <w:p>
            <w:pPr>
              <w:spacing w:line="240" w:lineRule="exact"/>
              <w:jc w:val="center"/>
              <w:rPr>
                <w:rFonts w:ascii="宋体" w:hAnsi="宋体" w:cs="宋体"/>
                <w:color w:val="auto"/>
                <w:szCs w:val="21"/>
                <w:highlight w:val="none"/>
              </w:rPr>
            </w:pPr>
            <w:r>
              <w:rPr>
                <w:rFonts w:hint="eastAsia" w:ascii="宋体" w:hAnsi="宋体" w:cs="宋体"/>
                <w:color w:val="auto"/>
                <w:szCs w:val="21"/>
                <w:highlight w:val="none"/>
              </w:rPr>
              <w:t>2</w:t>
            </w:r>
          </w:p>
        </w:tc>
        <w:tc>
          <w:tcPr>
            <w:tcW w:w="1103" w:type="dxa"/>
            <w:tcBorders>
              <w:left w:val="single" w:color="auto" w:sz="4" w:space="0"/>
            </w:tcBorders>
            <w:shd w:val="clear" w:color="auto" w:fill="auto"/>
            <w:vAlign w:val="center"/>
          </w:tcPr>
          <w:p>
            <w:pPr>
              <w:spacing w:line="240" w:lineRule="exact"/>
              <w:jc w:val="center"/>
              <w:rPr>
                <w:rFonts w:ascii="宋体" w:hAnsi="宋体" w:cs="宋体"/>
                <w:color w:val="auto"/>
                <w:szCs w:val="21"/>
                <w:highlight w:val="none"/>
              </w:rPr>
            </w:pPr>
            <w:r>
              <w:rPr>
                <w:rFonts w:hint="eastAsia" w:ascii="宋体" w:hAnsi="宋体" w:cs="宋体"/>
                <w:color w:val="auto"/>
                <w:szCs w:val="21"/>
                <w:highlight w:val="none"/>
              </w:rPr>
              <w:t>技术方案分</w:t>
            </w:r>
          </w:p>
        </w:tc>
        <w:tc>
          <w:tcPr>
            <w:tcW w:w="870" w:type="dxa"/>
            <w:shd w:val="clear" w:color="auto" w:fill="auto"/>
            <w:vAlign w:val="center"/>
          </w:tcPr>
          <w:p>
            <w:pPr>
              <w:spacing w:line="240" w:lineRule="exact"/>
              <w:jc w:val="center"/>
              <w:rPr>
                <w:rFonts w:ascii="宋体" w:hAnsi="宋体" w:cs="宋体"/>
                <w:color w:val="auto"/>
                <w:szCs w:val="21"/>
                <w:highlight w:val="none"/>
              </w:rPr>
            </w:pPr>
            <w:r>
              <w:rPr>
                <w:rFonts w:hint="eastAsia" w:ascii="宋体" w:hAnsi="宋体" w:cs="宋体"/>
                <w:color w:val="auto"/>
                <w:szCs w:val="21"/>
                <w:highlight w:val="none"/>
                <w:lang w:val="en-US" w:eastAsia="zh-CN"/>
              </w:rPr>
              <w:t>2</w:t>
            </w:r>
            <w:r>
              <w:rPr>
                <w:rFonts w:hint="eastAsia" w:ascii="宋体" w:hAnsi="宋体" w:cs="宋体"/>
                <w:color w:val="auto"/>
                <w:szCs w:val="21"/>
                <w:highlight w:val="none"/>
              </w:rPr>
              <w:t>5分</w:t>
            </w:r>
          </w:p>
        </w:tc>
        <w:tc>
          <w:tcPr>
            <w:tcW w:w="7025" w:type="dxa"/>
            <w:shd w:val="clear" w:color="auto" w:fill="auto"/>
            <w:vAlign w:val="center"/>
          </w:tcPr>
          <w:p>
            <w:pPr>
              <w:spacing w:line="340" w:lineRule="exact"/>
              <w:ind w:left="420" w:leftChars="200"/>
              <w:rPr>
                <w:rFonts w:ascii="宋体" w:hAnsi="宋体" w:cs="宋体"/>
                <w:color w:val="auto"/>
                <w:szCs w:val="21"/>
                <w:highlight w:val="none"/>
                <w:lang w:bidi="ar"/>
              </w:rPr>
            </w:pPr>
            <w:r>
              <w:rPr>
                <w:rFonts w:hint="eastAsia" w:ascii="宋体" w:hAnsi="宋体" w:cs="宋体"/>
                <w:color w:val="auto"/>
                <w:kern w:val="0"/>
                <w:szCs w:val="21"/>
                <w:highlight w:val="none"/>
              </w:rPr>
              <w:t>一档</w:t>
            </w:r>
            <w:r>
              <w:rPr>
                <w:rFonts w:hint="eastAsia" w:ascii="宋体" w:hAnsi="宋体" w:cs="宋体"/>
                <w:color w:val="auto"/>
                <w:szCs w:val="21"/>
                <w:highlight w:val="none"/>
                <w:lang w:bidi="ar"/>
              </w:rPr>
              <w:t>（0分）：</w:t>
            </w:r>
            <w:r>
              <w:rPr>
                <w:rFonts w:hint="eastAsia" w:ascii="宋体" w:hAnsi="宋体" w:cs="宋体"/>
                <w:color w:val="auto"/>
                <w:szCs w:val="21"/>
                <w:highlight w:val="none"/>
                <w:lang w:eastAsia="zh-CN" w:bidi="ar"/>
              </w:rPr>
              <w:t>技术</w:t>
            </w:r>
            <w:r>
              <w:rPr>
                <w:rFonts w:hint="eastAsia" w:ascii="宋体" w:hAnsi="宋体" w:cs="宋体"/>
                <w:color w:val="auto"/>
                <w:szCs w:val="21"/>
                <w:highlight w:val="none"/>
                <w:lang w:bidi="ar"/>
              </w:rPr>
              <w:t>方案不完整，不能准确地</w:t>
            </w:r>
            <w:r>
              <w:rPr>
                <w:rFonts w:hint="eastAsia" w:hAnsi="宋体"/>
                <w:color w:val="auto"/>
                <w:highlight w:val="none"/>
              </w:rPr>
              <w:t>理解</w:t>
            </w:r>
            <w:r>
              <w:rPr>
                <w:rFonts w:hint="eastAsia" w:hAnsi="宋体"/>
                <w:color w:val="auto"/>
                <w:highlight w:val="none"/>
                <w:lang w:eastAsia="zh-CN"/>
              </w:rPr>
              <w:t>和</w:t>
            </w:r>
            <w:r>
              <w:rPr>
                <w:rFonts w:hint="eastAsia" w:ascii="宋体" w:hAnsi="宋体" w:cs="宋体"/>
                <w:color w:val="auto"/>
                <w:szCs w:val="21"/>
                <w:highlight w:val="none"/>
                <w:lang w:bidi="ar"/>
              </w:rPr>
              <w:t>满足本项目的需求。</w:t>
            </w:r>
          </w:p>
          <w:p>
            <w:pPr>
              <w:spacing w:line="340" w:lineRule="exact"/>
              <w:ind w:left="0" w:leftChars="0" w:firstLine="420" w:firstLineChars="200"/>
              <w:rPr>
                <w:rFonts w:ascii="宋体" w:hAnsi="宋体" w:cs="宋体"/>
                <w:color w:val="auto"/>
                <w:szCs w:val="21"/>
                <w:highlight w:val="none"/>
                <w:lang w:bidi="ar"/>
              </w:rPr>
            </w:pPr>
            <w:r>
              <w:rPr>
                <w:rFonts w:hint="eastAsia" w:ascii="宋体" w:hAnsi="宋体" w:cs="宋体"/>
                <w:color w:val="auto"/>
                <w:szCs w:val="21"/>
                <w:highlight w:val="none"/>
                <w:lang w:bidi="ar"/>
              </w:rPr>
              <w:t>二档（</w:t>
            </w:r>
            <w:r>
              <w:rPr>
                <w:rFonts w:hint="eastAsia" w:ascii="宋体" w:hAnsi="宋体" w:cs="宋体"/>
                <w:color w:val="auto"/>
                <w:szCs w:val="21"/>
                <w:highlight w:val="none"/>
                <w:lang w:val="en-US" w:eastAsia="zh-CN" w:bidi="ar"/>
              </w:rPr>
              <w:t>8</w:t>
            </w:r>
            <w:r>
              <w:rPr>
                <w:rFonts w:hint="eastAsia" w:ascii="宋体" w:hAnsi="宋体" w:cs="宋体"/>
                <w:color w:val="auto"/>
                <w:szCs w:val="21"/>
                <w:highlight w:val="none"/>
                <w:lang w:bidi="ar"/>
              </w:rPr>
              <w:t>分）：</w:t>
            </w:r>
            <w:r>
              <w:rPr>
                <w:rFonts w:hint="eastAsia" w:ascii="宋体" w:hAnsi="宋体" w:cs="宋体"/>
                <w:color w:val="auto"/>
                <w:szCs w:val="21"/>
                <w:highlight w:val="none"/>
                <w:lang w:eastAsia="zh-CN" w:bidi="ar"/>
              </w:rPr>
              <w:t>技术</w:t>
            </w:r>
            <w:r>
              <w:rPr>
                <w:rFonts w:hint="eastAsia" w:ascii="宋体" w:hAnsi="宋体" w:cs="宋体"/>
                <w:color w:val="auto"/>
                <w:szCs w:val="21"/>
                <w:highlight w:val="none"/>
                <w:lang w:bidi="ar"/>
              </w:rPr>
              <w:t>方案对项目需求均有响应，基本满足项目需求，但内容</w:t>
            </w:r>
            <w:r>
              <w:rPr>
                <w:rFonts w:hint="eastAsia" w:ascii="宋体" w:hAnsi="宋体" w:cs="宋体"/>
                <w:color w:val="auto"/>
                <w:szCs w:val="21"/>
                <w:highlight w:val="none"/>
                <w:lang w:eastAsia="zh-CN" w:bidi="ar"/>
              </w:rPr>
              <w:t>简单，</w:t>
            </w:r>
            <w:r>
              <w:rPr>
                <w:rFonts w:hint="eastAsia" w:ascii="宋体" w:hAnsi="宋体" w:cs="宋体"/>
                <w:color w:val="auto"/>
                <w:szCs w:val="21"/>
                <w:highlight w:val="none"/>
                <w:lang w:bidi="ar"/>
              </w:rPr>
              <w:t>论述一般。</w:t>
            </w:r>
          </w:p>
          <w:p>
            <w:pPr>
              <w:spacing w:line="340" w:lineRule="exact"/>
              <w:ind w:firstLine="420" w:firstLineChars="200"/>
              <w:rPr>
                <w:rFonts w:ascii="宋体" w:hAnsi="宋体" w:cs="宋体"/>
                <w:color w:val="auto"/>
                <w:szCs w:val="21"/>
                <w:highlight w:val="none"/>
                <w:lang w:bidi="ar"/>
              </w:rPr>
            </w:pPr>
            <w:r>
              <w:rPr>
                <w:rFonts w:hint="eastAsia" w:ascii="宋体" w:hAnsi="宋体" w:cs="宋体"/>
                <w:color w:val="auto"/>
                <w:szCs w:val="21"/>
                <w:highlight w:val="none"/>
                <w:lang w:bidi="ar"/>
              </w:rPr>
              <w:t>三档（1</w:t>
            </w:r>
            <w:r>
              <w:rPr>
                <w:rFonts w:hint="eastAsia" w:ascii="宋体" w:hAnsi="宋体" w:cs="宋体"/>
                <w:color w:val="auto"/>
                <w:szCs w:val="21"/>
                <w:highlight w:val="none"/>
                <w:lang w:val="en-US" w:eastAsia="zh-CN" w:bidi="ar"/>
              </w:rPr>
              <w:t>7</w:t>
            </w:r>
            <w:r>
              <w:rPr>
                <w:rFonts w:hint="eastAsia" w:ascii="宋体" w:hAnsi="宋体" w:cs="宋体"/>
                <w:color w:val="auto"/>
                <w:szCs w:val="21"/>
                <w:highlight w:val="none"/>
                <w:lang w:bidi="ar"/>
              </w:rPr>
              <w:t>分）：能针对广西壮族自治区海洋环境监测中心站环境监测数据综合分析系统的现状、存在问题以及本次升级改造建设目标进行分析</w:t>
            </w:r>
            <w:r>
              <w:rPr>
                <w:rFonts w:hint="eastAsia" w:ascii="宋体" w:hAnsi="宋体" w:cs="宋体"/>
                <w:color w:val="auto"/>
                <w:szCs w:val="21"/>
                <w:highlight w:val="none"/>
                <w:lang w:eastAsia="zh-CN" w:bidi="ar"/>
              </w:rPr>
              <w:t>；</w:t>
            </w:r>
            <w:r>
              <w:rPr>
                <w:rFonts w:hint="eastAsia" w:ascii="宋体" w:hAnsi="宋体" w:cs="宋体"/>
                <w:color w:val="auto"/>
                <w:szCs w:val="21"/>
                <w:highlight w:val="none"/>
                <w:lang w:bidi="ar"/>
              </w:rPr>
              <w:t>总体设计方案较完整详细，有总体目标，有具体的设计内容、有设计特点</w:t>
            </w:r>
            <w:r>
              <w:rPr>
                <w:rFonts w:hint="eastAsia" w:ascii="宋体" w:hAnsi="宋体" w:cs="宋体"/>
                <w:color w:val="auto"/>
                <w:szCs w:val="21"/>
                <w:highlight w:val="none"/>
                <w:lang w:eastAsia="zh-CN" w:bidi="ar"/>
              </w:rPr>
              <w:t>；</w:t>
            </w:r>
            <w:r>
              <w:rPr>
                <w:rFonts w:hint="eastAsia" w:ascii="宋体" w:hAnsi="宋体" w:cs="宋体"/>
                <w:b w:val="0"/>
                <w:bCs w:val="0"/>
                <w:color w:val="auto"/>
                <w:kern w:val="0"/>
                <w:szCs w:val="21"/>
                <w:highlight w:val="none"/>
              </w:rPr>
              <w:t>系统功能设计</w:t>
            </w:r>
            <w:r>
              <w:rPr>
                <w:rFonts w:hint="eastAsia" w:ascii="宋体" w:hAnsi="宋体" w:cs="宋体"/>
                <w:color w:val="auto"/>
                <w:szCs w:val="21"/>
                <w:highlight w:val="none"/>
                <w:lang w:bidi="ar"/>
              </w:rPr>
              <w:t>方案能针对实验室管理系统功能升级、海洋环境监测数据综合管理系统升级、综合业务管理模块升级、移动监测APP、系统集成、国产化适配要求相关系统功能设计方案的功能逐项进行响应，图文描述情况较理想，综合评价为良。</w:t>
            </w:r>
          </w:p>
          <w:p>
            <w:pPr>
              <w:spacing w:line="340" w:lineRule="exact"/>
              <w:ind w:firstLine="420" w:firstLineChars="200"/>
              <w:jc w:val="left"/>
              <w:rPr>
                <w:rFonts w:ascii="宋体" w:hAnsi="宋体" w:cs="宋体"/>
                <w:color w:val="auto"/>
                <w:szCs w:val="21"/>
                <w:highlight w:val="none"/>
              </w:rPr>
            </w:pPr>
            <w:r>
              <w:rPr>
                <w:rFonts w:hint="eastAsia" w:ascii="宋体" w:hAnsi="宋体" w:cs="宋体"/>
                <w:color w:val="auto"/>
                <w:szCs w:val="21"/>
                <w:highlight w:val="none"/>
                <w:lang w:bidi="ar"/>
              </w:rPr>
              <w:t>四档（2</w:t>
            </w:r>
            <w:r>
              <w:rPr>
                <w:rFonts w:hint="eastAsia" w:ascii="宋体" w:hAnsi="宋体" w:cs="宋体"/>
                <w:color w:val="auto"/>
                <w:szCs w:val="21"/>
                <w:highlight w:val="none"/>
                <w:lang w:val="en-US" w:eastAsia="zh-CN" w:bidi="ar"/>
              </w:rPr>
              <w:t>5</w:t>
            </w:r>
            <w:r>
              <w:rPr>
                <w:rFonts w:hint="eastAsia" w:ascii="宋体" w:hAnsi="宋体" w:cs="宋体"/>
                <w:color w:val="auto"/>
                <w:szCs w:val="21"/>
                <w:highlight w:val="none"/>
                <w:lang w:bidi="ar"/>
              </w:rPr>
              <w:t>分）：在满足三档的基础上，</w:t>
            </w:r>
            <w:r>
              <w:rPr>
                <w:rFonts w:hint="eastAsia" w:ascii="宋体" w:hAnsi="宋体" w:cs="宋体"/>
                <w:color w:val="auto"/>
                <w:szCs w:val="21"/>
                <w:highlight w:val="none"/>
                <w:lang w:eastAsia="zh-CN" w:bidi="ar"/>
              </w:rPr>
              <w:t>对项目</w:t>
            </w:r>
            <w:r>
              <w:rPr>
                <w:rFonts w:hint="eastAsia" w:ascii="宋体" w:hAnsi="宋体" w:cs="宋体"/>
                <w:color w:val="auto"/>
                <w:szCs w:val="21"/>
                <w:highlight w:val="none"/>
                <w:lang w:bidi="ar"/>
              </w:rPr>
              <w:t>需求分析理解透彻、逻辑清晰、针对性强</w:t>
            </w:r>
            <w:r>
              <w:rPr>
                <w:rFonts w:hint="eastAsia" w:ascii="宋体" w:hAnsi="宋体" w:cs="宋体"/>
                <w:color w:val="auto"/>
                <w:szCs w:val="21"/>
                <w:highlight w:val="none"/>
                <w:lang w:eastAsia="zh-CN" w:bidi="ar"/>
              </w:rPr>
              <w:t>；</w:t>
            </w:r>
            <w:r>
              <w:rPr>
                <w:rFonts w:hint="eastAsia" w:ascii="宋体" w:hAnsi="宋体" w:cs="宋体"/>
                <w:color w:val="auto"/>
                <w:szCs w:val="21"/>
                <w:highlight w:val="none"/>
                <w:lang w:bidi="ar"/>
              </w:rPr>
              <w:t>总体设计架构</w:t>
            </w:r>
            <w:r>
              <w:rPr>
                <w:rFonts w:hint="eastAsia" w:ascii="宋体" w:hAnsi="宋体" w:cs="宋体"/>
                <w:color w:val="auto"/>
                <w:szCs w:val="21"/>
                <w:highlight w:val="none"/>
                <w:lang w:eastAsia="zh-CN" w:bidi="ar"/>
              </w:rPr>
              <w:t>有</w:t>
            </w:r>
            <w:r>
              <w:rPr>
                <w:rFonts w:hint="eastAsia" w:ascii="宋体" w:hAnsi="宋体" w:cs="宋体"/>
                <w:color w:val="auto"/>
                <w:szCs w:val="21"/>
                <w:highlight w:val="none"/>
                <w:lang w:bidi="ar"/>
              </w:rPr>
              <w:t>重点、特点、亮点，采用</w:t>
            </w:r>
            <w:r>
              <w:rPr>
                <w:rFonts w:hint="eastAsia" w:ascii="宋体" w:hAnsi="宋体" w:cs="宋体"/>
                <w:color w:val="auto"/>
                <w:szCs w:val="21"/>
                <w:highlight w:val="none"/>
                <w:lang w:eastAsia="zh-CN" w:bidi="ar"/>
              </w:rPr>
              <w:t>的</w:t>
            </w:r>
            <w:r>
              <w:rPr>
                <w:rFonts w:hint="eastAsia" w:ascii="宋体" w:hAnsi="宋体" w:cs="宋体"/>
                <w:color w:val="auto"/>
                <w:szCs w:val="21"/>
                <w:highlight w:val="none"/>
                <w:lang w:bidi="ar"/>
              </w:rPr>
              <w:t>技术路线先进可行</w:t>
            </w:r>
            <w:r>
              <w:rPr>
                <w:rFonts w:hint="eastAsia" w:ascii="宋体" w:hAnsi="宋体" w:cs="宋体"/>
                <w:color w:val="auto"/>
                <w:szCs w:val="21"/>
                <w:highlight w:val="none"/>
                <w:lang w:eastAsia="zh-CN" w:bidi="ar"/>
              </w:rPr>
              <w:t>；系统</w:t>
            </w:r>
            <w:r>
              <w:rPr>
                <w:rFonts w:hint="eastAsia" w:ascii="宋体" w:hAnsi="宋体" w:cs="宋体"/>
                <w:color w:val="auto"/>
                <w:szCs w:val="21"/>
                <w:highlight w:val="none"/>
                <w:lang w:bidi="ar"/>
              </w:rPr>
              <w:t>功能响应齐全，设计内容描述全面、合理、切合工作实际、针对性强，阐述条理性强，图文齐全，完全满足项目需求，综合评价为优。</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485" w:hRule="atLeast"/>
          <w:jc w:val="center"/>
        </w:trPr>
        <w:tc>
          <w:tcPr>
            <w:tcW w:w="680" w:type="dxa"/>
            <w:tcBorders>
              <w:right w:val="single" w:color="auto" w:sz="4" w:space="0"/>
            </w:tcBorders>
            <w:shd w:val="clear" w:color="auto" w:fill="auto"/>
            <w:vAlign w:val="center"/>
          </w:tcPr>
          <w:p>
            <w:pPr>
              <w:spacing w:line="240" w:lineRule="exact"/>
              <w:jc w:val="center"/>
              <w:rPr>
                <w:rFonts w:ascii="宋体" w:hAnsi="宋体" w:cs="宋体"/>
                <w:color w:val="auto"/>
                <w:szCs w:val="21"/>
                <w:highlight w:val="none"/>
              </w:rPr>
            </w:pPr>
            <w:r>
              <w:rPr>
                <w:rFonts w:hint="eastAsia" w:ascii="宋体" w:hAnsi="宋体" w:cs="宋体"/>
                <w:color w:val="auto"/>
                <w:szCs w:val="21"/>
                <w:highlight w:val="none"/>
              </w:rPr>
              <w:t>3</w:t>
            </w:r>
          </w:p>
        </w:tc>
        <w:tc>
          <w:tcPr>
            <w:tcW w:w="1103" w:type="dxa"/>
            <w:tcBorders>
              <w:left w:val="single" w:color="auto" w:sz="4" w:space="0"/>
            </w:tcBorders>
            <w:shd w:val="clear" w:color="auto" w:fill="auto"/>
            <w:vAlign w:val="center"/>
          </w:tcPr>
          <w:p>
            <w:pPr>
              <w:spacing w:line="240" w:lineRule="exact"/>
              <w:jc w:val="center"/>
              <w:rPr>
                <w:rFonts w:ascii="宋体" w:hAnsi="宋体" w:cs="宋体"/>
                <w:color w:val="auto"/>
                <w:szCs w:val="21"/>
                <w:highlight w:val="none"/>
              </w:rPr>
            </w:pPr>
            <w:r>
              <w:rPr>
                <w:rFonts w:hint="eastAsia" w:ascii="宋体" w:hAnsi="宋体" w:cs="宋体"/>
                <w:color w:val="auto"/>
                <w:szCs w:val="21"/>
                <w:highlight w:val="none"/>
              </w:rPr>
              <w:t>项目实施方案分</w:t>
            </w:r>
          </w:p>
        </w:tc>
        <w:tc>
          <w:tcPr>
            <w:tcW w:w="870" w:type="dxa"/>
            <w:shd w:val="clear" w:color="auto" w:fill="auto"/>
            <w:vAlign w:val="center"/>
          </w:tcPr>
          <w:p>
            <w:pPr>
              <w:spacing w:line="240" w:lineRule="exact"/>
              <w:jc w:val="center"/>
              <w:rPr>
                <w:rFonts w:ascii="宋体" w:hAnsi="宋体" w:cs="宋体"/>
                <w:color w:val="auto"/>
                <w:szCs w:val="21"/>
                <w:highlight w:val="none"/>
              </w:rPr>
            </w:pPr>
            <w:r>
              <w:rPr>
                <w:rFonts w:hint="eastAsia" w:ascii="宋体" w:hAnsi="宋体" w:cs="宋体"/>
                <w:color w:val="auto"/>
                <w:szCs w:val="21"/>
                <w:highlight w:val="none"/>
                <w:lang w:val="en-US" w:eastAsia="zh-CN"/>
              </w:rPr>
              <w:t>7</w:t>
            </w:r>
            <w:r>
              <w:rPr>
                <w:rFonts w:hint="eastAsia" w:ascii="宋体" w:hAnsi="宋体" w:cs="宋体"/>
                <w:color w:val="auto"/>
                <w:szCs w:val="21"/>
                <w:highlight w:val="none"/>
              </w:rPr>
              <w:t>分</w:t>
            </w:r>
          </w:p>
        </w:tc>
        <w:tc>
          <w:tcPr>
            <w:tcW w:w="7025" w:type="dxa"/>
            <w:shd w:val="clear" w:color="auto" w:fill="auto"/>
            <w:vAlign w:val="center"/>
          </w:tcPr>
          <w:p>
            <w:pPr>
              <w:spacing w:line="340" w:lineRule="exact"/>
              <w:ind w:firstLine="420" w:firstLineChars="200"/>
              <w:rPr>
                <w:rFonts w:ascii="宋体" w:hAnsi="宋体" w:cs="宋体"/>
                <w:color w:val="auto"/>
                <w:szCs w:val="21"/>
                <w:highlight w:val="none"/>
                <w:lang w:bidi="ar"/>
              </w:rPr>
            </w:pPr>
            <w:r>
              <w:rPr>
                <w:rFonts w:hint="eastAsia" w:ascii="宋体" w:hAnsi="宋体" w:cs="宋体"/>
                <w:color w:val="auto"/>
                <w:szCs w:val="21"/>
                <w:highlight w:val="none"/>
                <w:lang w:bidi="ar"/>
              </w:rPr>
              <w:t>一档（0分）：提供了项目实施方案，但不能满足本项目的需求。</w:t>
            </w:r>
          </w:p>
          <w:p>
            <w:pPr>
              <w:spacing w:line="340" w:lineRule="exact"/>
              <w:ind w:firstLine="420" w:firstLineChars="200"/>
              <w:rPr>
                <w:rFonts w:ascii="宋体" w:hAnsi="宋体" w:cs="宋体"/>
                <w:color w:val="auto"/>
                <w:szCs w:val="21"/>
                <w:highlight w:val="none"/>
                <w:lang w:bidi="ar"/>
              </w:rPr>
            </w:pPr>
            <w:r>
              <w:rPr>
                <w:rFonts w:hint="eastAsia" w:ascii="宋体" w:hAnsi="宋体" w:cs="宋体"/>
                <w:color w:val="auto"/>
                <w:szCs w:val="21"/>
                <w:highlight w:val="none"/>
                <w:lang w:bidi="ar"/>
              </w:rPr>
              <w:t>二档（</w:t>
            </w:r>
            <w:r>
              <w:rPr>
                <w:rFonts w:hint="eastAsia" w:ascii="宋体" w:hAnsi="宋体" w:cs="宋体"/>
                <w:color w:val="auto"/>
                <w:szCs w:val="21"/>
                <w:highlight w:val="none"/>
                <w:lang w:val="en-US" w:eastAsia="zh-CN" w:bidi="ar"/>
              </w:rPr>
              <w:t>2</w:t>
            </w:r>
            <w:r>
              <w:rPr>
                <w:rFonts w:hint="eastAsia" w:ascii="宋体" w:hAnsi="宋体" w:cs="宋体"/>
                <w:color w:val="auto"/>
                <w:szCs w:val="21"/>
                <w:highlight w:val="none"/>
                <w:lang w:bidi="ar"/>
              </w:rPr>
              <w:t>分）：实施方案简单，体系架构不完善，但基本合理可行。</w:t>
            </w:r>
          </w:p>
          <w:p>
            <w:pPr>
              <w:spacing w:line="340" w:lineRule="exact"/>
              <w:ind w:firstLine="420" w:firstLineChars="200"/>
              <w:rPr>
                <w:rFonts w:ascii="宋体" w:hAnsi="宋体" w:cs="宋体"/>
                <w:color w:val="auto"/>
                <w:szCs w:val="21"/>
                <w:highlight w:val="none"/>
                <w:lang w:bidi="ar"/>
              </w:rPr>
            </w:pPr>
            <w:r>
              <w:rPr>
                <w:rFonts w:hint="eastAsia" w:ascii="宋体" w:hAnsi="宋体" w:cs="宋体"/>
                <w:color w:val="auto"/>
                <w:szCs w:val="21"/>
                <w:highlight w:val="none"/>
                <w:lang w:bidi="ar"/>
              </w:rPr>
              <w:t>三档（</w:t>
            </w:r>
            <w:r>
              <w:rPr>
                <w:rFonts w:hint="eastAsia" w:ascii="宋体" w:hAnsi="宋体" w:cs="宋体"/>
                <w:color w:val="auto"/>
                <w:szCs w:val="21"/>
                <w:highlight w:val="none"/>
                <w:lang w:val="en-US" w:eastAsia="zh-CN" w:bidi="ar"/>
              </w:rPr>
              <w:t>5</w:t>
            </w:r>
            <w:r>
              <w:rPr>
                <w:rFonts w:hint="eastAsia" w:ascii="宋体" w:hAnsi="宋体" w:cs="宋体"/>
                <w:color w:val="auto"/>
                <w:szCs w:val="21"/>
                <w:highlight w:val="none"/>
                <w:lang w:bidi="ar"/>
              </w:rPr>
              <w:t>分）：在满足二档的基础上，实施方案合理，较详细完善，有项目实施计划、测试方案、验收方案，有实施工艺、实施方法等方面的论述，有保证工期的具体措施。</w:t>
            </w:r>
          </w:p>
          <w:p>
            <w:pPr>
              <w:spacing w:line="340" w:lineRule="exact"/>
              <w:ind w:firstLine="420" w:firstLineChars="200"/>
              <w:jc w:val="left"/>
              <w:rPr>
                <w:rFonts w:ascii="宋体" w:hAnsi="宋体" w:cs="宋体"/>
                <w:color w:val="auto"/>
                <w:szCs w:val="21"/>
                <w:highlight w:val="none"/>
              </w:rPr>
            </w:pPr>
            <w:r>
              <w:rPr>
                <w:rFonts w:hint="eastAsia" w:ascii="宋体" w:hAnsi="宋体" w:cs="宋体"/>
                <w:color w:val="auto"/>
                <w:szCs w:val="21"/>
                <w:highlight w:val="none"/>
                <w:lang w:bidi="ar"/>
              </w:rPr>
              <w:t>四档（</w:t>
            </w:r>
            <w:r>
              <w:rPr>
                <w:rFonts w:hint="eastAsia" w:ascii="宋体" w:hAnsi="宋体" w:cs="宋体"/>
                <w:color w:val="auto"/>
                <w:szCs w:val="21"/>
                <w:highlight w:val="none"/>
                <w:lang w:val="en-US" w:eastAsia="zh-CN" w:bidi="ar"/>
              </w:rPr>
              <w:t>7</w:t>
            </w:r>
            <w:r>
              <w:rPr>
                <w:rFonts w:hint="eastAsia" w:ascii="宋体" w:hAnsi="宋体" w:cs="宋体"/>
                <w:color w:val="auto"/>
                <w:szCs w:val="21"/>
                <w:highlight w:val="none"/>
                <w:lang w:bidi="ar"/>
              </w:rPr>
              <w:t>分）：在满足三档的基础上，实施方案详细全面完善，项目实施计划、测试方案、验收方案切合工作实际，实施工艺、实施方法等方面的论述合理可行，有项目实施组织结构图、工作进度计划表、劳动力使用计划；实施方案非常详细、合理可行。</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8" w:hRule="atLeast"/>
          <w:jc w:val="center"/>
        </w:trPr>
        <w:tc>
          <w:tcPr>
            <w:tcW w:w="680" w:type="dxa"/>
            <w:tcBorders>
              <w:right w:val="single" w:color="auto" w:sz="4" w:space="0"/>
            </w:tcBorders>
            <w:shd w:val="clear" w:color="auto" w:fill="auto"/>
            <w:vAlign w:val="center"/>
          </w:tcPr>
          <w:p>
            <w:pPr>
              <w:spacing w:line="240" w:lineRule="exact"/>
              <w:jc w:val="center"/>
              <w:rPr>
                <w:rFonts w:ascii="宋体" w:hAnsi="宋体" w:cs="宋体"/>
                <w:color w:val="auto"/>
                <w:szCs w:val="21"/>
                <w:highlight w:val="none"/>
              </w:rPr>
            </w:pPr>
            <w:r>
              <w:rPr>
                <w:rFonts w:hint="eastAsia" w:ascii="宋体" w:hAnsi="宋体" w:cs="宋体"/>
                <w:color w:val="auto"/>
                <w:szCs w:val="21"/>
                <w:highlight w:val="none"/>
              </w:rPr>
              <w:t>4</w:t>
            </w:r>
          </w:p>
        </w:tc>
        <w:tc>
          <w:tcPr>
            <w:tcW w:w="1103" w:type="dxa"/>
            <w:tcBorders>
              <w:left w:val="single" w:color="auto" w:sz="4" w:space="0"/>
            </w:tcBorders>
            <w:shd w:val="clear" w:color="auto" w:fill="auto"/>
            <w:vAlign w:val="center"/>
          </w:tcPr>
          <w:p>
            <w:pPr>
              <w:spacing w:line="240" w:lineRule="exact"/>
              <w:jc w:val="center"/>
              <w:rPr>
                <w:rFonts w:ascii="宋体" w:hAnsi="宋体" w:cs="宋体"/>
                <w:color w:val="auto"/>
                <w:szCs w:val="21"/>
                <w:highlight w:val="none"/>
              </w:rPr>
            </w:pPr>
            <w:r>
              <w:rPr>
                <w:rFonts w:hint="eastAsia" w:ascii="宋体" w:hAnsi="宋体" w:cs="宋体"/>
                <w:color w:val="auto"/>
                <w:szCs w:val="21"/>
                <w:highlight w:val="none"/>
              </w:rPr>
              <w:t>售后服务方案分</w:t>
            </w:r>
          </w:p>
        </w:tc>
        <w:tc>
          <w:tcPr>
            <w:tcW w:w="870" w:type="dxa"/>
            <w:shd w:val="clear" w:color="auto" w:fill="auto"/>
            <w:vAlign w:val="center"/>
          </w:tcPr>
          <w:p>
            <w:pPr>
              <w:spacing w:line="240" w:lineRule="exact"/>
              <w:jc w:val="center"/>
              <w:rPr>
                <w:rFonts w:ascii="宋体" w:hAnsi="宋体" w:cs="宋体"/>
                <w:color w:val="auto"/>
                <w:szCs w:val="21"/>
                <w:highlight w:val="none"/>
              </w:rPr>
            </w:pPr>
            <w:r>
              <w:rPr>
                <w:rFonts w:hint="eastAsia" w:ascii="宋体" w:hAnsi="宋体" w:cs="宋体"/>
                <w:color w:val="auto"/>
                <w:szCs w:val="21"/>
                <w:highlight w:val="none"/>
                <w:lang w:eastAsia="zh-CN"/>
              </w:rPr>
              <w:t>2</w:t>
            </w:r>
            <w:r>
              <w:rPr>
                <w:rFonts w:hint="eastAsia" w:ascii="宋体" w:hAnsi="宋体" w:cs="宋体"/>
                <w:color w:val="auto"/>
                <w:szCs w:val="21"/>
                <w:highlight w:val="none"/>
              </w:rPr>
              <w:t>0分</w:t>
            </w:r>
          </w:p>
        </w:tc>
        <w:tc>
          <w:tcPr>
            <w:tcW w:w="7025" w:type="dxa"/>
            <w:shd w:val="clear" w:color="auto" w:fill="auto"/>
            <w:vAlign w:val="center"/>
          </w:tcPr>
          <w:p>
            <w:pPr>
              <w:spacing w:line="340" w:lineRule="exact"/>
              <w:ind w:firstLine="420" w:firstLineChars="200"/>
              <w:rPr>
                <w:rFonts w:ascii="宋体" w:hAnsi="宋体" w:cs="宋体"/>
                <w:color w:val="auto"/>
                <w:szCs w:val="21"/>
                <w:highlight w:val="none"/>
                <w:lang w:bidi="ar"/>
              </w:rPr>
            </w:pPr>
            <w:r>
              <w:rPr>
                <w:rFonts w:hint="eastAsia" w:ascii="宋体" w:hAnsi="宋体" w:cs="宋体"/>
                <w:color w:val="auto"/>
                <w:szCs w:val="21"/>
                <w:highlight w:val="none"/>
                <w:lang w:bidi="ar"/>
              </w:rPr>
              <w:t>一档（0分）：提供了售后服务方案，但不能满足本项目的需求。</w:t>
            </w:r>
          </w:p>
          <w:p>
            <w:pPr>
              <w:spacing w:line="340" w:lineRule="exact"/>
              <w:ind w:firstLine="420" w:firstLineChars="200"/>
              <w:rPr>
                <w:rFonts w:ascii="宋体" w:hAnsi="宋体" w:cs="宋体"/>
                <w:color w:val="auto"/>
                <w:szCs w:val="21"/>
                <w:highlight w:val="none"/>
                <w:lang w:bidi="ar"/>
              </w:rPr>
            </w:pPr>
            <w:r>
              <w:rPr>
                <w:rFonts w:hint="eastAsia" w:ascii="宋体" w:hAnsi="宋体" w:cs="宋体"/>
                <w:color w:val="auto"/>
                <w:szCs w:val="21"/>
                <w:highlight w:val="none"/>
                <w:lang w:bidi="ar"/>
              </w:rPr>
              <w:t>二档（</w:t>
            </w:r>
            <w:r>
              <w:rPr>
                <w:rFonts w:hint="eastAsia" w:ascii="宋体" w:hAnsi="宋体" w:cs="宋体"/>
                <w:color w:val="auto"/>
                <w:szCs w:val="21"/>
                <w:highlight w:val="none"/>
                <w:lang w:val="en-US" w:eastAsia="zh-CN" w:bidi="ar"/>
              </w:rPr>
              <w:t>7</w:t>
            </w:r>
            <w:r>
              <w:rPr>
                <w:rFonts w:hint="eastAsia" w:ascii="宋体" w:hAnsi="宋体" w:cs="宋体"/>
                <w:color w:val="auto"/>
                <w:szCs w:val="21"/>
                <w:highlight w:val="none"/>
                <w:lang w:bidi="ar"/>
              </w:rPr>
              <w:t>分）：服务方案较简单，各项措施缺乏针对性，条理性较差，但基本能满足本项目的需求。</w:t>
            </w:r>
          </w:p>
          <w:p>
            <w:pPr>
              <w:spacing w:line="340" w:lineRule="exact"/>
              <w:ind w:firstLine="420" w:firstLineChars="200"/>
              <w:rPr>
                <w:rFonts w:ascii="宋体" w:hAnsi="宋体" w:cs="宋体"/>
                <w:color w:val="auto"/>
                <w:szCs w:val="21"/>
                <w:highlight w:val="none"/>
                <w:lang w:bidi="ar"/>
              </w:rPr>
            </w:pPr>
            <w:r>
              <w:rPr>
                <w:rFonts w:hint="eastAsia" w:ascii="宋体" w:hAnsi="宋体" w:cs="宋体"/>
                <w:color w:val="auto"/>
                <w:szCs w:val="21"/>
                <w:highlight w:val="none"/>
                <w:lang w:bidi="ar"/>
              </w:rPr>
              <w:t>三档（</w:t>
            </w:r>
            <w:r>
              <w:rPr>
                <w:rFonts w:hint="eastAsia" w:ascii="宋体" w:hAnsi="宋体" w:cs="宋体"/>
                <w:color w:val="auto"/>
                <w:szCs w:val="21"/>
                <w:highlight w:val="none"/>
                <w:lang w:val="en-US" w:eastAsia="zh-CN" w:bidi="ar"/>
              </w:rPr>
              <w:t>14</w:t>
            </w:r>
            <w:r>
              <w:rPr>
                <w:rFonts w:hint="eastAsia" w:ascii="宋体" w:hAnsi="宋体" w:cs="宋体"/>
                <w:color w:val="auto"/>
                <w:szCs w:val="21"/>
                <w:highlight w:val="none"/>
                <w:lang w:bidi="ar"/>
              </w:rPr>
              <w:t>分）：服务方案比较具体细致，方案中包括有运维服务体系、服务组织和方法、故障响应时间、服务方式、定期回访、售后服务流程等服务内容，各项措施具有一定的针对性，内容较合理、可行，阐述较清晰。</w:t>
            </w:r>
          </w:p>
          <w:p>
            <w:pPr>
              <w:spacing w:line="340" w:lineRule="exact"/>
              <w:ind w:firstLine="420" w:firstLineChars="200"/>
              <w:jc w:val="left"/>
              <w:rPr>
                <w:rFonts w:ascii="宋体" w:hAnsi="宋体" w:cs="宋体"/>
                <w:color w:val="auto"/>
                <w:szCs w:val="21"/>
                <w:highlight w:val="none"/>
              </w:rPr>
            </w:pPr>
            <w:r>
              <w:rPr>
                <w:rFonts w:hint="eastAsia" w:ascii="宋体" w:hAnsi="宋体" w:cs="宋体"/>
                <w:color w:val="auto"/>
                <w:szCs w:val="21"/>
                <w:highlight w:val="none"/>
                <w:lang w:bidi="ar"/>
              </w:rPr>
              <w:t>四档（</w:t>
            </w:r>
            <w:r>
              <w:rPr>
                <w:rFonts w:hint="eastAsia" w:ascii="宋体" w:hAnsi="宋体" w:cs="宋体"/>
                <w:color w:val="auto"/>
                <w:szCs w:val="21"/>
                <w:highlight w:val="none"/>
                <w:lang w:val="en-US" w:eastAsia="zh-CN" w:bidi="ar"/>
              </w:rPr>
              <w:t>20</w:t>
            </w:r>
            <w:r>
              <w:rPr>
                <w:rFonts w:hint="eastAsia" w:ascii="宋体" w:hAnsi="宋体" w:cs="宋体"/>
                <w:color w:val="auto"/>
                <w:szCs w:val="21"/>
                <w:highlight w:val="none"/>
                <w:lang w:bidi="ar"/>
              </w:rPr>
              <w:t>分）：在满足三档的基础上，服务方案条理清晰、内容覆盖完全、安排合理，维护期、售后服务承诺响应（含响应上门和解决问题时间）、售后服务的保障（驻点人数和服务人员名单及联系电话）等重点内容全面；各项措施针对性很强，内容合理、可行；阐述清晰，条理性强。</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67" w:hRule="atLeast"/>
          <w:jc w:val="center"/>
        </w:trPr>
        <w:tc>
          <w:tcPr>
            <w:tcW w:w="680" w:type="dxa"/>
            <w:tcBorders>
              <w:right w:val="single" w:color="auto" w:sz="4" w:space="0"/>
            </w:tcBorders>
            <w:shd w:val="clear" w:color="auto" w:fill="auto"/>
            <w:vAlign w:val="center"/>
          </w:tcPr>
          <w:p>
            <w:pPr>
              <w:spacing w:line="240" w:lineRule="exact"/>
              <w:jc w:val="center"/>
              <w:rPr>
                <w:rFonts w:ascii="宋体" w:hAnsi="宋体" w:cs="宋体"/>
                <w:color w:val="auto"/>
                <w:szCs w:val="21"/>
                <w:highlight w:val="none"/>
              </w:rPr>
            </w:pPr>
            <w:r>
              <w:rPr>
                <w:rFonts w:hint="eastAsia" w:ascii="宋体" w:hAnsi="宋体" w:cs="宋体"/>
                <w:color w:val="auto"/>
                <w:szCs w:val="21"/>
                <w:highlight w:val="none"/>
              </w:rPr>
              <w:t>5</w:t>
            </w:r>
          </w:p>
        </w:tc>
        <w:tc>
          <w:tcPr>
            <w:tcW w:w="1103" w:type="dxa"/>
            <w:tcBorders>
              <w:left w:val="single" w:color="auto" w:sz="4" w:space="0"/>
            </w:tcBorders>
            <w:shd w:val="clear" w:color="auto" w:fill="auto"/>
            <w:vAlign w:val="center"/>
          </w:tcPr>
          <w:p>
            <w:pPr>
              <w:spacing w:line="240" w:lineRule="exact"/>
              <w:jc w:val="center"/>
              <w:rPr>
                <w:rFonts w:ascii="宋体" w:hAnsi="宋体" w:cs="宋体"/>
                <w:color w:val="auto"/>
                <w:szCs w:val="21"/>
                <w:highlight w:val="none"/>
              </w:rPr>
            </w:pPr>
            <w:r>
              <w:rPr>
                <w:rFonts w:hint="eastAsia" w:ascii="宋体" w:hAnsi="宋体" w:cs="宋体"/>
                <w:color w:val="auto"/>
                <w:szCs w:val="21"/>
                <w:highlight w:val="none"/>
              </w:rPr>
              <w:t>项目培训方案分</w:t>
            </w:r>
          </w:p>
        </w:tc>
        <w:tc>
          <w:tcPr>
            <w:tcW w:w="870" w:type="dxa"/>
            <w:shd w:val="clear" w:color="auto" w:fill="auto"/>
            <w:vAlign w:val="center"/>
          </w:tcPr>
          <w:p>
            <w:pPr>
              <w:spacing w:line="240" w:lineRule="exact"/>
              <w:jc w:val="center"/>
              <w:rPr>
                <w:rFonts w:ascii="宋体" w:hAnsi="宋体" w:cs="宋体"/>
                <w:color w:val="auto"/>
                <w:szCs w:val="21"/>
                <w:highlight w:val="none"/>
              </w:rPr>
            </w:pPr>
            <w:r>
              <w:rPr>
                <w:rFonts w:hint="eastAsia" w:ascii="宋体" w:hAnsi="宋体" w:cs="宋体"/>
                <w:color w:val="auto"/>
                <w:szCs w:val="21"/>
                <w:highlight w:val="none"/>
                <w:lang w:eastAsia="zh-CN"/>
              </w:rPr>
              <w:t>1</w:t>
            </w:r>
            <w:r>
              <w:rPr>
                <w:rFonts w:hint="eastAsia" w:ascii="宋体" w:hAnsi="宋体" w:cs="宋体"/>
                <w:color w:val="auto"/>
                <w:szCs w:val="21"/>
                <w:highlight w:val="none"/>
                <w:lang w:val="en-US" w:eastAsia="zh-CN"/>
              </w:rPr>
              <w:t>0</w:t>
            </w:r>
            <w:r>
              <w:rPr>
                <w:rFonts w:hint="eastAsia" w:ascii="宋体" w:hAnsi="宋体" w:cs="宋体"/>
                <w:color w:val="auto"/>
                <w:szCs w:val="21"/>
                <w:highlight w:val="none"/>
              </w:rPr>
              <w:t>分</w:t>
            </w:r>
          </w:p>
        </w:tc>
        <w:tc>
          <w:tcPr>
            <w:tcW w:w="7025" w:type="dxa"/>
            <w:shd w:val="clear" w:color="auto" w:fill="auto"/>
            <w:vAlign w:val="center"/>
          </w:tcPr>
          <w:p>
            <w:pPr>
              <w:spacing w:line="340" w:lineRule="exact"/>
              <w:ind w:firstLine="420" w:firstLineChars="200"/>
              <w:rPr>
                <w:rFonts w:ascii="宋体" w:hAnsi="宋体" w:cs="宋体"/>
                <w:color w:val="auto"/>
                <w:szCs w:val="21"/>
                <w:highlight w:val="none"/>
                <w:lang w:bidi="ar"/>
              </w:rPr>
            </w:pPr>
            <w:r>
              <w:rPr>
                <w:rFonts w:hint="eastAsia" w:ascii="宋体" w:hAnsi="宋体" w:cs="宋体"/>
                <w:color w:val="auto"/>
                <w:szCs w:val="21"/>
                <w:highlight w:val="none"/>
                <w:lang w:bidi="ar"/>
              </w:rPr>
              <w:t>一档（0分）：培训方案不完整，不能满足本项目的需求。</w:t>
            </w:r>
          </w:p>
          <w:p>
            <w:pPr>
              <w:spacing w:line="340" w:lineRule="exact"/>
              <w:ind w:firstLine="420" w:firstLineChars="200"/>
              <w:rPr>
                <w:rFonts w:ascii="宋体" w:hAnsi="宋体" w:cs="宋体"/>
                <w:color w:val="auto"/>
                <w:szCs w:val="21"/>
                <w:highlight w:val="none"/>
                <w:lang w:bidi="ar"/>
              </w:rPr>
            </w:pPr>
            <w:r>
              <w:rPr>
                <w:rFonts w:hint="eastAsia" w:ascii="宋体" w:hAnsi="宋体" w:cs="宋体"/>
                <w:color w:val="auto"/>
                <w:szCs w:val="21"/>
                <w:highlight w:val="none"/>
                <w:lang w:bidi="ar"/>
              </w:rPr>
              <w:t>二档（</w:t>
            </w:r>
            <w:r>
              <w:rPr>
                <w:rFonts w:hint="eastAsia" w:ascii="宋体" w:hAnsi="宋体" w:cs="宋体"/>
                <w:color w:val="auto"/>
                <w:szCs w:val="21"/>
                <w:highlight w:val="none"/>
                <w:lang w:val="en-US" w:eastAsia="zh-CN" w:bidi="ar"/>
              </w:rPr>
              <w:t>3</w:t>
            </w:r>
            <w:r>
              <w:rPr>
                <w:rFonts w:hint="eastAsia" w:ascii="宋体" w:hAnsi="宋体" w:cs="宋体"/>
                <w:color w:val="auto"/>
                <w:szCs w:val="21"/>
                <w:highlight w:val="none"/>
                <w:lang w:bidi="ar"/>
              </w:rPr>
              <w:t>分）：培训方案简单，内容不够完善，条理性较差，但基本合理可行。</w:t>
            </w:r>
          </w:p>
          <w:p>
            <w:pPr>
              <w:spacing w:line="340" w:lineRule="exact"/>
              <w:ind w:firstLine="420" w:firstLineChars="200"/>
              <w:rPr>
                <w:rFonts w:ascii="宋体" w:hAnsi="宋体" w:cs="宋体"/>
                <w:color w:val="auto"/>
                <w:szCs w:val="21"/>
                <w:highlight w:val="none"/>
                <w:lang w:bidi="ar"/>
              </w:rPr>
            </w:pPr>
            <w:r>
              <w:rPr>
                <w:rFonts w:hint="eastAsia" w:ascii="宋体" w:hAnsi="宋体" w:cs="宋体"/>
                <w:color w:val="auto"/>
                <w:szCs w:val="21"/>
                <w:highlight w:val="none"/>
                <w:lang w:bidi="ar"/>
              </w:rPr>
              <w:t>三档（</w:t>
            </w:r>
            <w:r>
              <w:rPr>
                <w:rFonts w:hint="eastAsia" w:ascii="宋体" w:hAnsi="宋体" w:cs="宋体"/>
                <w:color w:val="auto"/>
                <w:szCs w:val="21"/>
                <w:highlight w:val="none"/>
                <w:lang w:val="en-US" w:eastAsia="zh-CN" w:bidi="ar"/>
              </w:rPr>
              <w:t>7</w:t>
            </w:r>
            <w:r>
              <w:rPr>
                <w:rFonts w:hint="eastAsia" w:ascii="宋体" w:hAnsi="宋体" w:cs="宋体"/>
                <w:color w:val="auto"/>
                <w:szCs w:val="21"/>
                <w:highlight w:val="none"/>
                <w:lang w:bidi="ar"/>
              </w:rPr>
              <w:t>分）：培训方案内容比较丰富，对培训意义、质量保证、培训策略均有论述，培训计划含培训人数、培训内容、培训次数、人员培训的方式、培训的效果等，培训安排较合理。</w:t>
            </w:r>
          </w:p>
          <w:p>
            <w:pPr>
              <w:spacing w:line="340" w:lineRule="exact"/>
              <w:ind w:firstLine="420" w:firstLineChars="200"/>
              <w:jc w:val="left"/>
              <w:rPr>
                <w:rFonts w:ascii="宋体" w:hAnsi="宋体" w:cs="宋体"/>
                <w:color w:val="auto"/>
                <w:szCs w:val="21"/>
                <w:highlight w:val="none"/>
              </w:rPr>
            </w:pPr>
            <w:r>
              <w:rPr>
                <w:rFonts w:hint="eastAsia" w:ascii="宋体" w:hAnsi="宋体" w:cs="宋体"/>
                <w:color w:val="auto"/>
                <w:szCs w:val="21"/>
                <w:highlight w:val="none"/>
                <w:lang w:bidi="ar"/>
              </w:rPr>
              <w:t>四档（</w:t>
            </w:r>
            <w:r>
              <w:rPr>
                <w:rFonts w:hint="eastAsia" w:ascii="宋体" w:hAnsi="宋体" w:cs="宋体"/>
                <w:color w:val="auto"/>
                <w:szCs w:val="21"/>
                <w:highlight w:val="none"/>
                <w:lang w:val="en-US" w:eastAsia="zh-CN" w:bidi="ar"/>
              </w:rPr>
              <w:t>10</w:t>
            </w:r>
            <w:r>
              <w:rPr>
                <w:rFonts w:hint="eastAsia" w:ascii="宋体" w:hAnsi="宋体" w:cs="宋体"/>
                <w:color w:val="auto"/>
                <w:szCs w:val="21"/>
                <w:highlight w:val="none"/>
                <w:lang w:bidi="ar"/>
              </w:rPr>
              <w:t>分）：在满足三档的基础上，培训方案全面、合理、切合工作实际，培训方式多样灵活、成效好；培训方案</w:t>
            </w:r>
            <w:r>
              <w:rPr>
                <w:rFonts w:hint="eastAsia" w:ascii="宋体" w:hAnsi="宋体"/>
                <w:color w:val="auto"/>
                <w:szCs w:val="21"/>
                <w:highlight w:val="none"/>
                <w:lang w:bidi="ar"/>
              </w:rPr>
              <w:t>论述条理清晰、条理性强。</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8" w:hRule="atLeast"/>
          <w:jc w:val="center"/>
        </w:trPr>
        <w:tc>
          <w:tcPr>
            <w:tcW w:w="680" w:type="dxa"/>
            <w:tcBorders>
              <w:right w:val="single" w:color="auto" w:sz="4" w:space="0"/>
            </w:tcBorders>
            <w:shd w:val="clear" w:color="auto" w:fill="auto"/>
            <w:vAlign w:val="center"/>
          </w:tcPr>
          <w:p>
            <w:pPr>
              <w:spacing w:line="240" w:lineRule="exact"/>
              <w:jc w:val="center"/>
              <w:rPr>
                <w:rFonts w:ascii="宋体" w:hAnsi="宋体" w:cs="宋体"/>
                <w:color w:val="auto"/>
                <w:szCs w:val="21"/>
                <w:highlight w:val="none"/>
              </w:rPr>
            </w:pPr>
            <w:r>
              <w:rPr>
                <w:rFonts w:hint="eastAsia" w:ascii="宋体" w:hAnsi="宋体" w:cs="宋体"/>
                <w:color w:val="auto"/>
                <w:szCs w:val="21"/>
                <w:highlight w:val="none"/>
              </w:rPr>
              <w:t>6</w:t>
            </w:r>
          </w:p>
        </w:tc>
        <w:tc>
          <w:tcPr>
            <w:tcW w:w="1103" w:type="dxa"/>
            <w:tcBorders>
              <w:left w:val="single" w:color="auto" w:sz="4" w:space="0"/>
            </w:tcBorders>
            <w:shd w:val="clear" w:color="auto" w:fill="auto"/>
            <w:vAlign w:val="center"/>
          </w:tcPr>
          <w:p>
            <w:pPr>
              <w:spacing w:line="240" w:lineRule="exact"/>
              <w:jc w:val="center"/>
              <w:rPr>
                <w:rFonts w:ascii="宋体" w:hAnsi="宋体" w:cs="宋体"/>
                <w:color w:val="auto"/>
                <w:szCs w:val="21"/>
                <w:highlight w:val="none"/>
              </w:rPr>
            </w:pPr>
            <w:r>
              <w:rPr>
                <w:rFonts w:hint="eastAsia" w:ascii="宋体" w:hAnsi="宋体" w:cs="宋体"/>
                <w:color w:val="auto"/>
                <w:szCs w:val="21"/>
                <w:highlight w:val="none"/>
              </w:rPr>
              <w:t>拟投入项目团队分</w:t>
            </w:r>
          </w:p>
        </w:tc>
        <w:tc>
          <w:tcPr>
            <w:tcW w:w="870" w:type="dxa"/>
            <w:shd w:val="clear" w:color="auto" w:fill="auto"/>
            <w:vAlign w:val="center"/>
          </w:tcPr>
          <w:p>
            <w:pPr>
              <w:spacing w:line="240" w:lineRule="exact"/>
              <w:jc w:val="center"/>
              <w:rPr>
                <w:rFonts w:ascii="宋体" w:hAnsi="宋体" w:cs="宋体"/>
                <w:color w:val="auto"/>
                <w:szCs w:val="21"/>
                <w:highlight w:val="none"/>
              </w:rPr>
            </w:pPr>
            <w:r>
              <w:rPr>
                <w:rFonts w:hint="eastAsia" w:ascii="宋体" w:hAnsi="宋体" w:cs="宋体"/>
                <w:color w:val="auto"/>
                <w:szCs w:val="21"/>
                <w:highlight w:val="none"/>
              </w:rPr>
              <w:t>15分</w:t>
            </w:r>
          </w:p>
        </w:tc>
        <w:tc>
          <w:tcPr>
            <w:tcW w:w="7025" w:type="dxa"/>
            <w:shd w:val="clear" w:color="auto" w:fill="auto"/>
            <w:vAlign w:val="center"/>
          </w:tcPr>
          <w:p>
            <w:pPr>
              <w:spacing w:line="340" w:lineRule="exact"/>
              <w:ind w:firstLine="420" w:firstLineChars="200"/>
              <w:rPr>
                <w:rFonts w:ascii="宋体" w:hAnsi="宋体"/>
                <w:color w:val="auto"/>
                <w:szCs w:val="21"/>
                <w:highlight w:val="none"/>
              </w:rPr>
            </w:pPr>
            <w:r>
              <w:rPr>
                <w:rFonts w:hint="eastAsia" w:ascii="宋体" w:hAnsi="宋体"/>
                <w:color w:val="auto"/>
                <w:szCs w:val="21"/>
                <w:highlight w:val="none"/>
                <w:lang w:bidi="ar"/>
              </w:rPr>
              <w:t>（1）拟投入本项目的项目经理通过国家计算机技术与软件专业技术资格(水平)考试，</w:t>
            </w:r>
            <w:r>
              <w:rPr>
                <w:rFonts w:hint="eastAsia" w:ascii="宋体" w:hAnsi="宋体"/>
                <w:color w:val="auto"/>
                <w:szCs w:val="21"/>
                <w:highlight w:val="none"/>
                <w:lang w:eastAsia="zh-CN" w:bidi="ar"/>
              </w:rPr>
              <w:t>并取得</w:t>
            </w:r>
            <w:r>
              <w:rPr>
                <w:rFonts w:hint="eastAsia" w:ascii="宋体" w:hAnsi="宋体"/>
                <w:color w:val="auto"/>
                <w:szCs w:val="21"/>
                <w:highlight w:val="none"/>
                <w:lang w:bidi="ar"/>
              </w:rPr>
              <w:t>系统集成项目管理工程师证书、系统分析师证书</w:t>
            </w:r>
            <w:r>
              <w:rPr>
                <w:rFonts w:hint="eastAsia" w:ascii="宋体" w:hAnsi="宋体"/>
                <w:color w:val="auto"/>
                <w:szCs w:val="21"/>
                <w:highlight w:val="none"/>
                <w:lang w:eastAsia="zh-CN" w:bidi="ar"/>
              </w:rPr>
              <w:t>的</w:t>
            </w:r>
            <w:r>
              <w:rPr>
                <w:rFonts w:hint="eastAsia" w:ascii="宋体" w:hAnsi="宋体"/>
                <w:color w:val="auto"/>
                <w:szCs w:val="21"/>
                <w:highlight w:val="none"/>
                <w:lang w:bidi="ar"/>
              </w:rPr>
              <w:t>，每提供1个证书得</w:t>
            </w:r>
            <w:r>
              <w:rPr>
                <w:rFonts w:hint="eastAsia" w:ascii="宋体" w:hAnsi="宋体"/>
                <w:color w:val="auto"/>
                <w:szCs w:val="21"/>
                <w:highlight w:val="none"/>
                <w:lang w:val="en-US" w:eastAsia="zh-CN" w:bidi="ar"/>
              </w:rPr>
              <w:t>2</w:t>
            </w:r>
            <w:r>
              <w:rPr>
                <w:rFonts w:hint="eastAsia" w:ascii="宋体" w:hAnsi="宋体"/>
                <w:color w:val="auto"/>
                <w:szCs w:val="21"/>
                <w:highlight w:val="none"/>
                <w:lang w:bidi="ar"/>
              </w:rPr>
              <w:t>分</w:t>
            </w:r>
            <w:r>
              <w:rPr>
                <w:rFonts w:hint="eastAsia" w:ascii="宋体" w:hAnsi="宋体"/>
                <w:color w:val="auto"/>
                <w:szCs w:val="21"/>
                <w:highlight w:val="none"/>
                <w:lang w:eastAsia="zh-CN" w:bidi="ar"/>
              </w:rPr>
              <w:t>，</w:t>
            </w:r>
            <w:r>
              <w:rPr>
                <w:rFonts w:hint="eastAsia" w:ascii="宋体" w:hAnsi="宋体"/>
                <w:color w:val="auto"/>
                <w:szCs w:val="21"/>
                <w:highlight w:val="none"/>
                <w:lang w:bidi="ar"/>
              </w:rPr>
              <w:t>满分4分。（限1人）。</w:t>
            </w:r>
          </w:p>
          <w:p>
            <w:pPr>
              <w:spacing w:line="340" w:lineRule="exact"/>
              <w:ind w:firstLine="420" w:firstLineChars="200"/>
              <w:rPr>
                <w:rFonts w:ascii="宋体" w:hAnsi="宋体"/>
                <w:color w:val="auto"/>
                <w:szCs w:val="21"/>
                <w:highlight w:val="none"/>
              </w:rPr>
            </w:pPr>
            <w:r>
              <w:rPr>
                <w:rFonts w:hint="eastAsia" w:ascii="宋体" w:hAnsi="宋体"/>
                <w:color w:val="auto"/>
                <w:szCs w:val="21"/>
                <w:highlight w:val="none"/>
                <w:lang w:bidi="ar"/>
              </w:rPr>
              <w:t>（2）项目技术负责人具备系统架构师、软件设计师、数据库软件工程师证书的，每提供1个证书得2分，满分6分。（限1人）</w:t>
            </w:r>
          </w:p>
          <w:p>
            <w:pPr>
              <w:spacing w:line="340" w:lineRule="exact"/>
              <w:ind w:firstLine="420" w:firstLineChars="200"/>
              <w:rPr>
                <w:rFonts w:ascii="宋体" w:hAnsi="宋体"/>
                <w:color w:val="auto"/>
                <w:szCs w:val="21"/>
                <w:highlight w:val="none"/>
                <w:lang w:bidi="ar"/>
              </w:rPr>
            </w:pPr>
            <w:r>
              <w:rPr>
                <w:rFonts w:hint="eastAsia" w:ascii="宋体" w:hAnsi="宋体"/>
                <w:color w:val="auto"/>
                <w:szCs w:val="21"/>
                <w:highlight w:val="none"/>
                <w:lang w:bidi="ar"/>
              </w:rPr>
              <w:t>（3）项目团队成员（项目经理和技术负责人除外），具备PMP证书、信息系统项目管理师的，每提供一个证书得1分，满分5分。</w:t>
            </w:r>
          </w:p>
          <w:p>
            <w:pPr>
              <w:spacing w:line="340" w:lineRule="exact"/>
              <w:ind w:firstLine="420" w:firstLineChars="200"/>
              <w:jc w:val="left"/>
              <w:rPr>
                <w:rFonts w:ascii="宋体" w:hAnsi="宋体" w:cs="宋体"/>
                <w:color w:val="auto"/>
                <w:szCs w:val="21"/>
                <w:highlight w:val="none"/>
              </w:rPr>
            </w:pPr>
            <w:r>
              <w:rPr>
                <w:rFonts w:hint="eastAsia"/>
                <w:color w:val="auto"/>
                <w:highlight w:val="none"/>
              </w:rPr>
              <w:t>（响应文件中须提供：① 以上人员</w:t>
            </w:r>
            <w:r>
              <w:rPr>
                <w:rFonts w:hint="eastAsia"/>
                <w:color w:val="auto"/>
                <w:highlight w:val="none"/>
                <w:lang w:eastAsia="zh-CN"/>
              </w:rPr>
              <w:t>在全国范围内有效的</w:t>
            </w:r>
            <w:r>
              <w:rPr>
                <w:rFonts w:hint="eastAsia"/>
                <w:color w:val="auto"/>
                <w:highlight w:val="none"/>
              </w:rPr>
              <w:t>相关证书复印件；② 投标人为以上人员于响应文件提交截止前半年内连续三个月缴纳的社保（含医保）缴纳证明复印件。否则不得分）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8" w:hRule="atLeast"/>
          <w:jc w:val="center"/>
        </w:trPr>
        <w:tc>
          <w:tcPr>
            <w:tcW w:w="680" w:type="dxa"/>
            <w:tcBorders>
              <w:right w:val="single" w:color="auto" w:sz="4" w:space="0"/>
            </w:tcBorders>
            <w:shd w:val="clear" w:color="auto" w:fill="auto"/>
            <w:vAlign w:val="center"/>
          </w:tcPr>
          <w:p>
            <w:pPr>
              <w:spacing w:line="240" w:lineRule="exact"/>
              <w:jc w:val="center"/>
              <w:rPr>
                <w:rFonts w:ascii="宋体" w:hAnsi="宋体" w:cs="宋体"/>
                <w:color w:val="auto"/>
                <w:szCs w:val="21"/>
                <w:highlight w:val="none"/>
              </w:rPr>
            </w:pPr>
            <w:r>
              <w:rPr>
                <w:rFonts w:hint="eastAsia" w:ascii="宋体" w:hAnsi="宋体" w:cs="宋体"/>
                <w:color w:val="auto"/>
                <w:szCs w:val="21"/>
                <w:highlight w:val="none"/>
              </w:rPr>
              <w:t>7</w:t>
            </w:r>
          </w:p>
        </w:tc>
        <w:tc>
          <w:tcPr>
            <w:tcW w:w="1103" w:type="dxa"/>
            <w:tcBorders>
              <w:left w:val="single" w:color="auto" w:sz="4" w:space="0"/>
            </w:tcBorders>
            <w:shd w:val="clear" w:color="auto" w:fill="auto"/>
            <w:vAlign w:val="center"/>
          </w:tcPr>
          <w:p>
            <w:pPr>
              <w:spacing w:line="240" w:lineRule="exact"/>
              <w:jc w:val="center"/>
              <w:rPr>
                <w:rFonts w:ascii="宋体" w:hAnsi="宋体" w:cs="宋体"/>
                <w:color w:val="auto"/>
                <w:szCs w:val="21"/>
                <w:highlight w:val="none"/>
              </w:rPr>
            </w:pPr>
            <w:r>
              <w:rPr>
                <w:rFonts w:hint="eastAsia" w:ascii="宋体" w:hAnsi="宋体" w:cs="宋体"/>
                <w:color w:val="auto"/>
                <w:szCs w:val="21"/>
                <w:highlight w:val="none"/>
              </w:rPr>
              <w:t>信誉能力分</w:t>
            </w:r>
          </w:p>
        </w:tc>
        <w:tc>
          <w:tcPr>
            <w:tcW w:w="870" w:type="dxa"/>
            <w:shd w:val="clear" w:color="auto" w:fill="auto"/>
            <w:vAlign w:val="center"/>
          </w:tcPr>
          <w:p>
            <w:pPr>
              <w:spacing w:line="240" w:lineRule="exact"/>
              <w:jc w:val="center"/>
              <w:rPr>
                <w:rFonts w:ascii="宋体" w:hAnsi="宋体" w:cs="宋体"/>
                <w:color w:val="auto"/>
                <w:szCs w:val="21"/>
                <w:highlight w:val="none"/>
              </w:rPr>
            </w:pPr>
            <w:r>
              <w:rPr>
                <w:rFonts w:hint="eastAsia" w:ascii="宋体" w:hAnsi="宋体" w:cs="宋体"/>
                <w:color w:val="auto"/>
                <w:szCs w:val="21"/>
                <w:highlight w:val="none"/>
              </w:rPr>
              <w:t>10分</w:t>
            </w:r>
          </w:p>
        </w:tc>
        <w:tc>
          <w:tcPr>
            <w:tcW w:w="7025" w:type="dxa"/>
            <w:shd w:val="clear" w:color="auto" w:fill="auto"/>
            <w:vAlign w:val="center"/>
          </w:tcPr>
          <w:p>
            <w:pPr>
              <w:spacing w:line="340" w:lineRule="exact"/>
              <w:ind w:firstLine="420" w:firstLineChars="200"/>
              <w:rPr>
                <w:rFonts w:ascii="宋体" w:hAnsi="宋体"/>
                <w:color w:val="auto"/>
                <w:szCs w:val="21"/>
                <w:highlight w:val="none"/>
              </w:rPr>
            </w:pPr>
            <w:r>
              <w:rPr>
                <w:rFonts w:hint="eastAsia" w:ascii="宋体" w:hAnsi="宋体"/>
                <w:color w:val="auto"/>
                <w:szCs w:val="21"/>
                <w:highlight w:val="none"/>
                <w:lang w:bidi="ar"/>
              </w:rPr>
              <w:t>（1）投标人具有</w:t>
            </w:r>
            <w:r>
              <w:rPr>
                <w:rFonts w:hint="eastAsia" w:ascii="宋体" w:hAnsi="宋体" w:cs="宋体"/>
                <w:color w:val="auto"/>
                <w:kern w:val="0"/>
                <w:szCs w:val="21"/>
                <w:highlight w:val="none"/>
              </w:rPr>
              <w:t>ISO9001质量管理体系认证证书、</w:t>
            </w:r>
            <w:r>
              <w:rPr>
                <w:rFonts w:hint="eastAsia" w:ascii="宋体" w:hAnsi="宋体"/>
                <w:color w:val="auto"/>
                <w:szCs w:val="21"/>
                <w:highlight w:val="none"/>
                <w:lang w:bidi="ar"/>
              </w:rPr>
              <w:t>ISO20000服务管理体系认证证书、ISO27001信息安全管理体系认证证书、知识产权管理体系认证证书及售后服务认证证书的，每提供一项证书得1分，满分</w:t>
            </w:r>
            <w:r>
              <w:rPr>
                <w:rFonts w:ascii="宋体" w:hAnsi="宋体"/>
                <w:color w:val="auto"/>
                <w:szCs w:val="21"/>
                <w:highlight w:val="none"/>
                <w:lang w:bidi="ar"/>
              </w:rPr>
              <w:t>5</w:t>
            </w:r>
            <w:r>
              <w:rPr>
                <w:rFonts w:hint="eastAsia" w:ascii="宋体" w:hAnsi="宋体"/>
                <w:color w:val="auto"/>
                <w:szCs w:val="21"/>
                <w:highlight w:val="none"/>
                <w:lang w:bidi="ar"/>
              </w:rPr>
              <w:t>分；（需</w:t>
            </w:r>
            <w:r>
              <w:rPr>
                <w:rFonts w:hint="eastAsia" w:ascii="宋体" w:hAnsi="宋体" w:cs="宋体"/>
                <w:color w:val="auto"/>
                <w:kern w:val="0"/>
                <w:szCs w:val="21"/>
                <w:highlight w:val="none"/>
              </w:rPr>
              <w:t>提供</w:t>
            </w:r>
            <w:r>
              <w:rPr>
                <w:rFonts w:hint="eastAsia" w:ascii="宋体" w:hAnsi="宋体" w:cs="宋体"/>
                <w:color w:val="auto"/>
                <w:szCs w:val="21"/>
                <w:highlight w:val="none"/>
              </w:rPr>
              <w:t>中国国家认证认可监督管理委员会官网可查询的(且在有效期内)的证书复印件</w:t>
            </w:r>
            <w:r>
              <w:rPr>
                <w:rFonts w:hint="eastAsia"/>
                <w:color w:val="auto"/>
                <w:highlight w:val="none"/>
              </w:rPr>
              <w:t>并加盖投标人公章</w:t>
            </w:r>
            <w:r>
              <w:rPr>
                <w:rFonts w:hint="eastAsia" w:ascii="宋体" w:hAnsi="宋体" w:cs="宋体"/>
                <w:color w:val="auto"/>
                <w:szCs w:val="21"/>
                <w:highlight w:val="none"/>
              </w:rPr>
              <w:t>，否则不得分</w:t>
            </w:r>
            <w:r>
              <w:rPr>
                <w:rFonts w:hint="eastAsia" w:ascii="宋体" w:hAnsi="宋体"/>
                <w:color w:val="auto"/>
                <w:szCs w:val="21"/>
                <w:highlight w:val="none"/>
                <w:lang w:bidi="ar"/>
              </w:rPr>
              <w:t>）</w:t>
            </w:r>
          </w:p>
          <w:p>
            <w:pPr>
              <w:spacing w:line="340" w:lineRule="exact"/>
              <w:ind w:firstLine="420" w:firstLineChars="200"/>
              <w:rPr>
                <w:rFonts w:hint="eastAsia" w:ascii="宋体" w:hAnsi="宋体" w:cs="宋体"/>
                <w:color w:val="auto"/>
                <w:szCs w:val="21"/>
                <w:highlight w:val="none"/>
              </w:rPr>
            </w:pPr>
            <w:r>
              <w:rPr>
                <w:rFonts w:hint="eastAsia" w:ascii="宋体" w:hAnsi="宋体"/>
                <w:color w:val="auto"/>
                <w:szCs w:val="21"/>
                <w:highlight w:val="none"/>
                <w:lang w:bidi="ar"/>
              </w:rPr>
              <w:t>（</w:t>
            </w:r>
            <w:r>
              <w:rPr>
                <w:rFonts w:hint="eastAsia" w:ascii="宋体" w:hAnsi="宋体" w:cs="宋体"/>
                <w:color w:val="auto"/>
                <w:szCs w:val="21"/>
                <w:highlight w:val="none"/>
                <w:lang w:bidi="ar"/>
              </w:rPr>
              <w:t>2）</w:t>
            </w:r>
            <w:r>
              <w:rPr>
                <w:rFonts w:hint="eastAsia" w:ascii="宋体" w:hAnsi="宋体" w:cs="宋体"/>
                <w:color w:val="auto"/>
                <w:sz w:val="21"/>
                <w:szCs w:val="21"/>
                <w:highlight w:val="none"/>
                <w:lang w:bidi="ar"/>
              </w:rPr>
              <w:t>投标人具有“生态环境监</w:t>
            </w:r>
            <w:r>
              <w:rPr>
                <w:rFonts w:hint="eastAsia" w:ascii="宋体" w:hAnsi="宋体" w:cs="宋体"/>
                <w:color w:val="auto"/>
                <w:sz w:val="21"/>
                <w:szCs w:val="21"/>
                <w:highlight w:val="none"/>
                <w:lang w:eastAsia="zh-CN" w:bidi="ar"/>
              </w:rPr>
              <w:t>测”、“</w:t>
            </w:r>
            <w:r>
              <w:rPr>
                <w:rFonts w:hint="eastAsia" w:ascii="宋体" w:hAnsi="宋体" w:cs="宋体"/>
                <w:color w:val="auto"/>
                <w:sz w:val="21"/>
                <w:szCs w:val="21"/>
                <w:highlight w:val="none"/>
                <w:lang w:bidi="ar"/>
              </w:rPr>
              <w:t>监</w:t>
            </w:r>
            <w:r>
              <w:rPr>
                <w:rFonts w:hint="eastAsia" w:ascii="宋体" w:hAnsi="宋体" w:cs="宋体"/>
                <w:color w:val="auto"/>
                <w:sz w:val="21"/>
                <w:szCs w:val="21"/>
                <w:highlight w:val="none"/>
                <w:lang w:eastAsia="zh-CN" w:bidi="ar"/>
              </w:rPr>
              <w:t>测质量管理”、“监测数据分析”</w:t>
            </w:r>
            <w:r>
              <w:rPr>
                <w:rFonts w:hint="eastAsia" w:ascii="宋体" w:hAnsi="宋体" w:cs="宋体"/>
                <w:color w:val="auto"/>
                <w:sz w:val="21"/>
                <w:szCs w:val="21"/>
                <w:highlight w:val="none"/>
                <w:lang w:bidi="ar"/>
              </w:rPr>
              <w:t>等与项目相关软件著作权的，每</w:t>
            </w:r>
            <w:r>
              <w:rPr>
                <w:rFonts w:hint="eastAsia" w:ascii="宋体" w:hAnsi="宋体" w:cs="宋体"/>
                <w:color w:val="auto"/>
                <w:sz w:val="21"/>
                <w:szCs w:val="21"/>
                <w:highlight w:val="none"/>
                <w:lang w:eastAsia="zh-CN" w:bidi="ar"/>
              </w:rPr>
              <w:t>项</w:t>
            </w:r>
            <w:r>
              <w:rPr>
                <w:rFonts w:hint="eastAsia" w:ascii="宋体" w:hAnsi="宋体" w:cs="宋体"/>
                <w:color w:val="auto"/>
                <w:sz w:val="21"/>
                <w:szCs w:val="21"/>
                <w:highlight w:val="none"/>
                <w:lang w:bidi="ar"/>
              </w:rPr>
              <w:t>得1分，满分3分。（需提供有效期内的证书复印件并加盖投标人公章</w:t>
            </w:r>
            <w:r>
              <w:rPr>
                <w:rFonts w:hint="eastAsia" w:ascii="宋体" w:hAnsi="宋体" w:cs="宋体"/>
                <w:color w:val="auto"/>
                <w:sz w:val="21"/>
                <w:szCs w:val="21"/>
                <w:highlight w:val="none"/>
              </w:rPr>
              <w:t>，否则不得分</w:t>
            </w:r>
            <w:r>
              <w:rPr>
                <w:rFonts w:hint="eastAsia" w:ascii="宋体" w:hAnsi="宋体" w:cs="宋体"/>
                <w:color w:val="auto"/>
                <w:sz w:val="21"/>
                <w:szCs w:val="21"/>
                <w:highlight w:val="none"/>
                <w:lang w:bidi="ar"/>
              </w:rPr>
              <w:t>）</w:t>
            </w:r>
            <w:r>
              <w:rPr>
                <w:rFonts w:hint="eastAsia" w:ascii="宋体" w:hAnsi="宋体" w:cs="宋体"/>
                <w:color w:val="auto"/>
                <w:sz w:val="21"/>
                <w:szCs w:val="21"/>
                <w:highlight w:val="none"/>
                <w:lang w:val="en-US" w:eastAsia="zh-CN" w:bidi="ar"/>
              </w:rPr>
              <w:t>。</w:t>
            </w:r>
          </w:p>
          <w:p>
            <w:pPr>
              <w:spacing w:line="340" w:lineRule="exact"/>
              <w:ind w:firstLine="420" w:firstLineChars="200"/>
              <w:rPr>
                <w:rFonts w:ascii="宋体" w:hAnsi="宋体" w:cs="宋体"/>
                <w:color w:val="auto"/>
                <w:szCs w:val="21"/>
                <w:highlight w:val="none"/>
              </w:rPr>
            </w:pPr>
            <w:r>
              <w:rPr>
                <w:rFonts w:hint="eastAsia" w:ascii="宋体" w:hAnsi="宋体"/>
                <w:color w:val="auto"/>
                <w:szCs w:val="21"/>
                <w:highlight w:val="none"/>
              </w:rPr>
              <w:t>（3）本项目涉及统一消息通讯、报表自定义及灵活定制相关关键技术，投标人</w:t>
            </w:r>
            <w:r>
              <w:rPr>
                <w:rFonts w:ascii="宋体" w:hAnsi="宋体"/>
                <w:color w:val="auto"/>
                <w:szCs w:val="21"/>
                <w:highlight w:val="none"/>
              </w:rPr>
              <w:t>具有统一消息通讯平台</w:t>
            </w:r>
            <w:r>
              <w:rPr>
                <w:rFonts w:hint="eastAsia" w:ascii="宋体" w:hAnsi="宋体"/>
                <w:color w:val="auto"/>
                <w:szCs w:val="21"/>
                <w:highlight w:val="none"/>
              </w:rPr>
              <w:t>、智能报表工具</w:t>
            </w:r>
            <w:r>
              <w:rPr>
                <w:rFonts w:hint="eastAsia" w:ascii="宋体" w:hAnsi="宋体"/>
                <w:color w:val="auto"/>
                <w:szCs w:val="21"/>
                <w:highlight w:val="none"/>
                <w:lang w:bidi="ar"/>
              </w:rPr>
              <w:t>等与项目相关软件著作权</w:t>
            </w:r>
            <w:r>
              <w:rPr>
                <w:rFonts w:hint="eastAsia" w:ascii="宋体" w:hAnsi="宋体"/>
                <w:color w:val="auto"/>
                <w:szCs w:val="21"/>
                <w:highlight w:val="none"/>
              </w:rPr>
              <w:t>的，</w:t>
            </w:r>
            <w:r>
              <w:rPr>
                <w:rFonts w:hint="eastAsia" w:ascii="宋体" w:hAnsi="宋体"/>
                <w:color w:val="auto"/>
                <w:szCs w:val="21"/>
                <w:highlight w:val="none"/>
                <w:lang w:bidi="ar"/>
              </w:rPr>
              <w:t>每拥有一个得1分，满分</w:t>
            </w:r>
            <w:r>
              <w:rPr>
                <w:rFonts w:ascii="宋体" w:hAnsi="宋体"/>
                <w:color w:val="auto"/>
                <w:szCs w:val="21"/>
                <w:highlight w:val="none"/>
                <w:lang w:bidi="ar"/>
              </w:rPr>
              <w:t>2</w:t>
            </w:r>
            <w:r>
              <w:rPr>
                <w:rFonts w:hint="eastAsia" w:ascii="宋体" w:hAnsi="宋体"/>
                <w:color w:val="auto"/>
                <w:szCs w:val="21"/>
                <w:highlight w:val="none"/>
                <w:lang w:bidi="ar"/>
              </w:rPr>
              <w:t>分。（需提供有效期内的证书复印件并加盖投标人公章</w:t>
            </w:r>
            <w:r>
              <w:rPr>
                <w:rFonts w:hint="eastAsia"/>
                <w:color w:val="auto"/>
                <w:highlight w:val="none"/>
              </w:rPr>
              <w:t>，否则不得分</w:t>
            </w:r>
            <w:r>
              <w:rPr>
                <w:rFonts w:hint="eastAsia" w:ascii="宋体" w:hAnsi="宋体"/>
                <w:color w:val="auto"/>
                <w:szCs w:val="21"/>
                <w:highlight w:val="none"/>
                <w:lang w:bidi="ar"/>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8" w:hRule="atLeast"/>
          <w:jc w:val="center"/>
        </w:trPr>
        <w:tc>
          <w:tcPr>
            <w:tcW w:w="680" w:type="dxa"/>
            <w:tcBorders>
              <w:right w:val="single" w:color="auto" w:sz="4" w:space="0"/>
            </w:tcBorders>
            <w:shd w:val="clear" w:color="auto" w:fill="auto"/>
            <w:vAlign w:val="center"/>
          </w:tcPr>
          <w:p>
            <w:pPr>
              <w:spacing w:line="240" w:lineRule="exact"/>
              <w:jc w:val="center"/>
              <w:rPr>
                <w:rFonts w:ascii="宋体" w:hAnsi="宋体" w:cs="宋体"/>
                <w:color w:val="auto"/>
                <w:szCs w:val="21"/>
                <w:highlight w:val="none"/>
              </w:rPr>
            </w:pPr>
            <w:r>
              <w:rPr>
                <w:rFonts w:hint="eastAsia" w:ascii="宋体" w:hAnsi="宋体" w:cs="宋体"/>
                <w:color w:val="auto"/>
                <w:szCs w:val="21"/>
                <w:highlight w:val="none"/>
              </w:rPr>
              <w:t>8</w:t>
            </w:r>
          </w:p>
        </w:tc>
        <w:tc>
          <w:tcPr>
            <w:tcW w:w="1103" w:type="dxa"/>
            <w:tcBorders>
              <w:left w:val="single" w:color="auto" w:sz="4" w:space="0"/>
            </w:tcBorders>
            <w:shd w:val="clear" w:color="auto" w:fill="auto"/>
            <w:vAlign w:val="center"/>
          </w:tcPr>
          <w:p>
            <w:pPr>
              <w:spacing w:line="240" w:lineRule="exact"/>
              <w:jc w:val="center"/>
              <w:rPr>
                <w:rFonts w:ascii="宋体" w:hAnsi="宋体" w:cs="宋体"/>
                <w:color w:val="auto"/>
                <w:szCs w:val="21"/>
                <w:highlight w:val="none"/>
              </w:rPr>
            </w:pPr>
            <w:r>
              <w:rPr>
                <w:rFonts w:hint="eastAsia" w:ascii="宋体" w:hAnsi="宋体" w:cs="宋体"/>
                <w:color w:val="auto"/>
                <w:szCs w:val="21"/>
                <w:highlight w:val="none"/>
              </w:rPr>
              <w:t>经验分</w:t>
            </w:r>
          </w:p>
        </w:tc>
        <w:tc>
          <w:tcPr>
            <w:tcW w:w="870" w:type="dxa"/>
            <w:shd w:val="clear" w:color="auto" w:fill="auto"/>
            <w:vAlign w:val="center"/>
          </w:tcPr>
          <w:p>
            <w:pPr>
              <w:spacing w:line="240" w:lineRule="exact"/>
              <w:jc w:val="center"/>
              <w:rPr>
                <w:rFonts w:ascii="宋体" w:hAnsi="宋体" w:cs="宋体"/>
                <w:color w:val="auto"/>
                <w:szCs w:val="21"/>
                <w:highlight w:val="none"/>
              </w:rPr>
            </w:pPr>
            <w:r>
              <w:rPr>
                <w:rFonts w:hint="eastAsia" w:ascii="宋体" w:hAnsi="宋体" w:cs="宋体"/>
                <w:color w:val="auto"/>
                <w:szCs w:val="21"/>
                <w:highlight w:val="none"/>
              </w:rPr>
              <w:t>3分</w:t>
            </w:r>
          </w:p>
        </w:tc>
        <w:tc>
          <w:tcPr>
            <w:tcW w:w="7025" w:type="dxa"/>
            <w:shd w:val="clear" w:color="auto" w:fill="auto"/>
            <w:vAlign w:val="center"/>
          </w:tcPr>
          <w:p>
            <w:pPr>
              <w:spacing w:line="340" w:lineRule="exact"/>
              <w:ind w:firstLine="420" w:firstLineChars="200"/>
              <w:jc w:val="left"/>
              <w:rPr>
                <w:rFonts w:ascii="宋体" w:hAnsi="宋体" w:cs="宋体"/>
                <w:color w:val="auto"/>
                <w:szCs w:val="21"/>
                <w:highlight w:val="none"/>
              </w:rPr>
            </w:pPr>
            <w:r>
              <w:rPr>
                <w:rFonts w:hint="eastAsia" w:cs="宋体"/>
                <w:color w:val="auto"/>
                <w:szCs w:val="21"/>
                <w:highlight w:val="none"/>
                <w:lang w:bidi="ar"/>
              </w:rPr>
              <w:t>20</w:t>
            </w:r>
            <w:r>
              <w:rPr>
                <w:rFonts w:cs="宋体"/>
                <w:color w:val="auto"/>
                <w:szCs w:val="21"/>
                <w:highlight w:val="none"/>
                <w:lang w:bidi="ar"/>
              </w:rPr>
              <w:t>20</w:t>
            </w:r>
            <w:r>
              <w:rPr>
                <w:rFonts w:hint="eastAsia" w:cs="宋体"/>
                <w:color w:val="auto"/>
                <w:szCs w:val="21"/>
                <w:highlight w:val="none"/>
                <w:lang w:bidi="ar"/>
              </w:rPr>
              <w:t>年1月1日以来，投标人承接过类似信息化项目的；每提供一个得1分，满分</w:t>
            </w:r>
            <w:r>
              <w:rPr>
                <w:rFonts w:cs="宋体"/>
                <w:color w:val="auto"/>
                <w:szCs w:val="21"/>
                <w:highlight w:val="none"/>
                <w:lang w:bidi="ar"/>
              </w:rPr>
              <w:t>3</w:t>
            </w:r>
            <w:r>
              <w:rPr>
                <w:rFonts w:hint="eastAsia" w:cs="宋体"/>
                <w:color w:val="auto"/>
                <w:szCs w:val="21"/>
                <w:highlight w:val="none"/>
                <w:lang w:bidi="ar"/>
              </w:rPr>
              <w:t>分。（提供合同复印件并加盖投标人公章，否则不得分。同一客户多个合同按一个业绩计算）</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99" w:hRule="atLeast"/>
          <w:jc w:val="center"/>
        </w:trPr>
        <w:tc>
          <w:tcPr>
            <w:tcW w:w="9678" w:type="dxa"/>
            <w:gridSpan w:val="4"/>
            <w:shd w:val="clear" w:color="auto" w:fill="auto"/>
            <w:vAlign w:val="center"/>
          </w:tcPr>
          <w:p>
            <w:pPr>
              <w:spacing w:line="380" w:lineRule="exact"/>
              <w:rPr>
                <w:rFonts w:cs="宋体"/>
                <w:color w:val="auto"/>
                <w:szCs w:val="21"/>
                <w:highlight w:val="none"/>
                <w:lang w:bidi="ar"/>
              </w:rPr>
            </w:pPr>
            <w:r>
              <w:rPr>
                <w:rFonts w:hint="eastAsia" w:ascii="宋体" w:hAnsi="宋体" w:cs="宋体"/>
                <w:b/>
                <w:bCs/>
                <w:color w:val="auto"/>
                <w:kern w:val="0"/>
                <w:szCs w:val="21"/>
                <w:highlight w:val="none"/>
                <w:lang w:bidi="ar"/>
              </w:rPr>
              <w:t>总得分=1+2+3+4+5+6+7+8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38" w:hRule="atLeast"/>
          <w:jc w:val="center"/>
        </w:trPr>
        <w:tc>
          <w:tcPr>
            <w:tcW w:w="9678" w:type="dxa"/>
            <w:gridSpan w:val="4"/>
            <w:shd w:val="clear" w:color="auto" w:fill="auto"/>
            <w:vAlign w:val="center"/>
          </w:tcPr>
          <w:p>
            <w:pPr>
              <w:spacing w:line="340" w:lineRule="exact"/>
              <w:rPr>
                <w:rFonts w:ascii="宋体" w:hAnsi="宋体" w:cs="宋体"/>
                <w:color w:val="auto"/>
                <w:szCs w:val="21"/>
                <w:highlight w:val="none"/>
                <w:lang w:bidi="ar"/>
              </w:rPr>
            </w:pPr>
            <w:r>
              <w:rPr>
                <w:rFonts w:hint="eastAsia" w:ascii="宋体" w:hAnsi="宋体" w:cs="宋体"/>
                <w:color w:val="auto"/>
                <w:szCs w:val="21"/>
                <w:highlight w:val="none"/>
                <w:lang w:bidi="ar"/>
              </w:rPr>
              <w:t>推荐成交候选供应商原则</w:t>
            </w:r>
          </w:p>
          <w:p>
            <w:pPr>
              <w:spacing w:line="340" w:lineRule="exact"/>
              <w:ind w:firstLine="420" w:firstLineChars="200"/>
              <w:rPr>
                <w:rFonts w:ascii="宋体" w:hAnsi="宋体" w:cs="宋体"/>
                <w:color w:val="auto"/>
                <w:szCs w:val="21"/>
                <w:highlight w:val="none"/>
                <w:lang w:bidi="ar"/>
              </w:rPr>
            </w:pPr>
            <w:r>
              <w:rPr>
                <w:rFonts w:hint="eastAsia" w:ascii="宋体" w:hAnsi="宋体" w:cs="宋体"/>
                <w:color w:val="auto"/>
                <w:szCs w:val="21"/>
                <w:highlight w:val="none"/>
                <w:lang w:bidi="ar"/>
              </w:rPr>
              <w:t>（一）磋商小组根据综合得分由高到低排列次序，若得分相同时，以评审价由低到高顺序排列；若得分相同且评审价相同的，以投标报价由低到高顺序排列；若仍相同的，按“服务技术方案分”由高到低顺序排列并推荐前叁名为成交候选供应商。</w:t>
            </w:r>
          </w:p>
          <w:p>
            <w:pPr>
              <w:spacing w:line="340" w:lineRule="exact"/>
              <w:ind w:firstLine="420" w:firstLineChars="200"/>
              <w:rPr>
                <w:rFonts w:ascii="宋体" w:hAnsi="宋体" w:cs="宋体"/>
                <w:color w:val="auto"/>
                <w:szCs w:val="21"/>
                <w:highlight w:val="none"/>
                <w:lang w:bidi="ar"/>
              </w:rPr>
            </w:pPr>
            <w:r>
              <w:rPr>
                <w:rFonts w:hint="eastAsia" w:ascii="宋体" w:hAnsi="宋体" w:cs="宋体"/>
                <w:color w:val="auto"/>
                <w:szCs w:val="21"/>
                <w:highlight w:val="none"/>
                <w:lang w:bidi="ar"/>
              </w:rPr>
              <w:t>（二）采购人应当确定评审委员会推荐排名第一的成交候选供应商为成交供应商。排名第一的成交候选供应商放弃成交、未在规定时间内签订合同、因不可抗力提出不能履行合同的，或者磋商文件规定应当提交履约保证金而在规定的期限内未能提交的，采购人可以确定排名第二的成交候选供应商为成交供应商。排名第二的成交候选供应商因前款规定的同样原因不能签订合同的，采购人可以确定排名第三的成交候选供应商为成交供应商。出现上述情况，采购人也可以重新开展政府采购活动。</w:t>
            </w:r>
          </w:p>
          <w:p>
            <w:pPr>
              <w:spacing w:line="340" w:lineRule="exact"/>
              <w:ind w:firstLine="420" w:firstLineChars="200"/>
              <w:rPr>
                <w:rFonts w:ascii="宋体" w:hAnsi="宋体" w:cs="宋体"/>
                <w:b/>
                <w:bCs/>
                <w:color w:val="auto"/>
                <w:kern w:val="0"/>
                <w:szCs w:val="21"/>
                <w:highlight w:val="none"/>
                <w:lang w:bidi="ar"/>
              </w:rPr>
            </w:pPr>
            <w:r>
              <w:rPr>
                <w:rFonts w:hint="eastAsia" w:ascii="宋体" w:hAnsi="宋体" w:cs="宋体"/>
                <w:color w:val="auto"/>
                <w:szCs w:val="21"/>
                <w:highlight w:val="none"/>
                <w:lang w:bidi="ar"/>
              </w:rPr>
              <w:t>（三）如投标人的投标报价明显低于其他通过符合性审查投标人的报价时，应当在磋商小组规定的时间内提供书面文件予以说明，并提交相关证明材料【提供本项目详细价格构成说明函，包括但不限于以下支撑证明材料：做出书面说明并提供报价来源相关证明资料（包括但不限于与本采购项目有关的各个服务成本列表，人工费用、规费、税金等）】。投标人不能在规定的时间内合理说明或者不能提供报</w:t>
            </w:r>
            <w:r>
              <w:rPr>
                <w:rFonts w:hint="eastAsia" w:ascii="宋体" w:hAnsi="宋体" w:cs="宋体"/>
                <w:color w:val="auto"/>
                <w:spacing w:val="-6"/>
                <w:szCs w:val="21"/>
                <w:highlight w:val="none"/>
                <w:lang w:bidi="ar"/>
              </w:rPr>
              <w:t>价来源相关资料的，视作该投标人以</w:t>
            </w:r>
            <w:r>
              <w:rPr>
                <w:rFonts w:hint="eastAsia" w:ascii="宋体" w:hAnsi="宋体"/>
                <w:color w:val="auto"/>
                <w:spacing w:val="-6"/>
                <w:highlight w:val="none"/>
              </w:rPr>
              <w:t>低于成本报价投标，磋商小组可以拒绝其响应文件，评定其报价无效</w:t>
            </w:r>
            <w:r>
              <w:rPr>
                <w:rFonts w:hint="eastAsia" w:ascii="宋体" w:hAnsi="宋体"/>
                <w:color w:val="auto"/>
                <w:highlight w:val="none"/>
              </w:rPr>
              <w:t>。</w:t>
            </w:r>
          </w:p>
        </w:tc>
      </w:tr>
    </w:tbl>
    <w:p>
      <w:pPr>
        <w:keepNext/>
        <w:keepLines/>
        <w:pageBreakBefore w:val="0"/>
        <w:widowControl/>
        <w:kinsoku/>
        <w:wordWrap/>
        <w:overflowPunct/>
        <w:topLinePunct w:val="0"/>
        <w:autoSpaceDE/>
        <w:autoSpaceDN/>
        <w:bidi w:val="0"/>
        <w:spacing w:line="400" w:lineRule="exact"/>
        <w:ind w:firstLine="420" w:firstLineChars="200"/>
        <w:textAlignment w:val="auto"/>
        <w:rPr>
          <w:rFonts w:hint="eastAsia"/>
          <w:highlight w:val="none"/>
        </w:rPr>
      </w:pPr>
    </w:p>
    <w:p>
      <w:pPr>
        <w:keepNext/>
        <w:keepLines/>
        <w:widowControl/>
        <w:spacing w:line="400" w:lineRule="exact"/>
        <w:ind w:firstLine="420" w:firstLineChars="200"/>
        <w:rPr>
          <w:rFonts w:ascii="等线" w:hAnsi="等线" w:eastAsia="等线"/>
          <w:szCs w:val="22"/>
          <w:highlight w:val="none"/>
        </w:rPr>
      </w:pPr>
      <w:r>
        <w:rPr>
          <w:rFonts w:hint="eastAsia" w:ascii="宋体" w:hAnsi="宋体" w:eastAsia="等线"/>
          <w:szCs w:val="22"/>
          <w:highlight w:val="none"/>
        </w:rPr>
        <w:t>。</w:t>
      </w:r>
    </w:p>
    <w:bookmarkEnd w:id="90"/>
    <w:p>
      <w:pPr>
        <w:pStyle w:val="8"/>
        <w:overflowPunct w:val="0"/>
        <w:ind w:firstLine="0"/>
        <w:rPr>
          <w:rFonts w:ascii="宋体" w:hAnsi="宋体" w:cs="宋体"/>
          <w:bCs/>
          <w:highlight w:val="none"/>
        </w:rPr>
      </w:pPr>
    </w:p>
    <w:sectPr>
      <w:headerReference r:id="rId3" w:type="default"/>
      <w:footerReference r:id="rId4" w:type="default"/>
      <w:footerReference r:id="rId5" w:type="even"/>
      <w:pgSz w:w="11907" w:h="16840"/>
      <w:pgMar w:top="841" w:right="1021" w:bottom="1021" w:left="1021" w:header="851" w:footer="851" w:gutter="0"/>
      <w:pgNumType w:start="0"/>
      <w:cols w:space="720"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Cambria">
    <w:panose1 w:val="02040503050406030204"/>
    <w:charset w:val="00"/>
    <w:family w:val="roman"/>
    <w:pitch w:val="default"/>
    <w:sig w:usb0="E00002FF" w:usb1="400004FF" w:usb2="00000000" w:usb3="00000000" w:csb0="2000019F" w:csb1="00000000"/>
  </w:font>
  <w:font w:name="Verdana">
    <w:panose1 w:val="020B0604030504040204"/>
    <w:charset w:val="00"/>
    <w:family w:val="swiss"/>
    <w:pitch w:val="default"/>
    <w:sig w:usb0="A10006FF" w:usb1="4000205B" w:usb2="00000010" w:usb3="00000000" w:csb0="2000019F" w:csb1="00000000"/>
  </w:font>
  <w:font w:name="TimesNewRomanPSMT">
    <w:altName w:val="Times New Roman"/>
    <w:panose1 w:val="00000000000000000000"/>
    <w:charset w:val="00"/>
    <w:family w:val="auto"/>
    <w:pitch w:val="default"/>
    <w:sig w:usb0="00000000" w:usb1="00000000" w:usb2="00000000" w:usb3="00000000" w:csb0="00040001" w:csb1="00000000"/>
  </w:font>
  <w:font w:name="Tahoma">
    <w:panose1 w:val="020B0604030504040204"/>
    <w:charset w:val="00"/>
    <w:family w:val="swiss"/>
    <w:pitch w:val="default"/>
    <w:sig w:usb0="E1002EFF" w:usb1="C000605B" w:usb2="00000029" w:usb3="00000000" w:csb0="200101FF" w:csb1="20280000"/>
  </w:font>
  <w:font w:name="_x000B__x000C_">
    <w:altName w:val="Times New Roman"/>
    <w:panose1 w:val="00000000000000000000"/>
    <w:charset w:val="00"/>
    <w:family w:val="roman"/>
    <w:pitch w:val="default"/>
    <w:sig w:usb0="00000000" w:usb1="00000000" w:usb2="00000000" w:usb3="00000000" w:csb0="00040001" w:csb1="00000000"/>
  </w:font>
  <w:font w:name="楷体_GB2312">
    <w:panose1 w:val="02010609030101010101"/>
    <w:charset w:val="86"/>
    <w:family w:val="modern"/>
    <w:pitch w:val="default"/>
    <w:sig w:usb0="00000001" w:usb1="080E0000" w:usb2="00000000" w:usb3="00000000" w:csb0="00040000" w:csb1="00000000"/>
  </w:font>
  <w:font w:name="MS Mincho">
    <w:panose1 w:val="02020609040205080304"/>
    <w:charset w:val="80"/>
    <w:family w:val="modern"/>
    <w:pitch w:val="default"/>
    <w:sig w:usb0="E00002FF" w:usb1="6AC7FDFB" w:usb2="00000012" w:usb3="00000000" w:csb0="4002009F" w:csb1="DFD70000"/>
  </w:font>
  <w:font w:name="仿宋">
    <w:panose1 w:val="02010609060101010101"/>
    <w:charset w:val="86"/>
    <w:family w:val="auto"/>
    <w:pitch w:val="default"/>
    <w:sig w:usb0="800002BF" w:usb1="38CF7CFA" w:usb2="00000016" w:usb3="00000000" w:csb0="00040001" w:csb1="00000000"/>
  </w:font>
  <w:font w:name="Wingdings 2">
    <w:altName w:val="Wingdings"/>
    <w:panose1 w:val="05020102010507070707"/>
    <w:charset w:val="02"/>
    <w:family w:val="roman"/>
    <w:pitch w:val="default"/>
    <w:sig w:usb0="00000000" w:usb1="00000000" w:usb2="00000000" w:usb3="00000000" w:csb0="80000000" w:csb1="00000000"/>
  </w:font>
  <w:font w:name="方正小标宋_GBK">
    <w:altName w:val="微软雅黑"/>
    <w:panose1 w:val="03000509000000000000"/>
    <w:charset w:val="86"/>
    <w:family w:val="script"/>
    <w:pitch w:val="default"/>
    <w:sig w:usb0="00000000" w:usb1="0000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等线">
    <w:altName w:val="微软雅黑"/>
    <w:panose1 w:val="02010600030101010101"/>
    <w:charset w:val="86"/>
    <w:family w:val="auto"/>
    <w:pitch w:val="default"/>
    <w:sig w:usb0="00000000" w:usb1="00000000" w:usb2="00000016" w:usb3="00000000" w:csb0="0004000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5"/>
      <w:framePr w:w="365" w:h="321" w:hRule="exact" w:wrap="around" w:vAnchor="text" w:hAnchor="page" w:x="5815" w:y="11"/>
      <w:rPr>
        <w:rStyle w:val="62"/>
        <w:sz w:val="21"/>
        <w:szCs w:val="21"/>
      </w:rPr>
    </w:pPr>
    <w:r>
      <w:rPr>
        <w:sz w:val="21"/>
        <w:szCs w:val="21"/>
      </w:rPr>
      <w:fldChar w:fldCharType="begin"/>
    </w:r>
    <w:r>
      <w:rPr>
        <w:rStyle w:val="62"/>
        <w:sz w:val="21"/>
        <w:szCs w:val="21"/>
      </w:rPr>
      <w:instrText xml:space="preserve">PAGE  </w:instrText>
    </w:r>
    <w:r>
      <w:rPr>
        <w:sz w:val="21"/>
        <w:szCs w:val="21"/>
      </w:rPr>
      <w:fldChar w:fldCharType="separate"/>
    </w:r>
    <w:r>
      <w:rPr>
        <w:rStyle w:val="62"/>
        <w:sz w:val="21"/>
        <w:szCs w:val="21"/>
      </w:rPr>
      <w:t>30</w:t>
    </w:r>
    <w:r>
      <w:rPr>
        <w:sz w:val="21"/>
        <w:szCs w:val="21"/>
      </w:rPr>
      <w:fldChar w:fldCharType="end"/>
    </w:r>
  </w:p>
  <w:p>
    <w:pPr>
      <w:pStyle w:val="3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5"/>
      <w:framePr w:wrap="around" w:vAnchor="text" w:hAnchor="margin" w:xAlign="center" w:y="1"/>
      <w:rPr>
        <w:rStyle w:val="62"/>
      </w:rPr>
    </w:pPr>
    <w:r>
      <w:fldChar w:fldCharType="begin"/>
    </w:r>
    <w:r>
      <w:rPr>
        <w:rStyle w:val="62"/>
      </w:rPr>
      <w:instrText xml:space="preserve">PAGE  </w:instrText>
    </w:r>
    <w:r>
      <w:fldChar w:fldCharType="separate"/>
    </w:r>
    <w:r>
      <w:rPr>
        <w:rStyle w:val="62"/>
      </w:rPr>
      <w:t>1</w:t>
    </w:r>
    <w:r>
      <w:fldChar w:fldCharType="end"/>
    </w:r>
  </w:p>
  <w:p>
    <w:pPr>
      <w:pStyle w:val="35"/>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6"/>
      <w:pBdr>
        <w:bottom w:val="single" w:color="auto" w:sz="4" w:space="1"/>
      </w:pBdr>
      <w:jc w:val="both"/>
      <w:rPr>
        <w:u w:val="single"/>
      </w:rPr>
    </w:pPr>
    <w:r>
      <w:rPr>
        <w:rFonts w:hint="eastAsia"/>
      </w:rPr>
      <w:t>广西新宇建设项目管理有限公司</w:t>
    </w:r>
    <w:r>
      <w:rPr>
        <w:rFonts w:hint="eastAsia"/>
        <w:u w:val="single"/>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CF7F356"/>
    <w:multiLevelType w:val="multilevel"/>
    <w:tmpl w:val="BCF7F356"/>
    <w:lvl w:ilvl="0" w:tentative="0">
      <w:start w:val="1"/>
      <w:numFmt w:val="decimal"/>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
    <w:nsid w:val="C442442A"/>
    <w:multiLevelType w:val="singleLevel"/>
    <w:tmpl w:val="C442442A"/>
    <w:lvl w:ilvl="0" w:tentative="0">
      <w:start w:val="1"/>
      <w:numFmt w:val="decimal"/>
      <w:lvlText w:val="%1."/>
      <w:lvlJc w:val="left"/>
      <w:pPr>
        <w:tabs>
          <w:tab w:val="left" w:pos="312"/>
        </w:tabs>
      </w:pPr>
    </w:lvl>
  </w:abstractNum>
  <w:abstractNum w:abstractNumId="2">
    <w:nsid w:val="CC71DB6A"/>
    <w:multiLevelType w:val="singleLevel"/>
    <w:tmpl w:val="CC71DB6A"/>
    <w:lvl w:ilvl="0" w:tentative="0">
      <w:start w:val="6"/>
      <w:numFmt w:val="decimal"/>
      <w:suff w:val="space"/>
      <w:lvlText w:val="%1."/>
      <w:lvlJc w:val="left"/>
    </w:lvl>
  </w:abstractNum>
  <w:abstractNum w:abstractNumId="3">
    <w:nsid w:val="ECA7A8CD"/>
    <w:multiLevelType w:val="singleLevel"/>
    <w:tmpl w:val="ECA7A8CD"/>
    <w:lvl w:ilvl="0" w:tentative="0">
      <w:start w:val="1"/>
      <w:numFmt w:val="decimal"/>
      <w:suff w:val="space"/>
      <w:lvlText w:val="%1."/>
      <w:lvlJc w:val="left"/>
    </w:lvl>
  </w:abstractNum>
  <w:abstractNum w:abstractNumId="4">
    <w:nsid w:val="0C6E22F1"/>
    <w:multiLevelType w:val="multilevel"/>
    <w:tmpl w:val="0C6E22F1"/>
    <w:lvl w:ilvl="0" w:tentative="0">
      <w:start w:val="1"/>
      <w:numFmt w:val="decimal"/>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5">
    <w:nsid w:val="18F6E597"/>
    <w:multiLevelType w:val="multilevel"/>
    <w:tmpl w:val="18F6E597"/>
    <w:lvl w:ilvl="0" w:tentative="0">
      <w:start w:val="1"/>
      <w:numFmt w:val="decimal"/>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6">
    <w:nsid w:val="226D1398"/>
    <w:multiLevelType w:val="multilevel"/>
    <w:tmpl w:val="226D1398"/>
    <w:lvl w:ilvl="0" w:tentative="0">
      <w:start w:val="1"/>
      <w:numFmt w:val="decimal"/>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7">
    <w:nsid w:val="4EF0D1F4"/>
    <w:multiLevelType w:val="multilevel"/>
    <w:tmpl w:val="4EF0D1F4"/>
    <w:lvl w:ilvl="0" w:tentative="0">
      <w:start w:val="1"/>
      <w:numFmt w:val="decimal"/>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8">
    <w:nsid w:val="58DE164B"/>
    <w:multiLevelType w:val="singleLevel"/>
    <w:tmpl w:val="58DE164B"/>
    <w:lvl w:ilvl="0" w:tentative="0">
      <w:start w:val="1"/>
      <w:numFmt w:val="decimal"/>
      <w:suff w:val="space"/>
      <w:lvlText w:val="%1."/>
      <w:lvlJc w:val="left"/>
    </w:lvl>
  </w:abstractNum>
  <w:abstractNum w:abstractNumId="9">
    <w:nsid w:val="64E7FED1"/>
    <w:multiLevelType w:val="multilevel"/>
    <w:tmpl w:val="64E7FED1"/>
    <w:lvl w:ilvl="0" w:tentative="0">
      <w:start w:val="1"/>
      <w:numFmt w:val="decimal"/>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0">
    <w:nsid w:val="72B5932C"/>
    <w:multiLevelType w:val="multilevel"/>
    <w:tmpl w:val="72B5932C"/>
    <w:lvl w:ilvl="0" w:tentative="0">
      <w:start w:val="1"/>
      <w:numFmt w:val="decimal"/>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1">
    <w:nsid w:val="752947E7"/>
    <w:multiLevelType w:val="multilevel"/>
    <w:tmpl w:val="752947E7"/>
    <w:lvl w:ilvl="0" w:tentative="0">
      <w:start w:val="1"/>
      <w:numFmt w:val="decimal"/>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1"/>
  </w:num>
  <w:num w:numId="2">
    <w:abstractNumId w:val="2"/>
  </w:num>
  <w:num w:numId="3">
    <w:abstractNumId w:val="3"/>
  </w:num>
  <w:num w:numId="4">
    <w:abstractNumId w:val="7"/>
  </w:num>
  <w:num w:numId="5">
    <w:abstractNumId w:val="5"/>
  </w:num>
  <w:num w:numId="6">
    <w:abstractNumId w:val="6"/>
  </w:num>
  <w:num w:numId="7">
    <w:abstractNumId w:val="9"/>
  </w:num>
  <w:num w:numId="8">
    <w:abstractNumId w:val="4"/>
  </w:num>
  <w:num w:numId="9">
    <w:abstractNumId w:val="10"/>
  </w:num>
  <w:num w:numId="10">
    <w:abstractNumId w:val="0"/>
  </w:num>
  <w:num w:numId="11">
    <w:abstractNumId w:val="11"/>
  </w:num>
  <w:num w:numId="12">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cryptProviderType="rsaFull" w:cryptAlgorithmClass="hash" w:cryptAlgorithmType="typeAny" w:cryptAlgorithmSid="4" w:cryptSpinCount="0" w:hash="wctiuduGZHL1AQMoUR1cLB3PP0Y=" w:salt="veWy1BQQSB0A18Sg4i73Ww=="/>
  <w:defaultTabStop w:val="420"/>
  <w:drawingGridVerticalSpacing w:val="156"/>
  <w:doNotShadeFormData w:val="1"/>
  <w:noPunctuationKerning w:val="1"/>
  <w:characterSpacingControl w:val="compressPunctuation"/>
  <w:doNotValidateAgainstSchema/>
  <w:doNotDemarcateInvalidXml/>
  <w:compat>
    <w:spaceForUL/>
    <w:balanceSingleByteDoubleByteWidth/>
    <w:doNotLeaveBackslashAlon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2VmYjE4NmZmNTk1NTQ2NzgyOWZlODI1M2RlYzQ3NmMifQ=="/>
  </w:docVars>
  <w:rsids>
    <w:rsidRoot w:val="00172A27"/>
    <w:rsid w:val="0000036D"/>
    <w:rsid w:val="0000040B"/>
    <w:rsid w:val="00000573"/>
    <w:rsid w:val="000006AE"/>
    <w:rsid w:val="00000B50"/>
    <w:rsid w:val="00001626"/>
    <w:rsid w:val="000021B5"/>
    <w:rsid w:val="000022DB"/>
    <w:rsid w:val="0000231C"/>
    <w:rsid w:val="00002A85"/>
    <w:rsid w:val="00002CAD"/>
    <w:rsid w:val="0000397A"/>
    <w:rsid w:val="0000498A"/>
    <w:rsid w:val="000050FC"/>
    <w:rsid w:val="00005217"/>
    <w:rsid w:val="00005534"/>
    <w:rsid w:val="00005C28"/>
    <w:rsid w:val="00006D5B"/>
    <w:rsid w:val="00006FFA"/>
    <w:rsid w:val="0000762A"/>
    <w:rsid w:val="00007683"/>
    <w:rsid w:val="0000794E"/>
    <w:rsid w:val="00007E6F"/>
    <w:rsid w:val="0001036B"/>
    <w:rsid w:val="0001056F"/>
    <w:rsid w:val="0001190E"/>
    <w:rsid w:val="00011B42"/>
    <w:rsid w:val="00011EBB"/>
    <w:rsid w:val="000125C8"/>
    <w:rsid w:val="000125F0"/>
    <w:rsid w:val="00012946"/>
    <w:rsid w:val="00012D75"/>
    <w:rsid w:val="00013335"/>
    <w:rsid w:val="0001386B"/>
    <w:rsid w:val="00013AE5"/>
    <w:rsid w:val="00013EC7"/>
    <w:rsid w:val="00014006"/>
    <w:rsid w:val="0001476B"/>
    <w:rsid w:val="00014F1F"/>
    <w:rsid w:val="0001515F"/>
    <w:rsid w:val="00015342"/>
    <w:rsid w:val="00015426"/>
    <w:rsid w:val="00015748"/>
    <w:rsid w:val="00015D1C"/>
    <w:rsid w:val="00016297"/>
    <w:rsid w:val="000162F9"/>
    <w:rsid w:val="00016841"/>
    <w:rsid w:val="00016913"/>
    <w:rsid w:val="00016E17"/>
    <w:rsid w:val="00016F97"/>
    <w:rsid w:val="000177F5"/>
    <w:rsid w:val="00017814"/>
    <w:rsid w:val="00017826"/>
    <w:rsid w:val="00017EC0"/>
    <w:rsid w:val="00020155"/>
    <w:rsid w:val="000210B0"/>
    <w:rsid w:val="000220FA"/>
    <w:rsid w:val="00022213"/>
    <w:rsid w:val="0002275F"/>
    <w:rsid w:val="00022B4D"/>
    <w:rsid w:val="0002307D"/>
    <w:rsid w:val="00023161"/>
    <w:rsid w:val="000232EA"/>
    <w:rsid w:val="000233B3"/>
    <w:rsid w:val="000241A5"/>
    <w:rsid w:val="000241FE"/>
    <w:rsid w:val="0002453F"/>
    <w:rsid w:val="000245CF"/>
    <w:rsid w:val="0002479A"/>
    <w:rsid w:val="00024F58"/>
    <w:rsid w:val="00025335"/>
    <w:rsid w:val="000253A6"/>
    <w:rsid w:val="00025423"/>
    <w:rsid w:val="0002593B"/>
    <w:rsid w:val="00026426"/>
    <w:rsid w:val="00026850"/>
    <w:rsid w:val="00026B61"/>
    <w:rsid w:val="00026F49"/>
    <w:rsid w:val="00026FFA"/>
    <w:rsid w:val="00027044"/>
    <w:rsid w:val="0002790A"/>
    <w:rsid w:val="00027B19"/>
    <w:rsid w:val="00030831"/>
    <w:rsid w:val="000309A4"/>
    <w:rsid w:val="00030B84"/>
    <w:rsid w:val="00031163"/>
    <w:rsid w:val="0003223F"/>
    <w:rsid w:val="00032340"/>
    <w:rsid w:val="00032510"/>
    <w:rsid w:val="000327D3"/>
    <w:rsid w:val="000327F5"/>
    <w:rsid w:val="00032873"/>
    <w:rsid w:val="00032D90"/>
    <w:rsid w:val="0003310F"/>
    <w:rsid w:val="00033664"/>
    <w:rsid w:val="00033B47"/>
    <w:rsid w:val="00033E05"/>
    <w:rsid w:val="0003417E"/>
    <w:rsid w:val="00035FE5"/>
    <w:rsid w:val="00036022"/>
    <w:rsid w:val="00036C92"/>
    <w:rsid w:val="0003709D"/>
    <w:rsid w:val="000379DD"/>
    <w:rsid w:val="00037F20"/>
    <w:rsid w:val="00040A4D"/>
    <w:rsid w:val="00041087"/>
    <w:rsid w:val="0004151D"/>
    <w:rsid w:val="000415BE"/>
    <w:rsid w:val="0004194A"/>
    <w:rsid w:val="000422DE"/>
    <w:rsid w:val="0004252F"/>
    <w:rsid w:val="000425DA"/>
    <w:rsid w:val="00042689"/>
    <w:rsid w:val="00042699"/>
    <w:rsid w:val="00042A53"/>
    <w:rsid w:val="00042E1A"/>
    <w:rsid w:val="00043216"/>
    <w:rsid w:val="00043595"/>
    <w:rsid w:val="00043625"/>
    <w:rsid w:val="00043749"/>
    <w:rsid w:val="0004395D"/>
    <w:rsid w:val="00043E1F"/>
    <w:rsid w:val="00044106"/>
    <w:rsid w:val="00044F0B"/>
    <w:rsid w:val="00045CE2"/>
    <w:rsid w:val="00045FB0"/>
    <w:rsid w:val="00046776"/>
    <w:rsid w:val="00046C3E"/>
    <w:rsid w:val="00046F5A"/>
    <w:rsid w:val="0004765F"/>
    <w:rsid w:val="000476C1"/>
    <w:rsid w:val="0004772B"/>
    <w:rsid w:val="00047C09"/>
    <w:rsid w:val="00050005"/>
    <w:rsid w:val="00050068"/>
    <w:rsid w:val="0005007D"/>
    <w:rsid w:val="000501F2"/>
    <w:rsid w:val="000501FE"/>
    <w:rsid w:val="0005032D"/>
    <w:rsid w:val="0005071C"/>
    <w:rsid w:val="00050C32"/>
    <w:rsid w:val="000510E2"/>
    <w:rsid w:val="00051DF3"/>
    <w:rsid w:val="00051EEA"/>
    <w:rsid w:val="000528D7"/>
    <w:rsid w:val="00052DE5"/>
    <w:rsid w:val="00052DEF"/>
    <w:rsid w:val="00053362"/>
    <w:rsid w:val="00053712"/>
    <w:rsid w:val="00053719"/>
    <w:rsid w:val="00054517"/>
    <w:rsid w:val="00054F12"/>
    <w:rsid w:val="00054FA3"/>
    <w:rsid w:val="0005550D"/>
    <w:rsid w:val="00055584"/>
    <w:rsid w:val="00055728"/>
    <w:rsid w:val="00055FBA"/>
    <w:rsid w:val="00056456"/>
    <w:rsid w:val="0005674A"/>
    <w:rsid w:val="00056915"/>
    <w:rsid w:val="00060384"/>
    <w:rsid w:val="0006078A"/>
    <w:rsid w:val="00061320"/>
    <w:rsid w:val="00061580"/>
    <w:rsid w:val="0006189E"/>
    <w:rsid w:val="000620D2"/>
    <w:rsid w:val="00062842"/>
    <w:rsid w:val="000642F7"/>
    <w:rsid w:val="0006491B"/>
    <w:rsid w:val="00064954"/>
    <w:rsid w:val="0006539C"/>
    <w:rsid w:val="00066273"/>
    <w:rsid w:val="0006672A"/>
    <w:rsid w:val="00066882"/>
    <w:rsid w:val="00066B2F"/>
    <w:rsid w:val="000677DF"/>
    <w:rsid w:val="00067938"/>
    <w:rsid w:val="000705CB"/>
    <w:rsid w:val="0007086F"/>
    <w:rsid w:val="00070E2A"/>
    <w:rsid w:val="0007107F"/>
    <w:rsid w:val="00071740"/>
    <w:rsid w:val="00071993"/>
    <w:rsid w:val="00071B40"/>
    <w:rsid w:val="00072E2E"/>
    <w:rsid w:val="000731DE"/>
    <w:rsid w:val="000737E0"/>
    <w:rsid w:val="00073A08"/>
    <w:rsid w:val="00073C9E"/>
    <w:rsid w:val="000740EB"/>
    <w:rsid w:val="0007417E"/>
    <w:rsid w:val="0007428F"/>
    <w:rsid w:val="00074EC3"/>
    <w:rsid w:val="00074F31"/>
    <w:rsid w:val="000758DB"/>
    <w:rsid w:val="000759C8"/>
    <w:rsid w:val="00076A92"/>
    <w:rsid w:val="0007744C"/>
    <w:rsid w:val="0007783B"/>
    <w:rsid w:val="00077B99"/>
    <w:rsid w:val="00077C22"/>
    <w:rsid w:val="00080DC7"/>
    <w:rsid w:val="000817E2"/>
    <w:rsid w:val="000819C8"/>
    <w:rsid w:val="00081A17"/>
    <w:rsid w:val="00081A9D"/>
    <w:rsid w:val="000827BB"/>
    <w:rsid w:val="00082C17"/>
    <w:rsid w:val="00082F57"/>
    <w:rsid w:val="00083AF6"/>
    <w:rsid w:val="00084054"/>
    <w:rsid w:val="000840BE"/>
    <w:rsid w:val="000849DF"/>
    <w:rsid w:val="00084A05"/>
    <w:rsid w:val="0008526F"/>
    <w:rsid w:val="00085507"/>
    <w:rsid w:val="0008628D"/>
    <w:rsid w:val="000864D4"/>
    <w:rsid w:val="000866D6"/>
    <w:rsid w:val="0008711E"/>
    <w:rsid w:val="00087C46"/>
    <w:rsid w:val="0009098D"/>
    <w:rsid w:val="00090D33"/>
    <w:rsid w:val="00090DD1"/>
    <w:rsid w:val="000918D6"/>
    <w:rsid w:val="00092495"/>
    <w:rsid w:val="00092658"/>
    <w:rsid w:val="00092B76"/>
    <w:rsid w:val="00092EAB"/>
    <w:rsid w:val="00092EBE"/>
    <w:rsid w:val="00092EC0"/>
    <w:rsid w:val="0009362D"/>
    <w:rsid w:val="00093E23"/>
    <w:rsid w:val="00093F6C"/>
    <w:rsid w:val="0009436D"/>
    <w:rsid w:val="000945BA"/>
    <w:rsid w:val="000948DF"/>
    <w:rsid w:val="0009497B"/>
    <w:rsid w:val="00094B52"/>
    <w:rsid w:val="000950D5"/>
    <w:rsid w:val="00095813"/>
    <w:rsid w:val="00095F87"/>
    <w:rsid w:val="0009628D"/>
    <w:rsid w:val="00096665"/>
    <w:rsid w:val="000966B6"/>
    <w:rsid w:val="000968AA"/>
    <w:rsid w:val="00096BFE"/>
    <w:rsid w:val="00097A29"/>
    <w:rsid w:val="00097C15"/>
    <w:rsid w:val="00097E7D"/>
    <w:rsid w:val="000A012A"/>
    <w:rsid w:val="000A0224"/>
    <w:rsid w:val="000A0417"/>
    <w:rsid w:val="000A06D4"/>
    <w:rsid w:val="000A07C7"/>
    <w:rsid w:val="000A0AD8"/>
    <w:rsid w:val="000A0D0E"/>
    <w:rsid w:val="000A109D"/>
    <w:rsid w:val="000A1150"/>
    <w:rsid w:val="000A13C2"/>
    <w:rsid w:val="000A1F38"/>
    <w:rsid w:val="000A20FB"/>
    <w:rsid w:val="000A212F"/>
    <w:rsid w:val="000A2172"/>
    <w:rsid w:val="000A24E9"/>
    <w:rsid w:val="000A2BFC"/>
    <w:rsid w:val="000A360A"/>
    <w:rsid w:val="000A379E"/>
    <w:rsid w:val="000A3D53"/>
    <w:rsid w:val="000A3D61"/>
    <w:rsid w:val="000A4211"/>
    <w:rsid w:val="000A42CC"/>
    <w:rsid w:val="000A481A"/>
    <w:rsid w:val="000A4AE9"/>
    <w:rsid w:val="000A4F99"/>
    <w:rsid w:val="000A5AC3"/>
    <w:rsid w:val="000A5C40"/>
    <w:rsid w:val="000A5C78"/>
    <w:rsid w:val="000A5E8F"/>
    <w:rsid w:val="000A5FBF"/>
    <w:rsid w:val="000A6038"/>
    <w:rsid w:val="000A61A6"/>
    <w:rsid w:val="000A78A5"/>
    <w:rsid w:val="000A79E7"/>
    <w:rsid w:val="000A7BAA"/>
    <w:rsid w:val="000A7FC4"/>
    <w:rsid w:val="000B0061"/>
    <w:rsid w:val="000B02FA"/>
    <w:rsid w:val="000B08AB"/>
    <w:rsid w:val="000B18F4"/>
    <w:rsid w:val="000B1B64"/>
    <w:rsid w:val="000B1DC8"/>
    <w:rsid w:val="000B1DDB"/>
    <w:rsid w:val="000B1F3C"/>
    <w:rsid w:val="000B2168"/>
    <w:rsid w:val="000B226F"/>
    <w:rsid w:val="000B240B"/>
    <w:rsid w:val="000B289B"/>
    <w:rsid w:val="000B2B30"/>
    <w:rsid w:val="000B34FE"/>
    <w:rsid w:val="000B40B2"/>
    <w:rsid w:val="000B4DFE"/>
    <w:rsid w:val="000B5179"/>
    <w:rsid w:val="000B5EDA"/>
    <w:rsid w:val="000B6167"/>
    <w:rsid w:val="000B763C"/>
    <w:rsid w:val="000B76E0"/>
    <w:rsid w:val="000B7DC3"/>
    <w:rsid w:val="000C02C6"/>
    <w:rsid w:val="000C06A5"/>
    <w:rsid w:val="000C07B7"/>
    <w:rsid w:val="000C0BBA"/>
    <w:rsid w:val="000C0D50"/>
    <w:rsid w:val="000C1103"/>
    <w:rsid w:val="000C142D"/>
    <w:rsid w:val="000C183A"/>
    <w:rsid w:val="000C19B4"/>
    <w:rsid w:val="000C1D92"/>
    <w:rsid w:val="000C233C"/>
    <w:rsid w:val="000C241F"/>
    <w:rsid w:val="000C29B4"/>
    <w:rsid w:val="000C2CFA"/>
    <w:rsid w:val="000C3642"/>
    <w:rsid w:val="000C36DF"/>
    <w:rsid w:val="000C370A"/>
    <w:rsid w:val="000C3D08"/>
    <w:rsid w:val="000C4134"/>
    <w:rsid w:val="000C41CE"/>
    <w:rsid w:val="000C43E9"/>
    <w:rsid w:val="000C4CDF"/>
    <w:rsid w:val="000C5790"/>
    <w:rsid w:val="000C57D6"/>
    <w:rsid w:val="000C5884"/>
    <w:rsid w:val="000C5BE2"/>
    <w:rsid w:val="000C606A"/>
    <w:rsid w:val="000C60A6"/>
    <w:rsid w:val="000C640B"/>
    <w:rsid w:val="000C6459"/>
    <w:rsid w:val="000C647F"/>
    <w:rsid w:val="000C64DF"/>
    <w:rsid w:val="000C6C06"/>
    <w:rsid w:val="000C6E9C"/>
    <w:rsid w:val="000C6F3D"/>
    <w:rsid w:val="000C730A"/>
    <w:rsid w:val="000C76A5"/>
    <w:rsid w:val="000D0A54"/>
    <w:rsid w:val="000D0C3A"/>
    <w:rsid w:val="000D103C"/>
    <w:rsid w:val="000D1223"/>
    <w:rsid w:val="000D14B4"/>
    <w:rsid w:val="000D26DE"/>
    <w:rsid w:val="000D28B5"/>
    <w:rsid w:val="000D2F31"/>
    <w:rsid w:val="000D38DB"/>
    <w:rsid w:val="000D428E"/>
    <w:rsid w:val="000D4B5A"/>
    <w:rsid w:val="000D51FE"/>
    <w:rsid w:val="000D533E"/>
    <w:rsid w:val="000D5E5A"/>
    <w:rsid w:val="000D5E79"/>
    <w:rsid w:val="000D62EC"/>
    <w:rsid w:val="000D6344"/>
    <w:rsid w:val="000D650C"/>
    <w:rsid w:val="000D66AB"/>
    <w:rsid w:val="000D6EC8"/>
    <w:rsid w:val="000D7D32"/>
    <w:rsid w:val="000D7E76"/>
    <w:rsid w:val="000E08BB"/>
    <w:rsid w:val="000E0A5E"/>
    <w:rsid w:val="000E0D38"/>
    <w:rsid w:val="000E1600"/>
    <w:rsid w:val="000E16F7"/>
    <w:rsid w:val="000E182A"/>
    <w:rsid w:val="000E1D97"/>
    <w:rsid w:val="000E25C5"/>
    <w:rsid w:val="000E2952"/>
    <w:rsid w:val="000E29A7"/>
    <w:rsid w:val="000E2E19"/>
    <w:rsid w:val="000E322D"/>
    <w:rsid w:val="000E3A6C"/>
    <w:rsid w:val="000E41C1"/>
    <w:rsid w:val="000E43A1"/>
    <w:rsid w:val="000E4434"/>
    <w:rsid w:val="000E44F8"/>
    <w:rsid w:val="000E4609"/>
    <w:rsid w:val="000E4CD7"/>
    <w:rsid w:val="000E54D3"/>
    <w:rsid w:val="000E5629"/>
    <w:rsid w:val="000E61C3"/>
    <w:rsid w:val="000E66F3"/>
    <w:rsid w:val="000E699D"/>
    <w:rsid w:val="000E6E70"/>
    <w:rsid w:val="000E7165"/>
    <w:rsid w:val="000E75EC"/>
    <w:rsid w:val="000E7F93"/>
    <w:rsid w:val="000E7FAC"/>
    <w:rsid w:val="000F01CC"/>
    <w:rsid w:val="000F1ECD"/>
    <w:rsid w:val="000F2B7D"/>
    <w:rsid w:val="000F325C"/>
    <w:rsid w:val="000F335F"/>
    <w:rsid w:val="000F37CC"/>
    <w:rsid w:val="000F39A9"/>
    <w:rsid w:val="000F3A4A"/>
    <w:rsid w:val="000F3AA1"/>
    <w:rsid w:val="000F3E97"/>
    <w:rsid w:val="000F4605"/>
    <w:rsid w:val="000F4719"/>
    <w:rsid w:val="000F479E"/>
    <w:rsid w:val="000F4B7F"/>
    <w:rsid w:val="000F5028"/>
    <w:rsid w:val="000F52C3"/>
    <w:rsid w:val="000F54C8"/>
    <w:rsid w:val="000F5627"/>
    <w:rsid w:val="000F566B"/>
    <w:rsid w:val="000F5710"/>
    <w:rsid w:val="000F59F3"/>
    <w:rsid w:val="000F5C0A"/>
    <w:rsid w:val="000F5E21"/>
    <w:rsid w:val="000F5F30"/>
    <w:rsid w:val="000F6037"/>
    <w:rsid w:val="000F6791"/>
    <w:rsid w:val="000F6F5D"/>
    <w:rsid w:val="000F701C"/>
    <w:rsid w:val="000F7445"/>
    <w:rsid w:val="000F7B9D"/>
    <w:rsid w:val="000F7F55"/>
    <w:rsid w:val="00100380"/>
    <w:rsid w:val="00100771"/>
    <w:rsid w:val="00100A5A"/>
    <w:rsid w:val="001014B3"/>
    <w:rsid w:val="00101734"/>
    <w:rsid w:val="0010256A"/>
    <w:rsid w:val="0010256F"/>
    <w:rsid w:val="00103B41"/>
    <w:rsid w:val="00104D16"/>
    <w:rsid w:val="001059D1"/>
    <w:rsid w:val="00105DAB"/>
    <w:rsid w:val="0010695C"/>
    <w:rsid w:val="001069C9"/>
    <w:rsid w:val="00107349"/>
    <w:rsid w:val="001076B7"/>
    <w:rsid w:val="0010773D"/>
    <w:rsid w:val="00107F38"/>
    <w:rsid w:val="00110364"/>
    <w:rsid w:val="001107CB"/>
    <w:rsid w:val="00110AA4"/>
    <w:rsid w:val="00110AFE"/>
    <w:rsid w:val="00110C4D"/>
    <w:rsid w:val="00111001"/>
    <w:rsid w:val="00111B78"/>
    <w:rsid w:val="00111B8A"/>
    <w:rsid w:val="00111F68"/>
    <w:rsid w:val="001123EC"/>
    <w:rsid w:val="00112453"/>
    <w:rsid w:val="001125C7"/>
    <w:rsid w:val="001129D4"/>
    <w:rsid w:val="00112B21"/>
    <w:rsid w:val="00113612"/>
    <w:rsid w:val="00113794"/>
    <w:rsid w:val="0011397C"/>
    <w:rsid w:val="00113D8D"/>
    <w:rsid w:val="001142C0"/>
    <w:rsid w:val="001143C9"/>
    <w:rsid w:val="0011440F"/>
    <w:rsid w:val="001149DD"/>
    <w:rsid w:val="00114A22"/>
    <w:rsid w:val="00114CB8"/>
    <w:rsid w:val="00114D59"/>
    <w:rsid w:val="00114EB7"/>
    <w:rsid w:val="0011510C"/>
    <w:rsid w:val="00115C92"/>
    <w:rsid w:val="00115EFD"/>
    <w:rsid w:val="0011712E"/>
    <w:rsid w:val="001176DF"/>
    <w:rsid w:val="00120474"/>
    <w:rsid w:val="0012050E"/>
    <w:rsid w:val="001205D2"/>
    <w:rsid w:val="00120774"/>
    <w:rsid w:val="0012097E"/>
    <w:rsid w:val="00120FB1"/>
    <w:rsid w:val="00121031"/>
    <w:rsid w:val="00121DCF"/>
    <w:rsid w:val="00122D25"/>
    <w:rsid w:val="0012377B"/>
    <w:rsid w:val="00123F2F"/>
    <w:rsid w:val="00124089"/>
    <w:rsid w:val="0012481F"/>
    <w:rsid w:val="001248A6"/>
    <w:rsid w:val="001264E1"/>
    <w:rsid w:val="001264E6"/>
    <w:rsid w:val="00126783"/>
    <w:rsid w:val="00127518"/>
    <w:rsid w:val="00127737"/>
    <w:rsid w:val="001279C2"/>
    <w:rsid w:val="00127CD7"/>
    <w:rsid w:val="001306BF"/>
    <w:rsid w:val="001306DD"/>
    <w:rsid w:val="00130EDE"/>
    <w:rsid w:val="00131128"/>
    <w:rsid w:val="0013118D"/>
    <w:rsid w:val="0013145A"/>
    <w:rsid w:val="0013157C"/>
    <w:rsid w:val="001334C8"/>
    <w:rsid w:val="001337F5"/>
    <w:rsid w:val="0013395A"/>
    <w:rsid w:val="00134271"/>
    <w:rsid w:val="00134708"/>
    <w:rsid w:val="00134AD1"/>
    <w:rsid w:val="00134C63"/>
    <w:rsid w:val="00134C98"/>
    <w:rsid w:val="001351D5"/>
    <w:rsid w:val="00135D21"/>
    <w:rsid w:val="00135D4F"/>
    <w:rsid w:val="00136726"/>
    <w:rsid w:val="001375EF"/>
    <w:rsid w:val="0013785C"/>
    <w:rsid w:val="0013787B"/>
    <w:rsid w:val="00137DD1"/>
    <w:rsid w:val="001406EF"/>
    <w:rsid w:val="00140B67"/>
    <w:rsid w:val="00141225"/>
    <w:rsid w:val="00141321"/>
    <w:rsid w:val="001423B0"/>
    <w:rsid w:val="0014280F"/>
    <w:rsid w:val="00143149"/>
    <w:rsid w:val="001433E8"/>
    <w:rsid w:val="00143EA6"/>
    <w:rsid w:val="00144015"/>
    <w:rsid w:val="001442E9"/>
    <w:rsid w:val="001443F7"/>
    <w:rsid w:val="0014492A"/>
    <w:rsid w:val="00145434"/>
    <w:rsid w:val="001454F3"/>
    <w:rsid w:val="0014575E"/>
    <w:rsid w:val="00145874"/>
    <w:rsid w:val="00145A80"/>
    <w:rsid w:val="00145B71"/>
    <w:rsid w:val="00146F75"/>
    <w:rsid w:val="001470B6"/>
    <w:rsid w:val="00147333"/>
    <w:rsid w:val="00147662"/>
    <w:rsid w:val="001500BF"/>
    <w:rsid w:val="001506BE"/>
    <w:rsid w:val="001509B0"/>
    <w:rsid w:val="001510B5"/>
    <w:rsid w:val="001516F4"/>
    <w:rsid w:val="00151CC5"/>
    <w:rsid w:val="00151D33"/>
    <w:rsid w:val="001529F0"/>
    <w:rsid w:val="00153083"/>
    <w:rsid w:val="0015399F"/>
    <w:rsid w:val="00153BE8"/>
    <w:rsid w:val="00154270"/>
    <w:rsid w:val="00154652"/>
    <w:rsid w:val="001549FB"/>
    <w:rsid w:val="001550B3"/>
    <w:rsid w:val="001554E2"/>
    <w:rsid w:val="00155553"/>
    <w:rsid w:val="001564AE"/>
    <w:rsid w:val="0015653E"/>
    <w:rsid w:val="00156926"/>
    <w:rsid w:val="00156978"/>
    <w:rsid w:val="00156D19"/>
    <w:rsid w:val="001570E6"/>
    <w:rsid w:val="00157458"/>
    <w:rsid w:val="00157E5B"/>
    <w:rsid w:val="0016083C"/>
    <w:rsid w:val="0016094B"/>
    <w:rsid w:val="00160960"/>
    <w:rsid w:val="00160B54"/>
    <w:rsid w:val="0016100B"/>
    <w:rsid w:val="00161312"/>
    <w:rsid w:val="00161DFB"/>
    <w:rsid w:val="00162768"/>
    <w:rsid w:val="00162DA9"/>
    <w:rsid w:val="00163252"/>
    <w:rsid w:val="0016325E"/>
    <w:rsid w:val="001632E9"/>
    <w:rsid w:val="001632FB"/>
    <w:rsid w:val="0016334F"/>
    <w:rsid w:val="00163793"/>
    <w:rsid w:val="00164A56"/>
    <w:rsid w:val="00165481"/>
    <w:rsid w:val="00165A42"/>
    <w:rsid w:val="001660B2"/>
    <w:rsid w:val="001663DA"/>
    <w:rsid w:val="00166DA2"/>
    <w:rsid w:val="00167E86"/>
    <w:rsid w:val="00167E88"/>
    <w:rsid w:val="00167F20"/>
    <w:rsid w:val="00170214"/>
    <w:rsid w:val="00170AFA"/>
    <w:rsid w:val="001712FE"/>
    <w:rsid w:val="001713B5"/>
    <w:rsid w:val="001713FA"/>
    <w:rsid w:val="0017168C"/>
    <w:rsid w:val="00171BED"/>
    <w:rsid w:val="001726B2"/>
    <w:rsid w:val="001726F5"/>
    <w:rsid w:val="00172726"/>
    <w:rsid w:val="00172A27"/>
    <w:rsid w:val="001733E4"/>
    <w:rsid w:val="00173C7B"/>
    <w:rsid w:val="00174507"/>
    <w:rsid w:val="00174DCC"/>
    <w:rsid w:val="00175034"/>
    <w:rsid w:val="001751B3"/>
    <w:rsid w:val="001757DB"/>
    <w:rsid w:val="00175D42"/>
    <w:rsid w:val="00176251"/>
    <w:rsid w:val="00176353"/>
    <w:rsid w:val="001764EF"/>
    <w:rsid w:val="0017696E"/>
    <w:rsid w:val="00176BC7"/>
    <w:rsid w:val="00176DE0"/>
    <w:rsid w:val="00177184"/>
    <w:rsid w:val="00180171"/>
    <w:rsid w:val="00180419"/>
    <w:rsid w:val="0018133A"/>
    <w:rsid w:val="001819C5"/>
    <w:rsid w:val="00182FC5"/>
    <w:rsid w:val="00183136"/>
    <w:rsid w:val="00183314"/>
    <w:rsid w:val="00183D52"/>
    <w:rsid w:val="00183E66"/>
    <w:rsid w:val="0018421F"/>
    <w:rsid w:val="0018440D"/>
    <w:rsid w:val="00184C81"/>
    <w:rsid w:val="00184FFB"/>
    <w:rsid w:val="001850A7"/>
    <w:rsid w:val="00185180"/>
    <w:rsid w:val="0018533B"/>
    <w:rsid w:val="00185C5D"/>
    <w:rsid w:val="00185F2E"/>
    <w:rsid w:val="00186152"/>
    <w:rsid w:val="00186322"/>
    <w:rsid w:val="00186712"/>
    <w:rsid w:val="00186968"/>
    <w:rsid w:val="00187CE0"/>
    <w:rsid w:val="001907EA"/>
    <w:rsid w:val="00190950"/>
    <w:rsid w:val="00190A8C"/>
    <w:rsid w:val="00190F26"/>
    <w:rsid w:val="00190F6E"/>
    <w:rsid w:val="0019152B"/>
    <w:rsid w:val="001917C2"/>
    <w:rsid w:val="00191D03"/>
    <w:rsid w:val="00191E17"/>
    <w:rsid w:val="00192196"/>
    <w:rsid w:val="001922CF"/>
    <w:rsid w:val="001924D4"/>
    <w:rsid w:val="00192714"/>
    <w:rsid w:val="00192F01"/>
    <w:rsid w:val="0019309F"/>
    <w:rsid w:val="00193691"/>
    <w:rsid w:val="001937C0"/>
    <w:rsid w:val="00194319"/>
    <w:rsid w:val="00194B3F"/>
    <w:rsid w:val="00194DBD"/>
    <w:rsid w:val="001952A4"/>
    <w:rsid w:val="001957E7"/>
    <w:rsid w:val="00195847"/>
    <w:rsid w:val="00196052"/>
    <w:rsid w:val="001A0953"/>
    <w:rsid w:val="001A177A"/>
    <w:rsid w:val="001A19C7"/>
    <w:rsid w:val="001A1E47"/>
    <w:rsid w:val="001A2038"/>
    <w:rsid w:val="001A2155"/>
    <w:rsid w:val="001A264C"/>
    <w:rsid w:val="001A28F8"/>
    <w:rsid w:val="001A3266"/>
    <w:rsid w:val="001A36A9"/>
    <w:rsid w:val="001A3825"/>
    <w:rsid w:val="001A39F6"/>
    <w:rsid w:val="001A4235"/>
    <w:rsid w:val="001A4B64"/>
    <w:rsid w:val="001A4CE3"/>
    <w:rsid w:val="001A4D04"/>
    <w:rsid w:val="001A4FF6"/>
    <w:rsid w:val="001A53C3"/>
    <w:rsid w:val="001A5489"/>
    <w:rsid w:val="001A5B9F"/>
    <w:rsid w:val="001A6384"/>
    <w:rsid w:val="001A6506"/>
    <w:rsid w:val="001A685C"/>
    <w:rsid w:val="001A68D4"/>
    <w:rsid w:val="001A72DD"/>
    <w:rsid w:val="001A75AC"/>
    <w:rsid w:val="001B00CC"/>
    <w:rsid w:val="001B0102"/>
    <w:rsid w:val="001B1DB7"/>
    <w:rsid w:val="001B2621"/>
    <w:rsid w:val="001B2C98"/>
    <w:rsid w:val="001B3208"/>
    <w:rsid w:val="001B3899"/>
    <w:rsid w:val="001B3ADE"/>
    <w:rsid w:val="001B3C2E"/>
    <w:rsid w:val="001B3C6A"/>
    <w:rsid w:val="001B405A"/>
    <w:rsid w:val="001B4C02"/>
    <w:rsid w:val="001B4E43"/>
    <w:rsid w:val="001B5207"/>
    <w:rsid w:val="001B5BB6"/>
    <w:rsid w:val="001B6C03"/>
    <w:rsid w:val="001B79FF"/>
    <w:rsid w:val="001B7F4C"/>
    <w:rsid w:val="001C00D2"/>
    <w:rsid w:val="001C0425"/>
    <w:rsid w:val="001C0C6C"/>
    <w:rsid w:val="001C0D64"/>
    <w:rsid w:val="001C1F12"/>
    <w:rsid w:val="001C299E"/>
    <w:rsid w:val="001C3426"/>
    <w:rsid w:val="001C3920"/>
    <w:rsid w:val="001C3CCF"/>
    <w:rsid w:val="001C47B6"/>
    <w:rsid w:val="001C4910"/>
    <w:rsid w:val="001C4A1D"/>
    <w:rsid w:val="001C5F0C"/>
    <w:rsid w:val="001C62DD"/>
    <w:rsid w:val="001C6C25"/>
    <w:rsid w:val="001C7245"/>
    <w:rsid w:val="001C74E6"/>
    <w:rsid w:val="001C7A25"/>
    <w:rsid w:val="001C7A87"/>
    <w:rsid w:val="001C7AD0"/>
    <w:rsid w:val="001D0429"/>
    <w:rsid w:val="001D046E"/>
    <w:rsid w:val="001D07B2"/>
    <w:rsid w:val="001D0A08"/>
    <w:rsid w:val="001D0FA3"/>
    <w:rsid w:val="001D1115"/>
    <w:rsid w:val="001D1140"/>
    <w:rsid w:val="001D1A89"/>
    <w:rsid w:val="001D2268"/>
    <w:rsid w:val="001D2991"/>
    <w:rsid w:val="001D2A4D"/>
    <w:rsid w:val="001D3354"/>
    <w:rsid w:val="001D3502"/>
    <w:rsid w:val="001D368D"/>
    <w:rsid w:val="001D3996"/>
    <w:rsid w:val="001D4932"/>
    <w:rsid w:val="001D5512"/>
    <w:rsid w:val="001D5FEF"/>
    <w:rsid w:val="001D6124"/>
    <w:rsid w:val="001D69A2"/>
    <w:rsid w:val="001D6A11"/>
    <w:rsid w:val="001D72BF"/>
    <w:rsid w:val="001D74F5"/>
    <w:rsid w:val="001D7A58"/>
    <w:rsid w:val="001D7D7D"/>
    <w:rsid w:val="001E0148"/>
    <w:rsid w:val="001E0BE6"/>
    <w:rsid w:val="001E0C9C"/>
    <w:rsid w:val="001E0E71"/>
    <w:rsid w:val="001E13F8"/>
    <w:rsid w:val="001E14C9"/>
    <w:rsid w:val="001E19EE"/>
    <w:rsid w:val="001E1CEB"/>
    <w:rsid w:val="001E29DE"/>
    <w:rsid w:val="001E31E3"/>
    <w:rsid w:val="001E3AD6"/>
    <w:rsid w:val="001E3B42"/>
    <w:rsid w:val="001E4173"/>
    <w:rsid w:val="001E4EFB"/>
    <w:rsid w:val="001E69FC"/>
    <w:rsid w:val="001E6D9A"/>
    <w:rsid w:val="001E71F9"/>
    <w:rsid w:val="001E739B"/>
    <w:rsid w:val="001E7ABF"/>
    <w:rsid w:val="001F039B"/>
    <w:rsid w:val="001F1110"/>
    <w:rsid w:val="001F119D"/>
    <w:rsid w:val="001F18F8"/>
    <w:rsid w:val="001F1A92"/>
    <w:rsid w:val="001F26B5"/>
    <w:rsid w:val="001F34B5"/>
    <w:rsid w:val="001F3545"/>
    <w:rsid w:val="001F379A"/>
    <w:rsid w:val="001F3881"/>
    <w:rsid w:val="001F42DC"/>
    <w:rsid w:val="001F47D9"/>
    <w:rsid w:val="001F48A8"/>
    <w:rsid w:val="001F4D39"/>
    <w:rsid w:val="001F4F3B"/>
    <w:rsid w:val="001F4FC5"/>
    <w:rsid w:val="001F55E6"/>
    <w:rsid w:val="001F723B"/>
    <w:rsid w:val="001F74F3"/>
    <w:rsid w:val="001F7A1B"/>
    <w:rsid w:val="001F7A28"/>
    <w:rsid w:val="001F7A2E"/>
    <w:rsid w:val="001F7A72"/>
    <w:rsid w:val="001F7E67"/>
    <w:rsid w:val="002009A6"/>
    <w:rsid w:val="00200AAB"/>
    <w:rsid w:val="00200CB1"/>
    <w:rsid w:val="00201222"/>
    <w:rsid w:val="002017E8"/>
    <w:rsid w:val="002023F3"/>
    <w:rsid w:val="00202B06"/>
    <w:rsid w:val="00202E98"/>
    <w:rsid w:val="00202EC4"/>
    <w:rsid w:val="002033EA"/>
    <w:rsid w:val="0020357C"/>
    <w:rsid w:val="002036D1"/>
    <w:rsid w:val="00203FF0"/>
    <w:rsid w:val="002042E6"/>
    <w:rsid w:val="00204857"/>
    <w:rsid w:val="00204988"/>
    <w:rsid w:val="00204B43"/>
    <w:rsid w:val="00204C62"/>
    <w:rsid w:val="00204F39"/>
    <w:rsid w:val="00204FDB"/>
    <w:rsid w:val="0020528B"/>
    <w:rsid w:val="002055A0"/>
    <w:rsid w:val="002057BD"/>
    <w:rsid w:val="002059A9"/>
    <w:rsid w:val="00205AD1"/>
    <w:rsid w:val="00206090"/>
    <w:rsid w:val="002063F2"/>
    <w:rsid w:val="00206781"/>
    <w:rsid w:val="0020782C"/>
    <w:rsid w:val="00207DDE"/>
    <w:rsid w:val="00207E17"/>
    <w:rsid w:val="00210086"/>
    <w:rsid w:val="002104F6"/>
    <w:rsid w:val="002107B3"/>
    <w:rsid w:val="00210948"/>
    <w:rsid w:val="002112B0"/>
    <w:rsid w:val="002113C8"/>
    <w:rsid w:val="00211830"/>
    <w:rsid w:val="002119F7"/>
    <w:rsid w:val="00211D7C"/>
    <w:rsid w:val="00213214"/>
    <w:rsid w:val="00214B13"/>
    <w:rsid w:val="00215038"/>
    <w:rsid w:val="0021504E"/>
    <w:rsid w:val="0021525B"/>
    <w:rsid w:val="00215BA2"/>
    <w:rsid w:val="00215DBE"/>
    <w:rsid w:val="00215F4D"/>
    <w:rsid w:val="002161CC"/>
    <w:rsid w:val="00216EA8"/>
    <w:rsid w:val="002172DE"/>
    <w:rsid w:val="00217392"/>
    <w:rsid w:val="002174B3"/>
    <w:rsid w:val="0022058D"/>
    <w:rsid w:val="00220977"/>
    <w:rsid w:val="0022098E"/>
    <w:rsid w:val="00220A7C"/>
    <w:rsid w:val="002214C4"/>
    <w:rsid w:val="002219C5"/>
    <w:rsid w:val="00222246"/>
    <w:rsid w:val="00222446"/>
    <w:rsid w:val="00222C5E"/>
    <w:rsid w:val="00223094"/>
    <w:rsid w:val="00223205"/>
    <w:rsid w:val="002236C9"/>
    <w:rsid w:val="00223EF8"/>
    <w:rsid w:val="0022484A"/>
    <w:rsid w:val="00224935"/>
    <w:rsid w:val="00224A3E"/>
    <w:rsid w:val="00225057"/>
    <w:rsid w:val="00225D74"/>
    <w:rsid w:val="002265E1"/>
    <w:rsid w:val="002265EA"/>
    <w:rsid w:val="002266A8"/>
    <w:rsid w:val="002271A1"/>
    <w:rsid w:val="002272A7"/>
    <w:rsid w:val="0022731A"/>
    <w:rsid w:val="00227B73"/>
    <w:rsid w:val="00227F11"/>
    <w:rsid w:val="0023002A"/>
    <w:rsid w:val="00230F3D"/>
    <w:rsid w:val="002315AE"/>
    <w:rsid w:val="002315E8"/>
    <w:rsid w:val="0023240B"/>
    <w:rsid w:val="002324B3"/>
    <w:rsid w:val="00232BF3"/>
    <w:rsid w:val="00232C9E"/>
    <w:rsid w:val="00232F5F"/>
    <w:rsid w:val="0023353E"/>
    <w:rsid w:val="00233B31"/>
    <w:rsid w:val="00234A2F"/>
    <w:rsid w:val="00234E7C"/>
    <w:rsid w:val="002352ED"/>
    <w:rsid w:val="0023537A"/>
    <w:rsid w:val="00235A7C"/>
    <w:rsid w:val="00236267"/>
    <w:rsid w:val="00236C3B"/>
    <w:rsid w:val="0023714B"/>
    <w:rsid w:val="002374E8"/>
    <w:rsid w:val="0023786A"/>
    <w:rsid w:val="00237F46"/>
    <w:rsid w:val="002406E6"/>
    <w:rsid w:val="00240A47"/>
    <w:rsid w:val="00240C52"/>
    <w:rsid w:val="002411C8"/>
    <w:rsid w:val="00241333"/>
    <w:rsid w:val="00241CED"/>
    <w:rsid w:val="00241DD3"/>
    <w:rsid w:val="00241EFA"/>
    <w:rsid w:val="002421D7"/>
    <w:rsid w:val="0024230B"/>
    <w:rsid w:val="0024253C"/>
    <w:rsid w:val="0024258C"/>
    <w:rsid w:val="00242757"/>
    <w:rsid w:val="00242932"/>
    <w:rsid w:val="002429C1"/>
    <w:rsid w:val="00242C79"/>
    <w:rsid w:val="00242E6D"/>
    <w:rsid w:val="002430E3"/>
    <w:rsid w:val="002432E2"/>
    <w:rsid w:val="002432FA"/>
    <w:rsid w:val="00243307"/>
    <w:rsid w:val="00243E49"/>
    <w:rsid w:val="00244285"/>
    <w:rsid w:val="00244932"/>
    <w:rsid w:val="00244B81"/>
    <w:rsid w:val="00245236"/>
    <w:rsid w:val="0024533E"/>
    <w:rsid w:val="00245412"/>
    <w:rsid w:val="002456CF"/>
    <w:rsid w:val="002456D0"/>
    <w:rsid w:val="00245FA9"/>
    <w:rsid w:val="002460A7"/>
    <w:rsid w:val="002463EB"/>
    <w:rsid w:val="00246F10"/>
    <w:rsid w:val="00247249"/>
    <w:rsid w:val="00247C43"/>
    <w:rsid w:val="00247FD6"/>
    <w:rsid w:val="00250702"/>
    <w:rsid w:val="00250B5B"/>
    <w:rsid w:val="00250FF3"/>
    <w:rsid w:val="00251399"/>
    <w:rsid w:val="00251711"/>
    <w:rsid w:val="00251751"/>
    <w:rsid w:val="00251C06"/>
    <w:rsid w:val="00252374"/>
    <w:rsid w:val="002523C5"/>
    <w:rsid w:val="0025255A"/>
    <w:rsid w:val="00252588"/>
    <w:rsid w:val="00252B33"/>
    <w:rsid w:val="00252BDE"/>
    <w:rsid w:val="00252C89"/>
    <w:rsid w:val="00252CA3"/>
    <w:rsid w:val="002533A5"/>
    <w:rsid w:val="002541EC"/>
    <w:rsid w:val="002545E5"/>
    <w:rsid w:val="002548C2"/>
    <w:rsid w:val="002551A5"/>
    <w:rsid w:val="002553A3"/>
    <w:rsid w:val="00255BAF"/>
    <w:rsid w:val="00255C6A"/>
    <w:rsid w:val="00255C79"/>
    <w:rsid w:val="00256597"/>
    <w:rsid w:val="0025681A"/>
    <w:rsid w:val="002568B5"/>
    <w:rsid w:val="00256A27"/>
    <w:rsid w:val="00257487"/>
    <w:rsid w:val="00257F8B"/>
    <w:rsid w:val="00260B08"/>
    <w:rsid w:val="0026106D"/>
    <w:rsid w:val="002616E5"/>
    <w:rsid w:val="00261867"/>
    <w:rsid w:val="00261C63"/>
    <w:rsid w:val="00262276"/>
    <w:rsid w:val="00262B4A"/>
    <w:rsid w:val="00263BF2"/>
    <w:rsid w:val="002647F3"/>
    <w:rsid w:val="00264986"/>
    <w:rsid w:val="002650DC"/>
    <w:rsid w:val="002653EA"/>
    <w:rsid w:val="002654A0"/>
    <w:rsid w:val="00265FE9"/>
    <w:rsid w:val="002660F5"/>
    <w:rsid w:val="00266338"/>
    <w:rsid w:val="0026634F"/>
    <w:rsid w:val="00267231"/>
    <w:rsid w:val="002676E9"/>
    <w:rsid w:val="00267B79"/>
    <w:rsid w:val="00267BF7"/>
    <w:rsid w:val="002719E4"/>
    <w:rsid w:val="00271D10"/>
    <w:rsid w:val="0027345E"/>
    <w:rsid w:val="002737A5"/>
    <w:rsid w:val="00273D57"/>
    <w:rsid w:val="002742D8"/>
    <w:rsid w:val="00274389"/>
    <w:rsid w:val="0027448E"/>
    <w:rsid w:val="00274872"/>
    <w:rsid w:val="00274D8F"/>
    <w:rsid w:val="00274E63"/>
    <w:rsid w:val="0027615E"/>
    <w:rsid w:val="002766F3"/>
    <w:rsid w:val="00276E5E"/>
    <w:rsid w:val="00277138"/>
    <w:rsid w:val="00277473"/>
    <w:rsid w:val="002803AA"/>
    <w:rsid w:val="0028073A"/>
    <w:rsid w:val="00281214"/>
    <w:rsid w:val="002815A3"/>
    <w:rsid w:val="00281898"/>
    <w:rsid w:val="00281AEE"/>
    <w:rsid w:val="00281BB1"/>
    <w:rsid w:val="00282531"/>
    <w:rsid w:val="00283401"/>
    <w:rsid w:val="0028439B"/>
    <w:rsid w:val="00284403"/>
    <w:rsid w:val="00285445"/>
    <w:rsid w:val="002854FB"/>
    <w:rsid w:val="0028565C"/>
    <w:rsid w:val="00285B06"/>
    <w:rsid w:val="00285E32"/>
    <w:rsid w:val="002860B8"/>
    <w:rsid w:val="002866B6"/>
    <w:rsid w:val="002868EA"/>
    <w:rsid w:val="002869F6"/>
    <w:rsid w:val="00286CC1"/>
    <w:rsid w:val="002902F8"/>
    <w:rsid w:val="00290B0B"/>
    <w:rsid w:val="00290DF8"/>
    <w:rsid w:val="002913AD"/>
    <w:rsid w:val="00291626"/>
    <w:rsid w:val="00291EBB"/>
    <w:rsid w:val="0029261B"/>
    <w:rsid w:val="0029264C"/>
    <w:rsid w:val="002942BA"/>
    <w:rsid w:val="00294E5F"/>
    <w:rsid w:val="00295085"/>
    <w:rsid w:val="0029509D"/>
    <w:rsid w:val="002954E2"/>
    <w:rsid w:val="00295A4F"/>
    <w:rsid w:val="002973E2"/>
    <w:rsid w:val="002974F0"/>
    <w:rsid w:val="00297904"/>
    <w:rsid w:val="00297EB6"/>
    <w:rsid w:val="00297EF5"/>
    <w:rsid w:val="002A0272"/>
    <w:rsid w:val="002A03FE"/>
    <w:rsid w:val="002A074B"/>
    <w:rsid w:val="002A10D9"/>
    <w:rsid w:val="002A1B02"/>
    <w:rsid w:val="002A1E94"/>
    <w:rsid w:val="002A1FC0"/>
    <w:rsid w:val="002A2EC3"/>
    <w:rsid w:val="002A30D5"/>
    <w:rsid w:val="002A322C"/>
    <w:rsid w:val="002A32E3"/>
    <w:rsid w:val="002A388E"/>
    <w:rsid w:val="002A391D"/>
    <w:rsid w:val="002A3F73"/>
    <w:rsid w:val="002A4B58"/>
    <w:rsid w:val="002A4E72"/>
    <w:rsid w:val="002A5052"/>
    <w:rsid w:val="002A545D"/>
    <w:rsid w:val="002A5F42"/>
    <w:rsid w:val="002A6815"/>
    <w:rsid w:val="002A71B7"/>
    <w:rsid w:val="002A7B7B"/>
    <w:rsid w:val="002A7C6E"/>
    <w:rsid w:val="002A7E2D"/>
    <w:rsid w:val="002B0136"/>
    <w:rsid w:val="002B0841"/>
    <w:rsid w:val="002B1745"/>
    <w:rsid w:val="002B191C"/>
    <w:rsid w:val="002B300B"/>
    <w:rsid w:val="002B3073"/>
    <w:rsid w:val="002B35DF"/>
    <w:rsid w:val="002B36B4"/>
    <w:rsid w:val="002B375E"/>
    <w:rsid w:val="002B3967"/>
    <w:rsid w:val="002B3994"/>
    <w:rsid w:val="002B3C3A"/>
    <w:rsid w:val="002B40CA"/>
    <w:rsid w:val="002B47B9"/>
    <w:rsid w:val="002B47BB"/>
    <w:rsid w:val="002B4E1B"/>
    <w:rsid w:val="002B55A4"/>
    <w:rsid w:val="002B5B77"/>
    <w:rsid w:val="002B6573"/>
    <w:rsid w:val="002B65E9"/>
    <w:rsid w:val="002B687F"/>
    <w:rsid w:val="002B708F"/>
    <w:rsid w:val="002C073C"/>
    <w:rsid w:val="002C07AF"/>
    <w:rsid w:val="002C0A1C"/>
    <w:rsid w:val="002C0AA2"/>
    <w:rsid w:val="002C0ADE"/>
    <w:rsid w:val="002C0EE6"/>
    <w:rsid w:val="002C1CE3"/>
    <w:rsid w:val="002C1EB8"/>
    <w:rsid w:val="002C2C47"/>
    <w:rsid w:val="002C2F7B"/>
    <w:rsid w:val="002C30E3"/>
    <w:rsid w:val="002C3882"/>
    <w:rsid w:val="002C3B36"/>
    <w:rsid w:val="002C4784"/>
    <w:rsid w:val="002C4BF5"/>
    <w:rsid w:val="002C5B01"/>
    <w:rsid w:val="002C5C6E"/>
    <w:rsid w:val="002C5DAC"/>
    <w:rsid w:val="002C68B6"/>
    <w:rsid w:val="002C7657"/>
    <w:rsid w:val="002C7B9D"/>
    <w:rsid w:val="002C7CAB"/>
    <w:rsid w:val="002C7D82"/>
    <w:rsid w:val="002D01F4"/>
    <w:rsid w:val="002D1C06"/>
    <w:rsid w:val="002D24DB"/>
    <w:rsid w:val="002D2A5E"/>
    <w:rsid w:val="002D2E0A"/>
    <w:rsid w:val="002D347F"/>
    <w:rsid w:val="002D3845"/>
    <w:rsid w:val="002D38C9"/>
    <w:rsid w:val="002D4248"/>
    <w:rsid w:val="002D47BE"/>
    <w:rsid w:val="002D62A6"/>
    <w:rsid w:val="002D62CD"/>
    <w:rsid w:val="002D694B"/>
    <w:rsid w:val="002D7038"/>
    <w:rsid w:val="002D7806"/>
    <w:rsid w:val="002E00FA"/>
    <w:rsid w:val="002E0ABC"/>
    <w:rsid w:val="002E0FAB"/>
    <w:rsid w:val="002E133D"/>
    <w:rsid w:val="002E18F1"/>
    <w:rsid w:val="002E269B"/>
    <w:rsid w:val="002E2929"/>
    <w:rsid w:val="002E2C5A"/>
    <w:rsid w:val="002E3016"/>
    <w:rsid w:val="002E3076"/>
    <w:rsid w:val="002E312B"/>
    <w:rsid w:val="002E354B"/>
    <w:rsid w:val="002E52F4"/>
    <w:rsid w:val="002E576F"/>
    <w:rsid w:val="002E5B0D"/>
    <w:rsid w:val="002E5D68"/>
    <w:rsid w:val="002E5EAE"/>
    <w:rsid w:val="002E60A1"/>
    <w:rsid w:val="002E6D79"/>
    <w:rsid w:val="002E721C"/>
    <w:rsid w:val="002F000A"/>
    <w:rsid w:val="002F0860"/>
    <w:rsid w:val="002F1070"/>
    <w:rsid w:val="002F1393"/>
    <w:rsid w:val="002F13FF"/>
    <w:rsid w:val="002F1473"/>
    <w:rsid w:val="002F194C"/>
    <w:rsid w:val="002F1D4F"/>
    <w:rsid w:val="002F210F"/>
    <w:rsid w:val="002F29F3"/>
    <w:rsid w:val="002F346E"/>
    <w:rsid w:val="002F3681"/>
    <w:rsid w:val="002F379D"/>
    <w:rsid w:val="002F3B27"/>
    <w:rsid w:val="002F44C9"/>
    <w:rsid w:val="002F4BC1"/>
    <w:rsid w:val="002F500A"/>
    <w:rsid w:val="002F53DD"/>
    <w:rsid w:val="002F576F"/>
    <w:rsid w:val="002F5A4B"/>
    <w:rsid w:val="002F5C6C"/>
    <w:rsid w:val="002F5C98"/>
    <w:rsid w:val="002F6FDD"/>
    <w:rsid w:val="002F74A9"/>
    <w:rsid w:val="002F75A0"/>
    <w:rsid w:val="00300484"/>
    <w:rsid w:val="003012F0"/>
    <w:rsid w:val="0030176D"/>
    <w:rsid w:val="00301FDF"/>
    <w:rsid w:val="00302022"/>
    <w:rsid w:val="003024FF"/>
    <w:rsid w:val="003031A4"/>
    <w:rsid w:val="00303749"/>
    <w:rsid w:val="00303DFD"/>
    <w:rsid w:val="00304418"/>
    <w:rsid w:val="00305009"/>
    <w:rsid w:val="0030522C"/>
    <w:rsid w:val="003055B2"/>
    <w:rsid w:val="003056B2"/>
    <w:rsid w:val="00305A90"/>
    <w:rsid w:val="00305CA9"/>
    <w:rsid w:val="003061E8"/>
    <w:rsid w:val="003062A2"/>
    <w:rsid w:val="0030635F"/>
    <w:rsid w:val="00306543"/>
    <w:rsid w:val="0030670F"/>
    <w:rsid w:val="00306E75"/>
    <w:rsid w:val="003075C8"/>
    <w:rsid w:val="00307823"/>
    <w:rsid w:val="003078AC"/>
    <w:rsid w:val="00307944"/>
    <w:rsid w:val="003107FA"/>
    <w:rsid w:val="00311059"/>
    <w:rsid w:val="003113A8"/>
    <w:rsid w:val="00311FED"/>
    <w:rsid w:val="00312396"/>
    <w:rsid w:val="003124B8"/>
    <w:rsid w:val="00312C61"/>
    <w:rsid w:val="00312E93"/>
    <w:rsid w:val="00312EE5"/>
    <w:rsid w:val="003132BB"/>
    <w:rsid w:val="003135A6"/>
    <w:rsid w:val="00314215"/>
    <w:rsid w:val="003142A6"/>
    <w:rsid w:val="00314662"/>
    <w:rsid w:val="00314700"/>
    <w:rsid w:val="00314BC7"/>
    <w:rsid w:val="00314E8F"/>
    <w:rsid w:val="00314ECE"/>
    <w:rsid w:val="00314FB1"/>
    <w:rsid w:val="0031522C"/>
    <w:rsid w:val="00315607"/>
    <w:rsid w:val="00315796"/>
    <w:rsid w:val="00315BA3"/>
    <w:rsid w:val="003162C1"/>
    <w:rsid w:val="00316A94"/>
    <w:rsid w:val="00316E97"/>
    <w:rsid w:val="003172DE"/>
    <w:rsid w:val="003173C7"/>
    <w:rsid w:val="00317450"/>
    <w:rsid w:val="00317553"/>
    <w:rsid w:val="0031763A"/>
    <w:rsid w:val="0031769A"/>
    <w:rsid w:val="00317BB1"/>
    <w:rsid w:val="00317BD1"/>
    <w:rsid w:val="00317BEE"/>
    <w:rsid w:val="003209B2"/>
    <w:rsid w:val="00321808"/>
    <w:rsid w:val="00321909"/>
    <w:rsid w:val="00322A63"/>
    <w:rsid w:val="00322D29"/>
    <w:rsid w:val="00322FE4"/>
    <w:rsid w:val="00323212"/>
    <w:rsid w:val="00324939"/>
    <w:rsid w:val="003259BF"/>
    <w:rsid w:val="00325A97"/>
    <w:rsid w:val="00325ACB"/>
    <w:rsid w:val="00325B7A"/>
    <w:rsid w:val="0032670F"/>
    <w:rsid w:val="00326958"/>
    <w:rsid w:val="00326A34"/>
    <w:rsid w:val="003270AC"/>
    <w:rsid w:val="003278BD"/>
    <w:rsid w:val="00327C2E"/>
    <w:rsid w:val="00327E9E"/>
    <w:rsid w:val="00327F24"/>
    <w:rsid w:val="0033050B"/>
    <w:rsid w:val="00330996"/>
    <w:rsid w:val="00330D17"/>
    <w:rsid w:val="003313F0"/>
    <w:rsid w:val="00331813"/>
    <w:rsid w:val="003319B4"/>
    <w:rsid w:val="0033210B"/>
    <w:rsid w:val="0033213B"/>
    <w:rsid w:val="00332B4C"/>
    <w:rsid w:val="00332C3E"/>
    <w:rsid w:val="00332DBD"/>
    <w:rsid w:val="00332DE0"/>
    <w:rsid w:val="00333D02"/>
    <w:rsid w:val="003345B1"/>
    <w:rsid w:val="003348F1"/>
    <w:rsid w:val="00334A25"/>
    <w:rsid w:val="00334A65"/>
    <w:rsid w:val="003352DD"/>
    <w:rsid w:val="003352EF"/>
    <w:rsid w:val="0033564F"/>
    <w:rsid w:val="003357CB"/>
    <w:rsid w:val="00336084"/>
    <w:rsid w:val="003371CB"/>
    <w:rsid w:val="003374F9"/>
    <w:rsid w:val="00337701"/>
    <w:rsid w:val="00337D2A"/>
    <w:rsid w:val="003406D3"/>
    <w:rsid w:val="0034091D"/>
    <w:rsid w:val="00340F75"/>
    <w:rsid w:val="0034104A"/>
    <w:rsid w:val="00341AC9"/>
    <w:rsid w:val="00341EB2"/>
    <w:rsid w:val="003424B4"/>
    <w:rsid w:val="003425DA"/>
    <w:rsid w:val="0034273A"/>
    <w:rsid w:val="0034284B"/>
    <w:rsid w:val="00343159"/>
    <w:rsid w:val="003438C2"/>
    <w:rsid w:val="003439CC"/>
    <w:rsid w:val="0034413F"/>
    <w:rsid w:val="0034475A"/>
    <w:rsid w:val="003448BA"/>
    <w:rsid w:val="003449D5"/>
    <w:rsid w:val="00344C4C"/>
    <w:rsid w:val="00344F00"/>
    <w:rsid w:val="003459C4"/>
    <w:rsid w:val="00346710"/>
    <w:rsid w:val="00346BCD"/>
    <w:rsid w:val="00346D63"/>
    <w:rsid w:val="00346D9C"/>
    <w:rsid w:val="00346EA8"/>
    <w:rsid w:val="00347A0B"/>
    <w:rsid w:val="003501D1"/>
    <w:rsid w:val="00352872"/>
    <w:rsid w:val="00352AE9"/>
    <w:rsid w:val="0035431F"/>
    <w:rsid w:val="00354A0F"/>
    <w:rsid w:val="00354CE9"/>
    <w:rsid w:val="00354D90"/>
    <w:rsid w:val="00354FAB"/>
    <w:rsid w:val="003554BD"/>
    <w:rsid w:val="00355554"/>
    <w:rsid w:val="00355A02"/>
    <w:rsid w:val="00355F12"/>
    <w:rsid w:val="0035601C"/>
    <w:rsid w:val="003561D9"/>
    <w:rsid w:val="00356927"/>
    <w:rsid w:val="00356C4E"/>
    <w:rsid w:val="00356D74"/>
    <w:rsid w:val="00360734"/>
    <w:rsid w:val="003607C6"/>
    <w:rsid w:val="00360C6E"/>
    <w:rsid w:val="0036113B"/>
    <w:rsid w:val="0036117E"/>
    <w:rsid w:val="0036123C"/>
    <w:rsid w:val="00361C37"/>
    <w:rsid w:val="00362D76"/>
    <w:rsid w:val="0036355D"/>
    <w:rsid w:val="0036393B"/>
    <w:rsid w:val="00363F49"/>
    <w:rsid w:val="003644B9"/>
    <w:rsid w:val="0036470C"/>
    <w:rsid w:val="00364712"/>
    <w:rsid w:val="003647FE"/>
    <w:rsid w:val="00364B49"/>
    <w:rsid w:val="00364C1A"/>
    <w:rsid w:val="00364D73"/>
    <w:rsid w:val="00365088"/>
    <w:rsid w:val="003655C1"/>
    <w:rsid w:val="00365856"/>
    <w:rsid w:val="00365A9A"/>
    <w:rsid w:val="00365F67"/>
    <w:rsid w:val="00365FCC"/>
    <w:rsid w:val="00366BBB"/>
    <w:rsid w:val="00366E1A"/>
    <w:rsid w:val="00366F74"/>
    <w:rsid w:val="0036705B"/>
    <w:rsid w:val="003675A1"/>
    <w:rsid w:val="00367B53"/>
    <w:rsid w:val="00367D92"/>
    <w:rsid w:val="00367FB2"/>
    <w:rsid w:val="00370415"/>
    <w:rsid w:val="0037108F"/>
    <w:rsid w:val="0037142E"/>
    <w:rsid w:val="003714D3"/>
    <w:rsid w:val="003714E0"/>
    <w:rsid w:val="00371850"/>
    <w:rsid w:val="003721AE"/>
    <w:rsid w:val="0037252B"/>
    <w:rsid w:val="0037274C"/>
    <w:rsid w:val="0037321D"/>
    <w:rsid w:val="00373742"/>
    <w:rsid w:val="00373FD1"/>
    <w:rsid w:val="0037519E"/>
    <w:rsid w:val="003766B8"/>
    <w:rsid w:val="00376D6F"/>
    <w:rsid w:val="0037715D"/>
    <w:rsid w:val="003778BB"/>
    <w:rsid w:val="00380155"/>
    <w:rsid w:val="00380AF8"/>
    <w:rsid w:val="003815D0"/>
    <w:rsid w:val="00381FEA"/>
    <w:rsid w:val="0038239C"/>
    <w:rsid w:val="00382408"/>
    <w:rsid w:val="00382BE0"/>
    <w:rsid w:val="00382E79"/>
    <w:rsid w:val="00382EC8"/>
    <w:rsid w:val="0038345E"/>
    <w:rsid w:val="00383948"/>
    <w:rsid w:val="00383F54"/>
    <w:rsid w:val="00383F60"/>
    <w:rsid w:val="003845E7"/>
    <w:rsid w:val="00384E48"/>
    <w:rsid w:val="003852B1"/>
    <w:rsid w:val="0038539B"/>
    <w:rsid w:val="003858D6"/>
    <w:rsid w:val="00385907"/>
    <w:rsid w:val="003859CC"/>
    <w:rsid w:val="003861B2"/>
    <w:rsid w:val="00386444"/>
    <w:rsid w:val="00386B15"/>
    <w:rsid w:val="00386C3F"/>
    <w:rsid w:val="00386CAD"/>
    <w:rsid w:val="00386F67"/>
    <w:rsid w:val="0038744A"/>
    <w:rsid w:val="00387E7D"/>
    <w:rsid w:val="003900BF"/>
    <w:rsid w:val="00390AF2"/>
    <w:rsid w:val="00390E32"/>
    <w:rsid w:val="003917C6"/>
    <w:rsid w:val="00392186"/>
    <w:rsid w:val="00392587"/>
    <w:rsid w:val="00392E76"/>
    <w:rsid w:val="00392FC6"/>
    <w:rsid w:val="00393478"/>
    <w:rsid w:val="0039347D"/>
    <w:rsid w:val="0039392D"/>
    <w:rsid w:val="00394115"/>
    <w:rsid w:val="003941A2"/>
    <w:rsid w:val="00394796"/>
    <w:rsid w:val="00394F8A"/>
    <w:rsid w:val="0039513A"/>
    <w:rsid w:val="00396580"/>
    <w:rsid w:val="0039668F"/>
    <w:rsid w:val="00396EC5"/>
    <w:rsid w:val="003974A5"/>
    <w:rsid w:val="00397B3D"/>
    <w:rsid w:val="00397D10"/>
    <w:rsid w:val="00397F0D"/>
    <w:rsid w:val="003A0159"/>
    <w:rsid w:val="003A0161"/>
    <w:rsid w:val="003A06C4"/>
    <w:rsid w:val="003A0944"/>
    <w:rsid w:val="003A0C50"/>
    <w:rsid w:val="003A13B4"/>
    <w:rsid w:val="003A16FF"/>
    <w:rsid w:val="003A174A"/>
    <w:rsid w:val="003A19AB"/>
    <w:rsid w:val="003A237A"/>
    <w:rsid w:val="003A2C0F"/>
    <w:rsid w:val="003A2FD6"/>
    <w:rsid w:val="003A3434"/>
    <w:rsid w:val="003A3951"/>
    <w:rsid w:val="003A3D08"/>
    <w:rsid w:val="003A3F9B"/>
    <w:rsid w:val="003A4A74"/>
    <w:rsid w:val="003A6280"/>
    <w:rsid w:val="003A64E1"/>
    <w:rsid w:val="003A6502"/>
    <w:rsid w:val="003A7324"/>
    <w:rsid w:val="003A7368"/>
    <w:rsid w:val="003A7B72"/>
    <w:rsid w:val="003B08C4"/>
    <w:rsid w:val="003B0D8B"/>
    <w:rsid w:val="003B1111"/>
    <w:rsid w:val="003B11D7"/>
    <w:rsid w:val="003B1432"/>
    <w:rsid w:val="003B156A"/>
    <w:rsid w:val="003B167A"/>
    <w:rsid w:val="003B1A86"/>
    <w:rsid w:val="003B1CD7"/>
    <w:rsid w:val="003B21BE"/>
    <w:rsid w:val="003B2B19"/>
    <w:rsid w:val="003B2BEA"/>
    <w:rsid w:val="003B2FDB"/>
    <w:rsid w:val="003B302C"/>
    <w:rsid w:val="003B3232"/>
    <w:rsid w:val="003B3823"/>
    <w:rsid w:val="003B43D9"/>
    <w:rsid w:val="003B47DA"/>
    <w:rsid w:val="003B5E9F"/>
    <w:rsid w:val="003B6E88"/>
    <w:rsid w:val="003B77CE"/>
    <w:rsid w:val="003B79F1"/>
    <w:rsid w:val="003B7EDD"/>
    <w:rsid w:val="003C064B"/>
    <w:rsid w:val="003C122F"/>
    <w:rsid w:val="003C1D0F"/>
    <w:rsid w:val="003C1DA2"/>
    <w:rsid w:val="003C21A3"/>
    <w:rsid w:val="003C2785"/>
    <w:rsid w:val="003C2A02"/>
    <w:rsid w:val="003C2BA7"/>
    <w:rsid w:val="003C2E2F"/>
    <w:rsid w:val="003C3619"/>
    <w:rsid w:val="003C46B3"/>
    <w:rsid w:val="003C4C6C"/>
    <w:rsid w:val="003C4EE1"/>
    <w:rsid w:val="003C5553"/>
    <w:rsid w:val="003C55B6"/>
    <w:rsid w:val="003C6049"/>
    <w:rsid w:val="003C62F1"/>
    <w:rsid w:val="003C7462"/>
    <w:rsid w:val="003C76E1"/>
    <w:rsid w:val="003C79CE"/>
    <w:rsid w:val="003D0BA2"/>
    <w:rsid w:val="003D0BE4"/>
    <w:rsid w:val="003D1750"/>
    <w:rsid w:val="003D1AFC"/>
    <w:rsid w:val="003D1B53"/>
    <w:rsid w:val="003D1E8F"/>
    <w:rsid w:val="003D3D0B"/>
    <w:rsid w:val="003D4913"/>
    <w:rsid w:val="003D4A11"/>
    <w:rsid w:val="003D4A98"/>
    <w:rsid w:val="003D4FFA"/>
    <w:rsid w:val="003D5D53"/>
    <w:rsid w:val="003D603F"/>
    <w:rsid w:val="003D6040"/>
    <w:rsid w:val="003D6432"/>
    <w:rsid w:val="003D66E3"/>
    <w:rsid w:val="003D7598"/>
    <w:rsid w:val="003D7C7C"/>
    <w:rsid w:val="003D7E61"/>
    <w:rsid w:val="003E0316"/>
    <w:rsid w:val="003E0D86"/>
    <w:rsid w:val="003E1160"/>
    <w:rsid w:val="003E14AE"/>
    <w:rsid w:val="003E17B5"/>
    <w:rsid w:val="003E1F41"/>
    <w:rsid w:val="003E21D3"/>
    <w:rsid w:val="003E2224"/>
    <w:rsid w:val="003E26D0"/>
    <w:rsid w:val="003E2E3C"/>
    <w:rsid w:val="003E3732"/>
    <w:rsid w:val="003E3997"/>
    <w:rsid w:val="003E39FB"/>
    <w:rsid w:val="003E4297"/>
    <w:rsid w:val="003E42AA"/>
    <w:rsid w:val="003E45A0"/>
    <w:rsid w:val="003E488B"/>
    <w:rsid w:val="003E531F"/>
    <w:rsid w:val="003E53D0"/>
    <w:rsid w:val="003E54A2"/>
    <w:rsid w:val="003E5B0A"/>
    <w:rsid w:val="003E6210"/>
    <w:rsid w:val="003E65FE"/>
    <w:rsid w:val="003E6F79"/>
    <w:rsid w:val="003E7123"/>
    <w:rsid w:val="003E7151"/>
    <w:rsid w:val="003E7175"/>
    <w:rsid w:val="003E7E15"/>
    <w:rsid w:val="003F0334"/>
    <w:rsid w:val="003F0AAB"/>
    <w:rsid w:val="003F0D23"/>
    <w:rsid w:val="003F0DBA"/>
    <w:rsid w:val="003F1061"/>
    <w:rsid w:val="003F133C"/>
    <w:rsid w:val="003F16BF"/>
    <w:rsid w:val="003F218C"/>
    <w:rsid w:val="003F2824"/>
    <w:rsid w:val="003F2EFF"/>
    <w:rsid w:val="003F320E"/>
    <w:rsid w:val="003F33A1"/>
    <w:rsid w:val="003F405A"/>
    <w:rsid w:val="003F492E"/>
    <w:rsid w:val="003F4D10"/>
    <w:rsid w:val="003F504B"/>
    <w:rsid w:val="003F59B8"/>
    <w:rsid w:val="003F6669"/>
    <w:rsid w:val="003F66FE"/>
    <w:rsid w:val="003F688A"/>
    <w:rsid w:val="003F6F54"/>
    <w:rsid w:val="003F7E00"/>
    <w:rsid w:val="00400512"/>
    <w:rsid w:val="004006E6"/>
    <w:rsid w:val="00400A55"/>
    <w:rsid w:val="00400DA1"/>
    <w:rsid w:val="00400E4B"/>
    <w:rsid w:val="004011E3"/>
    <w:rsid w:val="00401697"/>
    <w:rsid w:val="00401A9D"/>
    <w:rsid w:val="00401B60"/>
    <w:rsid w:val="004020C8"/>
    <w:rsid w:val="00402168"/>
    <w:rsid w:val="00402566"/>
    <w:rsid w:val="00402866"/>
    <w:rsid w:val="00402A19"/>
    <w:rsid w:val="00403142"/>
    <w:rsid w:val="00403DDD"/>
    <w:rsid w:val="00403F4A"/>
    <w:rsid w:val="00404597"/>
    <w:rsid w:val="00404879"/>
    <w:rsid w:val="00404A62"/>
    <w:rsid w:val="004058CD"/>
    <w:rsid w:val="0040590D"/>
    <w:rsid w:val="0040595E"/>
    <w:rsid w:val="00406B91"/>
    <w:rsid w:val="00406F68"/>
    <w:rsid w:val="00407B74"/>
    <w:rsid w:val="00407CA6"/>
    <w:rsid w:val="0041034A"/>
    <w:rsid w:val="004115B2"/>
    <w:rsid w:val="00411B01"/>
    <w:rsid w:val="00411E4A"/>
    <w:rsid w:val="004127F7"/>
    <w:rsid w:val="00412804"/>
    <w:rsid w:val="00412C0C"/>
    <w:rsid w:val="00413072"/>
    <w:rsid w:val="00413A05"/>
    <w:rsid w:val="0041410B"/>
    <w:rsid w:val="004150E0"/>
    <w:rsid w:val="0041581B"/>
    <w:rsid w:val="004159C4"/>
    <w:rsid w:val="00415D15"/>
    <w:rsid w:val="0041631B"/>
    <w:rsid w:val="00416358"/>
    <w:rsid w:val="00416932"/>
    <w:rsid w:val="00417025"/>
    <w:rsid w:val="004171C0"/>
    <w:rsid w:val="00417BC0"/>
    <w:rsid w:val="00420AD6"/>
    <w:rsid w:val="00420C69"/>
    <w:rsid w:val="00420C9F"/>
    <w:rsid w:val="00420CAE"/>
    <w:rsid w:val="00420FCF"/>
    <w:rsid w:val="00421308"/>
    <w:rsid w:val="0042164D"/>
    <w:rsid w:val="0042190C"/>
    <w:rsid w:val="00422792"/>
    <w:rsid w:val="00422F57"/>
    <w:rsid w:val="0042327B"/>
    <w:rsid w:val="004232FC"/>
    <w:rsid w:val="00423BB0"/>
    <w:rsid w:val="00423F17"/>
    <w:rsid w:val="004240AF"/>
    <w:rsid w:val="00424FC5"/>
    <w:rsid w:val="004255D1"/>
    <w:rsid w:val="00425B3C"/>
    <w:rsid w:val="00425DC3"/>
    <w:rsid w:val="004264EC"/>
    <w:rsid w:val="004269EE"/>
    <w:rsid w:val="0042758E"/>
    <w:rsid w:val="0043097C"/>
    <w:rsid w:val="004310B8"/>
    <w:rsid w:val="004315EC"/>
    <w:rsid w:val="004317F3"/>
    <w:rsid w:val="00431BC8"/>
    <w:rsid w:val="00431D02"/>
    <w:rsid w:val="00431EA6"/>
    <w:rsid w:val="004326E9"/>
    <w:rsid w:val="004327EF"/>
    <w:rsid w:val="00432970"/>
    <w:rsid w:val="00432D77"/>
    <w:rsid w:val="00432D84"/>
    <w:rsid w:val="0043376D"/>
    <w:rsid w:val="004341AB"/>
    <w:rsid w:val="0043435B"/>
    <w:rsid w:val="004346F8"/>
    <w:rsid w:val="00434C04"/>
    <w:rsid w:val="00434EE9"/>
    <w:rsid w:val="004358C6"/>
    <w:rsid w:val="00435CF2"/>
    <w:rsid w:val="00436F06"/>
    <w:rsid w:val="00436F82"/>
    <w:rsid w:val="00437C73"/>
    <w:rsid w:val="004406AE"/>
    <w:rsid w:val="00440A19"/>
    <w:rsid w:val="00440C59"/>
    <w:rsid w:val="00442B92"/>
    <w:rsid w:val="00443302"/>
    <w:rsid w:val="00443393"/>
    <w:rsid w:val="00443626"/>
    <w:rsid w:val="00443690"/>
    <w:rsid w:val="00443916"/>
    <w:rsid w:val="00443D5B"/>
    <w:rsid w:val="00443F5F"/>
    <w:rsid w:val="00444C7A"/>
    <w:rsid w:val="00444D84"/>
    <w:rsid w:val="00445495"/>
    <w:rsid w:val="00445528"/>
    <w:rsid w:val="004456B1"/>
    <w:rsid w:val="00445E84"/>
    <w:rsid w:val="00446864"/>
    <w:rsid w:val="00446902"/>
    <w:rsid w:val="00446A40"/>
    <w:rsid w:val="00446FC9"/>
    <w:rsid w:val="00447876"/>
    <w:rsid w:val="00447B3F"/>
    <w:rsid w:val="00450293"/>
    <w:rsid w:val="004509DA"/>
    <w:rsid w:val="004510BE"/>
    <w:rsid w:val="0045113B"/>
    <w:rsid w:val="00451192"/>
    <w:rsid w:val="004516B6"/>
    <w:rsid w:val="00451718"/>
    <w:rsid w:val="00451845"/>
    <w:rsid w:val="00451BCC"/>
    <w:rsid w:val="00451E8E"/>
    <w:rsid w:val="00452354"/>
    <w:rsid w:val="00452A62"/>
    <w:rsid w:val="00453229"/>
    <w:rsid w:val="00453918"/>
    <w:rsid w:val="00453A41"/>
    <w:rsid w:val="00453AD6"/>
    <w:rsid w:val="0045490F"/>
    <w:rsid w:val="00454D0A"/>
    <w:rsid w:val="0045532D"/>
    <w:rsid w:val="00455773"/>
    <w:rsid w:val="00455797"/>
    <w:rsid w:val="00455804"/>
    <w:rsid w:val="00455A1F"/>
    <w:rsid w:val="00456679"/>
    <w:rsid w:val="00456756"/>
    <w:rsid w:val="00456CAD"/>
    <w:rsid w:val="00457402"/>
    <w:rsid w:val="0045754F"/>
    <w:rsid w:val="004576C3"/>
    <w:rsid w:val="0046010F"/>
    <w:rsid w:val="004608D3"/>
    <w:rsid w:val="00460FAE"/>
    <w:rsid w:val="00461144"/>
    <w:rsid w:val="0046164D"/>
    <w:rsid w:val="00461DCE"/>
    <w:rsid w:val="00462792"/>
    <w:rsid w:val="004627B8"/>
    <w:rsid w:val="00462C51"/>
    <w:rsid w:val="0046303B"/>
    <w:rsid w:val="00463702"/>
    <w:rsid w:val="0046383C"/>
    <w:rsid w:val="0046410A"/>
    <w:rsid w:val="0046454E"/>
    <w:rsid w:val="004645F9"/>
    <w:rsid w:val="0046492E"/>
    <w:rsid w:val="00464C44"/>
    <w:rsid w:val="00464CEB"/>
    <w:rsid w:val="00464F16"/>
    <w:rsid w:val="004656E7"/>
    <w:rsid w:val="00465B26"/>
    <w:rsid w:val="00466EA8"/>
    <w:rsid w:val="00467185"/>
    <w:rsid w:val="00467641"/>
    <w:rsid w:val="00467BA8"/>
    <w:rsid w:val="004704FD"/>
    <w:rsid w:val="00470507"/>
    <w:rsid w:val="00470517"/>
    <w:rsid w:val="0047115D"/>
    <w:rsid w:val="00471567"/>
    <w:rsid w:val="0047158B"/>
    <w:rsid w:val="004719A9"/>
    <w:rsid w:val="00471EEB"/>
    <w:rsid w:val="0047244D"/>
    <w:rsid w:val="00472510"/>
    <w:rsid w:val="00472F04"/>
    <w:rsid w:val="00473C3B"/>
    <w:rsid w:val="00473DC0"/>
    <w:rsid w:val="00473DD6"/>
    <w:rsid w:val="00474052"/>
    <w:rsid w:val="00474701"/>
    <w:rsid w:val="00474A9F"/>
    <w:rsid w:val="00475007"/>
    <w:rsid w:val="0047556F"/>
    <w:rsid w:val="0047567C"/>
    <w:rsid w:val="00475B7E"/>
    <w:rsid w:val="00476272"/>
    <w:rsid w:val="00476808"/>
    <w:rsid w:val="0047700F"/>
    <w:rsid w:val="00477E5A"/>
    <w:rsid w:val="00480189"/>
    <w:rsid w:val="004801CE"/>
    <w:rsid w:val="00481068"/>
    <w:rsid w:val="004812C2"/>
    <w:rsid w:val="00481FFE"/>
    <w:rsid w:val="0048219F"/>
    <w:rsid w:val="004828C7"/>
    <w:rsid w:val="0048294D"/>
    <w:rsid w:val="00482A31"/>
    <w:rsid w:val="00482AE2"/>
    <w:rsid w:val="00482C71"/>
    <w:rsid w:val="00482F06"/>
    <w:rsid w:val="0048389D"/>
    <w:rsid w:val="00483D04"/>
    <w:rsid w:val="00484158"/>
    <w:rsid w:val="00484481"/>
    <w:rsid w:val="00484580"/>
    <w:rsid w:val="00484596"/>
    <w:rsid w:val="00484C8A"/>
    <w:rsid w:val="00484CC9"/>
    <w:rsid w:val="00484F1B"/>
    <w:rsid w:val="004852EB"/>
    <w:rsid w:val="00485364"/>
    <w:rsid w:val="004859D5"/>
    <w:rsid w:val="00485B50"/>
    <w:rsid w:val="00486BFF"/>
    <w:rsid w:val="00487013"/>
    <w:rsid w:val="00487C9F"/>
    <w:rsid w:val="00490814"/>
    <w:rsid w:val="00490936"/>
    <w:rsid w:val="004909A1"/>
    <w:rsid w:val="00490AC3"/>
    <w:rsid w:val="00490FD9"/>
    <w:rsid w:val="004911CD"/>
    <w:rsid w:val="004916E1"/>
    <w:rsid w:val="004917F2"/>
    <w:rsid w:val="00491901"/>
    <w:rsid w:val="0049194A"/>
    <w:rsid w:val="004925A4"/>
    <w:rsid w:val="00493174"/>
    <w:rsid w:val="00493357"/>
    <w:rsid w:val="004935B6"/>
    <w:rsid w:val="0049403C"/>
    <w:rsid w:val="004940EA"/>
    <w:rsid w:val="0049456F"/>
    <w:rsid w:val="00495728"/>
    <w:rsid w:val="0049582A"/>
    <w:rsid w:val="00495C2A"/>
    <w:rsid w:val="00495ED4"/>
    <w:rsid w:val="00496548"/>
    <w:rsid w:val="00496916"/>
    <w:rsid w:val="00497085"/>
    <w:rsid w:val="00497169"/>
    <w:rsid w:val="00497C2E"/>
    <w:rsid w:val="004A118F"/>
    <w:rsid w:val="004A14E8"/>
    <w:rsid w:val="004A233D"/>
    <w:rsid w:val="004A44BE"/>
    <w:rsid w:val="004A45E0"/>
    <w:rsid w:val="004A530F"/>
    <w:rsid w:val="004A5456"/>
    <w:rsid w:val="004A5973"/>
    <w:rsid w:val="004A5D9A"/>
    <w:rsid w:val="004A5F7C"/>
    <w:rsid w:val="004A67BD"/>
    <w:rsid w:val="004A6A79"/>
    <w:rsid w:val="004A6BEE"/>
    <w:rsid w:val="004A6E43"/>
    <w:rsid w:val="004A6E97"/>
    <w:rsid w:val="004A7F54"/>
    <w:rsid w:val="004B0CD9"/>
    <w:rsid w:val="004B1424"/>
    <w:rsid w:val="004B1786"/>
    <w:rsid w:val="004B18A1"/>
    <w:rsid w:val="004B1C5C"/>
    <w:rsid w:val="004B2132"/>
    <w:rsid w:val="004B2D15"/>
    <w:rsid w:val="004B2DA4"/>
    <w:rsid w:val="004B3DBE"/>
    <w:rsid w:val="004B4297"/>
    <w:rsid w:val="004B44F2"/>
    <w:rsid w:val="004B4A7D"/>
    <w:rsid w:val="004B4C25"/>
    <w:rsid w:val="004B4CA0"/>
    <w:rsid w:val="004B50A4"/>
    <w:rsid w:val="004B5251"/>
    <w:rsid w:val="004B5466"/>
    <w:rsid w:val="004B5835"/>
    <w:rsid w:val="004B6056"/>
    <w:rsid w:val="004B67CE"/>
    <w:rsid w:val="004B7B29"/>
    <w:rsid w:val="004C0E8A"/>
    <w:rsid w:val="004C1137"/>
    <w:rsid w:val="004C19B6"/>
    <w:rsid w:val="004C2060"/>
    <w:rsid w:val="004C2430"/>
    <w:rsid w:val="004C2C10"/>
    <w:rsid w:val="004C4465"/>
    <w:rsid w:val="004C48B0"/>
    <w:rsid w:val="004C4B1D"/>
    <w:rsid w:val="004C4BE6"/>
    <w:rsid w:val="004C5155"/>
    <w:rsid w:val="004C55A3"/>
    <w:rsid w:val="004C5722"/>
    <w:rsid w:val="004C5C67"/>
    <w:rsid w:val="004C6BBE"/>
    <w:rsid w:val="004C6C15"/>
    <w:rsid w:val="004C6D80"/>
    <w:rsid w:val="004C702C"/>
    <w:rsid w:val="004C72EA"/>
    <w:rsid w:val="004C77A6"/>
    <w:rsid w:val="004C799D"/>
    <w:rsid w:val="004D003C"/>
    <w:rsid w:val="004D0C11"/>
    <w:rsid w:val="004D1168"/>
    <w:rsid w:val="004D1375"/>
    <w:rsid w:val="004D18F4"/>
    <w:rsid w:val="004D1913"/>
    <w:rsid w:val="004D1BA6"/>
    <w:rsid w:val="004D1F03"/>
    <w:rsid w:val="004D2553"/>
    <w:rsid w:val="004D2BEF"/>
    <w:rsid w:val="004D2E1A"/>
    <w:rsid w:val="004D2F6B"/>
    <w:rsid w:val="004D3482"/>
    <w:rsid w:val="004D3577"/>
    <w:rsid w:val="004D366D"/>
    <w:rsid w:val="004D4145"/>
    <w:rsid w:val="004D47B6"/>
    <w:rsid w:val="004D6288"/>
    <w:rsid w:val="004D6E78"/>
    <w:rsid w:val="004D7B59"/>
    <w:rsid w:val="004E0C56"/>
    <w:rsid w:val="004E1890"/>
    <w:rsid w:val="004E23FC"/>
    <w:rsid w:val="004E2706"/>
    <w:rsid w:val="004E2EBA"/>
    <w:rsid w:val="004E32FB"/>
    <w:rsid w:val="004E3C35"/>
    <w:rsid w:val="004E3EE7"/>
    <w:rsid w:val="004E431E"/>
    <w:rsid w:val="004E4602"/>
    <w:rsid w:val="004E4B81"/>
    <w:rsid w:val="004E4F34"/>
    <w:rsid w:val="004E5A51"/>
    <w:rsid w:val="004E5D68"/>
    <w:rsid w:val="004E610E"/>
    <w:rsid w:val="004E6612"/>
    <w:rsid w:val="004E75FA"/>
    <w:rsid w:val="004E7721"/>
    <w:rsid w:val="004E7D00"/>
    <w:rsid w:val="004E7D28"/>
    <w:rsid w:val="004F0664"/>
    <w:rsid w:val="004F099F"/>
    <w:rsid w:val="004F11B5"/>
    <w:rsid w:val="004F191F"/>
    <w:rsid w:val="004F1D6A"/>
    <w:rsid w:val="004F1DB4"/>
    <w:rsid w:val="004F373E"/>
    <w:rsid w:val="004F50FB"/>
    <w:rsid w:val="004F5125"/>
    <w:rsid w:val="004F5B57"/>
    <w:rsid w:val="004F5ECA"/>
    <w:rsid w:val="004F66F1"/>
    <w:rsid w:val="004F68B7"/>
    <w:rsid w:val="004F6D3F"/>
    <w:rsid w:val="004F6DEC"/>
    <w:rsid w:val="004F6E46"/>
    <w:rsid w:val="004F7261"/>
    <w:rsid w:val="004F7362"/>
    <w:rsid w:val="004F795D"/>
    <w:rsid w:val="004F7A67"/>
    <w:rsid w:val="0050095B"/>
    <w:rsid w:val="0050126C"/>
    <w:rsid w:val="00501CDF"/>
    <w:rsid w:val="00502235"/>
    <w:rsid w:val="005023B2"/>
    <w:rsid w:val="005023C9"/>
    <w:rsid w:val="00502461"/>
    <w:rsid w:val="005030F7"/>
    <w:rsid w:val="005035EC"/>
    <w:rsid w:val="00503998"/>
    <w:rsid w:val="00503AF7"/>
    <w:rsid w:val="00503B6D"/>
    <w:rsid w:val="00503D54"/>
    <w:rsid w:val="00503E05"/>
    <w:rsid w:val="00503E51"/>
    <w:rsid w:val="005041AE"/>
    <w:rsid w:val="005045EB"/>
    <w:rsid w:val="005045F8"/>
    <w:rsid w:val="00504797"/>
    <w:rsid w:val="00504BB0"/>
    <w:rsid w:val="005050F4"/>
    <w:rsid w:val="00505124"/>
    <w:rsid w:val="00506075"/>
    <w:rsid w:val="00506177"/>
    <w:rsid w:val="005062F0"/>
    <w:rsid w:val="00506478"/>
    <w:rsid w:val="00506569"/>
    <w:rsid w:val="005065C8"/>
    <w:rsid w:val="00507157"/>
    <w:rsid w:val="0050731F"/>
    <w:rsid w:val="005074D7"/>
    <w:rsid w:val="00510104"/>
    <w:rsid w:val="0051117E"/>
    <w:rsid w:val="00511877"/>
    <w:rsid w:val="00511903"/>
    <w:rsid w:val="00511C89"/>
    <w:rsid w:val="00512256"/>
    <w:rsid w:val="00512B3B"/>
    <w:rsid w:val="00512D59"/>
    <w:rsid w:val="005135F4"/>
    <w:rsid w:val="005137C7"/>
    <w:rsid w:val="0051385D"/>
    <w:rsid w:val="0051396E"/>
    <w:rsid w:val="00513CF2"/>
    <w:rsid w:val="005149EC"/>
    <w:rsid w:val="00514A75"/>
    <w:rsid w:val="00514F35"/>
    <w:rsid w:val="0051535F"/>
    <w:rsid w:val="00515AE6"/>
    <w:rsid w:val="00515E2E"/>
    <w:rsid w:val="00515F2A"/>
    <w:rsid w:val="00516457"/>
    <w:rsid w:val="005168F8"/>
    <w:rsid w:val="00516F6A"/>
    <w:rsid w:val="005178AB"/>
    <w:rsid w:val="00517D6A"/>
    <w:rsid w:val="0052000B"/>
    <w:rsid w:val="005212A2"/>
    <w:rsid w:val="00521D2E"/>
    <w:rsid w:val="0052282C"/>
    <w:rsid w:val="005229E8"/>
    <w:rsid w:val="00522BFC"/>
    <w:rsid w:val="00522C70"/>
    <w:rsid w:val="005232DD"/>
    <w:rsid w:val="005238DF"/>
    <w:rsid w:val="00523CB1"/>
    <w:rsid w:val="00523E55"/>
    <w:rsid w:val="00523E7B"/>
    <w:rsid w:val="00524000"/>
    <w:rsid w:val="005245B2"/>
    <w:rsid w:val="005248DF"/>
    <w:rsid w:val="00524B71"/>
    <w:rsid w:val="00525864"/>
    <w:rsid w:val="005258CB"/>
    <w:rsid w:val="00525FC5"/>
    <w:rsid w:val="00526005"/>
    <w:rsid w:val="00526B44"/>
    <w:rsid w:val="00526C21"/>
    <w:rsid w:val="005270B6"/>
    <w:rsid w:val="005273B9"/>
    <w:rsid w:val="00527411"/>
    <w:rsid w:val="0052748A"/>
    <w:rsid w:val="005278E1"/>
    <w:rsid w:val="005279F3"/>
    <w:rsid w:val="00527C0D"/>
    <w:rsid w:val="00530539"/>
    <w:rsid w:val="0053142D"/>
    <w:rsid w:val="005315B0"/>
    <w:rsid w:val="00531AAB"/>
    <w:rsid w:val="00531B79"/>
    <w:rsid w:val="00532212"/>
    <w:rsid w:val="005322FC"/>
    <w:rsid w:val="00532461"/>
    <w:rsid w:val="00532756"/>
    <w:rsid w:val="00532996"/>
    <w:rsid w:val="00532DCC"/>
    <w:rsid w:val="00532F5A"/>
    <w:rsid w:val="005337C0"/>
    <w:rsid w:val="005339C9"/>
    <w:rsid w:val="00533BB6"/>
    <w:rsid w:val="00534390"/>
    <w:rsid w:val="00534781"/>
    <w:rsid w:val="00534C81"/>
    <w:rsid w:val="00534D34"/>
    <w:rsid w:val="00534EED"/>
    <w:rsid w:val="00534FD6"/>
    <w:rsid w:val="0053516B"/>
    <w:rsid w:val="00535295"/>
    <w:rsid w:val="00535394"/>
    <w:rsid w:val="005358D3"/>
    <w:rsid w:val="00535E06"/>
    <w:rsid w:val="00535E25"/>
    <w:rsid w:val="005361F0"/>
    <w:rsid w:val="005362BA"/>
    <w:rsid w:val="00536C39"/>
    <w:rsid w:val="00537551"/>
    <w:rsid w:val="005376E7"/>
    <w:rsid w:val="0053796E"/>
    <w:rsid w:val="00540329"/>
    <w:rsid w:val="00540380"/>
    <w:rsid w:val="0054041C"/>
    <w:rsid w:val="00540549"/>
    <w:rsid w:val="00541B64"/>
    <w:rsid w:val="005427B2"/>
    <w:rsid w:val="00542B7D"/>
    <w:rsid w:val="00543B8A"/>
    <w:rsid w:val="00543F38"/>
    <w:rsid w:val="0054432A"/>
    <w:rsid w:val="00544F3D"/>
    <w:rsid w:val="005456EC"/>
    <w:rsid w:val="00545CCE"/>
    <w:rsid w:val="00546C03"/>
    <w:rsid w:val="00547756"/>
    <w:rsid w:val="00551C25"/>
    <w:rsid w:val="00552363"/>
    <w:rsid w:val="00552413"/>
    <w:rsid w:val="00552C9B"/>
    <w:rsid w:val="005530B1"/>
    <w:rsid w:val="00553978"/>
    <w:rsid w:val="00553B6C"/>
    <w:rsid w:val="00554203"/>
    <w:rsid w:val="00554279"/>
    <w:rsid w:val="00554713"/>
    <w:rsid w:val="00554B39"/>
    <w:rsid w:val="00554C02"/>
    <w:rsid w:val="005559F5"/>
    <w:rsid w:val="00556343"/>
    <w:rsid w:val="005563B4"/>
    <w:rsid w:val="00556626"/>
    <w:rsid w:val="00556AEC"/>
    <w:rsid w:val="00556CEA"/>
    <w:rsid w:val="00556D85"/>
    <w:rsid w:val="00556D8D"/>
    <w:rsid w:val="00557041"/>
    <w:rsid w:val="00557FD3"/>
    <w:rsid w:val="00560122"/>
    <w:rsid w:val="005601AF"/>
    <w:rsid w:val="005603C0"/>
    <w:rsid w:val="005604C1"/>
    <w:rsid w:val="0056070C"/>
    <w:rsid w:val="00560EF0"/>
    <w:rsid w:val="00561E5D"/>
    <w:rsid w:val="005622B6"/>
    <w:rsid w:val="00562FD7"/>
    <w:rsid w:val="005636D6"/>
    <w:rsid w:val="0056440F"/>
    <w:rsid w:val="00564493"/>
    <w:rsid w:val="005644D2"/>
    <w:rsid w:val="0056467C"/>
    <w:rsid w:val="00564A98"/>
    <w:rsid w:val="00565389"/>
    <w:rsid w:val="00565B76"/>
    <w:rsid w:val="00566B6B"/>
    <w:rsid w:val="00566E7F"/>
    <w:rsid w:val="0056749B"/>
    <w:rsid w:val="00567676"/>
    <w:rsid w:val="00567681"/>
    <w:rsid w:val="005677C4"/>
    <w:rsid w:val="00567A78"/>
    <w:rsid w:val="00567ABE"/>
    <w:rsid w:val="0057005D"/>
    <w:rsid w:val="005704ED"/>
    <w:rsid w:val="005707AD"/>
    <w:rsid w:val="00570A8F"/>
    <w:rsid w:val="00570BB6"/>
    <w:rsid w:val="00571BD8"/>
    <w:rsid w:val="00571FB3"/>
    <w:rsid w:val="0057250D"/>
    <w:rsid w:val="005736D4"/>
    <w:rsid w:val="0057376D"/>
    <w:rsid w:val="00573F08"/>
    <w:rsid w:val="00574392"/>
    <w:rsid w:val="00574D17"/>
    <w:rsid w:val="00574EB4"/>
    <w:rsid w:val="00574F59"/>
    <w:rsid w:val="005751C0"/>
    <w:rsid w:val="0057595B"/>
    <w:rsid w:val="00575A29"/>
    <w:rsid w:val="00577552"/>
    <w:rsid w:val="00577678"/>
    <w:rsid w:val="00577F85"/>
    <w:rsid w:val="005802AD"/>
    <w:rsid w:val="0058052A"/>
    <w:rsid w:val="00580C91"/>
    <w:rsid w:val="00581258"/>
    <w:rsid w:val="0058164C"/>
    <w:rsid w:val="00581A4A"/>
    <w:rsid w:val="00581AA5"/>
    <w:rsid w:val="00581B50"/>
    <w:rsid w:val="00581FEA"/>
    <w:rsid w:val="005827C7"/>
    <w:rsid w:val="0058290A"/>
    <w:rsid w:val="00582BFA"/>
    <w:rsid w:val="00583443"/>
    <w:rsid w:val="0058417F"/>
    <w:rsid w:val="0058590B"/>
    <w:rsid w:val="0058599D"/>
    <w:rsid w:val="00585B86"/>
    <w:rsid w:val="00585C29"/>
    <w:rsid w:val="00586029"/>
    <w:rsid w:val="00586351"/>
    <w:rsid w:val="0058645D"/>
    <w:rsid w:val="005868F0"/>
    <w:rsid w:val="00586914"/>
    <w:rsid w:val="005879BF"/>
    <w:rsid w:val="00590673"/>
    <w:rsid w:val="005919D7"/>
    <w:rsid w:val="0059269F"/>
    <w:rsid w:val="00592FD9"/>
    <w:rsid w:val="00592FFB"/>
    <w:rsid w:val="0059330D"/>
    <w:rsid w:val="00593335"/>
    <w:rsid w:val="00593820"/>
    <w:rsid w:val="00594AB9"/>
    <w:rsid w:val="00594D7A"/>
    <w:rsid w:val="00594DDB"/>
    <w:rsid w:val="00595C40"/>
    <w:rsid w:val="00595E2D"/>
    <w:rsid w:val="00596448"/>
    <w:rsid w:val="00596499"/>
    <w:rsid w:val="0059668F"/>
    <w:rsid w:val="005967BA"/>
    <w:rsid w:val="00596878"/>
    <w:rsid w:val="00596BC2"/>
    <w:rsid w:val="005977DD"/>
    <w:rsid w:val="00597DA8"/>
    <w:rsid w:val="005A0929"/>
    <w:rsid w:val="005A0E36"/>
    <w:rsid w:val="005A0F7C"/>
    <w:rsid w:val="005A121D"/>
    <w:rsid w:val="005A1784"/>
    <w:rsid w:val="005A214C"/>
    <w:rsid w:val="005A2320"/>
    <w:rsid w:val="005A240D"/>
    <w:rsid w:val="005A2518"/>
    <w:rsid w:val="005A2577"/>
    <w:rsid w:val="005A3580"/>
    <w:rsid w:val="005A358F"/>
    <w:rsid w:val="005A3785"/>
    <w:rsid w:val="005A3AFB"/>
    <w:rsid w:val="005A3CCF"/>
    <w:rsid w:val="005A3F71"/>
    <w:rsid w:val="005A4151"/>
    <w:rsid w:val="005A4165"/>
    <w:rsid w:val="005A4964"/>
    <w:rsid w:val="005A5011"/>
    <w:rsid w:val="005A53DD"/>
    <w:rsid w:val="005A62AD"/>
    <w:rsid w:val="005A659F"/>
    <w:rsid w:val="005A7E50"/>
    <w:rsid w:val="005A7FCD"/>
    <w:rsid w:val="005B0018"/>
    <w:rsid w:val="005B020D"/>
    <w:rsid w:val="005B0709"/>
    <w:rsid w:val="005B0F80"/>
    <w:rsid w:val="005B1066"/>
    <w:rsid w:val="005B1371"/>
    <w:rsid w:val="005B188E"/>
    <w:rsid w:val="005B2DBD"/>
    <w:rsid w:val="005B3067"/>
    <w:rsid w:val="005B35FB"/>
    <w:rsid w:val="005B396C"/>
    <w:rsid w:val="005B3A68"/>
    <w:rsid w:val="005B3C9E"/>
    <w:rsid w:val="005B423D"/>
    <w:rsid w:val="005B4414"/>
    <w:rsid w:val="005B4C15"/>
    <w:rsid w:val="005B4D8E"/>
    <w:rsid w:val="005B4DAD"/>
    <w:rsid w:val="005B5399"/>
    <w:rsid w:val="005B5561"/>
    <w:rsid w:val="005B5858"/>
    <w:rsid w:val="005B5A15"/>
    <w:rsid w:val="005B5FE5"/>
    <w:rsid w:val="005B66C0"/>
    <w:rsid w:val="005B672F"/>
    <w:rsid w:val="005B73B5"/>
    <w:rsid w:val="005B785D"/>
    <w:rsid w:val="005C0078"/>
    <w:rsid w:val="005C0810"/>
    <w:rsid w:val="005C0C57"/>
    <w:rsid w:val="005C16BD"/>
    <w:rsid w:val="005C16F5"/>
    <w:rsid w:val="005C1829"/>
    <w:rsid w:val="005C239E"/>
    <w:rsid w:val="005C2E41"/>
    <w:rsid w:val="005C33D3"/>
    <w:rsid w:val="005C4045"/>
    <w:rsid w:val="005C40B3"/>
    <w:rsid w:val="005C436C"/>
    <w:rsid w:val="005C44CB"/>
    <w:rsid w:val="005C4C18"/>
    <w:rsid w:val="005C50C5"/>
    <w:rsid w:val="005C50FC"/>
    <w:rsid w:val="005C6625"/>
    <w:rsid w:val="005C66A0"/>
    <w:rsid w:val="005C6E5B"/>
    <w:rsid w:val="005C7559"/>
    <w:rsid w:val="005C7D9E"/>
    <w:rsid w:val="005C7EEE"/>
    <w:rsid w:val="005D13F9"/>
    <w:rsid w:val="005D2C58"/>
    <w:rsid w:val="005D339C"/>
    <w:rsid w:val="005D35A4"/>
    <w:rsid w:val="005D4868"/>
    <w:rsid w:val="005D4BDE"/>
    <w:rsid w:val="005D4EB3"/>
    <w:rsid w:val="005D50D6"/>
    <w:rsid w:val="005D5473"/>
    <w:rsid w:val="005D5CCC"/>
    <w:rsid w:val="005D6266"/>
    <w:rsid w:val="005D6761"/>
    <w:rsid w:val="005D67E8"/>
    <w:rsid w:val="005D719B"/>
    <w:rsid w:val="005D739A"/>
    <w:rsid w:val="005D7602"/>
    <w:rsid w:val="005D783B"/>
    <w:rsid w:val="005D7C08"/>
    <w:rsid w:val="005D7DA1"/>
    <w:rsid w:val="005E0030"/>
    <w:rsid w:val="005E0EB5"/>
    <w:rsid w:val="005E1613"/>
    <w:rsid w:val="005E33F8"/>
    <w:rsid w:val="005E3403"/>
    <w:rsid w:val="005E39E4"/>
    <w:rsid w:val="005E3A08"/>
    <w:rsid w:val="005E41C0"/>
    <w:rsid w:val="005E4259"/>
    <w:rsid w:val="005E4365"/>
    <w:rsid w:val="005E4E66"/>
    <w:rsid w:val="005E530A"/>
    <w:rsid w:val="005E5CC9"/>
    <w:rsid w:val="005E6518"/>
    <w:rsid w:val="005E6818"/>
    <w:rsid w:val="005E6A03"/>
    <w:rsid w:val="005E6D20"/>
    <w:rsid w:val="005E75B5"/>
    <w:rsid w:val="005F076F"/>
    <w:rsid w:val="005F0A46"/>
    <w:rsid w:val="005F0FD5"/>
    <w:rsid w:val="005F1EE9"/>
    <w:rsid w:val="005F24B6"/>
    <w:rsid w:val="005F2EC7"/>
    <w:rsid w:val="005F2EDC"/>
    <w:rsid w:val="005F3148"/>
    <w:rsid w:val="005F3D1F"/>
    <w:rsid w:val="005F4655"/>
    <w:rsid w:val="005F5858"/>
    <w:rsid w:val="005F5A4C"/>
    <w:rsid w:val="005F5B58"/>
    <w:rsid w:val="005F5BF8"/>
    <w:rsid w:val="005F5DB7"/>
    <w:rsid w:val="005F6616"/>
    <w:rsid w:val="005F6827"/>
    <w:rsid w:val="005F6E55"/>
    <w:rsid w:val="005F6E87"/>
    <w:rsid w:val="006007EF"/>
    <w:rsid w:val="00600DE3"/>
    <w:rsid w:val="00600ED1"/>
    <w:rsid w:val="006013C9"/>
    <w:rsid w:val="0060206D"/>
    <w:rsid w:val="00602078"/>
    <w:rsid w:val="006020D5"/>
    <w:rsid w:val="0060239C"/>
    <w:rsid w:val="00602ED5"/>
    <w:rsid w:val="00602F79"/>
    <w:rsid w:val="00603C84"/>
    <w:rsid w:val="00603F05"/>
    <w:rsid w:val="006044C9"/>
    <w:rsid w:val="006045D6"/>
    <w:rsid w:val="006048A6"/>
    <w:rsid w:val="00604DB5"/>
    <w:rsid w:val="0060532C"/>
    <w:rsid w:val="006053BB"/>
    <w:rsid w:val="00605571"/>
    <w:rsid w:val="00605891"/>
    <w:rsid w:val="00605A79"/>
    <w:rsid w:val="00605DB1"/>
    <w:rsid w:val="0060643E"/>
    <w:rsid w:val="00606964"/>
    <w:rsid w:val="00607FE5"/>
    <w:rsid w:val="006112F2"/>
    <w:rsid w:val="00611700"/>
    <w:rsid w:val="00611B87"/>
    <w:rsid w:val="0061219C"/>
    <w:rsid w:val="0061251B"/>
    <w:rsid w:val="006126CD"/>
    <w:rsid w:val="006138AD"/>
    <w:rsid w:val="00613BFF"/>
    <w:rsid w:val="00613D88"/>
    <w:rsid w:val="00613FBA"/>
    <w:rsid w:val="006141EB"/>
    <w:rsid w:val="00614646"/>
    <w:rsid w:val="00614866"/>
    <w:rsid w:val="00615140"/>
    <w:rsid w:val="006153D3"/>
    <w:rsid w:val="00615FFA"/>
    <w:rsid w:val="00616A6D"/>
    <w:rsid w:val="00616C0E"/>
    <w:rsid w:val="00616D66"/>
    <w:rsid w:val="00616E04"/>
    <w:rsid w:val="00617347"/>
    <w:rsid w:val="00617465"/>
    <w:rsid w:val="00617B13"/>
    <w:rsid w:val="00620522"/>
    <w:rsid w:val="00620884"/>
    <w:rsid w:val="00620F14"/>
    <w:rsid w:val="00620FB5"/>
    <w:rsid w:val="0062164A"/>
    <w:rsid w:val="00621902"/>
    <w:rsid w:val="00622275"/>
    <w:rsid w:val="006223D6"/>
    <w:rsid w:val="00622A48"/>
    <w:rsid w:val="00622C64"/>
    <w:rsid w:val="006230A7"/>
    <w:rsid w:val="006239D1"/>
    <w:rsid w:val="00623E76"/>
    <w:rsid w:val="00624349"/>
    <w:rsid w:val="00624353"/>
    <w:rsid w:val="00626239"/>
    <w:rsid w:val="006268D5"/>
    <w:rsid w:val="00626DC5"/>
    <w:rsid w:val="00627165"/>
    <w:rsid w:val="006278AF"/>
    <w:rsid w:val="00627DE2"/>
    <w:rsid w:val="00630181"/>
    <w:rsid w:val="00630D66"/>
    <w:rsid w:val="00630E92"/>
    <w:rsid w:val="0063142C"/>
    <w:rsid w:val="0063169F"/>
    <w:rsid w:val="00631710"/>
    <w:rsid w:val="00631822"/>
    <w:rsid w:val="00632095"/>
    <w:rsid w:val="0063217D"/>
    <w:rsid w:val="006321B4"/>
    <w:rsid w:val="00633335"/>
    <w:rsid w:val="00633836"/>
    <w:rsid w:val="00633924"/>
    <w:rsid w:val="0063406D"/>
    <w:rsid w:val="0063419C"/>
    <w:rsid w:val="00634473"/>
    <w:rsid w:val="006345CD"/>
    <w:rsid w:val="006358D9"/>
    <w:rsid w:val="006361DD"/>
    <w:rsid w:val="006362C3"/>
    <w:rsid w:val="006366CF"/>
    <w:rsid w:val="0063695C"/>
    <w:rsid w:val="00636CF1"/>
    <w:rsid w:val="00636D01"/>
    <w:rsid w:val="00637327"/>
    <w:rsid w:val="00637866"/>
    <w:rsid w:val="00637F8A"/>
    <w:rsid w:val="006401A0"/>
    <w:rsid w:val="00641444"/>
    <w:rsid w:val="00641BAA"/>
    <w:rsid w:val="00641DA1"/>
    <w:rsid w:val="006425EF"/>
    <w:rsid w:val="0064290F"/>
    <w:rsid w:val="006429F3"/>
    <w:rsid w:val="00642F98"/>
    <w:rsid w:val="006431E9"/>
    <w:rsid w:val="00643DE0"/>
    <w:rsid w:val="006444B3"/>
    <w:rsid w:val="0064461E"/>
    <w:rsid w:val="006449DE"/>
    <w:rsid w:val="00644CFD"/>
    <w:rsid w:val="00645530"/>
    <w:rsid w:val="00645F60"/>
    <w:rsid w:val="00646733"/>
    <w:rsid w:val="006469B6"/>
    <w:rsid w:val="00647247"/>
    <w:rsid w:val="00647312"/>
    <w:rsid w:val="00647458"/>
    <w:rsid w:val="00647539"/>
    <w:rsid w:val="006475AA"/>
    <w:rsid w:val="006476F8"/>
    <w:rsid w:val="006479E4"/>
    <w:rsid w:val="00647A0C"/>
    <w:rsid w:val="00647F81"/>
    <w:rsid w:val="00650720"/>
    <w:rsid w:val="0065099B"/>
    <w:rsid w:val="00651322"/>
    <w:rsid w:val="00652068"/>
    <w:rsid w:val="00652926"/>
    <w:rsid w:val="00652997"/>
    <w:rsid w:val="00652B6A"/>
    <w:rsid w:val="00653190"/>
    <w:rsid w:val="006535AB"/>
    <w:rsid w:val="00653BA0"/>
    <w:rsid w:val="00653E41"/>
    <w:rsid w:val="00654AE7"/>
    <w:rsid w:val="00654C9F"/>
    <w:rsid w:val="00655CBF"/>
    <w:rsid w:val="00655F7E"/>
    <w:rsid w:val="00656331"/>
    <w:rsid w:val="0065754E"/>
    <w:rsid w:val="00657D58"/>
    <w:rsid w:val="00660435"/>
    <w:rsid w:val="0066085F"/>
    <w:rsid w:val="00661554"/>
    <w:rsid w:val="00661685"/>
    <w:rsid w:val="0066212C"/>
    <w:rsid w:val="00662731"/>
    <w:rsid w:val="0066381B"/>
    <w:rsid w:val="0066391E"/>
    <w:rsid w:val="00663B19"/>
    <w:rsid w:val="00663F2B"/>
    <w:rsid w:val="00663FCC"/>
    <w:rsid w:val="006649FE"/>
    <w:rsid w:val="00664F6C"/>
    <w:rsid w:val="00665727"/>
    <w:rsid w:val="00665BF0"/>
    <w:rsid w:val="00665CA4"/>
    <w:rsid w:val="00666A1E"/>
    <w:rsid w:val="00666A61"/>
    <w:rsid w:val="00667D56"/>
    <w:rsid w:val="006703B6"/>
    <w:rsid w:val="00670F58"/>
    <w:rsid w:val="0067116B"/>
    <w:rsid w:val="006711D0"/>
    <w:rsid w:val="006712ED"/>
    <w:rsid w:val="00671896"/>
    <w:rsid w:val="00671BEC"/>
    <w:rsid w:val="00672CE4"/>
    <w:rsid w:val="006738D6"/>
    <w:rsid w:val="00673DE6"/>
    <w:rsid w:val="00673F34"/>
    <w:rsid w:val="006743FE"/>
    <w:rsid w:val="00674F08"/>
    <w:rsid w:val="00675511"/>
    <w:rsid w:val="00675886"/>
    <w:rsid w:val="00675C04"/>
    <w:rsid w:val="00675C45"/>
    <w:rsid w:val="006766E4"/>
    <w:rsid w:val="0067695A"/>
    <w:rsid w:val="006769E3"/>
    <w:rsid w:val="00676A78"/>
    <w:rsid w:val="00677CAC"/>
    <w:rsid w:val="00677D60"/>
    <w:rsid w:val="0068038F"/>
    <w:rsid w:val="00680705"/>
    <w:rsid w:val="006812DB"/>
    <w:rsid w:val="006817C1"/>
    <w:rsid w:val="00681B08"/>
    <w:rsid w:val="00681F3B"/>
    <w:rsid w:val="00681F63"/>
    <w:rsid w:val="0068259B"/>
    <w:rsid w:val="00682936"/>
    <w:rsid w:val="00682A71"/>
    <w:rsid w:val="00682A85"/>
    <w:rsid w:val="00682E35"/>
    <w:rsid w:val="006830C0"/>
    <w:rsid w:val="00683999"/>
    <w:rsid w:val="00683A48"/>
    <w:rsid w:val="0068400D"/>
    <w:rsid w:val="00684643"/>
    <w:rsid w:val="00684930"/>
    <w:rsid w:val="00684A26"/>
    <w:rsid w:val="00684FE3"/>
    <w:rsid w:val="006858D6"/>
    <w:rsid w:val="00685CC8"/>
    <w:rsid w:val="006861D7"/>
    <w:rsid w:val="006865D7"/>
    <w:rsid w:val="00686D02"/>
    <w:rsid w:val="00686E6D"/>
    <w:rsid w:val="006873B9"/>
    <w:rsid w:val="00687452"/>
    <w:rsid w:val="00687643"/>
    <w:rsid w:val="006900C8"/>
    <w:rsid w:val="006903A2"/>
    <w:rsid w:val="006907D7"/>
    <w:rsid w:val="00690C13"/>
    <w:rsid w:val="00691442"/>
    <w:rsid w:val="00691E0B"/>
    <w:rsid w:val="006924A7"/>
    <w:rsid w:val="006926A1"/>
    <w:rsid w:val="00693792"/>
    <w:rsid w:val="0069404A"/>
    <w:rsid w:val="00694861"/>
    <w:rsid w:val="00694AFF"/>
    <w:rsid w:val="00694F24"/>
    <w:rsid w:val="00695E16"/>
    <w:rsid w:val="00695E2D"/>
    <w:rsid w:val="00696D42"/>
    <w:rsid w:val="006971ED"/>
    <w:rsid w:val="00697BF8"/>
    <w:rsid w:val="006A130B"/>
    <w:rsid w:val="006A151E"/>
    <w:rsid w:val="006A17ED"/>
    <w:rsid w:val="006A18BB"/>
    <w:rsid w:val="006A18EB"/>
    <w:rsid w:val="006A274F"/>
    <w:rsid w:val="006A2781"/>
    <w:rsid w:val="006A285D"/>
    <w:rsid w:val="006A2EEF"/>
    <w:rsid w:val="006A3049"/>
    <w:rsid w:val="006A31C7"/>
    <w:rsid w:val="006A36CF"/>
    <w:rsid w:val="006A39A0"/>
    <w:rsid w:val="006A39B8"/>
    <w:rsid w:val="006A39F3"/>
    <w:rsid w:val="006A4580"/>
    <w:rsid w:val="006A4930"/>
    <w:rsid w:val="006A49A1"/>
    <w:rsid w:val="006A4B70"/>
    <w:rsid w:val="006A5046"/>
    <w:rsid w:val="006A5234"/>
    <w:rsid w:val="006A55A0"/>
    <w:rsid w:val="006A55D3"/>
    <w:rsid w:val="006A564C"/>
    <w:rsid w:val="006A5737"/>
    <w:rsid w:val="006A594C"/>
    <w:rsid w:val="006A59D6"/>
    <w:rsid w:val="006A7E78"/>
    <w:rsid w:val="006B008B"/>
    <w:rsid w:val="006B014A"/>
    <w:rsid w:val="006B09D8"/>
    <w:rsid w:val="006B0D25"/>
    <w:rsid w:val="006B10CA"/>
    <w:rsid w:val="006B18D4"/>
    <w:rsid w:val="006B1C04"/>
    <w:rsid w:val="006B1D05"/>
    <w:rsid w:val="006B2D10"/>
    <w:rsid w:val="006B31D3"/>
    <w:rsid w:val="006B3234"/>
    <w:rsid w:val="006B36DB"/>
    <w:rsid w:val="006B3703"/>
    <w:rsid w:val="006B39C7"/>
    <w:rsid w:val="006B4278"/>
    <w:rsid w:val="006B4E11"/>
    <w:rsid w:val="006B537A"/>
    <w:rsid w:val="006B53DB"/>
    <w:rsid w:val="006B597F"/>
    <w:rsid w:val="006B5B9A"/>
    <w:rsid w:val="006B6E10"/>
    <w:rsid w:val="006B6E48"/>
    <w:rsid w:val="006B756B"/>
    <w:rsid w:val="006B780C"/>
    <w:rsid w:val="006B7FB8"/>
    <w:rsid w:val="006C075F"/>
    <w:rsid w:val="006C19E7"/>
    <w:rsid w:val="006C1B33"/>
    <w:rsid w:val="006C2161"/>
    <w:rsid w:val="006C2163"/>
    <w:rsid w:val="006C24BF"/>
    <w:rsid w:val="006C2768"/>
    <w:rsid w:val="006C29D4"/>
    <w:rsid w:val="006C3B66"/>
    <w:rsid w:val="006C4207"/>
    <w:rsid w:val="006C436C"/>
    <w:rsid w:val="006C4BC9"/>
    <w:rsid w:val="006C5672"/>
    <w:rsid w:val="006C5AA8"/>
    <w:rsid w:val="006C6014"/>
    <w:rsid w:val="006C6266"/>
    <w:rsid w:val="006C671E"/>
    <w:rsid w:val="006C6F0E"/>
    <w:rsid w:val="006C73EC"/>
    <w:rsid w:val="006C7486"/>
    <w:rsid w:val="006C74EE"/>
    <w:rsid w:val="006C76FD"/>
    <w:rsid w:val="006C78F6"/>
    <w:rsid w:val="006C7910"/>
    <w:rsid w:val="006D103F"/>
    <w:rsid w:val="006D17ED"/>
    <w:rsid w:val="006D1972"/>
    <w:rsid w:val="006D1D85"/>
    <w:rsid w:val="006D1DC2"/>
    <w:rsid w:val="006D2D1C"/>
    <w:rsid w:val="006D355A"/>
    <w:rsid w:val="006D3859"/>
    <w:rsid w:val="006D3B2F"/>
    <w:rsid w:val="006D3E81"/>
    <w:rsid w:val="006D41A5"/>
    <w:rsid w:val="006D5839"/>
    <w:rsid w:val="006D5BBB"/>
    <w:rsid w:val="006D6413"/>
    <w:rsid w:val="006D6674"/>
    <w:rsid w:val="006D675D"/>
    <w:rsid w:val="006D6951"/>
    <w:rsid w:val="006D6AAA"/>
    <w:rsid w:val="006D6B5D"/>
    <w:rsid w:val="006D6CDC"/>
    <w:rsid w:val="006D7A9B"/>
    <w:rsid w:val="006D7D2C"/>
    <w:rsid w:val="006D7E58"/>
    <w:rsid w:val="006E01B2"/>
    <w:rsid w:val="006E0316"/>
    <w:rsid w:val="006E044F"/>
    <w:rsid w:val="006E1A61"/>
    <w:rsid w:val="006E1BBA"/>
    <w:rsid w:val="006E24F4"/>
    <w:rsid w:val="006E2D0E"/>
    <w:rsid w:val="006E2EF1"/>
    <w:rsid w:val="006E2F3A"/>
    <w:rsid w:val="006E3019"/>
    <w:rsid w:val="006E45B0"/>
    <w:rsid w:val="006E463B"/>
    <w:rsid w:val="006E4A0A"/>
    <w:rsid w:val="006E60DF"/>
    <w:rsid w:val="006E6C09"/>
    <w:rsid w:val="006E7115"/>
    <w:rsid w:val="006E74B9"/>
    <w:rsid w:val="006E763D"/>
    <w:rsid w:val="006E77B0"/>
    <w:rsid w:val="006E7CEB"/>
    <w:rsid w:val="006F007E"/>
    <w:rsid w:val="006F0142"/>
    <w:rsid w:val="006F021E"/>
    <w:rsid w:val="006F06E0"/>
    <w:rsid w:val="006F0762"/>
    <w:rsid w:val="006F0E23"/>
    <w:rsid w:val="006F0F0A"/>
    <w:rsid w:val="006F1634"/>
    <w:rsid w:val="006F16FD"/>
    <w:rsid w:val="006F19B7"/>
    <w:rsid w:val="006F1B5F"/>
    <w:rsid w:val="006F2338"/>
    <w:rsid w:val="006F249F"/>
    <w:rsid w:val="006F24B6"/>
    <w:rsid w:val="006F26E3"/>
    <w:rsid w:val="006F2B45"/>
    <w:rsid w:val="006F3CC4"/>
    <w:rsid w:val="006F45E1"/>
    <w:rsid w:val="006F4CD8"/>
    <w:rsid w:val="006F4D2A"/>
    <w:rsid w:val="006F4DC0"/>
    <w:rsid w:val="006F5256"/>
    <w:rsid w:val="006F52F5"/>
    <w:rsid w:val="006F54F5"/>
    <w:rsid w:val="006F5517"/>
    <w:rsid w:val="006F578F"/>
    <w:rsid w:val="006F6180"/>
    <w:rsid w:val="006F669B"/>
    <w:rsid w:val="006F6A54"/>
    <w:rsid w:val="006F6CB4"/>
    <w:rsid w:val="006F6FB2"/>
    <w:rsid w:val="006F7516"/>
    <w:rsid w:val="006F7CC3"/>
    <w:rsid w:val="006F7DD5"/>
    <w:rsid w:val="007008B0"/>
    <w:rsid w:val="0070090D"/>
    <w:rsid w:val="00700CA4"/>
    <w:rsid w:val="00701251"/>
    <w:rsid w:val="007014C0"/>
    <w:rsid w:val="00701817"/>
    <w:rsid w:val="0070191C"/>
    <w:rsid w:val="00701E20"/>
    <w:rsid w:val="0070219C"/>
    <w:rsid w:val="007025F7"/>
    <w:rsid w:val="00702D20"/>
    <w:rsid w:val="007037FB"/>
    <w:rsid w:val="0070569A"/>
    <w:rsid w:val="00705D7A"/>
    <w:rsid w:val="00706196"/>
    <w:rsid w:val="007064B7"/>
    <w:rsid w:val="007068AD"/>
    <w:rsid w:val="007070D4"/>
    <w:rsid w:val="00707220"/>
    <w:rsid w:val="00707249"/>
    <w:rsid w:val="007076BE"/>
    <w:rsid w:val="00707996"/>
    <w:rsid w:val="007101E2"/>
    <w:rsid w:val="0071056C"/>
    <w:rsid w:val="007120B1"/>
    <w:rsid w:val="007121C4"/>
    <w:rsid w:val="0071228D"/>
    <w:rsid w:val="00712536"/>
    <w:rsid w:val="00712887"/>
    <w:rsid w:val="007132C7"/>
    <w:rsid w:val="00713A96"/>
    <w:rsid w:val="0071478E"/>
    <w:rsid w:val="00714842"/>
    <w:rsid w:val="007149FC"/>
    <w:rsid w:val="00715A9C"/>
    <w:rsid w:val="00715D12"/>
    <w:rsid w:val="0071689A"/>
    <w:rsid w:val="007169F1"/>
    <w:rsid w:val="00716E6A"/>
    <w:rsid w:val="00716FB6"/>
    <w:rsid w:val="00717A3B"/>
    <w:rsid w:val="00717D9D"/>
    <w:rsid w:val="0072000F"/>
    <w:rsid w:val="00720077"/>
    <w:rsid w:val="007203ED"/>
    <w:rsid w:val="00720B20"/>
    <w:rsid w:val="0072143E"/>
    <w:rsid w:val="00721C6C"/>
    <w:rsid w:val="00721E36"/>
    <w:rsid w:val="0072226E"/>
    <w:rsid w:val="00722476"/>
    <w:rsid w:val="00722639"/>
    <w:rsid w:val="00722740"/>
    <w:rsid w:val="0072298F"/>
    <w:rsid w:val="007242F9"/>
    <w:rsid w:val="00724D4E"/>
    <w:rsid w:val="007250A1"/>
    <w:rsid w:val="0072594D"/>
    <w:rsid w:val="00725F77"/>
    <w:rsid w:val="0072626D"/>
    <w:rsid w:val="00726342"/>
    <w:rsid w:val="00726509"/>
    <w:rsid w:val="00726886"/>
    <w:rsid w:val="00726D72"/>
    <w:rsid w:val="00726D8A"/>
    <w:rsid w:val="007271E2"/>
    <w:rsid w:val="00727956"/>
    <w:rsid w:val="007300B4"/>
    <w:rsid w:val="007309D0"/>
    <w:rsid w:val="00730CE0"/>
    <w:rsid w:val="00731E42"/>
    <w:rsid w:val="007320FF"/>
    <w:rsid w:val="00732495"/>
    <w:rsid w:val="007325BA"/>
    <w:rsid w:val="00732A74"/>
    <w:rsid w:val="0073302D"/>
    <w:rsid w:val="007331FD"/>
    <w:rsid w:val="00733D37"/>
    <w:rsid w:val="007342FF"/>
    <w:rsid w:val="007359F5"/>
    <w:rsid w:val="00735C66"/>
    <w:rsid w:val="00736672"/>
    <w:rsid w:val="00736883"/>
    <w:rsid w:val="00736DEA"/>
    <w:rsid w:val="00737160"/>
    <w:rsid w:val="007372EA"/>
    <w:rsid w:val="007376FD"/>
    <w:rsid w:val="00737B8E"/>
    <w:rsid w:val="007404B4"/>
    <w:rsid w:val="0074056C"/>
    <w:rsid w:val="0074060D"/>
    <w:rsid w:val="0074124F"/>
    <w:rsid w:val="0074156B"/>
    <w:rsid w:val="00741B5E"/>
    <w:rsid w:val="00741BA0"/>
    <w:rsid w:val="00741E63"/>
    <w:rsid w:val="007421D7"/>
    <w:rsid w:val="00742881"/>
    <w:rsid w:val="00743204"/>
    <w:rsid w:val="00743563"/>
    <w:rsid w:val="00744397"/>
    <w:rsid w:val="00744452"/>
    <w:rsid w:val="00744676"/>
    <w:rsid w:val="00744D0D"/>
    <w:rsid w:val="007454B6"/>
    <w:rsid w:val="00745544"/>
    <w:rsid w:val="007455B8"/>
    <w:rsid w:val="00745854"/>
    <w:rsid w:val="0074597F"/>
    <w:rsid w:val="00745E78"/>
    <w:rsid w:val="00747A3F"/>
    <w:rsid w:val="007505FD"/>
    <w:rsid w:val="00750CA3"/>
    <w:rsid w:val="007519E0"/>
    <w:rsid w:val="00751FF2"/>
    <w:rsid w:val="007520BB"/>
    <w:rsid w:val="007522F3"/>
    <w:rsid w:val="007529FF"/>
    <w:rsid w:val="00752BBE"/>
    <w:rsid w:val="00752E4F"/>
    <w:rsid w:val="0075330A"/>
    <w:rsid w:val="0075334D"/>
    <w:rsid w:val="00753F2C"/>
    <w:rsid w:val="00753F89"/>
    <w:rsid w:val="00754246"/>
    <w:rsid w:val="00754636"/>
    <w:rsid w:val="00754947"/>
    <w:rsid w:val="00754967"/>
    <w:rsid w:val="00755449"/>
    <w:rsid w:val="007557A9"/>
    <w:rsid w:val="00756C7A"/>
    <w:rsid w:val="00757D0B"/>
    <w:rsid w:val="00760456"/>
    <w:rsid w:val="007604E0"/>
    <w:rsid w:val="00761126"/>
    <w:rsid w:val="007611D6"/>
    <w:rsid w:val="007617E5"/>
    <w:rsid w:val="00761B36"/>
    <w:rsid w:val="00761C9A"/>
    <w:rsid w:val="00762848"/>
    <w:rsid w:val="00762B6B"/>
    <w:rsid w:val="00763570"/>
    <w:rsid w:val="007635B8"/>
    <w:rsid w:val="0076368E"/>
    <w:rsid w:val="00763691"/>
    <w:rsid w:val="007636A5"/>
    <w:rsid w:val="00763A93"/>
    <w:rsid w:val="00763B4C"/>
    <w:rsid w:val="0076499A"/>
    <w:rsid w:val="00764B8D"/>
    <w:rsid w:val="00764DD1"/>
    <w:rsid w:val="00764E53"/>
    <w:rsid w:val="0076538C"/>
    <w:rsid w:val="00765665"/>
    <w:rsid w:val="00765970"/>
    <w:rsid w:val="00765F21"/>
    <w:rsid w:val="00766046"/>
    <w:rsid w:val="007662D2"/>
    <w:rsid w:val="00766D5E"/>
    <w:rsid w:val="00766ED8"/>
    <w:rsid w:val="007670EF"/>
    <w:rsid w:val="00767427"/>
    <w:rsid w:val="0076766D"/>
    <w:rsid w:val="00767EAA"/>
    <w:rsid w:val="00770101"/>
    <w:rsid w:val="0077064F"/>
    <w:rsid w:val="00770831"/>
    <w:rsid w:val="00770CE8"/>
    <w:rsid w:val="007716C4"/>
    <w:rsid w:val="00771964"/>
    <w:rsid w:val="00772DF1"/>
    <w:rsid w:val="0077346C"/>
    <w:rsid w:val="007734A7"/>
    <w:rsid w:val="007734AD"/>
    <w:rsid w:val="00773645"/>
    <w:rsid w:val="00773B72"/>
    <w:rsid w:val="0077405E"/>
    <w:rsid w:val="00774565"/>
    <w:rsid w:val="007748B7"/>
    <w:rsid w:val="00774D61"/>
    <w:rsid w:val="007753C7"/>
    <w:rsid w:val="007757A7"/>
    <w:rsid w:val="00775854"/>
    <w:rsid w:val="00775D72"/>
    <w:rsid w:val="00776B3F"/>
    <w:rsid w:val="00776C18"/>
    <w:rsid w:val="007771D0"/>
    <w:rsid w:val="0077724D"/>
    <w:rsid w:val="00777259"/>
    <w:rsid w:val="00777C63"/>
    <w:rsid w:val="00777CDF"/>
    <w:rsid w:val="00780205"/>
    <w:rsid w:val="0078043A"/>
    <w:rsid w:val="00780542"/>
    <w:rsid w:val="00780BBF"/>
    <w:rsid w:val="00780D90"/>
    <w:rsid w:val="00780DF1"/>
    <w:rsid w:val="00780EBE"/>
    <w:rsid w:val="007810C5"/>
    <w:rsid w:val="00781294"/>
    <w:rsid w:val="00781475"/>
    <w:rsid w:val="00781953"/>
    <w:rsid w:val="00782325"/>
    <w:rsid w:val="007826B0"/>
    <w:rsid w:val="00782757"/>
    <w:rsid w:val="00782BCE"/>
    <w:rsid w:val="0078332C"/>
    <w:rsid w:val="0078375F"/>
    <w:rsid w:val="00784111"/>
    <w:rsid w:val="007846CD"/>
    <w:rsid w:val="00784D2D"/>
    <w:rsid w:val="00784E5B"/>
    <w:rsid w:val="007853C9"/>
    <w:rsid w:val="00785BBE"/>
    <w:rsid w:val="00785F45"/>
    <w:rsid w:val="00785F5F"/>
    <w:rsid w:val="0078602B"/>
    <w:rsid w:val="007867E6"/>
    <w:rsid w:val="00786F53"/>
    <w:rsid w:val="00787083"/>
    <w:rsid w:val="007876B1"/>
    <w:rsid w:val="007879C6"/>
    <w:rsid w:val="0079011D"/>
    <w:rsid w:val="00790468"/>
    <w:rsid w:val="00790CAC"/>
    <w:rsid w:val="00790D85"/>
    <w:rsid w:val="0079132D"/>
    <w:rsid w:val="00792509"/>
    <w:rsid w:val="00792510"/>
    <w:rsid w:val="0079280F"/>
    <w:rsid w:val="00792A39"/>
    <w:rsid w:val="00792CB6"/>
    <w:rsid w:val="00792FCD"/>
    <w:rsid w:val="007930AA"/>
    <w:rsid w:val="007930F3"/>
    <w:rsid w:val="00793217"/>
    <w:rsid w:val="007937B7"/>
    <w:rsid w:val="00793F4D"/>
    <w:rsid w:val="00794611"/>
    <w:rsid w:val="00794BD2"/>
    <w:rsid w:val="00795F46"/>
    <w:rsid w:val="00796CBF"/>
    <w:rsid w:val="00796ECC"/>
    <w:rsid w:val="00797BBE"/>
    <w:rsid w:val="00797D25"/>
    <w:rsid w:val="007A060E"/>
    <w:rsid w:val="007A06AC"/>
    <w:rsid w:val="007A0BA7"/>
    <w:rsid w:val="007A1999"/>
    <w:rsid w:val="007A1E20"/>
    <w:rsid w:val="007A22E7"/>
    <w:rsid w:val="007A3750"/>
    <w:rsid w:val="007A4BC5"/>
    <w:rsid w:val="007A4DA5"/>
    <w:rsid w:val="007A5165"/>
    <w:rsid w:val="007A5427"/>
    <w:rsid w:val="007A5E0B"/>
    <w:rsid w:val="007A6A1B"/>
    <w:rsid w:val="007A6BF2"/>
    <w:rsid w:val="007A6CEC"/>
    <w:rsid w:val="007A6E30"/>
    <w:rsid w:val="007A71FD"/>
    <w:rsid w:val="007A7BDE"/>
    <w:rsid w:val="007B034E"/>
    <w:rsid w:val="007B03A2"/>
    <w:rsid w:val="007B03FB"/>
    <w:rsid w:val="007B098D"/>
    <w:rsid w:val="007B0ECE"/>
    <w:rsid w:val="007B1141"/>
    <w:rsid w:val="007B1DCA"/>
    <w:rsid w:val="007B2891"/>
    <w:rsid w:val="007B2906"/>
    <w:rsid w:val="007B31EF"/>
    <w:rsid w:val="007B401A"/>
    <w:rsid w:val="007B4DA9"/>
    <w:rsid w:val="007B4E2E"/>
    <w:rsid w:val="007B52B1"/>
    <w:rsid w:val="007B58DD"/>
    <w:rsid w:val="007B5B01"/>
    <w:rsid w:val="007B5EF7"/>
    <w:rsid w:val="007B6051"/>
    <w:rsid w:val="007B66F6"/>
    <w:rsid w:val="007B699E"/>
    <w:rsid w:val="007B6FA7"/>
    <w:rsid w:val="007B78D2"/>
    <w:rsid w:val="007B7FDA"/>
    <w:rsid w:val="007C0058"/>
    <w:rsid w:val="007C052A"/>
    <w:rsid w:val="007C073E"/>
    <w:rsid w:val="007C0970"/>
    <w:rsid w:val="007C10F5"/>
    <w:rsid w:val="007C1849"/>
    <w:rsid w:val="007C1BDE"/>
    <w:rsid w:val="007C1C76"/>
    <w:rsid w:val="007C2587"/>
    <w:rsid w:val="007C2616"/>
    <w:rsid w:val="007C290C"/>
    <w:rsid w:val="007C3C99"/>
    <w:rsid w:val="007C3D1C"/>
    <w:rsid w:val="007C3E4C"/>
    <w:rsid w:val="007C45E8"/>
    <w:rsid w:val="007C4E0A"/>
    <w:rsid w:val="007C4E79"/>
    <w:rsid w:val="007C650E"/>
    <w:rsid w:val="007C6525"/>
    <w:rsid w:val="007C6544"/>
    <w:rsid w:val="007C667D"/>
    <w:rsid w:val="007C6A0A"/>
    <w:rsid w:val="007C6FD0"/>
    <w:rsid w:val="007D025D"/>
    <w:rsid w:val="007D050D"/>
    <w:rsid w:val="007D0520"/>
    <w:rsid w:val="007D0D2B"/>
    <w:rsid w:val="007D1324"/>
    <w:rsid w:val="007D1A78"/>
    <w:rsid w:val="007D1F6F"/>
    <w:rsid w:val="007D2203"/>
    <w:rsid w:val="007D2460"/>
    <w:rsid w:val="007D3D5C"/>
    <w:rsid w:val="007D3E8B"/>
    <w:rsid w:val="007D428B"/>
    <w:rsid w:val="007D4F29"/>
    <w:rsid w:val="007D5160"/>
    <w:rsid w:val="007D5D22"/>
    <w:rsid w:val="007D5E5C"/>
    <w:rsid w:val="007D5EAB"/>
    <w:rsid w:val="007D6148"/>
    <w:rsid w:val="007D68D9"/>
    <w:rsid w:val="007D6E45"/>
    <w:rsid w:val="007D6F9F"/>
    <w:rsid w:val="007D728C"/>
    <w:rsid w:val="007E01A5"/>
    <w:rsid w:val="007E0BFF"/>
    <w:rsid w:val="007E0D84"/>
    <w:rsid w:val="007E0E51"/>
    <w:rsid w:val="007E1454"/>
    <w:rsid w:val="007E15A4"/>
    <w:rsid w:val="007E24AC"/>
    <w:rsid w:val="007E2602"/>
    <w:rsid w:val="007E267E"/>
    <w:rsid w:val="007E269A"/>
    <w:rsid w:val="007E27C5"/>
    <w:rsid w:val="007E287E"/>
    <w:rsid w:val="007E298F"/>
    <w:rsid w:val="007E2A67"/>
    <w:rsid w:val="007E34FA"/>
    <w:rsid w:val="007E4001"/>
    <w:rsid w:val="007E491F"/>
    <w:rsid w:val="007E4DA7"/>
    <w:rsid w:val="007E61BE"/>
    <w:rsid w:val="007E6D12"/>
    <w:rsid w:val="007E7163"/>
    <w:rsid w:val="007E716E"/>
    <w:rsid w:val="007E73F0"/>
    <w:rsid w:val="007E74DB"/>
    <w:rsid w:val="007E75B2"/>
    <w:rsid w:val="007E772F"/>
    <w:rsid w:val="007E7B58"/>
    <w:rsid w:val="007E7D93"/>
    <w:rsid w:val="007F03A8"/>
    <w:rsid w:val="007F0AAE"/>
    <w:rsid w:val="007F0CB1"/>
    <w:rsid w:val="007F12C7"/>
    <w:rsid w:val="007F1673"/>
    <w:rsid w:val="007F1AE8"/>
    <w:rsid w:val="007F1F22"/>
    <w:rsid w:val="007F1F38"/>
    <w:rsid w:val="007F2275"/>
    <w:rsid w:val="007F3222"/>
    <w:rsid w:val="007F32D2"/>
    <w:rsid w:val="007F3438"/>
    <w:rsid w:val="007F34FD"/>
    <w:rsid w:val="007F3B7C"/>
    <w:rsid w:val="007F48D3"/>
    <w:rsid w:val="007F4AC0"/>
    <w:rsid w:val="007F6394"/>
    <w:rsid w:val="007F7146"/>
    <w:rsid w:val="007F7217"/>
    <w:rsid w:val="007F72F3"/>
    <w:rsid w:val="00800356"/>
    <w:rsid w:val="00800396"/>
    <w:rsid w:val="00800548"/>
    <w:rsid w:val="008005D2"/>
    <w:rsid w:val="00800C4D"/>
    <w:rsid w:val="00801642"/>
    <w:rsid w:val="00801D4C"/>
    <w:rsid w:val="00801F6A"/>
    <w:rsid w:val="00803329"/>
    <w:rsid w:val="00803652"/>
    <w:rsid w:val="008036E3"/>
    <w:rsid w:val="00803A65"/>
    <w:rsid w:val="00803C63"/>
    <w:rsid w:val="00803C67"/>
    <w:rsid w:val="00804393"/>
    <w:rsid w:val="00804824"/>
    <w:rsid w:val="0080513A"/>
    <w:rsid w:val="00805480"/>
    <w:rsid w:val="00805B38"/>
    <w:rsid w:val="00805D06"/>
    <w:rsid w:val="00806876"/>
    <w:rsid w:val="008069A8"/>
    <w:rsid w:val="00810921"/>
    <w:rsid w:val="00810A68"/>
    <w:rsid w:val="00810B2C"/>
    <w:rsid w:val="00810B44"/>
    <w:rsid w:val="00811543"/>
    <w:rsid w:val="008115F2"/>
    <w:rsid w:val="00811AEB"/>
    <w:rsid w:val="00811CF2"/>
    <w:rsid w:val="0081210B"/>
    <w:rsid w:val="00812137"/>
    <w:rsid w:val="0081289C"/>
    <w:rsid w:val="00812A46"/>
    <w:rsid w:val="008140CF"/>
    <w:rsid w:val="0081475C"/>
    <w:rsid w:val="00814769"/>
    <w:rsid w:val="0081478D"/>
    <w:rsid w:val="008147DA"/>
    <w:rsid w:val="00814D1E"/>
    <w:rsid w:val="0081513B"/>
    <w:rsid w:val="0081571A"/>
    <w:rsid w:val="0081619E"/>
    <w:rsid w:val="008161A1"/>
    <w:rsid w:val="008161B8"/>
    <w:rsid w:val="00816EC6"/>
    <w:rsid w:val="008176F2"/>
    <w:rsid w:val="00820061"/>
    <w:rsid w:val="00820678"/>
    <w:rsid w:val="00820744"/>
    <w:rsid w:val="008208A2"/>
    <w:rsid w:val="00820C85"/>
    <w:rsid w:val="00820F94"/>
    <w:rsid w:val="00821B6E"/>
    <w:rsid w:val="00821D80"/>
    <w:rsid w:val="00821EBA"/>
    <w:rsid w:val="00821FA0"/>
    <w:rsid w:val="00822351"/>
    <w:rsid w:val="008225DA"/>
    <w:rsid w:val="00822895"/>
    <w:rsid w:val="0082291E"/>
    <w:rsid w:val="00822FB6"/>
    <w:rsid w:val="008230AE"/>
    <w:rsid w:val="008233A7"/>
    <w:rsid w:val="0082340A"/>
    <w:rsid w:val="0082356A"/>
    <w:rsid w:val="0082477A"/>
    <w:rsid w:val="008247FD"/>
    <w:rsid w:val="00824A7D"/>
    <w:rsid w:val="008250A5"/>
    <w:rsid w:val="0082529E"/>
    <w:rsid w:val="0082572D"/>
    <w:rsid w:val="008258C4"/>
    <w:rsid w:val="008261D6"/>
    <w:rsid w:val="00826381"/>
    <w:rsid w:val="0082718C"/>
    <w:rsid w:val="008273E8"/>
    <w:rsid w:val="00827CF9"/>
    <w:rsid w:val="008302BF"/>
    <w:rsid w:val="00830D2E"/>
    <w:rsid w:val="00830EB1"/>
    <w:rsid w:val="0083113D"/>
    <w:rsid w:val="008316D8"/>
    <w:rsid w:val="008319A8"/>
    <w:rsid w:val="00831B95"/>
    <w:rsid w:val="00831EB7"/>
    <w:rsid w:val="00832DCB"/>
    <w:rsid w:val="00832EC1"/>
    <w:rsid w:val="008331AF"/>
    <w:rsid w:val="008332D2"/>
    <w:rsid w:val="0083362C"/>
    <w:rsid w:val="00833977"/>
    <w:rsid w:val="00833A99"/>
    <w:rsid w:val="008345FB"/>
    <w:rsid w:val="00835347"/>
    <w:rsid w:val="00835CEC"/>
    <w:rsid w:val="00840303"/>
    <w:rsid w:val="0084049E"/>
    <w:rsid w:val="00840755"/>
    <w:rsid w:val="0084078A"/>
    <w:rsid w:val="008412ED"/>
    <w:rsid w:val="008418A6"/>
    <w:rsid w:val="00842018"/>
    <w:rsid w:val="00842183"/>
    <w:rsid w:val="008425BE"/>
    <w:rsid w:val="00842E1A"/>
    <w:rsid w:val="008436E4"/>
    <w:rsid w:val="00843E73"/>
    <w:rsid w:val="00844679"/>
    <w:rsid w:val="00844A44"/>
    <w:rsid w:val="00844AD2"/>
    <w:rsid w:val="00844FEB"/>
    <w:rsid w:val="00845921"/>
    <w:rsid w:val="00845934"/>
    <w:rsid w:val="00845C44"/>
    <w:rsid w:val="008460EE"/>
    <w:rsid w:val="00846A86"/>
    <w:rsid w:val="00846C70"/>
    <w:rsid w:val="008471E4"/>
    <w:rsid w:val="0085000C"/>
    <w:rsid w:val="00850097"/>
    <w:rsid w:val="0085027E"/>
    <w:rsid w:val="008503FD"/>
    <w:rsid w:val="0085159B"/>
    <w:rsid w:val="0085207E"/>
    <w:rsid w:val="0085227E"/>
    <w:rsid w:val="00852D76"/>
    <w:rsid w:val="00853AB5"/>
    <w:rsid w:val="00854018"/>
    <w:rsid w:val="00854767"/>
    <w:rsid w:val="00855017"/>
    <w:rsid w:val="008555C3"/>
    <w:rsid w:val="008559BC"/>
    <w:rsid w:val="00855B50"/>
    <w:rsid w:val="00856C1E"/>
    <w:rsid w:val="00856CF1"/>
    <w:rsid w:val="00857A76"/>
    <w:rsid w:val="00860294"/>
    <w:rsid w:val="0086059F"/>
    <w:rsid w:val="00860B2A"/>
    <w:rsid w:val="00860F87"/>
    <w:rsid w:val="0086171E"/>
    <w:rsid w:val="00861BA4"/>
    <w:rsid w:val="00862308"/>
    <w:rsid w:val="0086262B"/>
    <w:rsid w:val="00862659"/>
    <w:rsid w:val="00863523"/>
    <w:rsid w:val="00863EF2"/>
    <w:rsid w:val="0086453D"/>
    <w:rsid w:val="0086457F"/>
    <w:rsid w:val="00864836"/>
    <w:rsid w:val="00864C15"/>
    <w:rsid w:val="00864D5E"/>
    <w:rsid w:val="008654A8"/>
    <w:rsid w:val="00865772"/>
    <w:rsid w:val="00865F8E"/>
    <w:rsid w:val="00866250"/>
    <w:rsid w:val="00866864"/>
    <w:rsid w:val="008676DF"/>
    <w:rsid w:val="00867FEE"/>
    <w:rsid w:val="0087008C"/>
    <w:rsid w:val="0087035C"/>
    <w:rsid w:val="00871AC4"/>
    <w:rsid w:val="00871AD3"/>
    <w:rsid w:val="00871D75"/>
    <w:rsid w:val="008722A7"/>
    <w:rsid w:val="00872B48"/>
    <w:rsid w:val="00873074"/>
    <w:rsid w:val="008732A4"/>
    <w:rsid w:val="0087377D"/>
    <w:rsid w:val="00873828"/>
    <w:rsid w:val="00873949"/>
    <w:rsid w:val="00873DFC"/>
    <w:rsid w:val="0087427A"/>
    <w:rsid w:val="008754FB"/>
    <w:rsid w:val="00875914"/>
    <w:rsid w:val="00875B21"/>
    <w:rsid w:val="008760D5"/>
    <w:rsid w:val="00876418"/>
    <w:rsid w:val="00876646"/>
    <w:rsid w:val="00876B49"/>
    <w:rsid w:val="008772DC"/>
    <w:rsid w:val="00877BDB"/>
    <w:rsid w:val="00877E59"/>
    <w:rsid w:val="00881352"/>
    <w:rsid w:val="00881937"/>
    <w:rsid w:val="00881E25"/>
    <w:rsid w:val="00882272"/>
    <w:rsid w:val="00882B7F"/>
    <w:rsid w:val="00882EA1"/>
    <w:rsid w:val="00883CFD"/>
    <w:rsid w:val="00884299"/>
    <w:rsid w:val="00884842"/>
    <w:rsid w:val="00885085"/>
    <w:rsid w:val="00885229"/>
    <w:rsid w:val="00885BA7"/>
    <w:rsid w:val="0088608C"/>
    <w:rsid w:val="008864D0"/>
    <w:rsid w:val="008866F5"/>
    <w:rsid w:val="00886BE1"/>
    <w:rsid w:val="00886D9C"/>
    <w:rsid w:val="0088708D"/>
    <w:rsid w:val="0088796B"/>
    <w:rsid w:val="00887A0E"/>
    <w:rsid w:val="00887ECB"/>
    <w:rsid w:val="00890AB5"/>
    <w:rsid w:val="00891DB9"/>
    <w:rsid w:val="00893173"/>
    <w:rsid w:val="00893272"/>
    <w:rsid w:val="00893532"/>
    <w:rsid w:val="00893762"/>
    <w:rsid w:val="00893A1E"/>
    <w:rsid w:val="00893A43"/>
    <w:rsid w:val="00893EFA"/>
    <w:rsid w:val="0089464E"/>
    <w:rsid w:val="0089485C"/>
    <w:rsid w:val="00894ECD"/>
    <w:rsid w:val="008958CD"/>
    <w:rsid w:val="00895E11"/>
    <w:rsid w:val="0089635B"/>
    <w:rsid w:val="00897C41"/>
    <w:rsid w:val="00897CF5"/>
    <w:rsid w:val="008A00FC"/>
    <w:rsid w:val="008A0306"/>
    <w:rsid w:val="008A0C9B"/>
    <w:rsid w:val="008A0E87"/>
    <w:rsid w:val="008A0F68"/>
    <w:rsid w:val="008A122A"/>
    <w:rsid w:val="008A14BC"/>
    <w:rsid w:val="008A262F"/>
    <w:rsid w:val="008A2F58"/>
    <w:rsid w:val="008A3B64"/>
    <w:rsid w:val="008A4149"/>
    <w:rsid w:val="008A4656"/>
    <w:rsid w:val="008A5298"/>
    <w:rsid w:val="008A5CE2"/>
    <w:rsid w:val="008A6447"/>
    <w:rsid w:val="008A648E"/>
    <w:rsid w:val="008A666C"/>
    <w:rsid w:val="008B0765"/>
    <w:rsid w:val="008B09B6"/>
    <w:rsid w:val="008B1B45"/>
    <w:rsid w:val="008B38F3"/>
    <w:rsid w:val="008B39A8"/>
    <w:rsid w:val="008B3B6D"/>
    <w:rsid w:val="008B4F39"/>
    <w:rsid w:val="008B532B"/>
    <w:rsid w:val="008B59E0"/>
    <w:rsid w:val="008B5BF9"/>
    <w:rsid w:val="008B5CA6"/>
    <w:rsid w:val="008B60B2"/>
    <w:rsid w:val="008B6520"/>
    <w:rsid w:val="008B6909"/>
    <w:rsid w:val="008B6EEE"/>
    <w:rsid w:val="008B739E"/>
    <w:rsid w:val="008B7B36"/>
    <w:rsid w:val="008B7B70"/>
    <w:rsid w:val="008B7C71"/>
    <w:rsid w:val="008B7ED2"/>
    <w:rsid w:val="008C0055"/>
    <w:rsid w:val="008C0399"/>
    <w:rsid w:val="008C0E83"/>
    <w:rsid w:val="008C14E6"/>
    <w:rsid w:val="008C1A67"/>
    <w:rsid w:val="008C2262"/>
    <w:rsid w:val="008C2A0E"/>
    <w:rsid w:val="008C2A50"/>
    <w:rsid w:val="008C2EED"/>
    <w:rsid w:val="008C3351"/>
    <w:rsid w:val="008C3B42"/>
    <w:rsid w:val="008C3D59"/>
    <w:rsid w:val="008C3EC2"/>
    <w:rsid w:val="008C4FB4"/>
    <w:rsid w:val="008C61EA"/>
    <w:rsid w:val="008C63C2"/>
    <w:rsid w:val="008C6749"/>
    <w:rsid w:val="008C6786"/>
    <w:rsid w:val="008C683F"/>
    <w:rsid w:val="008D0A9F"/>
    <w:rsid w:val="008D0DCA"/>
    <w:rsid w:val="008D1792"/>
    <w:rsid w:val="008D1B72"/>
    <w:rsid w:val="008D2C48"/>
    <w:rsid w:val="008D3509"/>
    <w:rsid w:val="008D3892"/>
    <w:rsid w:val="008D3B73"/>
    <w:rsid w:val="008D3C11"/>
    <w:rsid w:val="008D3ED2"/>
    <w:rsid w:val="008D46A3"/>
    <w:rsid w:val="008D4A27"/>
    <w:rsid w:val="008D515A"/>
    <w:rsid w:val="008D5541"/>
    <w:rsid w:val="008D5DAD"/>
    <w:rsid w:val="008D6D52"/>
    <w:rsid w:val="008D6DDF"/>
    <w:rsid w:val="008D7D57"/>
    <w:rsid w:val="008E1035"/>
    <w:rsid w:val="008E1479"/>
    <w:rsid w:val="008E1562"/>
    <w:rsid w:val="008E2333"/>
    <w:rsid w:val="008E251A"/>
    <w:rsid w:val="008E3083"/>
    <w:rsid w:val="008E3C50"/>
    <w:rsid w:val="008E44D1"/>
    <w:rsid w:val="008E5116"/>
    <w:rsid w:val="008E5E35"/>
    <w:rsid w:val="008E6793"/>
    <w:rsid w:val="008E6DBF"/>
    <w:rsid w:val="008E6E5A"/>
    <w:rsid w:val="008E779B"/>
    <w:rsid w:val="008E7975"/>
    <w:rsid w:val="008E7ACC"/>
    <w:rsid w:val="008E7FE9"/>
    <w:rsid w:val="008F085A"/>
    <w:rsid w:val="008F0A54"/>
    <w:rsid w:val="008F0C85"/>
    <w:rsid w:val="008F1066"/>
    <w:rsid w:val="008F132C"/>
    <w:rsid w:val="008F14D1"/>
    <w:rsid w:val="008F1951"/>
    <w:rsid w:val="008F298E"/>
    <w:rsid w:val="008F2F19"/>
    <w:rsid w:val="008F391E"/>
    <w:rsid w:val="008F3978"/>
    <w:rsid w:val="008F42EE"/>
    <w:rsid w:val="008F456A"/>
    <w:rsid w:val="008F4AF2"/>
    <w:rsid w:val="008F4BAB"/>
    <w:rsid w:val="008F5B0B"/>
    <w:rsid w:val="008F5BF1"/>
    <w:rsid w:val="008F66D9"/>
    <w:rsid w:val="008F678F"/>
    <w:rsid w:val="008F69BE"/>
    <w:rsid w:val="008F6D81"/>
    <w:rsid w:val="008F6E64"/>
    <w:rsid w:val="008F76F6"/>
    <w:rsid w:val="008F7AAC"/>
    <w:rsid w:val="00900BB3"/>
    <w:rsid w:val="00900D6F"/>
    <w:rsid w:val="00901386"/>
    <w:rsid w:val="0090185F"/>
    <w:rsid w:val="0090257D"/>
    <w:rsid w:val="00902C9C"/>
    <w:rsid w:val="00902E5E"/>
    <w:rsid w:val="0090340A"/>
    <w:rsid w:val="00903694"/>
    <w:rsid w:val="00903F65"/>
    <w:rsid w:val="0090415D"/>
    <w:rsid w:val="009043F2"/>
    <w:rsid w:val="00905885"/>
    <w:rsid w:val="00905BAE"/>
    <w:rsid w:val="00906641"/>
    <w:rsid w:val="009074CB"/>
    <w:rsid w:val="009077F8"/>
    <w:rsid w:val="009078EA"/>
    <w:rsid w:val="00907B18"/>
    <w:rsid w:val="00907F9D"/>
    <w:rsid w:val="0091024A"/>
    <w:rsid w:val="009112EB"/>
    <w:rsid w:val="009119AE"/>
    <w:rsid w:val="00911B5F"/>
    <w:rsid w:val="00912B73"/>
    <w:rsid w:val="00913C32"/>
    <w:rsid w:val="009145A4"/>
    <w:rsid w:val="00914E17"/>
    <w:rsid w:val="00914F2B"/>
    <w:rsid w:val="009150E7"/>
    <w:rsid w:val="0091564A"/>
    <w:rsid w:val="00916201"/>
    <w:rsid w:val="00916558"/>
    <w:rsid w:val="00916737"/>
    <w:rsid w:val="00916839"/>
    <w:rsid w:val="00917C22"/>
    <w:rsid w:val="00920046"/>
    <w:rsid w:val="00920788"/>
    <w:rsid w:val="00920870"/>
    <w:rsid w:val="00920940"/>
    <w:rsid w:val="0092106B"/>
    <w:rsid w:val="00921081"/>
    <w:rsid w:val="00921CEB"/>
    <w:rsid w:val="00921E92"/>
    <w:rsid w:val="00922019"/>
    <w:rsid w:val="00922371"/>
    <w:rsid w:val="0092247D"/>
    <w:rsid w:val="0092253F"/>
    <w:rsid w:val="00922EA6"/>
    <w:rsid w:val="0092391D"/>
    <w:rsid w:val="00923BCB"/>
    <w:rsid w:val="00923E9D"/>
    <w:rsid w:val="00924401"/>
    <w:rsid w:val="00924434"/>
    <w:rsid w:val="009246E3"/>
    <w:rsid w:val="009252B9"/>
    <w:rsid w:val="00925FA0"/>
    <w:rsid w:val="009267A5"/>
    <w:rsid w:val="009267C9"/>
    <w:rsid w:val="00926C7E"/>
    <w:rsid w:val="009273FC"/>
    <w:rsid w:val="0092762B"/>
    <w:rsid w:val="00927C67"/>
    <w:rsid w:val="009301C5"/>
    <w:rsid w:val="0093021C"/>
    <w:rsid w:val="00930364"/>
    <w:rsid w:val="00930D1C"/>
    <w:rsid w:val="00930DDC"/>
    <w:rsid w:val="0093102E"/>
    <w:rsid w:val="00931269"/>
    <w:rsid w:val="00931327"/>
    <w:rsid w:val="009319F7"/>
    <w:rsid w:val="00931FE3"/>
    <w:rsid w:val="009324A3"/>
    <w:rsid w:val="009334C6"/>
    <w:rsid w:val="0093388F"/>
    <w:rsid w:val="00934593"/>
    <w:rsid w:val="00935AF7"/>
    <w:rsid w:val="00935FE1"/>
    <w:rsid w:val="00936024"/>
    <w:rsid w:val="009363C9"/>
    <w:rsid w:val="00936665"/>
    <w:rsid w:val="009369D7"/>
    <w:rsid w:val="00936B94"/>
    <w:rsid w:val="00936BC4"/>
    <w:rsid w:val="00936D89"/>
    <w:rsid w:val="00937041"/>
    <w:rsid w:val="009372B8"/>
    <w:rsid w:val="00937657"/>
    <w:rsid w:val="00937772"/>
    <w:rsid w:val="00937F67"/>
    <w:rsid w:val="0094060C"/>
    <w:rsid w:val="00941937"/>
    <w:rsid w:val="00941F99"/>
    <w:rsid w:val="009429F4"/>
    <w:rsid w:val="00942FD6"/>
    <w:rsid w:val="00943076"/>
    <w:rsid w:val="0094308D"/>
    <w:rsid w:val="00943618"/>
    <w:rsid w:val="0094378B"/>
    <w:rsid w:val="00943A8A"/>
    <w:rsid w:val="00943EAC"/>
    <w:rsid w:val="00945987"/>
    <w:rsid w:val="00945FDB"/>
    <w:rsid w:val="00945FF4"/>
    <w:rsid w:val="009460FB"/>
    <w:rsid w:val="009464B0"/>
    <w:rsid w:val="0094652E"/>
    <w:rsid w:val="009476F6"/>
    <w:rsid w:val="0094788A"/>
    <w:rsid w:val="00947A36"/>
    <w:rsid w:val="00947B9C"/>
    <w:rsid w:val="00947FEE"/>
    <w:rsid w:val="00951899"/>
    <w:rsid w:val="00951BA5"/>
    <w:rsid w:val="00951E0B"/>
    <w:rsid w:val="00951E13"/>
    <w:rsid w:val="009522A5"/>
    <w:rsid w:val="0095274B"/>
    <w:rsid w:val="00952B12"/>
    <w:rsid w:val="00952DAD"/>
    <w:rsid w:val="00952DEF"/>
    <w:rsid w:val="00953E9B"/>
    <w:rsid w:val="0095426B"/>
    <w:rsid w:val="00954929"/>
    <w:rsid w:val="00954E16"/>
    <w:rsid w:val="009550B7"/>
    <w:rsid w:val="009550C5"/>
    <w:rsid w:val="009552DB"/>
    <w:rsid w:val="009554DD"/>
    <w:rsid w:val="00955534"/>
    <w:rsid w:val="00955B68"/>
    <w:rsid w:val="00955CD0"/>
    <w:rsid w:val="00956A86"/>
    <w:rsid w:val="00956D0E"/>
    <w:rsid w:val="009603E9"/>
    <w:rsid w:val="009603FA"/>
    <w:rsid w:val="00960D6E"/>
    <w:rsid w:val="0096124B"/>
    <w:rsid w:val="00961385"/>
    <w:rsid w:val="00961849"/>
    <w:rsid w:val="00961FAC"/>
    <w:rsid w:val="00962277"/>
    <w:rsid w:val="00962AC2"/>
    <w:rsid w:val="00962DB9"/>
    <w:rsid w:val="0096387E"/>
    <w:rsid w:val="0096415B"/>
    <w:rsid w:val="00964F85"/>
    <w:rsid w:val="009653ED"/>
    <w:rsid w:val="0096590C"/>
    <w:rsid w:val="00965AE2"/>
    <w:rsid w:val="009660A7"/>
    <w:rsid w:val="00966121"/>
    <w:rsid w:val="009673A7"/>
    <w:rsid w:val="009673FE"/>
    <w:rsid w:val="0097029D"/>
    <w:rsid w:val="00970376"/>
    <w:rsid w:val="00971303"/>
    <w:rsid w:val="00972325"/>
    <w:rsid w:val="009723D0"/>
    <w:rsid w:val="00972571"/>
    <w:rsid w:val="00972941"/>
    <w:rsid w:val="00972C15"/>
    <w:rsid w:val="009730C3"/>
    <w:rsid w:val="009735F3"/>
    <w:rsid w:val="009739CD"/>
    <w:rsid w:val="00973BFA"/>
    <w:rsid w:val="0097417A"/>
    <w:rsid w:val="00974231"/>
    <w:rsid w:val="009746BE"/>
    <w:rsid w:val="00974F96"/>
    <w:rsid w:val="0097536E"/>
    <w:rsid w:val="009753C0"/>
    <w:rsid w:val="00975426"/>
    <w:rsid w:val="009755C7"/>
    <w:rsid w:val="0097590D"/>
    <w:rsid w:val="0097608F"/>
    <w:rsid w:val="009761A0"/>
    <w:rsid w:val="00976AF8"/>
    <w:rsid w:val="00977A6A"/>
    <w:rsid w:val="00977C69"/>
    <w:rsid w:val="00977D41"/>
    <w:rsid w:val="00977DB9"/>
    <w:rsid w:val="00980240"/>
    <w:rsid w:val="009809A5"/>
    <w:rsid w:val="00980BC4"/>
    <w:rsid w:val="009811A9"/>
    <w:rsid w:val="00981AEE"/>
    <w:rsid w:val="00982038"/>
    <w:rsid w:val="0098225A"/>
    <w:rsid w:val="009823C3"/>
    <w:rsid w:val="009824A9"/>
    <w:rsid w:val="00982841"/>
    <w:rsid w:val="00982ACC"/>
    <w:rsid w:val="00982D52"/>
    <w:rsid w:val="0098335E"/>
    <w:rsid w:val="009834F6"/>
    <w:rsid w:val="00983DC8"/>
    <w:rsid w:val="00984138"/>
    <w:rsid w:val="00984206"/>
    <w:rsid w:val="00984279"/>
    <w:rsid w:val="00984746"/>
    <w:rsid w:val="00984C2F"/>
    <w:rsid w:val="00985294"/>
    <w:rsid w:val="00985F34"/>
    <w:rsid w:val="00987206"/>
    <w:rsid w:val="0099017F"/>
    <w:rsid w:val="0099048A"/>
    <w:rsid w:val="0099095E"/>
    <w:rsid w:val="00990C02"/>
    <w:rsid w:val="00990FC1"/>
    <w:rsid w:val="009912ED"/>
    <w:rsid w:val="0099148D"/>
    <w:rsid w:val="0099241F"/>
    <w:rsid w:val="00992B64"/>
    <w:rsid w:val="00992B86"/>
    <w:rsid w:val="00993429"/>
    <w:rsid w:val="00993471"/>
    <w:rsid w:val="00993688"/>
    <w:rsid w:val="00993EE6"/>
    <w:rsid w:val="009941AE"/>
    <w:rsid w:val="00994525"/>
    <w:rsid w:val="00994907"/>
    <w:rsid w:val="00994C3A"/>
    <w:rsid w:val="00994C8D"/>
    <w:rsid w:val="00994CE9"/>
    <w:rsid w:val="00994DC7"/>
    <w:rsid w:val="00994E1F"/>
    <w:rsid w:val="00995CBA"/>
    <w:rsid w:val="00996233"/>
    <w:rsid w:val="009964B7"/>
    <w:rsid w:val="009966F6"/>
    <w:rsid w:val="009968BB"/>
    <w:rsid w:val="00996BCE"/>
    <w:rsid w:val="009970A6"/>
    <w:rsid w:val="00997754"/>
    <w:rsid w:val="00997EEF"/>
    <w:rsid w:val="009A0B69"/>
    <w:rsid w:val="009A0DEC"/>
    <w:rsid w:val="009A12B1"/>
    <w:rsid w:val="009A163D"/>
    <w:rsid w:val="009A19B9"/>
    <w:rsid w:val="009A1F65"/>
    <w:rsid w:val="009A38D6"/>
    <w:rsid w:val="009A3A28"/>
    <w:rsid w:val="009A3C26"/>
    <w:rsid w:val="009A3CEF"/>
    <w:rsid w:val="009A3DAD"/>
    <w:rsid w:val="009A42C6"/>
    <w:rsid w:val="009A4349"/>
    <w:rsid w:val="009A4425"/>
    <w:rsid w:val="009A4A44"/>
    <w:rsid w:val="009A4C68"/>
    <w:rsid w:val="009A52D8"/>
    <w:rsid w:val="009A5896"/>
    <w:rsid w:val="009A591A"/>
    <w:rsid w:val="009A6D3A"/>
    <w:rsid w:val="009A78AE"/>
    <w:rsid w:val="009B0259"/>
    <w:rsid w:val="009B063C"/>
    <w:rsid w:val="009B0C3D"/>
    <w:rsid w:val="009B13DC"/>
    <w:rsid w:val="009B282E"/>
    <w:rsid w:val="009B2E60"/>
    <w:rsid w:val="009B300D"/>
    <w:rsid w:val="009B388E"/>
    <w:rsid w:val="009B3C0B"/>
    <w:rsid w:val="009B41BA"/>
    <w:rsid w:val="009B4202"/>
    <w:rsid w:val="009B5004"/>
    <w:rsid w:val="009B512F"/>
    <w:rsid w:val="009B5195"/>
    <w:rsid w:val="009B5303"/>
    <w:rsid w:val="009B5996"/>
    <w:rsid w:val="009B5C03"/>
    <w:rsid w:val="009B668B"/>
    <w:rsid w:val="009B66DF"/>
    <w:rsid w:val="009B6834"/>
    <w:rsid w:val="009B6C54"/>
    <w:rsid w:val="009B749A"/>
    <w:rsid w:val="009C0A8D"/>
    <w:rsid w:val="009C0B97"/>
    <w:rsid w:val="009C0F20"/>
    <w:rsid w:val="009C0F97"/>
    <w:rsid w:val="009C11D7"/>
    <w:rsid w:val="009C1685"/>
    <w:rsid w:val="009C1C48"/>
    <w:rsid w:val="009C1D20"/>
    <w:rsid w:val="009C2132"/>
    <w:rsid w:val="009C2334"/>
    <w:rsid w:val="009C24BA"/>
    <w:rsid w:val="009C2C05"/>
    <w:rsid w:val="009C2C52"/>
    <w:rsid w:val="009C3A97"/>
    <w:rsid w:val="009C42A2"/>
    <w:rsid w:val="009C4686"/>
    <w:rsid w:val="009C5779"/>
    <w:rsid w:val="009C5944"/>
    <w:rsid w:val="009C610D"/>
    <w:rsid w:val="009C6629"/>
    <w:rsid w:val="009C67AF"/>
    <w:rsid w:val="009C6B34"/>
    <w:rsid w:val="009C6C9B"/>
    <w:rsid w:val="009C6D2D"/>
    <w:rsid w:val="009C744C"/>
    <w:rsid w:val="009C7594"/>
    <w:rsid w:val="009C75CF"/>
    <w:rsid w:val="009C75F2"/>
    <w:rsid w:val="009C78D6"/>
    <w:rsid w:val="009D079C"/>
    <w:rsid w:val="009D1188"/>
    <w:rsid w:val="009D126E"/>
    <w:rsid w:val="009D1377"/>
    <w:rsid w:val="009D1790"/>
    <w:rsid w:val="009D22E3"/>
    <w:rsid w:val="009D2604"/>
    <w:rsid w:val="009D33D6"/>
    <w:rsid w:val="009D439A"/>
    <w:rsid w:val="009D4473"/>
    <w:rsid w:val="009D467C"/>
    <w:rsid w:val="009D47CB"/>
    <w:rsid w:val="009D49BE"/>
    <w:rsid w:val="009D54AB"/>
    <w:rsid w:val="009D5705"/>
    <w:rsid w:val="009D5AC8"/>
    <w:rsid w:val="009D5D58"/>
    <w:rsid w:val="009D5DB3"/>
    <w:rsid w:val="009D5DED"/>
    <w:rsid w:val="009D5E92"/>
    <w:rsid w:val="009D70FF"/>
    <w:rsid w:val="009D72FA"/>
    <w:rsid w:val="009D7805"/>
    <w:rsid w:val="009D7BB5"/>
    <w:rsid w:val="009D7D6D"/>
    <w:rsid w:val="009E0020"/>
    <w:rsid w:val="009E0376"/>
    <w:rsid w:val="009E065E"/>
    <w:rsid w:val="009E0791"/>
    <w:rsid w:val="009E1222"/>
    <w:rsid w:val="009E15DA"/>
    <w:rsid w:val="009E1BF4"/>
    <w:rsid w:val="009E1C6E"/>
    <w:rsid w:val="009E1D90"/>
    <w:rsid w:val="009E1EA3"/>
    <w:rsid w:val="009E2020"/>
    <w:rsid w:val="009E2155"/>
    <w:rsid w:val="009E262B"/>
    <w:rsid w:val="009E2BCD"/>
    <w:rsid w:val="009E2C63"/>
    <w:rsid w:val="009E2E98"/>
    <w:rsid w:val="009E41A2"/>
    <w:rsid w:val="009E41FC"/>
    <w:rsid w:val="009E435D"/>
    <w:rsid w:val="009E5780"/>
    <w:rsid w:val="009E5B44"/>
    <w:rsid w:val="009E606B"/>
    <w:rsid w:val="009E61DF"/>
    <w:rsid w:val="009E723D"/>
    <w:rsid w:val="009E75B9"/>
    <w:rsid w:val="009E76AA"/>
    <w:rsid w:val="009E7815"/>
    <w:rsid w:val="009E7948"/>
    <w:rsid w:val="009F0075"/>
    <w:rsid w:val="009F03DB"/>
    <w:rsid w:val="009F0738"/>
    <w:rsid w:val="009F07EC"/>
    <w:rsid w:val="009F0BC5"/>
    <w:rsid w:val="009F0C66"/>
    <w:rsid w:val="009F0E74"/>
    <w:rsid w:val="009F1379"/>
    <w:rsid w:val="009F178B"/>
    <w:rsid w:val="009F1DEF"/>
    <w:rsid w:val="009F1E84"/>
    <w:rsid w:val="009F1F93"/>
    <w:rsid w:val="009F1FD8"/>
    <w:rsid w:val="009F21E3"/>
    <w:rsid w:val="009F326A"/>
    <w:rsid w:val="009F4010"/>
    <w:rsid w:val="009F421B"/>
    <w:rsid w:val="009F5507"/>
    <w:rsid w:val="009F7A01"/>
    <w:rsid w:val="009F7A68"/>
    <w:rsid w:val="009F7E32"/>
    <w:rsid w:val="009F7E63"/>
    <w:rsid w:val="00A004B5"/>
    <w:rsid w:val="00A01300"/>
    <w:rsid w:val="00A01302"/>
    <w:rsid w:val="00A01C6E"/>
    <w:rsid w:val="00A01DB8"/>
    <w:rsid w:val="00A0240F"/>
    <w:rsid w:val="00A02CE0"/>
    <w:rsid w:val="00A03BC7"/>
    <w:rsid w:val="00A03FE7"/>
    <w:rsid w:val="00A04EEA"/>
    <w:rsid w:val="00A0542C"/>
    <w:rsid w:val="00A05712"/>
    <w:rsid w:val="00A059C9"/>
    <w:rsid w:val="00A05AA2"/>
    <w:rsid w:val="00A05BD2"/>
    <w:rsid w:val="00A06351"/>
    <w:rsid w:val="00A064E3"/>
    <w:rsid w:val="00A06571"/>
    <w:rsid w:val="00A06F02"/>
    <w:rsid w:val="00A07075"/>
    <w:rsid w:val="00A070AB"/>
    <w:rsid w:val="00A07624"/>
    <w:rsid w:val="00A0768E"/>
    <w:rsid w:val="00A076B2"/>
    <w:rsid w:val="00A103EB"/>
    <w:rsid w:val="00A10AAE"/>
    <w:rsid w:val="00A111D6"/>
    <w:rsid w:val="00A116D9"/>
    <w:rsid w:val="00A1181A"/>
    <w:rsid w:val="00A11FA7"/>
    <w:rsid w:val="00A128D2"/>
    <w:rsid w:val="00A13005"/>
    <w:rsid w:val="00A14C8C"/>
    <w:rsid w:val="00A15055"/>
    <w:rsid w:val="00A159EE"/>
    <w:rsid w:val="00A15C1D"/>
    <w:rsid w:val="00A160EC"/>
    <w:rsid w:val="00A16323"/>
    <w:rsid w:val="00A1634E"/>
    <w:rsid w:val="00A16B3A"/>
    <w:rsid w:val="00A17488"/>
    <w:rsid w:val="00A17EEE"/>
    <w:rsid w:val="00A17F9B"/>
    <w:rsid w:val="00A204C6"/>
    <w:rsid w:val="00A205D8"/>
    <w:rsid w:val="00A20A59"/>
    <w:rsid w:val="00A20F85"/>
    <w:rsid w:val="00A2104D"/>
    <w:rsid w:val="00A212FF"/>
    <w:rsid w:val="00A21416"/>
    <w:rsid w:val="00A21488"/>
    <w:rsid w:val="00A216A6"/>
    <w:rsid w:val="00A218B6"/>
    <w:rsid w:val="00A21FB4"/>
    <w:rsid w:val="00A22005"/>
    <w:rsid w:val="00A2264C"/>
    <w:rsid w:val="00A2272C"/>
    <w:rsid w:val="00A22E9F"/>
    <w:rsid w:val="00A22F67"/>
    <w:rsid w:val="00A23166"/>
    <w:rsid w:val="00A2352C"/>
    <w:rsid w:val="00A2374B"/>
    <w:rsid w:val="00A246D3"/>
    <w:rsid w:val="00A24EC7"/>
    <w:rsid w:val="00A256D4"/>
    <w:rsid w:val="00A25A65"/>
    <w:rsid w:val="00A25A6E"/>
    <w:rsid w:val="00A265CD"/>
    <w:rsid w:val="00A26A9B"/>
    <w:rsid w:val="00A273CB"/>
    <w:rsid w:val="00A27CFA"/>
    <w:rsid w:val="00A27D62"/>
    <w:rsid w:val="00A27D8A"/>
    <w:rsid w:val="00A3038B"/>
    <w:rsid w:val="00A308D0"/>
    <w:rsid w:val="00A3200A"/>
    <w:rsid w:val="00A32DA2"/>
    <w:rsid w:val="00A32DC4"/>
    <w:rsid w:val="00A33141"/>
    <w:rsid w:val="00A335D0"/>
    <w:rsid w:val="00A338BA"/>
    <w:rsid w:val="00A33B82"/>
    <w:rsid w:val="00A34197"/>
    <w:rsid w:val="00A3463C"/>
    <w:rsid w:val="00A34F74"/>
    <w:rsid w:val="00A34F82"/>
    <w:rsid w:val="00A35825"/>
    <w:rsid w:val="00A363F7"/>
    <w:rsid w:val="00A36704"/>
    <w:rsid w:val="00A377D5"/>
    <w:rsid w:val="00A37BBA"/>
    <w:rsid w:val="00A4017F"/>
    <w:rsid w:val="00A41199"/>
    <w:rsid w:val="00A415BD"/>
    <w:rsid w:val="00A4228F"/>
    <w:rsid w:val="00A42616"/>
    <w:rsid w:val="00A42823"/>
    <w:rsid w:val="00A42E77"/>
    <w:rsid w:val="00A434C5"/>
    <w:rsid w:val="00A437BB"/>
    <w:rsid w:val="00A43E6C"/>
    <w:rsid w:val="00A44862"/>
    <w:rsid w:val="00A450F6"/>
    <w:rsid w:val="00A45657"/>
    <w:rsid w:val="00A46D37"/>
    <w:rsid w:val="00A46E68"/>
    <w:rsid w:val="00A4764F"/>
    <w:rsid w:val="00A4793D"/>
    <w:rsid w:val="00A479DF"/>
    <w:rsid w:val="00A479E2"/>
    <w:rsid w:val="00A5105A"/>
    <w:rsid w:val="00A51D25"/>
    <w:rsid w:val="00A51E2A"/>
    <w:rsid w:val="00A52016"/>
    <w:rsid w:val="00A523CE"/>
    <w:rsid w:val="00A525B9"/>
    <w:rsid w:val="00A528BC"/>
    <w:rsid w:val="00A529B2"/>
    <w:rsid w:val="00A52AD3"/>
    <w:rsid w:val="00A53121"/>
    <w:rsid w:val="00A533E0"/>
    <w:rsid w:val="00A53EA5"/>
    <w:rsid w:val="00A5519F"/>
    <w:rsid w:val="00A551E0"/>
    <w:rsid w:val="00A56684"/>
    <w:rsid w:val="00A56C8B"/>
    <w:rsid w:val="00A56D0F"/>
    <w:rsid w:val="00A5779A"/>
    <w:rsid w:val="00A57B88"/>
    <w:rsid w:val="00A60330"/>
    <w:rsid w:val="00A60CD2"/>
    <w:rsid w:val="00A611E3"/>
    <w:rsid w:val="00A619F7"/>
    <w:rsid w:val="00A61BC5"/>
    <w:rsid w:val="00A61D9A"/>
    <w:rsid w:val="00A623FC"/>
    <w:rsid w:val="00A639E5"/>
    <w:rsid w:val="00A640C2"/>
    <w:rsid w:val="00A64763"/>
    <w:rsid w:val="00A64778"/>
    <w:rsid w:val="00A648BF"/>
    <w:rsid w:val="00A64CB1"/>
    <w:rsid w:val="00A64FD2"/>
    <w:rsid w:val="00A651A5"/>
    <w:rsid w:val="00A65537"/>
    <w:rsid w:val="00A657FF"/>
    <w:rsid w:val="00A66316"/>
    <w:rsid w:val="00A667DB"/>
    <w:rsid w:val="00A66F8E"/>
    <w:rsid w:val="00A66FD2"/>
    <w:rsid w:val="00A6757F"/>
    <w:rsid w:val="00A67601"/>
    <w:rsid w:val="00A67766"/>
    <w:rsid w:val="00A677B8"/>
    <w:rsid w:val="00A6788B"/>
    <w:rsid w:val="00A6793C"/>
    <w:rsid w:val="00A70281"/>
    <w:rsid w:val="00A702BD"/>
    <w:rsid w:val="00A706B0"/>
    <w:rsid w:val="00A710AA"/>
    <w:rsid w:val="00A71A97"/>
    <w:rsid w:val="00A71C5F"/>
    <w:rsid w:val="00A72297"/>
    <w:rsid w:val="00A72A86"/>
    <w:rsid w:val="00A7341E"/>
    <w:rsid w:val="00A749D9"/>
    <w:rsid w:val="00A75026"/>
    <w:rsid w:val="00A7562B"/>
    <w:rsid w:val="00A76AE9"/>
    <w:rsid w:val="00A76B04"/>
    <w:rsid w:val="00A77F7B"/>
    <w:rsid w:val="00A80786"/>
    <w:rsid w:val="00A80E8B"/>
    <w:rsid w:val="00A81081"/>
    <w:rsid w:val="00A811CC"/>
    <w:rsid w:val="00A811F9"/>
    <w:rsid w:val="00A812F5"/>
    <w:rsid w:val="00A8131E"/>
    <w:rsid w:val="00A814B9"/>
    <w:rsid w:val="00A817FF"/>
    <w:rsid w:val="00A818A6"/>
    <w:rsid w:val="00A83B54"/>
    <w:rsid w:val="00A83E92"/>
    <w:rsid w:val="00A84582"/>
    <w:rsid w:val="00A84979"/>
    <w:rsid w:val="00A85782"/>
    <w:rsid w:val="00A858BE"/>
    <w:rsid w:val="00A85C89"/>
    <w:rsid w:val="00A85D36"/>
    <w:rsid w:val="00A86969"/>
    <w:rsid w:val="00A86F26"/>
    <w:rsid w:val="00A87FCC"/>
    <w:rsid w:val="00A9077C"/>
    <w:rsid w:val="00A90A54"/>
    <w:rsid w:val="00A90E8E"/>
    <w:rsid w:val="00A91049"/>
    <w:rsid w:val="00A918F4"/>
    <w:rsid w:val="00A919A7"/>
    <w:rsid w:val="00A91C54"/>
    <w:rsid w:val="00A91C6B"/>
    <w:rsid w:val="00A92A84"/>
    <w:rsid w:val="00A92F02"/>
    <w:rsid w:val="00A944F7"/>
    <w:rsid w:val="00A94C0F"/>
    <w:rsid w:val="00A9507D"/>
    <w:rsid w:val="00A95A9B"/>
    <w:rsid w:val="00A95D84"/>
    <w:rsid w:val="00A96F23"/>
    <w:rsid w:val="00A96F43"/>
    <w:rsid w:val="00A972C3"/>
    <w:rsid w:val="00A976DF"/>
    <w:rsid w:val="00AA0395"/>
    <w:rsid w:val="00AA0BC8"/>
    <w:rsid w:val="00AA13CB"/>
    <w:rsid w:val="00AA1739"/>
    <w:rsid w:val="00AA21F3"/>
    <w:rsid w:val="00AA26C8"/>
    <w:rsid w:val="00AA26D7"/>
    <w:rsid w:val="00AA2CCB"/>
    <w:rsid w:val="00AA2E37"/>
    <w:rsid w:val="00AA2EFE"/>
    <w:rsid w:val="00AA2F8D"/>
    <w:rsid w:val="00AA32F0"/>
    <w:rsid w:val="00AA3C1F"/>
    <w:rsid w:val="00AA40A6"/>
    <w:rsid w:val="00AA49EF"/>
    <w:rsid w:val="00AA4DCC"/>
    <w:rsid w:val="00AA504F"/>
    <w:rsid w:val="00AA5D09"/>
    <w:rsid w:val="00AA5EEC"/>
    <w:rsid w:val="00AA6967"/>
    <w:rsid w:val="00AA69F0"/>
    <w:rsid w:val="00AA6BDD"/>
    <w:rsid w:val="00AA6EE4"/>
    <w:rsid w:val="00AA73E3"/>
    <w:rsid w:val="00AA7704"/>
    <w:rsid w:val="00AA77C2"/>
    <w:rsid w:val="00AA7E65"/>
    <w:rsid w:val="00AB173A"/>
    <w:rsid w:val="00AB1B17"/>
    <w:rsid w:val="00AB1E62"/>
    <w:rsid w:val="00AB1FA4"/>
    <w:rsid w:val="00AB21BD"/>
    <w:rsid w:val="00AB28F6"/>
    <w:rsid w:val="00AB2C12"/>
    <w:rsid w:val="00AB356D"/>
    <w:rsid w:val="00AB3577"/>
    <w:rsid w:val="00AB3916"/>
    <w:rsid w:val="00AB3CAF"/>
    <w:rsid w:val="00AB3ED1"/>
    <w:rsid w:val="00AB4885"/>
    <w:rsid w:val="00AB51A6"/>
    <w:rsid w:val="00AB5626"/>
    <w:rsid w:val="00AB578A"/>
    <w:rsid w:val="00AB599C"/>
    <w:rsid w:val="00AB6FEF"/>
    <w:rsid w:val="00AB6FF9"/>
    <w:rsid w:val="00AB7306"/>
    <w:rsid w:val="00AB75CC"/>
    <w:rsid w:val="00AB7671"/>
    <w:rsid w:val="00AB7874"/>
    <w:rsid w:val="00AB7D96"/>
    <w:rsid w:val="00AC0846"/>
    <w:rsid w:val="00AC08A6"/>
    <w:rsid w:val="00AC094E"/>
    <w:rsid w:val="00AC09EE"/>
    <w:rsid w:val="00AC0F6F"/>
    <w:rsid w:val="00AC1082"/>
    <w:rsid w:val="00AC120E"/>
    <w:rsid w:val="00AC1462"/>
    <w:rsid w:val="00AC17F8"/>
    <w:rsid w:val="00AC1C09"/>
    <w:rsid w:val="00AC2079"/>
    <w:rsid w:val="00AC264F"/>
    <w:rsid w:val="00AC2D17"/>
    <w:rsid w:val="00AC2FAD"/>
    <w:rsid w:val="00AC30FE"/>
    <w:rsid w:val="00AC31C7"/>
    <w:rsid w:val="00AC3B7A"/>
    <w:rsid w:val="00AC4A5A"/>
    <w:rsid w:val="00AC4CB1"/>
    <w:rsid w:val="00AC5093"/>
    <w:rsid w:val="00AC568F"/>
    <w:rsid w:val="00AC6A6F"/>
    <w:rsid w:val="00AC7AD6"/>
    <w:rsid w:val="00AC7B69"/>
    <w:rsid w:val="00AC7C0A"/>
    <w:rsid w:val="00AD0014"/>
    <w:rsid w:val="00AD0055"/>
    <w:rsid w:val="00AD07F0"/>
    <w:rsid w:val="00AD10AA"/>
    <w:rsid w:val="00AD16AC"/>
    <w:rsid w:val="00AD1CC8"/>
    <w:rsid w:val="00AD1E05"/>
    <w:rsid w:val="00AD303C"/>
    <w:rsid w:val="00AD35DC"/>
    <w:rsid w:val="00AD4231"/>
    <w:rsid w:val="00AD491C"/>
    <w:rsid w:val="00AD549A"/>
    <w:rsid w:val="00AD5C07"/>
    <w:rsid w:val="00AD61D7"/>
    <w:rsid w:val="00AD6E8E"/>
    <w:rsid w:val="00AD79EE"/>
    <w:rsid w:val="00AD7BAE"/>
    <w:rsid w:val="00AE051B"/>
    <w:rsid w:val="00AE1526"/>
    <w:rsid w:val="00AE1641"/>
    <w:rsid w:val="00AE1855"/>
    <w:rsid w:val="00AE221A"/>
    <w:rsid w:val="00AE2452"/>
    <w:rsid w:val="00AE2544"/>
    <w:rsid w:val="00AE2DE7"/>
    <w:rsid w:val="00AE3025"/>
    <w:rsid w:val="00AE3496"/>
    <w:rsid w:val="00AE413B"/>
    <w:rsid w:val="00AE4A7C"/>
    <w:rsid w:val="00AE51C5"/>
    <w:rsid w:val="00AE666C"/>
    <w:rsid w:val="00AE66C7"/>
    <w:rsid w:val="00AE66D7"/>
    <w:rsid w:val="00AE6A9B"/>
    <w:rsid w:val="00AE72D3"/>
    <w:rsid w:val="00AF05E6"/>
    <w:rsid w:val="00AF06C2"/>
    <w:rsid w:val="00AF175D"/>
    <w:rsid w:val="00AF23C9"/>
    <w:rsid w:val="00AF258C"/>
    <w:rsid w:val="00AF2A17"/>
    <w:rsid w:val="00AF3219"/>
    <w:rsid w:val="00AF332F"/>
    <w:rsid w:val="00AF3533"/>
    <w:rsid w:val="00AF3A32"/>
    <w:rsid w:val="00AF3B21"/>
    <w:rsid w:val="00AF3E24"/>
    <w:rsid w:val="00AF407F"/>
    <w:rsid w:val="00AF41BB"/>
    <w:rsid w:val="00AF5660"/>
    <w:rsid w:val="00AF6188"/>
    <w:rsid w:val="00AF61F1"/>
    <w:rsid w:val="00AF64F6"/>
    <w:rsid w:val="00AF65CE"/>
    <w:rsid w:val="00AF70FF"/>
    <w:rsid w:val="00AF712C"/>
    <w:rsid w:val="00AF7602"/>
    <w:rsid w:val="00AF7C7C"/>
    <w:rsid w:val="00AF7CE3"/>
    <w:rsid w:val="00B00029"/>
    <w:rsid w:val="00B00274"/>
    <w:rsid w:val="00B0059B"/>
    <w:rsid w:val="00B00CA3"/>
    <w:rsid w:val="00B01605"/>
    <w:rsid w:val="00B01760"/>
    <w:rsid w:val="00B018A2"/>
    <w:rsid w:val="00B021F3"/>
    <w:rsid w:val="00B02241"/>
    <w:rsid w:val="00B02752"/>
    <w:rsid w:val="00B02967"/>
    <w:rsid w:val="00B02AE5"/>
    <w:rsid w:val="00B03433"/>
    <w:rsid w:val="00B03C93"/>
    <w:rsid w:val="00B0448E"/>
    <w:rsid w:val="00B04666"/>
    <w:rsid w:val="00B05F5A"/>
    <w:rsid w:val="00B064CA"/>
    <w:rsid w:val="00B06A56"/>
    <w:rsid w:val="00B071FF"/>
    <w:rsid w:val="00B07532"/>
    <w:rsid w:val="00B108DF"/>
    <w:rsid w:val="00B10A75"/>
    <w:rsid w:val="00B11BC4"/>
    <w:rsid w:val="00B11DEB"/>
    <w:rsid w:val="00B11F85"/>
    <w:rsid w:val="00B12A44"/>
    <w:rsid w:val="00B130EA"/>
    <w:rsid w:val="00B13F96"/>
    <w:rsid w:val="00B1402E"/>
    <w:rsid w:val="00B142E8"/>
    <w:rsid w:val="00B146B1"/>
    <w:rsid w:val="00B14858"/>
    <w:rsid w:val="00B14C16"/>
    <w:rsid w:val="00B14F99"/>
    <w:rsid w:val="00B156F8"/>
    <w:rsid w:val="00B15759"/>
    <w:rsid w:val="00B15821"/>
    <w:rsid w:val="00B1586F"/>
    <w:rsid w:val="00B1636F"/>
    <w:rsid w:val="00B16A2B"/>
    <w:rsid w:val="00B16D90"/>
    <w:rsid w:val="00B1757E"/>
    <w:rsid w:val="00B179EA"/>
    <w:rsid w:val="00B17B19"/>
    <w:rsid w:val="00B17B27"/>
    <w:rsid w:val="00B17B29"/>
    <w:rsid w:val="00B17E1C"/>
    <w:rsid w:val="00B17F17"/>
    <w:rsid w:val="00B2028F"/>
    <w:rsid w:val="00B20D79"/>
    <w:rsid w:val="00B22244"/>
    <w:rsid w:val="00B2258C"/>
    <w:rsid w:val="00B2265B"/>
    <w:rsid w:val="00B22ECE"/>
    <w:rsid w:val="00B237D7"/>
    <w:rsid w:val="00B237F7"/>
    <w:rsid w:val="00B239D0"/>
    <w:rsid w:val="00B2433E"/>
    <w:rsid w:val="00B244FA"/>
    <w:rsid w:val="00B24796"/>
    <w:rsid w:val="00B250A5"/>
    <w:rsid w:val="00B25579"/>
    <w:rsid w:val="00B257DB"/>
    <w:rsid w:val="00B264E6"/>
    <w:rsid w:val="00B26589"/>
    <w:rsid w:val="00B27789"/>
    <w:rsid w:val="00B3012D"/>
    <w:rsid w:val="00B30384"/>
    <w:rsid w:val="00B307C0"/>
    <w:rsid w:val="00B3084A"/>
    <w:rsid w:val="00B30D3D"/>
    <w:rsid w:val="00B31325"/>
    <w:rsid w:val="00B3206A"/>
    <w:rsid w:val="00B32083"/>
    <w:rsid w:val="00B3226D"/>
    <w:rsid w:val="00B325BB"/>
    <w:rsid w:val="00B32AA7"/>
    <w:rsid w:val="00B32C5A"/>
    <w:rsid w:val="00B34324"/>
    <w:rsid w:val="00B3433B"/>
    <w:rsid w:val="00B34452"/>
    <w:rsid w:val="00B34586"/>
    <w:rsid w:val="00B3460C"/>
    <w:rsid w:val="00B34D98"/>
    <w:rsid w:val="00B3523F"/>
    <w:rsid w:val="00B35795"/>
    <w:rsid w:val="00B359EE"/>
    <w:rsid w:val="00B35E52"/>
    <w:rsid w:val="00B35F78"/>
    <w:rsid w:val="00B3606C"/>
    <w:rsid w:val="00B36C57"/>
    <w:rsid w:val="00B37A17"/>
    <w:rsid w:val="00B4003B"/>
    <w:rsid w:val="00B404EC"/>
    <w:rsid w:val="00B404FC"/>
    <w:rsid w:val="00B40878"/>
    <w:rsid w:val="00B40977"/>
    <w:rsid w:val="00B41819"/>
    <w:rsid w:val="00B421D2"/>
    <w:rsid w:val="00B42DEA"/>
    <w:rsid w:val="00B4339A"/>
    <w:rsid w:val="00B4413E"/>
    <w:rsid w:val="00B4461D"/>
    <w:rsid w:val="00B44753"/>
    <w:rsid w:val="00B44D2D"/>
    <w:rsid w:val="00B44DD4"/>
    <w:rsid w:val="00B44F89"/>
    <w:rsid w:val="00B45FD5"/>
    <w:rsid w:val="00B46403"/>
    <w:rsid w:val="00B47989"/>
    <w:rsid w:val="00B47CE6"/>
    <w:rsid w:val="00B500E6"/>
    <w:rsid w:val="00B50C44"/>
    <w:rsid w:val="00B50C76"/>
    <w:rsid w:val="00B5117E"/>
    <w:rsid w:val="00B514B2"/>
    <w:rsid w:val="00B517A3"/>
    <w:rsid w:val="00B51C92"/>
    <w:rsid w:val="00B52766"/>
    <w:rsid w:val="00B530FF"/>
    <w:rsid w:val="00B53577"/>
    <w:rsid w:val="00B5479C"/>
    <w:rsid w:val="00B549CB"/>
    <w:rsid w:val="00B551CD"/>
    <w:rsid w:val="00B55796"/>
    <w:rsid w:val="00B55901"/>
    <w:rsid w:val="00B55C84"/>
    <w:rsid w:val="00B56155"/>
    <w:rsid w:val="00B567E3"/>
    <w:rsid w:val="00B568EC"/>
    <w:rsid w:val="00B56D75"/>
    <w:rsid w:val="00B57282"/>
    <w:rsid w:val="00B573BA"/>
    <w:rsid w:val="00B57580"/>
    <w:rsid w:val="00B57BCE"/>
    <w:rsid w:val="00B57E24"/>
    <w:rsid w:val="00B57FA9"/>
    <w:rsid w:val="00B57FF7"/>
    <w:rsid w:val="00B6015A"/>
    <w:rsid w:val="00B6032C"/>
    <w:rsid w:val="00B603B6"/>
    <w:rsid w:val="00B604C3"/>
    <w:rsid w:val="00B60F98"/>
    <w:rsid w:val="00B61541"/>
    <w:rsid w:val="00B61D3A"/>
    <w:rsid w:val="00B6211F"/>
    <w:rsid w:val="00B6221B"/>
    <w:rsid w:val="00B6240E"/>
    <w:rsid w:val="00B632EB"/>
    <w:rsid w:val="00B632F8"/>
    <w:rsid w:val="00B64788"/>
    <w:rsid w:val="00B64D78"/>
    <w:rsid w:val="00B64EE7"/>
    <w:rsid w:val="00B64F83"/>
    <w:rsid w:val="00B65608"/>
    <w:rsid w:val="00B65C34"/>
    <w:rsid w:val="00B66457"/>
    <w:rsid w:val="00B66AF2"/>
    <w:rsid w:val="00B66C3C"/>
    <w:rsid w:val="00B6751F"/>
    <w:rsid w:val="00B676DD"/>
    <w:rsid w:val="00B67A10"/>
    <w:rsid w:val="00B67CE6"/>
    <w:rsid w:val="00B67D6E"/>
    <w:rsid w:val="00B67DC1"/>
    <w:rsid w:val="00B705AF"/>
    <w:rsid w:val="00B70D9E"/>
    <w:rsid w:val="00B71058"/>
    <w:rsid w:val="00B718CC"/>
    <w:rsid w:val="00B71EF0"/>
    <w:rsid w:val="00B71F73"/>
    <w:rsid w:val="00B7290A"/>
    <w:rsid w:val="00B7294F"/>
    <w:rsid w:val="00B72CCD"/>
    <w:rsid w:val="00B7305B"/>
    <w:rsid w:val="00B74001"/>
    <w:rsid w:val="00B74803"/>
    <w:rsid w:val="00B7482B"/>
    <w:rsid w:val="00B74AFB"/>
    <w:rsid w:val="00B74EE9"/>
    <w:rsid w:val="00B7510A"/>
    <w:rsid w:val="00B755C9"/>
    <w:rsid w:val="00B757F8"/>
    <w:rsid w:val="00B758F3"/>
    <w:rsid w:val="00B759B8"/>
    <w:rsid w:val="00B75C2F"/>
    <w:rsid w:val="00B76277"/>
    <w:rsid w:val="00B762CA"/>
    <w:rsid w:val="00B76394"/>
    <w:rsid w:val="00B76683"/>
    <w:rsid w:val="00B7670C"/>
    <w:rsid w:val="00B769BF"/>
    <w:rsid w:val="00B76B5A"/>
    <w:rsid w:val="00B76EC3"/>
    <w:rsid w:val="00B76F42"/>
    <w:rsid w:val="00B77367"/>
    <w:rsid w:val="00B77B12"/>
    <w:rsid w:val="00B808A6"/>
    <w:rsid w:val="00B8095F"/>
    <w:rsid w:val="00B80BF4"/>
    <w:rsid w:val="00B80D50"/>
    <w:rsid w:val="00B80EE2"/>
    <w:rsid w:val="00B815D3"/>
    <w:rsid w:val="00B81789"/>
    <w:rsid w:val="00B81A82"/>
    <w:rsid w:val="00B821C9"/>
    <w:rsid w:val="00B822F8"/>
    <w:rsid w:val="00B825F0"/>
    <w:rsid w:val="00B8285E"/>
    <w:rsid w:val="00B82CE5"/>
    <w:rsid w:val="00B82F21"/>
    <w:rsid w:val="00B837B6"/>
    <w:rsid w:val="00B83A32"/>
    <w:rsid w:val="00B83AA4"/>
    <w:rsid w:val="00B840CD"/>
    <w:rsid w:val="00B8433D"/>
    <w:rsid w:val="00B844B9"/>
    <w:rsid w:val="00B84925"/>
    <w:rsid w:val="00B84CC2"/>
    <w:rsid w:val="00B84E9B"/>
    <w:rsid w:val="00B8564F"/>
    <w:rsid w:val="00B85DBF"/>
    <w:rsid w:val="00B869E0"/>
    <w:rsid w:val="00B86ACE"/>
    <w:rsid w:val="00B8712B"/>
    <w:rsid w:val="00B87DF8"/>
    <w:rsid w:val="00B9016D"/>
    <w:rsid w:val="00B902FB"/>
    <w:rsid w:val="00B90973"/>
    <w:rsid w:val="00B91289"/>
    <w:rsid w:val="00B920B5"/>
    <w:rsid w:val="00B92293"/>
    <w:rsid w:val="00B92B1D"/>
    <w:rsid w:val="00B92D8F"/>
    <w:rsid w:val="00B92DD8"/>
    <w:rsid w:val="00B93546"/>
    <w:rsid w:val="00B93661"/>
    <w:rsid w:val="00B93AD3"/>
    <w:rsid w:val="00B94533"/>
    <w:rsid w:val="00B947E8"/>
    <w:rsid w:val="00B94A46"/>
    <w:rsid w:val="00B94BD2"/>
    <w:rsid w:val="00B94D85"/>
    <w:rsid w:val="00B9522B"/>
    <w:rsid w:val="00B95243"/>
    <w:rsid w:val="00B957D5"/>
    <w:rsid w:val="00B960F4"/>
    <w:rsid w:val="00B962CE"/>
    <w:rsid w:val="00B96820"/>
    <w:rsid w:val="00B96E2B"/>
    <w:rsid w:val="00B976B5"/>
    <w:rsid w:val="00B979DB"/>
    <w:rsid w:val="00B97A58"/>
    <w:rsid w:val="00B97AA4"/>
    <w:rsid w:val="00BA0119"/>
    <w:rsid w:val="00BA045F"/>
    <w:rsid w:val="00BA1043"/>
    <w:rsid w:val="00BA19F0"/>
    <w:rsid w:val="00BA1C5D"/>
    <w:rsid w:val="00BA2255"/>
    <w:rsid w:val="00BA3051"/>
    <w:rsid w:val="00BA308B"/>
    <w:rsid w:val="00BA3344"/>
    <w:rsid w:val="00BA40A6"/>
    <w:rsid w:val="00BA49A1"/>
    <w:rsid w:val="00BA4ACF"/>
    <w:rsid w:val="00BA5112"/>
    <w:rsid w:val="00BA5721"/>
    <w:rsid w:val="00BA59E3"/>
    <w:rsid w:val="00BA6263"/>
    <w:rsid w:val="00BA6B7A"/>
    <w:rsid w:val="00BA6C9C"/>
    <w:rsid w:val="00BA71F8"/>
    <w:rsid w:val="00BA7A29"/>
    <w:rsid w:val="00BA7CD8"/>
    <w:rsid w:val="00BB0182"/>
    <w:rsid w:val="00BB0BC5"/>
    <w:rsid w:val="00BB17A3"/>
    <w:rsid w:val="00BB17D8"/>
    <w:rsid w:val="00BB2161"/>
    <w:rsid w:val="00BB21B6"/>
    <w:rsid w:val="00BB243C"/>
    <w:rsid w:val="00BB2EEF"/>
    <w:rsid w:val="00BB2F88"/>
    <w:rsid w:val="00BB3074"/>
    <w:rsid w:val="00BB3249"/>
    <w:rsid w:val="00BB3ED3"/>
    <w:rsid w:val="00BB3FC6"/>
    <w:rsid w:val="00BB4468"/>
    <w:rsid w:val="00BB558A"/>
    <w:rsid w:val="00BB62D2"/>
    <w:rsid w:val="00BB6EF8"/>
    <w:rsid w:val="00BB6FB2"/>
    <w:rsid w:val="00BB7090"/>
    <w:rsid w:val="00BB71A1"/>
    <w:rsid w:val="00BB75F7"/>
    <w:rsid w:val="00BB7D44"/>
    <w:rsid w:val="00BB7F43"/>
    <w:rsid w:val="00BC1512"/>
    <w:rsid w:val="00BC177A"/>
    <w:rsid w:val="00BC1D45"/>
    <w:rsid w:val="00BC2593"/>
    <w:rsid w:val="00BC2D22"/>
    <w:rsid w:val="00BC2DBE"/>
    <w:rsid w:val="00BC2E5C"/>
    <w:rsid w:val="00BC34BF"/>
    <w:rsid w:val="00BC3921"/>
    <w:rsid w:val="00BC3A48"/>
    <w:rsid w:val="00BC49C8"/>
    <w:rsid w:val="00BC58D9"/>
    <w:rsid w:val="00BC5F8B"/>
    <w:rsid w:val="00BC618A"/>
    <w:rsid w:val="00BC688B"/>
    <w:rsid w:val="00BC6B6C"/>
    <w:rsid w:val="00BC7297"/>
    <w:rsid w:val="00BC7EB1"/>
    <w:rsid w:val="00BD0871"/>
    <w:rsid w:val="00BD08BA"/>
    <w:rsid w:val="00BD0A47"/>
    <w:rsid w:val="00BD0DFD"/>
    <w:rsid w:val="00BD1156"/>
    <w:rsid w:val="00BD171C"/>
    <w:rsid w:val="00BD19E8"/>
    <w:rsid w:val="00BD1C68"/>
    <w:rsid w:val="00BD1F00"/>
    <w:rsid w:val="00BD2B1D"/>
    <w:rsid w:val="00BD2FD2"/>
    <w:rsid w:val="00BD3661"/>
    <w:rsid w:val="00BD3678"/>
    <w:rsid w:val="00BD36EB"/>
    <w:rsid w:val="00BD48A9"/>
    <w:rsid w:val="00BD49B9"/>
    <w:rsid w:val="00BD5202"/>
    <w:rsid w:val="00BD5419"/>
    <w:rsid w:val="00BD5602"/>
    <w:rsid w:val="00BD5E2E"/>
    <w:rsid w:val="00BD6A56"/>
    <w:rsid w:val="00BD6B72"/>
    <w:rsid w:val="00BD6DC7"/>
    <w:rsid w:val="00BD75FD"/>
    <w:rsid w:val="00BD7691"/>
    <w:rsid w:val="00BD7B0D"/>
    <w:rsid w:val="00BD7D30"/>
    <w:rsid w:val="00BE0323"/>
    <w:rsid w:val="00BE03EB"/>
    <w:rsid w:val="00BE051C"/>
    <w:rsid w:val="00BE0953"/>
    <w:rsid w:val="00BE0CFE"/>
    <w:rsid w:val="00BE0E70"/>
    <w:rsid w:val="00BE12F1"/>
    <w:rsid w:val="00BE141B"/>
    <w:rsid w:val="00BE154D"/>
    <w:rsid w:val="00BE23EE"/>
    <w:rsid w:val="00BE2A7A"/>
    <w:rsid w:val="00BE2EB2"/>
    <w:rsid w:val="00BE38AB"/>
    <w:rsid w:val="00BE3CD5"/>
    <w:rsid w:val="00BE44C9"/>
    <w:rsid w:val="00BE48FE"/>
    <w:rsid w:val="00BE4B13"/>
    <w:rsid w:val="00BE4C06"/>
    <w:rsid w:val="00BE4E72"/>
    <w:rsid w:val="00BE62DC"/>
    <w:rsid w:val="00BE6BD8"/>
    <w:rsid w:val="00BE6E73"/>
    <w:rsid w:val="00BE6FD0"/>
    <w:rsid w:val="00BE784F"/>
    <w:rsid w:val="00BE7A6E"/>
    <w:rsid w:val="00BE7DED"/>
    <w:rsid w:val="00BF061A"/>
    <w:rsid w:val="00BF19B6"/>
    <w:rsid w:val="00BF1E05"/>
    <w:rsid w:val="00BF1E1D"/>
    <w:rsid w:val="00BF245D"/>
    <w:rsid w:val="00BF2B2C"/>
    <w:rsid w:val="00BF2CBD"/>
    <w:rsid w:val="00BF310D"/>
    <w:rsid w:val="00BF39F4"/>
    <w:rsid w:val="00BF3FAC"/>
    <w:rsid w:val="00BF4002"/>
    <w:rsid w:val="00BF4429"/>
    <w:rsid w:val="00BF469F"/>
    <w:rsid w:val="00BF48D6"/>
    <w:rsid w:val="00BF51D5"/>
    <w:rsid w:val="00BF55FB"/>
    <w:rsid w:val="00BF57E1"/>
    <w:rsid w:val="00BF584A"/>
    <w:rsid w:val="00BF5980"/>
    <w:rsid w:val="00BF5AE0"/>
    <w:rsid w:val="00BF7EF5"/>
    <w:rsid w:val="00C005F3"/>
    <w:rsid w:val="00C006F0"/>
    <w:rsid w:val="00C00B2A"/>
    <w:rsid w:val="00C011A6"/>
    <w:rsid w:val="00C01287"/>
    <w:rsid w:val="00C01866"/>
    <w:rsid w:val="00C01A4F"/>
    <w:rsid w:val="00C02563"/>
    <w:rsid w:val="00C02800"/>
    <w:rsid w:val="00C02916"/>
    <w:rsid w:val="00C02D40"/>
    <w:rsid w:val="00C03011"/>
    <w:rsid w:val="00C03380"/>
    <w:rsid w:val="00C034D8"/>
    <w:rsid w:val="00C03683"/>
    <w:rsid w:val="00C03988"/>
    <w:rsid w:val="00C0470E"/>
    <w:rsid w:val="00C047BC"/>
    <w:rsid w:val="00C056DB"/>
    <w:rsid w:val="00C05F55"/>
    <w:rsid w:val="00C06271"/>
    <w:rsid w:val="00C06490"/>
    <w:rsid w:val="00C06EB5"/>
    <w:rsid w:val="00C078E1"/>
    <w:rsid w:val="00C079FE"/>
    <w:rsid w:val="00C07C6E"/>
    <w:rsid w:val="00C07D4A"/>
    <w:rsid w:val="00C10009"/>
    <w:rsid w:val="00C10781"/>
    <w:rsid w:val="00C10A22"/>
    <w:rsid w:val="00C10B5A"/>
    <w:rsid w:val="00C11059"/>
    <w:rsid w:val="00C1107A"/>
    <w:rsid w:val="00C11205"/>
    <w:rsid w:val="00C112D0"/>
    <w:rsid w:val="00C115C9"/>
    <w:rsid w:val="00C1172D"/>
    <w:rsid w:val="00C11953"/>
    <w:rsid w:val="00C13077"/>
    <w:rsid w:val="00C13DDB"/>
    <w:rsid w:val="00C1454D"/>
    <w:rsid w:val="00C145CB"/>
    <w:rsid w:val="00C14791"/>
    <w:rsid w:val="00C14CD1"/>
    <w:rsid w:val="00C15515"/>
    <w:rsid w:val="00C1586B"/>
    <w:rsid w:val="00C1592D"/>
    <w:rsid w:val="00C1692D"/>
    <w:rsid w:val="00C169E6"/>
    <w:rsid w:val="00C16E32"/>
    <w:rsid w:val="00C16EBA"/>
    <w:rsid w:val="00C16F2A"/>
    <w:rsid w:val="00C1760D"/>
    <w:rsid w:val="00C1772A"/>
    <w:rsid w:val="00C17C4D"/>
    <w:rsid w:val="00C20410"/>
    <w:rsid w:val="00C20473"/>
    <w:rsid w:val="00C2080F"/>
    <w:rsid w:val="00C211FF"/>
    <w:rsid w:val="00C21708"/>
    <w:rsid w:val="00C217C0"/>
    <w:rsid w:val="00C21DD2"/>
    <w:rsid w:val="00C22BCD"/>
    <w:rsid w:val="00C23268"/>
    <w:rsid w:val="00C2381C"/>
    <w:rsid w:val="00C23924"/>
    <w:rsid w:val="00C23F9E"/>
    <w:rsid w:val="00C24631"/>
    <w:rsid w:val="00C2463B"/>
    <w:rsid w:val="00C24DEA"/>
    <w:rsid w:val="00C2526C"/>
    <w:rsid w:val="00C2547F"/>
    <w:rsid w:val="00C25782"/>
    <w:rsid w:val="00C25DE1"/>
    <w:rsid w:val="00C25F82"/>
    <w:rsid w:val="00C26DB1"/>
    <w:rsid w:val="00C278F9"/>
    <w:rsid w:val="00C27B82"/>
    <w:rsid w:val="00C27D3B"/>
    <w:rsid w:val="00C30765"/>
    <w:rsid w:val="00C3103D"/>
    <w:rsid w:val="00C317FF"/>
    <w:rsid w:val="00C31954"/>
    <w:rsid w:val="00C319FD"/>
    <w:rsid w:val="00C31B65"/>
    <w:rsid w:val="00C32421"/>
    <w:rsid w:val="00C32AC9"/>
    <w:rsid w:val="00C33210"/>
    <w:rsid w:val="00C33A2D"/>
    <w:rsid w:val="00C33B1A"/>
    <w:rsid w:val="00C33D52"/>
    <w:rsid w:val="00C33D7F"/>
    <w:rsid w:val="00C34283"/>
    <w:rsid w:val="00C342F9"/>
    <w:rsid w:val="00C34622"/>
    <w:rsid w:val="00C34DD4"/>
    <w:rsid w:val="00C352BC"/>
    <w:rsid w:val="00C3698D"/>
    <w:rsid w:val="00C37997"/>
    <w:rsid w:val="00C405F1"/>
    <w:rsid w:val="00C40AA2"/>
    <w:rsid w:val="00C40C5A"/>
    <w:rsid w:val="00C4147D"/>
    <w:rsid w:val="00C41606"/>
    <w:rsid w:val="00C41B9E"/>
    <w:rsid w:val="00C41DEC"/>
    <w:rsid w:val="00C42F2F"/>
    <w:rsid w:val="00C4368D"/>
    <w:rsid w:val="00C437E3"/>
    <w:rsid w:val="00C43C3B"/>
    <w:rsid w:val="00C43F67"/>
    <w:rsid w:val="00C44193"/>
    <w:rsid w:val="00C441C0"/>
    <w:rsid w:val="00C449DF"/>
    <w:rsid w:val="00C44CD7"/>
    <w:rsid w:val="00C44FFB"/>
    <w:rsid w:val="00C45711"/>
    <w:rsid w:val="00C45FD9"/>
    <w:rsid w:val="00C46087"/>
    <w:rsid w:val="00C461D6"/>
    <w:rsid w:val="00C4622A"/>
    <w:rsid w:val="00C46286"/>
    <w:rsid w:val="00C46554"/>
    <w:rsid w:val="00C47B64"/>
    <w:rsid w:val="00C50031"/>
    <w:rsid w:val="00C501BE"/>
    <w:rsid w:val="00C502C2"/>
    <w:rsid w:val="00C50380"/>
    <w:rsid w:val="00C50473"/>
    <w:rsid w:val="00C50584"/>
    <w:rsid w:val="00C50AB8"/>
    <w:rsid w:val="00C50DA2"/>
    <w:rsid w:val="00C50DF9"/>
    <w:rsid w:val="00C51711"/>
    <w:rsid w:val="00C523BF"/>
    <w:rsid w:val="00C52565"/>
    <w:rsid w:val="00C52895"/>
    <w:rsid w:val="00C5311A"/>
    <w:rsid w:val="00C5342E"/>
    <w:rsid w:val="00C5378F"/>
    <w:rsid w:val="00C53A79"/>
    <w:rsid w:val="00C53BE9"/>
    <w:rsid w:val="00C543FE"/>
    <w:rsid w:val="00C54D3A"/>
    <w:rsid w:val="00C55E0B"/>
    <w:rsid w:val="00C561D6"/>
    <w:rsid w:val="00C56397"/>
    <w:rsid w:val="00C56F14"/>
    <w:rsid w:val="00C5733E"/>
    <w:rsid w:val="00C57B80"/>
    <w:rsid w:val="00C57E05"/>
    <w:rsid w:val="00C60355"/>
    <w:rsid w:val="00C60737"/>
    <w:rsid w:val="00C60879"/>
    <w:rsid w:val="00C60A74"/>
    <w:rsid w:val="00C6169B"/>
    <w:rsid w:val="00C61AB7"/>
    <w:rsid w:val="00C6221D"/>
    <w:rsid w:val="00C62280"/>
    <w:rsid w:val="00C625B9"/>
    <w:rsid w:val="00C62DD5"/>
    <w:rsid w:val="00C63E67"/>
    <w:rsid w:val="00C63E97"/>
    <w:rsid w:val="00C646D0"/>
    <w:rsid w:val="00C65A60"/>
    <w:rsid w:val="00C65E4D"/>
    <w:rsid w:val="00C66741"/>
    <w:rsid w:val="00C6684C"/>
    <w:rsid w:val="00C66A22"/>
    <w:rsid w:val="00C67743"/>
    <w:rsid w:val="00C67B79"/>
    <w:rsid w:val="00C700EB"/>
    <w:rsid w:val="00C707DA"/>
    <w:rsid w:val="00C707F3"/>
    <w:rsid w:val="00C712D7"/>
    <w:rsid w:val="00C718DF"/>
    <w:rsid w:val="00C7200B"/>
    <w:rsid w:val="00C722B3"/>
    <w:rsid w:val="00C72408"/>
    <w:rsid w:val="00C732EC"/>
    <w:rsid w:val="00C734CB"/>
    <w:rsid w:val="00C73CE5"/>
    <w:rsid w:val="00C73DAC"/>
    <w:rsid w:val="00C746A2"/>
    <w:rsid w:val="00C7497F"/>
    <w:rsid w:val="00C74D4B"/>
    <w:rsid w:val="00C74D6F"/>
    <w:rsid w:val="00C750C7"/>
    <w:rsid w:val="00C75C7A"/>
    <w:rsid w:val="00C761DE"/>
    <w:rsid w:val="00C76B39"/>
    <w:rsid w:val="00C76C50"/>
    <w:rsid w:val="00C76FA8"/>
    <w:rsid w:val="00C771EF"/>
    <w:rsid w:val="00C77546"/>
    <w:rsid w:val="00C77581"/>
    <w:rsid w:val="00C77856"/>
    <w:rsid w:val="00C778B3"/>
    <w:rsid w:val="00C77A95"/>
    <w:rsid w:val="00C80A17"/>
    <w:rsid w:val="00C81219"/>
    <w:rsid w:val="00C81539"/>
    <w:rsid w:val="00C8156F"/>
    <w:rsid w:val="00C818AB"/>
    <w:rsid w:val="00C818E9"/>
    <w:rsid w:val="00C82292"/>
    <w:rsid w:val="00C82691"/>
    <w:rsid w:val="00C8290C"/>
    <w:rsid w:val="00C8291E"/>
    <w:rsid w:val="00C83D28"/>
    <w:rsid w:val="00C849C1"/>
    <w:rsid w:val="00C85218"/>
    <w:rsid w:val="00C858F0"/>
    <w:rsid w:val="00C85C35"/>
    <w:rsid w:val="00C85E09"/>
    <w:rsid w:val="00C8603F"/>
    <w:rsid w:val="00C86469"/>
    <w:rsid w:val="00C871EB"/>
    <w:rsid w:val="00C8781D"/>
    <w:rsid w:val="00C87FF4"/>
    <w:rsid w:val="00C9079E"/>
    <w:rsid w:val="00C90866"/>
    <w:rsid w:val="00C90BCD"/>
    <w:rsid w:val="00C923F5"/>
    <w:rsid w:val="00C9249A"/>
    <w:rsid w:val="00C9351E"/>
    <w:rsid w:val="00C93582"/>
    <w:rsid w:val="00C95BD6"/>
    <w:rsid w:val="00C95CC9"/>
    <w:rsid w:val="00C95F20"/>
    <w:rsid w:val="00C9609D"/>
    <w:rsid w:val="00C9612E"/>
    <w:rsid w:val="00C96582"/>
    <w:rsid w:val="00C9661F"/>
    <w:rsid w:val="00C966C4"/>
    <w:rsid w:val="00C967EE"/>
    <w:rsid w:val="00C9686F"/>
    <w:rsid w:val="00C96940"/>
    <w:rsid w:val="00C96EA9"/>
    <w:rsid w:val="00C97186"/>
    <w:rsid w:val="00C97256"/>
    <w:rsid w:val="00C9728E"/>
    <w:rsid w:val="00CA03A9"/>
    <w:rsid w:val="00CA07C8"/>
    <w:rsid w:val="00CA0852"/>
    <w:rsid w:val="00CA095B"/>
    <w:rsid w:val="00CA0DF6"/>
    <w:rsid w:val="00CA0F74"/>
    <w:rsid w:val="00CA146A"/>
    <w:rsid w:val="00CA1F0F"/>
    <w:rsid w:val="00CA234D"/>
    <w:rsid w:val="00CA2547"/>
    <w:rsid w:val="00CA29F0"/>
    <w:rsid w:val="00CA2C69"/>
    <w:rsid w:val="00CA2DE4"/>
    <w:rsid w:val="00CA31C4"/>
    <w:rsid w:val="00CA35BE"/>
    <w:rsid w:val="00CA3649"/>
    <w:rsid w:val="00CA3EA6"/>
    <w:rsid w:val="00CA430C"/>
    <w:rsid w:val="00CA4BC7"/>
    <w:rsid w:val="00CA57EB"/>
    <w:rsid w:val="00CA5E70"/>
    <w:rsid w:val="00CA5F5C"/>
    <w:rsid w:val="00CA6181"/>
    <w:rsid w:val="00CA6AA2"/>
    <w:rsid w:val="00CA700B"/>
    <w:rsid w:val="00CA71D1"/>
    <w:rsid w:val="00CA7C37"/>
    <w:rsid w:val="00CA7D78"/>
    <w:rsid w:val="00CA7E0E"/>
    <w:rsid w:val="00CA7ED7"/>
    <w:rsid w:val="00CB03DC"/>
    <w:rsid w:val="00CB0C6A"/>
    <w:rsid w:val="00CB10CC"/>
    <w:rsid w:val="00CB18FC"/>
    <w:rsid w:val="00CB1922"/>
    <w:rsid w:val="00CB27EC"/>
    <w:rsid w:val="00CB2E7E"/>
    <w:rsid w:val="00CB302C"/>
    <w:rsid w:val="00CB3134"/>
    <w:rsid w:val="00CB321D"/>
    <w:rsid w:val="00CB32B5"/>
    <w:rsid w:val="00CB3374"/>
    <w:rsid w:val="00CB41D6"/>
    <w:rsid w:val="00CB501A"/>
    <w:rsid w:val="00CB5380"/>
    <w:rsid w:val="00CB566A"/>
    <w:rsid w:val="00CB57B9"/>
    <w:rsid w:val="00CB5875"/>
    <w:rsid w:val="00CB66AD"/>
    <w:rsid w:val="00CB6915"/>
    <w:rsid w:val="00CB69E4"/>
    <w:rsid w:val="00CB6A37"/>
    <w:rsid w:val="00CB70B6"/>
    <w:rsid w:val="00CB71E7"/>
    <w:rsid w:val="00CB75B4"/>
    <w:rsid w:val="00CB7697"/>
    <w:rsid w:val="00CB7755"/>
    <w:rsid w:val="00CB78A2"/>
    <w:rsid w:val="00CB7F2D"/>
    <w:rsid w:val="00CC03A8"/>
    <w:rsid w:val="00CC0431"/>
    <w:rsid w:val="00CC06B0"/>
    <w:rsid w:val="00CC0C48"/>
    <w:rsid w:val="00CC0EDA"/>
    <w:rsid w:val="00CC10B9"/>
    <w:rsid w:val="00CC12CE"/>
    <w:rsid w:val="00CC1370"/>
    <w:rsid w:val="00CC1E92"/>
    <w:rsid w:val="00CC1F3F"/>
    <w:rsid w:val="00CC268D"/>
    <w:rsid w:val="00CC278C"/>
    <w:rsid w:val="00CC3161"/>
    <w:rsid w:val="00CC356D"/>
    <w:rsid w:val="00CC3AC8"/>
    <w:rsid w:val="00CC3DF8"/>
    <w:rsid w:val="00CC41F1"/>
    <w:rsid w:val="00CC49A8"/>
    <w:rsid w:val="00CC4EC6"/>
    <w:rsid w:val="00CC53E1"/>
    <w:rsid w:val="00CC54AD"/>
    <w:rsid w:val="00CC602B"/>
    <w:rsid w:val="00CC6079"/>
    <w:rsid w:val="00CC646E"/>
    <w:rsid w:val="00CC66ED"/>
    <w:rsid w:val="00CC6951"/>
    <w:rsid w:val="00CC73BF"/>
    <w:rsid w:val="00CC7C6F"/>
    <w:rsid w:val="00CD09C6"/>
    <w:rsid w:val="00CD0CEC"/>
    <w:rsid w:val="00CD104A"/>
    <w:rsid w:val="00CD1135"/>
    <w:rsid w:val="00CD16BF"/>
    <w:rsid w:val="00CD1748"/>
    <w:rsid w:val="00CD178D"/>
    <w:rsid w:val="00CD1CA8"/>
    <w:rsid w:val="00CD1D45"/>
    <w:rsid w:val="00CD1FC3"/>
    <w:rsid w:val="00CD20AD"/>
    <w:rsid w:val="00CD280D"/>
    <w:rsid w:val="00CD2AD9"/>
    <w:rsid w:val="00CD2F90"/>
    <w:rsid w:val="00CD341F"/>
    <w:rsid w:val="00CD3420"/>
    <w:rsid w:val="00CD360C"/>
    <w:rsid w:val="00CD3819"/>
    <w:rsid w:val="00CD38FE"/>
    <w:rsid w:val="00CD43B1"/>
    <w:rsid w:val="00CD4496"/>
    <w:rsid w:val="00CD4B58"/>
    <w:rsid w:val="00CD4C07"/>
    <w:rsid w:val="00CD5937"/>
    <w:rsid w:val="00CD5C08"/>
    <w:rsid w:val="00CD5D7B"/>
    <w:rsid w:val="00CD5FDE"/>
    <w:rsid w:val="00CD6309"/>
    <w:rsid w:val="00CD64D8"/>
    <w:rsid w:val="00CD658A"/>
    <w:rsid w:val="00CD66EC"/>
    <w:rsid w:val="00CD7710"/>
    <w:rsid w:val="00CD7846"/>
    <w:rsid w:val="00CD7C1C"/>
    <w:rsid w:val="00CE09B6"/>
    <w:rsid w:val="00CE0ABF"/>
    <w:rsid w:val="00CE0BD6"/>
    <w:rsid w:val="00CE1D60"/>
    <w:rsid w:val="00CE1F6A"/>
    <w:rsid w:val="00CE2476"/>
    <w:rsid w:val="00CE322A"/>
    <w:rsid w:val="00CE355C"/>
    <w:rsid w:val="00CE3840"/>
    <w:rsid w:val="00CE4CCF"/>
    <w:rsid w:val="00CE4D3B"/>
    <w:rsid w:val="00CE5AB1"/>
    <w:rsid w:val="00CE5B09"/>
    <w:rsid w:val="00CE621F"/>
    <w:rsid w:val="00CE6456"/>
    <w:rsid w:val="00CE6ECC"/>
    <w:rsid w:val="00CE6EFF"/>
    <w:rsid w:val="00CE70FA"/>
    <w:rsid w:val="00CE738B"/>
    <w:rsid w:val="00CE7B82"/>
    <w:rsid w:val="00CE7F49"/>
    <w:rsid w:val="00CE7FDA"/>
    <w:rsid w:val="00CF0177"/>
    <w:rsid w:val="00CF02D2"/>
    <w:rsid w:val="00CF0328"/>
    <w:rsid w:val="00CF050C"/>
    <w:rsid w:val="00CF0BA3"/>
    <w:rsid w:val="00CF10B3"/>
    <w:rsid w:val="00CF15F2"/>
    <w:rsid w:val="00CF27B6"/>
    <w:rsid w:val="00CF2C16"/>
    <w:rsid w:val="00CF2D21"/>
    <w:rsid w:val="00CF2D7E"/>
    <w:rsid w:val="00CF2EAD"/>
    <w:rsid w:val="00CF31E9"/>
    <w:rsid w:val="00CF324A"/>
    <w:rsid w:val="00CF380D"/>
    <w:rsid w:val="00CF3A97"/>
    <w:rsid w:val="00CF3CAC"/>
    <w:rsid w:val="00CF47CA"/>
    <w:rsid w:val="00CF4D1B"/>
    <w:rsid w:val="00CF4EBB"/>
    <w:rsid w:val="00CF4EDF"/>
    <w:rsid w:val="00CF5853"/>
    <w:rsid w:val="00CF5A1E"/>
    <w:rsid w:val="00CF6D43"/>
    <w:rsid w:val="00CF6E58"/>
    <w:rsid w:val="00CF713A"/>
    <w:rsid w:val="00CF7668"/>
    <w:rsid w:val="00CF7C74"/>
    <w:rsid w:val="00CF7F3E"/>
    <w:rsid w:val="00D008BD"/>
    <w:rsid w:val="00D008EF"/>
    <w:rsid w:val="00D00941"/>
    <w:rsid w:val="00D017A1"/>
    <w:rsid w:val="00D018C3"/>
    <w:rsid w:val="00D01E01"/>
    <w:rsid w:val="00D01FD1"/>
    <w:rsid w:val="00D0224E"/>
    <w:rsid w:val="00D02A6F"/>
    <w:rsid w:val="00D02F98"/>
    <w:rsid w:val="00D030DB"/>
    <w:rsid w:val="00D0414C"/>
    <w:rsid w:val="00D04545"/>
    <w:rsid w:val="00D04748"/>
    <w:rsid w:val="00D04A9D"/>
    <w:rsid w:val="00D04EC8"/>
    <w:rsid w:val="00D04F7B"/>
    <w:rsid w:val="00D04FD5"/>
    <w:rsid w:val="00D05611"/>
    <w:rsid w:val="00D0565E"/>
    <w:rsid w:val="00D0569D"/>
    <w:rsid w:val="00D058D3"/>
    <w:rsid w:val="00D05F6A"/>
    <w:rsid w:val="00D06551"/>
    <w:rsid w:val="00D06B51"/>
    <w:rsid w:val="00D07555"/>
    <w:rsid w:val="00D07B56"/>
    <w:rsid w:val="00D07D05"/>
    <w:rsid w:val="00D07D43"/>
    <w:rsid w:val="00D1073D"/>
    <w:rsid w:val="00D1092C"/>
    <w:rsid w:val="00D10995"/>
    <w:rsid w:val="00D11900"/>
    <w:rsid w:val="00D11E70"/>
    <w:rsid w:val="00D1225E"/>
    <w:rsid w:val="00D124C7"/>
    <w:rsid w:val="00D125F5"/>
    <w:rsid w:val="00D12805"/>
    <w:rsid w:val="00D128A8"/>
    <w:rsid w:val="00D12DEB"/>
    <w:rsid w:val="00D12F56"/>
    <w:rsid w:val="00D13199"/>
    <w:rsid w:val="00D1379F"/>
    <w:rsid w:val="00D13B20"/>
    <w:rsid w:val="00D14339"/>
    <w:rsid w:val="00D14D7D"/>
    <w:rsid w:val="00D14F23"/>
    <w:rsid w:val="00D15506"/>
    <w:rsid w:val="00D15980"/>
    <w:rsid w:val="00D15B2D"/>
    <w:rsid w:val="00D160C2"/>
    <w:rsid w:val="00D1617B"/>
    <w:rsid w:val="00D161AE"/>
    <w:rsid w:val="00D16B28"/>
    <w:rsid w:val="00D16C83"/>
    <w:rsid w:val="00D175B6"/>
    <w:rsid w:val="00D17AE4"/>
    <w:rsid w:val="00D17DA1"/>
    <w:rsid w:val="00D203B3"/>
    <w:rsid w:val="00D20F8C"/>
    <w:rsid w:val="00D20FA0"/>
    <w:rsid w:val="00D213B4"/>
    <w:rsid w:val="00D2140D"/>
    <w:rsid w:val="00D21542"/>
    <w:rsid w:val="00D21630"/>
    <w:rsid w:val="00D21BBC"/>
    <w:rsid w:val="00D21CC6"/>
    <w:rsid w:val="00D21D8B"/>
    <w:rsid w:val="00D22BB3"/>
    <w:rsid w:val="00D23422"/>
    <w:rsid w:val="00D23A7F"/>
    <w:rsid w:val="00D23AFB"/>
    <w:rsid w:val="00D24737"/>
    <w:rsid w:val="00D25FE0"/>
    <w:rsid w:val="00D2616A"/>
    <w:rsid w:val="00D26186"/>
    <w:rsid w:val="00D263A6"/>
    <w:rsid w:val="00D26C19"/>
    <w:rsid w:val="00D27314"/>
    <w:rsid w:val="00D277B5"/>
    <w:rsid w:val="00D27865"/>
    <w:rsid w:val="00D27C99"/>
    <w:rsid w:val="00D30483"/>
    <w:rsid w:val="00D30518"/>
    <w:rsid w:val="00D3052A"/>
    <w:rsid w:val="00D3097A"/>
    <w:rsid w:val="00D30E02"/>
    <w:rsid w:val="00D31162"/>
    <w:rsid w:val="00D324AB"/>
    <w:rsid w:val="00D32E0B"/>
    <w:rsid w:val="00D344A0"/>
    <w:rsid w:val="00D34772"/>
    <w:rsid w:val="00D34787"/>
    <w:rsid w:val="00D34930"/>
    <w:rsid w:val="00D353F1"/>
    <w:rsid w:val="00D358B4"/>
    <w:rsid w:val="00D36F08"/>
    <w:rsid w:val="00D37213"/>
    <w:rsid w:val="00D374CF"/>
    <w:rsid w:val="00D40424"/>
    <w:rsid w:val="00D40466"/>
    <w:rsid w:val="00D40E49"/>
    <w:rsid w:val="00D4115A"/>
    <w:rsid w:val="00D41260"/>
    <w:rsid w:val="00D4147B"/>
    <w:rsid w:val="00D4150A"/>
    <w:rsid w:val="00D41934"/>
    <w:rsid w:val="00D41F37"/>
    <w:rsid w:val="00D4203D"/>
    <w:rsid w:val="00D420D4"/>
    <w:rsid w:val="00D42555"/>
    <w:rsid w:val="00D4270D"/>
    <w:rsid w:val="00D42D1D"/>
    <w:rsid w:val="00D42DD8"/>
    <w:rsid w:val="00D4358A"/>
    <w:rsid w:val="00D43ACF"/>
    <w:rsid w:val="00D440CE"/>
    <w:rsid w:val="00D44547"/>
    <w:rsid w:val="00D44A90"/>
    <w:rsid w:val="00D44C3D"/>
    <w:rsid w:val="00D44DB9"/>
    <w:rsid w:val="00D45117"/>
    <w:rsid w:val="00D4511E"/>
    <w:rsid w:val="00D4547B"/>
    <w:rsid w:val="00D4577E"/>
    <w:rsid w:val="00D4588C"/>
    <w:rsid w:val="00D45A8D"/>
    <w:rsid w:val="00D45C57"/>
    <w:rsid w:val="00D462B7"/>
    <w:rsid w:val="00D4682C"/>
    <w:rsid w:val="00D46F10"/>
    <w:rsid w:val="00D4780B"/>
    <w:rsid w:val="00D47E24"/>
    <w:rsid w:val="00D47F15"/>
    <w:rsid w:val="00D50165"/>
    <w:rsid w:val="00D5081C"/>
    <w:rsid w:val="00D511FB"/>
    <w:rsid w:val="00D518F4"/>
    <w:rsid w:val="00D51B52"/>
    <w:rsid w:val="00D520EC"/>
    <w:rsid w:val="00D523CF"/>
    <w:rsid w:val="00D52535"/>
    <w:rsid w:val="00D52A22"/>
    <w:rsid w:val="00D52BDA"/>
    <w:rsid w:val="00D531A2"/>
    <w:rsid w:val="00D538B7"/>
    <w:rsid w:val="00D53A6A"/>
    <w:rsid w:val="00D53EBE"/>
    <w:rsid w:val="00D549F3"/>
    <w:rsid w:val="00D55011"/>
    <w:rsid w:val="00D5576D"/>
    <w:rsid w:val="00D5588F"/>
    <w:rsid w:val="00D575C7"/>
    <w:rsid w:val="00D57A25"/>
    <w:rsid w:val="00D57B32"/>
    <w:rsid w:val="00D57D89"/>
    <w:rsid w:val="00D57E37"/>
    <w:rsid w:val="00D60616"/>
    <w:rsid w:val="00D60AE7"/>
    <w:rsid w:val="00D60CB9"/>
    <w:rsid w:val="00D614BE"/>
    <w:rsid w:val="00D61546"/>
    <w:rsid w:val="00D61767"/>
    <w:rsid w:val="00D61781"/>
    <w:rsid w:val="00D61B15"/>
    <w:rsid w:val="00D61FCA"/>
    <w:rsid w:val="00D620E4"/>
    <w:rsid w:val="00D62103"/>
    <w:rsid w:val="00D625AE"/>
    <w:rsid w:val="00D63240"/>
    <w:rsid w:val="00D6348B"/>
    <w:rsid w:val="00D634C1"/>
    <w:rsid w:val="00D6377A"/>
    <w:rsid w:val="00D639D2"/>
    <w:rsid w:val="00D6404F"/>
    <w:rsid w:val="00D64113"/>
    <w:rsid w:val="00D64AF3"/>
    <w:rsid w:val="00D64B3E"/>
    <w:rsid w:val="00D6563A"/>
    <w:rsid w:val="00D66896"/>
    <w:rsid w:val="00D66E55"/>
    <w:rsid w:val="00D70303"/>
    <w:rsid w:val="00D7076C"/>
    <w:rsid w:val="00D7118D"/>
    <w:rsid w:val="00D71AFF"/>
    <w:rsid w:val="00D71C81"/>
    <w:rsid w:val="00D72369"/>
    <w:rsid w:val="00D728F1"/>
    <w:rsid w:val="00D72A45"/>
    <w:rsid w:val="00D72F26"/>
    <w:rsid w:val="00D72F4F"/>
    <w:rsid w:val="00D73929"/>
    <w:rsid w:val="00D74385"/>
    <w:rsid w:val="00D743D0"/>
    <w:rsid w:val="00D7467D"/>
    <w:rsid w:val="00D74B3E"/>
    <w:rsid w:val="00D74CBA"/>
    <w:rsid w:val="00D74EDA"/>
    <w:rsid w:val="00D75584"/>
    <w:rsid w:val="00D76249"/>
    <w:rsid w:val="00D76C10"/>
    <w:rsid w:val="00D774F4"/>
    <w:rsid w:val="00D77954"/>
    <w:rsid w:val="00D77A4F"/>
    <w:rsid w:val="00D77B9C"/>
    <w:rsid w:val="00D77B9E"/>
    <w:rsid w:val="00D804ED"/>
    <w:rsid w:val="00D804FA"/>
    <w:rsid w:val="00D80762"/>
    <w:rsid w:val="00D80A90"/>
    <w:rsid w:val="00D80FD3"/>
    <w:rsid w:val="00D813F2"/>
    <w:rsid w:val="00D82365"/>
    <w:rsid w:val="00D82589"/>
    <w:rsid w:val="00D825DC"/>
    <w:rsid w:val="00D828A6"/>
    <w:rsid w:val="00D83905"/>
    <w:rsid w:val="00D849DA"/>
    <w:rsid w:val="00D84C96"/>
    <w:rsid w:val="00D8526C"/>
    <w:rsid w:val="00D853DB"/>
    <w:rsid w:val="00D85F2F"/>
    <w:rsid w:val="00D86006"/>
    <w:rsid w:val="00D87366"/>
    <w:rsid w:val="00D87486"/>
    <w:rsid w:val="00D875C8"/>
    <w:rsid w:val="00D876DD"/>
    <w:rsid w:val="00D87A80"/>
    <w:rsid w:val="00D902BB"/>
    <w:rsid w:val="00D9075F"/>
    <w:rsid w:val="00D90B06"/>
    <w:rsid w:val="00D90ED2"/>
    <w:rsid w:val="00D9133D"/>
    <w:rsid w:val="00D91345"/>
    <w:rsid w:val="00D9154B"/>
    <w:rsid w:val="00D91823"/>
    <w:rsid w:val="00D91DCD"/>
    <w:rsid w:val="00D92A0B"/>
    <w:rsid w:val="00D92B18"/>
    <w:rsid w:val="00D92D0F"/>
    <w:rsid w:val="00D9309D"/>
    <w:rsid w:val="00D931C8"/>
    <w:rsid w:val="00D9382B"/>
    <w:rsid w:val="00D93D22"/>
    <w:rsid w:val="00D94232"/>
    <w:rsid w:val="00D94273"/>
    <w:rsid w:val="00D9451E"/>
    <w:rsid w:val="00D95CE3"/>
    <w:rsid w:val="00D95D1B"/>
    <w:rsid w:val="00D96DC3"/>
    <w:rsid w:val="00D97BE2"/>
    <w:rsid w:val="00D97E5C"/>
    <w:rsid w:val="00DA1B0E"/>
    <w:rsid w:val="00DA1B75"/>
    <w:rsid w:val="00DA1F6A"/>
    <w:rsid w:val="00DA23F8"/>
    <w:rsid w:val="00DA2A6D"/>
    <w:rsid w:val="00DA2E90"/>
    <w:rsid w:val="00DA2F11"/>
    <w:rsid w:val="00DA3374"/>
    <w:rsid w:val="00DA3469"/>
    <w:rsid w:val="00DA4654"/>
    <w:rsid w:val="00DA4766"/>
    <w:rsid w:val="00DA47CF"/>
    <w:rsid w:val="00DA49BB"/>
    <w:rsid w:val="00DA59B5"/>
    <w:rsid w:val="00DA67BC"/>
    <w:rsid w:val="00DA6830"/>
    <w:rsid w:val="00DA6F32"/>
    <w:rsid w:val="00DA7CB4"/>
    <w:rsid w:val="00DB04F9"/>
    <w:rsid w:val="00DB0B99"/>
    <w:rsid w:val="00DB0CA9"/>
    <w:rsid w:val="00DB13C9"/>
    <w:rsid w:val="00DB1694"/>
    <w:rsid w:val="00DB26CC"/>
    <w:rsid w:val="00DB2FB4"/>
    <w:rsid w:val="00DB322C"/>
    <w:rsid w:val="00DB3793"/>
    <w:rsid w:val="00DB3A0D"/>
    <w:rsid w:val="00DB42BF"/>
    <w:rsid w:val="00DB4618"/>
    <w:rsid w:val="00DB5200"/>
    <w:rsid w:val="00DB5922"/>
    <w:rsid w:val="00DB62BA"/>
    <w:rsid w:val="00DB6D4C"/>
    <w:rsid w:val="00DB6F82"/>
    <w:rsid w:val="00DB7489"/>
    <w:rsid w:val="00DB74B4"/>
    <w:rsid w:val="00DC12A2"/>
    <w:rsid w:val="00DC1771"/>
    <w:rsid w:val="00DC20D9"/>
    <w:rsid w:val="00DC24C1"/>
    <w:rsid w:val="00DC313D"/>
    <w:rsid w:val="00DC373B"/>
    <w:rsid w:val="00DC3EEC"/>
    <w:rsid w:val="00DC4091"/>
    <w:rsid w:val="00DC4B44"/>
    <w:rsid w:val="00DC509E"/>
    <w:rsid w:val="00DC58C7"/>
    <w:rsid w:val="00DC5969"/>
    <w:rsid w:val="00DC5BF1"/>
    <w:rsid w:val="00DC607E"/>
    <w:rsid w:val="00DC659D"/>
    <w:rsid w:val="00DC6D9F"/>
    <w:rsid w:val="00DC72C4"/>
    <w:rsid w:val="00DC758C"/>
    <w:rsid w:val="00DD044C"/>
    <w:rsid w:val="00DD0774"/>
    <w:rsid w:val="00DD093F"/>
    <w:rsid w:val="00DD162D"/>
    <w:rsid w:val="00DD23BC"/>
    <w:rsid w:val="00DD262C"/>
    <w:rsid w:val="00DD3201"/>
    <w:rsid w:val="00DD3757"/>
    <w:rsid w:val="00DD4118"/>
    <w:rsid w:val="00DD41F1"/>
    <w:rsid w:val="00DD462D"/>
    <w:rsid w:val="00DD49E9"/>
    <w:rsid w:val="00DD4C46"/>
    <w:rsid w:val="00DD4EDF"/>
    <w:rsid w:val="00DD5029"/>
    <w:rsid w:val="00DD51D4"/>
    <w:rsid w:val="00DD5294"/>
    <w:rsid w:val="00DD5C0D"/>
    <w:rsid w:val="00DD5C6D"/>
    <w:rsid w:val="00DD5D94"/>
    <w:rsid w:val="00DD5FD0"/>
    <w:rsid w:val="00DD60FB"/>
    <w:rsid w:val="00DD65CC"/>
    <w:rsid w:val="00DD6965"/>
    <w:rsid w:val="00DD771A"/>
    <w:rsid w:val="00DD7809"/>
    <w:rsid w:val="00DE0129"/>
    <w:rsid w:val="00DE01F0"/>
    <w:rsid w:val="00DE096D"/>
    <w:rsid w:val="00DE0CD9"/>
    <w:rsid w:val="00DE0FAE"/>
    <w:rsid w:val="00DE142F"/>
    <w:rsid w:val="00DE1C09"/>
    <w:rsid w:val="00DE1E72"/>
    <w:rsid w:val="00DE2426"/>
    <w:rsid w:val="00DE3071"/>
    <w:rsid w:val="00DE4148"/>
    <w:rsid w:val="00DE4153"/>
    <w:rsid w:val="00DE48B9"/>
    <w:rsid w:val="00DE4A0A"/>
    <w:rsid w:val="00DE4A12"/>
    <w:rsid w:val="00DE4CA5"/>
    <w:rsid w:val="00DE510F"/>
    <w:rsid w:val="00DE55B0"/>
    <w:rsid w:val="00DE59B9"/>
    <w:rsid w:val="00DE5C18"/>
    <w:rsid w:val="00DE5F9C"/>
    <w:rsid w:val="00DE69AB"/>
    <w:rsid w:val="00DE780B"/>
    <w:rsid w:val="00DF0514"/>
    <w:rsid w:val="00DF0E3F"/>
    <w:rsid w:val="00DF185D"/>
    <w:rsid w:val="00DF2DE5"/>
    <w:rsid w:val="00DF2F55"/>
    <w:rsid w:val="00DF356D"/>
    <w:rsid w:val="00DF3723"/>
    <w:rsid w:val="00DF3A45"/>
    <w:rsid w:val="00DF3D5F"/>
    <w:rsid w:val="00DF4102"/>
    <w:rsid w:val="00DF450E"/>
    <w:rsid w:val="00DF46B6"/>
    <w:rsid w:val="00DF4E71"/>
    <w:rsid w:val="00DF55A5"/>
    <w:rsid w:val="00DF6127"/>
    <w:rsid w:val="00DF649A"/>
    <w:rsid w:val="00DF6C8A"/>
    <w:rsid w:val="00DF6EE8"/>
    <w:rsid w:val="00DF721D"/>
    <w:rsid w:val="00DF78AF"/>
    <w:rsid w:val="00DF7AEC"/>
    <w:rsid w:val="00DF7EC4"/>
    <w:rsid w:val="00E00890"/>
    <w:rsid w:val="00E00CF6"/>
    <w:rsid w:val="00E019D7"/>
    <w:rsid w:val="00E02235"/>
    <w:rsid w:val="00E028B3"/>
    <w:rsid w:val="00E02B99"/>
    <w:rsid w:val="00E02F04"/>
    <w:rsid w:val="00E034F9"/>
    <w:rsid w:val="00E0436C"/>
    <w:rsid w:val="00E047E4"/>
    <w:rsid w:val="00E0481D"/>
    <w:rsid w:val="00E04F8F"/>
    <w:rsid w:val="00E05674"/>
    <w:rsid w:val="00E05B47"/>
    <w:rsid w:val="00E05B8F"/>
    <w:rsid w:val="00E06398"/>
    <w:rsid w:val="00E069D3"/>
    <w:rsid w:val="00E079B9"/>
    <w:rsid w:val="00E07FFD"/>
    <w:rsid w:val="00E10323"/>
    <w:rsid w:val="00E10659"/>
    <w:rsid w:val="00E11DAF"/>
    <w:rsid w:val="00E11F69"/>
    <w:rsid w:val="00E1256A"/>
    <w:rsid w:val="00E12587"/>
    <w:rsid w:val="00E12A01"/>
    <w:rsid w:val="00E1340E"/>
    <w:rsid w:val="00E13B68"/>
    <w:rsid w:val="00E14090"/>
    <w:rsid w:val="00E14242"/>
    <w:rsid w:val="00E148CC"/>
    <w:rsid w:val="00E1564C"/>
    <w:rsid w:val="00E1600C"/>
    <w:rsid w:val="00E1606A"/>
    <w:rsid w:val="00E161EB"/>
    <w:rsid w:val="00E16243"/>
    <w:rsid w:val="00E169CF"/>
    <w:rsid w:val="00E16D9F"/>
    <w:rsid w:val="00E16ED3"/>
    <w:rsid w:val="00E17433"/>
    <w:rsid w:val="00E1748F"/>
    <w:rsid w:val="00E20005"/>
    <w:rsid w:val="00E20300"/>
    <w:rsid w:val="00E20523"/>
    <w:rsid w:val="00E209C7"/>
    <w:rsid w:val="00E21514"/>
    <w:rsid w:val="00E21B78"/>
    <w:rsid w:val="00E21F98"/>
    <w:rsid w:val="00E22574"/>
    <w:rsid w:val="00E22AB3"/>
    <w:rsid w:val="00E22C18"/>
    <w:rsid w:val="00E22D94"/>
    <w:rsid w:val="00E23786"/>
    <w:rsid w:val="00E2381F"/>
    <w:rsid w:val="00E23B86"/>
    <w:rsid w:val="00E2469E"/>
    <w:rsid w:val="00E24703"/>
    <w:rsid w:val="00E25808"/>
    <w:rsid w:val="00E25952"/>
    <w:rsid w:val="00E25C40"/>
    <w:rsid w:val="00E25F79"/>
    <w:rsid w:val="00E2709C"/>
    <w:rsid w:val="00E2744F"/>
    <w:rsid w:val="00E30688"/>
    <w:rsid w:val="00E307C4"/>
    <w:rsid w:val="00E3129F"/>
    <w:rsid w:val="00E32378"/>
    <w:rsid w:val="00E329D0"/>
    <w:rsid w:val="00E32A1D"/>
    <w:rsid w:val="00E32A6B"/>
    <w:rsid w:val="00E32C1B"/>
    <w:rsid w:val="00E32DD8"/>
    <w:rsid w:val="00E35081"/>
    <w:rsid w:val="00E35A68"/>
    <w:rsid w:val="00E35D84"/>
    <w:rsid w:val="00E37241"/>
    <w:rsid w:val="00E37A75"/>
    <w:rsid w:val="00E4000C"/>
    <w:rsid w:val="00E407F5"/>
    <w:rsid w:val="00E40BF4"/>
    <w:rsid w:val="00E41120"/>
    <w:rsid w:val="00E416C7"/>
    <w:rsid w:val="00E419D0"/>
    <w:rsid w:val="00E41F3A"/>
    <w:rsid w:val="00E424C4"/>
    <w:rsid w:val="00E426E6"/>
    <w:rsid w:val="00E42C89"/>
    <w:rsid w:val="00E42F13"/>
    <w:rsid w:val="00E43386"/>
    <w:rsid w:val="00E44569"/>
    <w:rsid w:val="00E44A81"/>
    <w:rsid w:val="00E44E2B"/>
    <w:rsid w:val="00E462DA"/>
    <w:rsid w:val="00E465F2"/>
    <w:rsid w:val="00E468FE"/>
    <w:rsid w:val="00E469E5"/>
    <w:rsid w:val="00E46D2E"/>
    <w:rsid w:val="00E4709B"/>
    <w:rsid w:val="00E47586"/>
    <w:rsid w:val="00E47948"/>
    <w:rsid w:val="00E47B74"/>
    <w:rsid w:val="00E47B90"/>
    <w:rsid w:val="00E47CD3"/>
    <w:rsid w:val="00E47E80"/>
    <w:rsid w:val="00E502A3"/>
    <w:rsid w:val="00E50764"/>
    <w:rsid w:val="00E51D0A"/>
    <w:rsid w:val="00E51DD0"/>
    <w:rsid w:val="00E5213E"/>
    <w:rsid w:val="00E52401"/>
    <w:rsid w:val="00E52605"/>
    <w:rsid w:val="00E528EA"/>
    <w:rsid w:val="00E52C4F"/>
    <w:rsid w:val="00E53739"/>
    <w:rsid w:val="00E5389A"/>
    <w:rsid w:val="00E53A42"/>
    <w:rsid w:val="00E53A48"/>
    <w:rsid w:val="00E53CB8"/>
    <w:rsid w:val="00E542BB"/>
    <w:rsid w:val="00E543DA"/>
    <w:rsid w:val="00E54C8D"/>
    <w:rsid w:val="00E54E21"/>
    <w:rsid w:val="00E54E4F"/>
    <w:rsid w:val="00E55A1F"/>
    <w:rsid w:val="00E55A47"/>
    <w:rsid w:val="00E55EC9"/>
    <w:rsid w:val="00E55F88"/>
    <w:rsid w:val="00E562DE"/>
    <w:rsid w:val="00E569FF"/>
    <w:rsid w:val="00E56A1A"/>
    <w:rsid w:val="00E56A53"/>
    <w:rsid w:val="00E56C9C"/>
    <w:rsid w:val="00E56FA0"/>
    <w:rsid w:val="00E578B6"/>
    <w:rsid w:val="00E578EC"/>
    <w:rsid w:val="00E57927"/>
    <w:rsid w:val="00E6029D"/>
    <w:rsid w:val="00E602C0"/>
    <w:rsid w:val="00E61303"/>
    <w:rsid w:val="00E616B1"/>
    <w:rsid w:val="00E61879"/>
    <w:rsid w:val="00E61B2D"/>
    <w:rsid w:val="00E61BF6"/>
    <w:rsid w:val="00E61E8C"/>
    <w:rsid w:val="00E62443"/>
    <w:rsid w:val="00E63316"/>
    <w:rsid w:val="00E6371A"/>
    <w:rsid w:val="00E63EBD"/>
    <w:rsid w:val="00E640E6"/>
    <w:rsid w:val="00E6475F"/>
    <w:rsid w:val="00E64A0B"/>
    <w:rsid w:val="00E65599"/>
    <w:rsid w:val="00E65B69"/>
    <w:rsid w:val="00E65D94"/>
    <w:rsid w:val="00E6679C"/>
    <w:rsid w:val="00E66E94"/>
    <w:rsid w:val="00E66FFE"/>
    <w:rsid w:val="00E67369"/>
    <w:rsid w:val="00E674BF"/>
    <w:rsid w:val="00E67AFC"/>
    <w:rsid w:val="00E67B7D"/>
    <w:rsid w:val="00E67BFB"/>
    <w:rsid w:val="00E702B5"/>
    <w:rsid w:val="00E70B09"/>
    <w:rsid w:val="00E70B17"/>
    <w:rsid w:val="00E70C7B"/>
    <w:rsid w:val="00E713F6"/>
    <w:rsid w:val="00E717F5"/>
    <w:rsid w:val="00E71AB8"/>
    <w:rsid w:val="00E72528"/>
    <w:rsid w:val="00E72ABB"/>
    <w:rsid w:val="00E72B0C"/>
    <w:rsid w:val="00E73010"/>
    <w:rsid w:val="00E734C5"/>
    <w:rsid w:val="00E73778"/>
    <w:rsid w:val="00E739BA"/>
    <w:rsid w:val="00E73DCE"/>
    <w:rsid w:val="00E74151"/>
    <w:rsid w:val="00E74627"/>
    <w:rsid w:val="00E7474B"/>
    <w:rsid w:val="00E75236"/>
    <w:rsid w:val="00E764D7"/>
    <w:rsid w:val="00E76595"/>
    <w:rsid w:val="00E769DC"/>
    <w:rsid w:val="00E76C00"/>
    <w:rsid w:val="00E774EB"/>
    <w:rsid w:val="00E77D66"/>
    <w:rsid w:val="00E80B67"/>
    <w:rsid w:val="00E80B98"/>
    <w:rsid w:val="00E80F07"/>
    <w:rsid w:val="00E80F8C"/>
    <w:rsid w:val="00E81250"/>
    <w:rsid w:val="00E821E7"/>
    <w:rsid w:val="00E822F3"/>
    <w:rsid w:val="00E82DED"/>
    <w:rsid w:val="00E83428"/>
    <w:rsid w:val="00E84562"/>
    <w:rsid w:val="00E858D3"/>
    <w:rsid w:val="00E869B5"/>
    <w:rsid w:val="00E86CB7"/>
    <w:rsid w:val="00E902E1"/>
    <w:rsid w:val="00E903C8"/>
    <w:rsid w:val="00E90CAD"/>
    <w:rsid w:val="00E90D0B"/>
    <w:rsid w:val="00E90D6A"/>
    <w:rsid w:val="00E90FF2"/>
    <w:rsid w:val="00E91788"/>
    <w:rsid w:val="00E92D23"/>
    <w:rsid w:val="00E932CD"/>
    <w:rsid w:val="00E93AE2"/>
    <w:rsid w:val="00E941B7"/>
    <w:rsid w:val="00E942BF"/>
    <w:rsid w:val="00E9442D"/>
    <w:rsid w:val="00E95115"/>
    <w:rsid w:val="00E95168"/>
    <w:rsid w:val="00E958B8"/>
    <w:rsid w:val="00E95AA2"/>
    <w:rsid w:val="00E95AF8"/>
    <w:rsid w:val="00E9611D"/>
    <w:rsid w:val="00E9615C"/>
    <w:rsid w:val="00E96972"/>
    <w:rsid w:val="00E96DAC"/>
    <w:rsid w:val="00E97E6F"/>
    <w:rsid w:val="00EA088F"/>
    <w:rsid w:val="00EA0DB9"/>
    <w:rsid w:val="00EA1BE7"/>
    <w:rsid w:val="00EA1C9B"/>
    <w:rsid w:val="00EA28A5"/>
    <w:rsid w:val="00EA2B15"/>
    <w:rsid w:val="00EA2E3F"/>
    <w:rsid w:val="00EA36D1"/>
    <w:rsid w:val="00EA38C8"/>
    <w:rsid w:val="00EA3AEA"/>
    <w:rsid w:val="00EA46DE"/>
    <w:rsid w:val="00EA4779"/>
    <w:rsid w:val="00EA498F"/>
    <w:rsid w:val="00EA51DE"/>
    <w:rsid w:val="00EA7337"/>
    <w:rsid w:val="00EA7935"/>
    <w:rsid w:val="00EA7989"/>
    <w:rsid w:val="00EB0179"/>
    <w:rsid w:val="00EB0265"/>
    <w:rsid w:val="00EB07C0"/>
    <w:rsid w:val="00EB1033"/>
    <w:rsid w:val="00EB13AA"/>
    <w:rsid w:val="00EB1C6B"/>
    <w:rsid w:val="00EB22A0"/>
    <w:rsid w:val="00EB31EF"/>
    <w:rsid w:val="00EB3281"/>
    <w:rsid w:val="00EB34BE"/>
    <w:rsid w:val="00EB3C5A"/>
    <w:rsid w:val="00EB4371"/>
    <w:rsid w:val="00EB47CA"/>
    <w:rsid w:val="00EB5365"/>
    <w:rsid w:val="00EB551C"/>
    <w:rsid w:val="00EB5529"/>
    <w:rsid w:val="00EB568B"/>
    <w:rsid w:val="00EB5B0F"/>
    <w:rsid w:val="00EB5B58"/>
    <w:rsid w:val="00EB713A"/>
    <w:rsid w:val="00EB7740"/>
    <w:rsid w:val="00EC05E5"/>
    <w:rsid w:val="00EC1270"/>
    <w:rsid w:val="00EC1652"/>
    <w:rsid w:val="00EC1D10"/>
    <w:rsid w:val="00EC2A01"/>
    <w:rsid w:val="00EC2BE4"/>
    <w:rsid w:val="00EC34D7"/>
    <w:rsid w:val="00EC382E"/>
    <w:rsid w:val="00EC3A67"/>
    <w:rsid w:val="00EC406C"/>
    <w:rsid w:val="00EC408E"/>
    <w:rsid w:val="00EC4909"/>
    <w:rsid w:val="00EC50FA"/>
    <w:rsid w:val="00EC5236"/>
    <w:rsid w:val="00EC5AA3"/>
    <w:rsid w:val="00EC5C78"/>
    <w:rsid w:val="00EC5CF7"/>
    <w:rsid w:val="00EC6118"/>
    <w:rsid w:val="00EC650A"/>
    <w:rsid w:val="00EC6B24"/>
    <w:rsid w:val="00EC6B26"/>
    <w:rsid w:val="00EC6C93"/>
    <w:rsid w:val="00EC715A"/>
    <w:rsid w:val="00EC7859"/>
    <w:rsid w:val="00EC7DA8"/>
    <w:rsid w:val="00ED010F"/>
    <w:rsid w:val="00ED0BA6"/>
    <w:rsid w:val="00ED19A1"/>
    <w:rsid w:val="00ED1D7E"/>
    <w:rsid w:val="00ED2F36"/>
    <w:rsid w:val="00ED375A"/>
    <w:rsid w:val="00ED39B1"/>
    <w:rsid w:val="00ED4042"/>
    <w:rsid w:val="00ED421A"/>
    <w:rsid w:val="00ED4513"/>
    <w:rsid w:val="00ED4EC0"/>
    <w:rsid w:val="00ED55E8"/>
    <w:rsid w:val="00ED6092"/>
    <w:rsid w:val="00ED6485"/>
    <w:rsid w:val="00ED6601"/>
    <w:rsid w:val="00ED699B"/>
    <w:rsid w:val="00ED6D33"/>
    <w:rsid w:val="00ED6E76"/>
    <w:rsid w:val="00ED7977"/>
    <w:rsid w:val="00EE0B4C"/>
    <w:rsid w:val="00EE1872"/>
    <w:rsid w:val="00EE1939"/>
    <w:rsid w:val="00EE1ACA"/>
    <w:rsid w:val="00EE35D8"/>
    <w:rsid w:val="00EE39B7"/>
    <w:rsid w:val="00EE3A3D"/>
    <w:rsid w:val="00EE4620"/>
    <w:rsid w:val="00EE4909"/>
    <w:rsid w:val="00EE4D6C"/>
    <w:rsid w:val="00EE4FD2"/>
    <w:rsid w:val="00EE6026"/>
    <w:rsid w:val="00EE60F4"/>
    <w:rsid w:val="00EE62CA"/>
    <w:rsid w:val="00EE658F"/>
    <w:rsid w:val="00EE664E"/>
    <w:rsid w:val="00EE73E2"/>
    <w:rsid w:val="00EE7A73"/>
    <w:rsid w:val="00EE7F7D"/>
    <w:rsid w:val="00EE7FE5"/>
    <w:rsid w:val="00EF01F1"/>
    <w:rsid w:val="00EF1636"/>
    <w:rsid w:val="00EF1885"/>
    <w:rsid w:val="00EF18F0"/>
    <w:rsid w:val="00EF1BC8"/>
    <w:rsid w:val="00EF2AC6"/>
    <w:rsid w:val="00EF2B0E"/>
    <w:rsid w:val="00EF2C5A"/>
    <w:rsid w:val="00EF3746"/>
    <w:rsid w:val="00EF406E"/>
    <w:rsid w:val="00EF470B"/>
    <w:rsid w:val="00EF6D8E"/>
    <w:rsid w:val="00EF6F9A"/>
    <w:rsid w:val="00EF72C6"/>
    <w:rsid w:val="00EF7627"/>
    <w:rsid w:val="00EF7644"/>
    <w:rsid w:val="00F0006E"/>
    <w:rsid w:val="00F00118"/>
    <w:rsid w:val="00F00611"/>
    <w:rsid w:val="00F00B68"/>
    <w:rsid w:val="00F00D27"/>
    <w:rsid w:val="00F00E0C"/>
    <w:rsid w:val="00F0148A"/>
    <w:rsid w:val="00F019CD"/>
    <w:rsid w:val="00F02227"/>
    <w:rsid w:val="00F024BE"/>
    <w:rsid w:val="00F02566"/>
    <w:rsid w:val="00F02ADB"/>
    <w:rsid w:val="00F02BEE"/>
    <w:rsid w:val="00F033E5"/>
    <w:rsid w:val="00F03DD4"/>
    <w:rsid w:val="00F03E15"/>
    <w:rsid w:val="00F0411F"/>
    <w:rsid w:val="00F04439"/>
    <w:rsid w:val="00F0465B"/>
    <w:rsid w:val="00F04AE8"/>
    <w:rsid w:val="00F04D94"/>
    <w:rsid w:val="00F055CA"/>
    <w:rsid w:val="00F056C4"/>
    <w:rsid w:val="00F0588F"/>
    <w:rsid w:val="00F05A28"/>
    <w:rsid w:val="00F05AF8"/>
    <w:rsid w:val="00F05CD6"/>
    <w:rsid w:val="00F0671C"/>
    <w:rsid w:val="00F06781"/>
    <w:rsid w:val="00F06A7D"/>
    <w:rsid w:val="00F07047"/>
    <w:rsid w:val="00F0712E"/>
    <w:rsid w:val="00F1022A"/>
    <w:rsid w:val="00F102B3"/>
    <w:rsid w:val="00F1047C"/>
    <w:rsid w:val="00F1049B"/>
    <w:rsid w:val="00F10AC5"/>
    <w:rsid w:val="00F10C23"/>
    <w:rsid w:val="00F10C5C"/>
    <w:rsid w:val="00F10F48"/>
    <w:rsid w:val="00F11328"/>
    <w:rsid w:val="00F11FD2"/>
    <w:rsid w:val="00F1209B"/>
    <w:rsid w:val="00F120C7"/>
    <w:rsid w:val="00F12700"/>
    <w:rsid w:val="00F12EFC"/>
    <w:rsid w:val="00F13511"/>
    <w:rsid w:val="00F139EF"/>
    <w:rsid w:val="00F13C1D"/>
    <w:rsid w:val="00F13EF8"/>
    <w:rsid w:val="00F1486B"/>
    <w:rsid w:val="00F14AC8"/>
    <w:rsid w:val="00F1513E"/>
    <w:rsid w:val="00F1543A"/>
    <w:rsid w:val="00F155D9"/>
    <w:rsid w:val="00F15B3D"/>
    <w:rsid w:val="00F15FE2"/>
    <w:rsid w:val="00F160EA"/>
    <w:rsid w:val="00F17219"/>
    <w:rsid w:val="00F1737C"/>
    <w:rsid w:val="00F17A9B"/>
    <w:rsid w:val="00F17BCF"/>
    <w:rsid w:val="00F20D87"/>
    <w:rsid w:val="00F211E4"/>
    <w:rsid w:val="00F21E5F"/>
    <w:rsid w:val="00F21F9A"/>
    <w:rsid w:val="00F225AD"/>
    <w:rsid w:val="00F22B7C"/>
    <w:rsid w:val="00F2359D"/>
    <w:rsid w:val="00F23669"/>
    <w:rsid w:val="00F236AF"/>
    <w:rsid w:val="00F23802"/>
    <w:rsid w:val="00F23941"/>
    <w:rsid w:val="00F23FC6"/>
    <w:rsid w:val="00F24794"/>
    <w:rsid w:val="00F24A38"/>
    <w:rsid w:val="00F24A6A"/>
    <w:rsid w:val="00F254B8"/>
    <w:rsid w:val="00F27612"/>
    <w:rsid w:val="00F30474"/>
    <w:rsid w:val="00F30CA6"/>
    <w:rsid w:val="00F30D05"/>
    <w:rsid w:val="00F313D4"/>
    <w:rsid w:val="00F31883"/>
    <w:rsid w:val="00F31DFD"/>
    <w:rsid w:val="00F32E97"/>
    <w:rsid w:val="00F33569"/>
    <w:rsid w:val="00F33B2E"/>
    <w:rsid w:val="00F33F6B"/>
    <w:rsid w:val="00F34071"/>
    <w:rsid w:val="00F34080"/>
    <w:rsid w:val="00F3410C"/>
    <w:rsid w:val="00F34464"/>
    <w:rsid w:val="00F34495"/>
    <w:rsid w:val="00F3471A"/>
    <w:rsid w:val="00F347CE"/>
    <w:rsid w:val="00F347D6"/>
    <w:rsid w:val="00F34887"/>
    <w:rsid w:val="00F348BC"/>
    <w:rsid w:val="00F34A8A"/>
    <w:rsid w:val="00F35754"/>
    <w:rsid w:val="00F35790"/>
    <w:rsid w:val="00F36086"/>
    <w:rsid w:val="00F36283"/>
    <w:rsid w:val="00F36422"/>
    <w:rsid w:val="00F376E3"/>
    <w:rsid w:val="00F37893"/>
    <w:rsid w:val="00F37BCC"/>
    <w:rsid w:val="00F37FB4"/>
    <w:rsid w:val="00F41382"/>
    <w:rsid w:val="00F41728"/>
    <w:rsid w:val="00F42215"/>
    <w:rsid w:val="00F42589"/>
    <w:rsid w:val="00F427E0"/>
    <w:rsid w:val="00F42915"/>
    <w:rsid w:val="00F42CA0"/>
    <w:rsid w:val="00F4305A"/>
    <w:rsid w:val="00F438BF"/>
    <w:rsid w:val="00F43920"/>
    <w:rsid w:val="00F439C2"/>
    <w:rsid w:val="00F43CBE"/>
    <w:rsid w:val="00F43D67"/>
    <w:rsid w:val="00F43F61"/>
    <w:rsid w:val="00F43F69"/>
    <w:rsid w:val="00F44445"/>
    <w:rsid w:val="00F44491"/>
    <w:rsid w:val="00F4467B"/>
    <w:rsid w:val="00F4490B"/>
    <w:rsid w:val="00F45F39"/>
    <w:rsid w:val="00F461B9"/>
    <w:rsid w:val="00F4634D"/>
    <w:rsid w:val="00F4650E"/>
    <w:rsid w:val="00F4676A"/>
    <w:rsid w:val="00F46A2E"/>
    <w:rsid w:val="00F47014"/>
    <w:rsid w:val="00F50110"/>
    <w:rsid w:val="00F501D0"/>
    <w:rsid w:val="00F505E6"/>
    <w:rsid w:val="00F50641"/>
    <w:rsid w:val="00F50818"/>
    <w:rsid w:val="00F50836"/>
    <w:rsid w:val="00F50B1F"/>
    <w:rsid w:val="00F51526"/>
    <w:rsid w:val="00F51743"/>
    <w:rsid w:val="00F52152"/>
    <w:rsid w:val="00F52E85"/>
    <w:rsid w:val="00F531D5"/>
    <w:rsid w:val="00F5355A"/>
    <w:rsid w:val="00F53B7A"/>
    <w:rsid w:val="00F53DAF"/>
    <w:rsid w:val="00F53FC5"/>
    <w:rsid w:val="00F548E8"/>
    <w:rsid w:val="00F55B37"/>
    <w:rsid w:val="00F55FE2"/>
    <w:rsid w:val="00F56161"/>
    <w:rsid w:val="00F5632C"/>
    <w:rsid w:val="00F56D53"/>
    <w:rsid w:val="00F56DFD"/>
    <w:rsid w:val="00F606DD"/>
    <w:rsid w:val="00F60AA7"/>
    <w:rsid w:val="00F61637"/>
    <w:rsid w:val="00F616D6"/>
    <w:rsid w:val="00F61FCD"/>
    <w:rsid w:val="00F623DC"/>
    <w:rsid w:val="00F62ADE"/>
    <w:rsid w:val="00F62B71"/>
    <w:rsid w:val="00F62D5B"/>
    <w:rsid w:val="00F63031"/>
    <w:rsid w:val="00F630E0"/>
    <w:rsid w:val="00F631FD"/>
    <w:rsid w:val="00F63508"/>
    <w:rsid w:val="00F63808"/>
    <w:rsid w:val="00F64AAA"/>
    <w:rsid w:val="00F65AB4"/>
    <w:rsid w:val="00F65D7A"/>
    <w:rsid w:val="00F66349"/>
    <w:rsid w:val="00F66367"/>
    <w:rsid w:val="00F663A4"/>
    <w:rsid w:val="00F6640D"/>
    <w:rsid w:val="00F66AC7"/>
    <w:rsid w:val="00F66E3C"/>
    <w:rsid w:val="00F67145"/>
    <w:rsid w:val="00F67A6F"/>
    <w:rsid w:val="00F67AFA"/>
    <w:rsid w:val="00F67E71"/>
    <w:rsid w:val="00F7034C"/>
    <w:rsid w:val="00F70805"/>
    <w:rsid w:val="00F716F6"/>
    <w:rsid w:val="00F722F7"/>
    <w:rsid w:val="00F72800"/>
    <w:rsid w:val="00F72BC3"/>
    <w:rsid w:val="00F734B7"/>
    <w:rsid w:val="00F73665"/>
    <w:rsid w:val="00F738B2"/>
    <w:rsid w:val="00F73904"/>
    <w:rsid w:val="00F73B9D"/>
    <w:rsid w:val="00F743F6"/>
    <w:rsid w:val="00F74DCF"/>
    <w:rsid w:val="00F750D5"/>
    <w:rsid w:val="00F754CC"/>
    <w:rsid w:val="00F75BE8"/>
    <w:rsid w:val="00F75C17"/>
    <w:rsid w:val="00F76AB9"/>
    <w:rsid w:val="00F7763D"/>
    <w:rsid w:val="00F77E4A"/>
    <w:rsid w:val="00F77F0C"/>
    <w:rsid w:val="00F8029C"/>
    <w:rsid w:val="00F8058E"/>
    <w:rsid w:val="00F80C43"/>
    <w:rsid w:val="00F80D0F"/>
    <w:rsid w:val="00F81E95"/>
    <w:rsid w:val="00F8249B"/>
    <w:rsid w:val="00F826BD"/>
    <w:rsid w:val="00F8307D"/>
    <w:rsid w:val="00F83F1B"/>
    <w:rsid w:val="00F84218"/>
    <w:rsid w:val="00F84443"/>
    <w:rsid w:val="00F84FF9"/>
    <w:rsid w:val="00F85551"/>
    <w:rsid w:val="00F85AF4"/>
    <w:rsid w:val="00F85B3E"/>
    <w:rsid w:val="00F85D9C"/>
    <w:rsid w:val="00F85F8D"/>
    <w:rsid w:val="00F86158"/>
    <w:rsid w:val="00F86481"/>
    <w:rsid w:val="00F870B8"/>
    <w:rsid w:val="00F877A1"/>
    <w:rsid w:val="00F87FDF"/>
    <w:rsid w:val="00F903A6"/>
    <w:rsid w:val="00F90BD6"/>
    <w:rsid w:val="00F90E46"/>
    <w:rsid w:val="00F90FB0"/>
    <w:rsid w:val="00F918F6"/>
    <w:rsid w:val="00F91D3C"/>
    <w:rsid w:val="00F91F1B"/>
    <w:rsid w:val="00F921DC"/>
    <w:rsid w:val="00F928FB"/>
    <w:rsid w:val="00F92DE4"/>
    <w:rsid w:val="00F9300D"/>
    <w:rsid w:val="00F9399F"/>
    <w:rsid w:val="00F93A18"/>
    <w:rsid w:val="00F93A37"/>
    <w:rsid w:val="00F942F9"/>
    <w:rsid w:val="00F94307"/>
    <w:rsid w:val="00F944A7"/>
    <w:rsid w:val="00F94731"/>
    <w:rsid w:val="00F94EFD"/>
    <w:rsid w:val="00F96315"/>
    <w:rsid w:val="00F967C3"/>
    <w:rsid w:val="00F97010"/>
    <w:rsid w:val="00F97AD6"/>
    <w:rsid w:val="00F97CA4"/>
    <w:rsid w:val="00F97F45"/>
    <w:rsid w:val="00FA0933"/>
    <w:rsid w:val="00FA0CD9"/>
    <w:rsid w:val="00FA1C78"/>
    <w:rsid w:val="00FA2D91"/>
    <w:rsid w:val="00FA31B3"/>
    <w:rsid w:val="00FA3613"/>
    <w:rsid w:val="00FA370B"/>
    <w:rsid w:val="00FA3779"/>
    <w:rsid w:val="00FA4783"/>
    <w:rsid w:val="00FA48F7"/>
    <w:rsid w:val="00FA4EDD"/>
    <w:rsid w:val="00FA6402"/>
    <w:rsid w:val="00FA656F"/>
    <w:rsid w:val="00FA6B66"/>
    <w:rsid w:val="00FA6F56"/>
    <w:rsid w:val="00FA75D4"/>
    <w:rsid w:val="00FB098B"/>
    <w:rsid w:val="00FB156B"/>
    <w:rsid w:val="00FB1AAB"/>
    <w:rsid w:val="00FB2CE3"/>
    <w:rsid w:val="00FB3945"/>
    <w:rsid w:val="00FB4A61"/>
    <w:rsid w:val="00FB4B17"/>
    <w:rsid w:val="00FB4F16"/>
    <w:rsid w:val="00FB55CD"/>
    <w:rsid w:val="00FB57E7"/>
    <w:rsid w:val="00FB5A88"/>
    <w:rsid w:val="00FB5B6C"/>
    <w:rsid w:val="00FB633C"/>
    <w:rsid w:val="00FB644A"/>
    <w:rsid w:val="00FB663F"/>
    <w:rsid w:val="00FB6AA3"/>
    <w:rsid w:val="00FB72BF"/>
    <w:rsid w:val="00FB72C9"/>
    <w:rsid w:val="00FC020F"/>
    <w:rsid w:val="00FC02C8"/>
    <w:rsid w:val="00FC07FA"/>
    <w:rsid w:val="00FC0CD9"/>
    <w:rsid w:val="00FC0E80"/>
    <w:rsid w:val="00FC1079"/>
    <w:rsid w:val="00FC10C3"/>
    <w:rsid w:val="00FC1383"/>
    <w:rsid w:val="00FC195C"/>
    <w:rsid w:val="00FC1E33"/>
    <w:rsid w:val="00FC1E9B"/>
    <w:rsid w:val="00FC2AEA"/>
    <w:rsid w:val="00FC324E"/>
    <w:rsid w:val="00FC352F"/>
    <w:rsid w:val="00FC377F"/>
    <w:rsid w:val="00FC4600"/>
    <w:rsid w:val="00FC51F5"/>
    <w:rsid w:val="00FC538C"/>
    <w:rsid w:val="00FC550E"/>
    <w:rsid w:val="00FC5534"/>
    <w:rsid w:val="00FC585C"/>
    <w:rsid w:val="00FC58DE"/>
    <w:rsid w:val="00FC5B77"/>
    <w:rsid w:val="00FC75D2"/>
    <w:rsid w:val="00FC77E0"/>
    <w:rsid w:val="00FC7A10"/>
    <w:rsid w:val="00FD0227"/>
    <w:rsid w:val="00FD02B9"/>
    <w:rsid w:val="00FD0D64"/>
    <w:rsid w:val="00FD0DDB"/>
    <w:rsid w:val="00FD115C"/>
    <w:rsid w:val="00FD159C"/>
    <w:rsid w:val="00FD1D4C"/>
    <w:rsid w:val="00FD1EBA"/>
    <w:rsid w:val="00FD2209"/>
    <w:rsid w:val="00FD252A"/>
    <w:rsid w:val="00FD2982"/>
    <w:rsid w:val="00FD2D6C"/>
    <w:rsid w:val="00FD3370"/>
    <w:rsid w:val="00FD362B"/>
    <w:rsid w:val="00FD434B"/>
    <w:rsid w:val="00FD4722"/>
    <w:rsid w:val="00FD537E"/>
    <w:rsid w:val="00FD53A1"/>
    <w:rsid w:val="00FD5434"/>
    <w:rsid w:val="00FD559A"/>
    <w:rsid w:val="00FD5BBA"/>
    <w:rsid w:val="00FD6B92"/>
    <w:rsid w:val="00FD706B"/>
    <w:rsid w:val="00FD7808"/>
    <w:rsid w:val="00FE09E0"/>
    <w:rsid w:val="00FE0D13"/>
    <w:rsid w:val="00FE10D9"/>
    <w:rsid w:val="00FE17D9"/>
    <w:rsid w:val="00FE20A7"/>
    <w:rsid w:val="00FE23BF"/>
    <w:rsid w:val="00FE25A9"/>
    <w:rsid w:val="00FE26C5"/>
    <w:rsid w:val="00FE2C17"/>
    <w:rsid w:val="00FE35A8"/>
    <w:rsid w:val="00FE3B0E"/>
    <w:rsid w:val="00FE3C6C"/>
    <w:rsid w:val="00FE3DB3"/>
    <w:rsid w:val="00FE3E0F"/>
    <w:rsid w:val="00FE4360"/>
    <w:rsid w:val="00FE45FE"/>
    <w:rsid w:val="00FE49B3"/>
    <w:rsid w:val="00FE4DAC"/>
    <w:rsid w:val="00FE5C2D"/>
    <w:rsid w:val="00FE6341"/>
    <w:rsid w:val="00FE6BCC"/>
    <w:rsid w:val="00FE6CC2"/>
    <w:rsid w:val="00FE7AAA"/>
    <w:rsid w:val="00FF008C"/>
    <w:rsid w:val="00FF0A67"/>
    <w:rsid w:val="00FF0A9A"/>
    <w:rsid w:val="00FF0BA6"/>
    <w:rsid w:val="00FF0E0B"/>
    <w:rsid w:val="00FF15D4"/>
    <w:rsid w:val="00FF16C0"/>
    <w:rsid w:val="00FF188E"/>
    <w:rsid w:val="00FF2A7A"/>
    <w:rsid w:val="00FF2C3E"/>
    <w:rsid w:val="00FF2FC6"/>
    <w:rsid w:val="00FF3B0D"/>
    <w:rsid w:val="00FF3E6C"/>
    <w:rsid w:val="00FF437A"/>
    <w:rsid w:val="00FF4689"/>
    <w:rsid w:val="00FF478A"/>
    <w:rsid w:val="00FF4BDB"/>
    <w:rsid w:val="00FF4DFE"/>
    <w:rsid w:val="00FF6176"/>
    <w:rsid w:val="00FF6C7F"/>
    <w:rsid w:val="00FF6E3A"/>
    <w:rsid w:val="00FF6FCB"/>
    <w:rsid w:val="00FF79AF"/>
    <w:rsid w:val="0104089B"/>
    <w:rsid w:val="010573CF"/>
    <w:rsid w:val="0120732D"/>
    <w:rsid w:val="013F62F1"/>
    <w:rsid w:val="014B0B01"/>
    <w:rsid w:val="0156004B"/>
    <w:rsid w:val="015D47AA"/>
    <w:rsid w:val="016D1F7A"/>
    <w:rsid w:val="019475E5"/>
    <w:rsid w:val="01B804B0"/>
    <w:rsid w:val="01CF1E86"/>
    <w:rsid w:val="01EE166D"/>
    <w:rsid w:val="01FA7741"/>
    <w:rsid w:val="0213121C"/>
    <w:rsid w:val="021D3D5C"/>
    <w:rsid w:val="023039AC"/>
    <w:rsid w:val="02393619"/>
    <w:rsid w:val="02452A2D"/>
    <w:rsid w:val="02550B45"/>
    <w:rsid w:val="02722D5B"/>
    <w:rsid w:val="02765139"/>
    <w:rsid w:val="027F0AF5"/>
    <w:rsid w:val="02800298"/>
    <w:rsid w:val="0284330B"/>
    <w:rsid w:val="02A628B4"/>
    <w:rsid w:val="02A6529A"/>
    <w:rsid w:val="02A86964"/>
    <w:rsid w:val="02AA406C"/>
    <w:rsid w:val="02B31F12"/>
    <w:rsid w:val="02B61A56"/>
    <w:rsid w:val="02C10FD4"/>
    <w:rsid w:val="02C8629C"/>
    <w:rsid w:val="02EB299E"/>
    <w:rsid w:val="03036335"/>
    <w:rsid w:val="03200AC2"/>
    <w:rsid w:val="032719BC"/>
    <w:rsid w:val="033012C2"/>
    <w:rsid w:val="03346E7D"/>
    <w:rsid w:val="0341784C"/>
    <w:rsid w:val="03467B5F"/>
    <w:rsid w:val="035262ED"/>
    <w:rsid w:val="03572EDF"/>
    <w:rsid w:val="035C0F8C"/>
    <w:rsid w:val="03643979"/>
    <w:rsid w:val="03937632"/>
    <w:rsid w:val="03B21056"/>
    <w:rsid w:val="03B37C90"/>
    <w:rsid w:val="03B56C2C"/>
    <w:rsid w:val="03BA12E3"/>
    <w:rsid w:val="03C10BEA"/>
    <w:rsid w:val="03DA317F"/>
    <w:rsid w:val="03DC0890"/>
    <w:rsid w:val="03F04B2E"/>
    <w:rsid w:val="03F51CE3"/>
    <w:rsid w:val="04001E67"/>
    <w:rsid w:val="04133BF5"/>
    <w:rsid w:val="04222033"/>
    <w:rsid w:val="044564D7"/>
    <w:rsid w:val="04585DBD"/>
    <w:rsid w:val="04676C24"/>
    <w:rsid w:val="04680FFC"/>
    <w:rsid w:val="047D077E"/>
    <w:rsid w:val="04AD3BE3"/>
    <w:rsid w:val="04C44DF6"/>
    <w:rsid w:val="04CD43B5"/>
    <w:rsid w:val="04FB360F"/>
    <w:rsid w:val="05066A3A"/>
    <w:rsid w:val="050F7010"/>
    <w:rsid w:val="05152775"/>
    <w:rsid w:val="05330D5C"/>
    <w:rsid w:val="053C6893"/>
    <w:rsid w:val="055C1088"/>
    <w:rsid w:val="0567613E"/>
    <w:rsid w:val="056821DE"/>
    <w:rsid w:val="056B1D2E"/>
    <w:rsid w:val="056F7D59"/>
    <w:rsid w:val="05964A45"/>
    <w:rsid w:val="05A329E3"/>
    <w:rsid w:val="05B80A38"/>
    <w:rsid w:val="05BB63B8"/>
    <w:rsid w:val="05C4079D"/>
    <w:rsid w:val="05C728AF"/>
    <w:rsid w:val="05F72380"/>
    <w:rsid w:val="061F0F05"/>
    <w:rsid w:val="061F52BB"/>
    <w:rsid w:val="063E34AA"/>
    <w:rsid w:val="064D1B40"/>
    <w:rsid w:val="0655531A"/>
    <w:rsid w:val="066053C5"/>
    <w:rsid w:val="06832D08"/>
    <w:rsid w:val="069F1C2F"/>
    <w:rsid w:val="06A73C00"/>
    <w:rsid w:val="06CD1C2C"/>
    <w:rsid w:val="06CE1DB6"/>
    <w:rsid w:val="07327AE3"/>
    <w:rsid w:val="0733594C"/>
    <w:rsid w:val="073F05D0"/>
    <w:rsid w:val="07A93AC8"/>
    <w:rsid w:val="07B962FB"/>
    <w:rsid w:val="07BA23C9"/>
    <w:rsid w:val="07C70871"/>
    <w:rsid w:val="07DD1707"/>
    <w:rsid w:val="07E03E77"/>
    <w:rsid w:val="07E9039F"/>
    <w:rsid w:val="07EB178F"/>
    <w:rsid w:val="07EF2B2D"/>
    <w:rsid w:val="07FE47FA"/>
    <w:rsid w:val="080626E3"/>
    <w:rsid w:val="080C3596"/>
    <w:rsid w:val="08144141"/>
    <w:rsid w:val="081C4AD8"/>
    <w:rsid w:val="08291A46"/>
    <w:rsid w:val="084D150C"/>
    <w:rsid w:val="086F1B39"/>
    <w:rsid w:val="088C65B0"/>
    <w:rsid w:val="08BA4314"/>
    <w:rsid w:val="08BF737E"/>
    <w:rsid w:val="08C51776"/>
    <w:rsid w:val="08CE1B3A"/>
    <w:rsid w:val="08D04DF6"/>
    <w:rsid w:val="08DF09DC"/>
    <w:rsid w:val="08E97758"/>
    <w:rsid w:val="08F05639"/>
    <w:rsid w:val="08F7688B"/>
    <w:rsid w:val="09122F5A"/>
    <w:rsid w:val="092115A9"/>
    <w:rsid w:val="09270029"/>
    <w:rsid w:val="093D17C1"/>
    <w:rsid w:val="094518ED"/>
    <w:rsid w:val="09593601"/>
    <w:rsid w:val="095E6763"/>
    <w:rsid w:val="09B533E3"/>
    <w:rsid w:val="09D03983"/>
    <w:rsid w:val="0A4D6E2A"/>
    <w:rsid w:val="0A622CA0"/>
    <w:rsid w:val="0A8E0281"/>
    <w:rsid w:val="0A92049E"/>
    <w:rsid w:val="0A934626"/>
    <w:rsid w:val="0A9E507D"/>
    <w:rsid w:val="0AA465C5"/>
    <w:rsid w:val="0AAA3DBD"/>
    <w:rsid w:val="0ABF7253"/>
    <w:rsid w:val="0AD45B26"/>
    <w:rsid w:val="0AF42008"/>
    <w:rsid w:val="0AF77118"/>
    <w:rsid w:val="0AFB2D9B"/>
    <w:rsid w:val="0AFD5D8C"/>
    <w:rsid w:val="0B052636"/>
    <w:rsid w:val="0B0A62D2"/>
    <w:rsid w:val="0B187AA4"/>
    <w:rsid w:val="0B225496"/>
    <w:rsid w:val="0B3B6C5D"/>
    <w:rsid w:val="0B5163A4"/>
    <w:rsid w:val="0B65645F"/>
    <w:rsid w:val="0B7347B0"/>
    <w:rsid w:val="0B7B66C7"/>
    <w:rsid w:val="0B936E97"/>
    <w:rsid w:val="0BB17860"/>
    <w:rsid w:val="0BBA4757"/>
    <w:rsid w:val="0BD40798"/>
    <w:rsid w:val="0BEA2333"/>
    <w:rsid w:val="0BFF65B8"/>
    <w:rsid w:val="0C1760DE"/>
    <w:rsid w:val="0C441420"/>
    <w:rsid w:val="0C81145C"/>
    <w:rsid w:val="0C986EB5"/>
    <w:rsid w:val="0C9B7FAF"/>
    <w:rsid w:val="0CB050BA"/>
    <w:rsid w:val="0CB76F48"/>
    <w:rsid w:val="0CC45703"/>
    <w:rsid w:val="0CD140E3"/>
    <w:rsid w:val="0CDB6090"/>
    <w:rsid w:val="0CF266CE"/>
    <w:rsid w:val="0CF73F98"/>
    <w:rsid w:val="0D1F5C63"/>
    <w:rsid w:val="0D2C4171"/>
    <w:rsid w:val="0D4B457A"/>
    <w:rsid w:val="0D6507F5"/>
    <w:rsid w:val="0D70724F"/>
    <w:rsid w:val="0DB600FF"/>
    <w:rsid w:val="0DB95491"/>
    <w:rsid w:val="0DC275D4"/>
    <w:rsid w:val="0DD46302"/>
    <w:rsid w:val="0DEC56B8"/>
    <w:rsid w:val="0DEE51E1"/>
    <w:rsid w:val="0E200687"/>
    <w:rsid w:val="0E23163F"/>
    <w:rsid w:val="0E3007D2"/>
    <w:rsid w:val="0E682AFB"/>
    <w:rsid w:val="0E747D25"/>
    <w:rsid w:val="0E8D6B8A"/>
    <w:rsid w:val="0E8F7033"/>
    <w:rsid w:val="0EB25F2F"/>
    <w:rsid w:val="0ED377F8"/>
    <w:rsid w:val="0EDC5E1C"/>
    <w:rsid w:val="0EDE2D18"/>
    <w:rsid w:val="0EE94C36"/>
    <w:rsid w:val="0F10028D"/>
    <w:rsid w:val="0F2B51CF"/>
    <w:rsid w:val="0F4F0637"/>
    <w:rsid w:val="0F537738"/>
    <w:rsid w:val="0F9111CF"/>
    <w:rsid w:val="0F9220D0"/>
    <w:rsid w:val="0FAA531F"/>
    <w:rsid w:val="0FBB3702"/>
    <w:rsid w:val="0FC97C78"/>
    <w:rsid w:val="0FE07271"/>
    <w:rsid w:val="0FEC1CA1"/>
    <w:rsid w:val="10176433"/>
    <w:rsid w:val="101B72A4"/>
    <w:rsid w:val="104349BC"/>
    <w:rsid w:val="10465315"/>
    <w:rsid w:val="10547FAD"/>
    <w:rsid w:val="105746B0"/>
    <w:rsid w:val="105C1DC7"/>
    <w:rsid w:val="106133BE"/>
    <w:rsid w:val="10681919"/>
    <w:rsid w:val="106F3A10"/>
    <w:rsid w:val="107E6B82"/>
    <w:rsid w:val="107F1DA6"/>
    <w:rsid w:val="10AB1E5A"/>
    <w:rsid w:val="10B438DD"/>
    <w:rsid w:val="10BB1865"/>
    <w:rsid w:val="10BC5790"/>
    <w:rsid w:val="10BD12EA"/>
    <w:rsid w:val="10C07688"/>
    <w:rsid w:val="10CB5DBE"/>
    <w:rsid w:val="10CF59F0"/>
    <w:rsid w:val="10E41956"/>
    <w:rsid w:val="11016210"/>
    <w:rsid w:val="11310D3D"/>
    <w:rsid w:val="11422ECD"/>
    <w:rsid w:val="11485BA1"/>
    <w:rsid w:val="11665F7B"/>
    <w:rsid w:val="118607FB"/>
    <w:rsid w:val="119E7E0A"/>
    <w:rsid w:val="11AC5ADD"/>
    <w:rsid w:val="11E44B84"/>
    <w:rsid w:val="11F3185C"/>
    <w:rsid w:val="12137CE2"/>
    <w:rsid w:val="121F0AAA"/>
    <w:rsid w:val="12301301"/>
    <w:rsid w:val="124D3615"/>
    <w:rsid w:val="12584B22"/>
    <w:rsid w:val="12A734A7"/>
    <w:rsid w:val="12A828C5"/>
    <w:rsid w:val="12BE2326"/>
    <w:rsid w:val="12EA422E"/>
    <w:rsid w:val="12F7317A"/>
    <w:rsid w:val="130B70DC"/>
    <w:rsid w:val="13204E08"/>
    <w:rsid w:val="13434AE3"/>
    <w:rsid w:val="137B7016"/>
    <w:rsid w:val="13837712"/>
    <w:rsid w:val="13951D45"/>
    <w:rsid w:val="13C976FF"/>
    <w:rsid w:val="13CA5311"/>
    <w:rsid w:val="13E67D00"/>
    <w:rsid w:val="14012DD4"/>
    <w:rsid w:val="14082EBC"/>
    <w:rsid w:val="14284663"/>
    <w:rsid w:val="142B4618"/>
    <w:rsid w:val="14667FFD"/>
    <w:rsid w:val="14686756"/>
    <w:rsid w:val="14996B7C"/>
    <w:rsid w:val="14A62FF4"/>
    <w:rsid w:val="14BA10D2"/>
    <w:rsid w:val="14D72153"/>
    <w:rsid w:val="14E279B3"/>
    <w:rsid w:val="14E36577"/>
    <w:rsid w:val="14EA6348"/>
    <w:rsid w:val="152B1E29"/>
    <w:rsid w:val="152F52F8"/>
    <w:rsid w:val="15323570"/>
    <w:rsid w:val="156F5C03"/>
    <w:rsid w:val="15714487"/>
    <w:rsid w:val="157C15CA"/>
    <w:rsid w:val="15916B6F"/>
    <w:rsid w:val="15AF1686"/>
    <w:rsid w:val="15D235FF"/>
    <w:rsid w:val="15DE56DE"/>
    <w:rsid w:val="16142511"/>
    <w:rsid w:val="16187A1E"/>
    <w:rsid w:val="1643798C"/>
    <w:rsid w:val="165A5519"/>
    <w:rsid w:val="166C0ABA"/>
    <w:rsid w:val="166C225E"/>
    <w:rsid w:val="167F131F"/>
    <w:rsid w:val="16844C82"/>
    <w:rsid w:val="16876EBA"/>
    <w:rsid w:val="1692700B"/>
    <w:rsid w:val="169336E1"/>
    <w:rsid w:val="16B6444E"/>
    <w:rsid w:val="16C87C35"/>
    <w:rsid w:val="16CF6D8A"/>
    <w:rsid w:val="16D91D12"/>
    <w:rsid w:val="16F0725C"/>
    <w:rsid w:val="16FC3706"/>
    <w:rsid w:val="17070B47"/>
    <w:rsid w:val="17243B8C"/>
    <w:rsid w:val="172559DC"/>
    <w:rsid w:val="172F72F1"/>
    <w:rsid w:val="173B6DF2"/>
    <w:rsid w:val="17434210"/>
    <w:rsid w:val="17452E68"/>
    <w:rsid w:val="17453618"/>
    <w:rsid w:val="17523824"/>
    <w:rsid w:val="17812D23"/>
    <w:rsid w:val="17A23316"/>
    <w:rsid w:val="17AE58E9"/>
    <w:rsid w:val="17AF153A"/>
    <w:rsid w:val="17F151C8"/>
    <w:rsid w:val="180731BC"/>
    <w:rsid w:val="18093FAE"/>
    <w:rsid w:val="183A5591"/>
    <w:rsid w:val="185C2F19"/>
    <w:rsid w:val="186A057C"/>
    <w:rsid w:val="186B0F90"/>
    <w:rsid w:val="186C3F39"/>
    <w:rsid w:val="186E67AE"/>
    <w:rsid w:val="187501E2"/>
    <w:rsid w:val="1890117D"/>
    <w:rsid w:val="189C02AF"/>
    <w:rsid w:val="18A53958"/>
    <w:rsid w:val="18AE699A"/>
    <w:rsid w:val="18D360E1"/>
    <w:rsid w:val="18F46A13"/>
    <w:rsid w:val="18F955C1"/>
    <w:rsid w:val="190A54CC"/>
    <w:rsid w:val="192E1D27"/>
    <w:rsid w:val="19317418"/>
    <w:rsid w:val="19340DBE"/>
    <w:rsid w:val="19343962"/>
    <w:rsid w:val="193C45C6"/>
    <w:rsid w:val="19431505"/>
    <w:rsid w:val="19554CC3"/>
    <w:rsid w:val="19632D93"/>
    <w:rsid w:val="196A2CA1"/>
    <w:rsid w:val="197452CE"/>
    <w:rsid w:val="198552D5"/>
    <w:rsid w:val="198A2EB5"/>
    <w:rsid w:val="198B461C"/>
    <w:rsid w:val="199A1AE6"/>
    <w:rsid w:val="19BB7364"/>
    <w:rsid w:val="19D60B09"/>
    <w:rsid w:val="1A032140"/>
    <w:rsid w:val="1A0817F9"/>
    <w:rsid w:val="1A255560"/>
    <w:rsid w:val="1A4949CB"/>
    <w:rsid w:val="1A7D391F"/>
    <w:rsid w:val="1A7F0DA6"/>
    <w:rsid w:val="1AAD5FFC"/>
    <w:rsid w:val="1AB30C68"/>
    <w:rsid w:val="1AC81AFA"/>
    <w:rsid w:val="1AC8603E"/>
    <w:rsid w:val="1AD67D5F"/>
    <w:rsid w:val="1B000E72"/>
    <w:rsid w:val="1B0C1670"/>
    <w:rsid w:val="1B1000AB"/>
    <w:rsid w:val="1B2132F3"/>
    <w:rsid w:val="1B2D40CD"/>
    <w:rsid w:val="1B382E92"/>
    <w:rsid w:val="1B4B34C9"/>
    <w:rsid w:val="1B626669"/>
    <w:rsid w:val="1B641AB6"/>
    <w:rsid w:val="1B6B3453"/>
    <w:rsid w:val="1B725C20"/>
    <w:rsid w:val="1B7F7A8A"/>
    <w:rsid w:val="1B95200E"/>
    <w:rsid w:val="1B960E07"/>
    <w:rsid w:val="1B9C5849"/>
    <w:rsid w:val="1BA65007"/>
    <w:rsid w:val="1BC43580"/>
    <w:rsid w:val="1BE22CB8"/>
    <w:rsid w:val="1BEA65F9"/>
    <w:rsid w:val="1BEF50AE"/>
    <w:rsid w:val="1C157643"/>
    <w:rsid w:val="1C2D05D0"/>
    <w:rsid w:val="1C351563"/>
    <w:rsid w:val="1C5452C0"/>
    <w:rsid w:val="1C681DA8"/>
    <w:rsid w:val="1C6F2239"/>
    <w:rsid w:val="1C6F53BB"/>
    <w:rsid w:val="1C756611"/>
    <w:rsid w:val="1C783148"/>
    <w:rsid w:val="1C7D67DC"/>
    <w:rsid w:val="1C915453"/>
    <w:rsid w:val="1C9A1D17"/>
    <w:rsid w:val="1CA65382"/>
    <w:rsid w:val="1CAB2403"/>
    <w:rsid w:val="1CB0579D"/>
    <w:rsid w:val="1CD70DD4"/>
    <w:rsid w:val="1CF321DA"/>
    <w:rsid w:val="1CFB0BEC"/>
    <w:rsid w:val="1D0752A0"/>
    <w:rsid w:val="1D0A6E2F"/>
    <w:rsid w:val="1D0B53AD"/>
    <w:rsid w:val="1D102E40"/>
    <w:rsid w:val="1D17626D"/>
    <w:rsid w:val="1D266F2E"/>
    <w:rsid w:val="1D2A564F"/>
    <w:rsid w:val="1D3641E6"/>
    <w:rsid w:val="1D3C2896"/>
    <w:rsid w:val="1D407949"/>
    <w:rsid w:val="1D52678C"/>
    <w:rsid w:val="1D645717"/>
    <w:rsid w:val="1D67411B"/>
    <w:rsid w:val="1D747CDE"/>
    <w:rsid w:val="1D835219"/>
    <w:rsid w:val="1D8B3810"/>
    <w:rsid w:val="1D8E3C2B"/>
    <w:rsid w:val="1DCB2680"/>
    <w:rsid w:val="1DD32F6F"/>
    <w:rsid w:val="1DF146EC"/>
    <w:rsid w:val="1E0277E9"/>
    <w:rsid w:val="1E0561C6"/>
    <w:rsid w:val="1E180D24"/>
    <w:rsid w:val="1E1A61E0"/>
    <w:rsid w:val="1E361B44"/>
    <w:rsid w:val="1E430B5B"/>
    <w:rsid w:val="1E50148D"/>
    <w:rsid w:val="1E544C32"/>
    <w:rsid w:val="1E587A40"/>
    <w:rsid w:val="1E68617A"/>
    <w:rsid w:val="1E6F35F6"/>
    <w:rsid w:val="1E845C6A"/>
    <w:rsid w:val="1E895D9D"/>
    <w:rsid w:val="1E8B69E3"/>
    <w:rsid w:val="1E8F5098"/>
    <w:rsid w:val="1E906C6C"/>
    <w:rsid w:val="1E9B6C08"/>
    <w:rsid w:val="1ED50C27"/>
    <w:rsid w:val="1EF55515"/>
    <w:rsid w:val="1F1B2E16"/>
    <w:rsid w:val="1F3A12D9"/>
    <w:rsid w:val="1F4C58F1"/>
    <w:rsid w:val="1F64530D"/>
    <w:rsid w:val="1F7F491E"/>
    <w:rsid w:val="1F822CE0"/>
    <w:rsid w:val="1F8451FA"/>
    <w:rsid w:val="1F86697F"/>
    <w:rsid w:val="1F9B4785"/>
    <w:rsid w:val="1F9D741E"/>
    <w:rsid w:val="1FB125E2"/>
    <w:rsid w:val="1FC7451F"/>
    <w:rsid w:val="1FC77D76"/>
    <w:rsid w:val="1FD5755B"/>
    <w:rsid w:val="1FE624AD"/>
    <w:rsid w:val="1FE762B1"/>
    <w:rsid w:val="20363CAD"/>
    <w:rsid w:val="206C0593"/>
    <w:rsid w:val="206E44D8"/>
    <w:rsid w:val="20794FB2"/>
    <w:rsid w:val="20797D51"/>
    <w:rsid w:val="207B1424"/>
    <w:rsid w:val="208372DC"/>
    <w:rsid w:val="20870F0B"/>
    <w:rsid w:val="208D0AF6"/>
    <w:rsid w:val="209008C8"/>
    <w:rsid w:val="20912C11"/>
    <w:rsid w:val="20A31948"/>
    <w:rsid w:val="20B940AA"/>
    <w:rsid w:val="20BF10B0"/>
    <w:rsid w:val="20C01981"/>
    <w:rsid w:val="20CD0B84"/>
    <w:rsid w:val="20CF71A9"/>
    <w:rsid w:val="2124259D"/>
    <w:rsid w:val="213918BD"/>
    <w:rsid w:val="213B1786"/>
    <w:rsid w:val="214001B2"/>
    <w:rsid w:val="214F2B67"/>
    <w:rsid w:val="215577EE"/>
    <w:rsid w:val="21627873"/>
    <w:rsid w:val="21734156"/>
    <w:rsid w:val="218B4AF4"/>
    <w:rsid w:val="218D6D3A"/>
    <w:rsid w:val="21A85D3A"/>
    <w:rsid w:val="21B3764E"/>
    <w:rsid w:val="21BA7804"/>
    <w:rsid w:val="21CC62CE"/>
    <w:rsid w:val="21F2403F"/>
    <w:rsid w:val="222F369C"/>
    <w:rsid w:val="222F7B61"/>
    <w:rsid w:val="22356A1E"/>
    <w:rsid w:val="223C70ED"/>
    <w:rsid w:val="224366DF"/>
    <w:rsid w:val="224F484F"/>
    <w:rsid w:val="226724FC"/>
    <w:rsid w:val="22833A0B"/>
    <w:rsid w:val="228A2572"/>
    <w:rsid w:val="228D0CE7"/>
    <w:rsid w:val="228D3CFD"/>
    <w:rsid w:val="22B60DB2"/>
    <w:rsid w:val="22D50D2A"/>
    <w:rsid w:val="22D702F8"/>
    <w:rsid w:val="22E50AE9"/>
    <w:rsid w:val="22E92041"/>
    <w:rsid w:val="22F16966"/>
    <w:rsid w:val="22F82540"/>
    <w:rsid w:val="22FB2080"/>
    <w:rsid w:val="230B5438"/>
    <w:rsid w:val="231238E5"/>
    <w:rsid w:val="23287C66"/>
    <w:rsid w:val="232E5BE7"/>
    <w:rsid w:val="23363404"/>
    <w:rsid w:val="23404C6A"/>
    <w:rsid w:val="236225E2"/>
    <w:rsid w:val="239A6FE0"/>
    <w:rsid w:val="23A35FA4"/>
    <w:rsid w:val="23A756B7"/>
    <w:rsid w:val="23B673CE"/>
    <w:rsid w:val="23CB238C"/>
    <w:rsid w:val="23CB7B0D"/>
    <w:rsid w:val="23D125F5"/>
    <w:rsid w:val="23E2453E"/>
    <w:rsid w:val="23FB2240"/>
    <w:rsid w:val="240E6417"/>
    <w:rsid w:val="241134C7"/>
    <w:rsid w:val="24186BB9"/>
    <w:rsid w:val="241914E1"/>
    <w:rsid w:val="24280FE0"/>
    <w:rsid w:val="242E2E8F"/>
    <w:rsid w:val="243F15AA"/>
    <w:rsid w:val="246312F2"/>
    <w:rsid w:val="24755ABF"/>
    <w:rsid w:val="247E7CA4"/>
    <w:rsid w:val="24C4516C"/>
    <w:rsid w:val="24D8278F"/>
    <w:rsid w:val="24D875D7"/>
    <w:rsid w:val="24D90FFF"/>
    <w:rsid w:val="24FB5DCC"/>
    <w:rsid w:val="25382CA9"/>
    <w:rsid w:val="255531B9"/>
    <w:rsid w:val="25BF377C"/>
    <w:rsid w:val="25D51D17"/>
    <w:rsid w:val="25EC2D76"/>
    <w:rsid w:val="25F63092"/>
    <w:rsid w:val="260357C5"/>
    <w:rsid w:val="26053DF3"/>
    <w:rsid w:val="26090CF0"/>
    <w:rsid w:val="263E2D07"/>
    <w:rsid w:val="26500BC0"/>
    <w:rsid w:val="26822915"/>
    <w:rsid w:val="26A45F7B"/>
    <w:rsid w:val="26C25E77"/>
    <w:rsid w:val="26C47CC3"/>
    <w:rsid w:val="26CE5EE2"/>
    <w:rsid w:val="26E87564"/>
    <w:rsid w:val="26EC0D38"/>
    <w:rsid w:val="26EF7DFB"/>
    <w:rsid w:val="270E582C"/>
    <w:rsid w:val="270E5D30"/>
    <w:rsid w:val="27116627"/>
    <w:rsid w:val="271B465E"/>
    <w:rsid w:val="271F2E16"/>
    <w:rsid w:val="272400E3"/>
    <w:rsid w:val="27583F5B"/>
    <w:rsid w:val="2765641A"/>
    <w:rsid w:val="278B6231"/>
    <w:rsid w:val="278F1C9C"/>
    <w:rsid w:val="27A40B4B"/>
    <w:rsid w:val="27A65FDE"/>
    <w:rsid w:val="27AF09BA"/>
    <w:rsid w:val="27CD66DB"/>
    <w:rsid w:val="27D14783"/>
    <w:rsid w:val="27D32B7C"/>
    <w:rsid w:val="27DA1554"/>
    <w:rsid w:val="27DB64A8"/>
    <w:rsid w:val="27F75E77"/>
    <w:rsid w:val="27F80F5D"/>
    <w:rsid w:val="27FC632B"/>
    <w:rsid w:val="28070F64"/>
    <w:rsid w:val="280B0384"/>
    <w:rsid w:val="282B55E7"/>
    <w:rsid w:val="282E364E"/>
    <w:rsid w:val="28311532"/>
    <w:rsid w:val="28336B05"/>
    <w:rsid w:val="284576CE"/>
    <w:rsid w:val="2849022D"/>
    <w:rsid w:val="286751F1"/>
    <w:rsid w:val="28836D62"/>
    <w:rsid w:val="28AC30C8"/>
    <w:rsid w:val="28AD2499"/>
    <w:rsid w:val="28BF412C"/>
    <w:rsid w:val="28C65B46"/>
    <w:rsid w:val="29051B18"/>
    <w:rsid w:val="291562E2"/>
    <w:rsid w:val="292B0D45"/>
    <w:rsid w:val="292F05E4"/>
    <w:rsid w:val="295D289D"/>
    <w:rsid w:val="296B64E2"/>
    <w:rsid w:val="29750876"/>
    <w:rsid w:val="29A07074"/>
    <w:rsid w:val="29A6405A"/>
    <w:rsid w:val="29AA6452"/>
    <w:rsid w:val="29AE2776"/>
    <w:rsid w:val="29B42E4F"/>
    <w:rsid w:val="29CD1238"/>
    <w:rsid w:val="29D6433F"/>
    <w:rsid w:val="29D80DCA"/>
    <w:rsid w:val="2A173109"/>
    <w:rsid w:val="2A200FE6"/>
    <w:rsid w:val="2A243331"/>
    <w:rsid w:val="2A3B756A"/>
    <w:rsid w:val="2A7F614F"/>
    <w:rsid w:val="2ABD69FA"/>
    <w:rsid w:val="2B027E44"/>
    <w:rsid w:val="2B262807"/>
    <w:rsid w:val="2B366C09"/>
    <w:rsid w:val="2B4273D7"/>
    <w:rsid w:val="2B4551DB"/>
    <w:rsid w:val="2B512771"/>
    <w:rsid w:val="2B6327AA"/>
    <w:rsid w:val="2B6F7693"/>
    <w:rsid w:val="2B736129"/>
    <w:rsid w:val="2B801D61"/>
    <w:rsid w:val="2B8B24D7"/>
    <w:rsid w:val="2B9812C1"/>
    <w:rsid w:val="2BAF64FE"/>
    <w:rsid w:val="2BCC7E90"/>
    <w:rsid w:val="2BFF1DE6"/>
    <w:rsid w:val="2C0632A5"/>
    <w:rsid w:val="2C075C16"/>
    <w:rsid w:val="2C076BEE"/>
    <w:rsid w:val="2C4A2BA8"/>
    <w:rsid w:val="2C4C271D"/>
    <w:rsid w:val="2C613593"/>
    <w:rsid w:val="2C84316C"/>
    <w:rsid w:val="2C8F0541"/>
    <w:rsid w:val="2C8F16F8"/>
    <w:rsid w:val="2CBD0A5C"/>
    <w:rsid w:val="2CD26845"/>
    <w:rsid w:val="2D076C0E"/>
    <w:rsid w:val="2D0976E9"/>
    <w:rsid w:val="2D252552"/>
    <w:rsid w:val="2D5344A3"/>
    <w:rsid w:val="2D6E6D39"/>
    <w:rsid w:val="2D940C8F"/>
    <w:rsid w:val="2DA13A0F"/>
    <w:rsid w:val="2DA32D76"/>
    <w:rsid w:val="2DB61EBD"/>
    <w:rsid w:val="2DBD0610"/>
    <w:rsid w:val="2DC163A9"/>
    <w:rsid w:val="2DE91A3D"/>
    <w:rsid w:val="2DF52893"/>
    <w:rsid w:val="2DF71D7F"/>
    <w:rsid w:val="2DF90137"/>
    <w:rsid w:val="2E150D9B"/>
    <w:rsid w:val="2E1A36FC"/>
    <w:rsid w:val="2E274EB7"/>
    <w:rsid w:val="2E6B2E21"/>
    <w:rsid w:val="2E836478"/>
    <w:rsid w:val="2E8678FE"/>
    <w:rsid w:val="2E8C534A"/>
    <w:rsid w:val="2E970657"/>
    <w:rsid w:val="2EA6380B"/>
    <w:rsid w:val="2EB144DA"/>
    <w:rsid w:val="2EB7116C"/>
    <w:rsid w:val="2EBF03F0"/>
    <w:rsid w:val="2EC42EF7"/>
    <w:rsid w:val="2ECC42FA"/>
    <w:rsid w:val="2EFC72AD"/>
    <w:rsid w:val="2F120358"/>
    <w:rsid w:val="2F587D31"/>
    <w:rsid w:val="2F66257C"/>
    <w:rsid w:val="2F6D0D45"/>
    <w:rsid w:val="2F8C6A81"/>
    <w:rsid w:val="2F8D15EB"/>
    <w:rsid w:val="2F9452C7"/>
    <w:rsid w:val="2FAA3E44"/>
    <w:rsid w:val="2FB23062"/>
    <w:rsid w:val="2FEF7CA6"/>
    <w:rsid w:val="2FF1279F"/>
    <w:rsid w:val="2FF913BC"/>
    <w:rsid w:val="302C1F2A"/>
    <w:rsid w:val="30420F9B"/>
    <w:rsid w:val="30480767"/>
    <w:rsid w:val="30574626"/>
    <w:rsid w:val="305E4862"/>
    <w:rsid w:val="3076675A"/>
    <w:rsid w:val="30835780"/>
    <w:rsid w:val="30B40E79"/>
    <w:rsid w:val="31305003"/>
    <w:rsid w:val="31330D10"/>
    <w:rsid w:val="31350D67"/>
    <w:rsid w:val="313E41B4"/>
    <w:rsid w:val="31590A5B"/>
    <w:rsid w:val="31905B3E"/>
    <w:rsid w:val="31C90D5F"/>
    <w:rsid w:val="31CC5427"/>
    <w:rsid w:val="31E92C20"/>
    <w:rsid w:val="31F070A7"/>
    <w:rsid w:val="31F340AB"/>
    <w:rsid w:val="3215214E"/>
    <w:rsid w:val="321C7656"/>
    <w:rsid w:val="32245FB3"/>
    <w:rsid w:val="326C53BC"/>
    <w:rsid w:val="327002D8"/>
    <w:rsid w:val="32886BA5"/>
    <w:rsid w:val="329B336C"/>
    <w:rsid w:val="32A11303"/>
    <w:rsid w:val="32A731E8"/>
    <w:rsid w:val="32AC379C"/>
    <w:rsid w:val="32C63EB7"/>
    <w:rsid w:val="32DB1959"/>
    <w:rsid w:val="32DE1CCA"/>
    <w:rsid w:val="32EE5919"/>
    <w:rsid w:val="32F95BFD"/>
    <w:rsid w:val="33396002"/>
    <w:rsid w:val="333E5F09"/>
    <w:rsid w:val="334452F3"/>
    <w:rsid w:val="33523D04"/>
    <w:rsid w:val="335D62F9"/>
    <w:rsid w:val="336B3111"/>
    <w:rsid w:val="33733FF8"/>
    <w:rsid w:val="338D4C23"/>
    <w:rsid w:val="33A07C50"/>
    <w:rsid w:val="33C9420A"/>
    <w:rsid w:val="33F6515B"/>
    <w:rsid w:val="33F8226D"/>
    <w:rsid w:val="340C2613"/>
    <w:rsid w:val="34297CB5"/>
    <w:rsid w:val="343B4EA8"/>
    <w:rsid w:val="343C4408"/>
    <w:rsid w:val="344A2453"/>
    <w:rsid w:val="344A518B"/>
    <w:rsid w:val="346A306A"/>
    <w:rsid w:val="346C6246"/>
    <w:rsid w:val="34732D5B"/>
    <w:rsid w:val="3477345F"/>
    <w:rsid w:val="34894488"/>
    <w:rsid w:val="349C541C"/>
    <w:rsid w:val="349C7DA7"/>
    <w:rsid w:val="34A5780A"/>
    <w:rsid w:val="34BC51D5"/>
    <w:rsid w:val="35066BCA"/>
    <w:rsid w:val="35110F45"/>
    <w:rsid w:val="35234728"/>
    <w:rsid w:val="353E122A"/>
    <w:rsid w:val="357673DE"/>
    <w:rsid w:val="357A09AB"/>
    <w:rsid w:val="357B3AA3"/>
    <w:rsid w:val="3589611D"/>
    <w:rsid w:val="3596780B"/>
    <w:rsid w:val="35B04B6A"/>
    <w:rsid w:val="35CD1E9E"/>
    <w:rsid w:val="35D0306D"/>
    <w:rsid w:val="35EB5AE2"/>
    <w:rsid w:val="35FB4148"/>
    <w:rsid w:val="36004D33"/>
    <w:rsid w:val="360F6D90"/>
    <w:rsid w:val="36163659"/>
    <w:rsid w:val="3619695F"/>
    <w:rsid w:val="362B5269"/>
    <w:rsid w:val="362E21B8"/>
    <w:rsid w:val="36312EA4"/>
    <w:rsid w:val="363C1611"/>
    <w:rsid w:val="364E44D7"/>
    <w:rsid w:val="36736B7B"/>
    <w:rsid w:val="36932FB6"/>
    <w:rsid w:val="36BF446F"/>
    <w:rsid w:val="36C8268B"/>
    <w:rsid w:val="36D33432"/>
    <w:rsid w:val="36D6243D"/>
    <w:rsid w:val="36DE1F3D"/>
    <w:rsid w:val="37115C87"/>
    <w:rsid w:val="37247001"/>
    <w:rsid w:val="374D16F4"/>
    <w:rsid w:val="37544461"/>
    <w:rsid w:val="376D3C22"/>
    <w:rsid w:val="376E7116"/>
    <w:rsid w:val="37807A7C"/>
    <w:rsid w:val="378230B4"/>
    <w:rsid w:val="37853C44"/>
    <w:rsid w:val="37887910"/>
    <w:rsid w:val="37A3268D"/>
    <w:rsid w:val="37AB159E"/>
    <w:rsid w:val="37B50E7C"/>
    <w:rsid w:val="37C938B6"/>
    <w:rsid w:val="37D868FC"/>
    <w:rsid w:val="37DB4D1F"/>
    <w:rsid w:val="381548E2"/>
    <w:rsid w:val="38486EF1"/>
    <w:rsid w:val="385F6509"/>
    <w:rsid w:val="38951F9D"/>
    <w:rsid w:val="38B925B2"/>
    <w:rsid w:val="38BC772F"/>
    <w:rsid w:val="38C75E4E"/>
    <w:rsid w:val="38D25220"/>
    <w:rsid w:val="38D77E73"/>
    <w:rsid w:val="39041E69"/>
    <w:rsid w:val="39131FE4"/>
    <w:rsid w:val="39132921"/>
    <w:rsid w:val="395B1774"/>
    <w:rsid w:val="397F5D59"/>
    <w:rsid w:val="39902A2F"/>
    <w:rsid w:val="399D6053"/>
    <w:rsid w:val="39E43FC9"/>
    <w:rsid w:val="39F514E5"/>
    <w:rsid w:val="3A00075E"/>
    <w:rsid w:val="3A465C90"/>
    <w:rsid w:val="3A481750"/>
    <w:rsid w:val="3A5310F1"/>
    <w:rsid w:val="3A541F38"/>
    <w:rsid w:val="3A71162F"/>
    <w:rsid w:val="3A73717B"/>
    <w:rsid w:val="3A8B5B5F"/>
    <w:rsid w:val="3A9B114E"/>
    <w:rsid w:val="3AA802A0"/>
    <w:rsid w:val="3AF564DD"/>
    <w:rsid w:val="3B257B9B"/>
    <w:rsid w:val="3B3221FA"/>
    <w:rsid w:val="3B480CA9"/>
    <w:rsid w:val="3B4F53A4"/>
    <w:rsid w:val="3B631442"/>
    <w:rsid w:val="3B7742C1"/>
    <w:rsid w:val="3BA0287D"/>
    <w:rsid w:val="3BA2240C"/>
    <w:rsid w:val="3BA54565"/>
    <w:rsid w:val="3BAC67E6"/>
    <w:rsid w:val="3BE255FC"/>
    <w:rsid w:val="3C004876"/>
    <w:rsid w:val="3C0E346C"/>
    <w:rsid w:val="3C222E3C"/>
    <w:rsid w:val="3C283C4B"/>
    <w:rsid w:val="3C2934AB"/>
    <w:rsid w:val="3C2A6618"/>
    <w:rsid w:val="3C5977C8"/>
    <w:rsid w:val="3C643B3A"/>
    <w:rsid w:val="3C8114BA"/>
    <w:rsid w:val="3C8575B7"/>
    <w:rsid w:val="3C90682C"/>
    <w:rsid w:val="3C9453C8"/>
    <w:rsid w:val="3CAB404B"/>
    <w:rsid w:val="3CBB1FEF"/>
    <w:rsid w:val="3CC95949"/>
    <w:rsid w:val="3CCF5DC2"/>
    <w:rsid w:val="3CD7443A"/>
    <w:rsid w:val="3CEB37A3"/>
    <w:rsid w:val="3CEB3AFD"/>
    <w:rsid w:val="3CEF20D0"/>
    <w:rsid w:val="3CEF31DF"/>
    <w:rsid w:val="3CFB590D"/>
    <w:rsid w:val="3D016AF1"/>
    <w:rsid w:val="3D063325"/>
    <w:rsid w:val="3D136199"/>
    <w:rsid w:val="3D241E15"/>
    <w:rsid w:val="3D29648C"/>
    <w:rsid w:val="3D356094"/>
    <w:rsid w:val="3D39245F"/>
    <w:rsid w:val="3D4B2D44"/>
    <w:rsid w:val="3D4B618F"/>
    <w:rsid w:val="3D64137B"/>
    <w:rsid w:val="3D96364A"/>
    <w:rsid w:val="3DB60B2A"/>
    <w:rsid w:val="3DBC48A4"/>
    <w:rsid w:val="3DC039AB"/>
    <w:rsid w:val="3DE9514C"/>
    <w:rsid w:val="3DF457DD"/>
    <w:rsid w:val="3DF66BC9"/>
    <w:rsid w:val="3E472B79"/>
    <w:rsid w:val="3E5961BD"/>
    <w:rsid w:val="3E70236D"/>
    <w:rsid w:val="3EB27FB6"/>
    <w:rsid w:val="3EC133EB"/>
    <w:rsid w:val="3F01694F"/>
    <w:rsid w:val="3F093ED5"/>
    <w:rsid w:val="3F104BA9"/>
    <w:rsid w:val="3F3E67DE"/>
    <w:rsid w:val="3F4015E6"/>
    <w:rsid w:val="3F4D214D"/>
    <w:rsid w:val="3F5864ED"/>
    <w:rsid w:val="3F5B7350"/>
    <w:rsid w:val="3F614616"/>
    <w:rsid w:val="3F6710F8"/>
    <w:rsid w:val="3F794BDA"/>
    <w:rsid w:val="3F8D5508"/>
    <w:rsid w:val="3FA26DE9"/>
    <w:rsid w:val="3FB81F44"/>
    <w:rsid w:val="3FC63CD4"/>
    <w:rsid w:val="3FCC6F2F"/>
    <w:rsid w:val="3FE7650D"/>
    <w:rsid w:val="3FF7772D"/>
    <w:rsid w:val="400F2F7B"/>
    <w:rsid w:val="40182805"/>
    <w:rsid w:val="40461F8C"/>
    <w:rsid w:val="404C1BD7"/>
    <w:rsid w:val="40511A57"/>
    <w:rsid w:val="40700FB6"/>
    <w:rsid w:val="40720FD1"/>
    <w:rsid w:val="40735672"/>
    <w:rsid w:val="407A2097"/>
    <w:rsid w:val="40815CDD"/>
    <w:rsid w:val="408936E4"/>
    <w:rsid w:val="40913C3C"/>
    <w:rsid w:val="4095178A"/>
    <w:rsid w:val="409C584F"/>
    <w:rsid w:val="409F5C40"/>
    <w:rsid w:val="40AC4152"/>
    <w:rsid w:val="40C634E1"/>
    <w:rsid w:val="40D61F22"/>
    <w:rsid w:val="40F103C0"/>
    <w:rsid w:val="40F979D9"/>
    <w:rsid w:val="40FB2F81"/>
    <w:rsid w:val="411E36E5"/>
    <w:rsid w:val="41320B1E"/>
    <w:rsid w:val="41373541"/>
    <w:rsid w:val="414A4394"/>
    <w:rsid w:val="41542DFE"/>
    <w:rsid w:val="415B7AA6"/>
    <w:rsid w:val="416870CD"/>
    <w:rsid w:val="416C65A2"/>
    <w:rsid w:val="41807B75"/>
    <w:rsid w:val="41935240"/>
    <w:rsid w:val="41A23730"/>
    <w:rsid w:val="41AE0D6A"/>
    <w:rsid w:val="41B0747A"/>
    <w:rsid w:val="41E74F2B"/>
    <w:rsid w:val="41EF66FF"/>
    <w:rsid w:val="41F9473F"/>
    <w:rsid w:val="41FF24DE"/>
    <w:rsid w:val="420D5038"/>
    <w:rsid w:val="42317190"/>
    <w:rsid w:val="423D458E"/>
    <w:rsid w:val="428D4A8E"/>
    <w:rsid w:val="42912480"/>
    <w:rsid w:val="42950715"/>
    <w:rsid w:val="42982E33"/>
    <w:rsid w:val="429B1740"/>
    <w:rsid w:val="42AE0DD6"/>
    <w:rsid w:val="42B45C8F"/>
    <w:rsid w:val="42C90F7D"/>
    <w:rsid w:val="42CA504A"/>
    <w:rsid w:val="42D60C2A"/>
    <w:rsid w:val="42D92AB7"/>
    <w:rsid w:val="42DA3C2E"/>
    <w:rsid w:val="42E62A6C"/>
    <w:rsid w:val="430309EE"/>
    <w:rsid w:val="430E25EC"/>
    <w:rsid w:val="431005F8"/>
    <w:rsid w:val="43356DD4"/>
    <w:rsid w:val="43417939"/>
    <w:rsid w:val="43511FA8"/>
    <w:rsid w:val="435769B9"/>
    <w:rsid w:val="43587BF2"/>
    <w:rsid w:val="436518FA"/>
    <w:rsid w:val="437B2418"/>
    <w:rsid w:val="438C3D91"/>
    <w:rsid w:val="43A3536E"/>
    <w:rsid w:val="43A47460"/>
    <w:rsid w:val="43A543ED"/>
    <w:rsid w:val="43A85901"/>
    <w:rsid w:val="43CC541B"/>
    <w:rsid w:val="43E753FE"/>
    <w:rsid w:val="4434164F"/>
    <w:rsid w:val="44623907"/>
    <w:rsid w:val="446B37B4"/>
    <w:rsid w:val="446E3E97"/>
    <w:rsid w:val="44750145"/>
    <w:rsid w:val="447D5AB9"/>
    <w:rsid w:val="448D23CA"/>
    <w:rsid w:val="44AC0C54"/>
    <w:rsid w:val="44C3499F"/>
    <w:rsid w:val="44CE28A9"/>
    <w:rsid w:val="44DF2284"/>
    <w:rsid w:val="44E97450"/>
    <w:rsid w:val="45262FD0"/>
    <w:rsid w:val="4545121C"/>
    <w:rsid w:val="45542956"/>
    <w:rsid w:val="455C6C80"/>
    <w:rsid w:val="455E5204"/>
    <w:rsid w:val="4581767F"/>
    <w:rsid w:val="458D53B7"/>
    <w:rsid w:val="45CC08D2"/>
    <w:rsid w:val="45CF2D94"/>
    <w:rsid w:val="4609762D"/>
    <w:rsid w:val="460C1C97"/>
    <w:rsid w:val="460D414D"/>
    <w:rsid w:val="463F6A8E"/>
    <w:rsid w:val="46532A43"/>
    <w:rsid w:val="46551423"/>
    <w:rsid w:val="46717846"/>
    <w:rsid w:val="46BD1960"/>
    <w:rsid w:val="46C569D1"/>
    <w:rsid w:val="46C61F20"/>
    <w:rsid w:val="46E20E06"/>
    <w:rsid w:val="46F60336"/>
    <w:rsid w:val="473208C1"/>
    <w:rsid w:val="475555E8"/>
    <w:rsid w:val="47674457"/>
    <w:rsid w:val="476D7881"/>
    <w:rsid w:val="47874EDA"/>
    <w:rsid w:val="47904385"/>
    <w:rsid w:val="47EE383D"/>
    <w:rsid w:val="47F0228D"/>
    <w:rsid w:val="47FC3241"/>
    <w:rsid w:val="480C3ADD"/>
    <w:rsid w:val="48310C7F"/>
    <w:rsid w:val="483C2469"/>
    <w:rsid w:val="48551A7E"/>
    <w:rsid w:val="488518FC"/>
    <w:rsid w:val="48951F8D"/>
    <w:rsid w:val="48987A1B"/>
    <w:rsid w:val="489D1DBD"/>
    <w:rsid w:val="48A55DDB"/>
    <w:rsid w:val="48B000C6"/>
    <w:rsid w:val="48D27CAB"/>
    <w:rsid w:val="48D64D10"/>
    <w:rsid w:val="4914512A"/>
    <w:rsid w:val="49311C53"/>
    <w:rsid w:val="49343614"/>
    <w:rsid w:val="49427D4E"/>
    <w:rsid w:val="49A46AE7"/>
    <w:rsid w:val="49B57147"/>
    <w:rsid w:val="49D22DF0"/>
    <w:rsid w:val="49D348FD"/>
    <w:rsid w:val="49D44216"/>
    <w:rsid w:val="49E77B47"/>
    <w:rsid w:val="49ED2C76"/>
    <w:rsid w:val="4A1A53BB"/>
    <w:rsid w:val="4A2545C2"/>
    <w:rsid w:val="4A2A4FCA"/>
    <w:rsid w:val="4A3723EE"/>
    <w:rsid w:val="4A4462B7"/>
    <w:rsid w:val="4A5446FD"/>
    <w:rsid w:val="4A5763A9"/>
    <w:rsid w:val="4A5946E1"/>
    <w:rsid w:val="4A6136B1"/>
    <w:rsid w:val="4AA20DD7"/>
    <w:rsid w:val="4AE87244"/>
    <w:rsid w:val="4AF815EB"/>
    <w:rsid w:val="4B0F217B"/>
    <w:rsid w:val="4B291B6B"/>
    <w:rsid w:val="4B355687"/>
    <w:rsid w:val="4B486480"/>
    <w:rsid w:val="4B70403B"/>
    <w:rsid w:val="4BA54DF8"/>
    <w:rsid w:val="4BA7020A"/>
    <w:rsid w:val="4BB20BDE"/>
    <w:rsid w:val="4BEE0CC6"/>
    <w:rsid w:val="4C037C92"/>
    <w:rsid w:val="4C2A016A"/>
    <w:rsid w:val="4C30496C"/>
    <w:rsid w:val="4C381E2C"/>
    <w:rsid w:val="4C4C4FD3"/>
    <w:rsid w:val="4C724216"/>
    <w:rsid w:val="4C8E75EA"/>
    <w:rsid w:val="4C9E7FDE"/>
    <w:rsid w:val="4CDE6814"/>
    <w:rsid w:val="4CE11D6D"/>
    <w:rsid w:val="4CEC7C00"/>
    <w:rsid w:val="4D0D27EF"/>
    <w:rsid w:val="4D1A2067"/>
    <w:rsid w:val="4D2F2A65"/>
    <w:rsid w:val="4D86405B"/>
    <w:rsid w:val="4D9A4157"/>
    <w:rsid w:val="4DA543A4"/>
    <w:rsid w:val="4DB5384E"/>
    <w:rsid w:val="4DCA6510"/>
    <w:rsid w:val="4DE45CF7"/>
    <w:rsid w:val="4DFA4680"/>
    <w:rsid w:val="4E0A4298"/>
    <w:rsid w:val="4E0B0CFE"/>
    <w:rsid w:val="4E144752"/>
    <w:rsid w:val="4E1F1428"/>
    <w:rsid w:val="4E3068B7"/>
    <w:rsid w:val="4E474BDA"/>
    <w:rsid w:val="4E4F68D2"/>
    <w:rsid w:val="4E6E017A"/>
    <w:rsid w:val="4E743A75"/>
    <w:rsid w:val="4E7F4BC1"/>
    <w:rsid w:val="4E802F50"/>
    <w:rsid w:val="4E977C19"/>
    <w:rsid w:val="4E997DC9"/>
    <w:rsid w:val="4EB06C77"/>
    <w:rsid w:val="4EED2319"/>
    <w:rsid w:val="4F28215E"/>
    <w:rsid w:val="4F2E569C"/>
    <w:rsid w:val="4F462D63"/>
    <w:rsid w:val="4F467382"/>
    <w:rsid w:val="4F486815"/>
    <w:rsid w:val="4F4A150D"/>
    <w:rsid w:val="4F4E4E0F"/>
    <w:rsid w:val="4F5457B5"/>
    <w:rsid w:val="4F5C4B0E"/>
    <w:rsid w:val="4F5F526E"/>
    <w:rsid w:val="4F6B7365"/>
    <w:rsid w:val="4F8052C6"/>
    <w:rsid w:val="4F9C72C6"/>
    <w:rsid w:val="4FA02972"/>
    <w:rsid w:val="4FA1119E"/>
    <w:rsid w:val="4FA3016A"/>
    <w:rsid w:val="4FB9010D"/>
    <w:rsid w:val="4FC359BF"/>
    <w:rsid w:val="4FEA15B4"/>
    <w:rsid w:val="4FEE0F22"/>
    <w:rsid w:val="4FF87EE5"/>
    <w:rsid w:val="500D2141"/>
    <w:rsid w:val="50112799"/>
    <w:rsid w:val="50197537"/>
    <w:rsid w:val="504640EC"/>
    <w:rsid w:val="506D1D19"/>
    <w:rsid w:val="508B5AEF"/>
    <w:rsid w:val="50957FE5"/>
    <w:rsid w:val="509D202A"/>
    <w:rsid w:val="50A927A6"/>
    <w:rsid w:val="50B37367"/>
    <w:rsid w:val="50BD2420"/>
    <w:rsid w:val="50FA6D54"/>
    <w:rsid w:val="51051B94"/>
    <w:rsid w:val="51051E45"/>
    <w:rsid w:val="5106300C"/>
    <w:rsid w:val="5115266A"/>
    <w:rsid w:val="511A342E"/>
    <w:rsid w:val="512B61FE"/>
    <w:rsid w:val="512E3B58"/>
    <w:rsid w:val="513528CD"/>
    <w:rsid w:val="51407E17"/>
    <w:rsid w:val="51567C36"/>
    <w:rsid w:val="516434CD"/>
    <w:rsid w:val="517E07B4"/>
    <w:rsid w:val="51A57362"/>
    <w:rsid w:val="51BC2B5C"/>
    <w:rsid w:val="51C54B87"/>
    <w:rsid w:val="51E821DF"/>
    <w:rsid w:val="51EC7E22"/>
    <w:rsid w:val="51F1048B"/>
    <w:rsid w:val="51F63CAC"/>
    <w:rsid w:val="521452BC"/>
    <w:rsid w:val="5219178B"/>
    <w:rsid w:val="52276364"/>
    <w:rsid w:val="522B0840"/>
    <w:rsid w:val="522C3C23"/>
    <w:rsid w:val="522E5DD7"/>
    <w:rsid w:val="525532FB"/>
    <w:rsid w:val="52596F10"/>
    <w:rsid w:val="52620D04"/>
    <w:rsid w:val="52891D7D"/>
    <w:rsid w:val="528A27D6"/>
    <w:rsid w:val="52937332"/>
    <w:rsid w:val="529B2564"/>
    <w:rsid w:val="52A25DAE"/>
    <w:rsid w:val="52BE3731"/>
    <w:rsid w:val="52BE76C7"/>
    <w:rsid w:val="52CD4BA0"/>
    <w:rsid w:val="52CE23E4"/>
    <w:rsid w:val="52E048C6"/>
    <w:rsid w:val="52F41A04"/>
    <w:rsid w:val="530027DC"/>
    <w:rsid w:val="530053D4"/>
    <w:rsid w:val="53010D9F"/>
    <w:rsid w:val="530826AD"/>
    <w:rsid w:val="53197843"/>
    <w:rsid w:val="53310CC0"/>
    <w:rsid w:val="533B4243"/>
    <w:rsid w:val="533F3E41"/>
    <w:rsid w:val="534435DC"/>
    <w:rsid w:val="535467DF"/>
    <w:rsid w:val="535D1AF2"/>
    <w:rsid w:val="53603246"/>
    <w:rsid w:val="536C5883"/>
    <w:rsid w:val="53802EED"/>
    <w:rsid w:val="53A26061"/>
    <w:rsid w:val="53CD051A"/>
    <w:rsid w:val="53D56D79"/>
    <w:rsid w:val="53DA5561"/>
    <w:rsid w:val="541A29F6"/>
    <w:rsid w:val="541B1591"/>
    <w:rsid w:val="54261CCC"/>
    <w:rsid w:val="54343169"/>
    <w:rsid w:val="54436BB9"/>
    <w:rsid w:val="544B34C4"/>
    <w:rsid w:val="544D3718"/>
    <w:rsid w:val="54517731"/>
    <w:rsid w:val="54706AAB"/>
    <w:rsid w:val="54786B8E"/>
    <w:rsid w:val="54821D40"/>
    <w:rsid w:val="548A57B8"/>
    <w:rsid w:val="548D1C4B"/>
    <w:rsid w:val="549B1AA7"/>
    <w:rsid w:val="54A03174"/>
    <w:rsid w:val="55127322"/>
    <w:rsid w:val="551A34CF"/>
    <w:rsid w:val="552E5484"/>
    <w:rsid w:val="553221F2"/>
    <w:rsid w:val="55357771"/>
    <w:rsid w:val="556E061E"/>
    <w:rsid w:val="557902A2"/>
    <w:rsid w:val="558E275A"/>
    <w:rsid w:val="559C4DB6"/>
    <w:rsid w:val="55B24D2E"/>
    <w:rsid w:val="55B85B23"/>
    <w:rsid w:val="55C3596C"/>
    <w:rsid w:val="55E07FFF"/>
    <w:rsid w:val="55E65F32"/>
    <w:rsid w:val="561C48A4"/>
    <w:rsid w:val="562A7993"/>
    <w:rsid w:val="56326065"/>
    <w:rsid w:val="564124C7"/>
    <w:rsid w:val="56660C90"/>
    <w:rsid w:val="566B3280"/>
    <w:rsid w:val="56766146"/>
    <w:rsid w:val="56766FCF"/>
    <w:rsid w:val="567928BB"/>
    <w:rsid w:val="568F165D"/>
    <w:rsid w:val="56A62C1B"/>
    <w:rsid w:val="56AF637A"/>
    <w:rsid w:val="56C02F77"/>
    <w:rsid w:val="56D03323"/>
    <w:rsid w:val="56D06433"/>
    <w:rsid w:val="56DF56C0"/>
    <w:rsid w:val="570B3727"/>
    <w:rsid w:val="571A5E07"/>
    <w:rsid w:val="57390153"/>
    <w:rsid w:val="573B62D1"/>
    <w:rsid w:val="576B72E3"/>
    <w:rsid w:val="576D7568"/>
    <w:rsid w:val="577B17C6"/>
    <w:rsid w:val="578E679D"/>
    <w:rsid w:val="57A03870"/>
    <w:rsid w:val="57A70B53"/>
    <w:rsid w:val="57B24BC2"/>
    <w:rsid w:val="580F3427"/>
    <w:rsid w:val="58192D10"/>
    <w:rsid w:val="58251660"/>
    <w:rsid w:val="58366CB9"/>
    <w:rsid w:val="584115C9"/>
    <w:rsid w:val="58634298"/>
    <w:rsid w:val="58972E14"/>
    <w:rsid w:val="58986A3B"/>
    <w:rsid w:val="58AA5BEE"/>
    <w:rsid w:val="58DE7CA3"/>
    <w:rsid w:val="590E5A85"/>
    <w:rsid w:val="591C2700"/>
    <w:rsid w:val="593C1A8B"/>
    <w:rsid w:val="593E5CBB"/>
    <w:rsid w:val="594B4178"/>
    <w:rsid w:val="595E5114"/>
    <w:rsid w:val="59622994"/>
    <w:rsid w:val="597A5A8E"/>
    <w:rsid w:val="597C5D76"/>
    <w:rsid w:val="598D089F"/>
    <w:rsid w:val="59B25D84"/>
    <w:rsid w:val="59BE78A4"/>
    <w:rsid w:val="59C46142"/>
    <w:rsid w:val="59F103D6"/>
    <w:rsid w:val="59F74B1A"/>
    <w:rsid w:val="59FC3C41"/>
    <w:rsid w:val="5A4C5F36"/>
    <w:rsid w:val="5A6F42A9"/>
    <w:rsid w:val="5A7D24F1"/>
    <w:rsid w:val="5AA14BDF"/>
    <w:rsid w:val="5AD924F3"/>
    <w:rsid w:val="5B2E7390"/>
    <w:rsid w:val="5B392395"/>
    <w:rsid w:val="5B5D5CF1"/>
    <w:rsid w:val="5B623BED"/>
    <w:rsid w:val="5B7719E4"/>
    <w:rsid w:val="5BB14936"/>
    <w:rsid w:val="5BBA766E"/>
    <w:rsid w:val="5BBD23B2"/>
    <w:rsid w:val="5BC47D53"/>
    <w:rsid w:val="5BD35432"/>
    <w:rsid w:val="5BD5153C"/>
    <w:rsid w:val="5BEF1F58"/>
    <w:rsid w:val="5C005132"/>
    <w:rsid w:val="5C0E341F"/>
    <w:rsid w:val="5C100259"/>
    <w:rsid w:val="5C317B81"/>
    <w:rsid w:val="5C5F0A00"/>
    <w:rsid w:val="5C66677A"/>
    <w:rsid w:val="5C7E0F77"/>
    <w:rsid w:val="5C8760A5"/>
    <w:rsid w:val="5C8F64F4"/>
    <w:rsid w:val="5C992DE7"/>
    <w:rsid w:val="5C9A1C90"/>
    <w:rsid w:val="5C9C16B7"/>
    <w:rsid w:val="5CA33512"/>
    <w:rsid w:val="5CAF2148"/>
    <w:rsid w:val="5CC52979"/>
    <w:rsid w:val="5CFA50A5"/>
    <w:rsid w:val="5CFC501F"/>
    <w:rsid w:val="5D000B6C"/>
    <w:rsid w:val="5D113DC0"/>
    <w:rsid w:val="5D1907BF"/>
    <w:rsid w:val="5D433711"/>
    <w:rsid w:val="5D697778"/>
    <w:rsid w:val="5D6D09A6"/>
    <w:rsid w:val="5D924ED8"/>
    <w:rsid w:val="5DD136AD"/>
    <w:rsid w:val="5DDE7734"/>
    <w:rsid w:val="5DED6DA2"/>
    <w:rsid w:val="5E0328FE"/>
    <w:rsid w:val="5E3C20DD"/>
    <w:rsid w:val="5E4777A7"/>
    <w:rsid w:val="5E9F4796"/>
    <w:rsid w:val="5EA3413A"/>
    <w:rsid w:val="5EC04BBF"/>
    <w:rsid w:val="5ED70C02"/>
    <w:rsid w:val="5EE63222"/>
    <w:rsid w:val="5EF16F67"/>
    <w:rsid w:val="5F097D76"/>
    <w:rsid w:val="5F0B223D"/>
    <w:rsid w:val="5F0E76A2"/>
    <w:rsid w:val="5F1B68CF"/>
    <w:rsid w:val="5F2732AB"/>
    <w:rsid w:val="5F411320"/>
    <w:rsid w:val="5F5164F6"/>
    <w:rsid w:val="5F5E03D3"/>
    <w:rsid w:val="5F882B17"/>
    <w:rsid w:val="5F945738"/>
    <w:rsid w:val="5FA92714"/>
    <w:rsid w:val="5FB24DBD"/>
    <w:rsid w:val="5FC25769"/>
    <w:rsid w:val="5FC60E5B"/>
    <w:rsid w:val="5FD876A0"/>
    <w:rsid w:val="60192741"/>
    <w:rsid w:val="602333A3"/>
    <w:rsid w:val="603A3F37"/>
    <w:rsid w:val="6066270A"/>
    <w:rsid w:val="60721954"/>
    <w:rsid w:val="607E06E9"/>
    <w:rsid w:val="607F659B"/>
    <w:rsid w:val="60941378"/>
    <w:rsid w:val="60A1703F"/>
    <w:rsid w:val="60B22511"/>
    <w:rsid w:val="60BA5434"/>
    <w:rsid w:val="60F17CF0"/>
    <w:rsid w:val="60F7500C"/>
    <w:rsid w:val="611E1642"/>
    <w:rsid w:val="61262D3F"/>
    <w:rsid w:val="61475B5A"/>
    <w:rsid w:val="61706603"/>
    <w:rsid w:val="618C4BFD"/>
    <w:rsid w:val="61952A3A"/>
    <w:rsid w:val="61A943C0"/>
    <w:rsid w:val="61E97D02"/>
    <w:rsid w:val="623339DC"/>
    <w:rsid w:val="623817DB"/>
    <w:rsid w:val="62461CFD"/>
    <w:rsid w:val="62566A93"/>
    <w:rsid w:val="62577534"/>
    <w:rsid w:val="62841929"/>
    <w:rsid w:val="62932CD0"/>
    <w:rsid w:val="629C5BD3"/>
    <w:rsid w:val="62B75849"/>
    <w:rsid w:val="62C92BCF"/>
    <w:rsid w:val="62D61DB9"/>
    <w:rsid w:val="63092AE4"/>
    <w:rsid w:val="632C398D"/>
    <w:rsid w:val="6352186B"/>
    <w:rsid w:val="63905816"/>
    <w:rsid w:val="63954990"/>
    <w:rsid w:val="63A76BC5"/>
    <w:rsid w:val="63CA50B9"/>
    <w:rsid w:val="63DB6FCD"/>
    <w:rsid w:val="63DF6CE8"/>
    <w:rsid w:val="63ED684D"/>
    <w:rsid w:val="63FA0D26"/>
    <w:rsid w:val="6402510F"/>
    <w:rsid w:val="642C44FB"/>
    <w:rsid w:val="64422FCB"/>
    <w:rsid w:val="644860CB"/>
    <w:rsid w:val="6452383F"/>
    <w:rsid w:val="64535974"/>
    <w:rsid w:val="64545C52"/>
    <w:rsid w:val="64632313"/>
    <w:rsid w:val="64670D6D"/>
    <w:rsid w:val="647C46C2"/>
    <w:rsid w:val="64857F36"/>
    <w:rsid w:val="648E7641"/>
    <w:rsid w:val="64AB02A5"/>
    <w:rsid w:val="64C64DA6"/>
    <w:rsid w:val="64C739BA"/>
    <w:rsid w:val="64D75479"/>
    <w:rsid w:val="64F7596D"/>
    <w:rsid w:val="64FC0DB4"/>
    <w:rsid w:val="65031BAA"/>
    <w:rsid w:val="6534768F"/>
    <w:rsid w:val="655128F0"/>
    <w:rsid w:val="65550D9A"/>
    <w:rsid w:val="657B7491"/>
    <w:rsid w:val="659428F6"/>
    <w:rsid w:val="659C76CD"/>
    <w:rsid w:val="65AA36D6"/>
    <w:rsid w:val="65AB0986"/>
    <w:rsid w:val="65B037D1"/>
    <w:rsid w:val="65CE6852"/>
    <w:rsid w:val="65F83AB7"/>
    <w:rsid w:val="66005C0D"/>
    <w:rsid w:val="661830A2"/>
    <w:rsid w:val="662B0411"/>
    <w:rsid w:val="6631631B"/>
    <w:rsid w:val="6642389B"/>
    <w:rsid w:val="669C5F00"/>
    <w:rsid w:val="66BC5832"/>
    <w:rsid w:val="66C31E4C"/>
    <w:rsid w:val="66C46F96"/>
    <w:rsid w:val="66D23208"/>
    <w:rsid w:val="66DB779B"/>
    <w:rsid w:val="66E05AF2"/>
    <w:rsid w:val="66E07BC1"/>
    <w:rsid w:val="66F73586"/>
    <w:rsid w:val="66FC6E93"/>
    <w:rsid w:val="66FD506A"/>
    <w:rsid w:val="67125EBC"/>
    <w:rsid w:val="67175545"/>
    <w:rsid w:val="67223626"/>
    <w:rsid w:val="67231406"/>
    <w:rsid w:val="673476C3"/>
    <w:rsid w:val="673E5D44"/>
    <w:rsid w:val="674A2A6B"/>
    <w:rsid w:val="67682857"/>
    <w:rsid w:val="678B0590"/>
    <w:rsid w:val="67981EF9"/>
    <w:rsid w:val="67992520"/>
    <w:rsid w:val="67B90432"/>
    <w:rsid w:val="67CB43B5"/>
    <w:rsid w:val="67FC1062"/>
    <w:rsid w:val="68032ACF"/>
    <w:rsid w:val="681017FB"/>
    <w:rsid w:val="6843366B"/>
    <w:rsid w:val="685A62FA"/>
    <w:rsid w:val="68762E83"/>
    <w:rsid w:val="6887341D"/>
    <w:rsid w:val="689160AE"/>
    <w:rsid w:val="68941088"/>
    <w:rsid w:val="68A45E98"/>
    <w:rsid w:val="68AB6EFE"/>
    <w:rsid w:val="68AE0B7F"/>
    <w:rsid w:val="68C03A07"/>
    <w:rsid w:val="68C36849"/>
    <w:rsid w:val="68D2387E"/>
    <w:rsid w:val="68DF7B42"/>
    <w:rsid w:val="68E774D9"/>
    <w:rsid w:val="68F1020F"/>
    <w:rsid w:val="691B7248"/>
    <w:rsid w:val="691D6F6C"/>
    <w:rsid w:val="69570405"/>
    <w:rsid w:val="695E5797"/>
    <w:rsid w:val="69604DCF"/>
    <w:rsid w:val="6965176C"/>
    <w:rsid w:val="696B3F0B"/>
    <w:rsid w:val="696F1087"/>
    <w:rsid w:val="69800F27"/>
    <w:rsid w:val="69856A96"/>
    <w:rsid w:val="69912E82"/>
    <w:rsid w:val="699F296D"/>
    <w:rsid w:val="69A60599"/>
    <w:rsid w:val="69B828E7"/>
    <w:rsid w:val="69CE0C9C"/>
    <w:rsid w:val="69E81611"/>
    <w:rsid w:val="69F751AC"/>
    <w:rsid w:val="6A0448C1"/>
    <w:rsid w:val="6A0D33D5"/>
    <w:rsid w:val="6A126E79"/>
    <w:rsid w:val="6A43430A"/>
    <w:rsid w:val="6A471F1B"/>
    <w:rsid w:val="6A69630C"/>
    <w:rsid w:val="6A6F326D"/>
    <w:rsid w:val="6A6F55E5"/>
    <w:rsid w:val="6A720320"/>
    <w:rsid w:val="6A924A5E"/>
    <w:rsid w:val="6AA11AA9"/>
    <w:rsid w:val="6AE240BF"/>
    <w:rsid w:val="6AE60E07"/>
    <w:rsid w:val="6B4F0592"/>
    <w:rsid w:val="6B770D6E"/>
    <w:rsid w:val="6B771B4A"/>
    <w:rsid w:val="6B895973"/>
    <w:rsid w:val="6B8D1BD8"/>
    <w:rsid w:val="6B905852"/>
    <w:rsid w:val="6BC44ACB"/>
    <w:rsid w:val="6BD02E84"/>
    <w:rsid w:val="6BF462A1"/>
    <w:rsid w:val="6BFA419C"/>
    <w:rsid w:val="6C1556B1"/>
    <w:rsid w:val="6C232997"/>
    <w:rsid w:val="6C25069C"/>
    <w:rsid w:val="6C307396"/>
    <w:rsid w:val="6C356864"/>
    <w:rsid w:val="6C394D7E"/>
    <w:rsid w:val="6C475E81"/>
    <w:rsid w:val="6C581A5D"/>
    <w:rsid w:val="6C822434"/>
    <w:rsid w:val="6C9C3992"/>
    <w:rsid w:val="6CA800A0"/>
    <w:rsid w:val="6CB42B65"/>
    <w:rsid w:val="6CB87E84"/>
    <w:rsid w:val="6CC67798"/>
    <w:rsid w:val="6D0109EF"/>
    <w:rsid w:val="6D50469D"/>
    <w:rsid w:val="6D782BA5"/>
    <w:rsid w:val="6D7E1D38"/>
    <w:rsid w:val="6D922E19"/>
    <w:rsid w:val="6D9F7A01"/>
    <w:rsid w:val="6DB553BB"/>
    <w:rsid w:val="6DD276B2"/>
    <w:rsid w:val="6E041685"/>
    <w:rsid w:val="6E3867EC"/>
    <w:rsid w:val="6E431489"/>
    <w:rsid w:val="6E58332B"/>
    <w:rsid w:val="6E6C5A88"/>
    <w:rsid w:val="6E812B07"/>
    <w:rsid w:val="6E890BB5"/>
    <w:rsid w:val="6E9D0701"/>
    <w:rsid w:val="6EC45DD7"/>
    <w:rsid w:val="6ED86967"/>
    <w:rsid w:val="6EDB6E14"/>
    <w:rsid w:val="6EE820F7"/>
    <w:rsid w:val="6EF0316E"/>
    <w:rsid w:val="6F1C75BB"/>
    <w:rsid w:val="6F1D44F2"/>
    <w:rsid w:val="6F25390A"/>
    <w:rsid w:val="6F2D448D"/>
    <w:rsid w:val="6F5635F6"/>
    <w:rsid w:val="6F6F2DB4"/>
    <w:rsid w:val="6FE94A8A"/>
    <w:rsid w:val="6FF47A5E"/>
    <w:rsid w:val="701826F6"/>
    <w:rsid w:val="702A612A"/>
    <w:rsid w:val="70362DB0"/>
    <w:rsid w:val="704B3171"/>
    <w:rsid w:val="705A68A1"/>
    <w:rsid w:val="708567B2"/>
    <w:rsid w:val="70873353"/>
    <w:rsid w:val="70A97CA9"/>
    <w:rsid w:val="70C107AC"/>
    <w:rsid w:val="70C57008"/>
    <w:rsid w:val="70D02A22"/>
    <w:rsid w:val="70FB7F3D"/>
    <w:rsid w:val="70FC3CA2"/>
    <w:rsid w:val="71245080"/>
    <w:rsid w:val="7125365C"/>
    <w:rsid w:val="715E09D7"/>
    <w:rsid w:val="71661025"/>
    <w:rsid w:val="71976E9A"/>
    <w:rsid w:val="71996DA8"/>
    <w:rsid w:val="71A61D97"/>
    <w:rsid w:val="71B879D6"/>
    <w:rsid w:val="71C418A6"/>
    <w:rsid w:val="71C82D89"/>
    <w:rsid w:val="71F14465"/>
    <w:rsid w:val="71FF045E"/>
    <w:rsid w:val="721F6D96"/>
    <w:rsid w:val="72222DCE"/>
    <w:rsid w:val="723701FD"/>
    <w:rsid w:val="72372758"/>
    <w:rsid w:val="725F372B"/>
    <w:rsid w:val="727C74E1"/>
    <w:rsid w:val="728C580F"/>
    <w:rsid w:val="72BC4B07"/>
    <w:rsid w:val="72F675E3"/>
    <w:rsid w:val="72FB619E"/>
    <w:rsid w:val="730E4014"/>
    <w:rsid w:val="731214C3"/>
    <w:rsid w:val="73130917"/>
    <w:rsid w:val="731D40CB"/>
    <w:rsid w:val="73276C1C"/>
    <w:rsid w:val="734B43BD"/>
    <w:rsid w:val="738A764A"/>
    <w:rsid w:val="739936A9"/>
    <w:rsid w:val="73A91DBF"/>
    <w:rsid w:val="73C2164C"/>
    <w:rsid w:val="73D400D4"/>
    <w:rsid w:val="73E23616"/>
    <w:rsid w:val="73ED3197"/>
    <w:rsid w:val="7449065F"/>
    <w:rsid w:val="74561FBD"/>
    <w:rsid w:val="74567CE5"/>
    <w:rsid w:val="74823CE5"/>
    <w:rsid w:val="749416D5"/>
    <w:rsid w:val="7499086A"/>
    <w:rsid w:val="74A90524"/>
    <w:rsid w:val="74D87C72"/>
    <w:rsid w:val="74EE415A"/>
    <w:rsid w:val="75011AFF"/>
    <w:rsid w:val="751A60DC"/>
    <w:rsid w:val="75247BC9"/>
    <w:rsid w:val="754976EA"/>
    <w:rsid w:val="756071E6"/>
    <w:rsid w:val="75731F29"/>
    <w:rsid w:val="75A22A23"/>
    <w:rsid w:val="75B64025"/>
    <w:rsid w:val="75D30B6D"/>
    <w:rsid w:val="75D42895"/>
    <w:rsid w:val="75F13EBE"/>
    <w:rsid w:val="75F378FE"/>
    <w:rsid w:val="760B4156"/>
    <w:rsid w:val="760C3F67"/>
    <w:rsid w:val="76495F34"/>
    <w:rsid w:val="764E000A"/>
    <w:rsid w:val="76572497"/>
    <w:rsid w:val="76611FF7"/>
    <w:rsid w:val="7699016E"/>
    <w:rsid w:val="76A45A9B"/>
    <w:rsid w:val="76A46F33"/>
    <w:rsid w:val="76AE26EC"/>
    <w:rsid w:val="76AF74A6"/>
    <w:rsid w:val="76CB7BAB"/>
    <w:rsid w:val="76D20D84"/>
    <w:rsid w:val="76D21B7F"/>
    <w:rsid w:val="76D47E96"/>
    <w:rsid w:val="76D876AC"/>
    <w:rsid w:val="76E35838"/>
    <w:rsid w:val="76EA0104"/>
    <w:rsid w:val="770C394C"/>
    <w:rsid w:val="770C7C20"/>
    <w:rsid w:val="77114435"/>
    <w:rsid w:val="77317F28"/>
    <w:rsid w:val="7735585D"/>
    <w:rsid w:val="77445426"/>
    <w:rsid w:val="77533532"/>
    <w:rsid w:val="775368DA"/>
    <w:rsid w:val="77625DD3"/>
    <w:rsid w:val="776C4560"/>
    <w:rsid w:val="77937975"/>
    <w:rsid w:val="77967E56"/>
    <w:rsid w:val="77A63B76"/>
    <w:rsid w:val="77AE2767"/>
    <w:rsid w:val="77B844C5"/>
    <w:rsid w:val="77C30821"/>
    <w:rsid w:val="77CA6324"/>
    <w:rsid w:val="77D038F6"/>
    <w:rsid w:val="77E36F33"/>
    <w:rsid w:val="77EE251F"/>
    <w:rsid w:val="77EF6B34"/>
    <w:rsid w:val="77FA0749"/>
    <w:rsid w:val="77FC2ED8"/>
    <w:rsid w:val="77FE5C86"/>
    <w:rsid w:val="780B2DE8"/>
    <w:rsid w:val="78155F2B"/>
    <w:rsid w:val="781E455E"/>
    <w:rsid w:val="78234F13"/>
    <w:rsid w:val="78281BE8"/>
    <w:rsid w:val="783A3050"/>
    <w:rsid w:val="78AA76F5"/>
    <w:rsid w:val="78B47135"/>
    <w:rsid w:val="78F71D03"/>
    <w:rsid w:val="78FA39A3"/>
    <w:rsid w:val="79127581"/>
    <w:rsid w:val="79470C6D"/>
    <w:rsid w:val="79605D4F"/>
    <w:rsid w:val="796312A1"/>
    <w:rsid w:val="79633084"/>
    <w:rsid w:val="79790B93"/>
    <w:rsid w:val="79813A71"/>
    <w:rsid w:val="798A6A3B"/>
    <w:rsid w:val="799B7D11"/>
    <w:rsid w:val="799D60F4"/>
    <w:rsid w:val="79A01D4F"/>
    <w:rsid w:val="79AA7F5E"/>
    <w:rsid w:val="79B03A25"/>
    <w:rsid w:val="79BD6C5F"/>
    <w:rsid w:val="79BF2239"/>
    <w:rsid w:val="79BF7D54"/>
    <w:rsid w:val="79C436C4"/>
    <w:rsid w:val="79C8592D"/>
    <w:rsid w:val="79DD4337"/>
    <w:rsid w:val="79DE2ABA"/>
    <w:rsid w:val="79E46E1A"/>
    <w:rsid w:val="79F13839"/>
    <w:rsid w:val="7A0332BA"/>
    <w:rsid w:val="7A286FF9"/>
    <w:rsid w:val="7A43587A"/>
    <w:rsid w:val="7A463D88"/>
    <w:rsid w:val="7A5C0772"/>
    <w:rsid w:val="7A913F68"/>
    <w:rsid w:val="7A95561A"/>
    <w:rsid w:val="7ADB77A4"/>
    <w:rsid w:val="7AF738D6"/>
    <w:rsid w:val="7B09618D"/>
    <w:rsid w:val="7B0F738C"/>
    <w:rsid w:val="7B133FF6"/>
    <w:rsid w:val="7B202177"/>
    <w:rsid w:val="7B2B5EEF"/>
    <w:rsid w:val="7B3B0B1D"/>
    <w:rsid w:val="7B3F05C7"/>
    <w:rsid w:val="7B6425E5"/>
    <w:rsid w:val="7B684D8D"/>
    <w:rsid w:val="7B797579"/>
    <w:rsid w:val="7B9B2286"/>
    <w:rsid w:val="7B9B28DB"/>
    <w:rsid w:val="7BAE64F5"/>
    <w:rsid w:val="7BB34E9E"/>
    <w:rsid w:val="7BCD259C"/>
    <w:rsid w:val="7BF75930"/>
    <w:rsid w:val="7BFE17C3"/>
    <w:rsid w:val="7BFE7660"/>
    <w:rsid w:val="7C16752F"/>
    <w:rsid w:val="7C1A3A4A"/>
    <w:rsid w:val="7C1A5F0B"/>
    <w:rsid w:val="7C481520"/>
    <w:rsid w:val="7C4C02BB"/>
    <w:rsid w:val="7C6F2EF0"/>
    <w:rsid w:val="7CBD541F"/>
    <w:rsid w:val="7CC05545"/>
    <w:rsid w:val="7CC3033B"/>
    <w:rsid w:val="7CC75C29"/>
    <w:rsid w:val="7CD106E2"/>
    <w:rsid w:val="7CEF415F"/>
    <w:rsid w:val="7D044271"/>
    <w:rsid w:val="7D29270F"/>
    <w:rsid w:val="7D32481A"/>
    <w:rsid w:val="7D411482"/>
    <w:rsid w:val="7D672893"/>
    <w:rsid w:val="7D6B7056"/>
    <w:rsid w:val="7D8730B7"/>
    <w:rsid w:val="7D8F0692"/>
    <w:rsid w:val="7DD21F2E"/>
    <w:rsid w:val="7DD9395A"/>
    <w:rsid w:val="7DF67451"/>
    <w:rsid w:val="7DFE58C9"/>
    <w:rsid w:val="7E16212F"/>
    <w:rsid w:val="7E1D696C"/>
    <w:rsid w:val="7E2538B7"/>
    <w:rsid w:val="7E51425E"/>
    <w:rsid w:val="7E734325"/>
    <w:rsid w:val="7E821409"/>
    <w:rsid w:val="7EAE1339"/>
    <w:rsid w:val="7EB324D0"/>
    <w:rsid w:val="7EB57CB9"/>
    <w:rsid w:val="7ECB2F81"/>
    <w:rsid w:val="7ECD3464"/>
    <w:rsid w:val="7EDF39D5"/>
    <w:rsid w:val="7F0053FF"/>
    <w:rsid w:val="7F0B1088"/>
    <w:rsid w:val="7F130A26"/>
    <w:rsid w:val="7F144A10"/>
    <w:rsid w:val="7F171FF2"/>
    <w:rsid w:val="7F275D6B"/>
    <w:rsid w:val="7F291359"/>
    <w:rsid w:val="7F2977E0"/>
    <w:rsid w:val="7F4A65A3"/>
    <w:rsid w:val="7F592A05"/>
    <w:rsid w:val="7F70785E"/>
    <w:rsid w:val="7F7C3D56"/>
    <w:rsid w:val="7FA344A9"/>
    <w:rsid w:val="7FB31B5F"/>
    <w:rsid w:val="7FC33F2A"/>
    <w:rsid w:val="7FDD0A3A"/>
    <w:rsid w:val="7FEE01AB"/>
    <w:rsid w:val="7FF3666A"/>
    <w:rsid w:val="7FFB007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iPriority="0" w:name="index 2"/>
    <w:lsdException w:uiPriority="0" w:name="index 3"/>
    <w:lsdException w:qFormat="1" w:unhideWhenUsed="0" w:uiPriority="0" w:semiHidden="0" w:name="index 4"/>
    <w:lsdException w:uiPriority="0" w:name="index 5"/>
    <w:lsdException w:uiPriority="0" w:name="index 6"/>
    <w:lsdException w:uiPriority="0" w:name="index 7"/>
    <w:lsdException w:uiPriority="0" w:name="index 8"/>
    <w:lsdException w:uiPriority="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iPriority="0" w:name="index heading"/>
    <w:lsdException w:qFormat="1" w:unhideWhenUsed="0" w:uiPriority="0" w:semiHidden="0" w:name="caption"/>
    <w:lsdException w:qFormat="1" w:unhideWhenUsed="0" w:uiPriority="0" w:semiHidden="0" w:name="table of figures"/>
    <w:lsdException w:uiPriority="0" w:name="envelope address"/>
    <w:lsdException w:uiPriority="0" w:name="envelope return"/>
    <w:lsdException w:uiPriority="0" w:name="footnote reference"/>
    <w:lsdException w:qFormat="1" w:unhideWhenUsed="0" w:uiPriority="0" w:semiHidden="0" w:name="annotation reference"/>
    <w:lsdException w:uiPriority="0" w:name="line number"/>
    <w:lsdException w:qFormat="1" w:unhideWhenUsed="0" w:uiPriority="0" w:semiHidden="0" w:name="page number"/>
    <w:lsdException w:uiPriority="0" w:name="endnote reference"/>
    <w:lsdException w:qFormat="1" w:unhideWhenUsed="0" w:uiPriority="0" w:semiHidden="0" w:name="endnote text"/>
    <w:lsdException w:uiPriority="0" w:name="table of authorities"/>
    <w:lsdException w:uiPriority="0" w:name="macro"/>
    <w:lsdException w:uiPriority="0" w:name="toa heading"/>
    <w:lsdException w:qFormat="1" w:unhideWhenUsed="0" w:uiPriority="0" w:semiHidden="0" w:name="List"/>
    <w:lsdException w:uiPriority="0" w:name="List Bullet"/>
    <w:lsdException w:qFormat="1" w:unhideWhenUsed="0" w:uiPriority="0" w:semiHidden="0" w:name="List Number"/>
    <w:lsdException w:qFormat="1" w:unhideWhenUsed="0" w:uiPriority="0" w:semiHidden="0" w:name="List 2"/>
    <w:lsdException w:qFormat="1" w:unhideWhenUsed="0" w:uiPriority="0" w:semiHidden="0" w:name="List 3"/>
    <w:lsdException w:qFormat="1" w:unhideWhenUsed="0" w:uiPriority="0" w:semiHidden="0" w:name="List 4"/>
    <w:lsdException w:qFormat="1" w:unhideWhenUsed="0" w:uiPriority="0" w:semiHidden="0" w:name="List 5"/>
    <w:lsdException w:uiPriority="0" w:name="List Bullet 2"/>
    <w:lsdException w:uiPriority="0" w:name="List Bullet 3"/>
    <w:lsdException w:uiPriority="0" w:name="List Bullet 4"/>
    <w:lsdException w:uiPriority="0" w:name="List Bullet 5"/>
    <w:lsdException w:uiPriority="0" w:name="List Number 2"/>
    <w:lsdException w:qFormat="1" w:unhideWhenUsed="0" w:uiPriority="0" w:semiHidden="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qFormat="1" w:unhideWhenUsed="0" w:uiPriority="0" w:semiHidden="0" w:name="Body Text"/>
    <w:lsdException w:qFormat="1" w:unhideWhenUsed="0" w:uiPriority="0" w:semiHidden="0" w:name="Body Text Indent"/>
    <w:lsdException w:uiPriority="0" w:name="List Continue"/>
    <w:lsdException w:qFormat="1" w:unhideWhenUsed="0" w:uiPriority="0" w:semiHidden="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iPriority="0" w:name="E-mail Signature"/>
    <w:lsdException w:qFormat="1" w:unhideWhenUsed="0" w:uiPriority="0" w:semiHidden="0" w:name="Normal (Web)"/>
    <w:lsdException w:uiPriority="0" w:name="HTML Acronym"/>
    <w:lsdException w:uiPriority="0" w:name="HTML Address"/>
    <w:lsdException w:uiPriority="0" w:name="HTML Cite"/>
    <w:lsdException w:qFormat="1" w:unhideWhenUsed="0" w:uiPriority="0" w:semiHidden="0" w:name="HTML Code"/>
    <w:lsdException w:uiPriority="0" w:name="HTML Definition"/>
    <w:lsdException w:uiPriority="0" w:name="HTML Keyboard"/>
    <w:lsdException w:qFormat="1" w:unhideWhenUsed="0" w:uiPriority="0" w:semiHidden="0" w:name="HTML Preformatted"/>
    <w:lsdException w:uiPriority="0" w:name="HTML Sample"/>
    <w:lsdException w:uiPriority="0" w:name="HTML Typewriter"/>
    <w:lsdException w:uiPriority="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qFormat="1" w:unhideWhenUsed="0" w:uiPriority="0" w:semiHidden="0" w:name="Quote"/>
    <w:lsdException w:qFormat="1" w:unhideWhenUsed="0" w:uiPriority="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paragraph" w:styleId="3">
    <w:name w:val="heading 1"/>
    <w:basedOn w:val="1"/>
    <w:next w:val="1"/>
    <w:link w:val="107"/>
    <w:qFormat/>
    <w:uiPriority w:val="0"/>
    <w:pPr>
      <w:keepNext/>
      <w:keepLines/>
      <w:spacing w:before="340" w:after="330" w:line="578" w:lineRule="auto"/>
      <w:outlineLvl w:val="0"/>
    </w:pPr>
    <w:rPr>
      <w:b/>
      <w:bCs/>
      <w:kern w:val="44"/>
      <w:sz w:val="44"/>
      <w:szCs w:val="44"/>
    </w:rPr>
  </w:style>
  <w:style w:type="paragraph" w:styleId="4">
    <w:name w:val="heading 2"/>
    <w:basedOn w:val="1"/>
    <w:next w:val="1"/>
    <w:link w:val="131"/>
    <w:qFormat/>
    <w:uiPriority w:val="0"/>
    <w:pPr>
      <w:keepNext/>
      <w:keepLines/>
      <w:spacing w:before="60" w:after="60" w:line="413" w:lineRule="auto"/>
      <w:outlineLvl w:val="1"/>
    </w:pPr>
    <w:rPr>
      <w:rFonts w:ascii="Arial" w:hAnsi="Arial" w:eastAsia="黑体"/>
      <w:b/>
      <w:bCs/>
      <w:szCs w:val="32"/>
    </w:rPr>
  </w:style>
  <w:style w:type="paragraph" w:styleId="5">
    <w:name w:val="heading 3"/>
    <w:basedOn w:val="1"/>
    <w:next w:val="1"/>
    <w:link w:val="124"/>
    <w:qFormat/>
    <w:uiPriority w:val="0"/>
    <w:pPr>
      <w:keepNext/>
      <w:keepLines/>
      <w:spacing w:line="360" w:lineRule="auto"/>
      <w:outlineLvl w:val="2"/>
    </w:pPr>
    <w:rPr>
      <w:rFonts w:eastAsia="黑体"/>
      <w:b/>
      <w:bCs/>
      <w:szCs w:val="32"/>
    </w:rPr>
  </w:style>
  <w:style w:type="paragraph" w:styleId="6">
    <w:name w:val="heading 4"/>
    <w:basedOn w:val="1"/>
    <w:next w:val="1"/>
    <w:link w:val="84"/>
    <w:qFormat/>
    <w:uiPriority w:val="0"/>
    <w:pPr>
      <w:keepNext/>
      <w:keepLines/>
      <w:spacing w:line="360" w:lineRule="auto"/>
      <w:outlineLvl w:val="3"/>
    </w:pPr>
    <w:rPr>
      <w:rFonts w:ascii="Arial" w:hAnsi="Arial"/>
      <w:b/>
      <w:bCs/>
      <w:szCs w:val="28"/>
    </w:rPr>
  </w:style>
  <w:style w:type="paragraph" w:styleId="7">
    <w:name w:val="heading 5"/>
    <w:basedOn w:val="1"/>
    <w:next w:val="8"/>
    <w:link w:val="94"/>
    <w:qFormat/>
    <w:uiPriority w:val="0"/>
    <w:pPr>
      <w:keepNext/>
      <w:keepLines/>
      <w:spacing w:before="280" w:after="290" w:line="376" w:lineRule="auto"/>
      <w:outlineLvl w:val="4"/>
    </w:pPr>
    <w:rPr>
      <w:b/>
      <w:sz w:val="28"/>
    </w:rPr>
  </w:style>
  <w:style w:type="paragraph" w:styleId="9">
    <w:name w:val="heading 6"/>
    <w:basedOn w:val="1"/>
    <w:next w:val="1"/>
    <w:link w:val="122"/>
    <w:qFormat/>
    <w:uiPriority w:val="0"/>
    <w:pPr>
      <w:keepNext/>
      <w:keepLines/>
      <w:spacing w:before="240" w:after="64" w:line="320" w:lineRule="auto"/>
      <w:outlineLvl w:val="5"/>
    </w:pPr>
    <w:rPr>
      <w:rFonts w:ascii="Arial" w:hAnsi="Arial" w:eastAsia="黑体"/>
      <w:b/>
      <w:sz w:val="24"/>
    </w:rPr>
  </w:style>
  <w:style w:type="paragraph" w:styleId="10">
    <w:name w:val="heading 7"/>
    <w:basedOn w:val="1"/>
    <w:next w:val="8"/>
    <w:link w:val="83"/>
    <w:qFormat/>
    <w:uiPriority w:val="0"/>
    <w:pPr>
      <w:keepNext/>
      <w:keepLines/>
      <w:spacing w:before="240" w:after="64" w:line="320" w:lineRule="auto"/>
      <w:outlineLvl w:val="6"/>
    </w:pPr>
    <w:rPr>
      <w:b/>
      <w:sz w:val="24"/>
    </w:rPr>
  </w:style>
  <w:style w:type="paragraph" w:styleId="11">
    <w:name w:val="heading 8"/>
    <w:basedOn w:val="1"/>
    <w:next w:val="8"/>
    <w:link w:val="136"/>
    <w:qFormat/>
    <w:uiPriority w:val="0"/>
    <w:pPr>
      <w:keepNext/>
      <w:keepLines/>
      <w:spacing w:before="240" w:after="64" w:line="320" w:lineRule="auto"/>
      <w:outlineLvl w:val="7"/>
    </w:pPr>
    <w:rPr>
      <w:rFonts w:ascii="Arial" w:hAnsi="Arial" w:eastAsia="黑体"/>
      <w:sz w:val="24"/>
    </w:rPr>
  </w:style>
  <w:style w:type="paragraph" w:styleId="12">
    <w:name w:val="heading 9"/>
    <w:basedOn w:val="1"/>
    <w:next w:val="8"/>
    <w:link w:val="78"/>
    <w:qFormat/>
    <w:uiPriority w:val="0"/>
    <w:pPr>
      <w:keepNext/>
      <w:keepLines/>
      <w:spacing w:before="240" w:after="64" w:line="320" w:lineRule="auto"/>
      <w:outlineLvl w:val="8"/>
    </w:pPr>
    <w:rPr>
      <w:rFonts w:ascii="Arial" w:hAnsi="Arial" w:eastAsia="黑体"/>
    </w:rPr>
  </w:style>
  <w:style w:type="character" w:default="1" w:styleId="60">
    <w:name w:val="Default Paragraph Font"/>
    <w:semiHidden/>
    <w:unhideWhenUsed/>
    <w:qFormat/>
    <w:uiPriority w:val="1"/>
  </w:style>
  <w:style w:type="table" w:default="1" w:styleId="58">
    <w:name w:val="Normal Table"/>
    <w:semiHidden/>
    <w:unhideWhenUsed/>
    <w:qFormat/>
    <w:uiPriority w:val="99"/>
    <w:tblPr>
      <w:tblCellMar>
        <w:top w:w="0" w:type="dxa"/>
        <w:left w:w="108" w:type="dxa"/>
        <w:bottom w:w="0" w:type="dxa"/>
        <w:right w:w="108" w:type="dxa"/>
      </w:tblCellMar>
    </w:tblPr>
  </w:style>
  <w:style w:type="paragraph" w:styleId="2">
    <w:name w:val="Block Text"/>
    <w:basedOn w:val="1"/>
    <w:qFormat/>
    <w:uiPriority w:val="0"/>
    <w:pPr>
      <w:adjustRightInd w:val="0"/>
      <w:ind w:left="420" w:right="33"/>
      <w:jc w:val="left"/>
      <w:textAlignment w:val="baseline"/>
    </w:pPr>
    <w:rPr>
      <w:kern w:val="0"/>
      <w:sz w:val="24"/>
      <w:szCs w:val="20"/>
    </w:rPr>
  </w:style>
  <w:style w:type="paragraph" w:styleId="8">
    <w:name w:val="Normal Indent"/>
    <w:basedOn w:val="1"/>
    <w:link w:val="135"/>
    <w:qFormat/>
    <w:uiPriority w:val="0"/>
    <w:pPr>
      <w:ind w:firstLine="420"/>
    </w:pPr>
    <w:rPr>
      <w:szCs w:val="20"/>
    </w:rPr>
  </w:style>
  <w:style w:type="paragraph" w:styleId="13">
    <w:name w:val="List 3"/>
    <w:basedOn w:val="1"/>
    <w:qFormat/>
    <w:uiPriority w:val="0"/>
    <w:pPr>
      <w:ind w:left="100" w:leftChars="400" w:hanging="200" w:hangingChars="200"/>
    </w:pPr>
  </w:style>
  <w:style w:type="paragraph" w:styleId="14">
    <w:name w:val="toc 7"/>
    <w:basedOn w:val="1"/>
    <w:next w:val="1"/>
    <w:qFormat/>
    <w:uiPriority w:val="0"/>
    <w:pPr>
      <w:ind w:left="2520" w:leftChars="1200"/>
    </w:pPr>
    <w:rPr>
      <w:szCs w:val="22"/>
    </w:rPr>
  </w:style>
  <w:style w:type="paragraph" w:styleId="15">
    <w:name w:val="List Number"/>
    <w:basedOn w:val="1"/>
    <w:qFormat/>
    <w:uiPriority w:val="0"/>
    <w:pPr>
      <w:widowControl/>
      <w:tabs>
        <w:tab w:val="left" w:pos="454"/>
        <w:tab w:val="left" w:pos="720"/>
        <w:tab w:val="left" w:pos="840"/>
      </w:tabs>
      <w:spacing w:after="50" w:afterLines="50"/>
      <w:ind w:left="454" w:hanging="284"/>
      <w:jc w:val="left"/>
    </w:pPr>
    <w:rPr>
      <w:kern w:val="0"/>
      <w:sz w:val="24"/>
      <w:szCs w:val="20"/>
    </w:rPr>
  </w:style>
  <w:style w:type="paragraph" w:styleId="16">
    <w:name w:val="caption"/>
    <w:basedOn w:val="1"/>
    <w:next w:val="1"/>
    <w:qFormat/>
    <w:uiPriority w:val="0"/>
    <w:pPr>
      <w:spacing w:before="152" w:after="160"/>
    </w:pPr>
    <w:rPr>
      <w:rFonts w:ascii="Arial" w:hAnsi="Arial" w:eastAsia="黑体" w:cs="Arial"/>
      <w:sz w:val="20"/>
      <w:szCs w:val="20"/>
    </w:rPr>
  </w:style>
  <w:style w:type="paragraph" w:styleId="17">
    <w:name w:val="Document Map"/>
    <w:basedOn w:val="1"/>
    <w:link w:val="73"/>
    <w:qFormat/>
    <w:uiPriority w:val="0"/>
    <w:pPr>
      <w:shd w:val="clear" w:color="auto" w:fill="000080"/>
    </w:pPr>
  </w:style>
  <w:style w:type="paragraph" w:styleId="18">
    <w:name w:val="annotation text"/>
    <w:basedOn w:val="1"/>
    <w:link w:val="99"/>
    <w:qFormat/>
    <w:uiPriority w:val="0"/>
    <w:pPr>
      <w:jc w:val="left"/>
    </w:pPr>
  </w:style>
  <w:style w:type="paragraph" w:styleId="19">
    <w:name w:val="Salutation"/>
    <w:basedOn w:val="1"/>
    <w:next w:val="1"/>
    <w:qFormat/>
    <w:uiPriority w:val="0"/>
    <w:rPr>
      <w:sz w:val="28"/>
    </w:rPr>
  </w:style>
  <w:style w:type="paragraph" w:styleId="20">
    <w:name w:val="Body Text 3"/>
    <w:basedOn w:val="1"/>
    <w:link w:val="76"/>
    <w:qFormat/>
    <w:uiPriority w:val="0"/>
    <w:pPr>
      <w:spacing w:line="500" w:lineRule="exact"/>
    </w:pPr>
    <w:rPr>
      <w:b/>
      <w:bCs/>
      <w:sz w:val="24"/>
    </w:rPr>
  </w:style>
  <w:style w:type="paragraph" w:styleId="21">
    <w:name w:val="Body Text"/>
    <w:basedOn w:val="1"/>
    <w:next w:val="1"/>
    <w:link w:val="88"/>
    <w:qFormat/>
    <w:uiPriority w:val="0"/>
    <w:pPr>
      <w:spacing w:line="380" w:lineRule="exact"/>
    </w:pPr>
    <w:rPr>
      <w:sz w:val="24"/>
    </w:rPr>
  </w:style>
  <w:style w:type="paragraph" w:styleId="22">
    <w:name w:val="Body Text Indent"/>
    <w:basedOn w:val="1"/>
    <w:next w:val="23"/>
    <w:link w:val="138"/>
    <w:qFormat/>
    <w:uiPriority w:val="0"/>
    <w:pPr>
      <w:ind w:firstLine="830" w:firstLineChars="352"/>
    </w:pPr>
    <w:rPr>
      <w:rFonts w:ascii="仿宋_GB2312" w:eastAsia="仿宋_GB2312"/>
      <w:sz w:val="32"/>
      <w:szCs w:val="20"/>
    </w:rPr>
  </w:style>
  <w:style w:type="paragraph" w:customStyle="1" w:styleId="23">
    <w:name w:val="Default"/>
    <w:qFormat/>
    <w:uiPriority w:val="0"/>
    <w:pPr>
      <w:widowControl w:val="0"/>
      <w:autoSpaceDE w:val="0"/>
      <w:autoSpaceDN w:val="0"/>
      <w:adjustRightInd w:val="0"/>
    </w:pPr>
    <w:rPr>
      <w:rFonts w:ascii="Calibri" w:hAnsi="Calibri" w:eastAsia="宋体" w:cs="Calibri"/>
      <w:color w:val="000000"/>
      <w:sz w:val="24"/>
      <w:szCs w:val="24"/>
      <w:lang w:val="en-US" w:eastAsia="zh-CN" w:bidi="ar-SA"/>
    </w:rPr>
  </w:style>
  <w:style w:type="paragraph" w:styleId="24">
    <w:name w:val="List Number 3"/>
    <w:basedOn w:val="1"/>
    <w:qFormat/>
    <w:uiPriority w:val="0"/>
    <w:pPr>
      <w:tabs>
        <w:tab w:val="left" w:pos="1200"/>
      </w:tabs>
      <w:ind w:left="1200" w:hanging="360"/>
    </w:pPr>
  </w:style>
  <w:style w:type="paragraph" w:styleId="25">
    <w:name w:val="List 2"/>
    <w:basedOn w:val="1"/>
    <w:qFormat/>
    <w:uiPriority w:val="0"/>
    <w:pPr>
      <w:ind w:left="100" w:leftChars="200" w:hanging="200" w:hangingChars="200"/>
    </w:pPr>
    <w:rPr>
      <w:sz w:val="28"/>
    </w:rPr>
  </w:style>
  <w:style w:type="paragraph" w:styleId="26">
    <w:name w:val="index 4"/>
    <w:basedOn w:val="1"/>
    <w:next w:val="1"/>
    <w:qFormat/>
    <w:uiPriority w:val="0"/>
    <w:pPr>
      <w:ind w:left="600" w:leftChars="600"/>
    </w:pPr>
  </w:style>
  <w:style w:type="paragraph" w:styleId="27">
    <w:name w:val="toc 5"/>
    <w:basedOn w:val="1"/>
    <w:next w:val="1"/>
    <w:qFormat/>
    <w:uiPriority w:val="0"/>
    <w:pPr>
      <w:ind w:left="1680" w:leftChars="800"/>
    </w:pPr>
    <w:rPr>
      <w:szCs w:val="22"/>
    </w:rPr>
  </w:style>
  <w:style w:type="paragraph" w:styleId="28">
    <w:name w:val="toc 3"/>
    <w:basedOn w:val="1"/>
    <w:next w:val="1"/>
    <w:qFormat/>
    <w:uiPriority w:val="0"/>
    <w:pPr>
      <w:ind w:left="840" w:leftChars="400"/>
    </w:pPr>
  </w:style>
  <w:style w:type="paragraph" w:styleId="29">
    <w:name w:val="Plain Text"/>
    <w:basedOn w:val="1"/>
    <w:next w:val="6"/>
    <w:link w:val="106"/>
    <w:qFormat/>
    <w:uiPriority w:val="0"/>
    <w:rPr>
      <w:rFonts w:ascii="宋体" w:hAnsi="Courier New" w:cs="Courier New"/>
      <w:szCs w:val="21"/>
    </w:rPr>
  </w:style>
  <w:style w:type="paragraph" w:styleId="30">
    <w:name w:val="toc 8"/>
    <w:basedOn w:val="1"/>
    <w:next w:val="1"/>
    <w:qFormat/>
    <w:uiPriority w:val="0"/>
    <w:pPr>
      <w:ind w:left="2940" w:leftChars="1400"/>
    </w:pPr>
    <w:rPr>
      <w:szCs w:val="22"/>
    </w:rPr>
  </w:style>
  <w:style w:type="paragraph" w:styleId="31">
    <w:name w:val="Date"/>
    <w:basedOn w:val="1"/>
    <w:next w:val="1"/>
    <w:link w:val="97"/>
    <w:qFormat/>
    <w:uiPriority w:val="0"/>
    <w:pPr>
      <w:ind w:left="100" w:leftChars="2500"/>
    </w:pPr>
    <w:rPr>
      <w:rFonts w:ascii="宋体" w:hAnsi="Courier New" w:cs="Courier New"/>
      <w:szCs w:val="21"/>
    </w:rPr>
  </w:style>
  <w:style w:type="paragraph" w:styleId="32">
    <w:name w:val="Body Text Indent 2"/>
    <w:basedOn w:val="1"/>
    <w:link w:val="114"/>
    <w:qFormat/>
    <w:uiPriority w:val="0"/>
    <w:pPr>
      <w:ind w:firstLine="630"/>
    </w:pPr>
    <w:rPr>
      <w:sz w:val="32"/>
      <w:szCs w:val="20"/>
    </w:rPr>
  </w:style>
  <w:style w:type="paragraph" w:styleId="33">
    <w:name w:val="endnote text"/>
    <w:basedOn w:val="1"/>
    <w:qFormat/>
    <w:uiPriority w:val="0"/>
    <w:pPr>
      <w:snapToGrid w:val="0"/>
      <w:jc w:val="left"/>
    </w:pPr>
    <w:rPr>
      <w:szCs w:val="22"/>
    </w:rPr>
  </w:style>
  <w:style w:type="paragraph" w:styleId="34">
    <w:name w:val="Balloon Text"/>
    <w:basedOn w:val="1"/>
    <w:link w:val="141"/>
    <w:qFormat/>
    <w:uiPriority w:val="0"/>
    <w:rPr>
      <w:sz w:val="18"/>
      <w:szCs w:val="18"/>
    </w:rPr>
  </w:style>
  <w:style w:type="paragraph" w:styleId="35">
    <w:name w:val="footer"/>
    <w:basedOn w:val="1"/>
    <w:link w:val="86"/>
    <w:qFormat/>
    <w:uiPriority w:val="0"/>
    <w:pPr>
      <w:tabs>
        <w:tab w:val="center" w:pos="4153"/>
        <w:tab w:val="right" w:pos="8306"/>
      </w:tabs>
      <w:snapToGrid w:val="0"/>
      <w:jc w:val="left"/>
    </w:pPr>
    <w:rPr>
      <w:sz w:val="18"/>
      <w:szCs w:val="18"/>
    </w:rPr>
  </w:style>
  <w:style w:type="paragraph" w:styleId="36">
    <w:name w:val="header"/>
    <w:basedOn w:val="1"/>
    <w:link w:val="112"/>
    <w:qFormat/>
    <w:uiPriority w:val="0"/>
    <w:pPr>
      <w:pBdr>
        <w:bottom w:val="single" w:color="auto" w:sz="6" w:space="1"/>
      </w:pBdr>
      <w:tabs>
        <w:tab w:val="center" w:pos="4153"/>
        <w:tab w:val="right" w:pos="8306"/>
      </w:tabs>
      <w:snapToGrid w:val="0"/>
      <w:jc w:val="center"/>
    </w:pPr>
    <w:rPr>
      <w:sz w:val="18"/>
      <w:szCs w:val="18"/>
    </w:rPr>
  </w:style>
  <w:style w:type="paragraph" w:styleId="37">
    <w:name w:val="toc 1"/>
    <w:basedOn w:val="1"/>
    <w:next w:val="1"/>
    <w:qFormat/>
    <w:uiPriority w:val="0"/>
    <w:pPr>
      <w:tabs>
        <w:tab w:val="right" w:leader="dot" w:pos="9360"/>
      </w:tabs>
      <w:spacing w:line="600" w:lineRule="exact"/>
    </w:pPr>
    <w:rPr>
      <w:rFonts w:ascii="宋体" w:hAnsi="宋体"/>
      <w:b/>
      <w:szCs w:val="21"/>
    </w:rPr>
  </w:style>
  <w:style w:type="paragraph" w:styleId="38">
    <w:name w:val="toc 4"/>
    <w:basedOn w:val="1"/>
    <w:next w:val="1"/>
    <w:qFormat/>
    <w:uiPriority w:val="0"/>
    <w:pPr>
      <w:ind w:left="1260" w:leftChars="600"/>
    </w:pPr>
    <w:rPr>
      <w:szCs w:val="22"/>
    </w:rPr>
  </w:style>
  <w:style w:type="paragraph" w:styleId="39">
    <w:name w:val="Subtitle"/>
    <w:basedOn w:val="1"/>
    <w:next w:val="1"/>
    <w:qFormat/>
    <w:uiPriority w:val="0"/>
    <w:pPr>
      <w:spacing w:before="240" w:after="60" w:line="312" w:lineRule="auto"/>
      <w:jc w:val="center"/>
      <w:outlineLvl w:val="1"/>
    </w:pPr>
    <w:rPr>
      <w:rFonts w:ascii="Cambria" w:hAnsi="Cambria"/>
      <w:b/>
      <w:bCs/>
      <w:kern w:val="28"/>
      <w:sz w:val="32"/>
      <w:szCs w:val="32"/>
    </w:rPr>
  </w:style>
  <w:style w:type="paragraph" w:styleId="40">
    <w:name w:val="List"/>
    <w:basedOn w:val="1"/>
    <w:qFormat/>
    <w:uiPriority w:val="0"/>
    <w:pPr>
      <w:ind w:left="200" w:hanging="200" w:hangingChars="200"/>
    </w:pPr>
    <w:rPr>
      <w:sz w:val="28"/>
    </w:rPr>
  </w:style>
  <w:style w:type="paragraph" w:styleId="41">
    <w:name w:val="footnote text"/>
    <w:basedOn w:val="1"/>
    <w:link w:val="133"/>
    <w:qFormat/>
    <w:uiPriority w:val="0"/>
    <w:pPr>
      <w:adjustRightInd w:val="0"/>
      <w:spacing w:line="312" w:lineRule="atLeast"/>
      <w:jc w:val="left"/>
      <w:textAlignment w:val="baseline"/>
    </w:pPr>
    <w:rPr>
      <w:kern w:val="0"/>
      <w:sz w:val="18"/>
      <w:szCs w:val="20"/>
    </w:rPr>
  </w:style>
  <w:style w:type="paragraph" w:styleId="42">
    <w:name w:val="toc 6"/>
    <w:basedOn w:val="1"/>
    <w:next w:val="1"/>
    <w:qFormat/>
    <w:uiPriority w:val="0"/>
    <w:pPr>
      <w:ind w:left="2100" w:leftChars="1000"/>
    </w:pPr>
    <w:rPr>
      <w:szCs w:val="22"/>
    </w:rPr>
  </w:style>
  <w:style w:type="paragraph" w:styleId="43">
    <w:name w:val="List 5"/>
    <w:basedOn w:val="1"/>
    <w:qFormat/>
    <w:uiPriority w:val="0"/>
    <w:pPr>
      <w:ind w:left="2100" w:hanging="420"/>
    </w:pPr>
    <w:rPr>
      <w:szCs w:val="20"/>
    </w:rPr>
  </w:style>
  <w:style w:type="paragraph" w:styleId="44">
    <w:name w:val="Body Text Indent 3"/>
    <w:basedOn w:val="1"/>
    <w:link w:val="89"/>
    <w:qFormat/>
    <w:uiPriority w:val="0"/>
    <w:pPr>
      <w:spacing w:after="120"/>
      <w:ind w:left="420" w:leftChars="200"/>
    </w:pPr>
    <w:rPr>
      <w:sz w:val="16"/>
      <w:szCs w:val="16"/>
    </w:rPr>
  </w:style>
  <w:style w:type="paragraph" w:styleId="45">
    <w:name w:val="table of figures"/>
    <w:basedOn w:val="1"/>
    <w:next w:val="1"/>
    <w:qFormat/>
    <w:uiPriority w:val="0"/>
    <w:pPr>
      <w:ind w:left="420" w:hanging="420"/>
      <w:jc w:val="left"/>
    </w:pPr>
    <w:rPr>
      <w:smallCaps/>
      <w:sz w:val="20"/>
      <w:szCs w:val="20"/>
    </w:rPr>
  </w:style>
  <w:style w:type="paragraph" w:styleId="46">
    <w:name w:val="toc 2"/>
    <w:basedOn w:val="1"/>
    <w:next w:val="1"/>
    <w:qFormat/>
    <w:uiPriority w:val="0"/>
    <w:pPr>
      <w:tabs>
        <w:tab w:val="right" w:leader="dot" w:pos="9360"/>
      </w:tabs>
      <w:ind w:left="420" w:leftChars="200"/>
    </w:pPr>
  </w:style>
  <w:style w:type="paragraph" w:styleId="47">
    <w:name w:val="toc 9"/>
    <w:basedOn w:val="1"/>
    <w:next w:val="1"/>
    <w:qFormat/>
    <w:uiPriority w:val="0"/>
    <w:pPr>
      <w:ind w:left="3360" w:leftChars="1600"/>
    </w:pPr>
    <w:rPr>
      <w:szCs w:val="22"/>
    </w:rPr>
  </w:style>
  <w:style w:type="paragraph" w:styleId="48">
    <w:name w:val="Body Text 2"/>
    <w:basedOn w:val="1"/>
    <w:link w:val="117"/>
    <w:qFormat/>
    <w:uiPriority w:val="0"/>
    <w:pPr>
      <w:spacing w:after="120" w:line="480" w:lineRule="auto"/>
    </w:pPr>
  </w:style>
  <w:style w:type="paragraph" w:styleId="49">
    <w:name w:val="List 4"/>
    <w:basedOn w:val="1"/>
    <w:qFormat/>
    <w:uiPriority w:val="0"/>
    <w:pPr>
      <w:ind w:left="100" w:leftChars="600" w:hanging="200" w:hangingChars="200"/>
    </w:pPr>
  </w:style>
  <w:style w:type="paragraph" w:styleId="50">
    <w:name w:val="List Continue 2"/>
    <w:basedOn w:val="1"/>
    <w:qFormat/>
    <w:uiPriority w:val="0"/>
    <w:pPr>
      <w:spacing w:after="120"/>
      <w:ind w:left="840" w:leftChars="400"/>
    </w:pPr>
  </w:style>
  <w:style w:type="paragraph" w:styleId="51">
    <w:name w:val="HTML Preformatted"/>
    <w:basedOn w:val="1"/>
    <w:link w:val="104"/>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黑体" w:hAnsi="Courier New" w:eastAsia="黑体" w:cs="Courier New"/>
      <w:kern w:val="0"/>
      <w:sz w:val="20"/>
      <w:szCs w:val="20"/>
    </w:rPr>
  </w:style>
  <w:style w:type="paragraph" w:styleId="52">
    <w:name w:val="Normal (Web)"/>
    <w:basedOn w:val="1"/>
    <w:qFormat/>
    <w:uiPriority w:val="0"/>
    <w:pPr>
      <w:widowControl/>
      <w:spacing w:before="100" w:beforeAutospacing="1" w:after="100" w:afterAutospacing="1"/>
      <w:jc w:val="left"/>
    </w:pPr>
    <w:rPr>
      <w:rFonts w:ascii="宋体" w:hAnsi="宋体"/>
      <w:kern w:val="0"/>
      <w:sz w:val="24"/>
    </w:rPr>
  </w:style>
  <w:style w:type="paragraph" w:styleId="53">
    <w:name w:val="index 1"/>
    <w:basedOn w:val="1"/>
    <w:next w:val="1"/>
    <w:qFormat/>
    <w:uiPriority w:val="0"/>
    <w:pPr>
      <w:spacing w:line="400" w:lineRule="exact"/>
      <w:ind w:firstLine="420" w:firstLineChars="200"/>
    </w:pPr>
    <w:rPr>
      <w:rFonts w:ascii="宋体" w:hAnsi="Courier New"/>
      <w:b/>
      <w:szCs w:val="20"/>
    </w:rPr>
  </w:style>
  <w:style w:type="paragraph" w:styleId="54">
    <w:name w:val="Title"/>
    <w:basedOn w:val="1"/>
    <w:next w:val="1"/>
    <w:link w:val="116"/>
    <w:qFormat/>
    <w:uiPriority w:val="0"/>
    <w:pPr>
      <w:spacing w:before="240" w:after="60"/>
      <w:jc w:val="center"/>
      <w:outlineLvl w:val="0"/>
    </w:pPr>
    <w:rPr>
      <w:rFonts w:ascii="Cambria" w:hAnsi="Cambria"/>
      <w:b/>
      <w:bCs/>
      <w:sz w:val="32"/>
      <w:szCs w:val="32"/>
    </w:rPr>
  </w:style>
  <w:style w:type="paragraph" w:styleId="55">
    <w:name w:val="annotation subject"/>
    <w:basedOn w:val="18"/>
    <w:next w:val="18"/>
    <w:link w:val="125"/>
    <w:qFormat/>
    <w:uiPriority w:val="0"/>
    <w:rPr>
      <w:b/>
      <w:bCs/>
    </w:rPr>
  </w:style>
  <w:style w:type="paragraph" w:styleId="56">
    <w:name w:val="Body Text First Indent"/>
    <w:basedOn w:val="21"/>
    <w:qFormat/>
    <w:uiPriority w:val="0"/>
    <w:pPr>
      <w:spacing w:after="120" w:line="240" w:lineRule="auto"/>
      <w:ind w:firstLine="420" w:firstLineChars="100"/>
    </w:pPr>
    <w:rPr>
      <w:sz w:val="21"/>
    </w:rPr>
  </w:style>
  <w:style w:type="paragraph" w:styleId="57">
    <w:name w:val="Body Text First Indent 2"/>
    <w:basedOn w:val="22"/>
    <w:qFormat/>
    <w:uiPriority w:val="0"/>
    <w:pPr>
      <w:spacing w:after="120"/>
      <w:ind w:left="420" w:leftChars="200" w:firstLine="420" w:firstLineChars="200"/>
    </w:pPr>
    <w:rPr>
      <w:rFonts w:ascii="Times New Roman" w:eastAsia="宋体"/>
      <w:sz w:val="21"/>
      <w:szCs w:val="24"/>
    </w:rPr>
  </w:style>
  <w:style w:type="table" w:styleId="59">
    <w:name w:val="Table Grid"/>
    <w:basedOn w:val="58"/>
    <w:qFormat/>
    <w:uiPriority w:val="0"/>
    <w:pPr>
      <w:widowControl w:val="0"/>
      <w:jc w:val="both"/>
    </w:pPr>
    <w:rPr>
      <w:rFonts w:ascii="Calibri" w:hAnsi="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61">
    <w:name w:val="Strong"/>
    <w:qFormat/>
    <w:uiPriority w:val="0"/>
    <w:rPr>
      <w:rFonts w:ascii="Calibri" w:hAnsi="Calibri" w:eastAsia="宋体" w:cs="Times New Roman"/>
      <w:b/>
      <w:bCs/>
    </w:rPr>
  </w:style>
  <w:style w:type="character" w:styleId="62">
    <w:name w:val="page number"/>
    <w:basedOn w:val="60"/>
    <w:qFormat/>
    <w:uiPriority w:val="0"/>
    <w:rPr>
      <w:rFonts w:ascii="Calibri" w:hAnsi="Calibri" w:eastAsia="宋体" w:cs="Times New Roman"/>
    </w:rPr>
  </w:style>
  <w:style w:type="character" w:styleId="63">
    <w:name w:val="FollowedHyperlink"/>
    <w:qFormat/>
    <w:uiPriority w:val="0"/>
    <w:rPr>
      <w:rFonts w:ascii="Calibri" w:hAnsi="Calibri" w:eastAsia="宋体" w:cs="Times New Roman"/>
      <w:color w:val="800080"/>
      <w:u w:val="single"/>
    </w:rPr>
  </w:style>
  <w:style w:type="character" w:styleId="64">
    <w:name w:val="Emphasis"/>
    <w:qFormat/>
    <w:uiPriority w:val="0"/>
    <w:rPr>
      <w:rFonts w:ascii="Calibri" w:hAnsi="Calibri" w:eastAsia="宋体" w:cs="Times New Roman"/>
      <w:i/>
      <w:iCs/>
    </w:rPr>
  </w:style>
  <w:style w:type="character" w:styleId="65">
    <w:name w:val="Hyperlink"/>
    <w:qFormat/>
    <w:uiPriority w:val="0"/>
    <w:rPr>
      <w:rFonts w:ascii="Calibri" w:hAnsi="Calibri" w:eastAsia="宋体" w:cs="Times New Roman"/>
      <w:color w:val="0000FF"/>
      <w:u w:val="single"/>
    </w:rPr>
  </w:style>
  <w:style w:type="character" w:styleId="66">
    <w:name w:val="HTML Code"/>
    <w:qFormat/>
    <w:uiPriority w:val="0"/>
    <w:rPr>
      <w:rFonts w:ascii="宋体" w:hAnsi="宋体" w:eastAsia="宋体" w:cs="宋体"/>
      <w:sz w:val="24"/>
      <w:szCs w:val="24"/>
    </w:rPr>
  </w:style>
  <w:style w:type="character" w:styleId="67">
    <w:name w:val="annotation reference"/>
    <w:qFormat/>
    <w:uiPriority w:val="0"/>
    <w:rPr>
      <w:rFonts w:ascii="Calibri" w:hAnsi="Calibri" w:eastAsia="宋体" w:cs="Times New Roman"/>
      <w:sz w:val="21"/>
      <w:szCs w:val="21"/>
    </w:rPr>
  </w:style>
  <w:style w:type="paragraph" w:customStyle="1" w:styleId="68">
    <w:name w:val="表格文字"/>
    <w:basedOn w:val="22"/>
    <w:next w:val="21"/>
    <w:qFormat/>
    <w:uiPriority w:val="0"/>
    <w:pPr>
      <w:jc w:val="left"/>
    </w:pPr>
    <w:rPr>
      <w:bCs/>
      <w:spacing w:val="10"/>
      <w:kern w:val="0"/>
      <w:sz w:val="24"/>
    </w:rPr>
  </w:style>
  <w:style w:type="paragraph" w:customStyle="1" w:styleId="69">
    <w:name w:val="Fließtext"/>
    <w:basedOn w:val="1"/>
    <w:qFormat/>
    <w:uiPriority w:val="0"/>
    <w:pPr>
      <w:overflowPunct w:val="0"/>
      <w:autoSpaceDE w:val="0"/>
      <w:autoSpaceDN w:val="0"/>
      <w:adjustRightInd w:val="0"/>
      <w:textAlignment w:val="baseline"/>
    </w:pPr>
    <w:rPr>
      <w:kern w:val="28"/>
    </w:rPr>
  </w:style>
  <w:style w:type="character" w:customStyle="1" w:styleId="70">
    <w:name w:val="明显引用 Char"/>
    <w:link w:val="71"/>
    <w:qFormat/>
    <w:uiPriority w:val="0"/>
    <w:rPr>
      <w:rFonts w:ascii="Calibri" w:hAnsi="Calibri" w:eastAsia="宋体" w:cs="Times New Roman"/>
      <w:b/>
      <w:bCs/>
      <w:i/>
      <w:iCs/>
      <w:color w:val="4F81BD"/>
      <w:lang w:bidi="ar-SA"/>
    </w:rPr>
  </w:style>
  <w:style w:type="paragraph" w:styleId="71">
    <w:name w:val="Intense Quote"/>
    <w:basedOn w:val="1"/>
    <w:next w:val="1"/>
    <w:link w:val="70"/>
    <w:qFormat/>
    <w:uiPriority w:val="0"/>
    <w:pPr>
      <w:pBdr>
        <w:bottom w:val="single" w:color="4F81BD" w:sz="4" w:space="4"/>
      </w:pBdr>
      <w:spacing w:before="200" w:after="280"/>
      <w:ind w:left="936" w:right="936"/>
    </w:pPr>
    <w:rPr>
      <w:b/>
      <w:bCs/>
      <w:i/>
      <w:iCs/>
      <w:color w:val="4F81BD"/>
      <w:kern w:val="0"/>
      <w:sz w:val="20"/>
      <w:szCs w:val="20"/>
    </w:rPr>
  </w:style>
  <w:style w:type="character" w:customStyle="1" w:styleId="72">
    <w:name w:val="ca-0"/>
    <w:qFormat/>
    <w:uiPriority w:val="0"/>
    <w:rPr>
      <w:rFonts w:ascii="Calibri" w:hAnsi="Calibri" w:eastAsia="宋体" w:cs="Times New Roman"/>
    </w:rPr>
  </w:style>
  <w:style w:type="character" w:customStyle="1" w:styleId="73">
    <w:name w:val="文档结构图 Char"/>
    <w:link w:val="17"/>
    <w:qFormat/>
    <w:uiPriority w:val="0"/>
    <w:rPr>
      <w:rFonts w:ascii="Calibri" w:hAnsi="Calibri" w:eastAsia="宋体" w:cs="Times New Roman"/>
      <w:kern w:val="2"/>
      <w:sz w:val="21"/>
      <w:szCs w:val="24"/>
      <w:lang w:val="en-US" w:eastAsia="zh-CN" w:bidi="ar-SA"/>
    </w:rPr>
  </w:style>
  <w:style w:type="character" w:customStyle="1" w:styleId="74">
    <w:name w:val="h Char"/>
    <w:qFormat/>
    <w:uiPriority w:val="0"/>
    <w:rPr>
      <w:rFonts w:ascii="Calibri" w:hAnsi="Calibri" w:eastAsia="宋体" w:cs="Times New Roman"/>
      <w:kern w:val="2"/>
      <w:sz w:val="18"/>
      <w:szCs w:val="18"/>
      <w:lang w:val="en-US" w:eastAsia="zh-CN" w:bidi="ar-SA"/>
    </w:rPr>
  </w:style>
  <w:style w:type="character" w:customStyle="1" w:styleId="75">
    <w:name w:val="062"/>
    <w:qFormat/>
    <w:uiPriority w:val="0"/>
    <w:rPr>
      <w:rFonts w:ascii="宋体" w:hAnsi="宋体" w:eastAsia="宋体" w:cs="Times New Roman"/>
      <w:b/>
      <w:bCs/>
      <w:sz w:val="32"/>
    </w:rPr>
  </w:style>
  <w:style w:type="character" w:customStyle="1" w:styleId="76">
    <w:name w:val="正文文本 3 Char"/>
    <w:link w:val="20"/>
    <w:qFormat/>
    <w:uiPriority w:val="0"/>
    <w:rPr>
      <w:rFonts w:ascii="Calibri" w:hAnsi="Calibri" w:eastAsia="宋体" w:cs="Times New Roman"/>
      <w:b/>
      <w:bCs/>
      <w:kern w:val="2"/>
      <w:sz w:val="24"/>
      <w:szCs w:val="24"/>
      <w:lang w:val="en-US" w:eastAsia="zh-CN" w:bidi="ar-SA"/>
    </w:rPr>
  </w:style>
  <w:style w:type="character" w:customStyle="1" w:styleId="77">
    <w:name w:val="批注文字 Char1"/>
    <w:qFormat/>
    <w:uiPriority w:val="0"/>
    <w:rPr>
      <w:rFonts w:ascii="Times New Roman" w:hAnsi="Times New Roman" w:eastAsia="宋体" w:cs="Times New Roman"/>
      <w:szCs w:val="24"/>
    </w:rPr>
  </w:style>
  <w:style w:type="character" w:customStyle="1" w:styleId="78">
    <w:name w:val="标题 9 Char"/>
    <w:link w:val="12"/>
    <w:qFormat/>
    <w:uiPriority w:val="0"/>
    <w:rPr>
      <w:rFonts w:ascii="Arial" w:hAnsi="Arial" w:eastAsia="黑体"/>
      <w:kern w:val="2"/>
      <w:sz w:val="21"/>
      <w:szCs w:val="24"/>
      <w:lang w:val="en-US" w:eastAsia="zh-CN" w:bidi="ar-SA"/>
    </w:rPr>
  </w:style>
  <w:style w:type="character" w:customStyle="1" w:styleId="79">
    <w:name w:val="apple-converted-space"/>
    <w:qFormat/>
    <w:uiPriority w:val="0"/>
    <w:rPr>
      <w:rFonts w:ascii="Calibri" w:hAnsi="Calibri" w:eastAsia="宋体" w:cs="Times New Roman"/>
    </w:rPr>
  </w:style>
  <w:style w:type="character" w:customStyle="1" w:styleId="80">
    <w:name w:val="标题5 Char Char"/>
    <w:link w:val="81"/>
    <w:qFormat/>
    <w:uiPriority w:val="0"/>
    <w:rPr>
      <w:rFonts w:ascii="Arial" w:hAnsi="Arial" w:eastAsia="宋体" w:cs="Times New Roman"/>
      <w:b/>
      <w:bCs/>
      <w:sz w:val="24"/>
      <w:szCs w:val="32"/>
      <w:lang w:bidi="ar-SA"/>
    </w:rPr>
  </w:style>
  <w:style w:type="paragraph" w:customStyle="1" w:styleId="81">
    <w:name w:val="标题5"/>
    <w:basedOn w:val="5"/>
    <w:link w:val="80"/>
    <w:qFormat/>
    <w:uiPriority w:val="0"/>
    <w:pPr>
      <w:spacing w:before="260" w:after="260" w:line="413" w:lineRule="auto"/>
    </w:pPr>
    <w:rPr>
      <w:rFonts w:ascii="Arial" w:hAnsi="Arial" w:eastAsia="宋体"/>
      <w:kern w:val="0"/>
      <w:sz w:val="24"/>
    </w:rPr>
  </w:style>
  <w:style w:type="character" w:customStyle="1" w:styleId="82">
    <w:name w:val="style11"/>
    <w:qFormat/>
    <w:uiPriority w:val="0"/>
    <w:rPr>
      <w:rFonts w:hint="default" w:ascii="Arial" w:hAnsi="Arial" w:eastAsia="宋体" w:cs="Arial"/>
    </w:rPr>
  </w:style>
  <w:style w:type="character" w:customStyle="1" w:styleId="83">
    <w:name w:val="标题 7 Char"/>
    <w:link w:val="10"/>
    <w:qFormat/>
    <w:uiPriority w:val="0"/>
    <w:rPr>
      <w:rFonts w:ascii="Calibri" w:hAnsi="Calibri" w:eastAsia="宋体"/>
      <w:b/>
      <w:kern w:val="2"/>
      <w:sz w:val="24"/>
      <w:szCs w:val="24"/>
      <w:lang w:val="en-US" w:eastAsia="zh-CN" w:bidi="ar-SA"/>
    </w:rPr>
  </w:style>
  <w:style w:type="character" w:customStyle="1" w:styleId="84">
    <w:name w:val="标题 4 Char"/>
    <w:link w:val="6"/>
    <w:qFormat/>
    <w:uiPriority w:val="0"/>
    <w:rPr>
      <w:rFonts w:ascii="Arial" w:hAnsi="Arial" w:eastAsia="宋体" w:cs="Times New Roman"/>
      <w:b/>
      <w:bCs/>
      <w:kern w:val="2"/>
      <w:sz w:val="21"/>
      <w:szCs w:val="28"/>
      <w:lang w:val="en-US" w:eastAsia="zh-CN" w:bidi="ar-SA"/>
    </w:rPr>
  </w:style>
  <w:style w:type="character" w:customStyle="1" w:styleId="85">
    <w:name w:val="_Style 81"/>
    <w:qFormat/>
    <w:uiPriority w:val="0"/>
    <w:rPr>
      <w:rFonts w:ascii="Calibri" w:hAnsi="Calibri" w:eastAsia="宋体" w:cs="Times New Roman"/>
      <w:b/>
      <w:bCs/>
      <w:i/>
      <w:iCs/>
      <w:color w:val="4F81BD"/>
    </w:rPr>
  </w:style>
  <w:style w:type="character" w:customStyle="1" w:styleId="86">
    <w:name w:val="页脚 Char"/>
    <w:link w:val="35"/>
    <w:qFormat/>
    <w:uiPriority w:val="0"/>
    <w:rPr>
      <w:rFonts w:ascii="Calibri" w:hAnsi="Calibri" w:eastAsia="宋体" w:cs="Times New Roman"/>
      <w:kern w:val="2"/>
      <w:sz w:val="18"/>
      <w:szCs w:val="18"/>
      <w:lang w:val="en-US" w:eastAsia="zh-CN" w:bidi="ar-SA"/>
    </w:rPr>
  </w:style>
  <w:style w:type="character" w:customStyle="1" w:styleId="87">
    <w:name w:val="f141"/>
    <w:qFormat/>
    <w:uiPriority w:val="0"/>
    <w:rPr>
      <w:rFonts w:ascii="Calibri" w:hAnsi="Calibri" w:eastAsia="宋体" w:cs="Times New Roman"/>
      <w:sz w:val="21"/>
      <w:szCs w:val="21"/>
    </w:rPr>
  </w:style>
  <w:style w:type="character" w:customStyle="1" w:styleId="88">
    <w:name w:val="正文文本 Char"/>
    <w:link w:val="21"/>
    <w:qFormat/>
    <w:uiPriority w:val="0"/>
    <w:rPr>
      <w:rFonts w:ascii="Calibri" w:hAnsi="Calibri" w:eastAsia="宋体" w:cs="Times New Roman"/>
      <w:kern w:val="2"/>
      <w:sz w:val="24"/>
      <w:szCs w:val="24"/>
      <w:lang w:val="en-US" w:eastAsia="zh-CN" w:bidi="ar-SA"/>
    </w:rPr>
  </w:style>
  <w:style w:type="character" w:customStyle="1" w:styleId="89">
    <w:name w:val="正文文本缩进 3 Char"/>
    <w:link w:val="44"/>
    <w:qFormat/>
    <w:uiPriority w:val="0"/>
    <w:rPr>
      <w:rFonts w:ascii="Calibri" w:hAnsi="Calibri" w:eastAsia="宋体" w:cs="Times New Roman"/>
      <w:kern w:val="2"/>
      <w:sz w:val="16"/>
      <w:szCs w:val="16"/>
      <w:lang w:val="en-US" w:eastAsia="zh-CN" w:bidi="ar-SA"/>
    </w:rPr>
  </w:style>
  <w:style w:type="character" w:customStyle="1" w:styleId="90">
    <w:name w:val="Char Char28"/>
    <w:qFormat/>
    <w:uiPriority w:val="0"/>
    <w:rPr>
      <w:rFonts w:ascii="Calibri" w:hAnsi="Calibri" w:eastAsia="宋体" w:cs="Times New Roman"/>
      <w:kern w:val="2"/>
      <w:sz w:val="21"/>
      <w:szCs w:val="24"/>
      <w:lang w:val="en-US" w:eastAsia="zh-CN" w:bidi="ar-SA"/>
    </w:rPr>
  </w:style>
  <w:style w:type="character" w:customStyle="1" w:styleId="91">
    <w:name w:val="Char Char19"/>
    <w:qFormat/>
    <w:uiPriority w:val="0"/>
    <w:rPr>
      <w:rFonts w:ascii="Arial" w:hAnsi="Arial" w:eastAsia="宋体" w:cs="Times New Roman"/>
      <w:b/>
      <w:bCs/>
      <w:szCs w:val="28"/>
    </w:rPr>
  </w:style>
  <w:style w:type="character" w:customStyle="1" w:styleId="92">
    <w:name w:val="正文文字首行缩进 Char"/>
    <w:qFormat/>
    <w:uiPriority w:val="0"/>
    <w:rPr>
      <w:rFonts w:ascii="仿宋_GB2312" w:hAnsi="Calibri" w:eastAsia="仿宋_GB2312" w:cs="Times New Roman"/>
      <w:kern w:val="2"/>
      <w:sz w:val="32"/>
      <w:lang w:val="en-US" w:eastAsia="zh-CN" w:bidi="ar-SA"/>
    </w:rPr>
  </w:style>
  <w:style w:type="character" w:customStyle="1" w:styleId="93">
    <w:name w:val="Para head"/>
    <w:qFormat/>
    <w:uiPriority w:val="0"/>
    <w:rPr>
      <w:rFonts w:ascii="Arial" w:hAnsi="Arial" w:eastAsia="Times New Roman" w:cs="Times New Roman"/>
      <w:sz w:val="20"/>
    </w:rPr>
  </w:style>
  <w:style w:type="character" w:customStyle="1" w:styleId="94">
    <w:name w:val="标题 5 Char"/>
    <w:link w:val="7"/>
    <w:qFormat/>
    <w:uiPriority w:val="0"/>
    <w:rPr>
      <w:rFonts w:ascii="Calibri" w:hAnsi="Calibri" w:eastAsia="宋体"/>
      <w:b/>
      <w:kern w:val="2"/>
      <w:sz w:val="28"/>
      <w:szCs w:val="24"/>
      <w:lang w:val="en-US" w:eastAsia="zh-CN" w:bidi="ar-SA"/>
    </w:rPr>
  </w:style>
  <w:style w:type="character" w:customStyle="1" w:styleId="95">
    <w:name w:val="1ji Char"/>
    <w:link w:val="96"/>
    <w:qFormat/>
    <w:uiPriority w:val="0"/>
    <w:rPr>
      <w:rFonts w:ascii="宋体" w:hAnsi="宋体" w:eastAsia="宋体" w:cs="Times New Roman"/>
      <w:b/>
      <w:bCs/>
      <w:kern w:val="44"/>
      <w:sz w:val="36"/>
      <w:szCs w:val="44"/>
      <w:lang w:val="en-US" w:eastAsia="zh-CN" w:bidi="ar-SA"/>
    </w:rPr>
  </w:style>
  <w:style w:type="paragraph" w:customStyle="1" w:styleId="96">
    <w:name w:val="1ji"/>
    <w:basedOn w:val="3"/>
    <w:link w:val="95"/>
    <w:qFormat/>
    <w:uiPriority w:val="0"/>
    <w:pPr>
      <w:keepLines w:val="0"/>
      <w:widowControl/>
      <w:spacing w:before="0" w:after="0" w:line="240" w:lineRule="auto"/>
      <w:jc w:val="center"/>
    </w:pPr>
    <w:rPr>
      <w:rFonts w:ascii="宋体" w:hAnsi="宋体"/>
      <w:sz w:val="36"/>
    </w:rPr>
  </w:style>
  <w:style w:type="character" w:customStyle="1" w:styleId="97">
    <w:name w:val="日期 Char"/>
    <w:link w:val="31"/>
    <w:qFormat/>
    <w:uiPriority w:val="0"/>
    <w:rPr>
      <w:rFonts w:ascii="宋体" w:hAnsi="Courier New" w:eastAsia="宋体" w:cs="Courier New"/>
      <w:kern w:val="2"/>
      <w:sz w:val="21"/>
      <w:szCs w:val="21"/>
      <w:lang w:val="en-US" w:eastAsia="zh-CN" w:bidi="ar-SA"/>
    </w:rPr>
  </w:style>
  <w:style w:type="character" w:customStyle="1" w:styleId="98">
    <w:name w:val="unnamed3"/>
    <w:qFormat/>
    <w:uiPriority w:val="0"/>
    <w:rPr>
      <w:rFonts w:ascii="Calibri" w:hAnsi="Calibri" w:eastAsia="宋体" w:cs="Times New Roman"/>
    </w:rPr>
  </w:style>
  <w:style w:type="character" w:customStyle="1" w:styleId="99">
    <w:name w:val="批注文字 Char3"/>
    <w:link w:val="18"/>
    <w:qFormat/>
    <w:uiPriority w:val="0"/>
    <w:rPr>
      <w:rFonts w:ascii="Calibri" w:hAnsi="Calibri" w:eastAsia="宋体" w:cs="Times New Roman"/>
      <w:kern w:val="2"/>
      <w:sz w:val="21"/>
      <w:szCs w:val="24"/>
      <w:lang w:val="en-US" w:eastAsia="zh-CN" w:bidi="ar-SA"/>
    </w:rPr>
  </w:style>
  <w:style w:type="character" w:customStyle="1" w:styleId="100">
    <w:name w:val="style51"/>
    <w:qFormat/>
    <w:uiPriority w:val="0"/>
    <w:rPr>
      <w:rFonts w:ascii="Calibri" w:hAnsi="Calibri" w:eastAsia="宋体" w:cs="Times New Roman"/>
    </w:rPr>
  </w:style>
  <w:style w:type="character" w:customStyle="1" w:styleId="101">
    <w:name w:val="无间隔 Char"/>
    <w:link w:val="102"/>
    <w:qFormat/>
    <w:uiPriority w:val="0"/>
    <w:rPr>
      <w:rFonts w:ascii="Calibri" w:hAnsi="Calibri"/>
      <w:kern w:val="2"/>
      <w:sz w:val="21"/>
      <w:szCs w:val="24"/>
      <w:lang w:val="en-US" w:eastAsia="zh-CN" w:bidi="ar-SA"/>
    </w:rPr>
  </w:style>
  <w:style w:type="paragraph" w:styleId="102">
    <w:name w:val="No Spacing"/>
    <w:link w:val="101"/>
    <w:qFormat/>
    <w:uiPriority w:val="0"/>
    <w:pPr>
      <w:widowControl w:val="0"/>
      <w:jc w:val="both"/>
    </w:pPr>
    <w:rPr>
      <w:rFonts w:ascii="Calibri" w:hAnsi="Calibri" w:eastAsia="宋体" w:cs="Times New Roman"/>
      <w:kern w:val="2"/>
      <w:sz w:val="21"/>
      <w:szCs w:val="24"/>
      <w:lang w:val="en-US" w:eastAsia="zh-CN" w:bidi="ar-SA"/>
    </w:rPr>
  </w:style>
  <w:style w:type="character" w:customStyle="1" w:styleId="103">
    <w:name w:val="p1"/>
    <w:qFormat/>
    <w:uiPriority w:val="0"/>
    <w:rPr>
      <w:rFonts w:ascii="Calibri" w:hAnsi="Calibri" w:eastAsia="宋体" w:cs="Times New Roman"/>
    </w:rPr>
  </w:style>
  <w:style w:type="character" w:customStyle="1" w:styleId="104">
    <w:name w:val="HTML 预设格式 Char"/>
    <w:link w:val="51"/>
    <w:qFormat/>
    <w:uiPriority w:val="0"/>
    <w:rPr>
      <w:rFonts w:ascii="黑体" w:hAnsi="Courier New" w:eastAsia="黑体" w:cs="Courier New"/>
      <w:lang w:val="en-US" w:eastAsia="zh-CN" w:bidi="ar-SA"/>
    </w:rPr>
  </w:style>
  <w:style w:type="character" w:customStyle="1" w:styleId="105">
    <w:name w:val="style21"/>
    <w:qFormat/>
    <w:uiPriority w:val="0"/>
    <w:rPr>
      <w:rFonts w:ascii="Calibri" w:hAnsi="Calibri" w:eastAsia="宋体" w:cs="Times New Roman"/>
      <w:sz w:val="17"/>
      <w:szCs w:val="17"/>
    </w:rPr>
  </w:style>
  <w:style w:type="character" w:customStyle="1" w:styleId="106">
    <w:name w:val="纯文本 Char2"/>
    <w:link w:val="29"/>
    <w:qFormat/>
    <w:uiPriority w:val="0"/>
    <w:rPr>
      <w:rFonts w:ascii="宋体" w:hAnsi="Courier New" w:eastAsia="宋体" w:cs="Courier New"/>
      <w:kern w:val="2"/>
      <w:sz w:val="21"/>
      <w:szCs w:val="21"/>
      <w:lang w:val="en-US" w:eastAsia="zh-CN" w:bidi="ar-SA"/>
    </w:rPr>
  </w:style>
  <w:style w:type="character" w:customStyle="1" w:styleId="107">
    <w:name w:val="标题 1 Char"/>
    <w:link w:val="3"/>
    <w:qFormat/>
    <w:uiPriority w:val="0"/>
    <w:rPr>
      <w:rFonts w:ascii="Calibri" w:hAnsi="Calibri" w:eastAsia="宋体" w:cs="Times New Roman"/>
      <w:b/>
      <w:bCs/>
      <w:kern w:val="44"/>
      <w:sz w:val="44"/>
      <w:szCs w:val="44"/>
      <w:lang w:val="en-US" w:eastAsia="zh-CN" w:bidi="ar-SA"/>
    </w:rPr>
  </w:style>
  <w:style w:type="character" w:customStyle="1" w:styleId="108">
    <w:name w:val="graytext1"/>
    <w:qFormat/>
    <w:uiPriority w:val="0"/>
    <w:rPr>
      <w:rFonts w:ascii="Calibri" w:hAnsi="Calibri" w:eastAsia="宋体" w:cs="Times New Roman"/>
      <w:color w:val="666666"/>
    </w:rPr>
  </w:style>
  <w:style w:type="character" w:customStyle="1" w:styleId="109">
    <w:name w:val="1ji Char Char"/>
    <w:qFormat/>
    <w:uiPriority w:val="0"/>
    <w:rPr>
      <w:rFonts w:ascii="宋体" w:hAnsi="宋体" w:eastAsia="宋体" w:cs="Times New Roman"/>
      <w:b/>
      <w:bCs/>
      <w:kern w:val="44"/>
      <w:sz w:val="36"/>
      <w:szCs w:val="44"/>
    </w:rPr>
  </w:style>
  <w:style w:type="character" w:customStyle="1" w:styleId="110">
    <w:name w:val="Footer Char"/>
    <w:qFormat/>
    <w:uiPriority w:val="0"/>
    <w:rPr>
      <w:rFonts w:ascii="Calibri" w:hAnsi="Calibri" w:eastAsia="宋体" w:cs="Times New Roman"/>
      <w:kern w:val="2"/>
      <w:sz w:val="18"/>
      <w:szCs w:val="18"/>
      <w:lang w:val="en-US" w:eastAsia="zh-CN" w:bidi="ar-SA"/>
    </w:rPr>
  </w:style>
  <w:style w:type="character" w:customStyle="1" w:styleId="111">
    <w:name w:val="明显引用 Char1"/>
    <w:qFormat/>
    <w:uiPriority w:val="0"/>
    <w:rPr>
      <w:rFonts w:ascii="Times New Roman" w:hAnsi="Times New Roman" w:eastAsia="宋体" w:cs="Times New Roman"/>
      <w:b/>
      <w:bCs/>
      <w:i/>
      <w:iCs/>
      <w:color w:val="4F81BD"/>
      <w:szCs w:val="24"/>
    </w:rPr>
  </w:style>
  <w:style w:type="character" w:customStyle="1" w:styleId="112">
    <w:name w:val="页眉 Char"/>
    <w:link w:val="36"/>
    <w:qFormat/>
    <w:uiPriority w:val="0"/>
    <w:rPr>
      <w:rFonts w:ascii="Calibri" w:hAnsi="Calibri" w:eastAsia="宋体" w:cs="Times New Roman"/>
      <w:kern w:val="2"/>
      <w:sz w:val="18"/>
      <w:szCs w:val="18"/>
      <w:lang w:val="en-US" w:eastAsia="zh-CN" w:bidi="ar-SA"/>
    </w:rPr>
  </w:style>
  <w:style w:type="character" w:customStyle="1" w:styleId="113">
    <w:name w:val="手改 Char Char"/>
    <w:qFormat/>
    <w:uiPriority w:val="0"/>
    <w:rPr>
      <w:rFonts w:ascii="宋体" w:hAnsi="Calibri" w:eastAsia="宋体" w:cs="Times New Roman"/>
      <w:sz w:val="34"/>
      <w:lang w:val="en-US" w:eastAsia="zh-CN" w:bidi="ar-SA"/>
    </w:rPr>
  </w:style>
  <w:style w:type="character" w:customStyle="1" w:styleId="114">
    <w:name w:val="正文文本缩进 2 Char"/>
    <w:link w:val="32"/>
    <w:qFormat/>
    <w:uiPriority w:val="0"/>
    <w:rPr>
      <w:rFonts w:ascii="Calibri" w:hAnsi="Calibri" w:eastAsia="宋体" w:cs="Times New Roman"/>
      <w:kern w:val="2"/>
      <w:sz w:val="32"/>
      <w:lang w:val="en-US" w:eastAsia="zh-CN" w:bidi="ar-SA"/>
    </w:rPr>
  </w:style>
  <w:style w:type="character" w:customStyle="1" w:styleId="115">
    <w:name w:val="_Style 111"/>
    <w:qFormat/>
    <w:uiPriority w:val="0"/>
    <w:rPr>
      <w:rFonts w:ascii="Calibri" w:hAnsi="Calibri" w:eastAsia="宋体" w:cs="Times New Roman"/>
      <w:i/>
      <w:iCs/>
      <w:color w:val="808080"/>
    </w:rPr>
  </w:style>
  <w:style w:type="character" w:customStyle="1" w:styleId="116">
    <w:name w:val="标题 Char"/>
    <w:link w:val="54"/>
    <w:qFormat/>
    <w:uiPriority w:val="0"/>
    <w:rPr>
      <w:rFonts w:ascii="Cambria" w:hAnsi="Cambria" w:eastAsia="宋体" w:cs="Times New Roman"/>
      <w:b/>
      <w:bCs/>
      <w:kern w:val="2"/>
      <w:sz w:val="32"/>
      <w:szCs w:val="32"/>
      <w:lang w:bidi="ar-SA"/>
    </w:rPr>
  </w:style>
  <w:style w:type="character" w:customStyle="1" w:styleId="117">
    <w:name w:val="正文文本 2 Char"/>
    <w:link w:val="48"/>
    <w:qFormat/>
    <w:uiPriority w:val="0"/>
    <w:rPr>
      <w:rFonts w:ascii="Calibri" w:hAnsi="Calibri" w:eastAsia="宋体" w:cs="Times New Roman"/>
      <w:kern w:val="2"/>
      <w:sz w:val="21"/>
      <w:szCs w:val="24"/>
      <w:lang w:val="en-US" w:eastAsia="zh-CN" w:bidi="ar-SA"/>
    </w:rPr>
  </w:style>
  <w:style w:type="character" w:customStyle="1" w:styleId="118">
    <w:name w:val="Char Char20"/>
    <w:qFormat/>
    <w:uiPriority w:val="0"/>
    <w:rPr>
      <w:rFonts w:ascii="Times New Roman" w:hAnsi="Times New Roman" w:eastAsia="宋体" w:cs="Times New Roman"/>
      <w:b/>
      <w:bCs/>
      <w:sz w:val="24"/>
      <w:szCs w:val="32"/>
    </w:rPr>
  </w:style>
  <w:style w:type="character" w:customStyle="1" w:styleId="119">
    <w:name w:val="日期 Char1"/>
    <w:qFormat/>
    <w:uiPriority w:val="0"/>
    <w:rPr>
      <w:rFonts w:ascii="Times New Roman" w:hAnsi="Times New Roman" w:eastAsia="宋体" w:cs="Times New Roman"/>
      <w:szCs w:val="24"/>
    </w:rPr>
  </w:style>
  <w:style w:type="character" w:customStyle="1" w:styleId="120">
    <w:name w:val="批注框文本 Char1"/>
    <w:qFormat/>
    <w:uiPriority w:val="0"/>
    <w:rPr>
      <w:rFonts w:ascii="Times New Roman" w:hAnsi="Times New Roman" w:eastAsia="宋体" w:cs="Times New Roman"/>
      <w:sz w:val="18"/>
      <w:szCs w:val="18"/>
    </w:rPr>
  </w:style>
  <w:style w:type="character" w:customStyle="1" w:styleId="121">
    <w:name w:val="H5 Char"/>
    <w:qFormat/>
    <w:uiPriority w:val="0"/>
    <w:rPr>
      <w:rFonts w:ascii="Calibri" w:hAnsi="Calibri" w:eastAsia="宋体" w:cs="Times New Roman"/>
      <w:b/>
      <w:kern w:val="2"/>
      <w:sz w:val="28"/>
      <w:lang w:val="en-US" w:eastAsia="zh-CN" w:bidi="ar-SA"/>
    </w:rPr>
  </w:style>
  <w:style w:type="character" w:customStyle="1" w:styleId="122">
    <w:name w:val="标题 6 Char"/>
    <w:link w:val="9"/>
    <w:qFormat/>
    <w:uiPriority w:val="0"/>
    <w:rPr>
      <w:rFonts w:ascii="Arial" w:hAnsi="Arial" w:eastAsia="黑体"/>
      <w:b/>
      <w:kern w:val="2"/>
      <w:sz w:val="24"/>
      <w:szCs w:val="24"/>
      <w:lang w:val="en-US" w:eastAsia="zh-CN" w:bidi="ar-SA"/>
    </w:rPr>
  </w:style>
  <w:style w:type="character" w:customStyle="1" w:styleId="123">
    <w:name w:val="white"/>
    <w:qFormat/>
    <w:uiPriority w:val="0"/>
    <w:rPr>
      <w:rFonts w:ascii="Calibri" w:hAnsi="Calibri" w:eastAsia="宋体" w:cs="Times New Roman"/>
    </w:rPr>
  </w:style>
  <w:style w:type="character" w:customStyle="1" w:styleId="124">
    <w:name w:val="标题 3 Char"/>
    <w:link w:val="5"/>
    <w:qFormat/>
    <w:uiPriority w:val="0"/>
    <w:rPr>
      <w:rFonts w:ascii="Calibri" w:hAnsi="Calibri" w:eastAsia="黑体" w:cs="Times New Roman"/>
      <w:b/>
      <w:bCs/>
      <w:kern w:val="2"/>
      <w:sz w:val="21"/>
      <w:szCs w:val="32"/>
      <w:lang w:bidi="ar-SA"/>
    </w:rPr>
  </w:style>
  <w:style w:type="character" w:customStyle="1" w:styleId="125">
    <w:name w:val="批注主题 Char"/>
    <w:link w:val="55"/>
    <w:qFormat/>
    <w:uiPriority w:val="0"/>
    <w:rPr>
      <w:rFonts w:ascii="Calibri" w:hAnsi="Calibri" w:eastAsia="宋体" w:cs="Times New Roman"/>
      <w:b/>
      <w:bCs/>
      <w:kern w:val="2"/>
      <w:sz w:val="21"/>
      <w:szCs w:val="24"/>
      <w:lang w:bidi="ar-SA"/>
    </w:rPr>
  </w:style>
  <w:style w:type="character" w:customStyle="1" w:styleId="126">
    <w:name w:val="Comment Subject Char"/>
    <w:qFormat/>
    <w:uiPriority w:val="0"/>
    <w:rPr>
      <w:rFonts w:ascii="Calibri" w:hAnsi="Calibri" w:eastAsia="宋体" w:cs="Times New Roman"/>
      <w:b/>
      <w:sz w:val="24"/>
      <w:lang w:bidi="ar-SA"/>
    </w:rPr>
  </w:style>
  <w:style w:type="character" w:customStyle="1" w:styleId="127">
    <w:name w:val="Heading 3 Char1"/>
    <w:qFormat/>
    <w:uiPriority w:val="0"/>
    <w:rPr>
      <w:rFonts w:ascii="Calibri" w:hAnsi="Calibri" w:eastAsia="宋体" w:cs="Times New Roman"/>
      <w:b/>
      <w:bCs/>
      <w:kern w:val="2"/>
      <w:sz w:val="24"/>
      <w:szCs w:val="32"/>
      <w:lang w:val="en-US" w:eastAsia="zh-CN" w:bidi="ar-SA"/>
    </w:rPr>
  </w:style>
  <w:style w:type="character" w:customStyle="1" w:styleId="128">
    <w:name w:val="Char Char18"/>
    <w:qFormat/>
    <w:uiPriority w:val="0"/>
    <w:rPr>
      <w:rFonts w:ascii="Times New Roman" w:hAnsi="Times New Roman" w:eastAsia="宋体" w:cs="Times New Roman"/>
      <w:b/>
      <w:bCs/>
      <w:sz w:val="28"/>
      <w:szCs w:val="28"/>
    </w:rPr>
  </w:style>
  <w:style w:type="character" w:customStyle="1" w:styleId="129">
    <w:name w:val="apple-style-span"/>
    <w:qFormat/>
    <w:uiPriority w:val="0"/>
    <w:rPr>
      <w:rFonts w:ascii="Calibri" w:hAnsi="Calibri" w:eastAsia="宋体" w:cs="Times New Roman"/>
    </w:rPr>
  </w:style>
  <w:style w:type="character" w:customStyle="1" w:styleId="130">
    <w:name w:val="Char Char22"/>
    <w:qFormat/>
    <w:uiPriority w:val="0"/>
    <w:rPr>
      <w:rFonts w:ascii="Times New Roman" w:hAnsi="Times New Roman" w:eastAsia="宋体" w:cs="Times New Roman"/>
      <w:b/>
      <w:bCs/>
      <w:kern w:val="44"/>
      <w:sz w:val="32"/>
      <w:szCs w:val="44"/>
    </w:rPr>
  </w:style>
  <w:style w:type="character" w:customStyle="1" w:styleId="131">
    <w:name w:val="标题 2 Char"/>
    <w:link w:val="4"/>
    <w:qFormat/>
    <w:uiPriority w:val="0"/>
    <w:rPr>
      <w:rFonts w:ascii="Arial" w:hAnsi="Arial" w:eastAsia="黑体" w:cs="Times New Roman"/>
      <w:b/>
      <w:bCs/>
      <w:kern w:val="2"/>
      <w:sz w:val="21"/>
      <w:szCs w:val="32"/>
      <w:lang w:bidi="ar-SA"/>
    </w:rPr>
  </w:style>
  <w:style w:type="character" w:customStyle="1" w:styleId="132">
    <w:name w:val="Char Char17"/>
    <w:qFormat/>
    <w:uiPriority w:val="0"/>
    <w:rPr>
      <w:rFonts w:ascii="Calibri" w:hAnsi="Calibri" w:eastAsia="黑体" w:cs="Times New Roman"/>
      <w:b/>
      <w:bCs/>
      <w:kern w:val="44"/>
      <w:sz w:val="32"/>
      <w:szCs w:val="44"/>
    </w:rPr>
  </w:style>
  <w:style w:type="character" w:customStyle="1" w:styleId="133">
    <w:name w:val="脚注文本 Char"/>
    <w:link w:val="41"/>
    <w:qFormat/>
    <w:uiPriority w:val="0"/>
    <w:rPr>
      <w:rFonts w:ascii="Calibri" w:hAnsi="Calibri" w:eastAsia="宋体" w:cs="Times New Roman"/>
      <w:sz w:val="18"/>
      <w:lang w:bidi="ar-SA"/>
    </w:rPr>
  </w:style>
  <w:style w:type="character" w:customStyle="1" w:styleId="134">
    <w:name w:val="_Style 130"/>
    <w:qFormat/>
    <w:uiPriority w:val="0"/>
    <w:rPr>
      <w:rFonts w:ascii="Calibri" w:hAnsi="Calibri" w:eastAsia="宋体" w:cs="Times New Roman"/>
      <w:b/>
      <w:bCs/>
      <w:smallCaps/>
      <w:spacing w:val="5"/>
    </w:rPr>
  </w:style>
  <w:style w:type="character" w:customStyle="1" w:styleId="135">
    <w:name w:val="正文缩进 Char"/>
    <w:link w:val="8"/>
    <w:qFormat/>
    <w:uiPriority w:val="0"/>
    <w:rPr>
      <w:rFonts w:ascii="Calibri" w:hAnsi="Calibri" w:eastAsia="宋体" w:cs="Times New Roman"/>
      <w:kern w:val="2"/>
      <w:sz w:val="21"/>
      <w:lang w:val="en-US" w:eastAsia="zh-CN" w:bidi="ar-SA"/>
    </w:rPr>
  </w:style>
  <w:style w:type="character" w:customStyle="1" w:styleId="136">
    <w:name w:val="标题 8 Char"/>
    <w:link w:val="11"/>
    <w:qFormat/>
    <w:uiPriority w:val="0"/>
    <w:rPr>
      <w:rFonts w:ascii="Arial" w:hAnsi="Arial" w:eastAsia="黑体"/>
      <w:kern w:val="2"/>
      <w:sz w:val="24"/>
      <w:szCs w:val="24"/>
      <w:lang w:val="en-US" w:eastAsia="zh-CN" w:bidi="ar-SA"/>
    </w:rPr>
  </w:style>
  <w:style w:type="character" w:customStyle="1" w:styleId="137">
    <w:name w:val="标题 Char2"/>
    <w:qFormat/>
    <w:uiPriority w:val="0"/>
    <w:rPr>
      <w:rFonts w:ascii="Cambria" w:hAnsi="Cambria" w:eastAsia="宋体" w:cs="Times New Roman"/>
      <w:b/>
      <w:bCs/>
      <w:sz w:val="32"/>
      <w:szCs w:val="32"/>
    </w:rPr>
  </w:style>
  <w:style w:type="character" w:customStyle="1" w:styleId="138">
    <w:name w:val="正文文本缩进 Char"/>
    <w:link w:val="22"/>
    <w:qFormat/>
    <w:uiPriority w:val="0"/>
    <w:rPr>
      <w:rFonts w:ascii="仿宋_GB2312" w:hAnsi="Calibri" w:eastAsia="仿宋_GB2312" w:cs="Times New Roman"/>
      <w:kern w:val="2"/>
      <w:sz w:val="32"/>
      <w:lang w:val="en-US" w:eastAsia="zh-CN" w:bidi="ar-SA"/>
    </w:rPr>
  </w:style>
  <w:style w:type="character" w:customStyle="1" w:styleId="139">
    <w:name w:val="无间隔 Char Char"/>
    <w:qFormat/>
    <w:uiPriority w:val="0"/>
    <w:rPr>
      <w:rFonts w:ascii="Calibri" w:hAnsi="Calibri" w:eastAsia="宋体" w:cs="Times New Roman"/>
      <w:sz w:val="22"/>
      <w:szCs w:val="22"/>
      <w:lang w:val="en-US" w:eastAsia="zh-CN" w:bidi="ar-SA"/>
    </w:rPr>
  </w:style>
  <w:style w:type="character" w:customStyle="1" w:styleId="140">
    <w:name w:val="font51"/>
    <w:basedOn w:val="60"/>
    <w:qFormat/>
    <w:uiPriority w:val="0"/>
    <w:rPr>
      <w:rFonts w:hint="default" w:ascii="Times New Roman" w:hAnsi="Times New Roman" w:eastAsia="宋体" w:cs="Times New Roman"/>
      <w:color w:val="000000"/>
      <w:sz w:val="22"/>
      <w:szCs w:val="22"/>
      <w:u w:val="none"/>
    </w:rPr>
  </w:style>
  <w:style w:type="character" w:customStyle="1" w:styleId="141">
    <w:name w:val="批注框文本 Char"/>
    <w:link w:val="34"/>
    <w:qFormat/>
    <w:uiPriority w:val="0"/>
    <w:rPr>
      <w:rFonts w:ascii="Calibri" w:hAnsi="Calibri" w:eastAsia="宋体" w:cs="Times New Roman"/>
      <w:kern w:val="2"/>
      <w:sz w:val="18"/>
      <w:szCs w:val="18"/>
      <w:lang w:val="en-US" w:eastAsia="zh-CN" w:bidi="ar-SA"/>
    </w:rPr>
  </w:style>
  <w:style w:type="character" w:customStyle="1" w:styleId="142">
    <w:name w:val="font41"/>
    <w:basedOn w:val="60"/>
    <w:qFormat/>
    <w:uiPriority w:val="0"/>
    <w:rPr>
      <w:rFonts w:hint="eastAsia" w:ascii="宋体" w:hAnsi="宋体" w:eastAsia="宋体" w:cs="宋体"/>
      <w:color w:val="000000"/>
      <w:sz w:val="21"/>
      <w:szCs w:val="21"/>
      <w:u w:val="none"/>
    </w:rPr>
  </w:style>
  <w:style w:type="character" w:customStyle="1" w:styleId="143">
    <w:name w:val="mark8"/>
    <w:qFormat/>
    <w:uiPriority w:val="0"/>
    <w:rPr>
      <w:rFonts w:ascii="Calibri" w:hAnsi="Calibri" w:eastAsia="宋体" w:cs="Times New Roman"/>
      <w:b/>
      <w:bCs/>
      <w:sz w:val="21"/>
      <w:szCs w:val="21"/>
    </w:rPr>
  </w:style>
  <w:style w:type="character" w:customStyle="1" w:styleId="144">
    <w:name w:val="标题 Char3"/>
    <w:qFormat/>
    <w:uiPriority w:val="0"/>
    <w:rPr>
      <w:rFonts w:ascii="Cambria" w:hAnsi="Cambria" w:eastAsia="宋体" w:cs="Times New Roman"/>
      <w:b/>
      <w:bCs/>
      <w:sz w:val="32"/>
      <w:szCs w:val="32"/>
    </w:rPr>
  </w:style>
  <w:style w:type="character" w:customStyle="1" w:styleId="145">
    <w:name w:val="fontstyle01"/>
    <w:qFormat/>
    <w:uiPriority w:val="0"/>
    <w:rPr>
      <w:rFonts w:ascii="宋体" w:hAnsi="宋体" w:eastAsia="宋体" w:cs="宋体"/>
      <w:color w:val="000000"/>
      <w:sz w:val="22"/>
      <w:szCs w:val="22"/>
    </w:rPr>
  </w:style>
  <w:style w:type="character" w:customStyle="1" w:styleId="146">
    <w:name w:val="Char Char25"/>
    <w:qFormat/>
    <w:uiPriority w:val="0"/>
    <w:rPr>
      <w:rFonts w:ascii="Calibri" w:hAnsi="Calibri" w:eastAsia="宋体" w:cs="Times New Roman"/>
      <w:b/>
      <w:bCs/>
      <w:sz w:val="32"/>
      <w:szCs w:val="32"/>
      <w:lang w:bidi="ar-SA"/>
    </w:rPr>
  </w:style>
  <w:style w:type="character" w:customStyle="1" w:styleId="147">
    <w:name w:val="纯文本 Char"/>
    <w:qFormat/>
    <w:uiPriority w:val="0"/>
    <w:rPr>
      <w:rFonts w:ascii="宋体" w:hAnsi="Courier New" w:eastAsia="宋体" w:cs="Courier New"/>
      <w:kern w:val="2"/>
      <w:sz w:val="21"/>
      <w:szCs w:val="21"/>
      <w:lang w:val="en-US" w:eastAsia="zh-CN" w:bidi="ar-SA"/>
    </w:rPr>
  </w:style>
  <w:style w:type="character" w:customStyle="1" w:styleId="148">
    <w:name w:val="Char Char9"/>
    <w:qFormat/>
    <w:uiPriority w:val="0"/>
    <w:rPr>
      <w:rFonts w:ascii="Calibri" w:hAnsi="Calibri" w:eastAsia="宋体" w:cs="Times New Roman"/>
      <w:sz w:val="24"/>
      <w:lang w:bidi="ar-SA"/>
    </w:rPr>
  </w:style>
  <w:style w:type="character" w:customStyle="1" w:styleId="149">
    <w:name w:val="fo Char"/>
    <w:qFormat/>
    <w:uiPriority w:val="0"/>
    <w:rPr>
      <w:rFonts w:ascii="Calibri" w:hAnsi="Calibri" w:eastAsia="宋体" w:cs="Times New Roman"/>
      <w:kern w:val="2"/>
      <w:sz w:val="18"/>
      <w:szCs w:val="18"/>
      <w:lang w:val="en-US" w:eastAsia="zh-CN" w:bidi="ar-SA"/>
    </w:rPr>
  </w:style>
  <w:style w:type="character" w:customStyle="1" w:styleId="150">
    <w:name w:val="Body Text Char"/>
    <w:qFormat/>
    <w:uiPriority w:val="0"/>
    <w:rPr>
      <w:rFonts w:ascii="Calibri" w:hAnsi="Calibri" w:eastAsia="宋体" w:cs="Times New Roman"/>
      <w:kern w:val="2"/>
      <w:sz w:val="24"/>
      <w:szCs w:val="24"/>
      <w:lang w:val="en-US" w:eastAsia="zh-CN" w:bidi="ar-SA"/>
    </w:rPr>
  </w:style>
  <w:style w:type="character" w:customStyle="1" w:styleId="151">
    <w:name w:val="text11"/>
    <w:qFormat/>
    <w:uiPriority w:val="0"/>
    <w:rPr>
      <w:rFonts w:hint="default" w:ascii="Verdana" w:hAnsi="Verdana" w:eastAsia="宋体" w:cs="Times New Roman"/>
      <w:color w:val="4E4E4E"/>
      <w:sz w:val="18"/>
      <w:szCs w:val="18"/>
    </w:rPr>
  </w:style>
  <w:style w:type="character" w:customStyle="1" w:styleId="152">
    <w:name w:val="Title Char"/>
    <w:qFormat/>
    <w:uiPriority w:val="0"/>
    <w:rPr>
      <w:rFonts w:ascii="Cambria" w:hAnsi="Cambria" w:eastAsia="宋体" w:cs="Times New Roman"/>
      <w:b/>
      <w:sz w:val="32"/>
      <w:lang w:bidi="ar-SA"/>
    </w:rPr>
  </w:style>
  <w:style w:type="character" w:customStyle="1" w:styleId="153">
    <w:name w:val="批注文字 Char"/>
    <w:qFormat/>
    <w:uiPriority w:val="0"/>
    <w:rPr>
      <w:rFonts w:ascii="Calibri" w:hAnsi="Calibri" w:eastAsia="宋体" w:cs="Times New Roman"/>
      <w:kern w:val="2"/>
      <w:sz w:val="21"/>
      <w:szCs w:val="24"/>
    </w:rPr>
  </w:style>
  <w:style w:type="character" w:customStyle="1" w:styleId="154">
    <w:name w:val="Char Char221"/>
    <w:qFormat/>
    <w:uiPriority w:val="0"/>
    <w:rPr>
      <w:rFonts w:ascii="Calibri" w:hAnsi="Calibri" w:eastAsia="宋体" w:cs="Times New Roman"/>
      <w:b/>
      <w:kern w:val="2"/>
      <w:sz w:val="28"/>
      <w:szCs w:val="24"/>
      <w:lang w:val="en-US" w:eastAsia="zh-CN" w:bidi="ar-SA"/>
    </w:rPr>
  </w:style>
  <w:style w:type="character" w:customStyle="1" w:styleId="155">
    <w:name w:val="fontstyle21"/>
    <w:qFormat/>
    <w:uiPriority w:val="0"/>
    <w:rPr>
      <w:rFonts w:ascii="TimesNewRomanPSMT" w:hAnsi="TimesNewRomanPSMT" w:eastAsia="TimesNewRomanPSMT" w:cs="TimesNewRomanPSMT"/>
      <w:color w:val="000000"/>
      <w:sz w:val="22"/>
      <w:szCs w:val="22"/>
    </w:rPr>
  </w:style>
  <w:style w:type="character" w:customStyle="1" w:styleId="156">
    <w:name w:val="_Style 152"/>
    <w:qFormat/>
    <w:uiPriority w:val="0"/>
    <w:rPr>
      <w:rFonts w:ascii="Calibri" w:hAnsi="Calibri" w:eastAsia="宋体" w:cs="Times New Roman"/>
      <w:b/>
      <w:bCs/>
      <w:smallCaps/>
      <w:color w:val="C0504D"/>
      <w:spacing w:val="5"/>
      <w:u w:val="single"/>
    </w:rPr>
  </w:style>
  <w:style w:type="character" w:customStyle="1" w:styleId="157">
    <w:name w:val="Char Char21"/>
    <w:qFormat/>
    <w:uiPriority w:val="0"/>
    <w:rPr>
      <w:rFonts w:ascii="Arial" w:hAnsi="Arial" w:eastAsia="黑体" w:cs="Times New Roman"/>
      <w:b/>
      <w:bCs/>
      <w:sz w:val="32"/>
      <w:szCs w:val="32"/>
    </w:rPr>
  </w:style>
  <w:style w:type="character" w:customStyle="1" w:styleId="158">
    <w:name w:val="small"/>
    <w:qFormat/>
    <w:uiPriority w:val="0"/>
    <w:rPr>
      <w:rFonts w:ascii="Calibri" w:hAnsi="Calibri" w:eastAsia="宋体" w:cs="Times New Roman"/>
    </w:rPr>
  </w:style>
  <w:style w:type="character" w:customStyle="1" w:styleId="159">
    <w:name w:val="Char Char16"/>
    <w:qFormat/>
    <w:uiPriority w:val="0"/>
    <w:rPr>
      <w:rFonts w:ascii="Arial" w:hAnsi="Arial" w:eastAsia="宋体" w:cs="Times New Roman"/>
      <w:b/>
      <w:bCs/>
      <w:kern w:val="2"/>
      <w:sz w:val="32"/>
      <w:szCs w:val="32"/>
      <w:lang w:bidi="ar-SA"/>
    </w:rPr>
  </w:style>
  <w:style w:type="character" w:customStyle="1" w:styleId="160">
    <w:name w:val="style54"/>
    <w:qFormat/>
    <w:uiPriority w:val="0"/>
    <w:rPr>
      <w:rFonts w:ascii="Calibri" w:hAnsi="Calibri" w:eastAsia="宋体" w:cs="Times New Roman"/>
    </w:rPr>
  </w:style>
  <w:style w:type="character" w:customStyle="1" w:styleId="161">
    <w:name w:val="gray12"/>
    <w:qFormat/>
    <w:uiPriority w:val="0"/>
    <w:rPr>
      <w:rFonts w:ascii="Calibri" w:hAnsi="Calibri" w:eastAsia="宋体" w:cs="Times New Roman"/>
    </w:rPr>
  </w:style>
  <w:style w:type="character" w:customStyle="1" w:styleId="162">
    <w:name w:val="Heading 5 Char"/>
    <w:qFormat/>
    <w:uiPriority w:val="0"/>
    <w:rPr>
      <w:rFonts w:ascii="Calibri" w:hAnsi="Calibri" w:eastAsia="宋体" w:cs="Times New Roman"/>
      <w:b/>
      <w:bCs/>
      <w:kern w:val="2"/>
      <w:sz w:val="28"/>
      <w:szCs w:val="28"/>
      <w:lang w:val="en-US" w:eastAsia="zh-CN" w:bidi="ar-SA"/>
    </w:rPr>
  </w:style>
  <w:style w:type="character" w:customStyle="1" w:styleId="163">
    <w:name w:val="Char Char26"/>
    <w:qFormat/>
    <w:uiPriority w:val="0"/>
    <w:rPr>
      <w:rFonts w:ascii="Arial" w:hAnsi="Arial" w:eastAsia="黑体" w:cs="Times New Roman"/>
      <w:b/>
      <w:bCs/>
      <w:sz w:val="32"/>
      <w:szCs w:val="32"/>
      <w:lang w:bidi="ar-SA"/>
    </w:rPr>
  </w:style>
  <w:style w:type="character" w:customStyle="1" w:styleId="164">
    <w:name w:val="cucd-0 Char1"/>
    <w:link w:val="165"/>
    <w:qFormat/>
    <w:uiPriority w:val="0"/>
    <w:rPr>
      <w:rFonts w:eastAsia="Times New Roman"/>
      <w:kern w:val="2"/>
      <w:sz w:val="24"/>
      <w:szCs w:val="24"/>
      <w:lang w:val="en-US" w:eastAsia="zh-CN" w:bidi="ar-SA"/>
    </w:rPr>
  </w:style>
  <w:style w:type="paragraph" w:customStyle="1" w:styleId="165">
    <w:name w:val="cucd-0"/>
    <w:link w:val="164"/>
    <w:qFormat/>
    <w:uiPriority w:val="0"/>
    <w:pPr>
      <w:spacing w:line="360" w:lineRule="auto"/>
      <w:ind w:firstLine="480" w:firstLineChars="200"/>
    </w:pPr>
    <w:rPr>
      <w:rFonts w:ascii="Times New Roman" w:hAnsi="Times New Roman" w:eastAsia="Times New Roman" w:cs="Times New Roman"/>
      <w:kern w:val="2"/>
      <w:sz w:val="24"/>
      <w:szCs w:val="24"/>
      <w:lang w:val="en-US" w:eastAsia="zh-CN" w:bidi="ar-SA"/>
    </w:rPr>
  </w:style>
  <w:style w:type="character" w:customStyle="1" w:styleId="166">
    <w:name w:val="H1 Char1"/>
    <w:qFormat/>
    <w:uiPriority w:val="0"/>
    <w:rPr>
      <w:rFonts w:ascii="Calibri" w:hAnsi="Calibri" w:eastAsia="宋体" w:cs="Times New Roman"/>
      <w:b/>
      <w:bCs/>
      <w:kern w:val="2"/>
      <w:sz w:val="21"/>
      <w:szCs w:val="24"/>
      <w:lang w:val="en-US" w:eastAsia="zh-CN" w:bidi="ar-SA"/>
    </w:rPr>
  </w:style>
  <w:style w:type="character" w:customStyle="1" w:styleId="167">
    <w:name w:val="Heading 3 Char"/>
    <w:qFormat/>
    <w:uiPriority w:val="0"/>
    <w:rPr>
      <w:rFonts w:ascii="Calibri" w:hAnsi="Calibri" w:eastAsia="宋体" w:cs="Times New Roman"/>
      <w:b/>
      <w:bCs/>
      <w:kern w:val="2"/>
      <w:sz w:val="32"/>
      <w:szCs w:val="32"/>
    </w:rPr>
  </w:style>
  <w:style w:type="character" w:customStyle="1" w:styleId="168">
    <w:name w:val="正文文本 Char1"/>
    <w:qFormat/>
    <w:uiPriority w:val="0"/>
    <w:rPr>
      <w:rFonts w:ascii="Calibri" w:hAnsi="Calibri" w:eastAsia="宋体" w:cs="Times New Roman"/>
      <w:kern w:val="2"/>
      <w:sz w:val="21"/>
      <w:szCs w:val="22"/>
    </w:rPr>
  </w:style>
  <w:style w:type="character" w:customStyle="1" w:styleId="169">
    <w:name w:val="标题 Char1"/>
    <w:qFormat/>
    <w:uiPriority w:val="0"/>
    <w:rPr>
      <w:rFonts w:ascii="Cambria" w:hAnsi="Cambria" w:eastAsia="宋体" w:cs="Times New Roman"/>
      <w:b/>
      <w:bCs/>
      <w:sz w:val="32"/>
      <w:szCs w:val="32"/>
    </w:rPr>
  </w:style>
  <w:style w:type="character" w:customStyle="1" w:styleId="170">
    <w:name w:val="font61"/>
    <w:qFormat/>
    <w:uiPriority w:val="0"/>
    <w:rPr>
      <w:rFonts w:hint="eastAsia" w:ascii="宋体" w:hAnsi="宋体" w:eastAsia="宋体" w:cs="宋体"/>
      <w:b/>
      <w:color w:val="000000"/>
      <w:sz w:val="21"/>
      <w:szCs w:val="21"/>
      <w:u w:val="none"/>
    </w:rPr>
  </w:style>
  <w:style w:type="character" w:customStyle="1" w:styleId="171">
    <w:name w:val="Char Char2"/>
    <w:qFormat/>
    <w:uiPriority w:val="0"/>
    <w:rPr>
      <w:rFonts w:ascii="宋体" w:hAnsi="Courier New" w:eastAsia="宋体" w:cs="Times New Roman"/>
      <w:kern w:val="2"/>
      <w:sz w:val="21"/>
      <w:szCs w:val="24"/>
      <w:lang w:val="en-US" w:eastAsia="zh-CN" w:bidi="ar-SA"/>
    </w:rPr>
  </w:style>
  <w:style w:type="character" w:customStyle="1" w:styleId="172">
    <w:name w:val="Char Char27"/>
    <w:qFormat/>
    <w:uiPriority w:val="0"/>
    <w:rPr>
      <w:rFonts w:ascii="Calibri" w:hAnsi="Calibri" w:eastAsia="宋体" w:cs="Times New Roman"/>
      <w:b/>
      <w:bCs/>
      <w:kern w:val="44"/>
      <w:sz w:val="44"/>
      <w:szCs w:val="44"/>
      <w:lang w:val="en-US" w:eastAsia="zh-CN" w:bidi="ar-SA"/>
    </w:rPr>
  </w:style>
  <w:style w:type="character" w:customStyle="1" w:styleId="173">
    <w:name w:val="content2"/>
    <w:qFormat/>
    <w:uiPriority w:val="0"/>
    <w:rPr>
      <w:rFonts w:ascii="Calibri" w:hAnsi="Calibri" w:eastAsia="宋体" w:cs="Times New Roman"/>
    </w:rPr>
  </w:style>
  <w:style w:type="character" w:customStyle="1" w:styleId="174">
    <w:name w:val="Plain Text Char"/>
    <w:link w:val="175"/>
    <w:qFormat/>
    <w:uiPriority w:val="0"/>
    <w:rPr>
      <w:rFonts w:ascii="宋体" w:hAnsi="Courier New" w:eastAsia="宋体" w:cs="Times New Roman"/>
      <w:sz w:val="24"/>
      <w:lang w:bidi="ar-SA"/>
    </w:rPr>
  </w:style>
  <w:style w:type="paragraph" w:customStyle="1" w:styleId="175">
    <w:name w:val="纯文本1"/>
    <w:basedOn w:val="1"/>
    <w:link w:val="174"/>
    <w:qFormat/>
    <w:uiPriority w:val="0"/>
    <w:rPr>
      <w:rFonts w:ascii="宋体" w:hAnsi="Courier New"/>
      <w:kern w:val="0"/>
      <w:sz w:val="24"/>
      <w:szCs w:val="20"/>
    </w:rPr>
  </w:style>
  <w:style w:type="character" w:customStyle="1" w:styleId="176">
    <w:name w:val="批注文字 Char2"/>
    <w:qFormat/>
    <w:uiPriority w:val="0"/>
    <w:rPr>
      <w:rFonts w:ascii="Calibri" w:hAnsi="Calibri" w:eastAsia="宋体" w:cs="Times New Roman"/>
      <w:kern w:val="2"/>
      <w:sz w:val="21"/>
      <w:szCs w:val="24"/>
      <w:lang w:val="en-US" w:eastAsia="zh-CN" w:bidi="ar-SA"/>
    </w:rPr>
  </w:style>
  <w:style w:type="character" w:customStyle="1" w:styleId="177">
    <w:name w:val="Char Char23"/>
    <w:qFormat/>
    <w:uiPriority w:val="0"/>
    <w:rPr>
      <w:rFonts w:ascii="Calibri" w:hAnsi="Calibri" w:eastAsia="宋体" w:cs="Times New Roman"/>
      <w:b/>
      <w:bCs/>
      <w:kern w:val="44"/>
      <w:sz w:val="32"/>
      <w:szCs w:val="44"/>
      <w:lang w:val="en-US" w:eastAsia="zh-CN" w:bidi="ar-SA"/>
    </w:rPr>
  </w:style>
  <w:style w:type="character" w:customStyle="1" w:styleId="178">
    <w:name w:val="批注文字 Char Char"/>
    <w:qFormat/>
    <w:uiPriority w:val="0"/>
    <w:rPr>
      <w:rFonts w:ascii="宋体" w:hAnsi="Times New Roman" w:eastAsia="宋体" w:cs="Times New Roman"/>
      <w:sz w:val="28"/>
      <w:szCs w:val="20"/>
    </w:rPr>
  </w:style>
  <w:style w:type="character" w:customStyle="1" w:styleId="179">
    <w:name w:val="Document Map Char"/>
    <w:qFormat/>
    <w:uiPriority w:val="0"/>
    <w:rPr>
      <w:rFonts w:ascii="Calibri" w:hAnsi="Calibri" w:eastAsia="宋体" w:cs="Times New Roman"/>
      <w:kern w:val="2"/>
      <w:sz w:val="21"/>
      <w:szCs w:val="24"/>
      <w:lang w:val="en-US" w:eastAsia="zh-CN" w:bidi="ar-SA"/>
    </w:rPr>
  </w:style>
  <w:style w:type="character" w:customStyle="1" w:styleId="180">
    <w:name w:val="标题4 Char Char"/>
    <w:qFormat/>
    <w:uiPriority w:val="0"/>
    <w:rPr>
      <w:rFonts w:ascii="Arial" w:hAnsi="Arial" w:eastAsia="宋体" w:cs="Times New Roman"/>
      <w:b/>
      <w:bCs/>
      <w:sz w:val="24"/>
      <w:szCs w:val="32"/>
      <w:lang w:bidi="ar-SA"/>
    </w:rPr>
  </w:style>
  <w:style w:type="character" w:customStyle="1" w:styleId="181">
    <w:name w:val="Plain Text Char1"/>
    <w:qFormat/>
    <w:uiPriority w:val="0"/>
    <w:rPr>
      <w:rFonts w:ascii="宋体" w:hAnsi="Courier New" w:eastAsia="宋体" w:cs="Times New Roman"/>
      <w:kern w:val="2"/>
      <w:sz w:val="21"/>
      <w:lang w:val="en-US" w:eastAsia="zh-CN"/>
    </w:rPr>
  </w:style>
  <w:style w:type="character" w:customStyle="1" w:styleId="182">
    <w:name w:val="Char Char14"/>
    <w:qFormat/>
    <w:uiPriority w:val="0"/>
    <w:rPr>
      <w:rFonts w:ascii="Calibri" w:hAnsi="Calibri" w:eastAsia="宋体" w:cs="Times New Roman"/>
      <w:sz w:val="18"/>
      <w:szCs w:val="18"/>
    </w:rPr>
  </w:style>
  <w:style w:type="character" w:customStyle="1" w:styleId="183">
    <w:name w:val="font11"/>
    <w:qFormat/>
    <w:uiPriority w:val="0"/>
    <w:rPr>
      <w:rFonts w:hint="eastAsia" w:ascii="宋体" w:hAnsi="宋体" w:eastAsia="宋体" w:cs="宋体"/>
      <w:color w:val="000000"/>
      <w:sz w:val="22"/>
      <w:szCs w:val="22"/>
      <w:u w:val="none"/>
    </w:rPr>
  </w:style>
  <w:style w:type="character" w:customStyle="1" w:styleId="184">
    <w:name w:val="header odd Char Char"/>
    <w:qFormat/>
    <w:uiPriority w:val="0"/>
    <w:rPr>
      <w:rFonts w:ascii="宋体" w:hAnsi="Courier New" w:eastAsia="宋体" w:cs="Times New Roman"/>
      <w:kern w:val="2"/>
      <w:sz w:val="18"/>
      <w:lang w:val="en-US" w:eastAsia="zh-CN" w:bidi="ar-SA"/>
    </w:rPr>
  </w:style>
  <w:style w:type="character" w:customStyle="1" w:styleId="185">
    <w:name w:val="Date Char"/>
    <w:qFormat/>
    <w:uiPriority w:val="0"/>
    <w:rPr>
      <w:rFonts w:ascii="Calibri" w:hAnsi="Calibri" w:eastAsia="宋体" w:cs="Times New Roman"/>
      <w:kern w:val="2"/>
      <w:sz w:val="21"/>
      <w:szCs w:val="24"/>
      <w:lang w:val="en-US" w:eastAsia="zh-CN" w:bidi="ar-SA"/>
    </w:rPr>
  </w:style>
  <w:style w:type="character" w:customStyle="1" w:styleId="186">
    <w:name w:val="Footnote Text Char"/>
    <w:qFormat/>
    <w:uiPriority w:val="0"/>
    <w:rPr>
      <w:rFonts w:ascii="Calibri" w:hAnsi="Calibri" w:eastAsia="宋体" w:cs="Times New Roman"/>
      <w:sz w:val="18"/>
      <w:lang w:val="en-US" w:eastAsia="zh-CN" w:bidi="ar-SA"/>
    </w:rPr>
  </w:style>
  <w:style w:type="character" w:customStyle="1" w:styleId="187">
    <w:name w:val="unnamed21"/>
    <w:qFormat/>
    <w:uiPriority w:val="0"/>
    <w:rPr>
      <w:rFonts w:ascii="Calibri" w:hAnsi="Calibri" w:eastAsia="宋体" w:cs="Times New Roman"/>
    </w:rPr>
  </w:style>
  <w:style w:type="character" w:customStyle="1" w:styleId="188">
    <w:name w:val="文档结构图 Char1"/>
    <w:qFormat/>
    <w:uiPriority w:val="0"/>
    <w:rPr>
      <w:rFonts w:ascii="宋体" w:hAnsi="Times New Roman" w:eastAsia="宋体" w:cs="Times New Roman"/>
      <w:sz w:val="18"/>
      <w:szCs w:val="18"/>
    </w:rPr>
  </w:style>
  <w:style w:type="character" w:customStyle="1" w:styleId="189">
    <w:name w:val="Char Char181"/>
    <w:qFormat/>
    <w:uiPriority w:val="0"/>
    <w:rPr>
      <w:rFonts w:ascii="Arial" w:hAnsi="Arial" w:eastAsia="黑体" w:cs="Times New Roman"/>
      <w:kern w:val="2"/>
      <w:sz w:val="21"/>
      <w:szCs w:val="24"/>
      <w:lang w:val="en-US" w:eastAsia="zh-CN" w:bidi="ar-SA"/>
    </w:rPr>
  </w:style>
  <w:style w:type="character" w:customStyle="1" w:styleId="190">
    <w:name w:val="普通文字 Char Char1"/>
    <w:qFormat/>
    <w:uiPriority w:val="0"/>
    <w:rPr>
      <w:rFonts w:ascii="宋体" w:hAnsi="Courier New" w:eastAsia="宋体" w:cs="Courier New"/>
      <w:kern w:val="2"/>
      <w:sz w:val="21"/>
      <w:szCs w:val="21"/>
      <w:lang w:val="en-US" w:eastAsia="zh-CN" w:bidi="ar-SA"/>
    </w:rPr>
  </w:style>
  <w:style w:type="character" w:customStyle="1" w:styleId="191">
    <w:name w:val="Char Char91"/>
    <w:qFormat/>
    <w:uiPriority w:val="0"/>
    <w:rPr>
      <w:rFonts w:ascii="Calibri" w:hAnsi="Calibri" w:eastAsia="宋体" w:cs="Times New Roman"/>
      <w:b/>
      <w:bCs/>
      <w:kern w:val="44"/>
      <w:sz w:val="32"/>
      <w:szCs w:val="44"/>
      <w:lang w:val="en-US" w:eastAsia="zh-CN" w:bidi="ar-SA"/>
    </w:rPr>
  </w:style>
  <w:style w:type="character" w:customStyle="1" w:styleId="192">
    <w:name w:val="引用 Char"/>
    <w:link w:val="193"/>
    <w:qFormat/>
    <w:uiPriority w:val="0"/>
    <w:rPr>
      <w:rFonts w:ascii="Calibri" w:hAnsi="Calibri" w:eastAsia="宋体" w:cs="Times New Roman"/>
      <w:i/>
      <w:iCs/>
      <w:color w:val="000000"/>
      <w:lang w:bidi="ar-SA"/>
    </w:rPr>
  </w:style>
  <w:style w:type="paragraph" w:styleId="193">
    <w:name w:val="Quote"/>
    <w:basedOn w:val="1"/>
    <w:next w:val="1"/>
    <w:link w:val="192"/>
    <w:qFormat/>
    <w:uiPriority w:val="0"/>
    <w:rPr>
      <w:i/>
      <w:iCs/>
      <w:color w:val="000000"/>
      <w:kern w:val="0"/>
      <w:sz w:val="20"/>
      <w:szCs w:val="20"/>
    </w:rPr>
  </w:style>
  <w:style w:type="character" w:customStyle="1" w:styleId="194">
    <w:name w:val="Char Char211"/>
    <w:qFormat/>
    <w:uiPriority w:val="0"/>
    <w:rPr>
      <w:rFonts w:ascii="Arial" w:hAnsi="Arial" w:eastAsia="黑体" w:cs="Times New Roman"/>
      <w:b/>
      <w:kern w:val="2"/>
      <w:sz w:val="24"/>
      <w:szCs w:val="24"/>
      <w:lang w:val="en-US" w:eastAsia="zh-CN" w:bidi="ar-SA"/>
    </w:rPr>
  </w:style>
  <w:style w:type="character" w:customStyle="1" w:styleId="195">
    <w:name w:val="Comment Text Char1"/>
    <w:qFormat/>
    <w:uiPriority w:val="0"/>
    <w:rPr>
      <w:rFonts w:ascii="Calibri" w:hAnsi="Calibri" w:eastAsia="宋体" w:cs="Times New Roman"/>
      <w:sz w:val="24"/>
      <w:lang w:bidi="ar-SA"/>
    </w:rPr>
  </w:style>
  <w:style w:type="character" w:customStyle="1" w:styleId="196">
    <w:name w:val="Heading 1 Char"/>
    <w:qFormat/>
    <w:uiPriority w:val="0"/>
    <w:rPr>
      <w:rFonts w:ascii="Calibri" w:hAnsi="Calibri" w:eastAsia="宋体" w:cs="Times New Roman"/>
      <w:b/>
      <w:bCs/>
      <w:kern w:val="44"/>
      <w:sz w:val="32"/>
      <w:szCs w:val="44"/>
      <w:lang w:val="en-US" w:eastAsia="zh-CN" w:bidi="ar-SA"/>
    </w:rPr>
  </w:style>
  <w:style w:type="character" w:customStyle="1" w:styleId="197">
    <w:name w:val="style161"/>
    <w:qFormat/>
    <w:uiPriority w:val="0"/>
    <w:rPr>
      <w:rFonts w:ascii="Calibri" w:hAnsi="Calibri" w:eastAsia="宋体" w:cs="Times New Roman"/>
      <w:color w:val="666666"/>
    </w:rPr>
  </w:style>
  <w:style w:type="character" w:customStyle="1" w:styleId="198">
    <w:name w:val="目录文字 Char"/>
    <w:link w:val="199"/>
    <w:qFormat/>
    <w:uiPriority w:val="0"/>
    <w:rPr>
      <w:rFonts w:ascii="宋体" w:hAnsi="宋体" w:eastAsia="宋体" w:cs="Times New Roman"/>
      <w:sz w:val="24"/>
      <w:lang w:val="en-US" w:eastAsia="zh-CN" w:bidi="ar-SA"/>
    </w:rPr>
  </w:style>
  <w:style w:type="paragraph" w:customStyle="1" w:styleId="199">
    <w:name w:val="目录文字"/>
    <w:basedOn w:val="1"/>
    <w:link w:val="198"/>
    <w:qFormat/>
    <w:uiPriority w:val="0"/>
    <w:pPr>
      <w:widowControl/>
      <w:spacing w:line="480" w:lineRule="auto"/>
      <w:jc w:val="left"/>
    </w:pPr>
    <w:rPr>
      <w:rFonts w:ascii="宋体" w:hAnsi="宋体"/>
      <w:kern w:val="0"/>
      <w:sz w:val="24"/>
      <w:szCs w:val="20"/>
    </w:rPr>
  </w:style>
  <w:style w:type="character" w:customStyle="1" w:styleId="200">
    <w:name w:val="小标题 Char"/>
    <w:qFormat/>
    <w:uiPriority w:val="0"/>
    <w:rPr>
      <w:rFonts w:ascii="Calibri" w:hAnsi="Calibri" w:eastAsia="宋体" w:cs="Times New Roman"/>
      <w:b/>
      <w:bCs/>
      <w:kern w:val="2"/>
      <w:sz w:val="32"/>
      <w:szCs w:val="32"/>
      <w:lang w:val="en-US" w:eastAsia="zh-CN" w:bidi="ar-SA"/>
    </w:rPr>
  </w:style>
  <w:style w:type="character" w:customStyle="1" w:styleId="201">
    <w:name w:val="列出段落 Char"/>
    <w:link w:val="202"/>
    <w:qFormat/>
    <w:uiPriority w:val="0"/>
    <w:rPr>
      <w:rFonts w:ascii="Calibri" w:hAnsi="Calibri" w:eastAsia="宋体" w:cs="Times New Roman"/>
      <w:kern w:val="2"/>
      <w:sz w:val="21"/>
      <w:szCs w:val="22"/>
      <w:lang w:val="en-US" w:eastAsia="zh-CN" w:bidi="ar-SA"/>
    </w:rPr>
  </w:style>
  <w:style w:type="paragraph" w:styleId="202">
    <w:name w:val="List Paragraph"/>
    <w:basedOn w:val="1"/>
    <w:link w:val="201"/>
    <w:qFormat/>
    <w:uiPriority w:val="0"/>
    <w:pPr>
      <w:ind w:firstLine="420" w:firstLineChars="200"/>
    </w:pPr>
    <w:rPr>
      <w:szCs w:val="22"/>
    </w:rPr>
  </w:style>
  <w:style w:type="character" w:customStyle="1" w:styleId="203">
    <w:name w:val="Char Char6"/>
    <w:qFormat/>
    <w:uiPriority w:val="0"/>
    <w:rPr>
      <w:rFonts w:ascii="宋体" w:hAnsi="Courier New" w:eastAsia="宋体" w:cs="Times New Roman"/>
      <w:kern w:val="2"/>
      <w:sz w:val="21"/>
      <w:lang w:val="en-US" w:eastAsia="zh-CN" w:bidi="ar-SA"/>
    </w:rPr>
  </w:style>
  <w:style w:type="character" w:customStyle="1" w:styleId="204">
    <w:name w:val="纯文本 Char1"/>
    <w:qFormat/>
    <w:uiPriority w:val="0"/>
    <w:rPr>
      <w:rFonts w:hint="eastAsia" w:ascii="宋体" w:hAnsi="Courier New" w:eastAsia="宋体" w:cs="Courier New"/>
      <w:kern w:val="2"/>
      <w:sz w:val="21"/>
      <w:szCs w:val="21"/>
      <w:lang w:val="en-US" w:eastAsia="zh-CN" w:bidi="ar"/>
    </w:rPr>
  </w:style>
  <w:style w:type="character" w:customStyle="1" w:styleId="205">
    <w:name w:val="Title3 Char1"/>
    <w:qFormat/>
    <w:uiPriority w:val="0"/>
    <w:rPr>
      <w:rFonts w:ascii="Calibri" w:hAnsi="Calibri" w:eastAsia="宋体" w:cs="Times New Roman"/>
      <w:b/>
      <w:bCs/>
      <w:kern w:val="2"/>
      <w:sz w:val="32"/>
      <w:szCs w:val="32"/>
      <w:lang w:val="en-US" w:eastAsia="zh-CN" w:bidi="ar-SA"/>
    </w:rPr>
  </w:style>
  <w:style w:type="character" w:customStyle="1" w:styleId="206">
    <w:name w:val="Char Char24"/>
    <w:qFormat/>
    <w:uiPriority w:val="0"/>
    <w:rPr>
      <w:rFonts w:ascii="Calibri" w:hAnsi="Calibri" w:eastAsia="宋体" w:cs="Times New Roman"/>
      <w:b/>
      <w:bCs/>
      <w:kern w:val="44"/>
      <w:sz w:val="32"/>
      <w:szCs w:val="44"/>
      <w:lang w:val="en-US" w:eastAsia="zh-CN" w:bidi="ar-SA"/>
    </w:rPr>
  </w:style>
  <w:style w:type="character" w:customStyle="1" w:styleId="207">
    <w:name w:val="Report Text Char"/>
    <w:link w:val="208"/>
    <w:qFormat/>
    <w:uiPriority w:val="0"/>
    <w:rPr>
      <w:rFonts w:ascii="Arial" w:hAnsi="Arial" w:eastAsia="宋体" w:cs="Tahoma"/>
      <w:kern w:val="28"/>
      <w:sz w:val="22"/>
      <w:lang w:val="en-US" w:eastAsia="zh-CN" w:bidi="ar-SA"/>
    </w:rPr>
  </w:style>
  <w:style w:type="paragraph" w:customStyle="1" w:styleId="208">
    <w:name w:val="Report Text"/>
    <w:basedOn w:val="1"/>
    <w:link w:val="207"/>
    <w:qFormat/>
    <w:uiPriority w:val="0"/>
    <w:pPr>
      <w:widowControl/>
      <w:spacing w:before="240" w:after="120"/>
      <w:ind w:left="1080"/>
    </w:pPr>
    <w:rPr>
      <w:rFonts w:ascii="Arial" w:hAnsi="Arial" w:cs="Tahoma"/>
      <w:kern w:val="28"/>
      <w:sz w:val="22"/>
      <w:szCs w:val="20"/>
    </w:rPr>
  </w:style>
  <w:style w:type="character" w:customStyle="1" w:styleId="209">
    <w:name w:val="f151"/>
    <w:qFormat/>
    <w:uiPriority w:val="0"/>
    <w:rPr>
      <w:rFonts w:ascii="Calibri" w:hAnsi="Calibri" w:eastAsia="宋体" w:cs="Times New Roman"/>
      <w:sz w:val="23"/>
      <w:szCs w:val="23"/>
    </w:rPr>
  </w:style>
  <w:style w:type="character" w:customStyle="1" w:styleId="210">
    <w:name w:val="Comment Text Char2"/>
    <w:qFormat/>
    <w:uiPriority w:val="0"/>
    <w:rPr>
      <w:rFonts w:ascii="Calibri" w:hAnsi="Calibri" w:eastAsia="宋体" w:cs="Times New Roman"/>
      <w:kern w:val="2"/>
      <w:sz w:val="24"/>
      <w:lang w:val="en-US" w:eastAsia="zh-CN"/>
    </w:rPr>
  </w:style>
  <w:style w:type="character" w:customStyle="1" w:styleId="211">
    <w:name w:val="Char Char33"/>
    <w:qFormat/>
    <w:uiPriority w:val="0"/>
    <w:rPr>
      <w:rFonts w:ascii="宋体" w:hAnsi="Courier New" w:eastAsia="宋体" w:cs="Courier New"/>
      <w:szCs w:val="21"/>
    </w:rPr>
  </w:style>
  <w:style w:type="character" w:customStyle="1" w:styleId="212">
    <w:name w:val="Body Text Indent Char"/>
    <w:qFormat/>
    <w:uiPriority w:val="0"/>
    <w:rPr>
      <w:rFonts w:ascii="宋体" w:hAnsi="宋体" w:eastAsia="宋体" w:cs="Times New Roman"/>
      <w:kern w:val="2"/>
      <w:sz w:val="21"/>
      <w:lang w:val="en-US" w:eastAsia="zh-CN" w:bidi="ar-SA"/>
    </w:rPr>
  </w:style>
  <w:style w:type="character" w:customStyle="1" w:styleId="213">
    <w:name w:val="cubane_hilight1"/>
    <w:qFormat/>
    <w:uiPriority w:val="0"/>
    <w:rPr>
      <w:rFonts w:ascii="Calibri" w:hAnsi="Calibri" w:eastAsia="宋体" w:cs="Times New Roman"/>
      <w:color w:val="CC0000"/>
    </w:rPr>
  </w:style>
  <w:style w:type="character" w:customStyle="1" w:styleId="214">
    <w:name w:val="case31"/>
    <w:qFormat/>
    <w:uiPriority w:val="0"/>
    <w:rPr>
      <w:rFonts w:hint="default" w:ascii="_x000B__x000C_" w:hAnsi="_x000B__x000C_" w:eastAsia="宋体" w:cs="Times New Roman"/>
      <w:sz w:val="21"/>
      <w:szCs w:val="21"/>
    </w:rPr>
  </w:style>
  <w:style w:type="character" w:customStyle="1" w:styleId="215">
    <w:name w:val="自定义标题一 Char"/>
    <w:link w:val="216"/>
    <w:qFormat/>
    <w:uiPriority w:val="0"/>
    <w:rPr>
      <w:rFonts w:ascii="黑体" w:hAnsi="黑体" w:eastAsia="黑体" w:cs="Times New Roman"/>
      <w:b/>
      <w:bCs/>
      <w:kern w:val="44"/>
      <w:sz w:val="44"/>
      <w:szCs w:val="44"/>
      <w:lang w:bidi="ar-SA"/>
    </w:rPr>
  </w:style>
  <w:style w:type="paragraph" w:customStyle="1" w:styleId="216">
    <w:name w:val="自定义标题一"/>
    <w:basedOn w:val="3"/>
    <w:link w:val="215"/>
    <w:qFormat/>
    <w:uiPriority w:val="0"/>
    <w:pPr>
      <w:pageBreakBefore/>
      <w:tabs>
        <w:tab w:val="left" w:pos="144"/>
      </w:tabs>
      <w:spacing w:before="0" w:after="0" w:line="360" w:lineRule="auto"/>
      <w:ind w:left="144" w:hanging="144"/>
      <w:jc w:val="center"/>
    </w:pPr>
    <w:rPr>
      <w:rFonts w:ascii="黑体" w:hAnsi="黑体" w:eastAsia="黑体"/>
    </w:rPr>
  </w:style>
  <w:style w:type="character" w:customStyle="1" w:styleId="217">
    <w:name w:val="批注主题 Char1"/>
    <w:qFormat/>
    <w:uiPriority w:val="0"/>
    <w:rPr>
      <w:rFonts w:ascii="Times New Roman" w:hAnsi="Times New Roman" w:eastAsia="宋体" w:cs="Times New Roman"/>
      <w:b/>
      <w:bCs/>
      <w:szCs w:val="24"/>
    </w:rPr>
  </w:style>
  <w:style w:type="character" w:customStyle="1" w:styleId="218">
    <w:name w:val="标题 3 Char Char Char"/>
    <w:qFormat/>
    <w:uiPriority w:val="0"/>
    <w:rPr>
      <w:rFonts w:ascii="宋体" w:hAnsi="宋体" w:eastAsia="宋体" w:cs="Times New Roman"/>
      <w:b/>
      <w:bCs/>
      <w:sz w:val="24"/>
      <w:szCs w:val="32"/>
      <w:lang w:val="en-US" w:eastAsia="zh-CN" w:bidi="ar-SA"/>
    </w:rPr>
  </w:style>
  <w:style w:type="character" w:customStyle="1" w:styleId="219">
    <w:name w:val="Char Char241"/>
    <w:qFormat/>
    <w:uiPriority w:val="0"/>
    <w:rPr>
      <w:rFonts w:ascii="Arial" w:hAnsi="Arial" w:eastAsia="黑体" w:cs="Times New Roman"/>
      <w:sz w:val="28"/>
      <w:lang w:bidi="ar-SA"/>
    </w:rPr>
  </w:style>
  <w:style w:type="character" w:customStyle="1" w:styleId="220">
    <w:name w:val="fontstyle11"/>
    <w:qFormat/>
    <w:uiPriority w:val="0"/>
    <w:rPr>
      <w:rFonts w:ascii="宋体" w:hAnsi="宋体" w:eastAsia="宋体" w:cs="宋体"/>
      <w:color w:val="000000"/>
      <w:sz w:val="22"/>
      <w:szCs w:val="22"/>
    </w:rPr>
  </w:style>
  <w:style w:type="character" w:customStyle="1" w:styleId="221">
    <w:name w:val="1051"/>
    <w:qFormat/>
    <w:uiPriority w:val="0"/>
    <w:rPr>
      <w:rFonts w:ascii="Calibri" w:hAnsi="Calibri" w:eastAsia="宋体" w:cs="Times New Roman"/>
      <w:sz w:val="21"/>
      <w:szCs w:val="21"/>
    </w:rPr>
  </w:style>
  <w:style w:type="character" w:customStyle="1" w:styleId="222">
    <w:name w:val="Char Char191"/>
    <w:qFormat/>
    <w:uiPriority w:val="0"/>
    <w:rPr>
      <w:rFonts w:ascii="Arial" w:hAnsi="Arial" w:eastAsia="黑体" w:cs="Times New Roman"/>
      <w:kern w:val="2"/>
      <w:sz w:val="24"/>
      <w:szCs w:val="24"/>
      <w:lang w:val="en-US" w:eastAsia="zh-CN" w:bidi="ar-SA"/>
    </w:rPr>
  </w:style>
  <w:style w:type="character" w:customStyle="1" w:styleId="223">
    <w:name w:val="普通文字 Char Char2"/>
    <w:qFormat/>
    <w:uiPriority w:val="0"/>
    <w:rPr>
      <w:rFonts w:ascii="宋体" w:hAnsi="Courier New" w:eastAsia="宋体" w:cs="Times New Roman"/>
      <w:kern w:val="2"/>
      <w:sz w:val="21"/>
      <w:lang w:val="en-US" w:eastAsia="zh-CN" w:bidi="ar-SA"/>
    </w:rPr>
  </w:style>
  <w:style w:type="character" w:customStyle="1" w:styleId="224">
    <w:name w:val="Char Char231"/>
    <w:qFormat/>
    <w:uiPriority w:val="0"/>
    <w:rPr>
      <w:rFonts w:ascii="Times New Roman" w:hAnsi="Times New Roman" w:eastAsia="宋体" w:cs="Times New Roman"/>
      <w:b/>
      <w:bCs/>
      <w:kern w:val="44"/>
      <w:sz w:val="44"/>
      <w:szCs w:val="44"/>
    </w:rPr>
  </w:style>
  <w:style w:type="character" w:customStyle="1" w:styleId="225">
    <w:name w:val="自定义标题一 Char Char"/>
    <w:qFormat/>
    <w:uiPriority w:val="0"/>
    <w:rPr>
      <w:rFonts w:ascii="黑体" w:hAnsi="黑体" w:eastAsia="黑体" w:cs="Times New Roman"/>
      <w:b/>
      <w:bCs/>
      <w:kern w:val="44"/>
      <w:sz w:val="44"/>
      <w:szCs w:val="44"/>
      <w:lang w:bidi="ar-SA"/>
    </w:rPr>
  </w:style>
  <w:style w:type="character" w:customStyle="1" w:styleId="226">
    <w:name w:val="Heading 2 Char"/>
    <w:qFormat/>
    <w:uiPriority w:val="0"/>
    <w:rPr>
      <w:rFonts w:ascii="Arial" w:hAnsi="Arial" w:eastAsia="黑体" w:cs="Times New Roman"/>
      <w:b/>
      <w:bCs/>
      <w:kern w:val="2"/>
      <w:sz w:val="32"/>
      <w:szCs w:val="32"/>
      <w:lang w:val="en-US" w:eastAsia="zh-CN" w:bidi="ar-SA"/>
    </w:rPr>
  </w:style>
  <w:style w:type="character" w:customStyle="1" w:styleId="227">
    <w:name w:val="Char Char Char Char Char"/>
    <w:qFormat/>
    <w:uiPriority w:val="0"/>
    <w:rPr>
      <w:rFonts w:ascii="Calibri" w:hAnsi="Calibri" w:eastAsia="宋体" w:cs="Times New Roman"/>
      <w:b/>
      <w:bCs/>
      <w:kern w:val="44"/>
      <w:sz w:val="44"/>
      <w:szCs w:val="44"/>
      <w:lang w:val="en-US" w:eastAsia="zh-CN" w:bidi="ar-SA"/>
    </w:rPr>
  </w:style>
  <w:style w:type="character" w:customStyle="1" w:styleId="228">
    <w:name w:val="Char Char201"/>
    <w:qFormat/>
    <w:uiPriority w:val="0"/>
    <w:rPr>
      <w:rFonts w:ascii="Calibri" w:hAnsi="Calibri" w:eastAsia="宋体" w:cs="Times New Roman"/>
      <w:b/>
      <w:kern w:val="2"/>
      <w:sz w:val="24"/>
      <w:szCs w:val="24"/>
      <w:lang w:val="en-US" w:eastAsia="zh-CN" w:bidi="ar-SA"/>
    </w:rPr>
  </w:style>
  <w:style w:type="character" w:customStyle="1" w:styleId="229">
    <w:name w:val="Balloon Text Char"/>
    <w:qFormat/>
    <w:uiPriority w:val="0"/>
    <w:rPr>
      <w:rFonts w:ascii="Calibri" w:hAnsi="Calibri" w:eastAsia="宋体" w:cs="Times New Roman"/>
      <w:sz w:val="18"/>
      <w:lang w:bidi="ar-SA"/>
    </w:rPr>
  </w:style>
  <w:style w:type="character" w:customStyle="1" w:styleId="230">
    <w:name w:val="H1 Char"/>
    <w:qFormat/>
    <w:uiPriority w:val="0"/>
    <w:rPr>
      <w:rFonts w:ascii="Calibri" w:hAnsi="Calibri" w:eastAsia="宋体" w:cs="Times New Roman"/>
      <w:b/>
      <w:bCs/>
      <w:kern w:val="44"/>
      <w:sz w:val="44"/>
      <w:szCs w:val="44"/>
      <w:lang w:val="en-US" w:eastAsia="zh-CN" w:bidi="ar-SA"/>
    </w:rPr>
  </w:style>
  <w:style w:type="character" w:customStyle="1" w:styleId="231">
    <w:name w:val="引用 Char1"/>
    <w:qFormat/>
    <w:uiPriority w:val="0"/>
    <w:rPr>
      <w:rFonts w:ascii="Times New Roman" w:hAnsi="Times New Roman" w:eastAsia="宋体" w:cs="Times New Roman"/>
      <w:i/>
      <w:iCs/>
      <w:color w:val="000000"/>
      <w:szCs w:val="24"/>
    </w:rPr>
  </w:style>
  <w:style w:type="character" w:customStyle="1" w:styleId="232">
    <w:name w:val="Char Char30"/>
    <w:qFormat/>
    <w:uiPriority w:val="0"/>
    <w:rPr>
      <w:rFonts w:ascii="Times New Roman" w:hAnsi="Times New Roman" w:eastAsia="宋体" w:cs="Times New Roman"/>
      <w:szCs w:val="24"/>
    </w:rPr>
  </w:style>
  <w:style w:type="character" w:customStyle="1" w:styleId="233">
    <w:name w:val="style31"/>
    <w:qFormat/>
    <w:uiPriority w:val="0"/>
    <w:rPr>
      <w:rFonts w:ascii="Calibri" w:hAnsi="Calibri" w:eastAsia="宋体" w:cs="Times New Roman"/>
      <w:sz w:val="18"/>
      <w:szCs w:val="18"/>
    </w:rPr>
  </w:style>
  <w:style w:type="character" w:customStyle="1" w:styleId="234">
    <w:name w:val="Body Text Indent 2 Char"/>
    <w:qFormat/>
    <w:uiPriority w:val="0"/>
    <w:rPr>
      <w:rFonts w:ascii="Calibri" w:hAnsi="Calibri" w:eastAsia="宋体" w:cs="Times New Roman"/>
      <w:kern w:val="2"/>
      <w:sz w:val="21"/>
      <w:szCs w:val="24"/>
      <w:lang w:val="en-US" w:eastAsia="zh-CN" w:bidi="ar-SA"/>
    </w:rPr>
  </w:style>
  <w:style w:type="character" w:customStyle="1" w:styleId="235">
    <w:name w:val="mark"/>
    <w:qFormat/>
    <w:uiPriority w:val="0"/>
    <w:rPr>
      <w:rFonts w:ascii="Calibri" w:hAnsi="Calibri" w:eastAsia="宋体" w:cs="Times New Roman"/>
    </w:rPr>
  </w:style>
  <w:style w:type="character" w:customStyle="1" w:styleId="236">
    <w:name w:val="Header Char"/>
    <w:qFormat/>
    <w:uiPriority w:val="0"/>
    <w:rPr>
      <w:rFonts w:ascii="Calibri" w:hAnsi="Calibri" w:eastAsia="宋体" w:cs="Times New Roman"/>
      <w:kern w:val="2"/>
      <w:sz w:val="18"/>
      <w:szCs w:val="18"/>
      <w:lang w:val="en-US" w:eastAsia="zh-CN" w:bidi="ar-SA"/>
    </w:rPr>
  </w:style>
  <w:style w:type="character" w:customStyle="1" w:styleId="237">
    <w:name w:val="Char Char171"/>
    <w:qFormat/>
    <w:uiPriority w:val="0"/>
    <w:rPr>
      <w:rFonts w:hint="default" w:ascii="Times New Roman" w:hAnsi="Times New Roman" w:eastAsia="宋体" w:cs="Times New Roman"/>
      <w:b/>
      <w:bCs/>
      <w:kern w:val="2"/>
      <w:sz w:val="21"/>
      <w:szCs w:val="24"/>
    </w:rPr>
  </w:style>
  <w:style w:type="character" w:customStyle="1" w:styleId="238">
    <w:name w:val="Heading 4 Char"/>
    <w:qFormat/>
    <w:uiPriority w:val="0"/>
    <w:rPr>
      <w:rFonts w:ascii="Arial" w:hAnsi="Arial" w:eastAsia="宋体" w:cs="Times New Roman"/>
      <w:b/>
      <w:bCs/>
      <w:kern w:val="2"/>
      <w:sz w:val="21"/>
      <w:szCs w:val="28"/>
      <w:lang w:val="en-US" w:eastAsia="zh-CN" w:bidi="ar-SA"/>
    </w:rPr>
  </w:style>
  <w:style w:type="character" w:customStyle="1" w:styleId="239">
    <w:name w:val="Char Char15"/>
    <w:qFormat/>
    <w:uiPriority w:val="0"/>
    <w:rPr>
      <w:rFonts w:ascii="Calibri" w:hAnsi="Calibri" w:eastAsia="宋体" w:cs="Times New Roman"/>
      <w:sz w:val="18"/>
      <w:szCs w:val="18"/>
    </w:rPr>
  </w:style>
  <w:style w:type="character" w:customStyle="1" w:styleId="240">
    <w:name w:val="Char Char61"/>
    <w:qFormat/>
    <w:uiPriority w:val="0"/>
    <w:rPr>
      <w:rFonts w:ascii="Calibri" w:hAnsi="Calibri" w:eastAsia="宋体" w:cs="Times New Roman"/>
      <w:b/>
      <w:bCs/>
      <w:kern w:val="44"/>
      <w:sz w:val="32"/>
      <w:szCs w:val="44"/>
      <w:lang w:val="en-US" w:eastAsia="zh-CN" w:bidi="ar-SA"/>
    </w:rPr>
  </w:style>
  <w:style w:type="character" w:customStyle="1" w:styleId="241">
    <w:name w:val="Char Char11"/>
    <w:qFormat/>
    <w:uiPriority w:val="0"/>
    <w:rPr>
      <w:rFonts w:ascii="Times New Roman" w:hAnsi="Times New Roman" w:eastAsia="宋体" w:cs="Times New Roman"/>
      <w:sz w:val="30"/>
      <w:szCs w:val="24"/>
    </w:rPr>
  </w:style>
  <w:style w:type="character" w:customStyle="1" w:styleId="242">
    <w:name w:val="Comment Text Char"/>
    <w:qFormat/>
    <w:uiPriority w:val="0"/>
    <w:rPr>
      <w:rFonts w:ascii="Calibri" w:hAnsi="Calibri" w:eastAsia="宋体" w:cs="Times New Roman"/>
      <w:sz w:val="24"/>
      <w:szCs w:val="24"/>
    </w:rPr>
  </w:style>
  <w:style w:type="character" w:customStyle="1" w:styleId="243">
    <w:name w:val="Char Char12"/>
    <w:qFormat/>
    <w:uiPriority w:val="0"/>
    <w:rPr>
      <w:rFonts w:ascii="Calibri" w:hAnsi="Calibri" w:eastAsia="宋体" w:cs="Times New Roman"/>
      <w:sz w:val="18"/>
    </w:rPr>
  </w:style>
  <w:style w:type="character" w:customStyle="1" w:styleId="244">
    <w:name w:val="H2 Char"/>
    <w:qFormat/>
    <w:uiPriority w:val="0"/>
    <w:rPr>
      <w:rFonts w:ascii="Arial" w:hAnsi="Arial" w:eastAsia="黑体" w:cs="Times New Roman"/>
      <w:b/>
      <w:bCs/>
      <w:sz w:val="32"/>
      <w:szCs w:val="32"/>
    </w:rPr>
  </w:style>
  <w:style w:type="character" w:customStyle="1" w:styleId="245">
    <w:name w:val="textcontents"/>
    <w:qFormat/>
    <w:uiPriority w:val="0"/>
    <w:rPr>
      <w:rFonts w:ascii="Calibri" w:hAnsi="Calibri" w:eastAsia="宋体" w:cs="Times New Roman"/>
    </w:rPr>
  </w:style>
  <w:style w:type="character" w:customStyle="1" w:styleId="246">
    <w:name w:val="_Style 242"/>
    <w:qFormat/>
    <w:uiPriority w:val="0"/>
    <w:rPr>
      <w:rFonts w:ascii="Calibri" w:hAnsi="Calibri" w:eastAsia="宋体" w:cs="Times New Roman"/>
      <w:smallCaps/>
      <w:color w:val="C0504D"/>
      <w:u w:val="single"/>
    </w:rPr>
  </w:style>
  <w:style w:type="character" w:customStyle="1" w:styleId="247">
    <w:name w:val="llyf92"/>
    <w:qFormat/>
    <w:uiPriority w:val="0"/>
    <w:rPr>
      <w:rFonts w:ascii="Calibri" w:hAnsi="Calibri" w:eastAsia="宋体" w:cs="Times New Roman"/>
      <w:sz w:val="18"/>
      <w:szCs w:val="18"/>
    </w:rPr>
  </w:style>
  <w:style w:type="character" w:customStyle="1" w:styleId="248">
    <w:name w:val="st"/>
    <w:qFormat/>
    <w:uiPriority w:val="0"/>
    <w:rPr>
      <w:rFonts w:ascii="Calibri" w:hAnsi="Calibri" w:eastAsia="宋体" w:cs="Times New Roman"/>
    </w:rPr>
  </w:style>
  <w:style w:type="character" w:customStyle="1" w:styleId="249">
    <w:name w:val="普通文字 Char Char4"/>
    <w:qFormat/>
    <w:uiPriority w:val="0"/>
    <w:rPr>
      <w:rFonts w:ascii="宋体" w:hAnsi="Courier New" w:eastAsia="宋体" w:cs="Courier New"/>
      <w:kern w:val="2"/>
      <w:sz w:val="21"/>
      <w:szCs w:val="21"/>
      <w:lang w:val="en-US" w:eastAsia="zh-CN" w:bidi="ar-SA"/>
    </w:rPr>
  </w:style>
  <w:style w:type="paragraph" w:customStyle="1" w:styleId="250">
    <w:name w:val="Char Char Char"/>
    <w:basedOn w:val="17"/>
    <w:qFormat/>
    <w:uiPriority w:val="0"/>
    <w:rPr>
      <w:rFonts w:ascii="Tahoma" w:hAnsi="Tahoma"/>
      <w:sz w:val="24"/>
    </w:rPr>
  </w:style>
  <w:style w:type="paragraph" w:customStyle="1" w:styleId="251">
    <w:name w:val="目录"/>
    <w:basedOn w:val="1"/>
    <w:qFormat/>
    <w:uiPriority w:val="0"/>
    <w:pPr>
      <w:widowControl/>
      <w:jc w:val="center"/>
    </w:pPr>
    <w:rPr>
      <w:rFonts w:ascii="宋体"/>
      <w:b/>
      <w:kern w:val="0"/>
      <w:sz w:val="36"/>
      <w:szCs w:val="20"/>
    </w:rPr>
  </w:style>
  <w:style w:type="paragraph" w:customStyle="1" w:styleId="252">
    <w:name w:val="flNote"/>
    <w:basedOn w:val="1"/>
    <w:qFormat/>
    <w:uiPriority w:val="0"/>
    <w:pPr>
      <w:adjustRightInd w:val="0"/>
      <w:spacing w:before="320" w:after="160" w:line="360" w:lineRule="atLeast"/>
      <w:jc w:val="center"/>
      <w:textAlignment w:val="baseline"/>
    </w:pPr>
    <w:rPr>
      <w:rFonts w:ascii="Arial" w:eastAsia="黑体"/>
      <w:kern w:val="0"/>
      <w:sz w:val="30"/>
      <w:szCs w:val="20"/>
    </w:rPr>
  </w:style>
  <w:style w:type="paragraph" w:customStyle="1" w:styleId="253">
    <w:name w:val="默认段落字体 Para Char Char Char Char Char Char Char Char Char1 Char Char Char Char"/>
    <w:basedOn w:val="1"/>
    <w:qFormat/>
    <w:uiPriority w:val="0"/>
    <w:rPr>
      <w:rFonts w:ascii="Tahoma" w:hAnsi="Tahoma"/>
      <w:sz w:val="24"/>
      <w:szCs w:val="20"/>
    </w:rPr>
  </w:style>
  <w:style w:type="paragraph" w:customStyle="1" w:styleId="254">
    <w:name w:val="目录4"/>
    <w:basedOn w:val="1"/>
    <w:next w:val="1"/>
    <w:qFormat/>
    <w:uiPriority w:val="0"/>
    <w:pPr>
      <w:widowControl/>
      <w:tabs>
        <w:tab w:val="left" w:leader="dot" w:pos="8503"/>
      </w:tabs>
      <w:spacing w:line="317" w:lineRule="atLeast"/>
      <w:ind w:firstLine="629"/>
      <w:textAlignment w:val="baseline"/>
    </w:pPr>
    <w:rPr>
      <w:color w:val="000000"/>
      <w:kern w:val="0"/>
      <w:szCs w:val="20"/>
      <w:u w:color="000000"/>
    </w:rPr>
  </w:style>
  <w:style w:type="paragraph" w:customStyle="1" w:styleId="255">
    <w:name w:val="Char Char4 Char Char Char Char"/>
    <w:basedOn w:val="1"/>
    <w:qFormat/>
    <w:uiPriority w:val="0"/>
    <w:pPr>
      <w:widowControl/>
      <w:spacing w:after="160" w:line="240" w:lineRule="exact"/>
      <w:jc w:val="left"/>
    </w:pPr>
  </w:style>
  <w:style w:type="paragraph" w:customStyle="1" w:styleId="256">
    <w:name w:val="1"/>
    <w:basedOn w:val="1"/>
    <w:next w:val="29"/>
    <w:qFormat/>
    <w:uiPriority w:val="0"/>
    <w:rPr>
      <w:rFonts w:ascii="宋体" w:hAnsi="Courier New"/>
      <w:szCs w:val="20"/>
    </w:rPr>
  </w:style>
  <w:style w:type="paragraph" w:customStyle="1" w:styleId="257">
    <w:name w:val="Char2"/>
    <w:basedOn w:val="1"/>
    <w:qFormat/>
    <w:uiPriority w:val="0"/>
    <w:pPr>
      <w:widowControl/>
      <w:spacing w:after="160" w:line="240" w:lineRule="exact"/>
      <w:jc w:val="left"/>
    </w:pPr>
    <w:rPr>
      <w:rFonts w:ascii="Verdana" w:hAnsi="Verdana"/>
      <w:kern w:val="0"/>
      <w:szCs w:val="20"/>
      <w:lang w:eastAsia="en-US"/>
    </w:rPr>
  </w:style>
  <w:style w:type="paragraph" w:customStyle="1" w:styleId="258">
    <w:name w:val="_Style 37"/>
    <w:basedOn w:val="1"/>
    <w:next w:val="1"/>
    <w:qFormat/>
    <w:uiPriority w:val="0"/>
  </w:style>
  <w:style w:type="paragraph" w:customStyle="1" w:styleId="259">
    <w:name w:val="2ji"/>
    <w:basedOn w:val="4"/>
    <w:qFormat/>
    <w:uiPriority w:val="0"/>
    <w:pPr>
      <w:adjustRightInd w:val="0"/>
      <w:spacing w:before="0" w:after="0" w:line="360" w:lineRule="auto"/>
      <w:textAlignment w:val="baseline"/>
    </w:pPr>
    <w:rPr>
      <w:rFonts w:ascii="宋体" w:hAnsi="宋体" w:eastAsia="宋体"/>
      <w:kern w:val="0"/>
      <w:szCs w:val="21"/>
    </w:rPr>
  </w:style>
  <w:style w:type="paragraph" w:customStyle="1" w:styleId="260">
    <w:name w:val="reader-word-layer"/>
    <w:basedOn w:val="1"/>
    <w:qFormat/>
    <w:uiPriority w:val="0"/>
    <w:pPr>
      <w:widowControl/>
      <w:spacing w:before="100" w:beforeAutospacing="1" w:after="100" w:afterAutospacing="1"/>
      <w:jc w:val="left"/>
    </w:pPr>
    <w:rPr>
      <w:rFonts w:ascii="宋体" w:hAnsi="宋体" w:cs="宋体"/>
      <w:kern w:val="0"/>
      <w:sz w:val="24"/>
    </w:rPr>
  </w:style>
  <w:style w:type="paragraph" w:customStyle="1" w:styleId="261">
    <w:name w:val="Char Char1 Char Char Char Char"/>
    <w:basedOn w:val="17"/>
    <w:qFormat/>
    <w:uiPriority w:val="0"/>
    <w:rPr>
      <w:rFonts w:ascii="Tahoma" w:hAnsi="Tahoma"/>
      <w:sz w:val="24"/>
    </w:rPr>
  </w:style>
  <w:style w:type="paragraph" w:customStyle="1" w:styleId="262">
    <w:name w:val="xl2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kern w:val="0"/>
      <w:sz w:val="20"/>
      <w:szCs w:val="20"/>
    </w:rPr>
  </w:style>
  <w:style w:type="paragraph" w:customStyle="1" w:styleId="263">
    <w:name w:val="图"/>
    <w:basedOn w:val="1"/>
    <w:qFormat/>
    <w:uiPriority w:val="0"/>
    <w:pPr>
      <w:keepNext/>
      <w:adjustRightInd w:val="0"/>
      <w:snapToGrid w:val="0"/>
      <w:spacing w:before="60" w:after="60" w:line="300" w:lineRule="auto"/>
      <w:jc w:val="center"/>
    </w:pPr>
    <w:rPr>
      <w:spacing w:val="20"/>
      <w:kern w:val="0"/>
      <w:sz w:val="24"/>
      <w:szCs w:val="20"/>
    </w:rPr>
  </w:style>
  <w:style w:type="paragraph" w:customStyle="1" w:styleId="264">
    <w:name w:val="样式 首行缩进:  2 字符"/>
    <w:basedOn w:val="1"/>
    <w:qFormat/>
    <w:uiPriority w:val="0"/>
    <w:pPr>
      <w:spacing w:line="400" w:lineRule="exact"/>
      <w:ind w:firstLine="200" w:firstLineChars="200"/>
    </w:pPr>
    <w:rPr>
      <w:rFonts w:cs="宋体"/>
      <w:sz w:val="24"/>
    </w:rPr>
  </w:style>
  <w:style w:type="paragraph" w:customStyle="1" w:styleId="265">
    <w:name w:val="kj正文"/>
    <w:basedOn w:val="1"/>
    <w:qFormat/>
    <w:uiPriority w:val="99"/>
    <w:pPr>
      <w:ind w:firstLine="200" w:firstLineChars="200"/>
    </w:pPr>
  </w:style>
  <w:style w:type="paragraph" w:customStyle="1" w:styleId="266">
    <w:name w:val="空半行"/>
    <w:basedOn w:val="1"/>
    <w:qFormat/>
    <w:uiPriority w:val="0"/>
    <w:pPr>
      <w:adjustRightInd w:val="0"/>
      <w:spacing w:line="120" w:lineRule="exact"/>
      <w:textAlignment w:val="baseline"/>
    </w:pPr>
    <w:rPr>
      <w:rFonts w:eastAsia="仿宋_GB2312"/>
      <w:color w:val="FFFFFF"/>
      <w:kern w:val="0"/>
      <w:sz w:val="30"/>
      <w:szCs w:val="20"/>
    </w:rPr>
  </w:style>
  <w:style w:type="paragraph" w:customStyle="1" w:styleId="267">
    <w:name w:val="p16"/>
    <w:basedOn w:val="1"/>
    <w:qFormat/>
    <w:uiPriority w:val="0"/>
    <w:pPr>
      <w:widowControl/>
    </w:pPr>
    <w:rPr>
      <w:rFonts w:ascii="宋体" w:hAnsi="宋体" w:cs="宋体"/>
      <w:kern w:val="0"/>
      <w:szCs w:val="21"/>
    </w:rPr>
  </w:style>
  <w:style w:type="paragraph" w:customStyle="1" w:styleId="268">
    <w:name w:val="_Style 264"/>
    <w:basedOn w:val="3"/>
    <w:next w:val="1"/>
    <w:qFormat/>
    <w:uiPriority w:val="0"/>
    <w:pPr>
      <w:spacing w:line="576" w:lineRule="auto"/>
      <w:outlineLvl w:val="9"/>
    </w:pPr>
    <w:rPr>
      <w:rFonts w:eastAsia="黑体"/>
    </w:rPr>
  </w:style>
  <w:style w:type="paragraph" w:customStyle="1" w:styleId="269">
    <w:name w:val="五号正文（标准）"/>
    <w:basedOn w:val="1"/>
    <w:qFormat/>
    <w:uiPriority w:val="0"/>
    <w:pPr>
      <w:spacing w:line="360" w:lineRule="auto"/>
      <w:ind w:right="55" w:firstLine="560" w:firstLineChars="200"/>
    </w:pPr>
    <w:rPr>
      <w:rFonts w:eastAsia="仿宋_GB2312"/>
      <w:sz w:val="28"/>
      <w:szCs w:val="20"/>
    </w:rPr>
  </w:style>
  <w:style w:type="paragraph" w:customStyle="1" w:styleId="270">
    <w:name w:val="菲页1"/>
    <w:basedOn w:val="4"/>
    <w:qFormat/>
    <w:uiPriority w:val="0"/>
    <w:pPr>
      <w:widowControl/>
      <w:spacing w:before="260" w:after="260" w:line="416" w:lineRule="auto"/>
      <w:jc w:val="center"/>
    </w:pPr>
    <w:rPr>
      <w:rFonts w:ascii="黑体" w:hAnsi="宋体" w:eastAsia="宋体"/>
      <w:b w:val="0"/>
      <w:bCs w:val="0"/>
      <w:kern w:val="0"/>
      <w:sz w:val="52"/>
      <w:szCs w:val="20"/>
    </w:rPr>
  </w:style>
  <w:style w:type="paragraph" w:customStyle="1" w:styleId="271">
    <w:name w:val="_Style 2"/>
    <w:basedOn w:val="1"/>
    <w:qFormat/>
    <w:uiPriority w:val="34"/>
    <w:pPr>
      <w:ind w:firstLine="420"/>
    </w:pPr>
  </w:style>
  <w:style w:type="paragraph" w:customStyle="1" w:styleId="272">
    <w:name w:val="菲页2"/>
    <w:basedOn w:val="5"/>
    <w:qFormat/>
    <w:uiPriority w:val="0"/>
    <w:pPr>
      <w:widowControl/>
      <w:tabs>
        <w:tab w:val="left" w:pos="1800"/>
      </w:tabs>
      <w:spacing w:before="120" w:after="120"/>
      <w:ind w:left="1800" w:hanging="420"/>
      <w:jc w:val="center"/>
    </w:pPr>
    <w:rPr>
      <w:rFonts w:ascii="黑体" w:hAnsi="宋体" w:eastAsia="宋体"/>
      <w:b w:val="0"/>
      <w:bCs w:val="0"/>
      <w:kern w:val="0"/>
      <w:sz w:val="44"/>
      <w:szCs w:val="20"/>
    </w:rPr>
  </w:style>
  <w:style w:type="paragraph" w:customStyle="1" w:styleId="273">
    <w:name w:val="_Style 5"/>
    <w:basedOn w:val="1"/>
    <w:qFormat/>
    <w:uiPriority w:val="0"/>
    <w:pPr>
      <w:spacing w:after="78" w:afterLines="25"/>
    </w:pPr>
    <w:rPr>
      <w:rFonts w:ascii="Arial" w:hAnsi="Arial"/>
    </w:rPr>
  </w:style>
  <w:style w:type="paragraph" w:customStyle="1" w:styleId="274">
    <w:name w:val="reader-word-layer reader-word-s1-4"/>
    <w:basedOn w:val="1"/>
    <w:qFormat/>
    <w:uiPriority w:val="0"/>
    <w:pPr>
      <w:widowControl/>
      <w:spacing w:before="100" w:beforeAutospacing="1" w:after="100" w:afterAutospacing="1"/>
      <w:jc w:val="left"/>
    </w:pPr>
    <w:rPr>
      <w:rFonts w:ascii="宋体" w:hAnsi="宋体" w:cs="宋体"/>
      <w:kern w:val="0"/>
      <w:sz w:val="24"/>
    </w:rPr>
  </w:style>
  <w:style w:type="paragraph" w:customStyle="1" w:styleId="275">
    <w:name w:val="Char"/>
    <w:basedOn w:val="17"/>
    <w:qFormat/>
    <w:uiPriority w:val="0"/>
    <w:pPr>
      <w:widowControl/>
      <w:ind w:firstLine="454"/>
      <w:jc w:val="left"/>
    </w:pPr>
    <w:rPr>
      <w:rFonts w:ascii="Tahoma" w:hAnsi="Tahoma" w:cs="宋体"/>
      <w:kern w:val="0"/>
      <w:sz w:val="24"/>
      <w:szCs w:val="20"/>
    </w:rPr>
  </w:style>
  <w:style w:type="paragraph" w:customStyle="1" w:styleId="276">
    <w:name w:val="Char Char Char Char Char Char Char Char Char Char Char Char"/>
    <w:basedOn w:val="1"/>
    <w:qFormat/>
    <w:uiPriority w:val="0"/>
    <w:pPr>
      <w:widowControl/>
      <w:spacing w:after="160" w:line="240" w:lineRule="exact"/>
      <w:jc w:val="left"/>
    </w:pPr>
    <w:rPr>
      <w:rFonts w:ascii="Verdana" w:hAnsi="Verdana"/>
      <w:kern w:val="0"/>
      <w:sz w:val="20"/>
      <w:szCs w:val="20"/>
      <w:lang w:eastAsia="en-US"/>
    </w:rPr>
  </w:style>
  <w:style w:type="paragraph" w:customStyle="1" w:styleId="277">
    <w:name w:val="Char Char Char1 Char"/>
    <w:basedOn w:val="1"/>
    <w:qFormat/>
    <w:uiPriority w:val="0"/>
    <w:pPr>
      <w:tabs>
        <w:tab w:val="left" w:pos="360"/>
      </w:tabs>
      <w:spacing w:line="360" w:lineRule="auto"/>
      <w:ind w:left="482" w:firstLine="200" w:firstLineChars="200"/>
    </w:pPr>
    <w:rPr>
      <w:rFonts w:ascii="宋体"/>
      <w:sz w:val="24"/>
      <w:szCs w:val="20"/>
    </w:rPr>
  </w:style>
  <w:style w:type="paragraph" w:customStyle="1" w:styleId="278">
    <w:name w:val="小节标题"/>
    <w:basedOn w:val="1"/>
    <w:next w:val="1"/>
    <w:qFormat/>
    <w:uiPriority w:val="0"/>
    <w:pPr>
      <w:widowControl/>
      <w:spacing w:before="175" w:after="102" w:line="351" w:lineRule="atLeast"/>
      <w:textAlignment w:val="baseline"/>
    </w:pPr>
    <w:rPr>
      <w:rFonts w:eastAsia="黑体"/>
      <w:color w:val="000000"/>
      <w:kern w:val="0"/>
      <w:szCs w:val="20"/>
      <w:u w:color="000000"/>
    </w:rPr>
  </w:style>
  <w:style w:type="paragraph" w:customStyle="1" w:styleId="279">
    <w:name w:val="Char1"/>
    <w:basedOn w:val="1"/>
    <w:qFormat/>
    <w:uiPriority w:val="0"/>
    <w:rPr>
      <w:szCs w:val="21"/>
    </w:rPr>
  </w:style>
  <w:style w:type="paragraph" w:customStyle="1" w:styleId="280">
    <w:name w:val="font5"/>
    <w:basedOn w:val="1"/>
    <w:qFormat/>
    <w:uiPriority w:val="0"/>
    <w:pPr>
      <w:widowControl/>
      <w:spacing w:before="100" w:beforeAutospacing="1" w:after="100" w:afterAutospacing="1"/>
      <w:jc w:val="left"/>
    </w:pPr>
    <w:rPr>
      <w:rFonts w:hint="eastAsia" w:ascii="宋体" w:hAnsi="宋体"/>
      <w:kern w:val="0"/>
      <w:sz w:val="18"/>
      <w:szCs w:val="18"/>
    </w:rPr>
  </w:style>
  <w:style w:type="paragraph" w:customStyle="1" w:styleId="281">
    <w:name w:val="Char Char1"/>
    <w:basedOn w:val="1"/>
    <w:qFormat/>
    <w:uiPriority w:val="0"/>
    <w:pPr>
      <w:widowControl/>
      <w:spacing w:after="160" w:line="240" w:lineRule="exact"/>
      <w:jc w:val="left"/>
    </w:pPr>
    <w:rPr>
      <w:rFonts w:ascii="Verdana" w:hAnsi="Verdana" w:eastAsia="楷体_GB2312" w:cs="宋体"/>
      <w:b/>
      <w:i/>
      <w:iCs/>
      <w:color w:val="000000"/>
      <w:kern w:val="0"/>
      <w:sz w:val="20"/>
      <w:lang w:eastAsia="en-US"/>
    </w:rPr>
  </w:style>
  <w:style w:type="paragraph" w:customStyle="1" w:styleId="282">
    <w:name w:val="样式3"/>
    <w:basedOn w:val="21"/>
    <w:qFormat/>
    <w:uiPriority w:val="0"/>
    <w:pPr>
      <w:spacing w:after="120" w:line="360" w:lineRule="auto"/>
    </w:pPr>
    <w:rPr>
      <w:rFonts w:ascii="宋体"/>
      <w:sz w:val="21"/>
    </w:rPr>
  </w:style>
  <w:style w:type="paragraph" w:customStyle="1" w:styleId="283">
    <w:name w:val="F2"/>
    <w:basedOn w:val="1"/>
    <w:qFormat/>
    <w:uiPriority w:val="0"/>
    <w:pPr>
      <w:autoSpaceDE w:val="0"/>
      <w:autoSpaceDN w:val="0"/>
      <w:adjustRightInd w:val="0"/>
      <w:ind w:firstLine="601"/>
      <w:textAlignment w:val="baseline"/>
    </w:pPr>
    <w:rPr>
      <w:kern w:val="0"/>
      <w:sz w:val="24"/>
      <w:szCs w:val="20"/>
    </w:rPr>
  </w:style>
  <w:style w:type="paragraph" w:customStyle="1" w:styleId="284">
    <w:name w:val="a2"/>
    <w:basedOn w:val="1"/>
    <w:qFormat/>
    <w:uiPriority w:val="0"/>
    <w:pPr>
      <w:widowControl/>
      <w:spacing w:before="100" w:beforeAutospacing="1" w:after="100" w:afterAutospacing="1"/>
      <w:jc w:val="left"/>
    </w:pPr>
    <w:rPr>
      <w:rFonts w:ascii="宋体" w:hAnsi="宋体" w:cs="宋体"/>
      <w:kern w:val="0"/>
      <w:sz w:val="24"/>
    </w:rPr>
  </w:style>
  <w:style w:type="paragraph" w:customStyle="1" w:styleId="285">
    <w:name w:val="列出段落1"/>
    <w:basedOn w:val="1"/>
    <w:qFormat/>
    <w:uiPriority w:val="0"/>
    <w:pPr>
      <w:ind w:firstLine="420" w:firstLineChars="200"/>
    </w:pPr>
    <w:rPr>
      <w:szCs w:val="22"/>
    </w:rPr>
  </w:style>
  <w:style w:type="paragraph" w:customStyle="1" w:styleId="286">
    <w:name w:val="样式"/>
    <w:qFormat/>
    <w:uiPriority w:val="0"/>
    <w:pPr>
      <w:widowControl w:val="0"/>
      <w:autoSpaceDE w:val="0"/>
      <w:autoSpaceDN w:val="0"/>
      <w:adjustRightInd w:val="0"/>
    </w:pPr>
    <w:rPr>
      <w:rFonts w:ascii="宋体" w:hAnsi="宋体" w:eastAsia="宋体" w:cs="宋体"/>
      <w:sz w:val="24"/>
      <w:szCs w:val="24"/>
      <w:lang w:val="en-US" w:eastAsia="zh-CN" w:bidi="ar-SA"/>
    </w:rPr>
  </w:style>
  <w:style w:type="paragraph" w:customStyle="1" w:styleId="287">
    <w:name w:val="Char Char Char Char Char Char Char Char Char"/>
    <w:basedOn w:val="1"/>
    <w:qFormat/>
    <w:uiPriority w:val="0"/>
    <w:pPr>
      <w:widowControl/>
      <w:spacing w:after="160" w:line="240" w:lineRule="exact"/>
      <w:jc w:val="left"/>
    </w:pPr>
    <w:rPr>
      <w:szCs w:val="20"/>
    </w:rPr>
  </w:style>
  <w:style w:type="paragraph" w:customStyle="1" w:styleId="288">
    <w:name w:val="表格题注"/>
    <w:next w:val="1"/>
    <w:qFormat/>
    <w:uiPriority w:val="0"/>
    <w:pPr>
      <w:keepLines/>
      <w:spacing w:before="312" w:beforeLines="100"/>
      <w:ind w:left="1089" w:hanging="369"/>
      <w:jc w:val="center"/>
    </w:pPr>
    <w:rPr>
      <w:rFonts w:ascii="Arial" w:hAnsi="Arial" w:eastAsia="宋体" w:cs="Times New Roman"/>
      <w:sz w:val="18"/>
      <w:szCs w:val="18"/>
      <w:lang w:val="en-US" w:eastAsia="zh-CN" w:bidi="ar-SA"/>
    </w:rPr>
  </w:style>
  <w:style w:type="paragraph" w:customStyle="1" w:styleId="289">
    <w:name w:val="Char Char Char Char"/>
    <w:basedOn w:val="1"/>
    <w:qFormat/>
    <w:uiPriority w:val="0"/>
    <w:pPr>
      <w:widowControl/>
      <w:spacing w:line="500" w:lineRule="exact"/>
      <w:outlineLvl w:val="2"/>
    </w:pPr>
    <w:rPr>
      <w:rFonts w:ascii="黑体" w:hAnsi="Verdana" w:eastAsia="黑体" w:cs="黑体"/>
      <w:kern w:val="0"/>
      <w:sz w:val="28"/>
      <w:szCs w:val="28"/>
      <w:lang w:eastAsia="en-US"/>
    </w:rPr>
  </w:style>
  <w:style w:type="paragraph" w:customStyle="1" w:styleId="290">
    <w:name w:val="默认段落字体 Para Char Char Char Char Char Char Char Char Char Char"/>
    <w:basedOn w:val="1"/>
    <w:qFormat/>
    <w:uiPriority w:val="0"/>
    <w:rPr>
      <w:kern w:val="0"/>
      <w:szCs w:val="20"/>
    </w:rPr>
  </w:style>
  <w:style w:type="paragraph" w:customStyle="1" w:styleId="291">
    <w:name w:val="正文文本缩进 Char Char Char Char"/>
    <w:basedOn w:val="1"/>
    <w:qFormat/>
    <w:uiPriority w:val="0"/>
    <w:pPr>
      <w:ind w:firstLine="540"/>
    </w:pPr>
    <w:rPr>
      <w:rFonts w:hint="eastAsia" w:ascii="宋体" w:hAnsi="Courier New"/>
      <w:szCs w:val="20"/>
    </w:rPr>
  </w:style>
  <w:style w:type="paragraph" w:customStyle="1" w:styleId="292">
    <w:name w:val="Char Char Char Char Char Char Char Char Char Char Char Char Char Char Char Char"/>
    <w:basedOn w:val="1"/>
    <w:qFormat/>
    <w:uiPriority w:val="0"/>
    <w:pPr>
      <w:tabs>
        <w:tab w:val="left" w:pos="360"/>
      </w:tabs>
      <w:spacing w:line="360" w:lineRule="auto"/>
      <w:ind w:left="482" w:firstLine="200" w:firstLineChars="200"/>
    </w:pPr>
    <w:rPr>
      <w:rFonts w:ascii="宋体"/>
      <w:sz w:val="24"/>
    </w:rPr>
  </w:style>
  <w:style w:type="paragraph" w:customStyle="1" w:styleId="293">
    <w:name w:val="Char3"/>
    <w:basedOn w:val="17"/>
    <w:qFormat/>
    <w:uiPriority w:val="0"/>
    <w:pPr>
      <w:widowControl/>
      <w:ind w:firstLine="454"/>
      <w:jc w:val="left"/>
    </w:pPr>
    <w:rPr>
      <w:rFonts w:ascii="Tahoma" w:hAnsi="Tahoma" w:cs="宋体"/>
      <w:kern w:val="0"/>
      <w:sz w:val="24"/>
      <w:szCs w:val="20"/>
    </w:rPr>
  </w:style>
  <w:style w:type="paragraph" w:customStyle="1" w:styleId="294">
    <w:name w:val="Char Char Char1"/>
    <w:basedOn w:val="1"/>
    <w:qFormat/>
    <w:uiPriority w:val="0"/>
    <w:rPr>
      <w:rFonts w:ascii="Tahoma" w:hAnsi="Tahoma"/>
      <w:sz w:val="24"/>
      <w:szCs w:val="20"/>
    </w:rPr>
  </w:style>
  <w:style w:type="paragraph" w:customStyle="1" w:styleId="295">
    <w:name w:val="正文段"/>
    <w:basedOn w:val="1"/>
    <w:qFormat/>
    <w:uiPriority w:val="0"/>
    <w:pPr>
      <w:widowControl/>
      <w:snapToGrid w:val="0"/>
      <w:spacing w:after="50" w:afterLines="50"/>
      <w:ind w:firstLine="200" w:firstLineChars="200"/>
    </w:pPr>
    <w:rPr>
      <w:kern w:val="0"/>
      <w:sz w:val="24"/>
      <w:szCs w:val="20"/>
    </w:rPr>
  </w:style>
  <w:style w:type="paragraph" w:customStyle="1" w:styleId="296">
    <w:name w:val="reader-word-layer reader-word-s1-8"/>
    <w:basedOn w:val="1"/>
    <w:qFormat/>
    <w:uiPriority w:val="0"/>
    <w:pPr>
      <w:widowControl/>
      <w:spacing w:before="100" w:beforeAutospacing="1" w:after="100" w:afterAutospacing="1"/>
      <w:jc w:val="left"/>
    </w:pPr>
    <w:rPr>
      <w:rFonts w:ascii="宋体" w:hAnsi="宋体" w:cs="宋体"/>
      <w:kern w:val="0"/>
      <w:sz w:val="24"/>
    </w:rPr>
  </w:style>
  <w:style w:type="paragraph" w:customStyle="1" w:styleId="297">
    <w:name w:val="标题3"/>
    <w:basedOn w:val="5"/>
    <w:qFormat/>
    <w:uiPriority w:val="0"/>
    <w:pPr>
      <w:keepLines w:val="0"/>
      <w:widowControl/>
      <w:tabs>
        <w:tab w:val="left" w:pos="1247"/>
      </w:tabs>
      <w:spacing w:before="240" w:after="120"/>
      <w:ind w:left="1247" w:hanging="1247"/>
      <w:jc w:val="left"/>
    </w:pPr>
    <w:rPr>
      <w:rFonts w:ascii="Arial" w:hAnsi="Arial" w:eastAsia="宋体"/>
      <w:kern w:val="0"/>
      <w:sz w:val="52"/>
      <w:szCs w:val="52"/>
    </w:rPr>
  </w:style>
  <w:style w:type="paragraph" w:customStyle="1" w:styleId="298">
    <w:name w:val="Char Char1 Char Char Char Char Char Char Char Char Char Char Char Char Char Char"/>
    <w:basedOn w:val="1"/>
    <w:qFormat/>
    <w:uiPriority w:val="0"/>
    <w:pPr>
      <w:widowControl/>
      <w:spacing w:after="160" w:line="240" w:lineRule="exact"/>
      <w:jc w:val="left"/>
    </w:pPr>
    <w:rPr>
      <w:rFonts w:ascii="Verdana" w:hAnsi="Verdana"/>
      <w:kern w:val="0"/>
      <w:sz w:val="20"/>
      <w:szCs w:val="20"/>
      <w:lang w:eastAsia="en-US"/>
    </w:rPr>
  </w:style>
  <w:style w:type="paragraph" w:customStyle="1" w:styleId="299">
    <w:name w:val="Char Char Char Char Char Char Char Char Char Char Char Char Char Char Char Char1"/>
    <w:basedOn w:val="1"/>
    <w:qFormat/>
    <w:uiPriority w:val="0"/>
    <w:pPr>
      <w:tabs>
        <w:tab w:val="left" w:pos="360"/>
      </w:tabs>
      <w:spacing w:line="360" w:lineRule="auto"/>
      <w:ind w:left="482" w:firstLine="200" w:firstLineChars="200"/>
    </w:pPr>
  </w:style>
  <w:style w:type="paragraph" w:customStyle="1" w:styleId="300">
    <w:name w:val="reader-word-layer reader-word-s1-1"/>
    <w:basedOn w:val="1"/>
    <w:qFormat/>
    <w:uiPriority w:val="0"/>
    <w:pPr>
      <w:widowControl/>
      <w:spacing w:before="100" w:beforeAutospacing="1" w:after="100" w:afterAutospacing="1"/>
      <w:jc w:val="left"/>
    </w:pPr>
    <w:rPr>
      <w:rFonts w:ascii="宋体" w:hAnsi="宋体" w:cs="宋体"/>
      <w:kern w:val="0"/>
      <w:sz w:val="24"/>
    </w:rPr>
  </w:style>
  <w:style w:type="paragraph" w:customStyle="1" w:styleId="301">
    <w:name w:val="reader-word-layer reader-word-s2-5"/>
    <w:basedOn w:val="1"/>
    <w:qFormat/>
    <w:uiPriority w:val="0"/>
    <w:pPr>
      <w:widowControl/>
      <w:spacing w:before="100" w:beforeAutospacing="1" w:after="100" w:afterAutospacing="1"/>
      <w:jc w:val="left"/>
    </w:pPr>
    <w:rPr>
      <w:rFonts w:ascii="宋体" w:hAnsi="宋体" w:cs="宋体"/>
      <w:kern w:val="0"/>
      <w:sz w:val="24"/>
    </w:rPr>
  </w:style>
  <w:style w:type="paragraph" w:customStyle="1" w:styleId="302">
    <w:name w:val="444"/>
    <w:basedOn w:val="1"/>
    <w:qFormat/>
    <w:uiPriority w:val="0"/>
    <w:pPr>
      <w:adjustRightInd w:val="0"/>
      <w:spacing w:line="312" w:lineRule="atLeast"/>
      <w:jc w:val="center"/>
      <w:textAlignment w:val="baseline"/>
    </w:pPr>
    <w:rPr>
      <w:b/>
      <w:kern w:val="0"/>
      <w:sz w:val="36"/>
      <w:szCs w:val="36"/>
    </w:rPr>
  </w:style>
  <w:style w:type="paragraph" w:customStyle="1" w:styleId="303">
    <w:name w:val="a9"/>
    <w:basedOn w:val="1"/>
    <w:qFormat/>
    <w:uiPriority w:val="0"/>
    <w:pPr>
      <w:widowControl/>
      <w:spacing w:before="100" w:beforeAutospacing="1" w:after="100" w:afterAutospacing="1"/>
      <w:jc w:val="left"/>
    </w:pPr>
    <w:rPr>
      <w:rFonts w:ascii="宋体" w:hAnsi="宋体" w:cs="宋体"/>
      <w:kern w:val="0"/>
      <w:sz w:val="24"/>
    </w:rPr>
  </w:style>
  <w:style w:type="paragraph" w:customStyle="1" w:styleId="304">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adjustRightInd w:val="0"/>
      <w:jc w:val="left"/>
    </w:pPr>
    <w:rPr>
      <w:rFonts w:ascii="Courier New" w:hAnsi="Courier New"/>
      <w:kern w:val="0"/>
      <w:sz w:val="20"/>
      <w:szCs w:val="20"/>
    </w:rPr>
  </w:style>
  <w:style w:type="paragraph" w:customStyle="1" w:styleId="305">
    <w:name w:val="目录3"/>
    <w:basedOn w:val="1"/>
    <w:next w:val="1"/>
    <w:qFormat/>
    <w:uiPriority w:val="0"/>
    <w:pPr>
      <w:widowControl/>
      <w:tabs>
        <w:tab w:val="left" w:leader="dot" w:pos="8503"/>
      </w:tabs>
      <w:spacing w:line="317" w:lineRule="atLeast"/>
      <w:ind w:firstLine="419"/>
      <w:textAlignment w:val="baseline"/>
    </w:pPr>
    <w:rPr>
      <w:color w:val="000000"/>
      <w:kern w:val="0"/>
      <w:szCs w:val="20"/>
      <w:u w:color="000000"/>
    </w:rPr>
  </w:style>
  <w:style w:type="paragraph" w:customStyle="1" w:styleId="306">
    <w:name w:val="样式 标题 2 + Times New Roman 四号 非加粗 段前: 5 磅 段后: 0 磅 行距: 固定值 20..."/>
    <w:basedOn w:val="4"/>
    <w:qFormat/>
    <w:uiPriority w:val="0"/>
    <w:pPr>
      <w:spacing w:before="100" w:after="0" w:line="400" w:lineRule="exact"/>
    </w:pPr>
    <w:rPr>
      <w:rFonts w:ascii="Times New Roman" w:hAnsi="Times New Roman" w:eastAsia="宋体" w:cs="宋体"/>
      <w:b w:val="0"/>
      <w:bCs w:val="0"/>
      <w:kern w:val="0"/>
      <w:sz w:val="28"/>
      <w:szCs w:val="20"/>
    </w:rPr>
  </w:style>
  <w:style w:type="paragraph" w:customStyle="1" w:styleId="307">
    <w:name w:val="Char Char Char Char Char Char Char Char Char1 Char1 Char Char Char Char Char Char Char Char Char Char Char Char"/>
    <w:basedOn w:val="1"/>
    <w:qFormat/>
    <w:uiPriority w:val="0"/>
    <w:pPr>
      <w:spacing w:line="360" w:lineRule="auto"/>
      <w:ind w:firstLine="200" w:firstLineChars="200"/>
    </w:pPr>
    <w:rPr>
      <w:rFonts w:ascii="宋体" w:hAnsi="宋体" w:cs="宋体"/>
      <w:sz w:val="24"/>
    </w:rPr>
  </w:style>
  <w:style w:type="paragraph" w:customStyle="1" w:styleId="308">
    <w:name w:val="表格文字115"/>
    <w:basedOn w:val="1"/>
    <w:qFormat/>
    <w:uiPriority w:val="0"/>
    <w:pPr>
      <w:spacing w:before="25" w:after="25"/>
      <w:jc w:val="left"/>
    </w:pPr>
    <w:rPr>
      <w:bCs/>
      <w:spacing w:val="10"/>
      <w:kern w:val="0"/>
      <w:sz w:val="24"/>
    </w:rPr>
  </w:style>
  <w:style w:type="paragraph" w:customStyle="1" w:styleId="309">
    <w:name w:val="Char Char Char1 Char Char Char Char Char Char Char Char Char Char Char Char Char Char Char"/>
    <w:basedOn w:val="1"/>
    <w:qFormat/>
    <w:uiPriority w:val="0"/>
    <w:pPr>
      <w:widowControl/>
      <w:adjustRightInd w:val="0"/>
      <w:spacing w:after="160" w:line="240" w:lineRule="exact"/>
      <w:jc w:val="left"/>
    </w:pPr>
    <w:rPr>
      <w:rFonts w:ascii="Verdana" w:hAnsi="Verdana"/>
      <w:kern w:val="0"/>
      <w:sz w:val="20"/>
      <w:szCs w:val="20"/>
      <w:lang w:eastAsia="en-US"/>
    </w:rPr>
  </w:style>
  <w:style w:type="paragraph" w:customStyle="1" w:styleId="310">
    <w:name w:val="Main_heading"/>
    <w:basedOn w:val="1"/>
    <w:next w:val="1"/>
    <w:qFormat/>
    <w:uiPriority w:val="0"/>
    <w:pPr>
      <w:widowControl/>
      <w:spacing w:before="240" w:after="240" w:line="240" w:lineRule="atLeast"/>
      <w:jc w:val="left"/>
    </w:pPr>
    <w:rPr>
      <w:rFonts w:eastAsia="MS Mincho"/>
      <w:b/>
      <w:kern w:val="0"/>
      <w:sz w:val="28"/>
      <w:szCs w:val="20"/>
      <w:lang w:eastAsia="ja-JP"/>
    </w:rPr>
  </w:style>
  <w:style w:type="paragraph" w:customStyle="1" w:styleId="311">
    <w:name w:val="Char Char Char Char Char Char Char Char Char Char Char Char Char"/>
    <w:basedOn w:val="17"/>
    <w:qFormat/>
    <w:uiPriority w:val="0"/>
    <w:rPr>
      <w:rFonts w:ascii="Tahoma" w:hAnsi="Tahoma"/>
      <w:sz w:val="24"/>
    </w:rPr>
  </w:style>
  <w:style w:type="paragraph" w:customStyle="1" w:styleId="312">
    <w:name w:val="样式1"/>
    <w:basedOn w:val="1"/>
    <w:next w:val="6"/>
    <w:qFormat/>
    <w:uiPriority w:val="0"/>
    <w:pPr>
      <w:spacing w:line="360" w:lineRule="auto"/>
      <w:ind w:firstLine="420" w:firstLineChars="200"/>
    </w:pPr>
    <w:rPr>
      <w:rFonts w:ascii="宋体" w:hAnsi="宋体"/>
      <w:szCs w:val="21"/>
    </w:rPr>
  </w:style>
  <w:style w:type="paragraph" w:customStyle="1" w:styleId="313">
    <w:name w:val="文章附标题"/>
    <w:basedOn w:val="1"/>
    <w:next w:val="3"/>
    <w:qFormat/>
    <w:uiPriority w:val="0"/>
    <w:pPr>
      <w:widowControl/>
      <w:spacing w:before="187" w:after="175" w:line="374" w:lineRule="atLeast"/>
      <w:jc w:val="center"/>
      <w:textAlignment w:val="baseline"/>
    </w:pPr>
    <w:rPr>
      <w:color w:val="000000"/>
      <w:kern w:val="0"/>
      <w:sz w:val="36"/>
      <w:szCs w:val="20"/>
      <w:u w:color="000000"/>
    </w:rPr>
  </w:style>
  <w:style w:type="paragraph" w:customStyle="1" w:styleId="314">
    <w:name w:val="Char Char Char Char Char Char Char"/>
    <w:basedOn w:val="1"/>
    <w:qFormat/>
    <w:uiPriority w:val="0"/>
    <w:pPr>
      <w:widowControl/>
      <w:spacing w:after="160" w:line="240" w:lineRule="exact"/>
      <w:jc w:val="left"/>
    </w:pPr>
  </w:style>
  <w:style w:type="paragraph" w:customStyle="1" w:styleId="315">
    <w:name w:val="reader-word-layer reader-word-s2-9"/>
    <w:basedOn w:val="1"/>
    <w:qFormat/>
    <w:uiPriority w:val="0"/>
    <w:pPr>
      <w:widowControl/>
      <w:spacing w:before="100" w:beforeAutospacing="1" w:after="100" w:afterAutospacing="1"/>
      <w:jc w:val="left"/>
    </w:pPr>
    <w:rPr>
      <w:rFonts w:ascii="宋体" w:hAnsi="宋体" w:cs="宋体"/>
      <w:kern w:val="0"/>
      <w:sz w:val="24"/>
    </w:rPr>
  </w:style>
  <w:style w:type="paragraph" w:customStyle="1" w:styleId="316">
    <w:name w:val="文章总标题"/>
    <w:basedOn w:val="1"/>
    <w:next w:val="313"/>
    <w:qFormat/>
    <w:uiPriority w:val="0"/>
    <w:pPr>
      <w:widowControl/>
      <w:spacing w:before="566" w:after="544" w:line="566" w:lineRule="atLeast"/>
      <w:jc w:val="center"/>
      <w:textAlignment w:val="baseline"/>
    </w:pPr>
    <w:rPr>
      <w:rFonts w:ascii="Arial" w:eastAsia="黑体"/>
      <w:color w:val="000000"/>
      <w:kern w:val="0"/>
      <w:sz w:val="54"/>
      <w:szCs w:val="20"/>
      <w:u w:color="000000"/>
    </w:rPr>
  </w:style>
  <w:style w:type="paragraph" w:customStyle="1" w:styleId="317">
    <w:name w:val="正文1"/>
    <w:qFormat/>
    <w:uiPriority w:val="0"/>
    <w:pPr>
      <w:widowControl w:val="0"/>
      <w:adjustRightInd w:val="0"/>
      <w:spacing w:line="312" w:lineRule="atLeast"/>
      <w:jc w:val="both"/>
      <w:textAlignment w:val="baseline"/>
    </w:pPr>
    <w:rPr>
      <w:rFonts w:ascii="宋体" w:hAnsi="Calibri" w:eastAsia="宋体" w:cs="Times New Roman"/>
      <w:sz w:val="34"/>
      <w:lang w:val="en-US" w:eastAsia="zh-CN" w:bidi="ar-SA"/>
    </w:rPr>
  </w:style>
  <w:style w:type="paragraph" w:customStyle="1" w:styleId="318">
    <w:name w:val="样式 标题 3 + (中文) 黑体 小四 非加粗 段前: 7.8 磅 段后: 0 磅 行距: 固定值 20 磅"/>
    <w:basedOn w:val="5"/>
    <w:qFormat/>
    <w:uiPriority w:val="0"/>
    <w:pPr>
      <w:spacing w:line="400" w:lineRule="exact"/>
    </w:pPr>
    <w:rPr>
      <w:rFonts w:eastAsia="宋体" w:cs="宋体"/>
      <w:b w:val="0"/>
      <w:bCs w:val="0"/>
      <w:szCs w:val="20"/>
    </w:rPr>
  </w:style>
  <w:style w:type="paragraph" w:customStyle="1" w:styleId="319">
    <w:name w:val="目录2"/>
    <w:basedOn w:val="1"/>
    <w:next w:val="1"/>
    <w:qFormat/>
    <w:uiPriority w:val="0"/>
    <w:pPr>
      <w:widowControl/>
      <w:tabs>
        <w:tab w:val="left" w:leader="dot" w:pos="8503"/>
      </w:tabs>
      <w:spacing w:line="317" w:lineRule="atLeast"/>
      <w:ind w:firstLine="209"/>
      <w:textAlignment w:val="baseline"/>
    </w:pPr>
    <w:rPr>
      <w:color w:val="000000"/>
      <w:kern w:val="0"/>
      <w:szCs w:val="20"/>
      <w:u w:color="000000"/>
    </w:rPr>
  </w:style>
  <w:style w:type="paragraph" w:customStyle="1" w:styleId="320">
    <w:name w:val="插图题注"/>
    <w:next w:val="1"/>
    <w:qFormat/>
    <w:uiPriority w:val="0"/>
    <w:pPr>
      <w:spacing w:after="312" w:afterLines="100"/>
      <w:ind w:left="1089" w:hanging="369"/>
      <w:jc w:val="center"/>
    </w:pPr>
    <w:rPr>
      <w:rFonts w:ascii="Arial" w:hAnsi="Arial" w:eastAsia="宋体" w:cs="Times New Roman"/>
      <w:sz w:val="18"/>
      <w:szCs w:val="18"/>
      <w:lang w:val="en-US" w:eastAsia="zh-CN" w:bidi="ar-SA"/>
    </w:rPr>
  </w:style>
  <w:style w:type="paragraph" w:customStyle="1" w:styleId="321">
    <w:name w:val="正文 New New New New"/>
    <w:qFormat/>
    <w:uiPriority w:val="0"/>
    <w:pPr>
      <w:widowControl w:val="0"/>
      <w:jc w:val="both"/>
    </w:pPr>
    <w:rPr>
      <w:rFonts w:ascii="Calibri" w:hAnsi="Calibri" w:eastAsia="宋体" w:cs="Times New Roman"/>
      <w:kern w:val="2"/>
      <w:sz w:val="21"/>
      <w:szCs w:val="24"/>
      <w:lang w:val="en-US" w:eastAsia="zh-CN" w:bidi="ar-SA"/>
    </w:rPr>
  </w:style>
  <w:style w:type="paragraph" w:customStyle="1" w:styleId="322">
    <w:name w:val="bb"/>
    <w:basedOn w:val="1"/>
    <w:qFormat/>
    <w:uiPriority w:val="0"/>
    <w:pPr>
      <w:widowControl/>
      <w:spacing w:before="100" w:beforeAutospacing="1" w:after="100" w:afterAutospacing="1"/>
      <w:jc w:val="left"/>
    </w:pPr>
    <w:rPr>
      <w:rFonts w:hint="eastAsia" w:ascii="宋体" w:hAnsi="宋体"/>
      <w:kern w:val="0"/>
      <w:sz w:val="24"/>
    </w:rPr>
  </w:style>
  <w:style w:type="paragraph" w:customStyle="1" w:styleId="323">
    <w:name w:val="样式 正文文字 + 小四 段后: 0 磅 行距: 1.5 倍行距"/>
    <w:basedOn w:val="21"/>
    <w:qFormat/>
    <w:uiPriority w:val="0"/>
    <w:pPr>
      <w:spacing w:line="360" w:lineRule="auto"/>
      <w:ind w:firstLine="480" w:firstLineChars="200"/>
    </w:pPr>
    <w:rPr>
      <w:rFonts w:cs="宋体"/>
      <w:szCs w:val="20"/>
    </w:rPr>
  </w:style>
  <w:style w:type="paragraph" w:customStyle="1" w:styleId="324">
    <w:name w:val="_Style 35"/>
    <w:basedOn w:val="17"/>
    <w:qFormat/>
    <w:uiPriority w:val="0"/>
    <w:pPr>
      <w:widowControl/>
      <w:ind w:firstLine="454"/>
      <w:jc w:val="left"/>
    </w:pPr>
  </w:style>
  <w:style w:type="paragraph" w:customStyle="1" w:styleId="325">
    <w:name w:val="Char Char Char Char Char Char1 Char"/>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326">
    <w:name w:val="默认段落字体 Para Char1"/>
    <w:next w:val="1"/>
    <w:qFormat/>
    <w:uiPriority w:val="0"/>
    <w:pPr>
      <w:keepNext/>
      <w:keepLines/>
      <w:tabs>
        <w:tab w:val="left" w:pos="360"/>
      </w:tabs>
      <w:snapToGrid w:val="0"/>
      <w:spacing w:before="240" w:after="240"/>
      <w:outlineLvl w:val="7"/>
    </w:pPr>
    <w:rPr>
      <w:rFonts w:ascii="Arial" w:hAnsi="Arial" w:eastAsia="宋体" w:cs="Arial"/>
      <w:kern w:val="2"/>
      <w:lang w:val="en-US" w:eastAsia="zh-CN" w:bidi="ar-SA"/>
    </w:rPr>
  </w:style>
  <w:style w:type="paragraph" w:customStyle="1" w:styleId="327">
    <w:name w:val="节标题"/>
    <w:basedOn w:val="1"/>
    <w:next w:val="278"/>
    <w:qFormat/>
    <w:uiPriority w:val="0"/>
    <w:pPr>
      <w:widowControl/>
      <w:spacing w:line="289" w:lineRule="atLeast"/>
      <w:jc w:val="center"/>
      <w:textAlignment w:val="baseline"/>
    </w:pPr>
    <w:rPr>
      <w:color w:val="000000"/>
      <w:kern w:val="0"/>
      <w:sz w:val="28"/>
      <w:szCs w:val="20"/>
      <w:u w:color="000000"/>
    </w:rPr>
  </w:style>
  <w:style w:type="paragraph" w:customStyle="1" w:styleId="328">
    <w:name w:val="Char Char Char Char1"/>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329">
    <w:name w:val="目录1"/>
    <w:basedOn w:val="1"/>
    <w:next w:val="1"/>
    <w:qFormat/>
    <w:uiPriority w:val="0"/>
    <w:pPr>
      <w:widowControl/>
      <w:tabs>
        <w:tab w:val="left" w:leader="dot" w:pos="8503"/>
      </w:tabs>
      <w:spacing w:after="136" w:line="289" w:lineRule="atLeast"/>
      <w:jc w:val="left"/>
      <w:textAlignment w:val="baseline"/>
    </w:pPr>
    <w:rPr>
      <w:rFonts w:ascii="Arial" w:eastAsia="黑体"/>
      <w:color w:val="000000"/>
      <w:kern w:val="0"/>
      <w:sz w:val="28"/>
      <w:szCs w:val="20"/>
      <w:u w:color="000000"/>
    </w:rPr>
  </w:style>
  <w:style w:type="paragraph" w:customStyle="1" w:styleId="330">
    <w:name w:val="列表段落1"/>
    <w:basedOn w:val="1"/>
    <w:qFormat/>
    <w:uiPriority w:val="0"/>
    <w:pPr>
      <w:ind w:firstLine="420" w:firstLineChars="200"/>
    </w:pPr>
    <w:rPr>
      <w:szCs w:val="22"/>
    </w:rPr>
  </w:style>
  <w:style w:type="paragraph" w:customStyle="1" w:styleId="331">
    <w:name w:val="无间隔1"/>
    <w:qFormat/>
    <w:uiPriority w:val="0"/>
    <w:pPr>
      <w:widowControl w:val="0"/>
      <w:jc w:val="both"/>
    </w:pPr>
    <w:rPr>
      <w:rFonts w:ascii="Calibri" w:hAnsi="Calibri" w:eastAsia="宋体" w:cs="Times New Roman"/>
      <w:kern w:val="2"/>
      <w:sz w:val="21"/>
      <w:szCs w:val="24"/>
      <w:lang w:val="en-US" w:eastAsia="zh-CN" w:bidi="ar-SA"/>
    </w:rPr>
  </w:style>
  <w:style w:type="paragraph" w:customStyle="1" w:styleId="332">
    <w:name w:val="xl2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b/>
      <w:bCs/>
      <w:kern w:val="0"/>
      <w:sz w:val="24"/>
    </w:rPr>
  </w:style>
  <w:style w:type="paragraph" w:customStyle="1" w:styleId="333">
    <w:name w:val="默认段落字体 Para Char"/>
    <w:basedOn w:val="1"/>
    <w:qFormat/>
    <w:uiPriority w:val="0"/>
    <w:pPr>
      <w:adjustRightInd w:val="0"/>
      <w:spacing w:line="360" w:lineRule="auto"/>
    </w:pPr>
    <w:rPr>
      <w:kern w:val="0"/>
      <w:sz w:val="24"/>
      <w:szCs w:val="20"/>
    </w:rPr>
  </w:style>
  <w:style w:type="paragraph" w:customStyle="1" w:styleId="334">
    <w:name w:val="_Style 331"/>
    <w:qFormat/>
    <w:uiPriority w:val="0"/>
    <w:rPr>
      <w:rFonts w:ascii="Calibri" w:hAnsi="Calibri" w:eastAsia="宋体" w:cs="Times New Roman"/>
      <w:kern w:val="2"/>
      <w:sz w:val="21"/>
      <w:szCs w:val="24"/>
      <w:lang w:val="en-US" w:eastAsia="zh-CN" w:bidi="ar-SA"/>
    </w:rPr>
  </w:style>
  <w:style w:type="paragraph" w:customStyle="1" w:styleId="335">
    <w:name w:val="表格"/>
    <w:basedOn w:val="1"/>
    <w:qFormat/>
    <w:uiPriority w:val="0"/>
    <w:pPr>
      <w:spacing w:line="400" w:lineRule="exact"/>
    </w:pPr>
    <w:rPr>
      <w:sz w:val="24"/>
    </w:rPr>
  </w:style>
  <w:style w:type="paragraph" w:customStyle="1" w:styleId="336">
    <w:name w:val="缺省文本"/>
    <w:basedOn w:val="1"/>
    <w:qFormat/>
    <w:uiPriority w:val="0"/>
    <w:pPr>
      <w:autoSpaceDE w:val="0"/>
      <w:autoSpaceDN w:val="0"/>
      <w:adjustRightInd w:val="0"/>
      <w:spacing w:line="360" w:lineRule="auto"/>
      <w:jc w:val="left"/>
    </w:pPr>
    <w:rPr>
      <w:kern w:val="0"/>
      <w:sz w:val="24"/>
      <w:szCs w:val="20"/>
    </w:rPr>
  </w:style>
  <w:style w:type="paragraph" w:customStyle="1" w:styleId="337">
    <w:name w:val="xl30"/>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kern w:val="0"/>
      <w:szCs w:val="21"/>
    </w:rPr>
  </w:style>
  <w:style w:type="paragraph" w:customStyle="1" w:styleId="338">
    <w:name w:val="样式 标题 2 + (西文) 宋体 非加粗 居中"/>
    <w:basedOn w:val="4"/>
    <w:qFormat/>
    <w:uiPriority w:val="0"/>
    <w:pPr>
      <w:spacing w:before="260" w:after="260" w:line="416" w:lineRule="auto"/>
      <w:jc w:val="center"/>
    </w:pPr>
    <w:rPr>
      <w:rFonts w:ascii="宋体" w:hAnsi="宋体" w:eastAsia="宋体" w:cs="宋体"/>
      <w:b w:val="0"/>
      <w:bCs w:val="0"/>
      <w:spacing w:val="2"/>
      <w:kern w:val="0"/>
      <w:sz w:val="28"/>
      <w:szCs w:val="20"/>
    </w:rPr>
  </w:style>
  <w:style w:type="paragraph" w:customStyle="1" w:styleId="339">
    <w:name w:val="p0"/>
    <w:basedOn w:val="1"/>
    <w:qFormat/>
    <w:uiPriority w:val="0"/>
    <w:pPr>
      <w:widowControl/>
    </w:pPr>
    <w:rPr>
      <w:rFonts w:cs="宋体"/>
      <w:kern w:val="0"/>
      <w:szCs w:val="21"/>
    </w:rPr>
  </w:style>
  <w:style w:type="paragraph" w:customStyle="1" w:styleId="340">
    <w:name w:val="tgt1"/>
    <w:basedOn w:val="1"/>
    <w:qFormat/>
    <w:uiPriority w:val="0"/>
    <w:pPr>
      <w:widowControl/>
      <w:spacing w:after="150"/>
      <w:jc w:val="left"/>
    </w:pPr>
    <w:rPr>
      <w:rFonts w:ascii="宋体" w:hAnsi="宋体" w:cs="宋体"/>
      <w:kern w:val="0"/>
      <w:sz w:val="24"/>
    </w:rPr>
  </w:style>
  <w:style w:type="paragraph" w:customStyle="1" w:styleId="341">
    <w:name w:val="p15"/>
    <w:basedOn w:val="1"/>
    <w:qFormat/>
    <w:uiPriority w:val="0"/>
    <w:pPr>
      <w:widowControl/>
    </w:pPr>
    <w:rPr>
      <w:rFonts w:ascii="宋体" w:hAnsi="宋体" w:cs="宋体"/>
      <w:kern w:val="0"/>
      <w:szCs w:val="21"/>
    </w:rPr>
  </w:style>
  <w:style w:type="paragraph" w:customStyle="1" w:styleId="342">
    <w:name w:val="List Paragraph1"/>
    <w:basedOn w:val="1"/>
    <w:qFormat/>
    <w:uiPriority w:val="0"/>
    <w:pPr>
      <w:ind w:firstLine="420" w:firstLineChars="200"/>
    </w:pPr>
    <w:rPr>
      <w:szCs w:val="22"/>
    </w:rPr>
  </w:style>
  <w:style w:type="paragraph" w:customStyle="1" w:styleId="343">
    <w:name w:val="xl26"/>
    <w:basedOn w:val="1"/>
    <w:qFormat/>
    <w:uiPriority w:val="0"/>
    <w:pPr>
      <w:widowControl/>
      <w:pBdr>
        <w:left w:val="single" w:color="auto" w:sz="4" w:space="0"/>
        <w:bottom w:val="single" w:color="auto" w:sz="4" w:space="0"/>
        <w:right w:val="single" w:color="auto" w:sz="4" w:space="0"/>
      </w:pBdr>
      <w:spacing w:before="100" w:beforeAutospacing="1" w:after="100" w:afterAutospacing="1"/>
    </w:pPr>
    <w:rPr>
      <w:kern w:val="0"/>
      <w:szCs w:val="21"/>
    </w:rPr>
  </w:style>
  <w:style w:type="paragraph" w:customStyle="1" w:styleId="344">
    <w:name w:val="目录标题"/>
    <w:basedOn w:val="1"/>
    <w:next w:val="1"/>
    <w:qFormat/>
    <w:uiPriority w:val="0"/>
    <w:pPr>
      <w:widowControl/>
      <w:spacing w:before="566" w:after="544" w:line="566" w:lineRule="atLeast"/>
      <w:ind w:firstLine="419"/>
      <w:jc w:val="center"/>
      <w:textAlignment w:val="baseline"/>
    </w:pPr>
    <w:rPr>
      <w:rFonts w:ascii="Arial" w:eastAsia="黑体"/>
      <w:color w:val="000000"/>
      <w:spacing w:val="566"/>
      <w:kern w:val="0"/>
      <w:sz w:val="54"/>
      <w:szCs w:val="20"/>
      <w:u w:color="000000"/>
    </w:rPr>
  </w:style>
  <w:style w:type="paragraph" w:customStyle="1" w:styleId="345">
    <w:name w:val="xl31"/>
    <w:basedOn w:val="1"/>
    <w:qFormat/>
    <w:uiPriority w:val="0"/>
    <w:pPr>
      <w:widowControl/>
      <w:pBdr>
        <w:bottom w:val="single" w:color="auto" w:sz="4" w:space="0"/>
        <w:right w:val="single" w:color="auto" w:sz="4" w:space="0"/>
      </w:pBdr>
      <w:spacing w:before="100" w:beforeAutospacing="1" w:after="100" w:afterAutospacing="1"/>
      <w:jc w:val="center"/>
    </w:pPr>
    <w:rPr>
      <w:rFonts w:ascii="宋体" w:hAnsi="宋体"/>
      <w:kern w:val="0"/>
      <w:szCs w:val="21"/>
    </w:rPr>
  </w:style>
  <w:style w:type="paragraph" w:customStyle="1" w:styleId="346">
    <w:name w:val="次小点说明 Char"/>
    <w:basedOn w:val="8"/>
    <w:qFormat/>
    <w:uiPriority w:val="0"/>
    <w:pPr>
      <w:ind w:firstLine="0"/>
    </w:pPr>
    <w:rPr>
      <w:sz w:val="24"/>
      <w:szCs w:val="24"/>
    </w:rPr>
  </w:style>
  <w:style w:type="paragraph" w:customStyle="1" w:styleId="347">
    <w:name w:val="Default Paragraph Font Para Char Char Char Char Char Char"/>
    <w:basedOn w:val="1"/>
    <w:qFormat/>
    <w:uiPriority w:val="0"/>
    <w:pPr>
      <w:widowControl/>
      <w:spacing w:after="160" w:line="240" w:lineRule="exact"/>
      <w:jc w:val="left"/>
    </w:pPr>
    <w:rPr>
      <w:rFonts w:ascii="Verdana" w:hAnsi="Verdana"/>
      <w:kern w:val="0"/>
      <w:sz w:val="20"/>
      <w:szCs w:val="20"/>
      <w:lang w:eastAsia="en-US"/>
    </w:rPr>
  </w:style>
  <w:style w:type="paragraph" w:customStyle="1" w:styleId="348">
    <w:name w:val="Char21"/>
    <w:basedOn w:val="1"/>
    <w:qFormat/>
    <w:uiPriority w:val="0"/>
    <w:pPr>
      <w:widowControl/>
      <w:spacing w:after="160" w:line="240" w:lineRule="exact"/>
      <w:jc w:val="left"/>
    </w:pPr>
    <w:rPr>
      <w:rFonts w:ascii="Verdana" w:hAnsi="Verdana"/>
      <w:kern w:val="0"/>
      <w:szCs w:val="20"/>
      <w:lang w:eastAsia="en-US"/>
    </w:rPr>
  </w:style>
  <w:style w:type="paragraph" w:customStyle="1" w:styleId="349">
    <w:name w:val="Char Char Char Char Char Char Char Char Char1 Char1 Char Char Char Char Char Char Char Char Char Char Char Char1"/>
    <w:basedOn w:val="1"/>
    <w:qFormat/>
    <w:uiPriority w:val="0"/>
    <w:pPr>
      <w:spacing w:line="360" w:lineRule="auto"/>
      <w:ind w:firstLine="200" w:firstLineChars="200"/>
    </w:pPr>
    <w:rPr>
      <w:rFonts w:ascii="宋体" w:hAnsi="宋体" w:cs="宋体"/>
      <w:sz w:val="24"/>
    </w:rPr>
  </w:style>
  <w:style w:type="paragraph" w:customStyle="1" w:styleId="350">
    <w:name w:val="Char Char Char Char Char Char1 Char1"/>
    <w:basedOn w:val="17"/>
    <w:qFormat/>
    <w:uiPriority w:val="0"/>
    <w:rPr>
      <w:rFonts w:ascii="Tahoma" w:hAnsi="Tahoma"/>
      <w:sz w:val="24"/>
    </w:rPr>
  </w:style>
  <w:style w:type="paragraph" w:customStyle="1" w:styleId="351">
    <w:name w:val="表内文字"/>
    <w:basedOn w:val="1"/>
    <w:qFormat/>
    <w:uiPriority w:val="0"/>
    <w:pPr>
      <w:snapToGrid w:val="0"/>
      <w:spacing w:line="320" w:lineRule="exact"/>
    </w:pPr>
    <w:rPr>
      <w:rFonts w:ascii="宋体" w:hAnsi="宋体"/>
      <w:szCs w:val="21"/>
    </w:rPr>
  </w:style>
  <w:style w:type="paragraph" w:customStyle="1" w:styleId="352">
    <w:name w:val="Report List"/>
    <w:basedOn w:val="1"/>
    <w:qFormat/>
    <w:uiPriority w:val="0"/>
    <w:pPr>
      <w:widowControl/>
      <w:tabs>
        <w:tab w:val="left" w:pos="1440"/>
      </w:tabs>
      <w:spacing w:before="120" w:after="120"/>
      <w:ind w:left="1440" w:hanging="360"/>
    </w:pPr>
    <w:rPr>
      <w:rFonts w:ascii="Arial" w:hAnsi="Arial" w:cs="Tahoma"/>
      <w:kern w:val="28"/>
      <w:sz w:val="22"/>
      <w:szCs w:val="20"/>
    </w:rPr>
  </w:style>
  <w:style w:type="paragraph" w:customStyle="1" w:styleId="353">
    <w:name w:val="正文首行缩进两字符"/>
    <w:basedOn w:val="1"/>
    <w:qFormat/>
    <w:uiPriority w:val="0"/>
    <w:pPr>
      <w:spacing w:line="360" w:lineRule="auto"/>
      <w:ind w:firstLine="200" w:firstLineChars="200"/>
    </w:pPr>
  </w:style>
  <w:style w:type="paragraph" w:customStyle="1" w:styleId="354">
    <w:name w:val="2-2ji"/>
    <w:basedOn w:val="4"/>
    <w:qFormat/>
    <w:uiPriority w:val="0"/>
    <w:pPr>
      <w:spacing w:before="0" w:after="0" w:line="360" w:lineRule="auto"/>
      <w:jc w:val="center"/>
    </w:pPr>
    <w:rPr>
      <w:rFonts w:ascii="宋体" w:hAnsi="宋体" w:eastAsia="宋体"/>
      <w:sz w:val="36"/>
      <w:szCs w:val="24"/>
    </w:rPr>
  </w:style>
  <w:style w:type="paragraph" w:customStyle="1" w:styleId="355">
    <w:name w:val="Char1 Char Char Char"/>
    <w:basedOn w:val="1"/>
    <w:qFormat/>
    <w:uiPriority w:val="0"/>
    <w:rPr>
      <w:rFonts w:ascii="Tahoma" w:hAnsi="Tahoma"/>
      <w:sz w:val="24"/>
      <w:szCs w:val="20"/>
    </w:rPr>
  </w:style>
  <w:style w:type="paragraph" w:customStyle="1" w:styleId="356">
    <w:name w:val="xl2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kern w:val="0"/>
      <w:sz w:val="20"/>
      <w:szCs w:val="20"/>
    </w:rPr>
  </w:style>
  <w:style w:type="paragraph" w:customStyle="1" w:styleId="357">
    <w:name w:val="表项"/>
    <w:next w:val="1"/>
    <w:qFormat/>
    <w:uiPriority w:val="0"/>
    <w:pPr>
      <w:keepNext/>
      <w:spacing w:line="300" w:lineRule="auto"/>
      <w:jc w:val="center"/>
      <w:textAlignment w:val="baseline"/>
    </w:pPr>
    <w:rPr>
      <w:rFonts w:ascii="Arial" w:hAnsi="Arial" w:eastAsia="黑体" w:cs="Times New Roman"/>
      <w:sz w:val="21"/>
      <w:lang w:val="en-US" w:eastAsia="zh-CN" w:bidi="ar-SA"/>
    </w:rPr>
  </w:style>
  <w:style w:type="paragraph" w:customStyle="1" w:styleId="358">
    <w:name w:val="列出段落11"/>
    <w:basedOn w:val="1"/>
    <w:qFormat/>
    <w:uiPriority w:val="0"/>
    <w:pPr>
      <w:ind w:firstLine="420" w:firstLineChars="200"/>
    </w:pPr>
    <w:rPr>
      <w:rFonts w:cs="Calibri"/>
      <w:szCs w:val="21"/>
    </w:rPr>
  </w:style>
  <w:style w:type="paragraph" w:customStyle="1" w:styleId="359">
    <w:name w:val="样式 正文缩进 + 首行缩进:  2 字符 段前: 0.5 行"/>
    <w:basedOn w:val="1"/>
    <w:qFormat/>
    <w:uiPriority w:val="0"/>
    <w:pPr>
      <w:spacing w:beforeLines="50" w:line="300" w:lineRule="auto"/>
      <w:ind w:firstLine="480" w:firstLineChars="200"/>
    </w:pPr>
    <w:rPr>
      <w:rFonts w:cs="宋体"/>
      <w:szCs w:val="20"/>
    </w:rPr>
  </w:style>
  <w:style w:type="paragraph" w:customStyle="1" w:styleId="360">
    <w:name w:val="reader-word-layer reader-word-s2-3 reader-word-s2-8"/>
    <w:basedOn w:val="1"/>
    <w:qFormat/>
    <w:uiPriority w:val="0"/>
    <w:pPr>
      <w:widowControl/>
      <w:spacing w:before="100" w:beforeAutospacing="1" w:after="100" w:afterAutospacing="1"/>
      <w:jc w:val="left"/>
    </w:pPr>
    <w:rPr>
      <w:rFonts w:ascii="宋体" w:hAnsi="宋体" w:cs="宋体"/>
      <w:kern w:val="0"/>
      <w:sz w:val="24"/>
    </w:rPr>
  </w:style>
  <w:style w:type="paragraph" w:customStyle="1" w:styleId="361">
    <w:name w:val="xl2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kern w:val="0"/>
      <w:sz w:val="20"/>
      <w:szCs w:val="20"/>
    </w:rPr>
  </w:style>
  <w:style w:type="paragraph" w:customStyle="1" w:styleId="362">
    <w:name w:val="reader-word-layer reader-word-s1-0"/>
    <w:basedOn w:val="1"/>
    <w:qFormat/>
    <w:uiPriority w:val="0"/>
    <w:pPr>
      <w:widowControl/>
      <w:spacing w:before="100" w:beforeAutospacing="1" w:after="100" w:afterAutospacing="1"/>
      <w:jc w:val="left"/>
    </w:pPr>
    <w:rPr>
      <w:rFonts w:ascii="宋体" w:hAnsi="宋体" w:cs="宋体"/>
      <w:kern w:val="0"/>
      <w:sz w:val="24"/>
    </w:rPr>
  </w:style>
  <w:style w:type="paragraph" w:customStyle="1" w:styleId="363">
    <w:name w:val="Body"/>
    <w:basedOn w:val="1"/>
    <w:qFormat/>
    <w:uiPriority w:val="0"/>
    <w:pPr>
      <w:widowControl/>
      <w:tabs>
        <w:tab w:val="left" w:pos="1980"/>
      </w:tabs>
      <w:spacing w:before="80" w:after="80" w:line="360" w:lineRule="auto"/>
      <w:jc w:val="center"/>
    </w:pPr>
    <w:rPr>
      <w:szCs w:val="21"/>
    </w:rPr>
  </w:style>
  <w:style w:type="paragraph" w:customStyle="1" w:styleId="364">
    <w:name w:val="Char1 Char Char Char Char Char Char"/>
    <w:basedOn w:val="1"/>
    <w:qFormat/>
    <w:uiPriority w:val="0"/>
    <w:rPr>
      <w:rFonts w:ascii="Tahoma" w:hAnsi="Tahoma"/>
      <w:sz w:val="24"/>
      <w:szCs w:val="20"/>
    </w:rPr>
  </w:style>
  <w:style w:type="paragraph" w:customStyle="1" w:styleId="365">
    <w:name w:val="Char Char Char Char Char Char Char1"/>
    <w:basedOn w:val="1"/>
    <w:qFormat/>
    <w:uiPriority w:val="0"/>
  </w:style>
  <w:style w:type="paragraph" w:customStyle="1" w:styleId="366">
    <w:name w:val="标准文本"/>
    <w:basedOn w:val="1"/>
    <w:qFormat/>
    <w:uiPriority w:val="0"/>
    <w:pPr>
      <w:spacing w:line="360" w:lineRule="auto"/>
      <w:ind w:firstLine="480" w:firstLineChars="200"/>
    </w:pPr>
    <w:rPr>
      <w:sz w:val="24"/>
      <w:szCs w:val="20"/>
    </w:rPr>
  </w:style>
  <w:style w:type="paragraph" w:customStyle="1" w:styleId="367">
    <w:name w:val="菲页(卷)"/>
    <w:basedOn w:val="3"/>
    <w:next w:val="317"/>
    <w:qFormat/>
    <w:uiPriority w:val="0"/>
    <w:pPr>
      <w:keepLines w:val="0"/>
      <w:widowControl/>
      <w:tabs>
        <w:tab w:val="left" w:pos="900"/>
      </w:tabs>
      <w:spacing w:before="0" w:after="0" w:line="240" w:lineRule="auto"/>
      <w:ind w:left="900" w:hanging="360"/>
      <w:jc w:val="center"/>
      <w:outlineLvl w:val="1"/>
    </w:pPr>
    <w:rPr>
      <w:rFonts w:ascii="黑体" w:eastAsia="黑体"/>
      <w:b w:val="0"/>
      <w:bCs w:val="0"/>
      <w:kern w:val="0"/>
      <w:sz w:val="52"/>
      <w:szCs w:val="20"/>
    </w:rPr>
  </w:style>
  <w:style w:type="paragraph" w:customStyle="1" w:styleId="368">
    <w:name w:val="正文 New New New New New New New New New New New New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69">
    <w:name w:val="普通 (Web)"/>
    <w:basedOn w:val="1"/>
    <w:qFormat/>
    <w:uiPriority w:val="0"/>
    <w:pPr>
      <w:widowControl/>
      <w:spacing w:before="100" w:beforeAutospacing="1" w:after="100" w:afterAutospacing="1"/>
      <w:jc w:val="left"/>
    </w:pPr>
    <w:rPr>
      <w:rFonts w:ascii="宋体" w:hAnsi="宋体"/>
      <w:kern w:val="0"/>
      <w:sz w:val="24"/>
    </w:rPr>
  </w:style>
  <w:style w:type="paragraph" w:customStyle="1" w:styleId="370">
    <w:name w:val="标题1"/>
    <w:basedOn w:val="3"/>
    <w:qFormat/>
    <w:uiPriority w:val="0"/>
    <w:pPr>
      <w:keepLines w:val="0"/>
      <w:widowControl/>
      <w:pBdr>
        <w:bottom w:val="single" w:color="auto" w:sz="8" w:space="6"/>
      </w:pBdr>
      <w:tabs>
        <w:tab w:val="left" w:pos="0"/>
      </w:tabs>
      <w:spacing w:before="480" w:after="240" w:line="360" w:lineRule="auto"/>
      <w:ind w:left="567" w:hanging="567"/>
      <w:jc w:val="left"/>
    </w:pPr>
    <w:rPr>
      <w:rFonts w:ascii="宋体" w:hAnsi="宋体"/>
      <w:smallCaps/>
      <w:color w:val="000000"/>
      <w:spacing w:val="10"/>
      <w:kern w:val="20"/>
      <w:sz w:val="21"/>
      <w:szCs w:val="21"/>
    </w:rPr>
  </w:style>
  <w:style w:type="paragraph" w:customStyle="1" w:styleId="371">
    <w:name w:val="Char Char1 Char Char Char Char1"/>
    <w:basedOn w:val="17"/>
    <w:qFormat/>
    <w:uiPriority w:val="0"/>
    <w:rPr>
      <w:rFonts w:ascii="Tahoma" w:hAnsi="Tahoma"/>
      <w:sz w:val="24"/>
    </w:rPr>
  </w:style>
  <w:style w:type="paragraph" w:customStyle="1" w:styleId="372">
    <w:name w:val="reader-word-layer reader-word-s2-1"/>
    <w:basedOn w:val="1"/>
    <w:qFormat/>
    <w:uiPriority w:val="0"/>
    <w:pPr>
      <w:widowControl/>
      <w:spacing w:before="100" w:beforeAutospacing="1" w:after="100" w:afterAutospacing="1"/>
      <w:jc w:val="left"/>
    </w:pPr>
    <w:rPr>
      <w:rFonts w:ascii="宋体" w:hAnsi="宋体" w:cs="宋体"/>
      <w:kern w:val="0"/>
      <w:sz w:val="24"/>
    </w:rPr>
  </w:style>
  <w:style w:type="paragraph" w:customStyle="1" w:styleId="373">
    <w:name w:val="xl2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textAlignment w:val="center"/>
    </w:pPr>
    <w:rPr>
      <w:rFonts w:ascii="宋体" w:hAnsi="宋体"/>
      <w:kern w:val="0"/>
      <w:sz w:val="20"/>
      <w:szCs w:val="20"/>
    </w:rPr>
  </w:style>
  <w:style w:type="paragraph" w:customStyle="1" w:styleId="374">
    <w:name w:val="xl21"/>
    <w:basedOn w:val="1"/>
    <w:qFormat/>
    <w:uiPriority w:val="0"/>
    <w:pPr>
      <w:widowControl/>
      <w:spacing w:before="100" w:beforeAutospacing="1" w:after="100" w:afterAutospacing="1"/>
      <w:jc w:val="center"/>
    </w:pPr>
    <w:rPr>
      <w:rFonts w:ascii="宋体" w:hAnsi="宋体"/>
      <w:b/>
      <w:bCs/>
      <w:kern w:val="0"/>
      <w:sz w:val="28"/>
      <w:szCs w:val="28"/>
    </w:rPr>
  </w:style>
  <w:style w:type="table" w:customStyle="1" w:styleId="375">
    <w:name w:val="Table Normal"/>
    <w:unhideWhenUsed/>
    <w:qFormat/>
    <w:uiPriority w:val="2"/>
    <w:pPr>
      <w:widowControl w:val="0"/>
      <w:autoSpaceDE w:val="0"/>
      <w:autoSpaceDN w:val="0"/>
    </w:pPr>
    <w:rPr>
      <w:sz w:val="22"/>
      <w:lang w:eastAsia="en-US"/>
    </w:rPr>
    <w:tblPr>
      <w:tblCellMar>
        <w:top w:w="0" w:type="dxa"/>
        <w:left w:w="0" w:type="dxa"/>
        <w:bottom w:w="0" w:type="dxa"/>
        <w:right w:w="0" w:type="dxa"/>
      </w:tblCellMar>
    </w:tblPr>
  </w:style>
  <w:style w:type="paragraph" w:customStyle="1" w:styleId="376">
    <w:name w:val="列出段落2"/>
    <w:basedOn w:val="1"/>
    <w:qFormat/>
    <w:uiPriority w:val="0"/>
    <w:pPr>
      <w:ind w:firstLine="420" w:firstLineChars="200"/>
    </w:pPr>
    <w:rPr>
      <w:szCs w:val="22"/>
    </w:rPr>
  </w:style>
  <w:style w:type="character" w:customStyle="1" w:styleId="377">
    <w:name w:val="NormalCharacter"/>
    <w:qFormat/>
    <w:uiPriority w:val="0"/>
  </w:style>
  <w:style w:type="paragraph" w:customStyle="1" w:styleId="378">
    <w:name w:val="修订1"/>
    <w:hidden/>
    <w:semiHidden/>
    <w:qFormat/>
    <w:uiPriority w:val="99"/>
    <w:rPr>
      <w:rFonts w:ascii="Calibri" w:hAnsi="Calibri"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image" Target="media/image1.png"/><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customXml" Target="../customXml/item2.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FE48F1A9-B088-40AF-90AD-39F719C54806}">
  <ds:schemaRefs/>
</ds:datastoreItem>
</file>

<file path=docProps/app.xml><?xml version="1.0" encoding="utf-8"?>
<Properties xmlns="http://schemas.openxmlformats.org/officeDocument/2006/extended-properties" xmlns:vt="http://schemas.openxmlformats.org/officeDocument/2006/docPropsVTypes">
  <Template>Normal</Template>
  <Company>Gxcmcc</Company>
  <Pages>61</Pages>
  <Words>53027</Words>
  <Characters>58497</Characters>
  <Lines>254</Lines>
  <Paragraphs>71</Paragraphs>
  <TotalTime>96</TotalTime>
  <ScaleCrop>false</ScaleCrop>
  <LinksUpToDate>false</LinksUpToDate>
  <CharactersWithSpaces>61288</CharactersWithSpaces>
  <Application>WPS Office_11.1.0.12156_F1E327BC-269C-435d-A152-05C5408002CA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2022-07-08T06:39:00Z</dcterms:created>
  <dc:creator>user</dc:creator>
  <cp:lastModifiedBy>Administrator</cp:lastModifiedBy>
  <cp:lastPrinted>2019-11-18T08:20:00Z</cp:lastPrinted>
  <dcterms:modified xsi:type="dcterms:W3CDTF">2022-09-07T03:02:35Z</dcterms:modified>
  <dc:title>范本</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2052-11.1.0.12156</vt:lpwstr>
  </property>
  <property fmtid="{D5CDD505-2E9C-101B-9397-08002B2CF9AE}" pid="3" name="ICV">
    <vt:lpwstr>0E90DA0151C849A5AED0706D0A75B87E</vt:lpwstr>
  </property>
  <property fmtid="{D5CDD505-2E9C-101B-9397-08002B2CF9AE}" pid="4" name="commondata">
    <vt:lpwstr>eyJoZGlkIjoiZDhkMzgzMjg3MzM4YzcwZjUxZGY4MGYyMzFjOGVjNGIifQ==</vt:lpwstr>
  </property>
</Properties>
</file>