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65" w:beforeLines="50" w:line="360" w:lineRule="auto"/>
        <w:jc w:val="center"/>
        <w:rPr>
          <w:rFonts w:ascii="宋体" w:hAnsi="宋体"/>
          <w:sz w:val="36"/>
          <w:szCs w:val="36"/>
        </w:rPr>
      </w:pPr>
      <w:bookmarkStart w:id="234" w:name="_GoBack"/>
      <w:bookmarkEnd w:id="234"/>
    </w:p>
    <w:p>
      <w:pPr>
        <w:snapToGrid w:val="0"/>
        <w:spacing w:before="165" w:beforeLines="50" w:line="360" w:lineRule="auto"/>
        <w:jc w:val="center"/>
        <w:rPr>
          <w:rFonts w:hint="eastAsia" w:ascii="方正小标宋简体" w:hAnsi="方正小标宋简体" w:eastAsia="方正小标宋简体"/>
          <w:sz w:val="44"/>
          <w:szCs w:val="44"/>
        </w:rPr>
      </w:pPr>
      <w:r>
        <w:rPr>
          <w:rFonts w:hint="eastAsia" w:ascii="华文新魏" w:hAnsi="宋体" w:eastAsia="华文新魏"/>
          <w:sz w:val="72"/>
          <w:szCs w:val="72"/>
        </w:rPr>
        <w:t>竞争性磋商采购文件</w:t>
      </w:r>
    </w:p>
    <w:p>
      <w:pPr>
        <w:spacing w:before="331" w:beforeLines="100" w:after="165" w:afterLines="50" w:line="360" w:lineRule="auto"/>
        <w:jc w:val="center"/>
        <w:rPr>
          <w:rFonts w:hint="eastAsia" w:ascii="宋体" w:hAnsi="宋体"/>
        </w:rPr>
      </w:pPr>
    </w:p>
    <w:p>
      <w:pPr>
        <w:spacing w:before="331" w:beforeLines="100" w:after="165" w:afterLines="50" w:line="360" w:lineRule="auto"/>
        <w:jc w:val="center"/>
        <w:rPr>
          <w:rFonts w:hint="eastAsia" w:ascii="宋体" w:hAnsi="宋体"/>
        </w:rPr>
      </w:pPr>
    </w:p>
    <w:p>
      <w:pPr>
        <w:spacing w:before="331" w:beforeLines="100" w:after="165" w:afterLines="50" w:line="360" w:lineRule="auto"/>
        <w:jc w:val="center"/>
        <w:rPr>
          <w:rFonts w:hint="eastAsia" w:ascii="宋体" w:hAnsi="宋体"/>
          <w:szCs w:val="21"/>
        </w:rPr>
      </w:pPr>
      <w:r>
        <w:rPr>
          <w:rFonts w:hint="eastAsia" w:ascii="宋体" w:hAnsi="宋体"/>
        </w:rPr>
        <w:t>（全流程电子化评标）</w:t>
      </w:r>
    </w:p>
    <w:p>
      <w:pPr>
        <w:spacing w:line="360" w:lineRule="auto"/>
        <w:rPr>
          <w:rFonts w:hint="eastAsia" w:ascii="宋体" w:hAnsi="宋体"/>
          <w:b/>
          <w:sz w:val="32"/>
          <w:szCs w:val="32"/>
        </w:rPr>
      </w:pPr>
      <w:r>
        <w:rPr>
          <w:rFonts w:hint="eastAsia" w:ascii="宋体" w:hAnsi="宋体"/>
          <w:b/>
          <w:sz w:val="32"/>
          <w:szCs w:val="32"/>
        </w:rPr>
        <w:t xml:space="preserve"> </w:t>
      </w:r>
    </w:p>
    <w:p>
      <w:pPr>
        <w:spacing w:line="360" w:lineRule="auto"/>
        <w:jc w:val="center"/>
        <w:rPr>
          <w:rFonts w:hint="eastAsia" w:ascii="宋体" w:hAnsi="宋体"/>
          <w:b/>
          <w:sz w:val="32"/>
          <w:szCs w:val="32"/>
        </w:rPr>
      </w:pPr>
    </w:p>
    <w:p>
      <w:pPr>
        <w:spacing w:line="360" w:lineRule="auto"/>
        <w:jc w:val="center"/>
        <w:rPr>
          <w:rFonts w:hint="eastAsia" w:ascii="宋体" w:hAnsi="宋体"/>
          <w:b/>
          <w:sz w:val="32"/>
          <w:szCs w:val="32"/>
        </w:rPr>
      </w:pPr>
    </w:p>
    <w:p>
      <w:pPr>
        <w:spacing w:line="360" w:lineRule="auto"/>
        <w:jc w:val="center"/>
        <w:rPr>
          <w:rFonts w:hint="eastAsia" w:ascii="宋体" w:hAnsi="宋体"/>
          <w:b/>
          <w:sz w:val="32"/>
          <w:szCs w:val="32"/>
        </w:rPr>
      </w:pPr>
      <w:r>
        <w:rPr>
          <w:rFonts w:hint="eastAsia" w:ascii="宋体" w:hAnsi="宋体"/>
          <w:b/>
          <w:sz w:val="32"/>
          <w:szCs w:val="32"/>
        </w:rPr>
        <w:t xml:space="preserve"> </w:t>
      </w:r>
    </w:p>
    <w:p>
      <w:pPr>
        <w:pStyle w:val="17"/>
        <w:widowControl/>
        <w:snapToGrid w:val="0"/>
        <w:spacing w:before="50" w:after="120" w:line="600" w:lineRule="exact"/>
        <w:ind w:firstLine="894" w:firstLineChars="297"/>
        <w:rPr>
          <w:rFonts w:hint="eastAsia" w:ascii="仿宋_GB2312" w:hAnsi="宋体" w:eastAsia="仿宋_GB2312"/>
          <w:b/>
          <w:bCs/>
          <w:sz w:val="30"/>
          <w:szCs w:val="30"/>
        </w:rPr>
      </w:pPr>
      <w:r>
        <w:rPr>
          <w:rFonts w:hint="eastAsia" w:ascii="仿宋_GB2312" w:hAnsi="宋体" w:eastAsia="仿宋_GB2312"/>
          <w:b/>
          <w:bCs/>
          <w:sz w:val="30"/>
          <w:szCs w:val="30"/>
        </w:rPr>
        <w:t>项目</w:t>
      </w:r>
      <w:r>
        <w:rPr>
          <w:rFonts w:hint="eastAsia" w:ascii="仿宋_GB2312" w:hAnsi="宋体" w:eastAsia="仿宋_GB2312" w:cs="Courier New"/>
          <w:b/>
          <w:bCs/>
          <w:sz w:val="30"/>
          <w:szCs w:val="30"/>
        </w:rPr>
        <w:t>名称</w:t>
      </w:r>
      <w:r>
        <w:rPr>
          <w:rFonts w:hint="eastAsia" w:ascii="仿宋_GB2312" w:hAnsi="宋体" w:eastAsia="仿宋_GB2312"/>
          <w:b/>
          <w:bCs/>
          <w:sz w:val="30"/>
          <w:szCs w:val="30"/>
        </w:rPr>
        <w:t>：</w:t>
      </w:r>
      <w:r>
        <w:rPr>
          <w:rFonts w:hint="eastAsia" w:ascii="仿宋_GB2312" w:hAnsi="宋体" w:eastAsia="仿宋_GB2312"/>
          <w:b/>
          <w:bCs/>
          <w:sz w:val="30"/>
          <w:szCs w:val="30"/>
          <w:lang w:val="en-US"/>
        </w:rPr>
        <w:t>环境监管执法系统运维服务项目</w:t>
      </w:r>
    </w:p>
    <w:p>
      <w:pPr>
        <w:snapToGrid w:val="0"/>
        <w:spacing w:before="165" w:beforeLines="50" w:line="600" w:lineRule="exact"/>
        <w:ind w:firstLine="894" w:firstLineChars="297"/>
        <w:rPr>
          <w:rFonts w:hint="eastAsia" w:ascii="仿宋_GB2312" w:hAnsi="宋体" w:eastAsia="仿宋_GB2312"/>
          <w:b/>
          <w:sz w:val="30"/>
          <w:szCs w:val="30"/>
        </w:rPr>
      </w:pPr>
      <w:r>
        <w:rPr>
          <w:rFonts w:hint="eastAsia" w:ascii="仿宋_GB2312" w:hAnsi="宋体" w:eastAsia="仿宋_GB2312" w:cs="Courier New"/>
          <w:b/>
          <w:bCs/>
          <w:sz w:val="30"/>
          <w:szCs w:val="30"/>
        </w:rPr>
        <w:t>项目</w:t>
      </w:r>
      <w:r>
        <w:rPr>
          <w:rFonts w:hint="eastAsia" w:ascii="仿宋_GB2312" w:hAnsi="宋体" w:eastAsia="仿宋_GB2312"/>
          <w:b/>
          <w:bCs/>
          <w:sz w:val="30"/>
          <w:szCs w:val="30"/>
        </w:rPr>
        <w:t>编号</w:t>
      </w:r>
      <w:r>
        <w:rPr>
          <w:rFonts w:hint="eastAsia" w:ascii="仿宋_GB2312" w:hAnsi="宋体" w:eastAsia="仿宋_GB2312" w:cs="Courier New"/>
          <w:b/>
          <w:bCs/>
          <w:sz w:val="30"/>
          <w:szCs w:val="30"/>
        </w:rPr>
        <w:t>：</w:t>
      </w:r>
      <w:r>
        <w:rPr>
          <w:rFonts w:hint="eastAsia" w:ascii="仿宋_GB2312" w:hAnsi="宋体" w:eastAsia="仿宋_GB2312"/>
          <w:b/>
          <w:sz w:val="30"/>
          <w:szCs w:val="30"/>
        </w:rPr>
        <w:t xml:space="preserve"> </w:t>
      </w:r>
      <w:r>
        <w:rPr>
          <w:rFonts w:ascii="仿宋_GB2312" w:hAnsi="宋体" w:eastAsia="仿宋_GB2312"/>
          <w:b/>
          <w:sz w:val="30"/>
          <w:szCs w:val="30"/>
        </w:rPr>
        <w:t>GXZC2023-C3-002126-GXCJ</w:t>
      </w:r>
    </w:p>
    <w:p>
      <w:pPr>
        <w:snapToGrid w:val="0"/>
        <w:spacing w:before="165" w:beforeLines="50" w:line="600" w:lineRule="exact"/>
        <w:ind w:firstLine="894" w:firstLineChars="297"/>
        <w:rPr>
          <w:rFonts w:hint="eastAsia" w:ascii="仿宋_GB2312" w:hAnsi="宋体" w:eastAsia="仿宋_GB2312"/>
          <w:b/>
          <w:sz w:val="30"/>
          <w:szCs w:val="30"/>
        </w:rPr>
      </w:pPr>
      <w:r>
        <w:rPr>
          <w:rFonts w:hint="eastAsia" w:ascii="仿宋_GB2312" w:hAnsi="宋体" w:eastAsia="仿宋_GB2312"/>
          <w:b/>
          <w:sz w:val="30"/>
          <w:szCs w:val="30"/>
        </w:rPr>
        <w:t xml:space="preserve">项目所属区划： 广西壮族自治区 </w:t>
      </w:r>
    </w:p>
    <w:p>
      <w:pPr>
        <w:pStyle w:val="17"/>
        <w:widowControl/>
        <w:snapToGrid w:val="0"/>
        <w:spacing w:before="50" w:after="120" w:line="600" w:lineRule="exact"/>
        <w:ind w:firstLine="891" w:firstLineChars="296"/>
        <w:rPr>
          <w:rFonts w:hint="eastAsia" w:ascii="仿宋_GB2312" w:hAnsi="宋体" w:eastAsia="仿宋_GB2312"/>
          <w:b/>
          <w:bCs/>
          <w:sz w:val="30"/>
          <w:szCs w:val="30"/>
        </w:rPr>
      </w:pPr>
      <w:r>
        <w:rPr>
          <w:rFonts w:hint="eastAsia" w:ascii="仿宋_GB2312" w:hAnsi="宋体" w:eastAsia="仿宋_GB2312"/>
          <w:b/>
          <w:bCs/>
          <w:sz w:val="30"/>
          <w:szCs w:val="30"/>
        </w:rPr>
        <w:t>采购人：</w:t>
      </w:r>
      <w:r>
        <w:rPr>
          <w:rFonts w:hint="eastAsia" w:ascii="仿宋_GB2312" w:hAnsi="宋体" w:eastAsia="仿宋_GB2312"/>
          <w:b/>
          <w:bCs/>
          <w:sz w:val="30"/>
          <w:szCs w:val="30"/>
          <w:lang w:val="en-US"/>
        </w:rPr>
        <w:t>广西壮族自治区生态环境厅生态环境保护综合行政执法局</w:t>
      </w:r>
    </w:p>
    <w:p>
      <w:pPr>
        <w:pStyle w:val="17"/>
        <w:widowControl/>
        <w:snapToGrid w:val="0"/>
        <w:spacing w:before="50" w:after="120" w:line="600" w:lineRule="exact"/>
        <w:ind w:firstLine="894" w:firstLineChars="297"/>
        <w:rPr>
          <w:rFonts w:hint="eastAsia" w:ascii="仿宋_GB2312" w:hAnsi="宋体" w:eastAsia="仿宋_GB2312"/>
          <w:b/>
          <w:bCs/>
          <w:sz w:val="30"/>
          <w:szCs w:val="30"/>
        </w:rPr>
      </w:pPr>
      <w:r>
        <w:rPr>
          <w:rFonts w:hint="eastAsia" w:ascii="仿宋_GB2312" w:hAnsi="宋体" w:eastAsia="仿宋_GB2312"/>
          <w:b/>
          <w:bCs/>
          <w:sz w:val="30"/>
          <w:szCs w:val="30"/>
        </w:rPr>
        <w:t>采购代理机构：</w:t>
      </w:r>
      <w:bookmarkStart w:id="0" w:name="PO_3000001866_PM031"/>
      <w:r>
        <w:rPr>
          <w:rFonts w:hint="eastAsia" w:ascii="仿宋_GB2312" w:hAnsi="宋体" w:eastAsia="仿宋_GB2312"/>
          <w:b/>
          <w:bCs/>
          <w:sz w:val="30"/>
          <w:szCs w:val="30"/>
        </w:rPr>
        <w:t>广西城建咨询有限公司</w:t>
      </w:r>
      <w:bookmarkEnd w:id="0"/>
    </w:p>
    <w:p>
      <w:pPr>
        <w:pStyle w:val="17"/>
        <w:widowControl/>
        <w:snapToGrid w:val="0"/>
        <w:spacing w:before="50" w:after="120" w:line="600" w:lineRule="exact"/>
        <w:ind w:firstLine="885" w:firstLineChars="294"/>
        <w:rPr>
          <w:rFonts w:hint="eastAsia" w:ascii="仿宋_GB2312" w:hAnsi="宋体" w:eastAsia="仿宋_GB2312"/>
          <w:b/>
          <w:bCs/>
          <w:sz w:val="30"/>
          <w:szCs w:val="30"/>
        </w:rPr>
      </w:pPr>
      <w:r>
        <w:rPr>
          <w:rFonts w:hint="eastAsia" w:ascii="仿宋_GB2312" w:hAnsi="宋体" w:eastAsia="仿宋_GB2312"/>
          <w:b/>
          <w:bCs/>
          <w:sz w:val="30"/>
          <w:szCs w:val="30"/>
        </w:rPr>
        <w:t xml:space="preserve">                 202</w:t>
      </w:r>
      <w:r>
        <w:rPr>
          <w:rFonts w:hint="eastAsia" w:ascii="仿宋_GB2312" w:hAnsi="宋体" w:eastAsia="仿宋_GB2312"/>
          <w:b/>
          <w:bCs/>
          <w:sz w:val="30"/>
          <w:szCs w:val="30"/>
          <w:lang w:eastAsia="zh-CN"/>
        </w:rPr>
        <w:t>3</w:t>
      </w:r>
      <w:r>
        <w:rPr>
          <w:rFonts w:hint="eastAsia" w:ascii="仿宋_GB2312" w:hAnsi="宋体" w:eastAsia="仿宋_GB2312"/>
          <w:b/>
          <w:bCs/>
          <w:sz w:val="30"/>
          <w:szCs w:val="30"/>
        </w:rPr>
        <w:t xml:space="preserve">年 </w:t>
      </w:r>
      <w:r>
        <w:rPr>
          <w:rFonts w:hint="eastAsia" w:ascii="仿宋_GB2312" w:hAnsi="宋体" w:eastAsia="仿宋_GB2312"/>
          <w:b/>
          <w:bCs/>
          <w:sz w:val="30"/>
          <w:szCs w:val="30"/>
          <w:lang w:eastAsia="zh-CN"/>
        </w:rPr>
        <w:t>6</w:t>
      </w:r>
      <w:r>
        <w:rPr>
          <w:rFonts w:hint="eastAsia" w:ascii="仿宋_GB2312" w:hAnsi="宋体" w:eastAsia="仿宋_GB2312"/>
          <w:b/>
          <w:bCs/>
          <w:sz w:val="30"/>
          <w:szCs w:val="30"/>
        </w:rPr>
        <w:t>月</w:t>
      </w:r>
    </w:p>
    <w:p>
      <w:pPr>
        <w:widowControl/>
        <w:spacing w:line="360" w:lineRule="auto"/>
        <w:jc w:val="left"/>
        <w:rPr>
          <w:rFonts w:ascii="仿宋_GB2312" w:hAnsi="宋体" w:eastAsia="仿宋_GB2312"/>
          <w:b/>
          <w:bCs/>
          <w:kern w:val="0"/>
          <w:sz w:val="30"/>
          <w:szCs w:val="30"/>
        </w:rPr>
        <w:sectPr>
          <w:headerReference r:id="rId3" w:type="default"/>
          <w:headerReference r:id="rId4" w:type="even"/>
          <w:pgSz w:w="11906" w:h="16838"/>
          <w:pgMar w:top="1135" w:right="1135" w:bottom="1135" w:left="1135" w:header="720" w:footer="720" w:gutter="0"/>
          <w:cols w:space="720" w:num="1"/>
          <w:docGrid w:type="lines" w:linePitch="331" w:charSpace="0"/>
        </w:sectPr>
      </w:pPr>
    </w:p>
    <w:p>
      <w:pPr>
        <w:spacing w:line="360" w:lineRule="auto"/>
        <w:jc w:val="center"/>
        <w:rPr>
          <w:rFonts w:hint="eastAsia" w:ascii="宋体" w:hAnsi="宋体"/>
          <w:b/>
          <w:sz w:val="44"/>
          <w:szCs w:val="44"/>
        </w:rPr>
      </w:pPr>
      <w:r>
        <w:rPr>
          <w:rFonts w:hint="eastAsia" w:ascii="宋体" w:hAnsi="宋体"/>
          <w:b/>
          <w:sz w:val="44"/>
          <w:szCs w:val="44"/>
        </w:rPr>
        <w:t>目   录</w:t>
      </w:r>
    </w:p>
    <w:p>
      <w:pPr>
        <w:spacing w:line="480" w:lineRule="auto"/>
        <w:jc w:val="center"/>
        <w:rPr>
          <w:rFonts w:hint="eastAsia" w:ascii="宋体" w:hAnsi="宋体"/>
          <w:b/>
          <w:sz w:val="44"/>
          <w:szCs w:val="44"/>
        </w:rPr>
      </w:pPr>
      <w:r>
        <w:rPr>
          <w:rFonts w:hint="eastAsia" w:ascii="宋体" w:hAnsi="宋体"/>
          <w:b/>
          <w:sz w:val="44"/>
          <w:szCs w:val="44"/>
        </w:rPr>
        <w:t xml:space="preserve"> </w:t>
      </w:r>
    </w:p>
    <w:p>
      <w:pPr>
        <w:pStyle w:val="23"/>
        <w:tabs>
          <w:tab w:val="right" w:leader="dot" w:pos="8869"/>
        </w:tabs>
        <w:spacing w:line="480" w:lineRule="auto"/>
        <w:rPr>
          <w:rFonts w:ascii="Calibri" w:hAnsi="Calibri"/>
          <w:szCs w:val="22"/>
          <w:lang/>
        </w:rPr>
      </w:pPr>
      <w:r>
        <w:rPr>
          <w:rFonts w:ascii="宋体" w:hAnsi="宋体"/>
          <w:b/>
          <w:sz w:val="32"/>
          <w:szCs w:val="32"/>
        </w:rPr>
        <w:fldChar w:fldCharType="begin"/>
      </w:r>
      <w:r>
        <w:rPr>
          <w:rFonts w:ascii="宋体" w:hAnsi="宋体"/>
          <w:b/>
          <w:sz w:val="32"/>
          <w:szCs w:val="32"/>
        </w:rPr>
        <w:instrText xml:space="preserve"> TOC \o "1-1" \h \z \u </w:instrText>
      </w:r>
      <w:r>
        <w:rPr>
          <w:rFonts w:ascii="宋体" w:hAnsi="宋体"/>
          <w:b/>
          <w:sz w:val="32"/>
          <w:szCs w:val="32"/>
        </w:rPr>
        <w:fldChar w:fldCharType="separate"/>
      </w:r>
      <w:r>
        <w:rPr>
          <w:rStyle w:val="37"/>
          <w:lang/>
        </w:rPr>
        <w:fldChar w:fldCharType="begin"/>
      </w:r>
      <w:r>
        <w:rPr>
          <w:rStyle w:val="37"/>
          <w:lang/>
        </w:rPr>
        <w:instrText xml:space="preserve"> </w:instrText>
      </w:r>
      <w:r>
        <w:rPr>
          <w:lang/>
        </w:rPr>
        <w:instrText xml:space="preserve">HYPERLINK \l "_Toc122512755"</w:instrText>
      </w:r>
      <w:r>
        <w:rPr>
          <w:rStyle w:val="37"/>
          <w:lang/>
        </w:rPr>
        <w:instrText xml:space="preserve"> </w:instrText>
      </w:r>
      <w:r>
        <w:rPr>
          <w:rStyle w:val="37"/>
          <w:lang/>
        </w:rPr>
        <w:fldChar w:fldCharType="separate"/>
      </w:r>
      <w:r>
        <w:rPr>
          <w:rStyle w:val="37"/>
          <w:rFonts w:hint="eastAsia" w:ascii="宋体" w:hAnsi="宋体"/>
          <w:lang/>
        </w:rPr>
        <w:t>第一章</w:t>
      </w:r>
      <w:r>
        <w:rPr>
          <w:rStyle w:val="37"/>
          <w:lang/>
        </w:rPr>
        <w:t xml:space="preserve"> </w:t>
      </w:r>
      <w:r>
        <w:rPr>
          <w:rStyle w:val="37"/>
          <w:rFonts w:hint="eastAsia" w:ascii="宋体" w:hAnsi="宋体"/>
          <w:lang/>
        </w:rPr>
        <w:t>竞争</w:t>
      </w:r>
      <w:bookmarkStart w:id="1" w:name="_Hlt138686603"/>
      <w:r>
        <w:rPr>
          <w:rStyle w:val="37"/>
          <w:rFonts w:hint="eastAsia" w:ascii="宋体" w:hAnsi="宋体"/>
          <w:lang/>
        </w:rPr>
        <w:t>性</w:t>
      </w:r>
      <w:bookmarkEnd w:id="1"/>
      <w:r>
        <w:rPr>
          <w:rStyle w:val="37"/>
          <w:rFonts w:hint="eastAsia" w:ascii="宋体" w:hAnsi="宋体"/>
          <w:lang/>
        </w:rPr>
        <w:t>磋</w:t>
      </w:r>
      <w:bookmarkStart w:id="2" w:name="_Hlt138603279"/>
      <w:r>
        <w:rPr>
          <w:rStyle w:val="37"/>
          <w:rFonts w:hint="eastAsia" w:ascii="宋体" w:hAnsi="宋体"/>
          <w:lang/>
        </w:rPr>
        <w:t>商</w:t>
      </w:r>
      <w:bookmarkEnd w:id="2"/>
      <w:bookmarkStart w:id="3" w:name="_Hlt138600022"/>
      <w:bookmarkStart w:id="4" w:name="_Hlt138600410"/>
      <w:bookmarkStart w:id="5" w:name="_Hlt138600023"/>
      <w:r>
        <w:rPr>
          <w:rStyle w:val="37"/>
          <w:rFonts w:hint="eastAsia" w:ascii="宋体" w:hAnsi="宋体"/>
          <w:lang/>
        </w:rPr>
        <w:t>公</w:t>
      </w:r>
      <w:bookmarkEnd w:id="3"/>
      <w:bookmarkEnd w:id="4"/>
      <w:bookmarkEnd w:id="5"/>
      <w:bookmarkStart w:id="6" w:name="_Hlt138603887"/>
      <w:r>
        <w:rPr>
          <w:rStyle w:val="37"/>
          <w:rFonts w:hint="eastAsia" w:ascii="宋体" w:hAnsi="宋体"/>
          <w:lang/>
        </w:rPr>
        <w:t>告</w:t>
      </w:r>
      <w:bookmarkEnd w:id="6"/>
      <w:bookmarkStart w:id="7" w:name="_Hlt138603456"/>
      <w:bookmarkStart w:id="8" w:name="_Hlt138145478"/>
      <w:bookmarkStart w:id="9" w:name="_Hlt138145479"/>
      <w:r>
        <w:rPr>
          <w:lang/>
        </w:rPr>
        <w:tab/>
      </w:r>
      <w:bookmarkEnd w:id="7"/>
      <w:bookmarkEnd w:id="8"/>
      <w:bookmarkEnd w:id="9"/>
      <w:r>
        <w:rPr>
          <w:lang/>
        </w:rPr>
        <w:fldChar w:fldCharType="begin"/>
      </w:r>
      <w:r>
        <w:rPr>
          <w:lang/>
        </w:rPr>
        <w:instrText xml:space="preserve"> PAGEREF _Toc122512755 \h </w:instrText>
      </w:r>
      <w:r>
        <w:rPr>
          <w:lang/>
        </w:rPr>
        <w:fldChar w:fldCharType="separate"/>
      </w:r>
      <w:r>
        <w:rPr>
          <w:lang/>
        </w:rPr>
        <w:t>1</w:t>
      </w:r>
      <w:r>
        <w:rPr>
          <w:lang/>
        </w:rPr>
        <w:fldChar w:fldCharType="end"/>
      </w:r>
      <w:r>
        <w:rPr>
          <w:rStyle w:val="37"/>
          <w:lang/>
        </w:rPr>
        <w:fldChar w:fldCharType="end"/>
      </w:r>
    </w:p>
    <w:p>
      <w:pPr>
        <w:pStyle w:val="23"/>
        <w:tabs>
          <w:tab w:val="right" w:leader="dot" w:pos="8869"/>
        </w:tabs>
        <w:spacing w:line="480" w:lineRule="auto"/>
        <w:rPr>
          <w:rFonts w:ascii="Calibri" w:hAnsi="Calibri"/>
          <w:szCs w:val="22"/>
          <w:lang/>
        </w:rPr>
      </w:pPr>
      <w:r>
        <w:rPr>
          <w:rStyle w:val="37"/>
          <w:lang/>
        </w:rPr>
        <w:fldChar w:fldCharType="begin"/>
      </w:r>
      <w:r>
        <w:rPr>
          <w:rStyle w:val="37"/>
          <w:lang/>
        </w:rPr>
        <w:instrText xml:space="preserve"> </w:instrText>
      </w:r>
      <w:r>
        <w:rPr>
          <w:lang/>
        </w:rPr>
        <w:instrText xml:space="preserve">HYPERLINK \l "_Toc122512756"</w:instrText>
      </w:r>
      <w:r>
        <w:rPr>
          <w:rStyle w:val="37"/>
          <w:lang/>
        </w:rPr>
        <w:instrText xml:space="preserve"> </w:instrText>
      </w:r>
      <w:r>
        <w:rPr>
          <w:rStyle w:val="37"/>
          <w:lang/>
        </w:rPr>
        <w:fldChar w:fldCharType="separate"/>
      </w:r>
      <w:r>
        <w:rPr>
          <w:rStyle w:val="37"/>
          <w:rFonts w:hint="eastAsia" w:ascii="宋体" w:hAnsi="宋体"/>
          <w:lang/>
        </w:rPr>
        <w:t>第二章</w:t>
      </w:r>
      <w:r>
        <w:rPr>
          <w:rStyle w:val="37"/>
          <w:rFonts w:ascii="宋体" w:hAnsi="宋体"/>
          <w:lang/>
        </w:rPr>
        <w:t xml:space="preserve"> </w:t>
      </w:r>
      <w:r>
        <w:rPr>
          <w:rStyle w:val="37"/>
          <w:rFonts w:hint="eastAsia" w:ascii="宋体" w:hAnsi="宋体"/>
          <w:lang/>
        </w:rPr>
        <w:t>采购需求</w:t>
      </w:r>
      <w:r>
        <w:rPr>
          <w:lang/>
        </w:rPr>
        <w:tab/>
      </w:r>
      <w:r>
        <w:rPr>
          <w:lang/>
        </w:rPr>
        <w:fldChar w:fldCharType="begin"/>
      </w:r>
      <w:r>
        <w:rPr>
          <w:lang/>
        </w:rPr>
        <w:instrText xml:space="preserve"> PAGEREF _Toc122512756 \h </w:instrText>
      </w:r>
      <w:r>
        <w:rPr>
          <w:lang/>
        </w:rPr>
        <w:fldChar w:fldCharType="separate"/>
      </w:r>
      <w:r>
        <w:rPr>
          <w:lang/>
        </w:rPr>
        <w:t>5</w:t>
      </w:r>
      <w:r>
        <w:rPr>
          <w:lang/>
        </w:rPr>
        <w:fldChar w:fldCharType="end"/>
      </w:r>
      <w:r>
        <w:rPr>
          <w:rStyle w:val="37"/>
          <w:lang/>
        </w:rPr>
        <w:fldChar w:fldCharType="end"/>
      </w:r>
    </w:p>
    <w:p>
      <w:pPr>
        <w:pStyle w:val="23"/>
        <w:tabs>
          <w:tab w:val="right" w:leader="dot" w:pos="8869"/>
        </w:tabs>
        <w:spacing w:line="480" w:lineRule="auto"/>
        <w:rPr>
          <w:rFonts w:ascii="Calibri" w:hAnsi="Calibri"/>
          <w:szCs w:val="22"/>
          <w:lang/>
        </w:rPr>
      </w:pPr>
      <w:r>
        <w:rPr>
          <w:rStyle w:val="37"/>
          <w:lang/>
        </w:rPr>
        <w:fldChar w:fldCharType="begin"/>
      </w:r>
      <w:r>
        <w:rPr>
          <w:rStyle w:val="37"/>
          <w:lang/>
        </w:rPr>
        <w:instrText xml:space="preserve"> </w:instrText>
      </w:r>
      <w:r>
        <w:rPr>
          <w:lang/>
        </w:rPr>
        <w:instrText xml:space="preserve">HYPERLINK \l "_Toc122512757"</w:instrText>
      </w:r>
      <w:r>
        <w:rPr>
          <w:rStyle w:val="37"/>
          <w:lang/>
        </w:rPr>
        <w:instrText xml:space="preserve"> </w:instrText>
      </w:r>
      <w:r>
        <w:rPr>
          <w:rStyle w:val="37"/>
          <w:lang/>
        </w:rPr>
        <w:fldChar w:fldCharType="separate"/>
      </w:r>
      <w:r>
        <w:rPr>
          <w:rStyle w:val="37"/>
          <w:rFonts w:hint="eastAsia" w:ascii="宋体" w:hAnsi="宋体"/>
          <w:lang/>
        </w:rPr>
        <w:t>第三章</w:t>
      </w:r>
      <w:r>
        <w:rPr>
          <w:rStyle w:val="37"/>
          <w:rFonts w:ascii="Cambria" w:hAnsi="Cambria"/>
          <w:lang/>
        </w:rPr>
        <w:t xml:space="preserve"> </w:t>
      </w:r>
      <w:r>
        <w:rPr>
          <w:rStyle w:val="37"/>
          <w:rFonts w:hint="eastAsia" w:ascii="宋体" w:hAnsi="宋体"/>
          <w:lang/>
        </w:rPr>
        <w:t>供应商须知</w:t>
      </w:r>
      <w:r>
        <w:rPr>
          <w:lang/>
        </w:rPr>
        <w:tab/>
      </w:r>
      <w:r>
        <w:rPr>
          <w:lang/>
        </w:rPr>
        <w:fldChar w:fldCharType="begin"/>
      </w:r>
      <w:r>
        <w:rPr>
          <w:lang/>
        </w:rPr>
        <w:instrText xml:space="preserve"> PAGEREF _Toc122512757 \h </w:instrText>
      </w:r>
      <w:r>
        <w:rPr>
          <w:lang/>
        </w:rPr>
        <w:fldChar w:fldCharType="separate"/>
      </w:r>
      <w:r>
        <w:rPr>
          <w:lang/>
        </w:rPr>
        <w:t>36</w:t>
      </w:r>
      <w:r>
        <w:rPr>
          <w:lang/>
        </w:rPr>
        <w:fldChar w:fldCharType="end"/>
      </w:r>
      <w:r>
        <w:rPr>
          <w:rStyle w:val="37"/>
          <w:lang/>
        </w:rPr>
        <w:fldChar w:fldCharType="end"/>
      </w:r>
    </w:p>
    <w:p>
      <w:pPr>
        <w:pStyle w:val="23"/>
        <w:tabs>
          <w:tab w:val="right" w:leader="dot" w:pos="8869"/>
        </w:tabs>
        <w:spacing w:line="480" w:lineRule="auto"/>
        <w:rPr>
          <w:rFonts w:ascii="Calibri" w:hAnsi="Calibri"/>
          <w:szCs w:val="22"/>
          <w:lang/>
        </w:rPr>
      </w:pPr>
      <w:r>
        <w:rPr>
          <w:rStyle w:val="37"/>
          <w:lang/>
        </w:rPr>
        <w:fldChar w:fldCharType="begin"/>
      </w:r>
      <w:r>
        <w:rPr>
          <w:rStyle w:val="37"/>
          <w:lang/>
        </w:rPr>
        <w:instrText xml:space="preserve"> </w:instrText>
      </w:r>
      <w:r>
        <w:rPr>
          <w:lang/>
        </w:rPr>
        <w:instrText xml:space="preserve">HYPERLINK \l "_Toc122512758"</w:instrText>
      </w:r>
      <w:r>
        <w:rPr>
          <w:rStyle w:val="37"/>
          <w:lang/>
        </w:rPr>
        <w:instrText xml:space="preserve"> </w:instrText>
      </w:r>
      <w:r>
        <w:rPr>
          <w:rStyle w:val="37"/>
          <w:lang/>
        </w:rPr>
        <w:fldChar w:fldCharType="separate"/>
      </w:r>
      <w:r>
        <w:rPr>
          <w:rStyle w:val="37"/>
          <w:rFonts w:hint="eastAsia" w:ascii="宋体" w:hAnsi="宋体"/>
          <w:lang/>
        </w:rPr>
        <w:t>第四章</w:t>
      </w:r>
      <w:r>
        <w:rPr>
          <w:rStyle w:val="37"/>
          <w:lang/>
        </w:rPr>
        <w:t xml:space="preserve">  </w:t>
      </w:r>
      <w:r>
        <w:rPr>
          <w:rStyle w:val="37"/>
          <w:rFonts w:hint="eastAsia" w:ascii="宋体" w:hAnsi="宋体"/>
          <w:lang/>
        </w:rPr>
        <w:t>评审程序、</w:t>
      </w:r>
      <w:bookmarkStart w:id="10" w:name="_Hlt131412512"/>
      <w:bookmarkStart w:id="11" w:name="_Hlt131412513"/>
      <w:r>
        <w:rPr>
          <w:rStyle w:val="37"/>
          <w:rFonts w:hint="eastAsia" w:ascii="宋体" w:hAnsi="宋体"/>
          <w:lang/>
        </w:rPr>
        <w:t>评</w:t>
      </w:r>
      <w:bookmarkEnd w:id="10"/>
      <w:bookmarkEnd w:id="11"/>
      <w:r>
        <w:rPr>
          <w:rStyle w:val="37"/>
          <w:rFonts w:hint="eastAsia" w:ascii="宋体" w:hAnsi="宋体"/>
          <w:lang/>
        </w:rPr>
        <w:t>审</w:t>
      </w:r>
      <w:bookmarkStart w:id="12" w:name="_Hlt138602703"/>
      <w:r>
        <w:rPr>
          <w:rStyle w:val="37"/>
          <w:rFonts w:hint="eastAsia" w:ascii="宋体" w:hAnsi="宋体"/>
          <w:lang/>
        </w:rPr>
        <w:t>方</w:t>
      </w:r>
      <w:bookmarkEnd w:id="12"/>
      <w:r>
        <w:rPr>
          <w:rStyle w:val="37"/>
          <w:rFonts w:hint="eastAsia" w:ascii="宋体" w:hAnsi="宋体"/>
          <w:lang/>
        </w:rPr>
        <w:t>法和评审标准</w:t>
      </w:r>
      <w:r>
        <w:rPr>
          <w:lang/>
        </w:rPr>
        <w:tab/>
      </w:r>
      <w:r>
        <w:rPr>
          <w:lang/>
        </w:rPr>
        <w:fldChar w:fldCharType="begin"/>
      </w:r>
      <w:r>
        <w:rPr>
          <w:lang/>
        </w:rPr>
        <w:instrText xml:space="preserve"> PAGEREF _Toc122512758 \h </w:instrText>
      </w:r>
      <w:r>
        <w:rPr>
          <w:lang/>
        </w:rPr>
        <w:fldChar w:fldCharType="separate"/>
      </w:r>
      <w:r>
        <w:rPr>
          <w:lang/>
        </w:rPr>
        <w:t>53</w:t>
      </w:r>
      <w:r>
        <w:rPr>
          <w:lang/>
        </w:rPr>
        <w:fldChar w:fldCharType="end"/>
      </w:r>
      <w:r>
        <w:rPr>
          <w:rStyle w:val="37"/>
          <w:lang/>
        </w:rPr>
        <w:fldChar w:fldCharType="end"/>
      </w:r>
    </w:p>
    <w:p>
      <w:pPr>
        <w:pStyle w:val="23"/>
        <w:tabs>
          <w:tab w:val="right" w:leader="dot" w:pos="8869"/>
        </w:tabs>
        <w:spacing w:line="480" w:lineRule="auto"/>
        <w:rPr>
          <w:rFonts w:ascii="Calibri" w:hAnsi="Calibri"/>
          <w:szCs w:val="22"/>
          <w:lang/>
        </w:rPr>
      </w:pPr>
      <w:r>
        <w:rPr>
          <w:rStyle w:val="37"/>
          <w:lang/>
        </w:rPr>
        <w:fldChar w:fldCharType="begin"/>
      </w:r>
      <w:r>
        <w:rPr>
          <w:rStyle w:val="37"/>
          <w:lang/>
        </w:rPr>
        <w:instrText xml:space="preserve"> </w:instrText>
      </w:r>
      <w:r>
        <w:rPr>
          <w:lang/>
        </w:rPr>
        <w:instrText xml:space="preserve">HYPERLINK \l "_Toc122512760"</w:instrText>
      </w:r>
      <w:r>
        <w:rPr>
          <w:rStyle w:val="37"/>
          <w:lang/>
        </w:rPr>
        <w:instrText xml:space="preserve"> </w:instrText>
      </w:r>
      <w:r>
        <w:rPr>
          <w:rStyle w:val="37"/>
          <w:lang/>
        </w:rPr>
        <w:fldChar w:fldCharType="separate"/>
      </w:r>
      <w:r>
        <w:rPr>
          <w:rStyle w:val="37"/>
          <w:rFonts w:hint="eastAsia" w:ascii="宋体" w:hAnsi="宋体"/>
          <w:lang/>
        </w:rPr>
        <w:t>第五章</w:t>
      </w:r>
      <w:r>
        <w:rPr>
          <w:rStyle w:val="37"/>
          <w:lang/>
        </w:rPr>
        <w:t xml:space="preserve"> </w:t>
      </w:r>
      <w:r>
        <w:rPr>
          <w:rStyle w:val="37"/>
          <w:rFonts w:hint="eastAsia" w:ascii="宋体" w:hAnsi="宋体"/>
          <w:lang/>
        </w:rPr>
        <w:t>响应文件格式</w:t>
      </w:r>
      <w:r>
        <w:rPr>
          <w:lang/>
        </w:rPr>
        <w:tab/>
      </w:r>
      <w:r>
        <w:rPr>
          <w:lang/>
        </w:rPr>
        <w:fldChar w:fldCharType="begin"/>
      </w:r>
      <w:r>
        <w:rPr>
          <w:lang/>
        </w:rPr>
        <w:instrText xml:space="preserve"> PAGEREF _Toc122512760 \h </w:instrText>
      </w:r>
      <w:r>
        <w:rPr>
          <w:lang/>
        </w:rPr>
        <w:fldChar w:fldCharType="separate"/>
      </w:r>
      <w:r>
        <w:rPr>
          <w:lang/>
        </w:rPr>
        <w:t>63</w:t>
      </w:r>
      <w:r>
        <w:rPr>
          <w:lang/>
        </w:rPr>
        <w:fldChar w:fldCharType="end"/>
      </w:r>
      <w:r>
        <w:rPr>
          <w:rStyle w:val="37"/>
          <w:lang/>
        </w:rPr>
        <w:fldChar w:fldCharType="end"/>
      </w:r>
    </w:p>
    <w:p>
      <w:pPr>
        <w:pStyle w:val="23"/>
        <w:tabs>
          <w:tab w:val="right" w:leader="dot" w:pos="8869"/>
        </w:tabs>
        <w:spacing w:line="480" w:lineRule="auto"/>
        <w:rPr>
          <w:rFonts w:ascii="Calibri" w:hAnsi="Calibri"/>
          <w:szCs w:val="22"/>
          <w:lang/>
        </w:rPr>
      </w:pPr>
      <w:r>
        <w:rPr>
          <w:rStyle w:val="37"/>
          <w:lang/>
        </w:rPr>
        <w:fldChar w:fldCharType="begin"/>
      </w:r>
      <w:r>
        <w:rPr>
          <w:rStyle w:val="37"/>
          <w:lang/>
        </w:rPr>
        <w:instrText xml:space="preserve"> </w:instrText>
      </w:r>
      <w:r>
        <w:rPr>
          <w:lang/>
        </w:rPr>
        <w:instrText xml:space="preserve">HYPERLINK \l "_Toc122512761"</w:instrText>
      </w:r>
      <w:r>
        <w:rPr>
          <w:rStyle w:val="37"/>
          <w:lang/>
        </w:rPr>
        <w:instrText xml:space="preserve"> </w:instrText>
      </w:r>
      <w:r>
        <w:rPr>
          <w:rStyle w:val="37"/>
          <w:lang/>
        </w:rPr>
        <w:fldChar w:fldCharType="separate"/>
      </w:r>
      <w:r>
        <w:rPr>
          <w:rStyle w:val="37"/>
          <w:rFonts w:hint="eastAsia" w:ascii="宋体" w:hAnsi="宋体"/>
          <w:lang/>
        </w:rPr>
        <w:t>第六章</w:t>
      </w:r>
      <w:r>
        <w:rPr>
          <w:rStyle w:val="37"/>
          <w:rFonts w:ascii="宋体" w:hAnsi="宋体"/>
          <w:lang/>
        </w:rPr>
        <w:t xml:space="preserve">  </w:t>
      </w:r>
      <w:r>
        <w:rPr>
          <w:rStyle w:val="37"/>
          <w:rFonts w:hint="eastAsia" w:ascii="宋体" w:hAnsi="宋体"/>
          <w:lang/>
        </w:rPr>
        <w:t>合同文</w:t>
      </w:r>
      <w:bookmarkStart w:id="13" w:name="_Hlt129707736"/>
      <w:r>
        <w:rPr>
          <w:rStyle w:val="37"/>
          <w:rFonts w:hint="eastAsia" w:ascii="宋体" w:hAnsi="宋体"/>
          <w:lang/>
        </w:rPr>
        <w:t>本</w:t>
      </w:r>
      <w:bookmarkEnd w:id="13"/>
      <w:bookmarkStart w:id="14" w:name="_Hlt137820950"/>
      <w:r>
        <w:rPr>
          <w:lang/>
        </w:rPr>
        <w:tab/>
      </w:r>
      <w:bookmarkEnd w:id="14"/>
      <w:r>
        <w:rPr>
          <w:lang/>
        </w:rPr>
        <w:fldChar w:fldCharType="begin"/>
      </w:r>
      <w:r>
        <w:rPr>
          <w:lang/>
        </w:rPr>
        <w:instrText xml:space="preserve"> PAGEREF _Toc122512761 \h </w:instrText>
      </w:r>
      <w:r>
        <w:rPr>
          <w:lang/>
        </w:rPr>
        <w:fldChar w:fldCharType="separate"/>
      </w:r>
      <w:r>
        <w:rPr>
          <w:lang/>
        </w:rPr>
        <w:t>100</w:t>
      </w:r>
      <w:r>
        <w:rPr>
          <w:lang/>
        </w:rPr>
        <w:fldChar w:fldCharType="end"/>
      </w:r>
      <w:r>
        <w:rPr>
          <w:rStyle w:val="37"/>
          <w:lang/>
        </w:rPr>
        <w:fldChar w:fldCharType="end"/>
      </w:r>
    </w:p>
    <w:p>
      <w:pPr>
        <w:pStyle w:val="23"/>
        <w:tabs>
          <w:tab w:val="right" w:leader="dot" w:pos="8869"/>
        </w:tabs>
        <w:spacing w:line="480" w:lineRule="auto"/>
        <w:rPr>
          <w:rFonts w:ascii="Calibri" w:hAnsi="Calibri"/>
          <w:szCs w:val="22"/>
          <w:lang/>
        </w:rPr>
      </w:pPr>
      <w:r>
        <w:rPr>
          <w:rStyle w:val="37"/>
          <w:lang/>
        </w:rPr>
        <w:fldChar w:fldCharType="begin"/>
      </w:r>
      <w:r>
        <w:rPr>
          <w:rStyle w:val="37"/>
          <w:lang/>
        </w:rPr>
        <w:instrText xml:space="preserve"> </w:instrText>
      </w:r>
      <w:r>
        <w:rPr>
          <w:lang/>
        </w:rPr>
        <w:instrText xml:space="preserve">HYPERLINK \l "_Toc122512763"</w:instrText>
      </w:r>
      <w:r>
        <w:rPr>
          <w:rStyle w:val="37"/>
          <w:lang/>
        </w:rPr>
        <w:instrText xml:space="preserve"> </w:instrText>
      </w:r>
      <w:r>
        <w:rPr>
          <w:rStyle w:val="37"/>
          <w:lang/>
        </w:rPr>
        <w:fldChar w:fldCharType="separate"/>
      </w:r>
      <w:r>
        <w:rPr>
          <w:rStyle w:val="37"/>
          <w:rFonts w:hint="eastAsia" w:ascii="宋体" w:hAnsi="宋体" w:cs="仿宋_GB2312"/>
          <w:lang/>
        </w:rPr>
        <w:t>第七章</w:t>
      </w:r>
      <w:r>
        <w:rPr>
          <w:rStyle w:val="37"/>
          <w:rFonts w:ascii="宋体" w:hAnsi="宋体" w:cs="仿宋_GB2312"/>
          <w:lang/>
        </w:rPr>
        <w:t xml:space="preserve"> </w:t>
      </w:r>
      <w:r>
        <w:rPr>
          <w:rStyle w:val="37"/>
          <w:rFonts w:hint="eastAsia" w:ascii="宋体" w:hAnsi="宋体" w:cs="仿宋_GB2312"/>
          <w:lang/>
        </w:rPr>
        <w:t>质疑、投诉材料格式</w:t>
      </w:r>
      <w:r>
        <w:rPr>
          <w:lang/>
        </w:rPr>
        <w:tab/>
      </w:r>
      <w:r>
        <w:rPr>
          <w:lang/>
        </w:rPr>
        <w:fldChar w:fldCharType="begin"/>
      </w:r>
      <w:r>
        <w:rPr>
          <w:lang/>
        </w:rPr>
        <w:instrText xml:space="preserve"> PAGEREF _Toc122512763 \h </w:instrText>
      </w:r>
      <w:r>
        <w:rPr>
          <w:lang/>
        </w:rPr>
        <w:fldChar w:fldCharType="separate"/>
      </w:r>
      <w:r>
        <w:rPr>
          <w:lang/>
        </w:rPr>
        <w:t>115</w:t>
      </w:r>
      <w:r>
        <w:rPr>
          <w:lang/>
        </w:rPr>
        <w:fldChar w:fldCharType="end"/>
      </w:r>
      <w:r>
        <w:rPr>
          <w:rStyle w:val="37"/>
          <w:lang/>
        </w:rPr>
        <w:fldChar w:fldCharType="end"/>
      </w:r>
    </w:p>
    <w:p>
      <w:pPr>
        <w:spacing w:line="480" w:lineRule="auto"/>
        <w:jc w:val="center"/>
        <w:rPr>
          <w:rFonts w:hint="eastAsia" w:ascii="宋体" w:hAnsi="宋体"/>
          <w:b/>
          <w:sz w:val="32"/>
          <w:szCs w:val="32"/>
        </w:rPr>
      </w:pPr>
      <w:r>
        <w:rPr>
          <w:rFonts w:ascii="宋体" w:hAnsi="宋体"/>
          <w:b/>
          <w:sz w:val="32"/>
          <w:szCs w:val="32"/>
        </w:rPr>
        <w:fldChar w:fldCharType="end"/>
      </w:r>
      <w:r>
        <w:rPr>
          <w:rFonts w:hint="eastAsia" w:ascii="宋体" w:hAnsi="宋体"/>
          <w:b/>
          <w:sz w:val="32"/>
          <w:szCs w:val="32"/>
        </w:rPr>
        <w:t xml:space="preserve"> </w:t>
      </w:r>
    </w:p>
    <w:p>
      <w:pPr>
        <w:widowControl/>
        <w:jc w:val="left"/>
        <w:rPr>
          <w:rFonts w:ascii="宋体" w:hAnsi="宋体"/>
          <w:b/>
          <w:sz w:val="32"/>
          <w:szCs w:val="32"/>
        </w:rPr>
        <w:sectPr>
          <w:pgSz w:w="11906" w:h="16838"/>
          <w:pgMar w:top="1440" w:right="1440" w:bottom="1440" w:left="1587" w:header="851" w:footer="992" w:gutter="0"/>
          <w:pgNumType w:start="1"/>
          <w:cols w:space="720" w:num="1"/>
          <w:docGrid w:type="lines" w:linePitch="312" w:charSpace="0"/>
        </w:sectPr>
      </w:pPr>
    </w:p>
    <w:p>
      <w:pPr>
        <w:pStyle w:val="2"/>
        <w:keepLines w:val="0"/>
        <w:widowControl/>
        <w:spacing w:before="0" w:line="360" w:lineRule="auto"/>
        <w:jc w:val="center"/>
        <w:rPr>
          <w:rFonts w:hint="eastAsia"/>
        </w:rPr>
      </w:pPr>
      <w:bookmarkStart w:id="15" w:name="_Toc80886925"/>
      <w:bookmarkEnd w:id="15"/>
      <w:bookmarkStart w:id="16" w:name="_Toc122512755"/>
      <w:r>
        <w:rPr>
          <w:rFonts w:hint="eastAsia" w:ascii="宋体" w:hAnsi="宋体"/>
        </w:rPr>
        <w:t>第一章</w:t>
      </w:r>
      <w:r>
        <w:t xml:space="preserve"> </w:t>
      </w:r>
      <w:r>
        <w:rPr>
          <w:rFonts w:hint="eastAsia" w:ascii="宋体" w:hAnsi="宋体"/>
        </w:rPr>
        <w:t>竞争性磋商公告</w:t>
      </w:r>
      <w:bookmarkEnd w:id="16"/>
      <w:bookmarkStart w:id="17" w:name="_Toc35393798"/>
      <w:bookmarkEnd w:id="17"/>
      <w:bookmarkStart w:id="18" w:name="_Toc28359089"/>
      <w:bookmarkEnd w:id="18"/>
      <w:bookmarkStart w:id="19" w:name="_Toc35393792"/>
      <w:bookmarkEnd w:id="19"/>
      <w:bookmarkStart w:id="20" w:name="_Toc44229878"/>
      <w:bookmarkEnd w:id="20"/>
      <w:bookmarkStart w:id="21" w:name="_Toc28359012"/>
      <w:bookmarkEnd w:id="21"/>
      <w:bookmarkStart w:id="22" w:name="_Toc35393623"/>
      <w:bookmarkEnd w:id="22"/>
      <w:bookmarkStart w:id="23" w:name="_Toc28359004"/>
      <w:bookmarkEnd w:id="23"/>
      <w:bookmarkStart w:id="24" w:name="_Toc35393629"/>
      <w:bookmarkEnd w:id="24"/>
      <w:bookmarkStart w:id="25" w:name="_Toc28359081"/>
      <w:bookmarkEnd w:id="25"/>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olor w:val="000000"/>
        </w:rPr>
      </w:pPr>
      <w:r>
        <w:rPr>
          <w:rFonts w:hint="eastAsia" w:ascii="黑体" w:hAnsi="宋体" w:eastAsia="黑体" w:cs="宋体"/>
          <w:bCs/>
          <w:sz w:val="24"/>
        </w:rPr>
        <w:t xml:space="preserve"> </w:t>
      </w:r>
      <w:r>
        <w:rPr>
          <w:rFonts w:hint="eastAsia" w:ascii="宋体" w:hAnsi="宋体"/>
          <w:color w:val="000000"/>
        </w:rPr>
        <w:t>项目概况</w:t>
      </w:r>
    </w:p>
    <w:p>
      <w:pPr>
        <w:pBdr>
          <w:top w:val="single" w:color="auto" w:sz="4" w:space="1"/>
          <w:left w:val="single" w:color="auto" w:sz="4" w:space="4"/>
          <w:bottom w:val="single" w:color="auto" w:sz="4" w:space="1"/>
          <w:right w:val="single" w:color="auto" w:sz="4" w:space="4"/>
        </w:pBdr>
        <w:spacing w:line="360" w:lineRule="auto"/>
        <w:ind w:firstLine="420" w:firstLineChars="200"/>
        <w:rPr>
          <w:rFonts w:hint="eastAsia" w:ascii="宋体" w:hAnsi="宋体"/>
          <w:color w:val="000000"/>
        </w:rPr>
      </w:pPr>
      <w:r>
        <w:rPr>
          <w:rFonts w:hint="eastAsia" w:ascii="宋体" w:hAnsi="宋体"/>
          <w:color w:val="000000"/>
          <w:u w:val="single"/>
        </w:rPr>
        <w:t>环境监管执法系统运维服务项目</w:t>
      </w:r>
      <w:r>
        <w:rPr>
          <w:rFonts w:hint="eastAsia" w:ascii="宋体" w:hAnsi="宋体"/>
          <w:color w:val="000000"/>
        </w:rPr>
        <w:t>采购项目的潜在供应商应在政采云平台（https://www.zcygov.cn/）获取采购文件，并于</w:t>
      </w:r>
      <w:r>
        <w:rPr>
          <w:rFonts w:hint="eastAsia" w:ascii="宋体" w:hAnsi="宋体"/>
          <w:color w:val="000000"/>
          <w:u w:val="single"/>
        </w:rPr>
        <w:t>2023年7月7日 09:30:00</w:t>
      </w:r>
      <w:r>
        <w:rPr>
          <w:rFonts w:hint="eastAsia" w:ascii="宋体" w:hAnsi="宋体"/>
          <w:bCs/>
          <w:color w:val="000000"/>
        </w:rPr>
        <w:t>（北京时间）前提交响应文件</w:t>
      </w:r>
      <w:r>
        <w:rPr>
          <w:rFonts w:hint="eastAsia" w:ascii="宋体" w:hAnsi="宋体"/>
          <w:color w:val="000000"/>
        </w:rPr>
        <w:t>。</w:t>
      </w:r>
    </w:p>
    <w:p>
      <w:pPr>
        <w:spacing w:line="400" w:lineRule="exact"/>
        <w:rPr>
          <w:rFonts w:hint="eastAsia" w:ascii="Calibri" w:hAnsi="Calibri"/>
        </w:rPr>
      </w:pPr>
      <w:r>
        <w:t xml:space="preserve"> </w:t>
      </w:r>
    </w:p>
    <w:p>
      <w:pPr>
        <w:spacing w:line="360" w:lineRule="auto"/>
        <w:ind w:firstLine="480" w:firstLineChars="200"/>
        <w:rPr>
          <w:rFonts w:hint="eastAsia" w:ascii="Calibri" w:hAnsi="Calibri"/>
          <w:szCs w:val="21"/>
        </w:rPr>
      </w:pPr>
      <w:r>
        <w:rPr>
          <w:rFonts w:hint="eastAsia" w:ascii="黑体" w:hAnsi="黑体" w:eastAsia="黑体" w:cs="宋体"/>
          <w:bCs/>
          <w:sz w:val="24"/>
        </w:rPr>
        <w:t>一、项目基本情况</w:t>
      </w:r>
    </w:p>
    <w:p>
      <w:pPr>
        <w:spacing w:line="360" w:lineRule="auto"/>
        <w:ind w:firstLine="420" w:firstLineChars="200"/>
        <w:rPr>
          <w:rFonts w:ascii="宋体" w:hAnsi="宋体"/>
        </w:rPr>
      </w:pPr>
      <w:r>
        <w:rPr>
          <w:rFonts w:hint="eastAsia" w:ascii="宋体" w:hAnsi="宋体"/>
        </w:rPr>
        <w:t>1.项目编号：</w:t>
      </w:r>
      <w:r>
        <w:rPr>
          <w:rFonts w:ascii="宋体" w:hAnsi="宋体"/>
        </w:rPr>
        <w:t>GXZC2023-C3-002126-GXCJ</w:t>
      </w:r>
    </w:p>
    <w:p>
      <w:pPr>
        <w:spacing w:line="360" w:lineRule="auto"/>
        <w:ind w:firstLine="420" w:firstLineChars="200"/>
        <w:rPr>
          <w:rFonts w:hint="eastAsia" w:ascii="宋体" w:hAnsi="宋体"/>
          <w:u w:val="single"/>
        </w:rPr>
      </w:pPr>
      <w:r>
        <w:rPr>
          <w:rFonts w:hint="eastAsia" w:ascii="宋体" w:hAnsi="宋体"/>
        </w:rPr>
        <w:t>2.项目名称：</w:t>
      </w:r>
      <w:r>
        <w:rPr>
          <w:rFonts w:hint="eastAsia" w:ascii="宋体" w:hAnsi="宋体" w:cs="宋体"/>
          <w:color w:val="000000"/>
          <w:szCs w:val="21"/>
        </w:rPr>
        <w:t>环境监管执法系统运维服务项目</w:t>
      </w:r>
    </w:p>
    <w:p>
      <w:pPr>
        <w:spacing w:line="360" w:lineRule="auto"/>
        <w:ind w:firstLine="420" w:firstLineChars="200"/>
        <w:rPr>
          <w:rFonts w:hint="eastAsia" w:ascii="宋体" w:hAnsi="宋体"/>
        </w:rPr>
      </w:pPr>
      <w:r>
        <w:rPr>
          <w:rFonts w:hint="eastAsia" w:ascii="宋体" w:hAnsi="宋体"/>
        </w:rPr>
        <w:t>3.采购方式：竞争性磋商</w:t>
      </w:r>
    </w:p>
    <w:p>
      <w:pPr>
        <w:spacing w:line="360" w:lineRule="auto"/>
        <w:ind w:firstLine="420" w:firstLineChars="200"/>
        <w:rPr>
          <w:rFonts w:hint="eastAsia" w:ascii="宋体" w:hAnsi="宋体"/>
        </w:rPr>
      </w:pPr>
      <w:r>
        <w:rPr>
          <w:rFonts w:hint="eastAsia" w:ascii="宋体" w:hAnsi="宋体"/>
        </w:rPr>
        <w:t>4.预算金额：</w:t>
      </w:r>
      <w:r>
        <w:rPr>
          <w:rFonts w:hint="eastAsia" w:ascii="宋体" w:hAnsi="宋体" w:cs="宋体"/>
          <w:color w:val="000000"/>
          <w:szCs w:val="21"/>
        </w:rPr>
        <w:t>1900000.00元。</w:t>
      </w:r>
    </w:p>
    <w:p>
      <w:pPr>
        <w:spacing w:line="360" w:lineRule="auto"/>
        <w:ind w:firstLine="420" w:firstLineChars="200"/>
        <w:rPr>
          <w:rFonts w:hint="eastAsia" w:ascii="宋体" w:hAnsi="宋体"/>
        </w:rPr>
      </w:pPr>
      <w:r>
        <w:rPr>
          <w:rFonts w:hint="eastAsia" w:ascii="宋体" w:hAnsi="宋体"/>
        </w:rPr>
        <w:t>5.最高限价</w:t>
      </w:r>
      <w:bookmarkStart w:id="26" w:name="_Hlk66782034"/>
      <w:r>
        <w:rPr>
          <w:rFonts w:hint="eastAsia" w:ascii="宋体" w:hAnsi="宋体"/>
        </w:rPr>
        <w:t>（如有）</w:t>
      </w:r>
      <w:bookmarkEnd w:id="26"/>
      <w:r>
        <w:rPr>
          <w:rFonts w:hint="eastAsia" w:ascii="宋体" w:hAnsi="宋体"/>
        </w:rPr>
        <w:t>：</w:t>
      </w:r>
      <w:r>
        <w:rPr>
          <w:rFonts w:hint="eastAsia" w:ascii="宋体" w:hAnsi="宋体" w:cs="宋体"/>
          <w:color w:val="000000"/>
          <w:szCs w:val="21"/>
        </w:rPr>
        <w:t>1900000.00元。</w:t>
      </w:r>
    </w:p>
    <w:p>
      <w:pPr>
        <w:spacing w:line="360" w:lineRule="auto"/>
        <w:ind w:firstLine="420" w:firstLineChars="200"/>
        <w:rPr>
          <w:rFonts w:hint="eastAsia" w:ascii="宋体" w:hAnsi="宋体"/>
        </w:rPr>
      </w:pPr>
      <w:r>
        <w:rPr>
          <w:rFonts w:hint="eastAsia" w:ascii="宋体" w:hAnsi="宋体"/>
        </w:rPr>
        <w:t>6.采购需求：</w:t>
      </w:r>
    </w:p>
    <w:tbl>
      <w:tblPr>
        <w:tblStyle w:val="31"/>
        <w:tblW w:w="91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2410"/>
        <w:gridCol w:w="747"/>
        <w:gridCol w:w="762"/>
        <w:gridCol w:w="45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12" w:hRule="atLeast"/>
          <w:jc w:val="center"/>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ascii="Arial" w:hAnsi="Arial" w:cs="Arial"/>
                <w:szCs w:val="21"/>
              </w:rPr>
            </w:pPr>
            <w:r>
              <w:rPr>
                <w:rFonts w:ascii="宋体" w:hAnsi="宋体" w:cs="Arial"/>
              </w:rPr>
              <w:t>序号</w:t>
            </w:r>
          </w:p>
        </w:tc>
        <w:tc>
          <w:tcPr>
            <w:tcW w:w="2410"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jc w:val="center"/>
              <w:rPr>
                <w:rFonts w:ascii="Arial" w:hAnsi="Arial" w:cs="Arial"/>
                <w:szCs w:val="21"/>
              </w:rPr>
            </w:pPr>
            <w:r>
              <w:rPr>
                <w:rFonts w:ascii="宋体" w:hAnsi="宋体" w:cs="Arial"/>
              </w:rPr>
              <w:t>服务名称</w:t>
            </w:r>
          </w:p>
        </w:tc>
        <w:tc>
          <w:tcPr>
            <w:tcW w:w="747"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jc w:val="center"/>
              <w:rPr>
                <w:rFonts w:ascii="Arial" w:hAnsi="Arial" w:cs="Arial"/>
                <w:szCs w:val="21"/>
              </w:rPr>
            </w:pPr>
            <w:r>
              <w:rPr>
                <w:rFonts w:ascii="宋体" w:hAnsi="宋体" w:cs="Arial"/>
              </w:rPr>
              <w:t>数量</w:t>
            </w:r>
          </w:p>
        </w:tc>
        <w:tc>
          <w:tcPr>
            <w:tcW w:w="762"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jc w:val="center"/>
              <w:rPr>
                <w:rFonts w:ascii="Arial" w:hAnsi="宋体" w:cs="Arial"/>
                <w:szCs w:val="21"/>
              </w:rPr>
            </w:pPr>
            <w:r>
              <w:rPr>
                <w:rFonts w:hint="eastAsia" w:ascii="宋体" w:hAnsi="宋体" w:cs="Arial"/>
              </w:rPr>
              <w:t>单位</w:t>
            </w:r>
          </w:p>
        </w:tc>
        <w:tc>
          <w:tcPr>
            <w:tcW w:w="4551"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ind w:firstLine="420" w:firstLineChars="200"/>
              <w:jc w:val="center"/>
              <w:rPr>
                <w:rFonts w:ascii="Arial" w:hAnsi="Arial" w:cs="Arial"/>
                <w:szCs w:val="21"/>
              </w:rPr>
            </w:pPr>
            <w:r>
              <w:rPr>
                <w:rFonts w:ascii="宋体" w:hAnsi="宋体" w:cs="Arial"/>
              </w:rPr>
              <w:t>简要服务需求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jc w:val="center"/>
        </w:trPr>
        <w:tc>
          <w:tcPr>
            <w:tcW w:w="709" w:type="dxa"/>
            <w:tcBorders>
              <w:top w:val="single" w:color="auto" w:sz="4" w:space="0"/>
              <w:left w:val="single" w:color="auto" w:sz="4" w:space="0"/>
              <w:bottom w:val="single" w:color="auto" w:sz="4" w:space="0"/>
              <w:right w:val="single" w:color="auto" w:sz="4" w:space="0"/>
            </w:tcBorders>
            <w:noWrap w:val="0"/>
            <w:vAlign w:val="center"/>
          </w:tcPr>
          <w:p>
            <w:pPr>
              <w:widowControl/>
              <w:adjustRightInd w:val="0"/>
              <w:snapToGrid w:val="0"/>
              <w:jc w:val="center"/>
              <w:rPr>
                <w:rFonts w:ascii="Arial" w:hAnsi="Arial" w:cs="Arial"/>
                <w:szCs w:val="21"/>
              </w:rPr>
            </w:pPr>
            <w:r>
              <w:rPr>
                <w:rFonts w:ascii="Arial" w:hAnsi="Arial" w:cs="Arial"/>
              </w:rPr>
              <w:t>1</w:t>
            </w:r>
          </w:p>
        </w:tc>
        <w:tc>
          <w:tcPr>
            <w:tcW w:w="2410" w:type="dxa"/>
            <w:tcBorders>
              <w:top w:val="single" w:color="auto" w:sz="4" w:space="0"/>
              <w:left w:val="single" w:color="auto" w:sz="4" w:space="0"/>
              <w:bottom w:val="single" w:color="auto" w:sz="4" w:space="0"/>
              <w:right w:val="single" w:color="auto" w:sz="4" w:space="0"/>
            </w:tcBorders>
            <w:noWrap/>
            <w:vAlign w:val="center"/>
          </w:tcPr>
          <w:p>
            <w:pPr>
              <w:spacing w:line="400" w:lineRule="exact"/>
              <w:jc w:val="center"/>
              <w:rPr>
                <w:rFonts w:ascii="Arial" w:hAnsi="Arial" w:cs="Arial"/>
                <w:szCs w:val="21"/>
              </w:rPr>
            </w:pPr>
            <w:r>
              <w:rPr>
                <w:rFonts w:hint="eastAsia" w:ascii="宋体" w:hAnsi="宋体" w:cs="宋体"/>
                <w:color w:val="000000"/>
                <w:szCs w:val="21"/>
              </w:rPr>
              <w:t>环境监管执法系统运维服务项目</w:t>
            </w:r>
          </w:p>
        </w:tc>
        <w:tc>
          <w:tcPr>
            <w:tcW w:w="747"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jc w:val="center"/>
              <w:rPr>
                <w:rFonts w:ascii="Arial" w:hAnsi="Arial" w:cs="Arial"/>
                <w:szCs w:val="21"/>
              </w:rPr>
            </w:pPr>
            <w:r>
              <w:rPr>
                <w:rFonts w:hint="eastAsia" w:ascii="Arial" w:hAnsi="Arial" w:cs="Arial"/>
              </w:rPr>
              <w:t>1</w:t>
            </w:r>
          </w:p>
        </w:tc>
        <w:tc>
          <w:tcPr>
            <w:tcW w:w="762"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jc w:val="center"/>
              <w:rPr>
                <w:rFonts w:ascii="Arial" w:hAnsi="Arial" w:cs="Arial"/>
                <w:szCs w:val="21"/>
              </w:rPr>
            </w:pPr>
            <w:r>
              <w:rPr>
                <w:rFonts w:hint="eastAsia" w:ascii="宋体" w:hAnsi="宋体" w:cs="Arial"/>
              </w:rPr>
              <w:t>批</w:t>
            </w:r>
          </w:p>
        </w:tc>
        <w:tc>
          <w:tcPr>
            <w:tcW w:w="4551" w:type="dxa"/>
            <w:tcBorders>
              <w:top w:val="single" w:color="auto" w:sz="4" w:space="0"/>
              <w:left w:val="single" w:color="auto" w:sz="4" w:space="0"/>
              <w:bottom w:val="single" w:color="auto" w:sz="4" w:space="0"/>
              <w:right w:val="single" w:color="auto" w:sz="4" w:space="0"/>
            </w:tcBorders>
            <w:noWrap/>
            <w:vAlign w:val="center"/>
          </w:tcPr>
          <w:p>
            <w:pPr>
              <w:widowControl/>
              <w:adjustRightInd w:val="0"/>
              <w:snapToGrid w:val="0"/>
              <w:ind w:firstLine="420" w:firstLineChars="200"/>
              <w:jc w:val="left"/>
              <w:rPr>
                <w:rFonts w:hint="eastAsia" w:ascii="宋体" w:hAnsi="宋体" w:cs="宋体"/>
                <w:color w:val="000000"/>
                <w:szCs w:val="21"/>
              </w:rPr>
            </w:pPr>
            <w:r>
              <w:rPr>
                <w:rFonts w:hint="eastAsia" w:ascii="宋体" w:hAnsi="宋体" w:cs="宋体"/>
                <w:color w:val="000000"/>
                <w:szCs w:val="21"/>
              </w:rPr>
              <w:t>一、运维目标</w:t>
            </w:r>
          </w:p>
          <w:p>
            <w:pPr>
              <w:widowControl/>
              <w:adjustRightInd w:val="0"/>
              <w:snapToGrid w:val="0"/>
              <w:ind w:firstLine="420" w:firstLineChars="200"/>
              <w:jc w:val="left"/>
              <w:rPr>
                <w:rFonts w:hint="eastAsia" w:ascii="宋体" w:hAnsi="宋体" w:cs="宋体"/>
                <w:color w:val="000000"/>
                <w:szCs w:val="21"/>
              </w:rPr>
            </w:pPr>
            <w:r>
              <w:rPr>
                <w:rFonts w:hint="eastAsia" w:ascii="宋体" w:hAnsi="宋体" w:cs="宋体"/>
                <w:color w:val="000000"/>
                <w:szCs w:val="21"/>
              </w:rPr>
              <w:t>认真贯彻落实《广西壮族自治区生态环境厅信息化项目建设管理办法（2023年修订）》要求，加快推进信息化运维工作改革，推行集中统一的信息化运维管理模式，建设</w:t>
            </w:r>
            <w:r>
              <w:rPr>
                <w:rFonts w:ascii="宋体" w:hAnsi="宋体" w:cs="宋体"/>
                <w:color w:val="000000"/>
                <w:szCs w:val="21"/>
              </w:rPr>
              <w:t>安全、完整、全面、科学、高效的运维支持体系……</w:t>
            </w:r>
          </w:p>
          <w:p>
            <w:pPr>
              <w:widowControl/>
              <w:adjustRightInd w:val="0"/>
              <w:snapToGrid w:val="0"/>
              <w:ind w:firstLine="420" w:firstLineChars="200"/>
              <w:jc w:val="left"/>
              <w:rPr>
                <w:rFonts w:ascii="Arial" w:hAnsi="Arial" w:cs="Arial"/>
                <w:szCs w:val="21"/>
              </w:rPr>
            </w:pPr>
            <w:r>
              <w:rPr>
                <w:rFonts w:ascii="宋体" w:hAnsi="宋体" w:cs="Arial"/>
              </w:rPr>
              <w:t>如需进一步了解详细内容，详见竞争性磋商文件。</w:t>
            </w:r>
          </w:p>
        </w:tc>
      </w:tr>
    </w:tbl>
    <w:p>
      <w:pPr>
        <w:widowControl/>
        <w:spacing w:line="400" w:lineRule="exact"/>
        <w:ind w:firstLine="525" w:firstLineChars="250"/>
        <w:jc w:val="left"/>
        <w:rPr>
          <w:rFonts w:hint="eastAsia" w:ascii="宋体" w:hAnsi="宋体"/>
        </w:rPr>
      </w:pPr>
      <w:r>
        <w:rPr>
          <w:rFonts w:hint="eastAsia" w:ascii="宋体" w:hAnsi="宋体"/>
        </w:rPr>
        <w:t>7.合同履行期限：</w:t>
      </w:r>
      <w:r>
        <w:rPr>
          <w:rFonts w:hint="eastAsia"/>
          <w:color w:val="000000"/>
          <w:szCs w:val="21"/>
        </w:rPr>
        <w:t>合同签订之日起至2</w:t>
      </w:r>
      <w:r>
        <w:rPr>
          <w:color w:val="000000"/>
          <w:szCs w:val="21"/>
        </w:rPr>
        <w:t>02</w:t>
      </w:r>
      <w:r>
        <w:rPr>
          <w:rFonts w:hint="eastAsia"/>
          <w:color w:val="000000"/>
          <w:szCs w:val="21"/>
        </w:rPr>
        <w:t>4年6月3</w:t>
      </w:r>
      <w:r>
        <w:rPr>
          <w:color w:val="000000"/>
          <w:szCs w:val="21"/>
        </w:rPr>
        <w:t>0</w:t>
      </w:r>
      <w:r>
        <w:rPr>
          <w:rFonts w:hint="eastAsia"/>
          <w:color w:val="000000"/>
          <w:szCs w:val="21"/>
        </w:rPr>
        <w:t>日。</w:t>
      </w:r>
    </w:p>
    <w:p>
      <w:pPr>
        <w:spacing w:line="360" w:lineRule="auto"/>
        <w:ind w:firstLine="420" w:firstLineChars="200"/>
        <w:rPr>
          <w:rFonts w:hint="eastAsia" w:ascii="宋体" w:hAnsi="宋体"/>
        </w:rPr>
      </w:pPr>
      <w:r>
        <w:rPr>
          <w:rFonts w:hint="eastAsia" w:ascii="宋体" w:hAnsi="宋体"/>
        </w:rPr>
        <w:t>8.本项目是否接受联合体：□是，</w:t>
      </w:r>
      <w:r>
        <w:rPr>
          <w:rFonts w:hint="eastAsia" w:ascii="MS Mincho" w:hAnsi="MS Mincho" w:eastAsia="MS Mincho" w:cs="MS Mincho"/>
        </w:rPr>
        <w:t>☑</w:t>
      </w:r>
      <w:r>
        <w:rPr>
          <w:rFonts w:hint="eastAsia" w:ascii="宋体" w:hAnsi="宋体" w:cs="宋体"/>
        </w:rPr>
        <w:t>否</w:t>
      </w:r>
    </w:p>
    <w:p>
      <w:pPr>
        <w:spacing w:line="360" w:lineRule="auto"/>
        <w:ind w:firstLine="482" w:firstLineChars="200"/>
        <w:rPr>
          <w:rFonts w:hint="eastAsia" w:ascii="黑体" w:hAnsi="宋体" w:eastAsia="黑体" w:cs="宋体"/>
          <w:bCs/>
          <w:sz w:val="24"/>
        </w:rPr>
      </w:pPr>
      <w:bookmarkStart w:id="27" w:name="_Toc44229879"/>
      <w:bookmarkEnd w:id="27"/>
      <w:bookmarkStart w:id="28" w:name="_Toc28359013"/>
      <w:bookmarkEnd w:id="28"/>
      <w:bookmarkStart w:id="29" w:name="_Toc35393799"/>
      <w:bookmarkEnd w:id="29"/>
      <w:bookmarkStart w:id="30" w:name="_Toc35393630"/>
      <w:bookmarkEnd w:id="30"/>
      <w:bookmarkStart w:id="31" w:name="_Toc28359090"/>
      <w:r>
        <w:rPr>
          <w:rFonts w:hint="eastAsia" w:ascii="黑体" w:hAnsi="黑体" w:eastAsia="黑体" w:cs="宋体"/>
          <w:b/>
          <w:kern w:val="44"/>
          <w:sz w:val="24"/>
        </w:rPr>
        <w:t>二、供应商的资格条件</w:t>
      </w:r>
      <w:bookmarkEnd w:id="31"/>
    </w:p>
    <w:p>
      <w:pPr>
        <w:spacing w:line="360" w:lineRule="auto"/>
        <w:ind w:firstLine="420" w:firstLineChars="200"/>
        <w:rPr>
          <w:rFonts w:hint="eastAsia" w:ascii="宋体" w:hAnsi="宋体"/>
          <w:szCs w:val="21"/>
        </w:rPr>
      </w:pPr>
      <w:r>
        <w:rPr>
          <w:rFonts w:hint="eastAsia" w:ascii="宋体" w:hAnsi="宋体"/>
        </w:rPr>
        <w:t>1.满足《中华人民共和国政府采购法》第二十二条规定；</w:t>
      </w:r>
    </w:p>
    <w:p>
      <w:pPr>
        <w:spacing w:line="360" w:lineRule="auto"/>
        <w:ind w:firstLine="420" w:firstLineChars="200"/>
        <w:rPr>
          <w:rFonts w:hint="eastAsia" w:ascii="宋体" w:hAnsi="宋体"/>
        </w:rPr>
      </w:pPr>
      <w:r>
        <w:rPr>
          <w:rFonts w:hint="eastAsia" w:ascii="宋体" w:hAnsi="宋体"/>
        </w:rPr>
        <w:t>2.落实政府采购政策需满足的资格要求：</w:t>
      </w:r>
    </w:p>
    <w:p>
      <w:pPr>
        <w:spacing w:line="360" w:lineRule="auto"/>
        <w:ind w:firstLine="420" w:firstLineChars="200"/>
        <w:rPr>
          <w:rFonts w:hint="eastAsia" w:ascii="宋体" w:hAnsi="宋体"/>
        </w:rPr>
      </w:pPr>
      <w:r>
        <w:rPr>
          <w:rFonts w:hint="eastAsia" w:ascii="MS Mincho" w:hAnsi="MS Mincho" w:eastAsia="MS Mincho" w:cs="MS Mincho"/>
        </w:rPr>
        <w:t>☑</w:t>
      </w:r>
      <w:r>
        <w:rPr>
          <w:rFonts w:hint="eastAsia" w:ascii="宋体" w:hAnsi="宋体"/>
        </w:rPr>
        <w:t>专门面向中小企业采购的项目（供应商应为中小微企业、监狱企业、残疾人福利性单位)</w:t>
      </w:r>
    </w:p>
    <w:p>
      <w:pPr>
        <w:spacing w:line="360" w:lineRule="auto"/>
        <w:ind w:firstLine="420" w:firstLineChars="200"/>
        <w:rPr>
          <w:rFonts w:hint="eastAsia" w:ascii="宋体" w:hAnsi="宋体"/>
        </w:rPr>
      </w:pPr>
      <w:r>
        <w:rPr>
          <w:rFonts w:hint="eastAsia" w:ascii="宋体" w:hAnsi="宋体"/>
        </w:rPr>
        <w:t>□非专门面向中小企业采购的项目</w:t>
      </w:r>
    </w:p>
    <w:p>
      <w:pPr>
        <w:spacing w:line="360" w:lineRule="auto"/>
        <w:ind w:firstLine="420" w:firstLineChars="200"/>
        <w:rPr>
          <w:rFonts w:hint="eastAsia" w:ascii="宋体" w:hAnsi="宋体"/>
        </w:rPr>
      </w:pPr>
      <w:bookmarkStart w:id="32" w:name="PO_3000001868_PM005"/>
      <w:bookmarkEnd w:id="32"/>
      <w:r>
        <w:rPr>
          <w:rFonts w:hint="eastAsia" w:ascii="宋体" w:hAnsi="宋体"/>
        </w:rPr>
        <w:t>3.本项目的特定资格要求：</w:t>
      </w:r>
      <w:r>
        <w:rPr>
          <w:rFonts w:hint="eastAsia" w:ascii="宋体" w:hAnsi="宋体" w:cs="宋体"/>
          <w:color w:val="000000"/>
          <w:szCs w:val="21"/>
        </w:rPr>
        <w:t>无。</w:t>
      </w:r>
    </w:p>
    <w:p>
      <w:pPr>
        <w:spacing w:line="360" w:lineRule="auto"/>
        <w:ind w:firstLine="420" w:firstLineChars="200"/>
        <w:rPr>
          <w:rFonts w:hint="eastAsia" w:ascii="宋体" w:hAnsi="宋体"/>
        </w:rPr>
      </w:pPr>
      <w:r>
        <w:rPr>
          <w:rFonts w:hint="eastAsia" w:ascii="宋体" w:hAnsi="宋体"/>
        </w:rPr>
        <w:t>4.本项目的特定条件：无</w:t>
      </w:r>
    </w:p>
    <w:p>
      <w:pPr>
        <w:spacing w:line="360" w:lineRule="auto"/>
        <w:ind w:firstLine="420" w:firstLineChars="200"/>
        <w:rPr>
          <w:rFonts w:hint="eastAsia" w:ascii="宋体" w:hAnsi="宋体"/>
        </w:rPr>
      </w:pPr>
      <w:r>
        <w:rPr>
          <w:rFonts w:hint="eastAsia" w:ascii="宋体" w:hAnsi="宋体"/>
        </w:rPr>
        <w:t>5.单位负责人为同一人或者存在直接控股、管理关系的不同供应商，不得参加同一合同项下的政府采购活动。为本项目提供过整体设计、规范编制或者项目管理、监理、检测等服务的供应商，不得再参加本项目上述服务以外的其他采购活动。</w:t>
      </w:r>
    </w:p>
    <w:p>
      <w:pPr>
        <w:spacing w:line="360" w:lineRule="auto"/>
        <w:ind w:firstLine="420" w:firstLineChars="200"/>
        <w:rPr>
          <w:rFonts w:hint="eastAsia" w:ascii="宋体" w:hAnsi="宋体"/>
        </w:rPr>
      </w:pPr>
      <w:r>
        <w:rPr>
          <w:rFonts w:hint="eastAsia" w:ascii="宋体" w:hAnsi="宋体"/>
        </w:rPr>
        <w:t>6.对在“信用中国”网站(www.creditchina.gov.cn)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不得参与政府采购活动。</w:t>
      </w:r>
    </w:p>
    <w:p>
      <w:pPr>
        <w:spacing w:line="360" w:lineRule="auto"/>
        <w:ind w:firstLine="482" w:firstLineChars="200"/>
        <w:rPr>
          <w:rFonts w:hint="eastAsia" w:ascii="黑体" w:hAnsi="宋体" w:eastAsia="黑体"/>
          <w:b/>
          <w:bCs/>
          <w:sz w:val="24"/>
        </w:rPr>
      </w:pPr>
      <w:r>
        <w:rPr>
          <w:rFonts w:hint="eastAsia" w:ascii="黑体" w:hAnsi="黑体" w:eastAsia="黑体"/>
          <w:b/>
          <w:bCs/>
          <w:sz w:val="24"/>
        </w:rPr>
        <w:t>三、获取竞争性磋商文件</w:t>
      </w:r>
    </w:p>
    <w:p>
      <w:pPr>
        <w:spacing w:line="360" w:lineRule="auto"/>
        <w:ind w:firstLine="420" w:firstLineChars="200"/>
        <w:rPr>
          <w:rFonts w:hint="eastAsia" w:ascii="宋体" w:hAnsi="宋体"/>
          <w:szCs w:val="21"/>
        </w:rPr>
      </w:pPr>
      <w:bookmarkStart w:id="33" w:name="_Toc35393624"/>
      <w:bookmarkEnd w:id="33"/>
      <w:bookmarkStart w:id="34" w:name="_Toc28359082"/>
      <w:bookmarkEnd w:id="34"/>
      <w:bookmarkStart w:id="35" w:name="_Toc35393793"/>
      <w:bookmarkEnd w:id="35"/>
      <w:bookmarkStart w:id="36" w:name="_Toc28359005"/>
      <w:r>
        <w:rPr>
          <w:rFonts w:hint="eastAsia" w:ascii="宋体" w:hAnsi="宋体"/>
        </w:rPr>
        <w:t>时间：自公告发布之日起。</w:t>
      </w:r>
      <w:bookmarkEnd w:id="36"/>
    </w:p>
    <w:p>
      <w:pPr>
        <w:spacing w:line="360" w:lineRule="auto"/>
        <w:ind w:firstLine="420" w:firstLineChars="200"/>
        <w:rPr>
          <w:rFonts w:hint="eastAsia" w:ascii="黑体" w:hAnsi="宋体" w:eastAsia="黑体"/>
          <w:b/>
          <w:bCs/>
          <w:sz w:val="24"/>
        </w:rPr>
      </w:pPr>
      <w:r>
        <w:rPr>
          <w:rFonts w:hint="eastAsia" w:ascii="宋体" w:hAnsi="宋体"/>
        </w:rPr>
        <w:t>获取方式:网上下载。本项目不发放纸质采购文件，供应商可自行在“政采云”平台（http：//www.zcygov.cn）下载采购文件（操作路径：登录“政采云”平台-项目采购-获取采购文件-找到本项目-点击“申请获取采购文件”），电子响应文件制作需要基于“政采云”平台（http：//www.zcygov.cn）获取的采购文件编制。</w:t>
      </w:r>
    </w:p>
    <w:p>
      <w:pPr>
        <w:snapToGrid w:val="0"/>
        <w:spacing w:line="360" w:lineRule="auto"/>
        <w:ind w:firstLine="420" w:firstLineChars="200"/>
        <w:rPr>
          <w:rFonts w:hint="eastAsia" w:ascii="宋体" w:hAnsi="宋体"/>
          <w:szCs w:val="21"/>
        </w:rPr>
      </w:pPr>
      <w:r>
        <w:rPr>
          <w:rFonts w:hint="eastAsia" w:ascii="宋体" w:hAnsi="宋体"/>
        </w:rPr>
        <w:t>售价：0元。</w:t>
      </w:r>
    </w:p>
    <w:p>
      <w:pPr>
        <w:spacing w:line="360" w:lineRule="auto"/>
        <w:ind w:firstLine="482" w:firstLineChars="200"/>
        <w:rPr>
          <w:rFonts w:hint="eastAsia" w:ascii="黑体" w:hAnsi="宋体" w:eastAsia="黑体"/>
          <w:b/>
          <w:bCs/>
          <w:sz w:val="24"/>
        </w:rPr>
      </w:pPr>
      <w:r>
        <w:rPr>
          <w:rFonts w:hint="eastAsia" w:ascii="黑体" w:hAnsi="黑体" w:eastAsia="黑体"/>
          <w:b/>
          <w:bCs/>
          <w:sz w:val="24"/>
        </w:rPr>
        <w:t>四、响应文件提交</w:t>
      </w:r>
    </w:p>
    <w:p>
      <w:pPr>
        <w:spacing w:line="360" w:lineRule="auto"/>
        <w:ind w:firstLine="420" w:firstLineChars="200"/>
        <w:rPr>
          <w:rFonts w:hint="eastAsia" w:ascii="宋体" w:hAnsi="宋体"/>
          <w:szCs w:val="21"/>
          <w:u w:val="single"/>
        </w:rPr>
      </w:pPr>
      <w:r>
        <w:rPr>
          <w:rFonts w:hint="eastAsia" w:ascii="宋体" w:hAnsi="宋体"/>
        </w:rPr>
        <w:t>1、首次响应文件提交截止时间</w:t>
      </w:r>
      <w:r>
        <w:rPr>
          <w:rFonts w:hint="eastAsia" w:ascii="宋体" w:hAnsi="宋体"/>
          <w:bCs/>
        </w:rPr>
        <w:t>（北京时间）：</w:t>
      </w:r>
      <w:bookmarkStart w:id="37" w:name="PO_3000001868_PM015"/>
      <w:bookmarkEnd w:id="37"/>
      <w:r>
        <w:rPr>
          <w:rFonts w:hint="eastAsia" w:ascii="宋体" w:hAnsi="宋体"/>
          <w:u w:val="single"/>
        </w:rPr>
        <w:t>2023年7月7日09时30分（从磋商文件开始发出之日起至供应商提交首次响应文件截止之日止不得少于10日）</w:t>
      </w:r>
    </w:p>
    <w:p>
      <w:pPr>
        <w:spacing w:line="360" w:lineRule="auto"/>
        <w:ind w:firstLine="420" w:firstLineChars="200"/>
        <w:rPr>
          <w:rFonts w:hint="eastAsia" w:ascii="宋体" w:hAnsi="宋体"/>
        </w:rPr>
      </w:pPr>
      <w:r>
        <w:rPr>
          <w:rFonts w:hint="eastAsia" w:ascii="宋体" w:hAnsi="宋体"/>
        </w:rPr>
        <w:t>2、首次响应文件提交地点：</w:t>
      </w:r>
    </w:p>
    <w:p>
      <w:pPr>
        <w:widowControl/>
        <w:spacing w:line="360" w:lineRule="auto"/>
        <w:ind w:firstLine="420" w:firstLineChars="200"/>
        <w:jc w:val="left"/>
        <w:rPr>
          <w:rFonts w:hint="eastAsia" w:ascii="宋体" w:hAnsi="宋体"/>
        </w:rPr>
      </w:pPr>
      <w:r>
        <w:rPr>
          <w:rFonts w:hint="eastAsia" w:ascii="宋体" w:hAnsi="宋体"/>
        </w:rPr>
        <w:t>（1）响应文件提交方式：本项目为全流程电子化项目，通过“政采云”平台（http：//www.zcygov.cn）实行在线电子响应，供应商应先安装“政采云电子交易客户端”（请自行前往“政采云”平台进行下载），并按照本项目采购文件和“政采云”平台的要求编制、加密后在响应文件提交截止时间前通过网络上传至“政采云”平台，</w:t>
      </w:r>
      <w:r>
        <w:rPr>
          <w:rFonts w:hint="eastAsia" w:ascii="宋体" w:hAnsi="宋体"/>
          <w:b/>
        </w:rPr>
        <w:t>供应商在“政采云”平台提交电子版响应文件时，请填写参加远程采购活动经办人联系方式</w:t>
      </w:r>
      <w:r>
        <w:rPr>
          <w:rFonts w:hint="eastAsia" w:ascii="宋体" w:hAnsi="宋体"/>
        </w:rPr>
        <w:t>。</w:t>
      </w:r>
    </w:p>
    <w:p>
      <w:pPr>
        <w:widowControl/>
        <w:spacing w:line="360" w:lineRule="auto"/>
        <w:ind w:firstLine="420" w:firstLineChars="200"/>
        <w:jc w:val="left"/>
        <w:rPr>
          <w:rFonts w:hint="eastAsia" w:ascii="宋体" w:hAnsi="宋体"/>
        </w:rPr>
      </w:pPr>
      <w:r>
        <w:rPr>
          <w:rFonts w:hint="eastAsia" w:ascii="宋体" w:hAnsi="宋体"/>
        </w:rPr>
        <w:t>（2）未进行网上注册并办理数字证书（CA认证）的供应商将无法参与本项目政府采购活动，潜在供应商应当在响应文件提交截止时间前，完成电子交易平台上的CA数字证书办理及响应文件的提交。完成CA数字证书办理预计7日左右，供应商只需办理其中一家CA数字证书及签章。</w:t>
      </w:r>
    </w:p>
    <w:p>
      <w:pPr>
        <w:widowControl/>
        <w:spacing w:line="360" w:lineRule="auto"/>
        <w:ind w:firstLine="420" w:firstLineChars="200"/>
        <w:jc w:val="left"/>
        <w:rPr>
          <w:rFonts w:hint="eastAsia" w:ascii="宋体" w:hAnsi="宋体"/>
        </w:rPr>
      </w:pPr>
      <w:r>
        <w:rPr>
          <w:rFonts w:hint="eastAsia" w:ascii="宋体" w:hAnsi="宋体"/>
        </w:rPr>
        <w:t>（3）为确保网上操作合法、有效和安全，请供应商确保在电子响应过程中能够对相关数据电文进行加密和使用电子签章，妥善保管CA数字证书并使用有效的CA数字证书参与整个采购活动。</w:t>
      </w:r>
    </w:p>
    <w:p>
      <w:pPr>
        <w:spacing w:line="360" w:lineRule="auto"/>
        <w:ind w:firstLine="420" w:firstLineChars="200"/>
        <w:rPr>
          <w:rFonts w:hint="eastAsia" w:ascii="宋体" w:hAnsi="宋体"/>
          <w:bCs/>
          <w:u w:val="single"/>
        </w:rPr>
      </w:pPr>
      <w:r>
        <w:rPr>
          <w:rFonts w:hint="eastAsia" w:ascii="宋体" w:hAnsi="宋体"/>
          <w:bCs/>
          <w:u w:val="single"/>
        </w:rPr>
        <w:t>注：供应商应当在首次响应文件提交截止时间前完成电子响应文件的上传、递交，响应文件提交截止时间前可以补充、修改或者撤回响应文件。补充或者修改响应文件的，应当先行撤回原文件，补充、修改后重新上传、递交。响应截止时间前未完成上传、递交的，视为撤回响应文件。响应文件提交截止时间以后上传递交的响应文件的，“政采云”平台将予以拒收。</w:t>
      </w:r>
    </w:p>
    <w:p>
      <w:pPr>
        <w:snapToGrid w:val="0"/>
        <w:spacing w:line="360" w:lineRule="auto"/>
        <w:ind w:firstLine="420" w:firstLineChars="200"/>
        <w:rPr>
          <w:rFonts w:hint="eastAsia" w:ascii="宋体" w:hAnsi="宋体"/>
          <w:kern w:val="0"/>
        </w:rPr>
      </w:pPr>
      <w:r>
        <w:rPr>
          <w:rFonts w:hint="eastAsia" w:ascii="宋体" w:hAnsi="宋体"/>
          <w:kern w:val="0"/>
        </w:rPr>
        <w:t>3、CA证书在线解密：首次响应文件开启时，须要供应商携带制作响应文件时用来加密的有效数字证书（CA认证）登录“政采云”平台电子开标大厅现场按规定时间对加密的响应文件进行解密，否则后果自负。</w:t>
      </w:r>
    </w:p>
    <w:p>
      <w:pPr>
        <w:snapToGrid w:val="0"/>
        <w:spacing w:line="360" w:lineRule="auto"/>
        <w:ind w:firstLine="420" w:firstLineChars="200"/>
        <w:rPr>
          <w:rFonts w:hint="eastAsia" w:ascii="宋体" w:hAnsi="宋体"/>
          <w:kern w:val="0"/>
        </w:rPr>
      </w:pPr>
      <w:r>
        <w:rPr>
          <w:rFonts w:hint="eastAsia" w:ascii="宋体" w:hAnsi="宋体"/>
          <w:kern w:val="0"/>
        </w:rPr>
        <w:t>4、供应商需要在具备有摄像头及语音功能且互联网网络状况良好的电脑登录“政采云”平台远程开标大厅参与本次磋商，否则后果自负。</w:t>
      </w:r>
    </w:p>
    <w:p>
      <w:pPr>
        <w:spacing w:line="360" w:lineRule="auto"/>
        <w:ind w:firstLine="482" w:firstLineChars="200"/>
        <w:rPr>
          <w:rFonts w:hint="eastAsia" w:ascii="黑体" w:hAnsi="宋体" w:eastAsia="黑体"/>
          <w:b/>
          <w:bCs/>
          <w:sz w:val="24"/>
        </w:rPr>
      </w:pPr>
      <w:r>
        <w:rPr>
          <w:rFonts w:hint="eastAsia" w:ascii="黑体" w:hAnsi="黑体" w:eastAsia="黑体"/>
          <w:b/>
          <w:bCs/>
          <w:sz w:val="24"/>
        </w:rPr>
        <w:t>五、开启（首次响应文件开启时间）</w:t>
      </w:r>
    </w:p>
    <w:p>
      <w:pPr>
        <w:spacing w:line="360" w:lineRule="auto"/>
        <w:ind w:firstLine="420" w:firstLineChars="200"/>
        <w:rPr>
          <w:rFonts w:hint="eastAsia" w:ascii="宋体" w:hAnsi="宋体"/>
          <w:bCs/>
          <w:szCs w:val="21"/>
          <w:u w:val="single"/>
        </w:rPr>
      </w:pPr>
      <w:r>
        <w:rPr>
          <w:rFonts w:hint="eastAsia" w:ascii="宋体" w:hAnsi="宋体"/>
        </w:rPr>
        <w:t>1.时间：</w:t>
      </w:r>
      <w:bookmarkStart w:id="38" w:name="PO_3000001868_PM015_1"/>
      <w:bookmarkEnd w:id="38"/>
      <w:r>
        <w:rPr>
          <w:rFonts w:hint="eastAsia" w:ascii="宋体" w:hAnsi="宋体"/>
          <w:u w:val="single"/>
        </w:rPr>
        <w:t>2023年7月7日09时30分</w:t>
      </w:r>
      <w:r>
        <w:rPr>
          <w:rFonts w:hint="eastAsia" w:ascii="宋体" w:hAnsi="宋体"/>
          <w:bCs/>
        </w:rPr>
        <w:t>（北京时间）</w:t>
      </w:r>
      <w:r>
        <w:rPr>
          <w:rFonts w:hint="eastAsia" w:ascii="宋体" w:hAnsi="宋体"/>
        </w:rPr>
        <w:t>后</w:t>
      </w:r>
    </w:p>
    <w:p>
      <w:pPr>
        <w:spacing w:line="360" w:lineRule="auto"/>
        <w:ind w:firstLine="420" w:firstLineChars="200"/>
        <w:rPr>
          <w:rFonts w:hint="eastAsia" w:ascii="宋体" w:hAnsi="宋体"/>
          <w:bCs/>
          <w:u w:val="single"/>
        </w:rPr>
      </w:pPr>
      <w:r>
        <w:rPr>
          <w:rFonts w:hint="eastAsia" w:ascii="宋体" w:hAnsi="宋体"/>
        </w:rPr>
        <w:t>2.地点：</w:t>
      </w:r>
      <w:r>
        <w:rPr>
          <w:rFonts w:hint="eastAsia" w:ascii="宋体" w:hAnsi="宋体"/>
          <w:u w:val="single"/>
        </w:rPr>
        <w:t xml:space="preserve">政府采购云平台远程开标大厅 </w:t>
      </w:r>
    </w:p>
    <w:p>
      <w:pPr>
        <w:spacing w:line="360" w:lineRule="auto"/>
        <w:ind w:firstLine="482" w:firstLineChars="200"/>
        <w:rPr>
          <w:rFonts w:hint="eastAsia" w:ascii="黑体" w:hAnsi="宋体" w:eastAsia="黑体"/>
          <w:b/>
          <w:bCs/>
          <w:sz w:val="24"/>
        </w:rPr>
      </w:pPr>
      <w:bookmarkStart w:id="39" w:name="_Toc28359007"/>
      <w:bookmarkEnd w:id="39"/>
      <w:bookmarkStart w:id="40" w:name="_Toc35393794"/>
      <w:bookmarkEnd w:id="40"/>
      <w:bookmarkStart w:id="41" w:name="_Toc28359084"/>
      <w:bookmarkEnd w:id="41"/>
      <w:bookmarkStart w:id="42" w:name="_Toc35393625"/>
      <w:r>
        <w:rPr>
          <w:rFonts w:hint="eastAsia" w:ascii="黑体" w:hAnsi="黑体" w:eastAsia="黑体"/>
          <w:b/>
          <w:bCs/>
          <w:sz w:val="24"/>
        </w:rPr>
        <w:t>六、公告期限</w:t>
      </w:r>
      <w:bookmarkEnd w:id="42"/>
    </w:p>
    <w:p>
      <w:pPr>
        <w:spacing w:line="360" w:lineRule="auto"/>
        <w:ind w:firstLine="420" w:firstLineChars="200"/>
        <w:rPr>
          <w:rFonts w:hint="eastAsia" w:ascii="宋体" w:hAnsi="宋体"/>
          <w:kern w:val="0"/>
          <w:szCs w:val="21"/>
        </w:rPr>
      </w:pPr>
      <w:r>
        <w:rPr>
          <w:rFonts w:hint="eastAsia" w:ascii="宋体" w:hAnsi="宋体"/>
          <w:kern w:val="0"/>
        </w:rPr>
        <w:t>自本公告发布之日起3个工作日。</w:t>
      </w:r>
    </w:p>
    <w:p>
      <w:pPr>
        <w:spacing w:line="360" w:lineRule="auto"/>
        <w:ind w:firstLine="482" w:firstLineChars="200"/>
        <w:rPr>
          <w:rFonts w:hint="eastAsia" w:ascii="黑体" w:hAnsi="宋体" w:eastAsia="黑体"/>
          <w:b/>
          <w:bCs/>
          <w:sz w:val="24"/>
        </w:rPr>
      </w:pPr>
      <w:bookmarkStart w:id="43" w:name="_Toc35393795"/>
      <w:bookmarkEnd w:id="43"/>
      <w:bookmarkStart w:id="44" w:name="_Toc35393626"/>
      <w:r>
        <w:rPr>
          <w:rFonts w:hint="eastAsia" w:ascii="黑体" w:hAnsi="黑体" w:eastAsia="黑体"/>
          <w:b/>
          <w:bCs/>
          <w:sz w:val="24"/>
        </w:rPr>
        <w:t>七、其他补充事宜</w:t>
      </w:r>
      <w:bookmarkEnd w:id="44"/>
    </w:p>
    <w:p>
      <w:pPr>
        <w:spacing w:line="440" w:lineRule="exact"/>
        <w:ind w:firstLine="420" w:firstLineChars="200"/>
        <w:rPr>
          <w:rFonts w:hint="eastAsia" w:ascii="宋体" w:hAnsi="宋体"/>
          <w:kern w:val="0"/>
        </w:rPr>
      </w:pPr>
      <w:r>
        <w:rPr>
          <w:rFonts w:hint="eastAsia" w:ascii="宋体" w:hAnsi="宋体"/>
          <w:kern w:val="0"/>
        </w:rPr>
        <w:t>1.磋商保证金（人民币）：壹万玖仟元整（¥19000.00）。</w:t>
      </w:r>
      <w:r>
        <w:rPr>
          <w:rFonts w:ascii="宋体" w:hAnsi="宋体"/>
          <w:kern w:val="0"/>
        </w:rPr>
        <w:t>(必须足额交纳) （1）</w:t>
      </w:r>
      <w:r>
        <w:rPr>
          <w:rFonts w:hint="eastAsia" w:ascii="宋体" w:hAnsi="宋体"/>
          <w:kern w:val="0"/>
        </w:rPr>
        <w:t>磋商</w:t>
      </w:r>
      <w:r>
        <w:rPr>
          <w:rFonts w:ascii="宋体" w:hAnsi="宋体"/>
          <w:kern w:val="0"/>
        </w:rPr>
        <w:t>保证金交纳形式：支票、汇票、本票、网上银行或者银行、保险机构出具的保函等非现金形式。（2）采用网上银行转账形式的，</w:t>
      </w:r>
      <w:r>
        <w:rPr>
          <w:rFonts w:hint="eastAsia" w:ascii="宋体" w:hAnsi="宋体"/>
          <w:kern w:val="0"/>
        </w:rPr>
        <w:t>供应商</w:t>
      </w:r>
      <w:r>
        <w:rPr>
          <w:rFonts w:ascii="宋体" w:hAnsi="宋体"/>
          <w:kern w:val="0"/>
        </w:rPr>
        <w:t>应</w:t>
      </w:r>
      <w:r>
        <w:rPr>
          <w:rFonts w:hint="eastAsia" w:ascii="宋体" w:hAnsi="宋体"/>
          <w:kern w:val="0"/>
        </w:rPr>
        <w:t>于</w:t>
      </w:r>
      <w:r>
        <w:rPr>
          <w:rFonts w:hint="eastAsia" w:ascii="宋体" w:hAnsi="宋体" w:cs="宋体"/>
          <w:color w:val="000000"/>
          <w:kern w:val="0"/>
          <w:szCs w:val="21"/>
        </w:rPr>
        <w:t>首次响应文件提交截止时间前</w:t>
      </w:r>
      <w:r>
        <w:rPr>
          <w:rFonts w:ascii="宋体" w:hAnsi="宋体"/>
          <w:kern w:val="0"/>
        </w:rPr>
        <w:t>将</w:t>
      </w:r>
      <w:r>
        <w:rPr>
          <w:rFonts w:hint="eastAsia" w:ascii="宋体" w:hAnsi="宋体"/>
          <w:kern w:val="0"/>
        </w:rPr>
        <w:t>磋商</w:t>
      </w:r>
      <w:r>
        <w:rPr>
          <w:rFonts w:ascii="宋体" w:hAnsi="宋体"/>
          <w:kern w:val="0"/>
        </w:rPr>
        <w:t>保证金交至以下账户。</w:t>
      </w:r>
      <w:r>
        <w:rPr>
          <w:rFonts w:hint="eastAsia" w:ascii="宋体" w:hAnsi="宋体"/>
          <w:kern w:val="0"/>
        </w:rPr>
        <w:t>开户银行：建行南宁市民族大道东分理处，开户名称：广西城建咨询有限公司，银行账号：4500 1604 6530 5070 3663</w:t>
      </w:r>
      <w:r>
        <w:rPr>
          <w:rFonts w:ascii="宋体" w:hAnsi="宋体"/>
          <w:kern w:val="0"/>
        </w:rPr>
        <w:t>。（3）采用支票、汇票、本票或者保函等形式的，</w:t>
      </w:r>
      <w:r>
        <w:rPr>
          <w:rFonts w:hint="eastAsia" w:ascii="宋体" w:hAnsi="宋体"/>
          <w:kern w:val="0"/>
        </w:rPr>
        <w:t>供应商</w:t>
      </w:r>
      <w:r>
        <w:rPr>
          <w:rFonts w:ascii="宋体" w:hAnsi="宋体"/>
          <w:kern w:val="0"/>
        </w:rPr>
        <w:t>应于</w:t>
      </w:r>
      <w:r>
        <w:rPr>
          <w:rFonts w:hint="eastAsia" w:ascii="宋体" w:hAnsi="宋体" w:cs="宋体"/>
          <w:color w:val="000000"/>
          <w:kern w:val="0"/>
          <w:szCs w:val="21"/>
        </w:rPr>
        <w:t>首次响应文件提交截止时间前</w:t>
      </w:r>
      <w:r>
        <w:rPr>
          <w:rFonts w:ascii="宋体" w:hAnsi="宋体"/>
          <w:kern w:val="0"/>
        </w:rPr>
        <w:t>递交单独密封的支票、汇票、本票或者保函原件至</w:t>
      </w:r>
      <w:r>
        <w:rPr>
          <w:rFonts w:hint="eastAsia" w:ascii="宋体" w:hAnsi="宋体"/>
          <w:kern w:val="0"/>
        </w:rPr>
        <w:t>采购</w:t>
      </w:r>
      <w:r>
        <w:rPr>
          <w:rFonts w:ascii="宋体" w:hAnsi="宋体"/>
          <w:kern w:val="0"/>
        </w:rPr>
        <w:t>代理</w:t>
      </w:r>
      <w:r>
        <w:rPr>
          <w:rFonts w:hint="eastAsia" w:ascii="宋体" w:hAnsi="宋体"/>
          <w:kern w:val="0"/>
        </w:rPr>
        <w:t>机构</w:t>
      </w:r>
      <w:r>
        <w:rPr>
          <w:rFonts w:ascii="宋体" w:hAnsi="宋体"/>
          <w:kern w:val="0"/>
        </w:rPr>
        <w:t>处。</w:t>
      </w:r>
    </w:p>
    <w:p>
      <w:pPr>
        <w:spacing w:line="360" w:lineRule="auto"/>
        <w:ind w:firstLine="420" w:firstLineChars="200"/>
        <w:jc w:val="left"/>
        <w:rPr>
          <w:rFonts w:hint="eastAsia" w:ascii="宋体" w:hAnsi="宋体"/>
          <w:kern w:val="0"/>
          <w:u w:val="single"/>
        </w:rPr>
      </w:pPr>
      <w:r>
        <w:rPr>
          <w:rFonts w:hint="eastAsia" w:ascii="宋体" w:hAnsi="宋体"/>
          <w:kern w:val="0"/>
        </w:rPr>
        <w:t>2.采购意向公开链接：</w:t>
      </w:r>
      <w:bookmarkStart w:id="45" w:name="PO_3000001868_PM100"/>
      <w:bookmarkEnd w:id="45"/>
      <w:r>
        <w:rPr>
          <w:rFonts w:ascii="宋体" w:hAnsi="宋体" w:cs="宋体"/>
          <w:kern w:val="0"/>
          <w:szCs w:val="21"/>
          <w:u w:val="single"/>
        </w:rPr>
        <w:t>http://www.ccgp-guangxi.gov.cn/reformColumn/ZcyAnnouncement25/ZcyAnnouncement10016/RmkuTc9CqWB7RTX1TewwwK37+E1xF0B4VwEJ4L+Uguo=.html?utm=sites_group_front.50d9b40d.0.0.185c2690acd411ed996d0165f378c237</w:t>
      </w:r>
    </w:p>
    <w:p>
      <w:pPr>
        <w:spacing w:line="360" w:lineRule="auto"/>
        <w:ind w:firstLine="420" w:firstLineChars="200"/>
        <w:rPr>
          <w:rFonts w:hint="eastAsia" w:ascii="宋体" w:hAnsi="宋体"/>
          <w:kern w:val="0"/>
        </w:rPr>
      </w:pPr>
      <w:bookmarkStart w:id="46" w:name="_Hlk37429585"/>
      <w:bookmarkEnd w:id="46"/>
      <w:r>
        <w:rPr>
          <w:rFonts w:hint="eastAsia" w:ascii="宋体" w:hAnsi="宋体"/>
          <w:kern w:val="0"/>
        </w:rPr>
        <w:t>3.</w:t>
      </w:r>
      <w:bookmarkStart w:id="47" w:name="_Hlk37429595"/>
      <w:r>
        <w:rPr>
          <w:rFonts w:hint="eastAsia" w:ascii="宋体" w:hAnsi="宋体"/>
          <w:kern w:val="0"/>
        </w:rPr>
        <w:t>网上查询地址</w:t>
      </w:r>
      <w:bookmarkEnd w:id="47"/>
    </w:p>
    <w:p>
      <w:pPr>
        <w:spacing w:line="440" w:lineRule="exact"/>
        <w:ind w:firstLine="420" w:firstLineChars="200"/>
        <w:rPr>
          <w:rFonts w:hint="eastAsia" w:ascii="宋体" w:hAnsi="宋体"/>
          <w:kern w:val="0"/>
        </w:rPr>
      </w:pPr>
      <w:bookmarkStart w:id="48" w:name="_Hlk37429674"/>
      <w:bookmarkEnd w:id="48"/>
      <w:r>
        <w:rPr>
          <w:rFonts w:hint="eastAsia" w:ascii="宋体" w:hAnsi="宋体"/>
        </w:rPr>
        <w:t>中国政府采购网（http://www.ccgp.gov.cn/）、广西壮族自治区政府采购网（</w:t>
      </w:r>
      <w:r>
        <w:rPr>
          <w:rFonts w:hint="eastAsia" w:ascii="宋体" w:hAnsi="宋体"/>
          <w:kern w:val="0"/>
        </w:rPr>
        <w:t xml:space="preserve">http://zfcg.gxzf.gov.cn </w:t>
      </w:r>
      <w:r>
        <w:rPr>
          <w:rFonts w:hint="eastAsia" w:ascii="宋体" w:hAnsi="宋体"/>
        </w:rPr>
        <w:t>)。</w:t>
      </w:r>
    </w:p>
    <w:p>
      <w:pPr>
        <w:spacing w:line="360" w:lineRule="auto"/>
        <w:ind w:left="420"/>
        <w:rPr>
          <w:rFonts w:hint="eastAsia" w:ascii="宋体" w:hAnsi="宋体"/>
          <w:kern w:val="0"/>
        </w:rPr>
      </w:pPr>
      <w:r>
        <w:rPr>
          <w:rFonts w:hint="eastAsia" w:ascii="宋体" w:hAnsi="宋体"/>
          <w:kern w:val="0"/>
        </w:rPr>
        <w:t>4.本项目需要落实的政府采购政策</w:t>
      </w:r>
    </w:p>
    <w:p>
      <w:pPr>
        <w:spacing w:line="360" w:lineRule="auto"/>
        <w:ind w:firstLine="420" w:firstLineChars="200"/>
        <w:rPr>
          <w:rFonts w:hint="eastAsia" w:ascii="宋体" w:hAnsi="宋体"/>
          <w:kern w:val="0"/>
        </w:rPr>
      </w:pPr>
      <w:r>
        <w:rPr>
          <w:rFonts w:hint="eastAsia" w:ascii="宋体" w:hAnsi="宋体"/>
          <w:kern w:val="0"/>
        </w:rPr>
        <w:t>（1）政府采购促进中小企业发展。</w:t>
      </w:r>
    </w:p>
    <w:p>
      <w:pPr>
        <w:spacing w:line="360" w:lineRule="auto"/>
        <w:ind w:firstLine="420" w:firstLineChars="200"/>
        <w:rPr>
          <w:rFonts w:hint="eastAsia" w:ascii="宋体" w:hAnsi="宋体"/>
          <w:kern w:val="0"/>
        </w:rPr>
      </w:pPr>
      <w:r>
        <w:rPr>
          <w:rFonts w:hint="eastAsia" w:ascii="宋体" w:hAnsi="宋体"/>
          <w:kern w:val="0"/>
        </w:rPr>
        <w:t>（2）政府采购支持采用本国产品的政策。</w:t>
      </w:r>
    </w:p>
    <w:p>
      <w:pPr>
        <w:spacing w:line="360" w:lineRule="auto"/>
        <w:ind w:firstLine="420" w:firstLineChars="200"/>
        <w:rPr>
          <w:rFonts w:hint="eastAsia" w:ascii="宋体" w:hAnsi="宋体"/>
          <w:kern w:val="0"/>
        </w:rPr>
      </w:pPr>
      <w:r>
        <w:rPr>
          <w:rFonts w:hint="eastAsia" w:ascii="宋体" w:hAnsi="宋体"/>
          <w:kern w:val="0"/>
        </w:rPr>
        <w:t>（3）强制采购节能产品；优先采购节能产品、环境标志产品。</w:t>
      </w:r>
    </w:p>
    <w:p>
      <w:pPr>
        <w:spacing w:line="360" w:lineRule="auto"/>
        <w:ind w:firstLine="420" w:firstLineChars="200"/>
        <w:rPr>
          <w:rFonts w:hint="eastAsia" w:ascii="宋体" w:hAnsi="宋体"/>
          <w:kern w:val="0"/>
        </w:rPr>
      </w:pPr>
      <w:r>
        <w:rPr>
          <w:rFonts w:hint="eastAsia" w:ascii="宋体" w:hAnsi="宋体"/>
          <w:kern w:val="0"/>
        </w:rPr>
        <w:t>（4）政府采购促进残疾人就业政策。</w:t>
      </w:r>
    </w:p>
    <w:p>
      <w:pPr>
        <w:spacing w:line="360" w:lineRule="auto"/>
        <w:ind w:firstLine="420" w:firstLineChars="200"/>
        <w:rPr>
          <w:rFonts w:hint="eastAsia" w:ascii="Calibri" w:hAnsi="Calibri"/>
        </w:rPr>
      </w:pPr>
      <w:r>
        <w:rPr>
          <w:rFonts w:hint="eastAsia" w:ascii="宋体" w:hAnsi="宋体"/>
          <w:kern w:val="0"/>
        </w:rPr>
        <w:t>（5）政府采购支持监狱企业发展。</w:t>
      </w:r>
    </w:p>
    <w:p>
      <w:pPr>
        <w:spacing w:line="360" w:lineRule="auto"/>
        <w:ind w:firstLine="420" w:firstLineChars="200"/>
        <w:rPr>
          <w:rFonts w:ascii="宋体" w:hAnsi="宋体"/>
          <w:kern w:val="0"/>
        </w:rPr>
      </w:pPr>
      <w:r>
        <w:rPr>
          <w:rFonts w:hint="eastAsia" w:ascii="宋体" w:hAnsi="宋体"/>
          <w:kern w:val="0"/>
        </w:rPr>
        <w:t>5.供应商认为采购文件使自己的权益受到损害的，可以自获取采购文件之日或者采购文件公告期限届满之日（公告期限届满后获取采购文件的，以公告期限届满之日为准）起7个工作日内以书面形式一次性向采购人和采购代理机构提出同一环节的质疑。否则，逾期的质疑采购人及招标代理机构可不予接受。质疑供应商对采购人、采购代理机构的答复不满意或者采购人、采购代理机构未在规定的时间内作出答复的，可以在答复期满后十五个工作日内向同级政府采购监督管理部门投诉。</w:t>
      </w:r>
    </w:p>
    <w:p>
      <w:pPr>
        <w:spacing w:line="360" w:lineRule="auto"/>
        <w:ind w:firstLine="420" w:firstLineChars="200"/>
        <w:rPr>
          <w:rFonts w:hint="eastAsia" w:ascii="宋体" w:hAnsi="宋体"/>
          <w:kern w:val="0"/>
        </w:rPr>
      </w:pPr>
      <w:r>
        <w:rPr>
          <w:rFonts w:hint="eastAsia" w:ascii="宋体" w:hAnsi="宋体"/>
          <w:kern w:val="0"/>
        </w:rPr>
        <w:t xml:space="preserve">6.若对项目采购电子交易系统操作有疑问，可登录“政采云”平台（https://www.zcygov.cn/），点击右侧咨询小采，获取采小蜜智能服务管家帮助，或拨打政采云服务热线95763获取热线服务帮助。 </w:t>
      </w:r>
    </w:p>
    <w:p>
      <w:pPr>
        <w:spacing w:line="360" w:lineRule="auto"/>
        <w:ind w:firstLine="482" w:firstLineChars="200"/>
        <w:rPr>
          <w:rFonts w:hint="eastAsia" w:ascii="黑体" w:hAnsi="宋体" w:eastAsia="黑体" w:cs="宋体"/>
          <w:bCs/>
          <w:sz w:val="24"/>
        </w:rPr>
      </w:pPr>
      <w:r>
        <w:rPr>
          <w:rFonts w:hint="eastAsia" w:ascii="黑体" w:hAnsi="黑体" w:eastAsia="黑体" w:cs="宋体"/>
          <w:b/>
          <w:kern w:val="44"/>
          <w:sz w:val="24"/>
        </w:rPr>
        <w:t>八、凡对本次采购提出询问，请按以下方式联系</w:t>
      </w:r>
    </w:p>
    <w:p>
      <w:pPr>
        <w:spacing w:line="360" w:lineRule="auto"/>
        <w:ind w:firstLine="735" w:firstLineChars="350"/>
        <w:jc w:val="left"/>
        <w:rPr>
          <w:rFonts w:hint="eastAsia" w:ascii="宋体" w:hAnsi="宋体"/>
          <w:szCs w:val="21"/>
        </w:rPr>
      </w:pPr>
      <w:r>
        <w:rPr>
          <w:rFonts w:hint="eastAsia" w:ascii="宋体" w:hAnsi="宋体"/>
        </w:rPr>
        <w:t>1.采购人信息</w:t>
      </w:r>
    </w:p>
    <w:p>
      <w:pPr>
        <w:spacing w:line="360" w:lineRule="auto"/>
        <w:ind w:left="1041" w:leftChars="371" w:hanging="262" w:hangingChars="125"/>
        <w:jc w:val="left"/>
        <w:rPr>
          <w:rFonts w:hint="eastAsia" w:ascii="宋体" w:hAnsi="宋体"/>
          <w:u w:val="single"/>
        </w:rPr>
      </w:pPr>
      <w:r>
        <w:rPr>
          <w:rFonts w:hint="eastAsia" w:ascii="宋体" w:hAnsi="宋体"/>
        </w:rPr>
        <w:t>名 称：</w:t>
      </w:r>
      <w:bookmarkStart w:id="49" w:name="PO_3000001868_PM026_1"/>
      <w:bookmarkEnd w:id="49"/>
      <w:r>
        <w:rPr>
          <w:rFonts w:hint="eastAsia" w:ascii="宋体" w:hAnsi="宋体" w:cs="宋体"/>
          <w:szCs w:val="21"/>
        </w:rPr>
        <w:t>广西壮族自治区生态环境厅生态环境保护综合行政执法局</w:t>
      </w:r>
    </w:p>
    <w:p>
      <w:pPr>
        <w:spacing w:line="360" w:lineRule="auto"/>
        <w:ind w:left="1041" w:leftChars="371" w:hanging="262" w:hangingChars="125"/>
        <w:jc w:val="left"/>
        <w:rPr>
          <w:rFonts w:hint="eastAsia" w:ascii="宋体" w:hAnsi="宋体"/>
        </w:rPr>
      </w:pPr>
      <w:r>
        <w:rPr>
          <w:rFonts w:hint="eastAsia" w:ascii="宋体" w:hAnsi="宋体"/>
        </w:rPr>
        <w:t>地址：</w:t>
      </w:r>
      <w:bookmarkStart w:id="50" w:name="PO_3000001868_PM030"/>
      <w:bookmarkEnd w:id="50"/>
      <w:r>
        <w:rPr>
          <w:rFonts w:hint="eastAsia" w:ascii="宋体" w:hAnsi="宋体" w:cs="宋体"/>
          <w:szCs w:val="21"/>
        </w:rPr>
        <w:t>南宁市青秀区佛子岭路16号</w:t>
      </w:r>
    </w:p>
    <w:p>
      <w:pPr>
        <w:pStyle w:val="17"/>
        <w:widowControl/>
        <w:spacing w:line="360" w:lineRule="auto"/>
        <w:ind w:firstLine="735" w:firstLineChars="350"/>
        <w:rPr>
          <w:rFonts w:hint="eastAsia" w:hAnsi="宋体"/>
          <w:kern w:val="2"/>
          <w:sz w:val="21"/>
          <w:szCs w:val="24"/>
          <w:lang w:val="en-US" w:eastAsia="zh-CN"/>
        </w:rPr>
      </w:pPr>
      <w:r>
        <w:rPr>
          <w:rFonts w:hint="eastAsia" w:hAnsi="宋体"/>
          <w:kern w:val="2"/>
          <w:sz w:val="21"/>
          <w:szCs w:val="24"/>
          <w:lang w:val="en-US" w:eastAsia="zh-CN"/>
        </w:rPr>
        <w:t>项目联系人：</w:t>
      </w:r>
      <w:bookmarkStart w:id="51" w:name="PO_3000001868_PM027"/>
      <w:bookmarkEnd w:id="51"/>
      <w:r>
        <w:rPr>
          <w:rFonts w:hint="eastAsia" w:hAnsi="宋体"/>
          <w:kern w:val="2"/>
          <w:sz w:val="21"/>
          <w:szCs w:val="24"/>
          <w:lang w:val="en-US" w:eastAsia="zh-CN"/>
        </w:rPr>
        <w:t>王聪</w:t>
      </w:r>
    </w:p>
    <w:p>
      <w:pPr>
        <w:spacing w:line="360" w:lineRule="auto"/>
        <w:ind w:left="1041" w:leftChars="371" w:hanging="262" w:hangingChars="125"/>
        <w:jc w:val="left"/>
        <w:rPr>
          <w:rFonts w:hint="eastAsia" w:ascii="宋体" w:hAnsi="宋体"/>
        </w:rPr>
      </w:pPr>
      <w:r>
        <w:rPr>
          <w:rFonts w:hint="eastAsia" w:ascii="宋体" w:hAnsi="宋体"/>
        </w:rPr>
        <w:t>联系电话：</w:t>
      </w:r>
      <w:bookmarkStart w:id="52" w:name="PO_3000001868_PM028"/>
      <w:bookmarkEnd w:id="52"/>
      <w:r>
        <w:rPr>
          <w:rFonts w:ascii="宋体" w:hAnsi="宋体" w:cs="宋体"/>
          <w:szCs w:val="21"/>
        </w:rPr>
        <w:t>0771-5324465</w:t>
      </w:r>
    </w:p>
    <w:p>
      <w:pPr>
        <w:spacing w:line="360" w:lineRule="auto"/>
        <w:ind w:left="1041" w:leftChars="371" w:hanging="262" w:hangingChars="125"/>
        <w:jc w:val="left"/>
        <w:rPr>
          <w:rFonts w:hint="eastAsia" w:ascii="宋体" w:hAnsi="宋体"/>
        </w:rPr>
      </w:pPr>
      <w:r>
        <w:rPr>
          <w:rFonts w:hint="eastAsia" w:ascii="宋体" w:hAnsi="宋体"/>
        </w:rPr>
        <w:t>2.采购代理机构信息</w:t>
      </w:r>
    </w:p>
    <w:p>
      <w:pPr>
        <w:spacing w:line="360" w:lineRule="auto"/>
        <w:ind w:firstLine="735" w:firstLineChars="350"/>
        <w:rPr>
          <w:rFonts w:hint="eastAsia" w:ascii="宋体" w:hAnsi="宋体"/>
        </w:rPr>
      </w:pPr>
      <w:r>
        <w:rPr>
          <w:rFonts w:hint="eastAsia" w:ascii="宋体" w:hAnsi="宋体"/>
        </w:rPr>
        <w:t>名 称：</w:t>
      </w:r>
      <w:bookmarkStart w:id="53" w:name="PO_3000001868_PM031_1"/>
      <w:bookmarkEnd w:id="53"/>
      <w:r>
        <w:rPr>
          <w:rFonts w:hint="eastAsia" w:ascii="宋体" w:hAnsi="宋体"/>
        </w:rPr>
        <w:t>广西城建咨询有限公司</w:t>
      </w:r>
    </w:p>
    <w:p>
      <w:pPr>
        <w:spacing w:line="360" w:lineRule="auto"/>
        <w:ind w:firstLine="735" w:firstLineChars="350"/>
        <w:rPr>
          <w:rFonts w:hint="eastAsia" w:ascii="宋体" w:hAnsi="宋体"/>
        </w:rPr>
      </w:pPr>
      <w:r>
        <w:rPr>
          <w:rFonts w:hint="eastAsia" w:ascii="宋体" w:hAnsi="宋体"/>
        </w:rPr>
        <w:t>地 址：</w:t>
      </w:r>
      <w:bookmarkStart w:id="54" w:name="PO_3000001868_PM035"/>
      <w:bookmarkEnd w:id="54"/>
      <w:r>
        <w:rPr>
          <w:rFonts w:hint="eastAsia" w:ascii="宋体" w:hAnsi="宋体"/>
        </w:rPr>
        <w:t>南宁市青秀区金湖路58号广西建设大厦三楼</w:t>
      </w:r>
    </w:p>
    <w:p>
      <w:pPr>
        <w:spacing w:line="360" w:lineRule="auto"/>
        <w:ind w:firstLine="735" w:firstLineChars="350"/>
        <w:rPr>
          <w:rFonts w:hint="eastAsia" w:ascii="宋体" w:hAnsi="宋体" w:cs="宋体"/>
          <w:szCs w:val="21"/>
        </w:rPr>
      </w:pPr>
      <w:r>
        <w:rPr>
          <w:rFonts w:hint="eastAsia" w:ascii="宋体" w:hAnsi="宋体"/>
        </w:rPr>
        <w:t>联系电话</w:t>
      </w:r>
      <w:r>
        <w:rPr>
          <w:rFonts w:hint="eastAsia" w:ascii="宋体" w:hAnsi="宋体" w:cs="宋体"/>
          <w:szCs w:val="21"/>
        </w:rPr>
        <w:t>：</w:t>
      </w:r>
      <w:bookmarkStart w:id="55" w:name="PO_3000001868_PM033"/>
      <w:bookmarkEnd w:id="55"/>
      <w:r>
        <w:rPr>
          <w:rFonts w:ascii="宋体" w:hAnsi="宋体" w:cs="宋体"/>
          <w:szCs w:val="21"/>
        </w:rPr>
        <w:t>0771-5328654</w:t>
      </w:r>
    </w:p>
    <w:p>
      <w:pPr>
        <w:spacing w:line="360" w:lineRule="auto"/>
        <w:ind w:firstLine="735" w:firstLineChars="350"/>
        <w:rPr>
          <w:rFonts w:hint="eastAsia" w:ascii="宋体" w:hAnsi="宋体" w:cs="宋体"/>
          <w:szCs w:val="21"/>
        </w:rPr>
      </w:pPr>
      <w:r>
        <w:rPr>
          <w:rFonts w:hint="eastAsia" w:ascii="宋体" w:hAnsi="宋体" w:cs="宋体"/>
          <w:szCs w:val="21"/>
        </w:rPr>
        <w:t>3.项目联系方式</w:t>
      </w:r>
    </w:p>
    <w:p>
      <w:pPr>
        <w:spacing w:line="360" w:lineRule="auto"/>
        <w:ind w:firstLine="735" w:firstLineChars="350"/>
        <w:rPr>
          <w:rFonts w:hint="eastAsia" w:ascii="宋体" w:hAnsi="宋体" w:cs="宋体"/>
          <w:szCs w:val="21"/>
        </w:rPr>
      </w:pPr>
      <w:r>
        <w:rPr>
          <w:rFonts w:hint="eastAsia" w:ascii="宋体" w:hAnsi="宋体" w:cs="宋体"/>
          <w:szCs w:val="21"/>
        </w:rPr>
        <w:t>项目负责人：张秋媛、农茂霖</w:t>
      </w:r>
    </w:p>
    <w:p>
      <w:pPr>
        <w:spacing w:line="360" w:lineRule="auto"/>
        <w:ind w:firstLine="735" w:firstLineChars="350"/>
        <w:rPr>
          <w:rFonts w:hint="eastAsia" w:ascii="宋体" w:hAnsi="宋体" w:cs="宋体"/>
          <w:szCs w:val="21"/>
        </w:rPr>
      </w:pPr>
      <w:r>
        <w:rPr>
          <w:rFonts w:hint="eastAsia" w:ascii="宋体" w:hAnsi="宋体" w:cs="宋体"/>
          <w:szCs w:val="21"/>
        </w:rPr>
        <w:t>电      话：</w:t>
      </w:r>
      <w:r>
        <w:rPr>
          <w:rFonts w:ascii="宋体" w:hAnsi="宋体" w:cs="宋体"/>
          <w:szCs w:val="21"/>
        </w:rPr>
        <w:t>0771-5328654</w:t>
      </w:r>
    </w:p>
    <w:p>
      <w:pPr>
        <w:spacing w:line="360" w:lineRule="auto"/>
        <w:ind w:firstLine="420" w:firstLineChars="200"/>
        <w:rPr>
          <w:rFonts w:hint="eastAsia" w:ascii="宋体" w:hAnsi="宋体"/>
        </w:rPr>
      </w:pPr>
      <w:r>
        <w:rPr>
          <w:rFonts w:hint="eastAsia" w:ascii="宋体" w:hAnsi="宋体"/>
        </w:rPr>
        <w:t xml:space="preserve"> </w:t>
      </w:r>
    </w:p>
    <w:p>
      <w:pPr>
        <w:pStyle w:val="10"/>
        <w:widowControl/>
        <w:spacing w:line="360" w:lineRule="auto"/>
        <w:ind w:firstLine="420" w:firstLineChars="200"/>
        <w:rPr>
          <w:rFonts w:ascii="宋体" w:hAnsi="宋体"/>
        </w:rPr>
      </w:pPr>
    </w:p>
    <w:p>
      <w:pPr>
        <w:pStyle w:val="10"/>
        <w:widowControl/>
        <w:spacing w:line="360" w:lineRule="auto"/>
        <w:ind w:firstLine="420" w:firstLineChars="200"/>
        <w:jc w:val="right"/>
        <w:rPr>
          <w:rFonts w:hint="eastAsia" w:ascii="宋体" w:hAnsi="宋体"/>
        </w:rPr>
      </w:pPr>
      <w:bookmarkStart w:id="56" w:name="PO_3000001868_PM031_2"/>
      <w:bookmarkEnd w:id="56"/>
      <w:r>
        <w:rPr>
          <w:rFonts w:hint="eastAsia" w:ascii="宋体" w:hAnsi="宋体"/>
        </w:rPr>
        <w:t>广西城建咨询有限公司</w:t>
      </w:r>
    </w:p>
    <w:p>
      <w:pPr>
        <w:spacing w:line="360" w:lineRule="auto"/>
        <w:ind w:firstLine="420" w:firstLineChars="200"/>
        <w:jc w:val="right"/>
        <w:rPr>
          <w:rFonts w:hint="eastAsia" w:ascii="宋体" w:hAnsi="宋体"/>
        </w:rPr>
      </w:pPr>
      <w:r>
        <w:rPr>
          <w:rFonts w:hint="eastAsia" w:ascii="宋体" w:hAnsi="宋体"/>
        </w:rPr>
        <w:t>2023年6月26日</w:t>
      </w:r>
    </w:p>
    <w:p>
      <w:pPr>
        <w:pStyle w:val="2"/>
        <w:keepLines w:val="0"/>
        <w:widowControl/>
        <w:spacing w:before="0" w:line="360" w:lineRule="auto"/>
        <w:jc w:val="center"/>
        <w:rPr>
          <w:rFonts w:hint="eastAsia" w:ascii="宋体" w:hAnsi="宋体"/>
        </w:rPr>
      </w:pPr>
      <w:r>
        <w:rPr>
          <w:rFonts w:hint="eastAsia" w:ascii="宋体" w:hAnsi="宋体"/>
        </w:rPr>
        <w:br w:type="page"/>
      </w:r>
      <w:bookmarkStart w:id="57" w:name="_Toc80886926"/>
      <w:bookmarkEnd w:id="57"/>
      <w:bookmarkStart w:id="58" w:name="_Toc122512756"/>
      <w:r>
        <w:rPr>
          <w:rFonts w:hint="eastAsia" w:ascii="宋体" w:hAnsi="宋体"/>
        </w:rPr>
        <w:t>第二章</w:t>
      </w:r>
      <w:r>
        <w:rPr>
          <w:rFonts w:ascii="宋体" w:hAnsi="宋体"/>
        </w:rPr>
        <w:t xml:space="preserve"> </w:t>
      </w:r>
      <w:r>
        <w:rPr>
          <w:rFonts w:hint="eastAsia" w:ascii="宋体" w:hAnsi="宋体"/>
        </w:rPr>
        <w:t>采购需求</w:t>
      </w:r>
      <w:bookmarkEnd w:id="58"/>
    </w:p>
    <w:p>
      <w:pPr>
        <w:spacing w:line="420" w:lineRule="exact"/>
        <w:jc w:val="left"/>
        <w:rPr>
          <w:rFonts w:ascii="宋体" w:hAnsi="宋体"/>
          <w:szCs w:val="21"/>
        </w:rPr>
      </w:pPr>
      <w:r>
        <w:rPr>
          <w:rFonts w:hint="eastAsia" w:ascii="宋体" w:hAnsi="宋体"/>
        </w:rPr>
        <w:t>说明：</w:t>
      </w:r>
    </w:p>
    <w:p>
      <w:pPr>
        <w:spacing w:line="420" w:lineRule="exact"/>
        <w:ind w:firstLine="420" w:firstLineChars="200"/>
        <w:jc w:val="left"/>
        <w:rPr>
          <w:rFonts w:hint="eastAsia" w:ascii="宋体" w:hAnsi="宋体"/>
        </w:rPr>
      </w:pPr>
      <w:r>
        <w:rPr>
          <w:rFonts w:hint="eastAsia" w:ascii="宋体" w:hAnsi="宋体"/>
        </w:rPr>
        <w:t>1</w:t>
      </w:r>
      <w:r>
        <w:t xml:space="preserve">. </w:t>
      </w:r>
      <w:r>
        <w:rPr>
          <w:rFonts w:hint="eastAsia" w:ascii="宋体" w:hAnsi="宋体"/>
        </w:rPr>
        <w:t>为落实政府采购政策需满足的要求（根据项目实际情况填写内容）</w:t>
      </w:r>
    </w:p>
    <w:p>
      <w:pPr>
        <w:spacing w:line="420" w:lineRule="exact"/>
        <w:ind w:firstLine="420" w:firstLineChars="200"/>
        <w:jc w:val="left"/>
        <w:rPr>
          <w:rFonts w:hint="eastAsia" w:ascii="宋体" w:hAnsi="宋体"/>
        </w:rPr>
      </w:pPr>
      <w:r>
        <w:rPr>
          <w:rFonts w:hint="eastAsia" w:ascii="宋体" w:hAnsi="宋体"/>
        </w:rPr>
        <w:t>（1）本竞争性磋商采购文件所称中小企业必须符合《政府采购促进中小企业发展管理办法》（财库〔2020〕46号）的规定。</w:t>
      </w:r>
    </w:p>
    <w:p>
      <w:pPr>
        <w:spacing w:line="420" w:lineRule="exact"/>
        <w:ind w:firstLine="420" w:firstLineChars="200"/>
        <w:rPr>
          <w:rFonts w:hint="eastAsia" w:ascii="宋体" w:hAnsi="宋体"/>
          <w:b/>
          <w:bCs/>
        </w:rPr>
      </w:pPr>
      <w:r>
        <w:rPr>
          <w:rFonts w:hint="eastAsia" w:ascii="宋体" w:hAnsi="宋体"/>
        </w:rPr>
        <w:t>（2）服务项目中包含货物的，根据《财政部 发展改革委 生态环境部 市场监管总局关于调整优化节能产品、环境标志产品政府采购执行机制的通知》（财库〔2019〕9号）和《关于印发节能产品政府采购品目清单的通知》（财库〔2019〕19号）的规定，采购需求中的产品属于节能产品政府采购品目清单内标注“★”的，供应商必须在响应文件中提供所竞标产品的节能产品认证证书复印件（加盖供应商公章），否则响应文件作无效处理。如本项目包含的配套货物属于品目清单内非标注“★”的产品时，应优先采购，具体详见“第四章 评审程序和评定成交的标准”。</w:t>
      </w:r>
    </w:p>
    <w:p>
      <w:pPr>
        <w:spacing w:line="420" w:lineRule="exact"/>
        <w:ind w:firstLine="420" w:firstLineChars="200"/>
        <w:jc w:val="left"/>
        <w:rPr>
          <w:rFonts w:hint="eastAsia" w:ascii="宋体" w:hAnsi="宋体"/>
        </w:rPr>
      </w:pPr>
      <w:r>
        <w:rPr>
          <w:rFonts w:hint="eastAsia" w:ascii="宋体" w:hAnsi="宋体"/>
        </w:rPr>
        <w:t>（3）服务项目中包含货物的，根据《关于信息安全产品实施政府采购的通知》（财库〔2010〕48号）的规定，本项目采购范围包含信息安全产品的（信息安全产品包括：防火墙、网络安全隔离卡与线路选择器、安全隔离与信息交换产品、安全路由器、智能卡COS、数据备份与恢复产品、安全操作系统、安全数据库系统、反垃圾邮件产品、入侵检测系统（IDS）、网络脆弱扫描产品、安全审计产品、网站恢复产品），供应商必须在响应文件中提供中国信息安全认证中心授予的有效的信息安全产品认证证书（加盖供应商公章），否则响应文件作无效处理。</w:t>
      </w:r>
    </w:p>
    <w:p>
      <w:pPr>
        <w:spacing w:line="420" w:lineRule="exact"/>
        <w:ind w:firstLine="424" w:firstLineChars="202"/>
        <w:jc w:val="left"/>
        <w:rPr>
          <w:rFonts w:hint="eastAsia" w:ascii="宋体" w:hAnsi="宋体"/>
        </w:rPr>
      </w:pPr>
      <w:r>
        <w:rPr>
          <w:rFonts w:hint="eastAsia" w:ascii="宋体" w:hAnsi="宋体"/>
        </w:rPr>
        <w:t>（4）本项目所属行业：软件和信息技术服务业；中小企业划分标准所属行业名称（行业名称及划分见本章附件2）。</w:t>
      </w:r>
    </w:p>
    <w:p>
      <w:pPr>
        <w:spacing w:line="420" w:lineRule="exact"/>
        <w:ind w:firstLine="413" w:firstLineChars="196"/>
        <w:rPr>
          <w:rFonts w:hint="eastAsia" w:ascii="宋体" w:hAnsi="宋体"/>
          <w:b/>
          <w:bCs/>
        </w:rPr>
      </w:pPr>
      <w:r>
        <w:rPr>
          <w:rFonts w:hint="eastAsia" w:ascii="宋体" w:hAnsi="宋体"/>
          <w:b/>
          <w:bCs/>
        </w:rPr>
        <w:t>2.“实质性要求”是指采购需求中带“▲”的条款或者不能负偏离的条款或者已经指明不满足按响应文件作无效处理的条款。</w:t>
      </w:r>
    </w:p>
    <w:p>
      <w:pPr>
        <w:spacing w:line="420" w:lineRule="exact"/>
        <w:ind w:firstLine="411" w:firstLineChars="196"/>
        <w:rPr>
          <w:rFonts w:hint="eastAsia" w:ascii="宋体" w:hAnsi="宋体" w:cs="宋体"/>
          <w:szCs w:val="21"/>
          <w:lang w:bidi="ar"/>
        </w:rPr>
      </w:pPr>
      <w:r>
        <w:rPr>
          <w:rFonts w:hint="eastAsia" w:ascii="宋体" w:hAnsi="宋体" w:cs="宋体"/>
          <w:szCs w:val="21"/>
          <w:lang w:bidi="ar"/>
        </w:rPr>
        <w:t>3.如供应商竞标产品存在侵犯他人的知识产权或者专利成果行为的，应承担相应法律责任。</w:t>
      </w:r>
    </w:p>
    <w:p>
      <w:pPr>
        <w:spacing w:line="420" w:lineRule="exact"/>
        <w:ind w:firstLine="413" w:firstLineChars="196"/>
        <w:jc w:val="center"/>
        <w:rPr>
          <w:rFonts w:hint="eastAsia" w:ascii="宋体" w:hAnsi="宋体" w:cs="宋体"/>
          <w:b/>
          <w:color w:val="000000"/>
          <w:szCs w:val="21"/>
        </w:rPr>
      </w:pPr>
    </w:p>
    <w:p>
      <w:pPr>
        <w:spacing w:line="420" w:lineRule="exact"/>
        <w:ind w:firstLine="413" w:firstLineChars="196"/>
        <w:jc w:val="center"/>
        <w:rPr>
          <w:rFonts w:hint="eastAsia" w:ascii="宋体" w:hAnsi="宋体" w:cs="宋体"/>
          <w:b/>
          <w:color w:val="000000"/>
          <w:szCs w:val="21"/>
        </w:rPr>
      </w:pPr>
    </w:p>
    <w:p>
      <w:pPr>
        <w:spacing w:line="420" w:lineRule="exact"/>
        <w:ind w:firstLine="413" w:firstLineChars="196"/>
        <w:jc w:val="center"/>
        <w:rPr>
          <w:rFonts w:hint="eastAsia" w:ascii="宋体" w:hAnsi="宋体" w:cs="宋体"/>
          <w:b/>
          <w:color w:val="000000"/>
          <w:szCs w:val="21"/>
        </w:rPr>
      </w:pPr>
    </w:p>
    <w:p>
      <w:pPr>
        <w:spacing w:line="420" w:lineRule="exact"/>
        <w:ind w:firstLine="413" w:firstLineChars="196"/>
        <w:jc w:val="center"/>
        <w:rPr>
          <w:rFonts w:hint="eastAsia" w:ascii="宋体" w:hAnsi="宋体" w:cs="宋体"/>
          <w:b/>
          <w:color w:val="000000"/>
          <w:szCs w:val="21"/>
        </w:rPr>
      </w:pPr>
    </w:p>
    <w:p>
      <w:pPr>
        <w:spacing w:line="420" w:lineRule="exact"/>
        <w:ind w:firstLine="413" w:firstLineChars="196"/>
        <w:jc w:val="center"/>
        <w:rPr>
          <w:rFonts w:hint="eastAsia" w:ascii="宋体" w:hAnsi="宋体" w:cs="宋体"/>
          <w:b/>
          <w:color w:val="000000"/>
          <w:szCs w:val="21"/>
        </w:rPr>
      </w:pPr>
    </w:p>
    <w:p>
      <w:pPr>
        <w:spacing w:line="420" w:lineRule="exact"/>
        <w:ind w:firstLine="413" w:firstLineChars="196"/>
        <w:jc w:val="center"/>
        <w:rPr>
          <w:rFonts w:hint="eastAsia" w:ascii="宋体" w:hAnsi="宋体" w:cs="宋体"/>
          <w:b/>
          <w:color w:val="000000"/>
          <w:szCs w:val="21"/>
        </w:rPr>
      </w:pPr>
    </w:p>
    <w:p>
      <w:pPr>
        <w:spacing w:line="420" w:lineRule="exact"/>
        <w:ind w:firstLine="413" w:firstLineChars="196"/>
        <w:jc w:val="center"/>
        <w:rPr>
          <w:rFonts w:hint="eastAsia" w:ascii="宋体" w:hAnsi="宋体" w:cs="宋体"/>
          <w:b/>
          <w:color w:val="000000"/>
          <w:szCs w:val="21"/>
        </w:rPr>
      </w:pPr>
    </w:p>
    <w:p>
      <w:pPr>
        <w:spacing w:line="420" w:lineRule="exact"/>
        <w:ind w:firstLine="413" w:firstLineChars="196"/>
        <w:jc w:val="center"/>
        <w:rPr>
          <w:rFonts w:hint="eastAsia" w:ascii="宋体" w:hAnsi="宋体" w:cs="宋体"/>
          <w:b/>
          <w:color w:val="000000"/>
          <w:szCs w:val="21"/>
        </w:rPr>
      </w:pPr>
    </w:p>
    <w:p>
      <w:pPr>
        <w:spacing w:line="420" w:lineRule="exact"/>
        <w:ind w:firstLine="413" w:firstLineChars="196"/>
        <w:jc w:val="center"/>
        <w:rPr>
          <w:rFonts w:hint="eastAsia" w:ascii="Calibri" w:hAnsi="Calibri"/>
        </w:rPr>
      </w:pPr>
      <w:r>
        <w:rPr>
          <w:rFonts w:hint="eastAsia" w:ascii="宋体" w:hAnsi="宋体" w:cs="宋体"/>
          <w:b/>
          <w:color w:val="000000"/>
          <w:szCs w:val="21"/>
        </w:rPr>
        <w:t>服务需求一览表</w:t>
      </w:r>
    </w:p>
    <w:tbl>
      <w:tblPr>
        <w:tblStyle w:val="31"/>
        <w:tblW w:w="966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26"/>
        <w:gridCol w:w="414"/>
        <w:gridCol w:w="1440"/>
        <w:gridCol w:w="567"/>
        <w:gridCol w:w="426"/>
        <w:gridCol w:w="5117"/>
        <w:gridCol w:w="127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20" w:hRule="atLeast"/>
          <w:jc w:val="center"/>
        </w:trPr>
        <w:tc>
          <w:tcPr>
            <w:tcW w:w="426" w:type="dxa"/>
            <w:vMerge w:val="restart"/>
            <w:tcBorders>
              <w:top w:val="single" w:color="auto" w:sz="4" w:space="0"/>
              <w:left w:val="single" w:color="auto" w:sz="4" w:space="0"/>
              <w:right w:val="single" w:color="auto" w:sz="4" w:space="0"/>
            </w:tcBorders>
            <w:noWrap w:val="0"/>
            <w:vAlign w:val="center"/>
          </w:tcPr>
          <w:p>
            <w:pPr>
              <w:spacing w:line="400" w:lineRule="exact"/>
              <w:jc w:val="center"/>
              <w:rPr>
                <w:rFonts w:hint="eastAsia" w:ascii="宋体" w:hAnsi="宋体" w:cs="宋体"/>
                <w:szCs w:val="21"/>
              </w:rPr>
            </w:pPr>
            <w:r>
              <w:rPr>
                <w:rFonts w:hint="eastAsia" w:ascii="宋体" w:hAnsi="宋体" w:cs="宋体"/>
                <w:szCs w:val="21"/>
              </w:rPr>
              <w:t>采购清单及技术参数</w:t>
            </w:r>
          </w:p>
        </w:tc>
        <w:tc>
          <w:tcPr>
            <w:tcW w:w="414" w:type="dxa"/>
            <w:tcBorders>
              <w:top w:val="single" w:color="auto" w:sz="4" w:space="0"/>
              <w:left w:val="single" w:color="auto" w:sz="4" w:space="0"/>
              <w:bottom w:val="single" w:color="auto" w:sz="4" w:space="0"/>
              <w:right w:val="single" w:color="auto" w:sz="4" w:space="0"/>
            </w:tcBorders>
            <w:noWrap w:val="0"/>
            <w:tcMar>
              <w:top w:w="0" w:type="dxa"/>
              <w:left w:w="0" w:type="dxa"/>
              <w:bottom w:w="0" w:type="dxa"/>
              <w:right w:w="0" w:type="dxa"/>
            </w:tcMar>
            <w:vAlign w:val="center"/>
          </w:tcPr>
          <w:p>
            <w:pPr>
              <w:spacing w:line="400" w:lineRule="exact"/>
              <w:jc w:val="center"/>
              <w:rPr>
                <w:rFonts w:hint="eastAsia" w:ascii="宋体" w:hAnsi="宋体" w:cs="宋体"/>
                <w:szCs w:val="21"/>
              </w:rPr>
            </w:pPr>
            <w:r>
              <w:rPr>
                <w:rFonts w:hint="eastAsia" w:ascii="宋体" w:hAnsi="宋体" w:cs="宋体"/>
                <w:szCs w:val="21"/>
              </w:rPr>
              <w:t>序号</w:t>
            </w:r>
          </w:p>
        </w:tc>
        <w:tc>
          <w:tcPr>
            <w:tcW w:w="1440"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szCs w:val="21"/>
              </w:rPr>
            </w:pPr>
            <w:r>
              <w:rPr>
                <w:rFonts w:hint="eastAsia" w:ascii="宋体" w:hAnsi="宋体" w:cs="宋体"/>
                <w:szCs w:val="21"/>
              </w:rPr>
              <w:t>标的名称</w:t>
            </w:r>
          </w:p>
        </w:tc>
        <w:tc>
          <w:tcPr>
            <w:tcW w:w="56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szCs w:val="21"/>
              </w:rPr>
            </w:pPr>
            <w:r>
              <w:rPr>
                <w:rFonts w:hint="eastAsia" w:ascii="宋体" w:hAnsi="宋体" w:cs="宋体"/>
                <w:szCs w:val="21"/>
              </w:rPr>
              <w:t>单位</w:t>
            </w:r>
          </w:p>
        </w:tc>
        <w:tc>
          <w:tcPr>
            <w:tcW w:w="426"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szCs w:val="21"/>
              </w:rPr>
            </w:pPr>
            <w:r>
              <w:rPr>
                <w:rFonts w:hint="eastAsia" w:ascii="宋体" w:hAnsi="宋体" w:cs="宋体"/>
                <w:szCs w:val="21"/>
              </w:rPr>
              <w:t>数量</w:t>
            </w:r>
          </w:p>
        </w:tc>
        <w:tc>
          <w:tcPr>
            <w:tcW w:w="5117"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szCs w:val="21"/>
              </w:rPr>
            </w:pPr>
            <w:r>
              <w:rPr>
                <w:rFonts w:hint="eastAsia" w:ascii="宋体" w:hAnsi="宋体" w:cs="宋体"/>
                <w:szCs w:val="21"/>
              </w:rPr>
              <w:t>服务参数</w:t>
            </w:r>
          </w:p>
        </w:tc>
        <w:tc>
          <w:tcPr>
            <w:tcW w:w="1275"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szCs w:val="21"/>
              </w:rPr>
            </w:pPr>
            <w:r>
              <w:rPr>
                <w:rFonts w:hint="eastAsia" w:ascii="宋体" w:hAnsi="宋体" w:cs="宋体"/>
                <w:szCs w:val="21"/>
              </w:rPr>
              <w:t>中小企业划分标准所属行业名称（行业名称及划分见本章附件2）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956" w:hRule="atLeast"/>
          <w:jc w:val="center"/>
        </w:trPr>
        <w:tc>
          <w:tcPr>
            <w:tcW w:w="426" w:type="dxa"/>
            <w:vMerge w:val="continue"/>
            <w:tcBorders>
              <w:left w:val="single" w:color="auto" w:sz="4" w:space="0"/>
              <w:right w:val="single" w:color="auto" w:sz="4" w:space="0"/>
            </w:tcBorders>
            <w:noWrap w:val="0"/>
            <w:vAlign w:val="center"/>
          </w:tcPr>
          <w:p>
            <w:pPr>
              <w:spacing w:line="400" w:lineRule="exact"/>
              <w:jc w:val="center"/>
              <w:rPr>
                <w:rFonts w:hint="eastAsia" w:ascii="宋体" w:hAnsi="宋体" w:cs="宋体"/>
                <w:b/>
                <w:bCs/>
                <w:szCs w:val="21"/>
              </w:rPr>
            </w:pPr>
          </w:p>
        </w:tc>
        <w:tc>
          <w:tcPr>
            <w:tcW w:w="414" w:type="dxa"/>
            <w:vMerge w:val="restart"/>
            <w:tcBorders>
              <w:top w:val="single" w:color="auto" w:sz="4" w:space="0"/>
              <w:left w:val="single" w:color="auto" w:sz="4" w:space="0"/>
              <w:right w:val="single" w:color="auto" w:sz="4" w:space="0"/>
            </w:tcBorders>
            <w:noWrap w:val="0"/>
            <w:vAlign w:val="center"/>
          </w:tcPr>
          <w:p>
            <w:pPr>
              <w:spacing w:line="400" w:lineRule="exact"/>
              <w:jc w:val="center"/>
              <w:rPr>
                <w:rFonts w:hint="eastAsia" w:ascii="宋体" w:hAnsi="宋体" w:cs="宋体"/>
                <w:szCs w:val="21"/>
              </w:rPr>
            </w:pPr>
            <w:r>
              <w:rPr>
                <w:rFonts w:hint="eastAsia" w:ascii="宋体" w:hAnsi="宋体" w:cs="宋体"/>
                <w:szCs w:val="21"/>
              </w:rPr>
              <w:t>1</w:t>
            </w:r>
          </w:p>
        </w:tc>
        <w:tc>
          <w:tcPr>
            <w:tcW w:w="1440" w:type="dxa"/>
            <w:vMerge w:val="restart"/>
            <w:tcBorders>
              <w:top w:val="single" w:color="auto" w:sz="4" w:space="0"/>
              <w:left w:val="single" w:color="auto" w:sz="4" w:space="0"/>
              <w:right w:val="single" w:color="auto" w:sz="4" w:space="0"/>
            </w:tcBorders>
            <w:noWrap w:val="0"/>
            <w:vAlign w:val="center"/>
          </w:tcPr>
          <w:p>
            <w:pPr>
              <w:tabs>
                <w:tab w:val="left" w:pos="1440"/>
              </w:tabs>
              <w:spacing w:line="400" w:lineRule="exact"/>
              <w:jc w:val="center"/>
              <w:rPr>
                <w:rFonts w:hint="eastAsia" w:ascii="宋体" w:hAnsi="宋体" w:cs="宋体"/>
                <w:szCs w:val="21"/>
              </w:rPr>
            </w:pPr>
            <w:r>
              <w:rPr>
                <w:rFonts w:hint="eastAsia" w:ascii="宋体" w:hAnsi="宋体" w:cs="宋体"/>
                <w:szCs w:val="21"/>
              </w:rPr>
              <w:t>环境监管执法系统运维服务项目</w:t>
            </w:r>
          </w:p>
        </w:tc>
        <w:tc>
          <w:tcPr>
            <w:tcW w:w="567" w:type="dxa"/>
            <w:vMerge w:val="restart"/>
            <w:tcBorders>
              <w:top w:val="single" w:color="auto" w:sz="4" w:space="0"/>
              <w:left w:val="single" w:color="auto" w:sz="4" w:space="0"/>
              <w:right w:val="single" w:color="auto" w:sz="4" w:space="0"/>
            </w:tcBorders>
            <w:noWrap w:val="0"/>
            <w:vAlign w:val="center"/>
          </w:tcPr>
          <w:p>
            <w:pPr>
              <w:tabs>
                <w:tab w:val="left" w:pos="1440"/>
              </w:tabs>
              <w:spacing w:line="400" w:lineRule="exact"/>
              <w:jc w:val="center"/>
              <w:rPr>
                <w:rFonts w:hint="eastAsia" w:ascii="宋体" w:hAnsi="宋体" w:cs="宋体"/>
                <w:szCs w:val="21"/>
              </w:rPr>
            </w:pPr>
            <w:r>
              <w:rPr>
                <w:rFonts w:hint="eastAsia" w:ascii="宋体" w:hAnsi="宋体" w:cs="宋体"/>
                <w:szCs w:val="21"/>
              </w:rPr>
              <w:t>批</w:t>
            </w:r>
          </w:p>
        </w:tc>
        <w:tc>
          <w:tcPr>
            <w:tcW w:w="426" w:type="dxa"/>
            <w:vMerge w:val="restart"/>
            <w:tcBorders>
              <w:top w:val="single" w:color="auto" w:sz="4" w:space="0"/>
              <w:left w:val="single" w:color="auto" w:sz="4" w:space="0"/>
              <w:right w:val="single" w:color="auto" w:sz="4" w:space="0"/>
            </w:tcBorders>
            <w:noWrap w:val="0"/>
            <w:vAlign w:val="center"/>
          </w:tcPr>
          <w:p>
            <w:pPr>
              <w:spacing w:line="400" w:lineRule="exact"/>
              <w:jc w:val="center"/>
              <w:rPr>
                <w:rFonts w:hint="eastAsia" w:ascii="宋体" w:hAnsi="宋体" w:cs="宋体"/>
                <w:szCs w:val="21"/>
              </w:rPr>
            </w:pPr>
            <w:r>
              <w:rPr>
                <w:rFonts w:hint="eastAsia" w:ascii="宋体" w:hAnsi="宋体" w:cs="宋体"/>
                <w:szCs w:val="21"/>
              </w:rPr>
              <w:t>1</w:t>
            </w:r>
          </w:p>
        </w:tc>
        <w:tc>
          <w:tcPr>
            <w:tcW w:w="5117" w:type="dxa"/>
            <w:vMerge w:val="restart"/>
            <w:tcBorders>
              <w:top w:val="single" w:color="auto" w:sz="4" w:space="0"/>
              <w:left w:val="single" w:color="auto" w:sz="4" w:space="0"/>
              <w:right w:val="single" w:color="auto" w:sz="4" w:space="0"/>
            </w:tcBorders>
            <w:noWrap w:val="0"/>
            <w:vAlign w:val="center"/>
          </w:tcPr>
          <w:p>
            <w:pPr>
              <w:pStyle w:val="111"/>
              <w:spacing w:line="300" w:lineRule="exact"/>
              <w:ind w:firstLine="420"/>
              <w:rPr>
                <w:rFonts w:hint="eastAsia" w:cs="宋体"/>
                <w:sz w:val="21"/>
                <w:szCs w:val="21"/>
              </w:rPr>
            </w:pPr>
            <w:bookmarkStart w:id="59" w:name="_Toc260725083_WPSOffice_Level1"/>
            <w:bookmarkStart w:id="60" w:name="_Toc486552878"/>
            <w:r>
              <w:rPr>
                <w:rFonts w:hint="eastAsia" w:cs="宋体"/>
                <w:sz w:val="21"/>
                <w:szCs w:val="21"/>
              </w:rPr>
              <w:t>一、运维目标</w:t>
            </w:r>
            <w:bookmarkEnd w:id="59"/>
            <w:bookmarkEnd w:id="60"/>
          </w:p>
          <w:p>
            <w:pPr>
              <w:pStyle w:val="111"/>
              <w:spacing w:line="300" w:lineRule="exact"/>
              <w:ind w:firstLine="420"/>
              <w:rPr>
                <w:rFonts w:cs="宋体"/>
                <w:sz w:val="21"/>
                <w:szCs w:val="21"/>
              </w:rPr>
            </w:pPr>
            <w:r>
              <w:rPr>
                <w:rFonts w:hint="eastAsia" w:cs="宋体"/>
                <w:sz w:val="21"/>
                <w:szCs w:val="21"/>
              </w:rPr>
              <w:t>认真贯彻落实《广西壮族自治区生态环境厅信息化项目建设管理办法（2023年修订）》要求，加快推进信息化运维工作改革，推行集中统一的信息化运维管理模式，建设</w:t>
            </w:r>
            <w:r>
              <w:rPr>
                <w:rFonts w:cs="宋体"/>
                <w:sz w:val="21"/>
                <w:szCs w:val="21"/>
              </w:rPr>
              <w:t>安全、完整、全面、科学、高效的运维支持体系</w:t>
            </w:r>
            <w:r>
              <w:rPr>
                <w:rFonts w:cs="宋体"/>
                <w:sz w:val="21"/>
                <w:szCs w:val="21"/>
                <w:lang w:val="en"/>
              </w:rPr>
              <w:t>。</w:t>
            </w:r>
            <w:r>
              <w:rPr>
                <w:rFonts w:cs="宋体"/>
                <w:sz w:val="21"/>
                <w:szCs w:val="21"/>
              </w:rPr>
              <w:t>以标准为基础</w:t>
            </w:r>
            <w:r>
              <w:rPr>
                <w:rFonts w:cs="宋体"/>
                <w:sz w:val="21"/>
                <w:szCs w:val="21"/>
                <w:lang w:val="en"/>
              </w:rPr>
              <w:t>，</w:t>
            </w:r>
            <w:r>
              <w:rPr>
                <w:rFonts w:cs="宋体"/>
                <w:sz w:val="21"/>
                <w:szCs w:val="21"/>
              </w:rPr>
              <w:t>以流程为导向</w:t>
            </w:r>
            <w:r>
              <w:rPr>
                <w:rFonts w:cs="宋体"/>
                <w:sz w:val="21"/>
                <w:szCs w:val="21"/>
                <w:lang w:val="en"/>
              </w:rPr>
              <w:t>，</w:t>
            </w:r>
            <w:r>
              <w:rPr>
                <w:rFonts w:cs="宋体"/>
                <w:sz w:val="21"/>
                <w:szCs w:val="21"/>
              </w:rPr>
              <w:t>以服务为核心</w:t>
            </w:r>
            <w:r>
              <w:rPr>
                <w:rFonts w:cs="宋体"/>
                <w:sz w:val="21"/>
                <w:szCs w:val="21"/>
                <w:lang w:val="en"/>
              </w:rPr>
              <w:t>，</w:t>
            </w:r>
            <w:r>
              <w:rPr>
                <w:rFonts w:cs="宋体"/>
                <w:sz w:val="21"/>
                <w:szCs w:val="21"/>
              </w:rPr>
              <w:t>保障</w:t>
            </w:r>
            <w:r>
              <w:rPr>
                <w:rFonts w:hint="eastAsia" w:cs="宋体"/>
                <w:sz w:val="21"/>
                <w:szCs w:val="21"/>
              </w:rPr>
              <w:t>信息</w:t>
            </w:r>
            <w:r>
              <w:rPr>
                <w:rFonts w:cs="宋体"/>
                <w:sz w:val="21"/>
                <w:szCs w:val="21"/>
              </w:rPr>
              <w:t>系统的安全性、完整性、稳定性</w:t>
            </w:r>
            <w:r>
              <w:rPr>
                <w:rFonts w:hint="eastAsia" w:cs="宋体"/>
                <w:sz w:val="21"/>
                <w:szCs w:val="21"/>
              </w:rPr>
              <w:t>、</w:t>
            </w:r>
            <w:r>
              <w:rPr>
                <w:rFonts w:cs="宋体"/>
                <w:sz w:val="21"/>
                <w:szCs w:val="21"/>
              </w:rPr>
              <w:t>流畅性，实现网络不断、系统不瘫、数据不丢</w:t>
            </w:r>
            <w:r>
              <w:rPr>
                <w:rFonts w:cs="宋体"/>
                <w:sz w:val="21"/>
                <w:szCs w:val="21"/>
                <w:lang w:val="en"/>
              </w:rPr>
              <w:t>，</w:t>
            </w:r>
            <w:r>
              <w:rPr>
                <w:rFonts w:cs="宋体"/>
                <w:sz w:val="21"/>
                <w:szCs w:val="21"/>
              </w:rPr>
              <w:t>更好地为</w:t>
            </w:r>
            <w:r>
              <w:rPr>
                <w:rFonts w:hint="eastAsia" w:cs="宋体"/>
                <w:sz w:val="21"/>
                <w:szCs w:val="21"/>
              </w:rPr>
              <w:t>全区</w:t>
            </w:r>
            <w:r>
              <w:rPr>
                <w:rFonts w:cs="宋体"/>
                <w:sz w:val="21"/>
                <w:szCs w:val="21"/>
              </w:rPr>
              <w:t>生态环境</w:t>
            </w:r>
            <w:r>
              <w:rPr>
                <w:rFonts w:hint="eastAsia" w:cs="宋体"/>
                <w:sz w:val="21"/>
                <w:szCs w:val="21"/>
              </w:rPr>
              <w:t>执法</w:t>
            </w:r>
            <w:r>
              <w:rPr>
                <w:rFonts w:cs="宋体"/>
                <w:sz w:val="21"/>
                <w:szCs w:val="21"/>
              </w:rPr>
              <w:t>业务正常开展提供信息技术</w:t>
            </w:r>
            <w:r>
              <w:rPr>
                <w:rFonts w:hint="eastAsia" w:cs="宋体"/>
                <w:sz w:val="21"/>
                <w:szCs w:val="21"/>
              </w:rPr>
              <w:t>支撑</w:t>
            </w:r>
            <w:r>
              <w:rPr>
                <w:rFonts w:cs="宋体"/>
                <w:sz w:val="21"/>
                <w:szCs w:val="21"/>
              </w:rPr>
              <w:t>。</w:t>
            </w:r>
          </w:p>
          <w:p>
            <w:pPr>
              <w:pStyle w:val="111"/>
              <w:spacing w:line="300" w:lineRule="exact"/>
              <w:ind w:firstLine="420"/>
              <w:rPr>
                <w:rFonts w:cs="宋体"/>
                <w:sz w:val="21"/>
                <w:szCs w:val="21"/>
              </w:rPr>
            </w:pPr>
            <w:bookmarkStart w:id="61" w:name="_Toc295963673"/>
            <w:bookmarkStart w:id="62" w:name="_Toc1157020357_WPSOffice_Level1"/>
            <w:r>
              <w:rPr>
                <w:rFonts w:hint="eastAsia" w:cs="宋体"/>
                <w:sz w:val="21"/>
                <w:szCs w:val="21"/>
                <w:lang w:val="en"/>
              </w:rPr>
              <w:t>二</w:t>
            </w:r>
            <w:r>
              <w:rPr>
                <w:rFonts w:cs="宋体"/>
                <w:sz w:val="21"/>
                <w:szCs w:val="21"/>
              </w:rPr>
              <w:t>、系统运维方案</w:t>
            </w:r>
            <w:bookmarkEnd w:id="61"/>
            <w:bookmarkEnd w:id="62"/>
          </w:p>
          <w:p>
            <w:pPr>
              <w:pStyle w:val="111"/>
              <w:spacing w:line="300" w:lineRule="exact"/>
              <w:ind w:firstLine="420"/>
              <w:rPr>
                <w:rFonts w:hint="eastAsia" w:cs="宋体"/>
                <w:sz w:val="21"/>
                <w:szCs w:val="21"/>
              </w:rPr>
            </w:pPr>
            <w:bookmarkStart w:id="63" w:name="_Toc46150915"/>
            <w:bookmarkStart w:id="64" w:name="_Toc869639673"/>
            <w:bookmarkStart w:id="65" w:name="_Toc4146868"/>
            <w:bookmarkStart w:id="66" w:name="_Toc140677312_WPSOffice_Level2"/>
            <w:r>
              <w:rPr>
                <w:rFonts w:cs="宋体"/>
                <w:sz w:val="21"/>
                <w:szCs w:val="21"/>
              </w:rPr>
              <w:t>（一）运维服务对象</w:t>
            </w:r>
            <w:bookmarkEnd w:id="63"/>
            <w:bookmarkEnd w:id="64"/>
            <w:bookmarkEnd w:id="65"/>
            <w:bookmarkEnd w:id="66"/>
            <w:r>
              <w:rPr>
                <w:rFonts w:hint="eastAsia" w:cs="宋体"/>
                <w:sz w:val="21"/>
                <w:szCs w:val="21"/>
              </w:rPr>
              <w:t>：自治区生态环境厅生态环境保护综合行政执法局。</w:t>
            </w:r>
          </w:p>
          <w:p>
            <w:pPr>
              <w:pStyle w:val="111"/>
              <w:spacing w:line="300" w:lineRule="exact"/>
              <w:ind w:firstLine="420"/>
              <w:rPr>
                <w:rFonts w:cs="宋体"/>
                <w:sz w:val="21"/>
                <w:szCs w:val="21"/>
              </w:rPr>
            </w:pPr>
            <w:bookmarkStart w:id="67" w:name="_Toc535783568_WPSOffice_Level2"/>
            <w:bookmarkStart w:id="68" w:name="_Toc4146869"/>
            <w:bookmarkStart w:id="69" w:name="_Toc494135794"/>
            <w:bookmarkStart w:id="70" w:name="_Toc46150916"/>
            <w:r>
              <w:rPr>
                <w:rFonts w:cs="宋体"/>
                <w:sz w:val="21"/>
                <w:szCs w:val="21"/>
              </w:rPr>
              <w:t>（二）运维服务范围</w:t>
            </w:r>
            <w:bookmarkEnd w:id="67"/>
            <w:bookmarkEnd w:id="68"/>
            <w:bookmarkEnd w:id="69"/>
            <w:bookmarkEnd w:id="70"/>
          </w:p>
          <w:p>
            <w:pPr>
              <w:pStyle w:val="111"/>
              <w:spacing w:line="300" w:lineRule="exact"/>
              <w:ind w:firstLine="420"/>
              <w:rPr>
                <w:rFonts w:eastAsia="仿宋"/>
                <w:bCs/>
                <w:color w:val="000000"/>
                <w:sz w:val="32"/>
                <w:szCs w:val="32"/>
              </w:rPr>
            </w:pPr>
            <w:r>
              <w:rPr>
                <w:rFonts w:cs="宋体"/>
                <w:sz w:val="21"/>
                <w:szCs w:val="21"/>
              </w:rPr>
              <w:t>需运维的信息系统清单如下：</w:t>
            </w:r>
          </w:p>
          <w:tbl>
            <w:tblPr>
              <w:tblStyle w:val="3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9"/>
              <w:gridCol w:w="553"/>
              <w:gridCol w:w="2617"/>
              <w:gridCol w:w="696"/>
              <w:gridCol w:w="6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blHeader/>
                <w:jc w:val="center"/>
              </w:trPr>
              <w:tc>
                <w:tcPr>
                  <w:tcW w:w="347" w:type="pct"/>
                  <w:noWrap w:val="0"/>
                  <w:vAlign w:val="center"/>
                </w:tcPr>
                <w:p>
                  <w:pPr>
                    <w:jc w:val="center"/>
                    <w:rPr>
                      <w:rFonts w:eastAsia="仿宋"/>
                      <w:bCs/>
                      <w:color w:val="000000"/>
                      <w:sz w:val="32"/>
                      <w:szCs w:val="32"/>
                    </w:rPr>
                  </w:pPr>
                  <w:r>
                    <w:rPr>
                      <w:rFonts w:cs="宋体"/>
                      <w:szCs w:val="21"/>
                    </w:rPr>
                    <w:t>序号</w:t>
                  </w:r>
                </w:p>
              </w:tc>
              <w:tc>
                <w:tcPr>
                  <w:tcW w:w="565" w:type="pct"/>
                  <w:noWrap w:val="0"/>
                  <w:vAlign w:val="center"/>
                </w:tcPr>
                <w:p>
                  <w:pPr>
                    <w:jc w:val="center"/>
                    <w:rPr>
                      <w:rFonts w:eastAsia="仿宋"/>
                      <w:bCs/>
                      <w:color w:val="000000"/>
                      <w:sz w:val="32"/>
                      <w:szCs w:val="32"/>
                    </w:rPr>
                  </w:pPr>
                  <w:r>
                    <w:rPr>
                      <w:rFonts w:cs="宋体"/>
                      <w:szCs w:val="21"/>
                    </w:rPr>
                    <w:t>系统名称</w:t>
                  </w:r>
                </w:p>
              </w:tc>
              <w:tc>
                <w:tcPr>
                  <w:tcW w:w="2673" w:type="pct"/>
                  <w:noWrap w:val="0"/>
                  <w:vAlign w:val="center"/>
                </w:tcPr>
                <w:p>
                  <w:pPr>
                    <w:jc w:val="center"/>
                    <w:rPr>
                      <w:rFonts w:cs="宋体"/>
                      <w:szCs w:val="21"/>
                    </w:rPr>
                  </w:pPr>
                  <w:r>
                    <w:rPr>
                      <w:rFonts w:cs="宋体"/>
                      <w:szCs w:val="21"/>
                    </w:rPr>
                    <w:t>系统简介</w:t>
                  </w:r>
                </w:p>
                <w:p>
                  <w:pPr>
                    <w:jc w:val="center"/>
                    <w:rPr>
                      <w:rFonts w:eastAsia="仿宋"/>
                      <w:bCs/>
                      <w:color w:val="000000"/>
                      <w:sz w:val="32"/>
                      <w:szCs w:val="32"/>
                    </w:rPr>
                  </w:pPr>
                  <w:r>
                    <w:rPr>
                      <w:rFonts w:hint="eastAsia" w:cs="宋体"/>
                      <w:szCs w:val="21"/>
                    </w:rPr>
                    <w:t>（</w:t>
                  </w:r>
                  <w:r>
                    <w:rPr>
                      <w:rFonts w:cs="宋体"/>
                      <w:szCs w:val="21"/>
                    </w:rPr>
                    <w:t>系统主要承担业务</w:t>
                  </w:r>
                  <w:r>
                    <w:rPr>
                      <w:rFonts w:hint="eastAsia" w:cs="宋体"/>
                      <w:szCs w:val="21"/>
                    </w:rPr>
                    <w:t>，</w:t>
                  </w:r>
                  <w:r>
                    <w:rPr>
                      <w:rFonts w:cs="宋体"/>
                      <w:szCs w:val="21"/>
                    </w:rPr>
                    <w:t>系统功能等</w:t>
                  </w:r>
                  <w:r>
                    <w:rPr>
                      <w:rFonts w:hint="eastAsia" w:cs="宋体"/>
                      <w:szCs w:val="21"/>
                    </w:rPr>
                    <w:t>）</w:t>
                  </w:r>
                </w:p>
              </w:tc>
              <w:tc>
                <w:tcPr>
                  <w:tcW w:w="711" w:type="pct"/>
                  <w:noWrap w:val="0"/>
                  <w:vAlign w:val="center"/>
                </w:tcPr>
                <w:p>
                  <w:pPr>
                    <w:jc w:val="center"/>
                    <w:rPr>
                      <w:rFonts w:hint="eastAsia" w:cs="宋体"/>
                      <w:szCs w:val="21"/>
                    </w:rPr>
                  </w:pPr>
                  <w:r>
                    <w:rPr>
                      <w:rFonts w:hint="eastAsia" w:cs="宋体"/>
                      <w:szCs w:val="21"/>
                    </w:rPr>
                    <w:t>上期运维</w:t>
                  </w:r>
                </w:p>
                <w:p>
                  <w:pPr>
                    <w:jc w:val="center"/>
                    <w:rPr>
                      <w:rFonts w:hint="eastAsia" w:cs="宋体"/>
                      <w:szCs w:val="21"/>
                    </w:rPr>
                  </w:pPr>
                  <w:r>
                    <w:rPr>
                      <w:rFonts w:hint="eastAsia" w:cs="宋体"/>
                      <w:szCs w:val="21"/>
                    </w:rPr>
                    <w:t>到期时间</w:t>
                  </w:r>
                </w:p>
              </w:tc>
              <w:tc>
                <w:tcPr>
                  <w:tcW w:w="701" w:type="pct"/>
                  <w:noWrap w:val="0"/>
                  <w:vAlign w:val="center"/>
                </w:tcPr>
                <w:p>
                  <w:pPr>
                    <w:jc w:val="center"/>
                    <w:rPr>
                      <w:rFonts w:cs="宋体"/>
                      <w:szCs w:val="21"/>
                    </w:rPr>
                  </w:pPr>
                  <w:r>
                    <w:rPr>
                      <w:rFonts w:hint="eastAsia" w:cs="宋体"/>
                      <w:szCs w:val="21"/>
                    </w:rPr>
                    <w:t>本项目集中运维时间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347" w:type="pct"/>
                  <w:noWrap w:val="0"/>
                  <w:vAlign w:val="center"/>
                </w:tcPr>
                <w:p>
                  <w:pPr>
                    <w:jc w:val="center"/>
                    <w:rPr>
                      <w:rFonts w:eastAsia="仿宋"/>
                      <w:bCs/>
                      <w:color w:val="000000"/>
                      <w:sz w:val="32"/>
                      <w:szCs w:val="32"/>
                    </w:rPr>
                  </w:pPr>
                  <w:r>
                    <w:rPr>
                      <w:rFonts w:cs="宋体"/>
                      <w:szCs w:val="21"/>
                    </w:rPr>
                    <w:t>1</w:t>
                  </w:r>
                </w:p>
              </w:tc>
              <w:tc>
                <w:tcPr>
                  <w:tcW w:w="565" w:type="pct"/>
                  <w:noWrap w:val="0"/>
                  <w:vAlign w:val="center"/>
                </w:tcPr>
                <w:p>
                  <w:pPr>
                    <w:jc w:val="center"/>
                    <w:rPr>
                      <w:rFonts w:eastAsia="仿宋"/>
                      <w:bCs/>
                      <w:color w:val="000000"/>
                      <w:sz w:val="32"/>
                      <w:szCs w:val="32"/>
                    </w:rPr>
                  </w:pPr>
                  <w:r>
                    <w:rPr>
                      <w:rFonts w:hint="eastAsia" w:cs="宋体"/>
                      <w:szCs w:val="21"/>
                    </w:rPr>
                    <w:t>广西环境监管移动执法系统</w:t>
                  </w:r>
                </w:p>
              </w:tc>
              <w:tc>
                <w:tcPr>
                  <w:tcW w:w="2673" w:type="pct"/>
                  <w:noWrap w:val="0"/>
                  <w:vAlign w:val="center"/>
                </w:tcPr>
                <w:p>
                  <w:pPr>
                    <w:pStyle w:val="111"/>
                    <w:spacing w:line="300" w:lineRule="exact"/>
                    <w:ind w:firstLine="420"/>
                    <w:rPr>
                      <w:rFonts w:hint="eastAsia" w:cs="宋体"/>
                      <w:sz w:val="21"/>
                      <w:szCs w:val="21"/>
                    </w:rPr>
                  </w:pPr>
                  <w:r>
                    <w:rPr>
                      <w:rFonts w:hint="eastAsia" w:cs="宋体"/>
                      <w:sz w:val="21"/>
                      <w:szCs w:val="21"/>
                    </w:rPr>
                    <w:t>广西环境监管移动执法系统，是采用现代化通讯、大数据、云计算等技术，以环保业务专网、互联网、无线通讯网为依托，以后台基础设施平台为支撑，以移动终端设备为载体，实现移动办公、信息查询、现场执法、任务管理、稽查考核、预警管理等功能的辅助环境执法的信息系统。系统包括“两端一台”（移动端、笔记本端、系统后台）。移动端携带方便，定位为以日常检查、信息查询、移动办公为主；笔记本端以环境违法行为调查取证为主，通过内置的模板现场制作询问笔录、现场勘查记录，绘制现场勘查示意图，填写证据相片说明等；系统后台为数据支撑层，通过环境执法数据采集和整合，为移动执法系统软件一体化应用及可视化展示提供基础数据支撑。</w:t>
                  </w:r>
                </w:p>
                <w:p>
                  <w:pPr>
                    <w:pStyle w:val="111"/>
                    <w:spacing w:line="300" w:lineRule="exact"/>
                    <w:ind w:firstLine="420"/>
                    <w:rPr>
                      <w:rFonts w:eastAsia="仿宋"/>
                      <w:bCs/>
                      <w:color w:val="000000"/>
                      <w:sz w:val="32"/>
                      <w:szCs w:val="32"/>
                    </w:rPr>
                  </w:pPr>
                  <w:r>
                    <w:rPr>
                      <w:rFonts w:hint="eastAsia" w:cs="宋体"/>
                      <w:sz w:val="21"/>
                      <w:szCs w:val="21"/>
                    </w:rPr>
                    <w:t>移动执法系统是全区各级生态环境部门落实执法全过程记录制度的主要手段，实现自治区、市、县执法活动全流程、全要素留痕，实时反映全区现场执法检查情况，有效助力执法人员高效查办案件、规范执法行为，辅助指导、改进现场执法工作，提高全区环境监管执法工作效能和信息化、精细化管理水平。</w:t>
                  </w:r>
                </w:p>
              </w:tc>
              <w:tc>
                <w:tcPr>
                  <w:tcW w:w="711" w:type="pct"/>
                  <w:noWrap w:val="0"/>
                  <w:vAlign w:val="center"/>
                </w:tcPr>
                <w:p>
                  <w:pPr>
                    <w:jc w:val="center"/>
                    <w:rPr>
                      <w:rFonts w:cs="宋体"/>
                      <w:szCs w:val="21"/>
                    </w:rPr>
                  </w:pPr>
                  <w:r>
                    <w:rPr>
                      <w:rFonts w:hint="eastAsia" w:cs="宋体"/>
                      <w:szCs w:val="21"/>
                    </w:rPr>
                    <w:t>2023年6月</w:t>
                  </w:r>
                </w:p>
              </w:tc>
              <w:tc>
                <w:tcPr>
                  <w:tcW w:w="701" w:type="pct"/>
                  <w:noWrap w:val="0"/>
                  <w:vAlign w:val="center"/>
                </w:tcPr>
                <w:p>
                  <w:pPr>
                    <w:jc w:val="center"/>
                    <w:rPr>
                      <w:rFonts w:cs="宋体"/>
                      <w:szCs w:val="21"/>
                    </w:rPr>
                  </w:pPr>
                  <w:r>
                    <w:rPr>
                      <w:rFonts w:hint="eastAsia" w:cs="宋体"/>
                      <w:szCs w:val="21"/>
                    </w:rPr>
                    <w:t>2023年7月至2024年6月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347" w:type="pct"/>
                  <w:noWrap w:val="0"/>
                  <w:vAlign w:val="center"/>
                </w:tcPr>
                <w:p>
                  <w:pPr>
                    <w:jc w:val="center"/>
                    <w:rPr>
                      <w:rFonts w:eastAsia="仿宋"/>
                      <w:bCs/>
                      <w:color w:val="000000"/>
                      <w:sz w:val="32"/>
                      <w:szCs w:val="32"/>
                    </w:rPr>
                  </w:pPr>
                  <w:r>
                    <w:rPr>
                      <w:rFonts w:hint="eastAsia" w:cs="宋体"/>
                      <w:szCs w:val="21"/>
                    </w:rPr>
                    <w:t>2</w:t>
                  </w:r>
                </w:p>
              </w:tc>
              <w:tc>
                <w:tcPr>
                  <w:tcW w:w="565" w:type="pct"/>
                  <w:noWrap w:val="0"/>
                  <w:vAlign w:val="center"/>
                </w:tcPr>
                <w:p>
                  <w:pPr>
                    <w:jc w:val="center"/>
                    <w:rPr>
                      <w:rFonts w:eastAsia="仿宋"/>
                      <w:bCs/>
                      <w:color w:val="000000"/>
                      <w:sz w:val="32"/>
                      <w:szCs w:val="32"/>
                    </w:rPr>
                  </w:pPr>
                  <w:r>
                    <w:rPr>
                      <w:rFonts w:hint="eastAsia" w:cs="宋体"/>
                      <w:szCs w:val="21"/>
                    </w:rPr>
                    <w:t>广西生态环境“双随机、一公开”监管平台</w:t>
                  </w:r>
                </w:p>
              </w:tc>
              <w:tc>
                <w:tcPr>
                  <w:tcW w:w="2673" w:type="pct"/>
                  <w:noWrap w:val="0"/>
                  <w:vAlign w:val="center"/>
                </w:tcPr>
                <w:p>
                  <w:pPr>
                    <w:pStyle w:val="111"/>
                    <w:spacing w:line="300" w:lineRule="exact"/>
                    <w:ind w:firstLine="420"/>
                    <w:rPr>
                      <w:rFonts w:cs="宋体"/>
                      <w:sz w:val="21"/>
                      <w:szCs w:val="21"/>
                    </w:rPr>
                  </w:pPr>
                  <w:r>
                    <w:rPr>
                      <w:rFonts w:hint="eastAsia" w:cs="宋体"/>
                      <w:sz w:val="21"/>
                      <w:szCs w:val="21"/>
                    </w:rPr>
                    <w:t>广西生态环境“双随机、一公开”监管平台，是规范双随机计划制定、名单抽取、结果公示、数据存档等各项抽查检查工作程序的信息系统，实现统一随机抽查事项清单、检查对象名录库和执法检查人员名录库构建、统一双随机抽取程序、统一信息公开、统一监管过程记录、统一监管数据融合，为全区各级生态环境部门实施“双随机、一公开”监管做好信息化基础保障。</w:t>
                  </w:r>
                </w:p>
              </w:tc>
              <w:tc>
                <w:tcPr>
                  <w:tcW w:w="711" w:type="pct"/>
                  <w:noWrap w:val="0"/>
                  <w:vAlign w:val="center"/>
                </w:tcPr>
                <w:p>
                  <w:pPr>
                    <w:jc w:val="center"/>
                    <w:rPr>
                      <w:rFonts w:cs="宋体"/>
                      <w:szCs w:val="21"/>
                    </w:rPr>
                  </w:pPr>
                  <w:r>
                    <w:rPr>
                      <w:rFonts w:hint="eastAsia" w:cs="宋体"/>
                      <w:szCs w:val="21"/>
                    </w:rPr>
                    <w:t>2023年6月</w:t>
                  </w:r>
                </w:p>
              </w:tc>
              <w:tc>
                <w:tcPr>
                  <w:tcW w:w="701" w:type="pct"/>
                  <w:noWrap w:val="0"/>
                  <w:vAlign w:val="center"/>
                </w:tcPr>
                <w:p>
                  <w:pPr>
                    <w:jc w:val="center"/>
                    <w:rPr>
                      <w:rFonts w:cs="宋体"/>
                      <w:szCs w:val="21"/>
                    </w:rPr>
                  </w:pPr>
                  <w:r>
                    <w:rPr>
                      <w:rFonts w:hint="eastAsia" w:cs="宋体"/>
                      <w:szCs w:val="21"/>
                    </w:rPr>
                    <w:t>2023年7月至2024年6月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347" w:type="pct"/>
                  <w:noWrap w:val="0"/>
                  <w:vAlign w:val="center"/>
                </w:tcPr>
                <w:p>
                  <w:pPr>
                    <w:jc w:val="center"/>
                    <w:rPr>
                      <w:rFonts w:eastAsia="仿宋"/>
                      <w:bCs/>
                      <w:color w:val="000000"/>
                      <w:sz w:val="32"/>
                      <w:szCs w:val="32"/>
                    </w:rPr>
                  </w:pPr>
                  <w:r>
                    <w:rPr>
                      <w:rFonts w:hint="eastAsia" w:cs="宋体"/>
                      <w:szCs w:val="21"/>
                    </w:rPr>
                    <w:t>3</w:t>
                  </w:r>
                </w:p>
              </w:tc>
              <w:tc>
                <w:tcPr>
                  <w:tcW w:w="565" w:type="pct"/>
                  <w:noWrap w:val="0"/>
                  <w:vAlign w:val="center"/>
                </w:tcPr>
                <w:p>
                  <w:pPr>
                    <w:jc w:val="center"/>
                    <w:rPr>
                      <w:rFonts w:eastAsia="仿宋"/>
                      <w:bCs/>
                      <w:color w:val="000000"/>
                      <w:sz w:val="32"/>
                      <w:szCs w:val="32"/>
                    </w:rPr>
                  </w:pPr>
                  <w:r>
                    <w:rPr>
                      <w:rFonts w:hint="eastAsia" w:cs="宋体"/>
                      <w:szCs w:val="21"/>
                    </w:rPr>
                    <w:t>广西生态环保“一码通”程序</w:t>
                  </w:r>
                </w:p>
              </w:tc>
              <w:tc>
                <w:tcPr>
                  <w:tcW w:w="2673" w:type="pct"/>
                  <w:noWrap w:val="0"/>
                  <w:vAlign w:val="center"/>
                </w:tcPr>
                <w:p>
                  <w:pPr>
                    <w:pStyle w:val="111"/>
                    <w:spacing w:line="300" w:lineRule="exact"/>
                    <w:ind w:firstLine="420"/>
                    <w:rPr>
                      <w:rFonts w:eastAsia="仿宋"/>
                      <w:bCs/>
                      <w:color w:val="000000"/>
                      <w:sz w:val="32"/>
                      <w:szCs w:val="32"/>
                    </w:rPr>
                  </w:pPr>
                  <w:r>
                    <w:rPr>
                      <w:rFonts w:hint="eastAsia" w:cs="宋体"/>
                      <w:sz w:val="21"/>
                      <w:szCs w:val="21"/>
                    </w:rPr>
                    <w:t>广西生态环保“一码通”程序是企业环境信息“一证式”监管二维码生成系统，集成至“广西生态环境”微信公众号对外公开使用，公众、企业、监管人员均可通过程序“搜一搜”或“扫一扫”功能，按权限快速查询企业环评审批、排污许可、行政检查、行政处罚、信用评价、自行监测、监督性监测、自动监测等环境信息，实现“部门扫码监管、企业扫码自查、公众扫码监督”建设目标。</w:t>
                  </w:r>
                </w:p>
              </w:tc>
              <w:tc>
                <w:tcPr>
                  <w:tcW w:w="711" w:type="pct"/>
                  <w:noWrap w:val="0"/>
                  <w:vAlign w:val="center"/>
                </w:tcPr>
                <w:p>
                  <w:pPr>
                    <w:jc w:val="center"/>
                    <w:rPr>
                      <w:rFonts w:cs="宋体"/>
                      <w:szCs w:val="21"/>
                    </w:rPr>
                  </w:pPr>
                  <w:r>
                    <w:rPr>
                      <w:rFonts w:hint="eastAsia" w:cs="宋体"/>
                      <w:szCs w:val="21"/>
                    </w:rPr>
                    <w:t>2023年6月</w:t>
                  </w:r>
                </w:p>
              </w:tc>
              <w:tc>
                <w:tcPr>
                  <w:tcW w:w="701" w:type="pct"/>
                  <w:noWrap w:val="0"/>
                  <w:vAlign w:val="center"/>
                </w:tcPr>
                <w:p>
                  <w:pPr>
                    <w:jc w:val="center"/>
                    <w:rPr>
                      <w:rFonts w:cs="宋体"/>
                      <w:szCs w:val="21"/>
                    </w:rPr>
                  </w:pPr>
                  <w:r>
                    <w:rPr>
                      <w:rFonts w:hint="eastAsia" w:cs="宋体"/>
                      <w:szCs w:val="21"/>
                    </w:rPr>
                    <w:t>2023年7月至2024年6月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7" w:hRule="atLeast"/>
                <w:jc w:val="center"/>
              </w:trPr>
              <w:tc>
                <w:tcPr>
                  <w:tcW w:w="347" w:type="pct"/>
                  <w:noWrap w:val="0"/>
                  <w:vAlign w:val="center"/>
                </w:tcPr>
                <w:p>
                  <w:pPr>
                    <w:jc w:val="center"/>
                    <w:rPr>
                      <w:rFonts w:eastAsia="仿宋"/>
                      <w:bCs/>
                      <w:color w:val="000000"/>
                      <w:sz w:val="32"/>
                      <w:szCs w:val="32"/>
                    </w:rPr>
                  </w:pPr>
                  <w:r>
                    <w:rPr>
                      <w:rFonts w:hint="eastAsia" w:cs="宋体"/>
                      <w:szCs w:val="21"/>
                    </w:rPr>
                    <w:t>4</w:t>
                  </w:r>
                </w:p>
              </w:tc>
              <w:tc>
                <w:tcPr>
                  <w:tcW w:w="565" w:type="pct"/>
                  <w:noWrap w:val="0"/>
                  <w:vAlign w:val="center"/>
                </w:tcPr>
                <w:p>
                  <w:pPr>
                    <w:jc w:val="center"/>
                    <w:rPr>
                      <w:rFonts w:eastAsia="仿宋"/>
                      <w:bCs/>
                      <w:color w:val="000000"/>
                      <w:sz w:val="32"/>
                      <w:szCs w:val="32"/>
                    </w:rPr>
                  </w:pPr>
                  <w:r>
                    <w:rPr>
                      <w:rFonts w:hint="eastAsia" w:cs="宋体"/>
                      <w:szCs w:val="21"/>
                    </w:rPr>
                    <w:t>广西固定污染源自动监控平台</w:t>
                  </w:r>
                </w:p>
              </w:tc>
              <w:tc>
                <w:tcPr>
                  <w:tcW w:w="2673" w:type="pct"/>
                  <w:noWrap w:val="0"/>
                  <w:vAlign w:val="center"/>
                </w:tcPr>
                <w:p>
                  <w:pPr>
                    <w:pStyle w:val="111"/>
                    <w:spacing w:line="300" w:lineRule="exact"/>
                    <w:ind w:firstLine="420"/>
                    <w:rPr>
                      <w:rFonts w:cs="宋体"/>
                      <w:sz w:val="21"/>
                      <w:szCs w:val="21"/>
                    </w:rPr>
                  </w:pPr>
                  <w:r>
                    <w:rPr>
                      <w:rFonts w:hint="eastAsia" w:cs="宋体"/>
                      <w:sz w:val="21"/>
                      <w:szCs w:val="21"/>
                    </w:rPr>
                    <w:t>广西固定污染源自动监控平台通过构建覆盖全区重点排污单位的污染源自动监控网络，实现对企业污染物排放的24小时全天候实时监控。企业现场端自动监测设备实时传输污染物排放情况，平台接收、存储并自动分析自动监测数据，生成任务督办单同步推送辖区生态环境部门和相关企业，实现非现场监管，提高环境监管效能，为我区生态环境质量的持续改善提供数据保障。</w:t>
                  </w:r>
                  <w:r>
                    <w:rPr>
                      <w:rFonts w:cs="宋体"/>
                      <w:sz w:val="21"/>
                      <w:szCs w:val="21"/>
                    </w:rPr>
                    <w:t>平台主要功能包括：自动监控系统、飞行抽检管理、运维信息管理、超标任务及电子督办、社会化运维企业生态环境信用评价等。</w:t>
                  </w:r>
                </w:p>
              </w:tc>
              <w:tc>
                <w:tcPr>
                  <w:tcW w:w="711" w:type="pct"/>
                  <w:noWrap w:val="0"/>
                  <w:vAlign w:val="center"/>
                </w:tcPr>
                <w:p>
                  <w:pPr>
                    <w:jc w:val="center"/>
                    <w:rPr>
                      <w:rFonts w:hint="eastAsia" w:cs="宋体"/>
                      <w:szCs w:val="21"/>
                    </w:rPr>
                  </w:pPr>
                  <w:r>
                    <w:rPr>
                      <w:rFonts w:hint="eastAsia" w:cs="宋体"/>
                      <w:szCs w:val="21"/>
                    </w:rPr>
                    <w:t>2023年6月</w:t>
                  </w:r>
                </w:p>
              </w:tc>
              <w:tc>
                <w:tcPr>
                  <w:tcW w:w="701" w:type="pct"/>
                  <w:noWrap w:val="0"/>
                  <w:vAlign w:val="center"/>
                </w:tcPr>
                <w:p>
                  <w:pPr>
                    <w:jc w:val="center"/>
                    <w:rPr>
                      <w:rFonts w:cs="宋体"/>
                      <w:szCs w:val="21"/>
                    </w:rPr>
                  </w:pPr>
                  <w:r>
                    <w:rPr>
                      <w:rFonts w:hint="eastAsia" w:cs="宋体"/>
                      <w:szCs w:val="21"/>
                    </w:rPr>
                    <w:t>2023年7月至2024年6月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347" w:type="pct"/>
                  <w:noWrap w:val="0"/>
                  <w:vAlign w:val="center"/>
                </w:tcPr>
                <w:p>
                  <w:pPr>
                    <w:jc w:val="center"/>
                    <w:rPr>
                      <w:rFonts w:eastAsia="仿宋"/>
                      <w:bCs/>
                      <w:color w:val="000000"/>
                      <w:sz w:val="32"/>
                      <w:szCs w:val="32"/>
                    </w:rPr>
                  </w:pPr>
                  <w:r>
                    <w:rPr>
                      <w:rFonts w:hint="eastAsia" w:cs="宋体"/>
                      <w:szCs w:val="21"/>
                    </w:rPr>
                    <w:t>5</w:t>
                  </w:r>
                </w:p>
              </w:tc>
              <w:tc>
                <w:tcPr>
                  <w:tcW w:w="565" w:type="pct"/>
                  <w:noWrap w:val="0"/>
                  <w:vAlign w:val="center"/>
                </w:tcPr>
                <w:p>
                  <w:pPr>
                    <w:jc w:val="center"/>
                    <w:rPr>
                      <w:rFonts w:cs="宋体"/>
                      <w:szCs w:val="21"/>
                    </w:rPr>
                  </w:pPr>
                  <w:r>
                    <w:rPr>
                      <w:rFonts w:cs="宋体"/>
                      <w:szCs w:val="21"/>
                    </w:rPr>
                    <w:t>广西环境保护税</w:t>
                  </w:r>
                </w:p>
                <w:p>
                  <w:pPr>
                    <w:jc w:val="center"/>
                    <w:rPr>
                      <w:rFonts w:cs="宋体"/>
                      <w:szCs w:val="21"/>
                    </w:rPr>
                  </w:pPr>
                  <w:r>
                    <w:rPr>
                      <w:rFonts w:cs="宋体"/>
                      <w:szCs w:val="21"/>
                    </w:rPr>
                    <w:t>涉税信息共享平台</w:t>
                  </w:r>
                </w:p>
                <w:p>
                  <w:pPr>
                    <w:jc w:val="center"/>
                    <w:rPr>
                      <w:rFonts w:eastAsia="仿宋"/>
                      <w:bCs/>
                      <w:color w:val="000000"/>
                      <w:sz w:val="32"/>
                      <w:szCs w:val="32"/>
                    </w:rPr>
                  </w:pPr>
                  <w:r>
                    <w:rPr>
                      <w:rFonts w:cs="宋体"/>
                      <w:szCs w:val="21"/>
                    </w:rPr>
                    <w:t>（环保端）</w:t>
                  </w:r>
                </w:p>
              </w:tc>
              <w:tc>
                <w:tcPr>
                  <w:tcW w:w="2673" w:type="pct"/>
                  <w:noWrap w:val="0"/>
                  <w:vAlign w:val="center"/>
                </w:tcPr>
                <w:p>
                  <w:pPr>
                    <w:pStyle w:val="111"/>
                    <w:spacing w:line="300" w:lineRule="exact"/>
                    <w:ind w:firstLine="420"/>
                    <w:rPr>
                      <w:rFonts w:cs="宋体"/>
                      <w:sz w:val="21"/>
                      <w:szCs w:val="21"/>
                    </w:rPr>
                  </w:pPr>
                  <w:r>
                    <w:rPr>
                      <w:rFonts w:cs="宋体"/>
                      <w:sz w:val="21"/>
                      <w:szCs w:val="21"/>
                    </w:rPr>
                    <w:t>广西环境保护税涉税信息共享平台（环保端）将</w:t>
                  </w:r>
                  <w:r>
                    <w:rPr>
                      <w:rFonts w:hint="eastAsia" w:cs="宋体"/>
                      <w:sz w:val="21"/>
                      <w:szCs w:val="21"/>
                    </w:rPr>
                    <w:t>排污单位</w:t>
                  </w:r>
                  <w:r>
                    <w:rPr>
                      <w:rFonts w:cs="宋体"/>
                      <w:sz w:val="21"/>
                      <w:szCs w:val="21"/>
                    </w:rPr>
                    <w:t>排污收费、自动监控、监督性监测、行政处罚、排污许可证、复核意见结果等数据定期共享给税务部门，税务部门可以参考环保的数据进行风险管控，同时税务部门把</w:t>
                  </w:r>
                  <w:r>
                    <w:rPr>
                      <w:rFonts w:hint="eastAsia" w:cs="宋体"/>
                      <w:sz w:val="21"/>
                      <w:szCs w:val="21"/>
                    </w:rPr>
                    <w:t>排污单位</w:t>
                  </w:r>
                  <w:r>
                    <w:rPr>
                      <w:rFonts w:cs="宋体"/>
                      <w:sz w:val="21"/>
                      <w:szCs w:val="21"/>
                    </w:rPr>
                    <w:t>的申报数据、征税数据、复核申请共享给生态环境部门。</w:t>
                  </w:r>
                </w:p>
              </w:tc>
              <w:tc>
                <w:tcPr>
                  <w:tcW w:w="711" w:type="pct"/>
                  <w:noWrap w:val="0"/>
                  <w:vAlign w:val="center"/>
                </w:tcPr>
                <w:p>
                  <w:pPr>
                    <w:jc w:val="center"/>
                    <w:rPr>
                      <w:rFonts w:hint="eastAsia" w:cs="宋体"/>
                      <w:szCs w:val="21"/>
                    </w:rPr>
                  </w:pPr>
                  <w:r>
                    <w:rPr>
                      <w:rFonts w:hint="eastAsia" w:cs="宋体"/>
                      <w:szCs w:val="21"/>
                    </w:rPr>
                    <w:t>2023年9月</w:t>
                  </w:r>
                </w:p>
              </w:tc>
              <w:tc>
                <w:tcPr>
                  <w:tcW w:w="701" w:type="pct"/>
                  <w:noWrap w:val="0"/>
                  <w:vAlign w:val="center"/>
                </w:tcPr>
                <w:p>
                  <w:pPr>
                    <w:jc w:val="center"/>
                    <w:rPr>
                      <w:rFonts w:cs="宋体"/>
                      <w:szCs w:val="21"/>
                    </w:rPr>
                  </w:pPr>
                  <w:r>
                    <w:rPr>
                      <w:rFonts w:hint="eastAsia" w:cs="宋体"/>
                      <w:szCs w:val="21"/>
                    </w:rPr>
                    <w:t>2023年10月至2024年6月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347" w:type="pct"/>
                  <w:noWrap w:val="0"/>
                  <w:vAlign w:val="center"/>
                </w:tcPr>
                <w:p>
                  <w:pPr>
                    <w:jc w:val="center"/>
                    <w:rPr>
                      <w:rFonts w:eastAsia="仿宋"/>
                      <w:bCs/>
                      <w:color w:val="000000"/>
                      <w:sz w:val="32"/>
                      <w:szCs w:val="32"/>
                    </w:rPr>
                  </w:pPr>
                  <w:r>
                    <w:rPr>
                      <w:rFonts w:hint="eastAsia" w:cs="宋体"/>
                      <w:szCs w:val="21"/>
                    </w:rPr>
                    <w:t>6</w:t>
                  </w:r>
                </w:p>
              </w:tc>
              <w:tc>
                <w:tcPr>
                  <w:tcW w:w="565" w:type="pct"/>
                  <w:noWrap w:val="0"/>
                  <w:vAlign w:val="center"/>
                </w:tcPr>
                <w:p>
                  <w:pPr>
                    <w:jc w:val="center"/>
                    <w:rPr>
                      <w:rFonts w:hint="eastAsia" w:cs="宋体"/>
                      <w:szCs w:val="21"/>
                    </w:rPr>
                  </w:pPr>
                  <w:r>
                    <w:rPr>
                      <w:rFonts w:hint="eastAsia" w:cs="宋体"/>
                      <w:szCs w:val="21"/>
                    </w:rPr>
                    <w:t>广西执法</w:t>
                  </w:r>
                </w:p>
                <w:p>
                  <w:pPr>
                    <w:jc w:val="center"/>
                    <w:rPr>
                      <w:rFonts w:eastAsia="仿宋"/>
                      <w:bCs/>
                      <w:color w:val="000000"/>
                      <w:sz w:val="32"/>
                      <w:szCs w:val="32"/>
                    </w:rPr>
                  </w:pPr>
                  <w:r>
                    <w:rPr>
                      <w:rFonts w:hint="eastAsia" w:cs="宋体"/>
                      <w:szCs w:val="21"/>
                    </w:rPr>
                    <w:t>视频监控平台</w:t>
                  </w:r>
                </w:p>
              </w:tc>
              <w:tc>
                <w:tcPr>
                  <w:tcW w:w="2673" w:type="pct"/>
                  <w:noWrap w:val="0"/>
                  <w:vAlign w:val="center"/>
                </w:tcPr>
                <w:p>
                  <w:pPr>
                    <w:pStyle w:val="111"/>
                    <w:spacing w:line="300" w:lineRule="exact"/>
                    <w:ind w:firstLine="420"/>
                    <w:rPr>
                      <w:rFonts w:eastAsia="仿宋"/>
                      <w:bCs/>
                      <w:color w:val="000000"/>
                      <w:sz w:val="32"/>
                      <w:szCs w:val="32"/>
                    </w:rPr>
                  </w:pPr>
                  <w:r>
                    <w:rPr>
                      <w:rFonts w:hint="eastAsia" w:cs="宋体"/>
                      <w:sz w:val="21"/>
                      <w:szCs w:val="21"/>
                    </w:rPr>
                    <w:t>广西执法视频监控平台用于对全区5家危险废物无害化处置企业和10家医疗废物无害化处置企业，132个监控点实施联网视频监控，实现实时视频监控、历史视频数据调取等功能。平台主要业务功能包括：用户管理功能、实时视频监控、视频监控回放、备状态告警查询。</w:t>
                  </w:r>
                </w:p>
              </w:tc>
              <w:tc>
                <w:tcPr>
                  <w:tcW w:w="711" w:type="pct"/>
                  <w:noWrap w:val="0"/>
                  <w:vAlign w:val="center"/>
                </w:tcPr>
                <w:p>
                  <w:pPr>
                    <w:jc w:val="center"/>
                    <w:rPr>
                      <w:rFonts w:hint="eastAsia" w:cs="宋体"/>
                      <w:szCs w:val="21"/>
                    </w:rPr>
                  </w:pPr>
                  <w:r>
                    <w:rPr>
                      <w:rFonts w:hint="eastAsia" w:cs="宋体"/>
                      <w:szCs w:val="21"/>
                    </w:rPr>
                    <w:t>2023年3月</w:t>
                  </w:r>
                </w:p>
              </w:tc>
              <w:tc>
                <w:tcPr>
                  <w:tcW w:w="701" w:type="pct"/>
                  <w:noWrap w:val="0"/>
                  <w:vAlign w:val="center"/>
                </w:tcPr>
                <w:p>
                  <w:pPr>
                    <w:jc w:val="center"/>
                    <w:rPr>
                      <w:rFonts w:cs="宋体"/>
                      <w:szCs w:val="21"/>
                    </w:rPr>
                  </w:pPr>
                  <w:r>
                    <w:rPr>
                      <w:rFonts w:hint="eastAsia" w:cs="宋体"/>
                      <w:szCs w:val="21"/>
                    </w:rPr>
                    <w:t>2023年7月至2024年6月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jc w:val="center"/>
              </w:trPr>
              <w:tc>
                <w:tcPr>
                  <w:tcW w:w="347" w:type="pct"/>
                  <w:noWrap w:val="0"/>
                  <w:vAlign w:val="center"/>
                </w:tcPr>
                <w:p>
                  <w:pPr>
                    <w:jc w:val="center"/>
                    <w:rPr>
                      <w:rFonts w:eastAsia="仿宋"/>
                      <w:bCs/>
                      <w:color w:val="000000"/>
                      <w:sz w:val="32"/>
                      <w:szCs w:val="32"/>
                    </w:rPr>
                  </w:pPr>
                  <w:r>
                    <w:rPr>
                      <w:rFonts w:hint="eastAsia" w:cs="宋体"/>
                      <w:szCs w:val="21"/>
                    </w:rPr>
                    <w:t>7</w:t>
                  </w:r>
                </w:p>
              </w:tc>
              <w:tc>
                <w:tcPr>
                  <w:tcW w:w="565" w:type="pct"/>
                  <w:noWrap w:val="0"/>
                  <w:vAlign w:val="center"/>
                </w:tcPr>
                <w:p>
                  <w:pPr>
                    <w:jc w:val="center"/>
                    <w:rPr>
                      <w:rFonts w:cs="宋体"/>
                      <w:szCs w:val="21"/>
                    </w:rPr>
                  </w:pPr>
                  <w:r>
                    <w:rPr>
                      <w:rFonts w:cs="宋体"/>
                      <w:szCs w:val="21"/>
                    </w:rPr>
                    <w:t>广西环境违法案件</w:t>
                  </w:r>
                </w:p>
                <w:p>
                  <w:pPr>
                    <w:jc w:val="center"/>
                    <w:rPr>
                      <w:rFonts w:eastAsia="仿宋"/>
                      <w:bCs/>
                      <w:color w:val="000000"/>
                      <w:sz w:val="32"/>
                      <w:szCs w:val="32"/>
                    </w:rPr>
                  </w:pPr>
                  <w:r>
                    <w:rPr>
                      <w:rFonts w:cs="宋体"/>
                      <w:szCs w:val="21"/>
                    </w:rPr>
                    <w:t>查处系统</w:t>
                  </w:r>
                </w:p>
              </w:tc>
              <w:tc>
                <w:tcPr>
                  <w:tcW w:w="2673" w:type="pct"/>
                  <w:noWrap w:val="0"/>
                  <w:vAlign w:val="center"/>
                </w:tcPr>
                <w:p>
                  <w:pPr>
                    <w:pStyle w:val="111"/>
                    <w:spacing w:line="300" w:lineRule="exact"/>
                    <w:ind w:firstLine="420"/>
                    <w:rPr>
                      <w:rFonts w:cs="宋体"/>
                      <w:sz w:val="21"/>
                      <w:szCs w:val="21"/>
                    </w:rPr>
                  </w:pPr>
                  <w:r>
                    <w:rPr>
                      <w:rFonts w:cs="宋体"/>
                      <w:sz w:val="21"/>
                      <w:szCs w:val="21"/>
                    </w:rPr>
                    <w:t>广西环境违法案件查处系统集环境行政处罚案件网上办理、网上监督预警、网上统计分析于一体，规范行政处罚工作流程、现场调查取证、法律法规与裁量权基准适用、执法文书案卷制作等，为执法人员提供精准执法辅助，联通现有数据系统，实现行政处罚案卷信息的上报共享，进一步提升</w:t>
                  </w:r>
                  <w:r>
                    <w:rPr>
                      <w:rFonts w:hint="eastAsia" w:cs="宋体"/>
                      <w:sz w:val="21"/>
                      <w:szCs w:val="21"/>
                    </w:rPr>
                    <w:t>全</w:t>
                  </w:r>
                  <w:r>
                    <w:rPr>
                      <w:rFonts w:cs="宋体"/>
                      <w:sz w:val="21"/>
                      <w:szCs w:val="21"/>
                    </w:rPr>
                    <w:t>区环境监管执法效能。系统包括移动端和网页端，主要设环境行政处罚模块，包括案件办理、自由裁量计算器、全过程预警、行政处罚管理、行政处罚案件统计分析等功能，涵盖线索处理、立案、调查、强制措施、处理决定、执行、结案归档等执法办案的全部流程。同时，该系统联通现有的广西移动执法系统、生态环境部行政处罚填报系统、</w:t>
                  </w:r>
                  <w:r>
                    <w:rPr>
                      <w:rFonts w:hint="eastAsia" w:cs="宋体"/>
                      <w:sz w:val="21"/>
                      <w:szCs w:val="21"/>
                    </w:rPr>
                    <w:t>“</w:t>
                  </w:r>
                  <w:r>
                    <w:rPr>
                      <w:rFonts w:cs="宋体"/>
                      <w:sz w:val="21"/>
                      <w:szCs w:val="21"/>
                    </w:rPr>
                    <w:t>互联网+监管</w:t>
                  </w:r>
                  <w:r>
                    <w:rPr>
                      <w:rFonts w:hint="eastAsia" w:cs="宋体"/>
                      <w:sz w:val="21"/>
                      <w:szCs w:val="21"/>
                    </w:rPr>
                    <w:t>”</w:t>
                  </w:r>
                  <w:r>
                    <w:rPr>
                      <w:rFonts w:cs="宋体"/>
                      <w:sz w:val="21"/>
                      <w:szCs w:val="21"/>
                    </w:rPr>
                    <w:t>系统，实现数据的双向互通，减少数据的重复录入，有效提高工作效率。</w:t>
                  </w:r>
                </w:p>
              </w:tc>
              <w:tc>
                <w:tcPr>
                  <w:tcW w:w="711" w:type="pct"/>
                  <w:noWrap w:val="0"/>
                  <w:vAlign w:val="center"/>
                </w:tcPr>
                <w:p>
                  <w:pPr>
                    <w:jc w:val="center"/>
                    <w:rPr>
                      <w:rFonts w:cs="宋体"/>
                      <w:szCs w:val="21"/>
                    </w:rPr>
                  </w:pPr>
                  <w:r>
                    <w:rPr>
                      <w:rFonts w:hint="eastAsia" w:cs="宋体"/>
                      <w:szCs w:val="21"/>
                    </w:rPr>
                    <w:t>2023年12月</w:t>
                  </w:r>
                </w:p>
              </w:tc>
              <w:tc>
                <w:tcPr>
                  <w:tcW w:w="701" w:type="pct"/>
                  <w:noWrap w:val="0"/>
                  <w:vAlign w:val="center"/>
                </w:tcPr>
                <w:p>
                  <w:pPr>
                    <w:jc w:val="center"/>
                    <w:rPr>
                      <w:rFonts w:cs="宋体"/>
                      <w:szCs w:val="21"/>
                    </w:rPr>
                  </w:pPr>
                  <w:r>
                    <w:rPr>
                      <w:rFonts w:hint="eastAsia" w:cs="宋体"/>
                      <w:szCs w:val="21"/>
                    </w:rPr>
                    <w:t>2023年7月至2024年6月</w:t>
                  </w:r>
                </w:p>
              </w:tc>
            </w:tr>
          </w:tbl>
          <w:p>
            <w:pPr>
              <w:pStyle w:val="111"/>
              <w:spacing w:line="300" w:lineRule="exact"/>
              <w:ind w:firstLine="420"/>
              <w:rPr>
                <w:rFonts w:hint="eastAsia" w:cs="宋体"/>
                <w:sz w:val="21"/>
                <w:szCs w:val="21"/>
              </w:rPr>
            </w:pPr>
            <w:bookmarkStart w:id="71" w:name="_Toc46150917"/>
            <w:bookmarkStart w:id="72" w:name="_Toc32331149"/>
            <w:bookmarkStart w:id="73" w:name="_Toc260725083_WPSOffice_Level2"/>
            <w:bookmarkStart w:id="74" w:name="_Toc1526296123"/>
            <w:r>
              <w:rPr>
                <w:rFonts w:hint="eastAsia" w:cs="宋体"/>
                <w:sz w:val="21"/>
                <w:szCs w:val="21"/>
              </w:rPr>
              <w:t>（三）总体运维服务</w:t>
            </w:r>
            <w:bookmarkEnd w:id="71"/>
            <w:bookmarkEnd w:id="72"/>
            <w:r>
              <w:rPr>
                <w:rFonts w:hint="eastAsia" w:cs="宋体"/>
                <w:sz w:val="21"/>
                <w:szCs w:val="21"/>
              </w:rPr>
              <w:t>要求</w:t>
            </w:r>
            <w:bookmarkEnd w:id="73"/>
            <w:bookmarkEnd w:id="74"/>
          </w:p>
          <w:p>
            <w:pPr>
              <w:pStyle w:val="111"/>
              <w:spacing w:line="300" w:lineRule="exact"/>
              <w:ind w:firstLine="420"/>
              <w:rPr>
                <w:rFonts w:hint="eastAsia" w:cs="宋体"/>
                <w:sz w:val="21"/>
                <w:szCs w:val="21"/>
              </w:rPr>
            </w:pPr>
            <w:bookmarkStart w:id="75" w:name="_Toc991785230"/>
            <w:r>
              <w:rPr>
                <w:rFonts w:hint="eastAsia" w:cs="宋体"/>
                <w:sz w:val="21"/>
                <w:szCs w:val="21"/>
              </w:rPr>
              <w:t>1.系统日常巡检</w:t>
            </w:r>
            <w:bookmarkEnd w:id="75"/>
          </w:p>
          <w:p>
            <w:pPr>
              <w:pStyle w:val="111"/>
              <w:spacing w:line="300" w:lineRule="exact"/>
              <w:ind w:firstLine="420"/>
              <w:rPr>
                <w:rFonts w:hint="eastAsia" w:cs="宋体"/>
                <w:sz w:val="21"/>
                <w:szCs w:val="21"/>
              </w:rPr>
            </w:pPr>
            <w:r>
              <w:rPr>
                <w:rFonts w:hint="eastAsia" w:cs="宋体"/>
                <w:sz w:val="21"/>
                <w:szCs w:val="21"/>
              </w:rPr>
              <w:t>供应商对服务器、数据库、应用系统、中间件进行日常巡检，发现问题及时处理，并做好巡检记录。巡检内容如下：</w:t>
            </w:r>
          </w:p>
          <w:tbl>
            <w:tblPr>
              <w:tblStyle w:val="31"/>
              <w:tblW w:w="48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2764"/>
              <w:gridCol w:w="544"/>
              <w:gridCol w:w="544"/>
              <w:gridCol w:w="5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896" w:type="dxa"/>
                  <w:gridSpan w:val="5"/>
                  <w:noWrap w:val="0"/>
                  <w:vAlign w:val="top"/>
                </w:tcPr>
                <w:p>
                  <w:pPr>
                    <w:jc w:val="center"/>
                    <w:rPr>
                      <w:rFonts w:hint="eastAsia" w:cs="宋体"/>
                      <w:szCs w:val="21"/>
                    </w:rPr>
                  </w:pPr>
                  <w:r>
                    <w:rPr>
                      <w:rFonts w:hint="eastAsia" w:cs="宋体"/>
                      <w:szCs w:val="21"/>
                    </w:rPr>
                    <w:t>服务器巡检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99" w:type="dxa"/>
                  <w:vMerge w:val="restart"/>
                  <w:noWrap w:val="0"/>
                  <w:vAlign w:val="center"/>
                </w:tcPr>
                <w:p>
                  <w:pPr>
                    <w:jc w:val="center"/>
                    <w:rPr>
                      <w:rFonts w:hint="eastAsia" w:cs="宋体"/>
                      <w:szCs w:val="21"/>
                    </w:rPr>
                  </w:pPr>
                  <w:r>
                    <w:rPr>
                      <w:rFonts w:hint="eastAsia" w:cs="宋体"/>
                      <w:szCs w:val="21"/>
                    </w:rPr>
                    <w:t>序号</w:t>
                  </w:r>
                </w:p>
              </w:tc>
              <w:tc>
                <w:tcPr>
                  <w:tcW w:w="2764" w:type="dxa"/>
                  <w:vMerge w:val="restart"/>
                  <w:noWrap w:val="0"/>
                  <w:vAlign w:val="center"/>
                </w:tcPr>
                <w:p>
                  <w:pPr>
                    <w:jc w:val="center"/>
                    <w:rPr>
                      <w:rFonts w:hint="eastAsia" w:cs="宋体"/>
                      <w:szCs w:val="21"/>
                    </w:rPr>
                  </w:pPr>
                  <w:r>
                    <w:rPr>
                      <w:rFonts w:hint="eastAsia" w:cs="宋体"/>
                      <w:szCs w:val="21"/>
                    </w:rPr>
                    <w:t>工作内容</w:t>
                  </w:r>
                </w:p>
              </w:tc>
              <w:tc>
                <w:tcPr>
                  <w:tcW w:w="1633" w:type="dxa"/>
                  <w:gridSpan w:val="3"/>
                  <w:noWrap w:val="0"/>
                  <w:vAlign w:val="top"/>
                </w:tcPr>
                <w:p>
                  <w:pPr>
                    <w:jc w:val="center"/>
                    <w:rPr>
                      <w:rFonts w:hint="eastAsia" w:cs="宋体"/>
                      <w:szCs w:val="21"/>
                    </w:rPr>
                  </w:pPr>
                  <w:r>
                    <w:rPr>
                      <w:rFonts w:hint="eastAsia" w:cs="宋体"/>
                      <w:szCs w:val="21"/>
                    </w:rPr>
                    <w:t>执行周期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99" w:type="dxa"/>
                  <w:vMerge w:val="continue"/>
                  <w:noWrap w:val="0"/>
                  <w:vAlign w:val="top"/>
                </w:tcPr>
                <w:p>
                  <w:pPr>
                    <w:jc w:val="center"/>
                    <w:rPr>
                      <w:rFonts w:hint="eastAsia" w:cs="宋体"/>
                      <w:szCs w:val="21"/>
                    </w:rPr>
                  </w:pPr>
                </w:p>
              </w:tc>
              <w:tc>
                <w:tcPr>
                  <w:tcW w:w="2764" w:type="dxa"/>
                  <w:vMerge w:val="continue"/>
                  <w:noWrap w:val="0"/>
                  <w:vAlign w:val="top"/>
                </w:tcPr>
                <w:p>
                  <w:pPr>
                    <w:jc w:val="center"/>
                    <w:rPr>
                      <w:rFonts w:hint="eastAsia" w:cs="宋体"/>
                      <w:szCs w:val="21"/>
                    </w:rPr>
                  </w:pPr>
                </w:p>
              </w:tc>
              <w:tc>
                <w:tcPr>
                  <w:tcW w:w="544" w:type="dxa"/>
                  <w:noWrap w:val="0"/>
                  <w:vAlign w:val="top"/>
                </w:tcPr>
                <w:p>
                  <w:pPr>
                    <w:jc w:val="center"/>
                    <w:rPr>
                      <w:rFonts w:hint="eastAsia" w:cs="宋体"/>
                      <w:szCs w:val="21"/>
                    </w:rPr>
                  </w:pPr>
                  <w:r>
                    <w:rPr>
                      <w:rFonts w:hint="eastAsia" w:cs="宋体"/>
                      <w:szCs w:val="21"/>
                    </w:rPr>
                    <w:t>日</w:t>
                  </w:r>
                </w:p>
              </w:tc>
              <w:tc>
                <w:tcPr>
                  <w:tcW w:w="544" w:type="dxa"/>
                  <w:noWrap w:val="0"/>
                  <w:vAlign w:val="top"/>
                </w:tcPr>
                <w:p>
                  <w:pPr>
                    <w:jc w:val="center"/>
                    <w:rPr>
                      <w:rFonts w:hint="eastAsia" w:cs="宋体"/>
                      <w:szCs w:val="21"/>
                    </w:rPr>
                  </w:pPr>
                  <w:r>
                    <w:rPr>
                      <w:rFonts w:hint="eastAsia" w:cs="宋体"/>
                      <w:szCs w:val="21"/>
                    </w:rPr>
                    <w:t>周</w:t>
                  </w:r>
                </w:p>
              </w:tc>
              <w:tc>
                <w:tcPr>
                  <w:tcW w:w="545" w:type="dxa"/>
                  <w:noWrap w:val="0"/>
                  <w:vAlign w:val="top"/>
                </w:tcPr>
                <w:p>
                  <w:pPr>
                    <w:jc w:val="center"/>
                    <w:rPr>
                      <w:rFonts w:hint="eastAsia" w:cs="宋体"/>
                      <w:szCs w:val="21"/>
                    </w:rPr>
                  </w:pPr>
                  <w:r>
                    <w:rPr>
                      <w:rFonts w:hint="eastAsia" w:cs="宋体"/>
                      <w:szCs w:val="21"/>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99" w:type="dxa"/>
                  <w:noWrap w:val="0"/>
                  <w:vAlign w:val="top"/>
                </w:tcPr>
                <w:p>
                  <w:pPr>
                    <w:jc w:val="center"/>
                    <w:rPr>
                      <w:rFonts w:hint="eastAsia" w:cs="宋体"/>
                      <w:szCs w:val="21"/>
                    </w:rPr>
                  </w:pPr>
                  <w:r>
                    <w:rPr>
                      <w:rFonts w:hint="eastAsia" w:cs="宋体"/>
                      <w:szCs w:val="21"/>
                    </w:rPr>
                    <w:t>1</w:t>
                  </w:r>
                </w:p>
              </w:tc>
              <w:tc>
                <w:tcPr>
                  <w:tcW w:w="2764" w:type="dxa"/>
                  <w:noWrap w:val="0"/>
                  <w:vAlign w:val="top"/>
                </w:tcPr>
                <w:p>
                  <w:pPr>
                    <w:jc w:val="center"/>
                    <w:rPr>
                      <w:rFonts w:hint="eastAsia" w:cs="宋体"/>
                      <w:szCs w:val="21"/>
                    </w:rPr>
                  </w:pPr>
                  <w:r>
                    <w:rPr>
                      <w:rFonts w:hint="eastAsia" w:cs="宋体"/>
                      <w:szCs w:val="21"/>
                    </w:rPr>
                    <w:t>运行状态、故障情况巡检</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99" w:type="dxa"/>
                  <w:noWrap w:val="0"/>
                  <w:vAlign w:val="top"/>
                </w:tcPr>
                <w:p>
                  <w:pPr>
                    <w:jc w:val="center"/>
                    <w:rPr>
                      <w:rFonts w:hint="eastAsia" w:cs="宋体"/>
                      <w:szCs w:val="21"/>
                    </w:rPr>
                  </w:pPr>
                  <w:r>
                    <w:rPr>
                      <w:rFonts w:hint="eastAsia" w:cs="宋体"/>
                      <w:szCs w:val="21"/>
                    </w:rPr>
                    <w:t>2</w:t>
                  </w:r>
                </w:p>
              </w:tc>
              <w:tc>
                <w:tcPr>
                  <w:tcW w:w="2764" w:type="dxa"/>
                  <w:noWrap w:val="0"/>
                  <w:vAlign w:val="top"/>
                </w:tcPr>
                <w:p>
                  <w:pPr>
                    <w:jc w:val="center"/>
                    <w:rPr>
                      <w:rFonts w:hint="eastAsia" w:cs="宋体"/>
                      <w:szCs w:val="21"/>
                    </w:rPr>
                  </w:pPr>
                  <w:r>
                    <w:rPr>
                      <w:rFonts w:hint="eastAsia" w:cs="宋体"/>
                      <w:szCs w:val="21"/>
                    </w:rPr>
                    <w:t>异常进程、网络响应情况</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99" w:type="dxa"/>
                  <w:noWrap w:val="0"/>
                  <w:vAlign w:val="top"/>
                </w:tcPr>
                <w:p>
                  <w:pPr>
                    <w:jc w:val="center"/>
                    <w:rPr>
                      <w:rFonts w:hint="eastAsia" w:cs="宋体"/>
                      <w:szCs w:val="21"/>
                    </w:rPr>
                  </w:pPr>
                  <w:r>
                    <w:rPr>
                      <w:rFonts w:hint="eastAsia" w:cs="宋体"/>
                      <w:szCs w:val="21"/>
                    </w:rPr>
                    <w:t>3</w:t>
                  </w:r>
                </w:p>
              </w:tc>
              <w:tc>
                <w:tcPr>
                  <w:tcW w:w="2764" w:type="dxa"/>
                  <w:noWrap w:val="0"/>
                  <w:vAlign w:val="top"/>
                </w:tcPr>
                <w:p>
                  <w:pPr>
                    <w:jc w:val="center"/>
                    <w:rPr>
                      <w:rFonts w:hint="eastAsia" w:cs="宋体"/>
                      <w:szCs w:val="21"/>
                    </w:rPr>
                  </w:pPr>
                  <w:r>
                    <w:rPr>
                      <w:rFonts w:hint="eastAsia" w:cs="宋体"/>
                      <w:szCs w:val="21"/>
                    </w:rPr>
                    <w:t>可用性情况及健康状况</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99" w:type="dxa"/>
                  <w:noWrap w:val="0"/>
                  <w:vAlign w:val="top"/>
                </w:tcPr>
                <w:p>
                  <w:pPr>
                    <w:jc w:val="center"/>
                    <w:rPr>
                      <w:rFonts w:hint="eastAsia" w:cs="宋体"/>
                      <w:szCs w:val="21"/>
                    </w:rPr>
                  </w:pPr>
                  <w:r>
                    <w:rPr>
                      <w:rFonts w:hint="eastAsia" w:cs="宋体"/>
                      <w:szCs w:val="21"/>
                    </w:rPr>
                    <w:t>4</w:t>
                  </w:r>
                </w:p>
              </w:tc>
              <w:tc>
                <w:tcPr>
                  <w:tcW w:w="2764" w:type="dxa"/>
                  <w:noWrap w:val="0"/>
                  <w:vAlign w:val="top"/>
                </w:tcPr>
                <w:p>
                  <w:pPr>
                    <w:jc w:val="center"/>
                    <w:rPr>
                      <w:rFonts w:hint="eastAsia" w:cs="宋体"/>
                      <w:szCs w:val="21"/>
                    </w:rPr>
                  </w:pPr>
                  <w:r>
                    <w:rPr>
                      <w:rFonts w:hint="eastAsia" w:cs="宋体"/>
                      <w:szCs w:val="21"/>
                    </w:rPr>
                    <w:t>系统盘、数据盘空间使用情况</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99" w:type="dxa"/>
                  <w:noWrap w:val="0"/>
                  <w:vAlign w:val="top"/>
                </w:tcPr>
                <w:p>
                  <w:pPr>
                    <w:jc w:val="center"/>
                    <w:rPr>
                      <w:rFonts w:hint="eastAsia" w:cs="宋体"/>
                      <w:szCs w:val="21"/>
                    </w:rPr>
                  </w:pPr>
                  <w:r>
                    <w:rPr>
                      <w:rFonts w:hint="eastAsia" w:cs="宋体"/>
                      <w:szCs w:val="21"/>
                    </w:rPr>
                    <w:t>5</w:t>
                  </w:r>
                </w:p>
              </w:tc>
              <w:tc>
                <w:tcPr>
                  <w:tcW w:w="2764" w:type="dxa"/>
                  <w:noWrap w:val="0"/>
                  <w:vAlign w:val="top"/>
                </w:tcPr>
                <w:p>
                  <w:pPr>
                    <w:jc w:val="center"/>
                    <w:rPr>
                      <w:rFonts w:hint="eastAsia" w:cs="宋体"/>
                      <w:szCs w:val="21"/>
                    </w:rPr>
                  </w:pPr>
                  <w:r>
                    <w:rPr>
                      <w:rFonts w:hint="eastAsia" w:cs="宋体"/>
                      <w:szCs w:val="21"/>
                    </w:rPr>
                    <w:t>防毒软件病毒库更新情况</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99" w:type="dxa"/>
                  <w:noWrap w:val="0"/>
                  <w:vAlign w:val="top"/>
                </w:tcPr>
                <w:p>
                  <w:pPr>
                    <w:jc w:val="center"/>
                    <w:rPr>
                      <w:rFonts w:hint="eastAsia" w:cs="宋体"/>
                      <w:szCs w:val="21"/>
                    </w:rPr>
                  </w:pPr>
                  <w:r>
                    <w:rPr>
                      <w:rFonts w:hint="eastAsia" w:cs="宋体"/>
                      <w:szCs w:val="21"/>
                    </w:rPr>
                    <w:t>6</w:t>
                  </w:r>
                </w:p>
              </w:tc>
              <w:tc>
                <w:tcPr>
                  <w:tcW w:w="2764" w:type="dxa"/>
                  <w:noWrap w:val="0"/>
                  <w:vAlign w:val="top"/>
                </w:tcPr>
                <w:p>
                  <w:pPr>
                    <w:jc w:val="center"/>
                    <w:rPr>
                      <w:rFonts w:hint="eastAsia" w:cs="宋体"/>
                      <w:szCs w:val="21"/>
                    </w:rPr>
                  </w:pPr>
                  <w:r>
                    <w:rPr>
                      <w:rFonts w:hint="eastAsia" w:cs="宋体"/>
                      <w:szCs w:val="21"/>
                    </w:rPr>
                    <w:t>口令安全预防性</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99" w:type="dxa"/>
                  <w:noWrap w:val="0"/>
                  <w:vAlign w:val="top"/>
                </w:tcPr>
                <w:p>
                  <w:pPr>
                    <w:jc w:val="center"/>
                    <w:rPr>
                      <w:rFonts w:hint="eastAsia" w:cs="宋体"/>
                      <w:szCs w:val="21"/>
                    </w:rPr>
                  </w:pPr>
                  <w:r>
                    <w:rPr>
                      <w:rFonts w:hint="eastAsia" w:cs="宋体"/>
                      <w:szCs w:val="21"/>
                    </w:rPr>
                    <w:t>7</w:t>
                  </w:r>
                </w:p>
              </w:tc>
              <w:tc>
                <w:tcPr>
                  <w:tcW w:w="2764" w:type="dxa"/>
                  <w:noWrap w:val="0"/>
                  <w:vAlign w:val="top"/>
                </w:tcPr>
                <w:p>
                  <w:pPr>
                    <w:jc w:val="center"/>
                    <w:rPr>
                      <w:rFonts w:hint="eastAsia" w:cs="宋体"/>
                      <w:szCs w:val="21"/>
                    </w:rPr>
                  </w:pPr>
                  <w:r>
                    <w:rPr>
                      <w:rFonts w:hint="eastAsia" w:cs="宋体"/>
                      <w:szCs w:val="21"/>
                    </w:rPr>
                    <w:t>病毒定期查杀</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99" w:type="dxa"/>
                  <w:noWrap w:val="0"/>
                  <w:vAlign w:val="top"/>
                </w:tcPr>
                <w:p>
                  <w:pPr>
                    <w:jc w:val="center"/>
                    <w:rPr>
                      <w:rFonts w:hint="eastAsia" w:cs="宋体"/>
                      <w:szCs w:val="21"/>
                    </w:rPr>
                  </w:pPr>
                  <w:r>
                    <w:rPr>
                      <w:rFonts w:hint="eastAsia" w:cs="宋体"/>
                      <w:szCs w:val="21"/>
                    </w:rPr>
                    <w:t>8</w:t>
                  </w:r>
                </w:p>
              </w:tc>
              <w:tc>
                <w:tcPr>
                  <w:tcW w:w="2764" w:type="dxa"/>
                  <w:noWrap w:val="0"/>
                  <w:vAlign w:val="top"/>
                </w:tcPr>
                <w:p>
                  <w:pPr>
                    <w:jc w:val="center"/>
                    <w:rPr>
                      <w:rFonts w:hint="eastAsia" w:cs="宋体"/>
                      <w:szCs w:val="21"/>
                    </w:rPr>
                  </w:pPr>
                  <w:r>
                    <w:rPr>
                      <w:rFonts w:hint="eastAsia" w:cs="宋体"/>
                      <w:szCs w:val="21"/>
                    </w:rPr>
                    <w:t>关键操作日志审查</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0" w:hRule="atLeast"/>
                <w:jc w:val="center"/>
              </w:trPr>
              <w:tc>
                <w:tcPr>
                  <w:tcW w:w="499" w:type="dxa"/>
                  <w:noWrap w:val="0"/>
                  <w:vAlign w:val="top"/>
                </w:tcPr>
                <w:p>
                  <w:pPr>
                    <w:jc w:val="center"/>
                    <w:rPr>
                      <w:rFonts w:hint="eastAsia" w:cs="宋体"/>
                      <w:szCs w:val="21"/>
                    </w:rPr>
                  </w:pPr>
                  <w:r>
                    <w:rPr>
                      <w:rFonts w:hint="eastAsia" w:cs="宋体"/>
                      <w:szCs w:val="21"/>
                    </w:rPr>
                    <w:t>9</w:t>
                  </w:r>
                </w:p>
              </w:tc>
              <w:tc>
                <w:tcPr>
                  <w:tcW w:w="2764" w:type="dxa"/>
                  <w:noWrap w:val="0"/>
                  <w:vAlign w:val="top"/>
                </w:tcPr>
                <w:p>
                  <w:pPr>
                    <w:jc w:val="center"/>
                    <w:rPr>
                      <w:rFonts w:hint="eastAsia" w:cs="宋体"/>
                      <w:szCs w:val="21"/>
                    </w:rPr>
                  </w:pPr>
                  <w:r>
                    <w:rPr>
                      <w:rFonts w:hint="eastAsia" w:cs="宋体"/>
                      <w:szCs w:val="21"/>
                    </w:rPr>
                    <w:t>服务器系统漏洞修补</w:t>
                  </w:r>
                </w:p>
              </w:tc>
              <w:tc>
                <w:tcPr>
                  <w:tcW w:w="1633" w:type="dxa"/>
                  <w:gridSpan w:val="3"/>
                  <w:noWrap w:val="0"/>
                  <w:vAlign w:val="top"/>
                </w:tcPr>
                <w:p>
                  <w:pPr>
                    <w:jc w:val="center"/>
                    <w:rPr>
                      <w:rFonts w:hint="eastAsia" w:cs="宋体"/>
                      <w:szCs w:val="21"/>
                    </w:rPr>
                  </w:pPr>
                  <w:r>
                    <w:rPr>
                      <w:rFonts w:hint="eastAsia" w:cs="宋体"/>
                      <w:szCs w:val="21"/>
                    </w:rPr>
                    <w:t>按需</w:t>
                  </w:r>
                </w:p>
              </w:tc>
            </w:tr>
          </w:tbl>
          <w:p/>
          <w:tbl>
            <w:tblPr>
              <w:tblStyle w:val="31"/>
              <w:tblW w:w="49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6"/>
              <w:gridCol w:w="2803"/>
              <w:gridCol w:w="552"/>
              <w:gridCol w:w="552"/>
              <w:gridCol w:w="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5" w:hRule="atLeast"/>
                <w:jc w:val="center"/>
              </w:trPr>
              <w:tc>
                <w:tcPr>
                  <w:tcW w:w="4965" w:type="dxa"/>
                  <w:gridSpan w:val="5"/>
                  <w:noWrap w:val="0"/>
                  <w:vAlign w:val="top"/>
                </w:tcPr>
                <w:p>
                  <w:pPr>
                    <w:jc w:val="center"/>
                    <w:rPr>
                      <w:rFonts w:hint="eastAsia" w:cs="宋体"/>
                      <w:szCs w:val="21"/>
                    </w:rPr>
                  </w:pPr>
                  <w:r>
                    <w:rPr>
                      <w:rFonts w:hint="eastAsia" w:cs="宋体"/>
                      <w:szCs w:val="21"/>
                    </w:rPr>
                    <w:t>数据库巡检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5" w:hRule="atLeast"/>
                <w:jc w:val="center"/>
              </w:trPr>
              <w:tc>
                <w:tcPr>
                  <w:tcW w:w="506" w:type="dxa"/>
                  <w:vMerge w:val="restart"/>
                  <w:noWrap w:val="0"/>
                  <w:vAlign w:val="center"/>
                </w:tcPr>
                <w:p>
                  <w:pPr>
                    <w:jc w:val="center"/>
                    <w:rPr>
                      <w:rFonts w:hint="eastAsia" w:cs="宋体"/>
                      <w:szCs w:val="21"/>
                    </w:rPr>
                  </w:pPr>
                  <w:r>
                    <w:rPr>
                      <w:rFonts w:hint="eastAsia" w:cs="宋体"/>
                      <w:szCs w:val="21"/>
                    </w:rPr>
                    <w:t>序号</w:t>
                  </w:r>
                </w:p>
              </w:tc>
              <w:tc>
                <w:tcPr>
                  <w:tcW w:w="2803" w:type="dxa"/>
                  <w:vMerge w:val="restart"/>
                  <w:noWrap w:val="0"/>
                  <w:vAlign w:val="center"/>
                </w:tcPr>
                <w:p>
                  <w:pPr>
                    <w:jc w:val="center"/>
                    <w:rPr>
                      <w:rFonts w:hint="eastAsia" w:cs="宋体"/>
                      <w:szCs w:val="21"/>
                    </w:rPr>
                  </w:pPr>
                  <w:r>
                    <w:rPr>
                      <w:rFonts w:hint="eastAsia" w:cs="宋体"/>
                      <w:szCs w:val="21"/>
                    </w:rPr>
                    <w:t>工作内容</w:t>
                  </w:r>
                </w:p>
              </w:tc>
              <w:tc>
                <w:tcPr>
                  <w:tcW w:w="1656" w:type="dxa"/>
                  <w:gridSpan w:val="3"/>
                  <w:noWrap w:val="0"/>
                  <w:vAlign w:val="top"/>
                </w:tcPr>
                <w:p>
                  <w:pPr>
                    <w:jc w:val="center"/>
                    <w:rPr>
                      <w:rFonts w:hint="eastAsia" w:cs="宋体"/>
                      <w:szCs w:val="21"/>
                    </w:rPr>
                  </w:pPr>
                  <w:r>
                    <w:rPr>
                      <w:rFonts w:hint="eastAsia" w:cs="宋体"/>
                      <w:szCs w:val="21"/>
                    </w:rPr>
                    <w:t>执行周期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5" w:hRule="atLeast"/>
                <w:jc w:val="center"/>
              </w:trPr>
              <w:tc>
                <w:tcPr>
                  <w:tcW w:w="506" w:type="dxa"/>
                  <w:vMerge w:val="continue"/>
                  <w:noWrap w:val="0"/>
                  <w:vAlign w:val="top"/>
                </w:tcPr>
                <w:p>
                  <w:pPr>
                    <w:jc w:val="center"/>
                    <w:rPr>
                      <w:rFonts w:hint="eastAsia" w:cs="宋体"/>
                      <w:szCs w:val="21"/>
                    </w:rPr>
                  </w:pPr>
                </w:p>
              </w:tc>
              <w:tc>
                <w:tcPr>
                  <w:tcW w:w="2803" w:type="dxa"/>
                  <w:vMerge w:val="continue"/>
                  <w:noWrap w:val="0"/>
                  <w:vAlign w:val="top"/>
                </w:tcPr>
                <w:p>
                  <w:pPr>
                    <w:jc w:val="center"/>
                    <w:rPr>
                      <w:rFonts w:hint="eastAsia" w:cs="宋体"/>
                      <w:szCs w:val="21"/>
                    </w:rPr>
                  </w:pPr>
                </w:p>
              </w:tc>
              <w:tc>
                <w:tcPr>
                  <w:tcW w:w="552" w:type="dxa"/>
                  <w:noWrap w:val="0"/>
                  <w:vAlign w:val="top"/>
                </w:tcPr>
                <w:p>
                  <w:pPr>
                    <w:jc w:val="center"/>
                    <w:rPr>
                      <w:rFonts w:hint="eastAsia" w:cs="宋体"/>
                      <w:szCs w:val="21"/>
                    </w:rPr>
                  </w:pPr>
                  <w:r>
                    <w:rPr>
                      <w:rFonts w:hint="eastAsia" w:cs="宋体"/>
                      <w:szCs w:val="21"/>
                    </w:rPr>
                    <w:t>日</w:t>
                  </w:r>
                </w:p>
              </w:tc>
              <w:tc>
                <w:tcPr>
                  <w:tcW w:w="552" w:type="dxa"/>
                  <w:noWrap w:val="0"/>
                  <w:vAlign w:val="top"/>
                </w:tcPr>
                <w:p>
                  <w:pPr>
                    <w:jc w:val="center"/>
                    <w:rPr>
                      <w:rFonts w:hint="eastAsia" w:cs="宋体"/>
                      <w:szCs w:val="21"/>
                    </w:rPr>
                  </w:pPr>
                  <w:r>
                    <w:rPr>
                      <w:rFonts w:hint="eastAsia" w:cs="宋体"/>
                      <w:szCs w:val="21"/>
                    </w:rPr>
                    <w:t>周</w:t>
                  </w:r>
                </w:p>
              </w:tc>
              <w:tc>
                <w:tcPr>
                  <w:tcW w:w="552" w:type="dxa"/>
                  <w:noWrap w:val="0"/>
                  <w:vAlign w:val="top"/>
                </w:tcPr>
                <w:p>
                  <w:pPr>
                    <w:jc w:val="center"/>
                    <w:rPr>
                      <w:rFonts w:hint="eastAsia" w:cs="宋体"/>
                      <w:szCs w:val="21"/>
                    </w:rPr>
                  </w:pPr>
                  <w:r>
                    <w:rPr>
                      <w:rFonts w:hint="eastAsia" w:cs="宋体"/>
                      <w:szCs w:val="21"/>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5" w:hRule="atLeast"/>
                <w:jc w:val="center"/>
              </w:trPr>
              <w:tc>
                <w:tcPr>
                  <w:tcW w:w="506" w:type="dxa"/>
                  <w:noWrap w:val="0"/>
                  <w:vAlign w:val="top"/>
                </w:tcPr>
                <w:p>
                  <w:pPr>
                    <w:jc w:val="center"/>
                    <w:rPr>
                      <w:rFonts w:hint="eastAsia" w:cs="宋体"/>
                      <w:szCs w:val="21"/>
                    </w:rPr>
                  </w:pPr>
                  <w:r>
                    <w:rPr>
                      <w:rFonts w:hint="eastAsia" w:cs="宋体"/>
                      <w:szCs w:val="21"/>
                    </w:rPr>
                    <w:t>1</w:t>
                  </w:r>
                </w:p>
              </w:tc>
              <w:tc>
                <w:tcPr>
                  <w:tcW w:w="2803" w:type="dxa"/>
                  <w:noWrap w:val="0"/>
                  <w:vAlign w:val="top"/>
                </w:tcPr>
                <w:p>
                  <w:pPr>
                    <w:jc w:val="center"/>
                    <w:rPr>
                      <w:rFonts w:hint="eastAsia" w:cs="宋体"/>
                      <w:szCs w:val="21"/>
                    </w:rPr>
                  </w:pPr>
                  <w:r>
                    <w:rPr>
                      <w:rFonts w:hint="eastAsia" w:cs="宋体"/>
                      <w:szCs w:val="21"/>
                    </w:rPr>
                    <w:t>运行状态、故障情况巡检</w:t>
                  </w:r>
                </w:p>
              </w:tc>
              <w:tc>
                <w:tcPr>
                  <w:tcW w:w="552" w:type="dxa"/>
                  <w:noWrap w:val="0"/>
                  <w:vAlign w:val="top"/>
                </w:tcPr>
                <w:p>
                  <w:pPr>
                    <w:jc w:val="center"/>
                    <w:rPr>
                      <w:rFonts w:hint="eastAsia" w:cs="宋体"/>
                      <w:szCs w:val="21"/>
                    </w:rPr>
                  </w:pPr>
                  <w:r>
                    <w:rPr>
                      <w:rFonts w:hint="eastAsia" w:cs="宋体"/>
                      <w:szCs w:val="21"/>
                    </w:rPr>
                    <w:t>√</w:t>
                  </w:r>
                </w:p>
              </w:tc>
              <w:tc>
                <w:tcPr>
                  <w:tcW w:w="552" w:type="dxa"/>
                  <w:noWrap w:val="0"/>
                  <w:vAlign w:val="top"/>
                </w:tcPr>
                <w:p>
                  <w:pPr>
                    <w:jc w:val="center"/>
                    <w:rPr>
                      <w:rFonts w:hint="eastAsia" w:cs="宋体"/>
                      <w:szCs w:val="21"/>
                    </w:rPr>
                  </w:pPr>
                  <w:r>
                    <w:rPr>
                      <w:rFonts w:hint="eastAsia" w:cs="宋体"/>
                      <w:szCs w:val="21"/>
                    </w:rPr>
                    <w:t>－</w:t>
                  </w:r>
                </w:p>
              </w:tc>
              <w:tc>
                <w:tcPr>
                  <w:tcW w:w="552" w:type="dxa"/>
                  <w:noWrap w:val="0"/>
                  <w:vAlign w:val="top"/>
                </w:tcPr>
                <w:p>
                  <w:pPr>
                    <w:jc w:val="center"/>
                    <w:rPr>
                      <w:rFonts w:hint="eastAsia"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5" w:hRule="atLeast"/>
                <w:jc w:val="center"/>
              </w:trPr>
              <w:tc>
                <w:tcPr>
                  <w:tcW w:w="506" w:type="dxa"/>
                  <w:noWrap w:val="0"/>
                  <w:vAlign w:val="top"/>
                </w:tcPr>
                <w:p>
                  <w:pPr>
                    <w:jc w:val="center"/>
                    <w:rPr>
                      <w:rFonts w:hint="eastAsia" w:cs="宋体"/>
                      <w:szCs w:val="21"/>
                    </w:rPr>
                  </w:pPr>
                  <w:r>
                    <w:rPr>
                      <w:rFonts w:hint="eastAsia" w:cs="宋体"/>
                      <w:szCs w:val="21"/>
                    </w:rPr>
                    <w:t>2</w:t>
                  </w:r>
                </w:p>
              </w:tc>
              <w:tc>
                <w:tcPr>
                  <w:tcW w:w="2803" w:type="dxa"/>
                  <w:noWrap w:val="0"/>
                  <w:vAlign w:val="top"/>
                </w:tcPr>
                <w:p>
                  <w:pPr>
                    <w:jc w:val="center"/>
                    <w:rPr>
                      <w:rFonts w:hint="eastAsia" w:cs="宋体"/>
                      <w:szCs w:val="21"/>
                    </w:rPr>
                  </w:pPr>
                  <w:r>
                    <w:rPr>
                      <w:rFonts w:hint="eastAsia" w:cs="宋体"/>
                      <w:szCs w:val="21"/>
                    </w:rPr>
                    <w:t>可用性情况及健康状况</w:t>
                  </w:r>
                </w:p>
              </w:tc>
              <w:tc>
                <w:tcPr>
                  <w:tcW w:w="552" w:type="dxa"/>
                  <w:noWrap w:val="0"/>
                  <w:vAlign w:val="top"/>
                </w:tcPr>
                <w:p>
                  <w:pPr>
                    <w:jc w:val="center"/>
                    <w:rPr>
                      <w:rFonts w:hint="eastAsia" w:cs="宋体"/>
                      <w:szCs w:val="21"/>
                    </w:rPr>
                  </w:pPr>
                  <w:r>
                    <w:rPr>
                      <w:rFonts w:hint="eastAsia" w:cs="宋体"/>
                      <w:szCs w:val="21"/>
                    </w:rPr>
                    <w:t>√</w:t>
                  </w:r>
                </w:p>
              </w:tc>
              <w:tc>
                <w:tcPr>
                  <w:tcW w:w="552" w:type="dxa"/>
                  <w:noWrap w:val="0"/>
                  <w:vAlign w:val="top"/>
                </w:tcPr>
                <w:p>
                  <w:pPr>
                    <w:jc w:val="center"/>
                    <w:rPr>
                      <w:rFonts w:hint="eastAsia" w:cs="宋体"/>
                      <w:szCs w:val="21"/>
                    </w:rPr>
                  </w:pPr>
                  <w:r>
                    <w:rPr>
                      <w:rFonts w:hint="eastAsia" w:cs="宋体"/>
                      <w:szCs w:val="21"/>
                    </w:rPr>
                    <w:t>－</w:t>
                  </w:r>
                </w:p>
              </w:tc>
              <w:tc>
                <w:tcPr>
                  <w:tcW w:w="552"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5" w:hRule="atLeast"/>
                <w:jc w:val="center"/>
              </w:trPr>
              <w:tc>
                <w:tcPr>
                  <w:tcW w:w="506" w:type="dxa"/>
                  <w:noWrap w:val="0"/>
                  <w:vAlign w:val="top"/>
                </w:tcPr>
                <w:p>
                  <w:pPr>
                    <w:jc w:val="center"/>
                    <w:rPr>
                      <w:rFonts w:hint="eastAsia" w:cs="宋体"/>
                      <w:szCs w:val="21"/>
                    </w:rPr>
                  </w:pPr>
                  <w:r>
                    <w:rPr>
                      <w:rFonts w:hint="eastAsia" w:cs="宋体"/>
                      <w:szCs w:val="21"/>
                    </w:rPr>
                    <w:t>3</w:t>
                  </w:r>
                </w:p>
              </w:tc>
              <w:tc>
                <w:tcPr>
                  <w:tcW w:w="2803" w:type="dxa"/>
                  <w:noWrap w:val="0"/>
                  <w:vAlign w:val="top"/>
                </w:tcPr>
                <w:p>
                  <w:pPr>
                    <w:jc w:val="center"/>
                    <w:rPr>
                      <w:rFonts w:hint="eastAsia" w:cs="宋体"/>
                      <w:szCs w:val="21"/>
                    </w:rPr>
                  </w:pPr>
                  <w:r>
                    <w:rPr>
                      <w:rFonts w:hint="eastAsia" w:cs="宋体"/>
                      <w:szCs w:val="21"/>
                    </w:rPr>
                    <w:t>检查数据库空间使用情况</w:t>
                  </w:r>
                </w:p>
              </w:tc>
              <w:tc>
                <w:tcPr>
                  <w:tcW w:w="552" w:type="dxa"/>
                  <w:noWrap w:val="0"/>
                  <w:vAlign w:val="top"/>
                </w:tcPr>
                <w:p>
                  <w:pPr>
                    <w:jc w:val="center"/>
                    <w:rPr>
                      <w:rFonts w:hint="eastAsia" w:cs="宋体"/>
                      <w:szCs w:val="21"/>
                    </w:rPr>
                  </w:pPr>
                  <w:r>
                    <w:rPr>
                      <w:rFonts w:hint="eastAsia" w:cs="宋体"/>
                      <w:szCs w:val="21"/>
                    </w:rPr>
                    <w:t>√</w:t>
                  </w:r>
                </w:p>
              </w:tc>
              <w:tc>
                <w:tcPr>
                  <w:tcW w:w="552" w:type="dxa"/>
                  <w:noWrap w:val="0"/>
                  <w:vAlign w:val="top"/>
                </w:tcPr>
                <w:p>
                  <w:pPr>
                    <w:jc w:val="center"/>
                    <w:rPr>
                      <w:rFonts w:hint="eastAsia" w:cs="宋体"/>
                      <w:szCs w:val="21"/>
                    </w:rPr>
                  </w:pPr>
                  <w:r>
                    <w:rPr>
                      <w:rFonts w:hint="eastAsia" w:cs="宋体"/>
                      <w:szCs w:val="21"/>
                    </w:rPr>
                    <w:t>－</w:t>
                  </w:r>
                </w:p>
              </w:tc>
              <w:tc>
                <w:tcPr>
                  <w:tcW w:w="552"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5" w:hRule="atLeast"/>
                <w:jc w:val="center"/>
              </w:trPr>
              <w:tc>
                <w:tcPr>
                  <w:tcW w:w="506" w:type="dxa"/>
                  <w:noWrap w:val="0"/>
                  <w:vAlign w:val="top"/>
                </w:tcPr>
                <w:p>
                  <w:pPr>
                    <w:jc w:val="center"/>
                    <w:rPr>
                      <w:rFonts w:hint="eastAsia" w:cs="宋体"/>
                      <w:szCs w:val="21"/>
                    </w:rPr>
                  </w:pPr>
                  <w:r>
                    <w:rPr>
                      <w:rFonts w:hint="eastAsia" w:cs="宋体"/>
                      <w:szCs w:val="21"/>
                    </w:rPr>
                    <w:t>4</w:t>
                  </w:r>
                </w:p>
              </w:tc>
              <w:tc>
                <w:tcPr>
                  <w:tcW w:w="2803" w:type="dxa"/>
                  <w:noWrap w:val="0"/>
                  <w:vAlign w:val="top"/>
                </w:tcPr>
                <w:p>
                  <w:pPr>
                    <w:jc w:val="center"/>
                    <w:rPr>
                      <w:rFonts w:hint="eastAsia" w:cs="宋体"/>
                      <w:szCs w:val="21"/>
                    </w:rPr>
                  </w:pPr>
                  <w:r>
                    <w:rPr>
                      <w:rFonts w:hint="eastAsia" w:cs="宋体"/>
                      <w:szCs w:val="21"/>
                    </w:rPr>
                    <w:t>增量备份和全量备份</w:t>
                  </w:r>
                </w:p>
              </w:tc>
              <w:tc>
                <w:tcPr>
                  <w:tcW w:w="552" w:type="dxa"/>
                  <w:noWrap w:val="0"/>
                  <w:vAlign w:val="top"/>
                </w:tcPr>
                <w:p>
                  <w:pPr>
                    <w:jc w:val="center"/>
                    <w:rPr>
                      <w:rFonts w:hint="eastAsia" w:cs="宋体"/>
                      <w:szCs w:val="21"/>
                    </w:rPr>
                  </w:pPr>
                  <w:r>
                    <w:rPr>
                      <w:rFonts w:hint="eastAsia" w:cs="宋体"/>
                      <w:szCs w:val="21"/>
                    </w:rPr>
                    <w:t>√</w:t>
                  </w:r>
                </w:p>
              </w:tc>
              <w:tc>
                <w:tcPr>
                  <w:tcW w:w="552" w:type="dxa"/>
                  <w:noWrap w:val="0"/>
                  <w:vAlign w:val="top"/>
                </w:tcPr>
                <w:p>
                  <w:pPr>
                    <w:jc w:val="center"/>
                    <w:rPr>
                      <w:rFonts w:hint="eastAsia" w:cs="宋体"/>
                      <w:szCs w:val="21"/>
                    </w:rPr>
                  </w:pPr>
                  <w:r>
                    <w:rPr>
                      <w:rFonts w:hint="eastAsia" w:cs="宋体"/>
                      <w:szCs w:val="21"/>
                    </w:rPr>
                    <w:t>－</w:t>
                  </w:r>
                </w:p>
              </w:tc>
              <w:tc>
                <w:tcPr>
                  <w:tcW w:w="552"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5" w:hRule="atLeast"/>
                <w:jc w:val="center"/>
              </w:trPr>
              <w:tc>
                <w:tcPr>
                  <w:tcW w:w="506" w:type="dxa"/>
                  <w:noWrap w:val="0"/>
                  <w:vAlign w:val="top"/>
                </w:tcPr>
                <w:p>
                  <w:pPr>
                    <w:jc w:val="center"/>
                    <w:rPr>
                      <w:rFonts w:hint="eastAsia" w:cs="宋体"/>
                      <w:szCs w:val="21"/>
                    </w:rPr>
                  </w:pPr>
                  <w:r>
                    <w:rPr>
                      <w:rFonts w:hint="eastAsia" w:cs="宋体"/>
                      <w:szCs w:val="21"/>
                    </w:rPr>
                    <w:t>5</w:t>
                  </w:r>
                </w:p>
              </w:tc>
              <w:tc>
                <w:tcPr>
                  <w:tcW w:w="2803" w:type="dxa"/>
                  <w:noWrap w:val="0"/>
                  <w:vAlign w:val="top"/>
                </w:tcPr>
                <w:p>
                  <w:pPr>
                    <w:jc w:val="center"/>
                    <w:rPr>
                      <w:rFonts w:hint="eastAsia" w:cs="宋体"/>
                      <w:szCs w:val="21"/>
                    </w:rPr>
                  </w:pPr>
                  <w:r>
                    <w:rPr>
                      <w:rFonts w:hint="eastAsia" w:cs="宋体"/>
                      <w:szCs w:val="21"/>
                    </w:rPr>
                    <w:t>还原测试</w:t>
                  </w:r>
                </w:p>
              </w:tc>
              <w:tc>
                <w:tcPr>
                  <w:tcW w:w="552" w:type="dxa"/>
                  <w:noWrap w:val="0"/>
                  <w:vAlign w:val="top"/>
                </w:tcPr>
                <w:p>
                  <w:pPr>
                    <w:jc w:val="center"/>
                    <w:rPr>
                      <w:rFonts w:hint="eastAsia" w:cs="宋体"/>
                      <w:szCs w:val="21"/>
                    </w:rPr>
                  </w:pPr>
                  <w:r>
                    <w:rPr>
                      <w:rFonts w:hint="eastAsia" w:cs="宋体"/>
                      <w:szCs w:val="21"/>
                    </w:rPr>
                    <w:t>－</w:t>
                  </w:r>
                </w:p>
              </w:tc>
              <w:tc>
                <w:tcPr>
                  <w:tcW w:w="552" w:type="dxa"/>
                  <w:noWrap w:val="0"/>
                  <w:vAlign w:val="top"/>
                </w:tcPr>
                <w:p>
                  <w:pPr>
                    <w:jc w:val="center"/>
                    <w:rPr>
                      <w:rFonts w:hint="eastAsia" w:cs="宋体"/>
                      <w:szCs w:val="21"/>
                    </w:rPr>
                  </w:pPr>
                  <w:r>
                    <w:rPr>
                      <w:rFonts w:hint="eastAsia" w:cs="宋体"/>
                      <w:szCs w:val="21"/>
                    </w:rPr>
                    <w:t>√</w:t>
                  </w:r>
                </w:p>
              </w:tc>
              <w:tc>
                <w:tcPr>
                  <w:tcW w:w="552"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5" w:hRule="atLeast"/>
                <w:jc w:val="center"/>
              </w:trPr>
              <w:tc>
                <w:tcPr>
                  <w:tcW w:w="506" w:type="dxa"/>
                  <w:noWrap w:val="0"/>
                  <w:vAlign w:val="top"/>
                </w:tcPr>
                <w:p>
                  <w:pPr>
                    <w:jc w:val="center"/>
                    <w:rPr>
                      <w:rFonts w:hint="eastAsia" w:cs="宋体"/>
                      <w:szCs w:val="21"/>
                    </w:rPr>
                  </w:pPr>
                  <w:r>
                    <w:rPr>
                      <w:rFonts w:hint="eastAsia" w:cs="宋体"/>
                      <w:szCs w:val="21"/>
                    </w:rPr>
                    <w:t>6</w:t>
                  </w:r>
                </w:p>
              </w:tc>
              <w:tc>
                <w:tcPr>
                  <w:tcW w:w="2803" w:type="dxa"/>
                  <w:noWrap w:val="0"/>
                  <w:vAlign w:val="top"/>
                </w:tcPr>
                <w:p>
                  <w:pPr>
                    <w:jc w:val="center"/>
                    <w:rPr>
                      <w:rFonts w:hint="eastAsia" w:cs="宋体"/>
                      <w:szCs w:val="21"/>
                    </w:rPr>
                  </w:pPr>
                  <w:r>
                    <w:rPr>
                      <w:rFonts w:hint="eastAsia" w:cs="宋体"/>
                      <w:szCs w:val="21"/>
                    </w:rPr>
                    <w:t>检查并分析日志排除错误隐患</w:t>
                  </w:r>
                </w:p>
              </w:tc>
              <w:tc>
                <w:tcPr>
                  <w:tcW w:w="1656" w:type="dxa"/>
                  <w:gridSpan w:val="3"/>
                  <w:noWrap w:val="0"/>
                  <w:vAlign w:val="top"/>
                </w:tcPr>
                <w:p>
                  <w:pPr>
                    <w:jc w:val="center"/>
                    <w:rPr>
                      <w:rFonts w:hint="eastAsia" w:cs="宋体"/>
                      <w:szCs w:val="21"/>
                    </w:rPr>
                  </w:pPr>
                  <w:r>
                    <w:rPr>
                      <w:rFonts w:hint="eastAsia" w:cs="宋体"/>
                      <w:szCs w:val="21"/>
                    </w:rPr>
                    <w:t>按需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5" w:hRule="atLeast"/>
                <w:jc w:val="center"/>
              </w:trPr>
              <w:tc>
                <w:tcPr>
                  <w:tcW w:w="506" w:type="dxa"/>
                  <w:noWrap w:val="0"/>
                  <w:vAlign w:val="top"/>
                </w:tcPr>
                <w:p>
                  <w:pPr>
                    <w:jc w:val="center"/>
                    <w:rPr>
                      <w:rFonts w:hint="eastAsia" w:cs="宋体"/>
                      <w:szCs w:val="21"/>
                    </w:rPr>
                  </w:pPr>
                  <w:r>
                    <w:rPr>
                      <w:rFonts w:hint="eastAsia" w:cs="宋体"/>
                      <w:szCs w:val="21"/>
                    </w:rPr>
                    <w:t>7</w:t>
                  </w:r>
                </w:p>
              </w:tc>
              <w:tc>
                <w:tcPr>
                  <w:tcW w:w="2803" w:type="dxa"/>
                  <w:noWrap w:val="0"/>
                  <w:vAlign w:val="top"/>
                </w:tcPr>
                <w:p>
                  <w:pPr>
                    <w:jc w:val="center"/>
                    <w:rPr>
                      <w:rFonts w:hint="eastAsia" w:cs="宋体"/>
                      <w:szCs w:val="21"/>
                    </w:rPr>
                  </w:pPr>
                  <w:r>
                    <w:rPr>
                      <w:rFonts w:hint="eastAsia" w:cs="宋体"/>
                      <w:szCs w:val="21"/>
                    </w:rPr>
                    <w:t>检查是否需要更新最新补丁集</w:t>
                  </w:r>
                </w:p>
              </w:tc>
              <w:tc>
                <w:tcPr>
                  <w:tcW w:w="1656" w:type="dxa"/>
                  <w:gridSpan w:val="3"/>
                  <w:noWrap w:val="0"/>
                  <w:vAlign w:val="top"/>
                </w:tcPr>
                <w:p>
                  <w:pPr>
                    <w:jc w:val="center"/>
                    <w:rPr>
                      <w:rFonts w:hint="eastAsia" w:cs="宋体"/>
                      <w:szCs w:val="21"/>
                    </w:rPr>
                  </w:pPr>
                  <w:r>
                    <w:rPr>
                      <w:rFonts w:hint="eastAsia" w:cs="宋体"/>
                      <w:szCs w:val="21"/>
                    </w:rPr>
                    <w:t>按需</w:t>
                  </w:r>
                </w:p>
              </w:tc>
            </w:tr>
          </w:tbl>
          <w:p>
            <w:pPr>
              <w:spacing w:line="360" w:lineRule="auto"/>
              <w:ind w:firstLine="560"/>
              <w:rPr>
                <w:rFonts w:hint="eastAsia" w:ascii="仿宋" w:hAnsi="仿宋" w:eastAsia="仿宋" w:cs="仿宋"/>
                <w:color w:val="000000"/>
                <w:sz w:val="24"/>
              </w:rPr>
            </w:pPr>
          </w:p>
          <w:tbl>
            <w:tblPr>
              <w:tblStyle w:val="31"/>
              <w:tblW w:w="49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1"/>
              <w:gridCol w:w="2656"/>
              <w:gridCol w:w="539"/>
              <w:gridCol w:w="599"/>
              <w:gridCol w:w="6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384" w:hRule="atLeast"/>
                <w:jc w:val="center"/>
              </w:trPr>
              <w:tc>
                <w:tcPr>
                  <w:tcW w:w="4955" w:type="dxa"/>
                  <w:gridSpan w:val="5"/>
                  <w:noWrap w:val="0"/>
                  <w:vAlign w:val="top"/>
                </w:tcPr>
                <w:p>
                  <w:pPr>
                    <w:jc w:val="center"/>
                    <w:rPr>
                      <w:rFonts w:hint="eastAsia" w:cs="宋体"/>
                      <w:szCs w:val="21"/>
                    </w:rPr>
                  </w:pPr>
                  <w:r>
                    <w:rPr>
                      <w:rFonts w:hint="eastAsia" w:cs="宋体"/>
                      <w:szCs w:val="21"/>
                    </w:rPr>
                    <w:t>应用系统巡检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wBefore w:w="0" w:type="dxa"/>
                <w:wAfter w:w="0" w:type="dxa"/>
                <w:trHeight w:val="384" w:hRule="atLeast"/>
                <w:jc w:val="center"/>
              </w:trPr>
              <w:tc>
                <w:tcPr>
                  <w:tcW w:w="561" w:type="dxa"/>
                  <w:vMerge w:val="restart"/>
                  <w:noWrap w:val="0"/>
                  <w:vAlign w:val="center"/>
                </w:tcPr>
                <w:p>
                  <w:pPr>
                    <w:jc w:val="center"/>
                    <w:rPr>
                      <w:rFonts w:hint="eastAsia" w:cs="宋体"/>
                      <w:szCs w:val="21"/>
                    </w:rPr>
                  </w:pPr>
                  <w:r>
                    <w:rPr>
                      <w:rFonts w:hint="eastAsia" w:cs="宋体"/>
                      <w:szCs w:val="21"/>
                    </w:rPr>
                    <w:t>序号</w:t>
                  </w:r>
                </w:p>
              </w:tc>
              <w:tc>
                <w:tcPr>
                  <w:tcW w:w="2656" w:type="dxa"/>
                  <w:vMerge w:val="restart"/>
                  <w:noWrap w:val="0"/>
                  <w:vAlign w:val="center"/>
                </w:tcPr>
                <w:p>
                  <w:pPr>
                    <w:jc w:val="center"/>
                    <w:rPr>
                      <w:rFonts w:hint="eastAsia" w:cs="宋体"/>
                      <w:szCs w:val="21"/>
                    </w:rPr>
                  </w:pPr>
                  <w:r>
                    <w:rPr>
                      <w:rFonts w:hint="eastAsia" w:cs="宋体"/>
                      <w:szCs w:val="21"/>
                    </w:rPr>
                    <w:t>工作内容</w:t>
                  </w:r>
                </w:p>
              </w:tc>
              <w:tc>
                <w:tcPr>
                  <w:tcW w:w="1739" w:type="dxa"/>
                  <w:gridSpan w:val="3"/>
                  <w:noWrap w:val="0"/>
                  <w:vAlign w:val="top"/>
                </w:tcPr>
                <w:p>
                  <w:pPr>
                    <w:jc w:val="center"/>
                    <w:rPr>
                      <w:rFonts w:hint="eastAsia" w:cs="宋体"/>
                      <w:szCs w:val="21"/>
                    </w:rPr>
                  </w:pPr>
                  <w:r>
                    <w:rPr>
                      <w:rFonts w:hint="eastAsia" w:cs="宋体"/>
                      <w:szCs w:val="21"/>
                    </w:rPr>
                    <w:t>执行周期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384" w:hRule="atLeast"/>
                <w:jc w:val="center"/>
              </w:trPr>
              <w:tc>
                <w:tcPr>
                  <w:tcW w:w="561" w:type="dxa"/>
                  <w:vMerge w:val="continue"/>
                  <w:noWrap w:val="0"/>
                  <w:vAlign w:val="top"/>
                </w:tcPr>
                <w:p>
                  <w:pPr>
                    <w:jc w:val="center"/>
                    <w:rPr>
                      <w:rFonts w:hint="eastAsia" w:cs="宋体"/>
                      <w:szCs w:val="21"/>
                    </w:rPr>
                  </w:pPr>
                </w:p>
              </w:tc>
              <w:tc>
                <w:tcPr>
                  <w:tcW w:w="2656" w:type="dxa"/>
                  <w:vMerge w:val="continue"/>
                  <w:noWrap w:val="0"/>
                  <w:vAlign w:val="top"/>
                </w:tcPr>
                <w:p>
                  <w:pPr>
                    <w:jc w:val="center"/>
                    <w:rPr>
                      <w:rFonts w:hint="eastAsia" w:cs="宋体"/>
                      <w:szCs w:val="21"/>
                    </w:rPr>
                  </w:pPr>
                </w:p>
              </w:tc>
              <w:tc>
                <w:tcPr>
                  <w:tcW w:w="539" w:type="dxa"/>
                  <w:noWrap w:val="0"/>
                  <w:vAlign w:val="top"/>
                </w:tcPr>
                <w:p>
                  <w:pPr>
                    <w:jc w:val="center"/>
                    <w:rPr>
                      <w:rFonts w:hint="eastAsia" w:cs="宋体"/>
                      <w:szCs w:val="21"/>
                    </w:rPr>
                  </w:pPr>
                  <w:r>
                    <w:rPr>
                      <w:rFonts w:hint="eastAsia" w:cs="宋体"/>
                      <w:szCs w:val="21"/>
                    </w:rPr>
                    <w:t>日</w:t>
                  </w:r>
                </w:p>
              </w:tc>
              <w:tc>
                <w:tcPr>
                  <w:tcW w:w="599" w:type="dxa"/>
                  <w:noWrap w:val="0"/>
                  <w:vAlign w:val="top"/>
                </w:tcPr>
                <w:p>
                  <w:pPr>
                    <w:jc w:val="center"/>
                    <w:rPr>
                      <w:rFonts w:hint="eastAsia" w:cs="宋体"/>
                      <w:szCs w:val="21"/>
                    </w:rPr>
                  </w:pPr>
                  <w:r>
                    <w:rPr>
                      <w:rFonts w:hint="eastAsia" w:cs="宋体"/>
                      <w:szCs w:val="21"/>
                    </w:rPr>
                    <w:t>周</w:t>
                  </w:r>
                </w:p>
              </w:tc>
              <w:tc>
                <w:tcPr>
                  <w:tcW w:w="600" w:type="dxa"/>
                  <w:noWrap w:val="0"/>
                  <w:vAlign w:val="top"/>
                </w:tcPr>
                <w:p>
                  <w:pPr>
                    <w:jc w:val="center"/>
                    <w:rPr>
                      <w:rFonts w:hint="eastAsia" w:cs="宋体"/>
                      <w:szCs w:val="21"/>
                    </w:rPr>
                  </w:pPr>
                  <w:r>
                    <w:rPr>
                      <w:rFonts w:hint="eastAsia" w:cs="宋体"/>
                      <w:szCs w:val="21"/>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384" w:hRule="atLeast"/>
                <w:jc w:val="center"/>
              </w:trPr>
              <w:tc>
                <w:tcPr>
                  <w:tcW w:w="561" w:type="dxa"/>
                  <w:noWrap w:val="0"/>
                  <w:vAlign w:val="top"/>
                </w:tcPr>
                <w:p>
                  <w:pPr>
                    <w:jc w:val="center"/>
                    <w:rPr>
                      <w:rFonts w:hint="eastAsia" w:cs="宋体"/>
                      <w:szCs w:val="21"/>
                    </w:rPr>
                  </w:pPr>
                  <w:r>
                    <w:rPr>
                      <w:rFonts w:hint="eastAsia" w:cs="宋体"/>
                      <w:szCs w:val="21"/>
                    </w:rPr>
                    <w:t>1</w:t>
                  </w:r>
                </w:p>
              </w:tc>
              <w:tc>
                <w:tcPr>
                  <w:tcW w:w="2656" w:type="dxa"/>
                  <w:noWrap w:val="0"/>
                  <w:vAlign w:val="top"/>
                </w:tcPr>
                <w:p>
                  <w:pPr>
                    <w:jc w:val="center"/>
                    <w:rPr>
                      <w:rFonts w:hint="eastAsia" w:cs="宋体"/>
                      <w:szCs w:val="21"/>
                    </w:rPr>
                  </w:pPr>
                  <w:r>
                    <w:rPr>
                      <w:rFonts w:hint="eastAsia" w:cs="宋体"/>
                      <w:szCs w:val="21"/>
                    </w:rPr>
                    <w:t>系统服务运行状态、故障情况巡检</w:t>
                  </w:r>
                </w:p>
              </w:tc>
              <w:tc>
                <w:tcPr>
                  <w:tcW w:w="539" w:type="dxa"/>
                  <w:noWrap w:val="0"/>
                  <w:vAlign w:val="top"/>
                </w:tcPr>
                <w:p>
                  <w:pPr>
                    <w:jc w:val="center"/>
                    <w:rPr>
                      <w:rFonts w:hint="eastAsia" w:cs="宋体"/>
                      <w:szCs w:val="21"/>
                    </w:rPr>
                  </w:pPr>
                  <w:r>
                    <w:rPr>
                      <w:rFonts w:hint="eastAsia" w:cs="宋体"/>
                      <w:szCs w:val="21"/>
                    </w:rPr>
                    <w:t>√</w:t>
                  </w:r>
                </w:p>
              </w:tc>
              <w:tc>
                <w:tcPr>
                  <w:tcW w:w="599" w:type="dxa"/>
                  <w:noWrap w:val="0"/>
                  <w:vAlign w:val="top"/>
                </w:tcPr>
                <w:p>
                  <w:pPr>
                    <w:jc w:val="center"/>
                    <w:rPr>
                      <w:rFonts w:hint="eastAsia" w:cs="宋体"/>
                      <w:szCs w:val="21"/>
                    </w:rPr>
                  </w:pPr>
                  <w:r>
                    <w:rPr>
                      <w:rFonts w:hint="eastAsia" w:cs="宋体"/>
                      <w:szCs w:val="21"/>
                    </w:rPr>
                    <w:t>－</w:t>
                  </w:r>
                </w:p>
              </w:tc>
              <w:tc>
                <w:tcPr>
                  <w:tcW w:w="600" w:type="dxa"/>
                  <w:noWrap w:val="0"/>
                  <w:vAlign w:val="top"/>
                </w:tcPr>
                <w:p>
                  <w:pPr>
                    <w:jc w:val="center"/>
                    <w:rPr>
                      <w:rFonts w:hint="eastAsia"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384" w:hRule="atLeast"/>
                <w:jc w:val="center"/>
              </w:trPr>
              <w:tc>
                <w:tcPr>
                  <w:tcW w:w="561" w:type="dxa"/>
                  <w:noWrap w:val="0"/>
                  <w:vAlign w:val="top"/>
                </w:tcPr>
                <w:p>
                  <w:pPr>
                    <w:jc w:val="center"/>
                    <w:rPr>
                      <w:rFonts w:hint="eastAsia" w:cs="宋体"/>
                      <w:szCs w:val="21"/>
                    </w:rPr>
                  </w:pPr>
                  <w:r>
                    <w:rPr>
                      <w:rFonts w:hint="eastAsia" w:cs="宋体"/>
                      <w:szCs w:val="21"/>
                    </w:rPr>
                    <w:t>2</w:t>
                  </w:r>
                </w:p>
              </w:tc>
              <w:tc>
                <w:tcPr>
                  <w:tcW w:w="2656" w:type="dxa"/>
                  <w:noWrap w:val="0"/>
                  <w:vAlign w:val="top"/>
                </w:tcPr>
                <w:p>
                  <w:pPr>
                    <w:jc w:val="center"/>
                    <w:rPr>
                      <w:rFonts w:hint="eastAsia" w:cs="宋体"/>
                      <w:szCs w:val="21"/>
                    </w:rPr>
                  </w:pPr>
                  <w:r>
                    <w:rPr>
                      <w:rFonts w:hint="eastAsia" w:cs="宋体"/>
                      <w:szCs w:val="21"/>
                    </w:rPr>
                    <w:t>客户端运行状态、故障情况巡检</w:t>
                  </w:r>
                </w:p>
              </w:tc>
              <w:tc>
                <w:tcPr>
                  <w:tcW w:w="539" w:type="dxa"/>
                  <w:noWrap w:val="0"/>
                  <w:vAlign w:val="top"/>
                </w:tcPr>
                <w:p>
                  <w:pPr>
                    <w:jc w:val="center"/>
                    <w:rPr>
                      <w:rFonts w:hint="eastAsia" w:cs="宋体"/>
                      <w:szCs w:val="21"/>
                    </w:rPr>
                  </w:pPr>
                  <w:r>
                    <w:rPr>
                      <w:rFonts w:hint="eastAsia" w:cs="宋体"/>
                      <w:szCs w:val="21"/>
                    </w:rPr>
                    <w:t>√</w:t>
                  </w:r>
                </w:p>
              </w:tc>
              <w:tc>
                <w:tcPr>
                  <w:tcW w:w="599" w:type="dxa"/>
                  <w:noWrap w:val="0"/>
                  <w:vAlign w:val="top"/>
                </w:tcPr>
                <w:p>
                  <w:pPr>
                    <w:jc w:val="center"/>
                    <w:rPr>
                      <w:rFonts w:hint="eastAsia" w:cs="宋体"/>
                      <w:szCs w:val="21"/>
                    </w:rPr>
                  </w:pPr>
                  <w:r>
                    <w:rPr>
                      <w:rFonts w:hint="eastAsia" w:cs="宋体"/>
                      <w:szCs w:val="21"/>
                    </w:rPr>
                    <w:t>－</w:t>
                  </w:r>
                </w:p>
              </w:tc>
              <w:tc>
                <w:tcPr>
                  <w:tcW w:w="600"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384" w:hRule="atLeast"/>
                <w:jc w:val="center"/>
              </w:trPr>
              <w:tc>
                <w:tcPr>
                  <w:tcW w:w="561" w:type="dxa"/>
                  <w:noWrap w:val="0"/>
                  <w:vAlign w:val="top"/>
                </w:tcPr>
                <w:p>
                  <w:pPr>
                    <w:jc w:val="center"/>
                    <w:rPr>
                      <w:rFonts w:hint="eastAsia" w:cs="宋体"/>
                      <w:szCs w:val="21"/>
                    </w:rPr>
                  </w:pPr>
                  <w:r>
                    <w:rPr>
                      <w:rFonts w:hint="eastAsia" w:cs="宋体"/>
                      <w:szCs w:val="21"/>
                    </w:rPr>
                    <w:t>3</w:t>
                  </w:r>
                </w:p>
              </w:tc>
              <w:tc>
                <w:tcPr>
                  <w:tcW w:w="2656" w:type="dxa"/>
                  <w:noWrap w:val="0"/>
                  <w:vAlign w:val="top"/>
                </w:tcPr>
                <w:p>
                  <w:pPr>
                    <w:jc w:val="center"/>
                    <w:rPr>
                      <w:rFonts w:hint="eastAsia" w:cs="宋体"/>
                      <w:szCs w:val="21"/>
                    </w:rPr>
                  </w:pPr>
                  <w:r>
                    <w:rPr>
                      <w:rFonts w:hint="eastAsia" w:cs="宋体"/>
                      <w:szCs w:val="21"/>
                    </w:rPr>
                    <w:t>可用性情况及健康状况</w:t>
                  </w:r>
                </w:p>
              </w:tc>
              <w:tc>
                <w:tcPr>
                  <w:tcW w:w="539" w:type="dxa"/>
                  <w:noWrap w:val="0"/>
                  <w:vAlign w:val="top"/>
                </w:tcPr>
                <w:p>
                  <w:pPr>
                    <w:jc w:val="center"/>
                    <w:rPr>
                      <w:rFonts w:hint="eastAsia" w:cs="宋体"/>
                      <w:szCs w:val="21"/>
                    </w:rPr>
                  </w:pPr>
                  <w:r>
                    <w:rPr>
                      <w:rFonts w:hint="eastAsia" w:cs="宋体"/>
                      <w:szCs w:val="21"/>
                    </w:rPr>
                    <w:t>√</w:t>
                  </w:r>
                </w:p>
              </w:tc>
              <w:tc>
                <w:tcPr>
                  <w:tcW w:w="599" w:type="dxa"/>
                  <w:noWrap w:val="0"/>
                  <w:vAlign w:val="top"/>
                </w:tcPr>
                <w:p>
                  <w:pPr>
                    <w:jc w:val="center"/>
                    <w:rPr>
                      <w:rFonts w:hint="eastAsia" w:cs="宋体"/>
                      <w:szCs w:val="21"/>
                    </w:rPr>
                  </w:pPr>
                  <w:r>
                    <w:rPr>
                      <w:rFonts w:hint="eastAsia" w:cs="宋体"/>
                      <w:szCs w:val="21"/>
                    </w:rPr>
                    <w:t>－</w:t>
                  </w:r>
                </w:p>
              </w:tc>
              <w:tc>
                <w:tcPr>
                  <w:tcW w:w="600"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84" w:hRule="atLeast"/>
                <w:jc w:val="center"/>
              </w:trPr>
              <w:tc>
                <w:tcPr>
                  <w:tcW w:w="561" w:type="dxa"/>
                  <w:noWrap w:val="0"/>
                  <w:vAlign w:val="top"/>
                </w:tcPr>
                <w:p>
                  <w:pPr>
                    <w:jc w:val="center"/>
                    <w:rPr>
                      <w:rFonts w:hint="eastAsia" w:cs="宋体"/>
                      <w:szCs w:val="21"/>
                    </w:rPr>
                  </w:pPr>
                  <w:r>
                    <w:rPr>
                      <w:rFonts w:hint="eastAsia" w:cs="宋体"/>
                      <w:szCs w:val="21"/>
                    </w:rPr>
                    <w:t>4</w:t>
                  </w:r>
                </w:p>
              </w:tc>
              <w:tc>
                <w:tcPr>
                  <w:tcW w:w="2656" w:type="dxa"/>
                  <w:noWrap w:val="0"/>
                  <w:vAlign w:val="top"/>
                </w:tcPr>
                <w:p>
                  <w:pPr>
                    <w:jc w:val="center"/>
                    <w:rPr>
                      <w:rFonts w:hint="eastAsia" w:cs="宋体"/>
                      <w:szCs w:val="21"/>
                    </w:rPr>
                  </w:pPr>
                  <w:r>
                    <w:rPr>
                      <w:rFonts w:hint="eastAsia" w:cs="宋体"/>
                      <w:szCs w:val="21"/>
                    </w:rPr>
                    <w:t>系统服务错误日志跟踪</w:t>
                  </w:r>
                </w:p>
              </w:tc>
              <w:tc>
                <w:tcPr>
                  <w:tcW w:w="1739" w:type="dxa"/>
                  <w:gridSpan w:val="3"/>
                  <w:noWrap w:val="0"/>
                  <w:vAlign w:val="top"/>
                </w:tcPr>
                <w:p>
                  <w:pPr>
                    <w:jc w:val="center"/>
                    <w:rPr>
                      <w:rFonts w:hint="eastAsia" w:cs="宋体"/>
                      <w:szCs w:val="21"/>
                    </w:rPr>
                  </w:pPr>
                  <w:r>
                    <w:rPr>
                      <w:rFonts w:hint="eastAsia" w:cs="宋体"/>
                      <w:szCs w:val="21"/>
                    </w:rPr>
                    <w:t>按需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384" w:hRule="atLeast"/>
                <w:jc w:val="center"/>
              </w:trPr>
              <w:tc>
                <w:tcPr>
                  <w:tcW w:w="561" w:type="dxa"/>
                  <w:noWrap w:val="0"/>
                  <w:vAlign w:val="top"/>
                </w:tcPr>
                <w:p>
                  <w:pPr>
                    <w:jc w:val="center"/>
                    <w:rPr>
                      <w:rFonts w:hint="eastAsia" w:cs="宋体"/>
                      <w:szCs w:val="21"/>
                    </w:rPr>
                  </w:pPr>
                  <w:r>
                    <w:rPr>
                      <w:rFonts w:hint="eastAsia" w:cs="宋体"/>
                      <w:szCs w:val="21"/>
                    </w:rPr>
                    <w:t>5</w:t>
                  </w:r>
                </w:p>
              </w:tc>
              <w:tc>
                <w:tcPr>
                  <w:tcW w:w="2656" w:type="dxa"/>
                  <w:noWrap w:val="0"/>
                  <w:vAlign w:val="top"/>
                </w:tcPr>
                <w:p>
                  <w:pPr>
                    <w:jc w:val="center"/>
                    <w:rPr>
                      <w:rFonts w:hint="eastAsia" w:cs="宋体"/>
                      <w:szCs w:val="21"/>
                    </w:rPr>
                  </w:pPr>
                  <w:r>
                    <w:rPr>
                      <w:rFonts w:hint="eastAsia" w:cs="宋体"/>
                      <w:szCs w:val="21"/>
                    </w:rPr>
                    <w:t>业务日志文件审查及清理</w:t>
                  </w:r>
                </w:p>
              </w:tc>
              <w:tc>
                <w:tcPr>
                  <w:tcW w:w="539" w:type="dxa"/>
                  <w:noWrap w:val="0"/>
                  <w:vAlign w:val="top"/>
                </w:tcPr>
                <w:p>
                  <w:pPr>
                    <w:jc w:val="center"/>
                    <w:rPr>
                      <w:rFonts w:hint="eastAsia" w:cs="宋体"/>
                      <w:szCs w:val="21"/>
                    </w:rPr>
                  </w:pPr>
                  <w:r>
                    <w:rPr>
                      <w:rFonts w:hint="eastAsia" w:cs="宋体"/>
                      <w:szCs w:val="21"/>
                    </w:rPr>
                    <w:t>－</w:t>
                  </w:r>
                </w:p>
              </w:tc>
              <w:tc>
                <w:tcPr>
                  <w:tcW w:w="599" w:type="dxa"/>
                  <w:noWrap w:val="0"/>
                  <w:vAlign w:val="top"/>
                </w:tcPr>
                <w:p>
                  <w:pPr>
                    <w:jc w:val="center"/>
                    <w:rPr>
                      <w:rFonts w:hint="eastAsia" w:cs="宋体"/>
                      <w:szCs w:val="21"/>
                    </w:rPr>
                  </w:pPr>
                  <w:r>
                    <w:rPr>
                      <w:rFonts w:hint="eastAsia" w:cs="宋体"/>
                      <w:szCs w:val="21"/>
                    </w:rPr>
                    <w:t>√</w:t>
                  </w:r>
                </w:p>
              </w:tc>
              <w:tc>
                <w:tcPr>
                  <w:tcW w:w="600"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84" w:hRule="atLeast"/>
                <w:jc w:val="center"/>
              </w:trPr>
              <w:tc>
                <w:tcPr>
                  <w:tcW w:w="561" w:type="dxa"/>
                  <w:noWrap w:val="0"/>
                  <w:vAlign w:val="top"/>
                </w:tcPr>
                <w:p>
                  <w:pPr>
                    <w:jc w:val="center"/>
                    <w:rPr>
                      <w:rFonts w:hint="eastAsia" w:cs="宋体"/>
                      <w:szCs w:val="21"/>
                    </w:rPr>
                  </w:pPr>
                  <w:r>
                    <w:rPr>
                      <w:rFonts w:hint="eastAsia" w:cs="宋体"/>
                      <w:szCs w:val="21"/>
                    </w:rPr>
                    <w:t>6</w:t>
                  </w:r>
                </w:p>
              </w:tc>
              <w:tc>
                <w:tcPr>
                  <w:tcW w:w="2656" w:type="dxa"/>
                  <w:noWrap w:val="0"/>
                  <w:vAlign w:val="top"/>
                </w:tcPr>
                <w:p>
                  <w:pPr>
                    <w:jc w:val="center"/>
                    <w:rPr>
                      <w:rFonts w:hint="eastAsia" w:cs="宋体"/>
                      <w:szCs w:val="21"/>
                    </w:rPr>
                  </w:pPr>
                  <w:r>
                    <w:rPr>
                      <w:rFonts w:hint="eastAsia" w:cs="宋体"/>
                      <w:szCs w:val="21"/>
                    </w:rPr>
                    <w:t>系统服务更新</w:t>
                  </w:r>
                </w:p>
              </w:tc>
              <w:tc>
                <w:tcPr>
                  <w:tcW w:w="1739" w:type="dxa"/>
                  <w:gridSpan w:val="3"/>
                  <w:noWrap w:val="0"/>
                  <w:vAlign w:val="top"/>
                </w:tcPr>
                <w:p>
                  <w:pPr>
                    <w:jc w:val="center"/>
                    <w:rPr>
                      <w:rFonts w:hint="eastAsia" w:cs="宋体"/>
                      <w:szCs w:val="21"/>
                    </w:rPr>
                  </w:pPr>
                  <w:r>
                    <w:rPr>
                      <w:rFonts w:hint="eastAsia" w:cs="宋体"/>
                      <w:szCs w:val="21"/>
                    </w:rPr>
                    <w:t>按需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84" w:hRule="atLeast"/>
                <w:jc w:val="center"/>
              </w:trPr>
              <w:tc>
                <w:tcPr>
                  <w:tcW w:w="561" w:type="dxa"/>
                  <w:noWrap w:val="0"/>
                  <w:vAlign w:val="top"/>
                </w:tcPr>
                <w:p>
                  <w:pPr>
                    <w:jc w:val="center"/>
                    <w:rPr>
                      <w:rFonts w:hint="eastAsia" w:cs="宋体"/>
                      <w:szCs w:val="21"/>
                    </w:rPr>
                  </w:pPr>
                  <w:r>
                    <w:rPr>
                      <w:rFonts w:hint="eastAsia" w:cs="宋体"/>
                      <w:szCs w:val="21"/>
                    </w:rPr>
                    <w:t>7</w:t>
                  </w:r>
                </w:p>
              </w:tc>
              <w:tc>
                <w:tcPr>
                  <w:tcW w:w="2656" w:type="dxa"/>
                  <w:noWrap w:val="0"/>
                  <w:vAlign w:val="top"/>
                </w:tcPr>
                <w:p>
                  <w:pPr>
                    <w:jc w:val="center"/>
                    <w:rPr>
                      <w:rFonts w:hint="eastAsia" w:cs="宋体"/>
                      <w:szCs w:val="21"/>
                    </w:rPr>
                  </w:pPr>
                  <w:r>
                    <w:rPr>
                      <w:rFonts w:hint="eastAsia" w:cs="宋体"/>
                      <w:szCs w:val="21"/>
                    </w:rPr>
                    <w:t>客户端更新</w:t>
                  </w:r>
                </w:p>
              </w:tc>
              <w:tc>
                <w:tcPr>
                  <w:tcW w:w="1739" w:type="dxa"/>
                  <w:gridSpan w:val="3"/>
                  <w:noWrap w:val="0"/>
                  <w:vAlign w:val="top"/>
                </w:tcPr>
                <w:p>
                  <w:pPr>
                    <w:jc w:val="center"/>
                    <w:rPr>
                      <w:rFonts w:hint="eastAsia" w:cs="宋体"/>
                      <w:szCs w:val="21"/>
                    </w:rPr>
                  </w:pPr>
                  <w:r>
                    <w:rPr>
                      <w:rFonts w:hint="eastAsia" w:cs="宋体"/>
                      <w:szCs w:val="21"/>
                    </w:rPr>
                    <w:t>按需</w:t>
                  </w:r>
                </w:p>
              </w:tc>
            </w:tr>
          </w:tbl>
          <w:p>
            <w:pPr>
              <w:spacing w:line="360" w:lineRule="auto"/>
              <w:ind w:firstLine="560"/>
              <w:rPr>
                <w:rFonts w:hint="eastAsia" w:ascii="仿宋" w:hAnsi="仿宋" w:eastAsia="仿宋" w:cs="仿宋"/>
                <w:color w:val="000000"/>
                <w:sz w:val="24"/>
              </w:rPr>
            </w:pPr>
          </w:p>
          <w:tbl>
            <w:tblPr>
              <w:tblStyle w:val="31"/>
              <w:tblW w:w="48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2764"/>
              <w:gridCol w:w="544"/>
              <w:gridCol w:w="544"/>
              <w:gridCol w:w="5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02" w:hRule="atLeast"/>
                <w:jc w:val="center"/>
              </w:trPr>
              <w:tc>
                <w:tcPr>
                  <w:tcW w:w="4896" w:type="dxa"/>
                  <w:gridSpan w:val="5"/>
                  <w:noWrap w:val="0"/>
                  <w:vAlign w:val="top"/>
                </w:tcPr>
                <w:p>
                  <w:pPr>
                    <w:jc w:val="center"/>
                    <w:rPr>
                      <w:rFonts w:hint="eastAsia" w:cs="宋体"/>
                      <w:szCs w:val="21"/>
                    </w:rPr>
                  </w:pPr>
                  <w:r>
                    <w:rPr>
                      <w:rFonts w:hint="eastAsia" w:cs="宋体"/>
                      <w:szCs w:val="21"/>
                    </w:rPr>
                    <w:t>中间件巡检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02" w:hRule="atLeast"/>
                <w:jc w:val="center"/>
              </w:trPr>
              <w:tc>
                <w:tcPr>
                  <w:tcW w:w="499" w:type="dxa"/>
                  <w:vMerge w:val="restart"/>
                  <w:noWrap w:val="0"/>
                  <w:vAlign w:val="center"/>
                </w:tcPr>
                <w:p>
                  <w:pPr>
                    <w:jc w:val="center"/>
                    <w:rPr>
                      <w:rFonts w:hint="eastAsia" w:cs="宋体"/>
                      <w:szCs w:val="21"/>
                    </w:rPr>
                  </w:pPr>
                  <w:r>
                    <w:rPr>
                      <w:rFonts w:hint="eastAsia" w:cs="宋体"/>
                      <w:szCs w:val="21"/>
                    </w:rPr>
                    <w:t>序号</w:t>
                  </w:r>
                </w:p>
              </w:tc>
              <w:tc>
                <w:tcPr>
                  <w:tcW w:w="2764" w:type="dxa"/>
                  <w:vMerge w:val="restart"/>
                  <w:noWrap w:val="0"/>
                  <w:vAlign w:val="center"/>
                </w:tcPr>
                <w:p>
                  <w:pPr>
                    <w:jc w:val="center"/>
                    <w:rPr>
                      <w:rFonts w:hint="eastAsia" w:cs="宋体"/>
                      <w:szCs w:val="21"/>
                    </w:rPr>
                  </w:pPr>
                  <w:r>
                    <w:rPr>
                      <w:rFonts w:hint="eastAsia" w:cs="宋体"/>
                      <w:szCs w:val="21"/>
                    </w:rPr>
                    <w:t>工作内容</w:t>
                  </w:r>
                </w:p>
              </w:tc>
              <w:tc>
                <w:tcPr>
                  <w:tcW w:w="1633" w:type="dxa"/>
                  <w:gridSpan w:val="3"/>
                  <w:noWrap w:val="0"/>
                  <w:vAlign w:val="top"/>
                </w:tcPr>
                <w:p>
                  <w:pPr>
                    <w:jc w:val="center"/>
                    <w:rPr>
                      <w:rFonts w:hint="eastAsia" w:cs="宋体"/>
                      <w:szCs w:val="21"/>
                    </w:rPr>
                  </w:pPr>
                  <w:r>
                    <w:rPr>
                      <w:rFonts w:hint="eastAsia" w:cs="宋体"/>
                      <w:szCs w:val="21"/>
                    </w:rPr>
                    <w:t>执行周期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39" w:hRule="atLeast"/>
                <w:jc w:val="center"/>
              </w:trPr>
              <w:tc>
                <w:tcPr>
                  <w:tcW w:w="499" w:type="dxa"/>
                  <w:vMerge w:val="continue"/>
                  <w:noWrap w:val="0"/>
                  <w:vAlign w:val="top"/>
                </w:tcPr>
                <w:p>
                  <w:pPr>
                    <w:jc w:val="center"/>
                    <w:rPr>
                      <w:rFonts w:hint="eastAsia" w:cs="宋体"/>
                      <w:szCs w:val="21"/>
                    </w:rPr>
                  </w:pPr>
                </w:p>
              </w:tc>
              <w:tc>
                <w:tcPr>
                  <w:tcW w:w="2764" w:type="dxa"/>
                  <w:vMerge w:val="continue"/>
                  <w:noWrap w:val="0"/>
                  <w:vAlign w:val="top"/>
                </w:tcPr>
                <w:p>
                  <w:pPr>
                    <w:jc w:val="center"/>
                    <w:rPr>
                      <w:rFonts w:hint="eastAsia" w:cs="宋体"/>
                      <w:szCs w:val="21"/>
                    </w:rPr>
                  </w:pPr>
                </w:p>
              </w:tc>
              <w:tc>
                <w:tcPr>
                  <w:tcW w:w="544" w:type="dxa"/>
                  <w:noWrap w:val="0"/>
                  <w:vAlign w:val="top"/>
                </w:tcPr>
                <w:p>
                  <w:pPr>
                    <w:jc w:val="center"/>
                    <w:rPr>
                      <w:rFonts w:hint="eastAsia" w:cs="宋体"/>
                      <w:szCs w:val="21"/>
                    </w:rPr>
                  </w:pPr>
                  <w:r>
                    <w:rPr>
                      <w:rFonts w:hint="eastAsia" w:cs="宋体"/>
                      <w:szCs w:val="21"/>
                    </w:rPr>
                    <w:t>日</w:t>
                  </w:r>
                </w:p>
              </w:tc>
              <w:tc>
                <w:tcPr>
                  <w:tcW w:w="544" w:type="dxa"/>
                  <w:noWrap w:val="0"/>
                  <w:vAlign w:val="top"/>
                </w:tcPr>
                <w:p>
                  <w:pPr>
                    <w:jc w:val="center"/>
                    <w:rPr>
                      <w:rFonts w:hint="eastAsia" w:cs="宋体"/>
                      <w:szCs w:val="21"/>
                    </w:rPr>
                  </w:pPr>
                  <w:r>
                    <w:rPr>
                      <w:rFonts w:hint="eastAsia" w:cs="宋体"/>
                      <w:szCs w:val="21"/>
                    </w:rPr>
                    <w:t>周</w:t>
                  </w:r>
                </w:p>
              </w:tc>
              <w:tc>
                <w:tcPr>
                  <w:tcW w:w="545" w:type="dxa"/>
                  <w:noWrap w:val="0"/>
                  <w:vAlign w:val="top"/>
                </w:tcPr>
                <w:p>
                  <w:pPr>
                    <w:jc w:val="center"/>
                    <w:rPr>
                      <w:rFonts w:hint="eastAsia" w:cs="宋体"/>
                      <w:szCs w:val="21"/>
                    </w:rPr>
                  </w:pPr>
                  <w:r>
                    <w:rPr>
                      <w:rFonts w:hint="eastAsia" w:cs="宋体"/>
                      <w:szCs w:val="21"/>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02" w:hRule="atLeast"/>
                <w:jc w:val="center"/>
              </w:trPr>
              <w:tc>
                <w:tcPr>
                  <w:tcW w:w="499" w:type="dxa"/>
                  <w:noWrap w:val="0"/>
                  <w:vAlign w:val="top"/>
                </w:tcPr>
                <w:p>
                  <w:pPr>
                    <w:jc w:val="center"/>
                    <w:rPr>
                      <w:rFonts w:hint="eastAsia" w:cs="宋体"/>
                      <w:szCs w:val="21"/>
                    </w:rPr>
                  </w:pPr>
                  <w:r>
                    <w:rPr>
                      <w:rFonts w:hint="eastAsia" w:cs="宋体"/>
                      <w:szCs w:val="21"/>
                    </w:rPr>
                    <w:t>1</w:t>
                  </w:r>
                </w:p>
              </w:tc>
              <w:tc>
                <w:tcPr>
                  <w:tcW w:w="2764" w:type="dxa"/>
                  <w:noWrap w:val="0"/>
                  <w:vAlign w:val="top"/>
                </w:tcPr>
                <w:p>
                  <w:pPr>
                    <w:jc w:val="center"/>
                    <w:rPr>
                      <w:rFonts w:hint="eastAsia" w:cs="宋体"/>
                      <w:szCs w:val="21"/>
                    </w:rPr>
                  </w:pPr>
                  <w:r>
                    <w:rPr>
                      <w:rFonts w:hint="eastAsia" w:cs="宋体"/>
                      <w:szCs w:val="21"/>
                    </w:rPr>
                    <w:t>运行状态、故障情况巡检</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wBefore w:w="0" w:type="dxa"/>
                <w:wAfter w:w="0" w:type="dxa"/>
                <w:trHeight w:val="302" w:hRule="atLeast"/>
                <w:jc w:val="center"/>
              </w:trPr>
              <w:tc>
                <w:tcPr>
                  <w:tcW w:w="499" w:type="dxa"/>
                  <w:noWrap w:val="0"/>
                  <w:vAlign w:val="top"/>
                </w:tcPr>
                <w:p>
                  <w:pPr>
                    <w:jc w:val="center"/>
                    <w:rPr>
                      <w:rFonts w:hint="eastAsia" w:cs="宋体"/>
                      <w:szCs w:val="21"/>
                    </w:rPr>
                  </w:pPr>
                  <w:r>
                    <w:rPr>
                      <w:rFonts w:hint="eastAsia" w:cs="宋体"/>
                      <w:szCs w:val="21"/>
                    </w:rPr>
                    <w:t>2</w:t>
                  </w:r>
                </w:p>
              </w:tc>
              <w:tc>
                <w:tcPr>
                  <w:tcW w:w="2764" w:type="dxa"/>
                  <w:noWrap w:val="0"/>
                  <w:vAlign w:val="top"/>
                </w:tcPr>
                <w:p>
                  <w:pPr>
                    <w:jc w:val="center"/>
                    <w:rPr>
                      <w:rFonts w:hint="eastAsia" w:cs="宋体"/>
                      <w:szCs w:val="21"/>
                    </w:rPr>
                  </w:pPr>
                  <w:r>
                    <w:rPr>
                      <w:rFonts w:hint="eastAsia" w:cs="宋体"/>
                      <w:szCs w:val="21"/>
                    </w:rPr>
                    <w:t>可用性情况及健康状况</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90" w:hRule="atLeast"/>
                <w:jc w:val="center"/>
              </w:trPr>
              <w:tc>
                <w:tcPr>
                  <w:tcW w:w="499" w:type="dxa"/>
                  <w:noWrap w:val="0"/>
                  <w:vAlign w:val="top"/>
                </w:tcPr>
                <w:p>
                  <w:pPr>
                    <w:jc w:val="center"/>
                    <w:rPr>
                      <w:rFonts w:hint="eastAsia" w:cs="宋体"/>
                      <w:szCs w:val="21"/>
                    </w:rPr>
                  </w:pPr>
                  <w:r>
                    <w:rPr>
                      <w:rFonts w:hint="eastAsia" w:cs="宋体"/>
                      <w:szCs w:val="21"/>
                    </w:rPr>
                    <w:t>3</w:t>
                  </w:r>
                </w:p>
              </w:tc>
              <w:tc>
                <w:tcPr>
                  <w:tcW w:w="2764" w:type="dxa"/>
                  <w:noWrap w:val="0"/>
                  <w:vAlign w:val="top"/>
                </w:tcPr>
                <w:p>
                  <w:pPr>
                    <w:jc w:val="center"/>
                    <w:rPr>
                      <w:rFonts w:hint="eastAsia" w:cs="宋体"/>
                      <w:szCs w:val="21"/>
                    </w:rPr>
                  </w:pPr>
                  <w:r>
                    <w:rPr>
                      <w:rFonts w:hint="eastAsia" w:cs="宋体"/>
                      <w:szCs w:val="21"/>
                    </w:rPr>
                    <w:t>运行性能优化及预防性检查</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02" w:hRule="atLeast"/>
                <w:jc w:val="center"/>
              </w:trPr>
              <w:tc>
                <w:tcPr>
                  <w:tcW w:w="499" w:type="dxa"/>
                  <w:noWrap w:val="0"/>
                  <w:vAlign w:val="top"/>
                </w:tcPr>
                <w:p>
                  <w:pPr>
                    <w:jc w:val="center"/>
                    <w:rPr>
                      <w:rFonts w:hint="eastAsia" w:cs="宋体"/>
                      <w:szCs w:val="21"/>
                    </w:rPr>
                  </w:pPr>
                  <w:r>
                    <w:rPr>
                      <w:rFonts w:hint="eastAsia" w:cs="宋体"/>
                      <w:szCs w:val="21"/>
                    </w:rPr>
                    <w:t>4</w:t>
                  </w:r>
                </w:p>
              </w:tc>
              <w:tc>
                <w:tcPr>
                  <w:tcW w:w="2764" w:type="dxa"/>
                  <w:noWrap w:val="0"/>
                  <w:vAlign w:val="top"/>
                </w:tcPr>
                <w:p>
                  <w:pPr>
                    <w:jc w:val="center"/>
                    <w:rPr>
                      <w:rFonts w:hint="eastAsia" w:cs="宋体"/>
                      <w:szCs w:val="21"/>
                    </w:rPr>
                  </w:pPr>
                  <w:r>
                    <w:rPr>
                      <w:rFonts w:hint="eastAsia" w:cs="宋体"/>
                      <w:szCs w:val="21"/>
                    </w:rPr>
                    <w:t>日志文件审查及清理</w:t>
                  </w:r>
                </w:p>
              </w:tc>
              <w:tc>
                <w:tcPr>
                  <w:tcW w:w="544" w:type="dxa"/>
                  <w:noWrap w:val="0"/>
                  <w:vAlign w:val="top"/>
                </w:tcPr>
                <w:p>
                  <w:pPr>
                    <w:jc w:val="center"/>
                    <w:rPr>
                      <w:rFonts w:hint="eastAsia" w:cs="宋体"/>
                      <w:szCs w:val="21"/>
                    </w:rPr>
                  </w:pPr>
                  <w:r>
                    <w:rPr>
                      <w:rFonts w:hint="eastAsia" w:cs="宋体"/>
                      <w:szCs w:val="21"/>
                    </w:rPr>
                    <w:t>－</w:t>
                  </w:r>
                </w:p>
              </w:tc>
              <w:tc>
                <w:tcPr>
                  <w:tcW w:w="544" w:type="dxa"/>
                  <w:noWrap w:val="0"/>
                  <w:vAlign w:val="top"/>
                </w:tcPr>
                <w:p>
                  <w:pPr>
                    <w:jc w:val="center"/>
                    <w:rPr>
                      <w:rFonts w:hint="eastAsia" w:cs="宋体"/>
                      <w:szCs w:val="21"/>
                    </w:rPr>
                  </w:pPr>
                  <w:r>
                    <w:rPr>
                      <w:rFonts w:hint="eastAsia" w:cs="宋体"/>
                      <w:szCs w:val="21"/>
                    </w:rPr>
                    <w:t>√</w:t>
                  </w:r>
                </w:p>
              </w:tc>
              <w:tc>
                <w:tcPr>
                  <w:tcW w:w="54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wBefore w:w="0" w:type="dxa"/>
                <w:wAfter w:w="0" w:type="dxa"/>
                <w:trHeight w:val="87" w:hRule="atLeast"/>
                <w:jc w:val="center"/>
              </w:trPr>
              <w:tc>
                <w:tcPr>
                  <w:tcW w:w="499" w:type="dxa"/>
                  <w:noWrap w:val="0"/>
                  <w:vAlign w:val="top"/>
                </w:tcPr>
                <w:p>
                  <w:pPr>
                    <w:jc w:val="center"/>
                    <w:rPr>
                      <w:rFonts w:hint="eastAsia" w:cs="宋体"/>
                      <w:szCs w:val="21"/>
                    </w:rPr>
                  </w:pPr>
                  <w:r>
                    <w:rPr>
                      <w:rFonts w:hint="eastAsia" w:cs="宋体"/>
                      <w:szCs w:val="21"/>
                    </w:rPr>
                    <w:t>5</w:t>
                  </w:r>
                </w:p>
              </w:tc>
              <w:tc>
                <w:tcPr>
                  <w:tcW w:w="2764" w:type="dxa"/>
                  <w:noWrap w:val="0"/>
                  <w:vAlign w:val="top"/>
                </w:tcPr>
                <w:p>
                  <w:pPr>
                    <w:jc w:val="center"/>
                    <w:rPr>
                      <w:rFonts w:hint="eastAsia" w:cs="宋体"/>
                      <w:szCs w:val="21"/>
                    </w:rPr>
                  </w:pPr>
                  <w:r>
                    <w:rPr>
                      <w:rFonts w:hint="eastAsia" w:cs="宋体"/>
                      <w:szCs w:val="21"/>
                    </w:rPr>
                    <w:t>检查是否需要更新最新补丁集</w:t>
                  </w:r>
                </w:p>
              </w:tc>
              <w:tc>
                <w:tcPr>
                  <w:tcW w:w="1633" w:type="dxa"/>
                  <w:gridSpan w:val="3"/>
                  <w:noWrap w:val="0"/>
                  <w:vAlign w:val="top"/>
                </w:tcPr>
                <w:p>
                  <w:pPr>
                    <w:jc w:val="center"/>
                    <w:rPr>
                      <w:rFonts w:hint="eastAsia" w:cs="宋体"/>
                      <w:szCs w:val="21"/>
                    </w:rPr>
                  </w:pPr>
                  <w:r>
                    <w:rPr>
                      <w:rFonts w:hint="eastAsia" w:cs="宋体"/>
                      <w:szCs w:val="21"/>
                    </w:rPr>
                    <w:t>按需</w:t>
                  </w:r>
                </w:p>
              </w:tc>
            </w:tr>
          </w:tbl>
          <w:p>
            <w:pPr>
              <w:pStyle w:val="111"/>
              <w:spacing w:line="300" w:lineRule="exact"/>
              <w:ind w:firstLine="420"/>
              <w:rPr>
                <w:rFonts w:hint="eastAsia" w:cs="宋体"/>
                <w:sz w:val="21"/>
                <w:szCs w:val="21"/>
              </w:rPr>
            </w:pPr>
            <w:bookmarkStart w:id="76" w:name="_Toc1667440571"/>
            <w:r>
              <w:rPr>
                <w:rFonts w:hint="eastAsia" w:cs="宋体"/>
                <w:sz w:val="21"/>
                <w:szCs w:val="21"/>
              </w:rPr>
              <w:t>2.应用系统运维</w:t>
            </w:r>
            <w:bookmarkEnd w:id="76"/>
          </w:p>
          <w:p>
            <w:pPr>
              <w:pStyle w:val="111"/>
              <w:spacing w:line="300" w:lineRule="exact"/>
              <w:ind w:firstLine="420"/>
              <w:rPr>
                <w:rFonts w:hint="eastAsia" w:cs="宋体"/>
                <w:sz w:val="21"/>
                <w:szCs w:val="21"/>
              </w:rPr>
            </w:pPr>
            <w:r>
              <w:rPr>
                <w:rFonts w:hint="eastAsia" w:cs="宋体"/>
                <w:sz w:val="21"/>
                <w:szCs w:val="21"/>
              </w:rPr>
              <w:t>（1）权限调整：负责维护系统菜单权限变更，人员权限变更，新增、删除、修改用户信息等后台管理功能。</w:t>
            </w:r>
          </w:p>
          <w:p>
            <w:pPr>
              <w:pStyle w:val="111"/>
              <w:spacing w:line="300" w:lineRule="exact"/>
              <w:ind w:firstLine="420"/>
              <w:rPr>
                <w:rFonts w:hint="eastAsia" w:cs="宋体"/>
                <w:sz w:val="21"/>
                <w:szCs w:val="21"/>
              </w:rPr>
            </w:pPr>
            <w:r>
              <w:rPr>
                <w:rFonts w:hint="eastAsia" w:cs="宋体"/>
                <w:sz w:val="21"/>
                <w:szCs w:val="21"/>
              </w:rPr>
              <w:t>（2）业务咨询：如系统操作、流程流转、字段含义、系统功能使用、某项新功能的相关业务、技术实现情况等。</w:t>
            </w:r>
          </w:p>
          <w:p>
            <w:pPr>
              <w:pStyle w:val="111"/>
              <w:spacing w:line="300" w:lineRule="exact"/>
              <w:ind w:firstLine="420"/>
              <w:rPr>
                <w:rFonts w:hint="eastAsia" w:cs="宋体"/>
                <w:sz w:val="21"/>
                <w:szCs w:val="21"/>
              </w:rPr>
            </w:pPr>
            <w:r>
              <w:rPr>
                <w:rFonts w:hint="eastAsia" w:cs="宋体"/>
                <w:sz w:val="21"/>
                <w:szCs w:val="21"/>
              </w:rPr>
              <w:t>（3）系统缺陷：对系统或应用在电脑端（含国产电脑）、移动端上运行时存在的缺陷进行处理、记录、反馈。</w:t>
            </w:r>
          </w:p>
          <w:p>
            <w:pPr>
              <w:pStyle w:val="111"/>
              <w:spacing w:line="300" w:lineRule="exact"/>
              <w:ind w:firstLine="420"/>
              <w:rPr>
                <w:rFonts w:hint="eastAsia" w:cs="宋体"/>
                <w:sz w:val="21"/>
                <w:szCs w:val="21"/>
              </w:rPr>
            </w:pPr>
            <w:r>
              <w:rPr>
                <w:rFonts w:hint="eastAsia" w:cs="宋体"/>
                <w:sz w:val="21"/>
                <w:szCs w:val="21"/>
              </w:rPr>
              <w:t>（4）数据调整：用户使用系统存在录入错误、数据调整信息，需要修改、删除数据。</w:t>
            </w:r>
          </w:p>
          <w:p>
            <w:pPr>
              <w:pStyle w:val="111"/>
              <w:spacing w:line="300" w:lineRule="exact"/>
              <w:ind w:firstLine="420"/>
              <w:rPr>
                <w:rFonts w:hint="eastAsia" w:cs="宋体"/>
                <w:sz w:val="21"/>
                <w:szCs w:val="21"/>
              </w:rPr>
            </w:pPr>
            <w:r>
              <w:rPr>
                <w:rFonts w:hint="eastAsia" w:cs="宋体"/>
                <w:sz w:val="21"/>
                <w:szCs w:val="21"/>
              </w:rPr>
              <w:t>（5）工作配合：协助处理表格、文档的编写、数据汇总统计、数据流转、流程退回、提供操作手册等具体工作。</w:t>
            </w:r>
          </w:p>
          <w:p>
            <w:pPr>
              <w:pStyle w:val="111"/>
              <w:spacing w:line="300" w:lineRule="exact"/>
              <w:ind w:firstLine="420"/>
              <w:rPr>
                <w:rFonts w:hint="eastAsia" w:cs="宋体"/>
                <w:sz w:val="21"/>
                <w:szCs w:val="21"/>
              </w:rPr>
            </w:pPr>
            <w:r>
              <w:rPr>
                <w:rFonts w:hint="eastAsia" w:cs="宋体"/>
                <w:sz w:val="21"/>
                <w:szCs w:val="21"/>
              </w:rPr>
              <w:t>（6）功能调整：根据实际业务需求，对不偏离原项目建设内容和系统功能10%的内容进行系统调整。包括但不限于：由于人员变动、业务变动、政策变动等原因，引起的需要额外增加业务功能模块、系统升级或与自治区、国家等第三方系统进行对接等。</w:t>
            </w:r>
          </w:p>
          <w:p>
            <w:pPr>
              <w:pStyle w:val="111"/>
              <w:spacing w:line="300" w:lineRule="exact"/>
              <w:ind w:firstLine="420"/>
              <w:rPr>
                <w:rFonts w:hint="eastAsia" w:cs="宋体"/>
                <w:sz w:val="21"/>
                <w:szCs w:val="21"/>
              </w:rPr>
            </w:pPr>
            <w:bookmarkStart w:id="77" w:name="_Toc2124138480"/>
            <w:r>
              <w:rPr>
                <w:rFonts w:hint="eastAsia" w:cs="宋体"/>
                <w:sz w:val="21"/>
                <w:szCs w:val="21"/>
              </w:rPr>
              <w:t>3.数据库运维</w:t>
            </w:r>
            <w:bookmarkEnd w:id="77"/>
          </w:p>
          <w:p>
            <w:pPr>
              <w:pStyle w:val="111"/>
              <w:spacing w:line="300" w:lineRule="exact"/>
              <w:ind w:firstLine="420"/>
              <w:rPr>
                <w:rFonts w:hint="eastAsia" w:cs="宋体"/>
                <w:sz w:val="21"/>
                <w:szCs w:val="21"/>
              </w:rPr>
            </w:pPr>
            <w:r>
              <w:rPr>
                <w:rFonts w:hint="eastAsia" w:cs="宋体"/>
                <w:sz w:val="21"/>
                <w:szCs w:val="21"/>
              </w:rPr>
              <w:t>根据实际需求，负责维护各系统数据库的备份/还原、监控、故障处理、性能优化、容灾、升级/迁移等问题。</w:t>
            </w:r>
          </w:p>
          <w:p>
            <w:pPr>
              <w:pStyle w:val="111"/>
              <w:spacing w:line="300" w:lineRule="exact"/>
              <w:ind w:firstLine="420"/>
              <w:rPr>
                <w:rFonts w:hint="eastAsia" w:cs="宋体"/>
                <w:sz w:val="21"/>
                <w:szCs w:val="21"/>
              </w:rPr>
            </w:pPr>
            <w:r>
              <w:rPr>
                <w:rFonts w:hint="eastAsia" w:cs="宋体"/>
                <w:sz w:val="21"/>
                <w:szCs w:val="21"/>
              </w:rPr>
              <w:t>（1）数据备份/还原</w:t>
            </w:r>
          </w:p>
          <w:p>
            <w:pPr>
              <w:pStyle w:val="111"/>
              <w:spacing w:line="300" w:lineRule="exact"/>
              <w:ind w:firstLine="420"/>
              <w:rPr>
                <w:rFonts w:hint="eastAsia" w:cs="宋体"/>
                <w:sz w:val="21"/>
                <w:szCs w:val="21"/>
              </w:rPr>
            </w:pPr>
            <w:r>
              <w:rPr>
                <w:rFonts w:hint="eastAsia" w:cs="宋体"/>
                <w:sz w:val="21"/>
                <w:szCs w:val="21"/>
              </w:rPr>
              <w:t>针对不同的服务器制定不同类型的备份，备份策略设置为每日两次增量备份和全量备份。在运维服务期间，应按照备份策略进行备份。对数据备份情况进行跟踪，检查频率为每周一次，并在提交的运维报告中记录。</w:t>
            </w:r>
          </w:p>
          <w:p>
            <w:pPr>
              <w:pStyle w:val="111"/>
              <w:spacing w:line="300" w:lineRule="exact"/>
              <w:ind w:firstLine="420"/>
              <w:rPr>
                <w:rFonts w:hint="eastAsia" w:cs="宋体"/>
                <w:sz w:val="21"/>
                <w:szCs w:val="21"/>
              </w:rPr>
            </w:pPr>
            <w:r>
              <w:rPr>
                <w:rFonts w:hint="eastAsia" w:cs="宋体"/>
                <w:sz w:val="21"/>
                <w:szCs w:val="21"/>
              </w:rPr>
              <w:t>备份数据包括基础数据、业务数据，图片、视频等非结构化数据等。可根据数据内容的不同分为人工手动备份和备份软件自动备份。</w:t>
            </w:r>
          </w:p>
          <w:p>
            <w:pPr>
              <w:pStyle w:val="111"/>
              <w:spacing w:line="300" w:lineRule="exact"/>
              <w:ind w:firstLine="420"/>
              <w:rPr>
                <w:rFonts w:hint="eastAsia" w:cs="宋体"/>
                <w:sz w:val="21"/>
                <w:szCs w:val="21"/>
              </w:rPr>
            </w:pPr>
            <w:r>
              <w:rPr>
                <w:rFonts w:hint="eastAsia" w:cs="宋体"/>
                <w:sz w:val="21"/>
                <w:szCs w:val="21"/>
              </w:rPr>
              <w:t>应用程序出错则采用最近一次的备份数据恢复相关内容。</w:t>
            </w:r>
          </w:p>
          <w:p>
            <w:pPr>
              <w:pStyle w:val="111"/>
              <w:spacing w:line="300" w:lineRule="exact"/>
              <w:ind w:firstLine="420"/>
              <w:rPr>
                <w:rFonts w:hint="eastAsia" w:cs="宋体"/>
                <w:sz w:val="21"/>
                <w:szCs w:val="21"/>
              </w:rPr>
            </w:pPr>
            <w:r>
              <w:rPr>
                <w:rFonts w:hint="eastAsia" w:cs="宋体"/>
                <w:sz w:val="21"/>
                <w:szCs w:val="21"/>
              </w:rPr>
              <w:t>数据库监控</w:t>
            </w:r>
          </w:p>
          <w:p>
            <w:pPr>
              <w:pStyle w:val="111"/>
              <w:spacing w:line="300" w:lineRule="exact"/>
              <w:ind w:firstLine="420"/>
              <w:rPr>
                <w:rFonts w:hint="eastAsia" w:cs="宋体"/>
                <w:sz w:val="21"/>
                <w:szCs w:val="21"/>
              </w:rPr>
            </w:pPr>
            <w:r>
              <w:rPr>
                <w:rFonts w:hint="eastAsia" w:cs="宋体"/>
                <w:sz w:val="21"/>
                <w:szCs w:val="21"/>
              </w:rPr>
              <w:t>（2）对数据库进行监控，保证数据库系统安全、稳定及性能优化，进行健康检查。完善数据库存活和性能监控，及时了解数据库运行状态及故障。</w:t>
            </w:r>
          </w:p>
          <w:p>
            <w:pPr>
              <w:pStyle w:val="111"/>
              <w:spacing w:line="300" w:lineRule="exact"/>
              <w:ind w:firstLine="420"/>
              <w:rPr>
                <w:rFonts w:hint="eastAsia" w:cs="宋体"/>
                <w:sz w:val="21"/>
                <w:szCs w:val="21"/>
              </w:rPr>
            </w:pPr>
            <w:r>
              <w:rPr>
                <w:rFonts w:hint="eastAsia" w:cs="宋体"/>
                <w:sz w:val="21"/>
                <w:szCs w:val="21"/>
              </w:rPr>
              <w:t>（3）数据库安全</w:t>
            </w:r>
          </w:p>
          <w:p>
            <w:pPr>
              <w:pStyle w:val="111"/>
              <w:spacing w:line="300" w:lineRule="exact"/>
              <w:ind w:firstLine="420"/>
              <w:rPr>
                <w:rFonts w:hint="eastAsia" w:cs="宋体"/>
                <w:sz w:val="21"/>
                <w:szCs w:val="21"/>
              </w:rPr>
            </w:pPr>
            <w:r>
              <w:rPr>
                <w:rFonts w:hint="eastAsia" w:cs="宋体"/>
                <w:sz w:val="21"/>
                <w:szCs w:val="21"/>
              </w:rPr>
              <w:t>建设数据库账号体系，严格控制账号权限与开放范围，降低误操作和数据泄露的风险；加强离线备份数据的管理，降低数据泄露的风险。</w:t>
            </w:r>
          </w:p>
          <w:p>
            <w:pPr>
              <w:pStyle w:val="111"/>
              <w:spacing w:line="300" w:lineRule="exact"/>
              <w:ind w:firstLine="420"/>
              <w:rPr>
                <w:rFonts w:hint="eastAsia" w:cs="宋体"/>
                <w:sz w:val="21"/>
                <w:szCs w:val="21"/>
              </w:rPr>
            </w:pPr>
            <w:bookmarkStart w:id="78" w:name="_Toc2000578138"/>
            <w:r>
              <w:rPr>
                <w:rFonts w:hint="eastAsia" w:cs="宋体"/>
                <w:sz w:val="21"/>
                <w:szCs w:val="21"/>
              </w:rPr>
              <w:t>4.系统安全保障</w:t>
            </w:r>
            <w:bookmarkEnd w:id="78"/>
          </w:p>
          <w:p>
            <w:pPr>
              <w:pStyle w:val="111"/>
              <w:spacing w:line="300" w:lineRule="exact"/>
              <w:ind w:firstLine="420"/>
              <w:rPr>
                <w:rFonts w:hint="eastAsia" w:cs="宋体"/>
                <w:sz w:val="21"/>
                <w:szCs w:val="21"/>
              </w:rPr>
            </w:pPr>
            <w:r>
              <w:rPr>
                <w:rFonts w:hint="eastAsia" w:cs="宋体"/>
                <w:sz w:val="21"/>
                <w:szCs w:val="21"/>
              </w:rPr>
              <w:t>（1）应用备份情况：应用数量、应用备份配置情况、应用异地备份情况。</w:t>
            </w:r>
          </w:p>
          <w:p>
            <w:pPr>
              <w:pStyle w:val="111"/>
              <w:spacing w:line="300" w:lineRule="exact"/>
              <w:ind w:firstLine="420"/>
              <w:rPr>
                <w:rFonts w:hint="eastAsia" w:cs="宋体"/>
                <w:sz w:val="21"/>
                <w:szCs w:val="21"/>
              </w:rPr>
            </w:pPr>
            <w:r>
              <w:rPr>
                <w:rFonts w:hint="eastAsia" w:cs="宋体"/>
                <w:sz w:val="21"/>
                <w:szCs w:val="21"/>
              </w:rPr>
              <w:t>（2）杀毒软件升级情况：按相关文件要求安装相应的杀毒软件，并及时进行版本更新，定期检查、汇报。</w:t>
            </w:r>
          </w:p>
          <w:p>
            <w:pPr>
              <w:pStyle w:val="111"/>
              <w:spacing w:line="300" w:lineRule="exact"/>
              <w:ind w:firstLine="420"/>
              <w:rPr>
                <w:rFonts w:hint="eastAsia" w:cs="宋体"/>
                <w:sz w:val="21"/>
                <w:szCs w:val="21"/>
              </w:rPr>
            </w:pPr>
            <w:r>
              <w:rPr>
                <w:rFonts w:hint="eastAsia" w:cs="宋体"/>
                <w:sz w:val="21"/>
                <w:szCs w:val="21"/>
              </w:rPr>
              <w:t>（3）安全漏洞修补情况：每个月至少进行一次安全漏洞扫描检查，使用漏洞扫描系统对各系统进行安全检查，发现操作系统、数据库、中间件、网络设备、防火墙等的漏洞并进行安全漏洞修补（优先解决高风险漏洞，根据安全影响的层面和中心要求处理中、低风险漏洞）。</w:t>
            </w:r>
          </w:p>
          <w:p>
            <w:pPr>
              <w:pStyle w:val="111"/>
              <w:spacing w:line="300" w:lineRule="exact"/>
              <w:ind w:firstLine="420"/>
              <w:rPr>
                <w:rFonts w:hint="eastAsia" w:cs="宋体"/>
                <w:sz w:val="21"/>
                <w:szCs w:val="21"/>
              </w:rPr>
            </w:pPr>
            <w:r>
              <w:rPr>
                <w:rFonts w:hint="eastAsia" w:cs="宋体"/>
                <w:sz w:val="21"/>
                <w:szCs w:val="21"/>
              </w:rPr>
              <w:t>（4）等保测评情况：根据等保测评或第三方检测机构检测出的安全问题和执法局要求对系统进行整改。</w:t>
            </w:r>
          </w:p>
          <w:tbl>
            <w:tblPr>
              <w:tblStyle w:val="31"/>
              <w:tblW w:w="49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8"/>
              <w:gridCol w:w="2811"/>
              <w:gridCol w:w="553"/>
              <w:gridCol w:w="553"/>
              <w:gridCol w:w="5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trHeight w:val="293" w:hRule="atLeast"/>
                <w:jc w:val="center"/>
              </w:trPr>
              <w:tc>
                <w:tcPr>
                  <w:tcW w:w="4979" w:type="dxa"/>
                  <w:gridSpan w:val="5"/>
                  <w:noWrap w:val="0"/>
                  <w:vAlign w:val="top"/>
                </w:tcPr>
                <w:p>
                  <w:pPr>
                    <w:jc w:val="center"/>
                    <w:rPr>
                      <w:rFonts w:hint="eastAsia" w:cs="宋体"/>
                      <w:sz w:val="24"/>
                    </w:rPr>
                  </w:pPr>
                  <w:bookmarkStart w:id="79" w:name="_Toc1747762529"/>
                  <w:r>
                    <w:rPr>
                      <w:rFonts w:hint="eastAsia" w:cs="宋体"/>
                      <w:szCs w:val="21"/>
                    </w:rPr>
                    <w:t>安全检查（需保存检查截图）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wBefore w:w="0" w:type="dxa"/>
                <w:wAfter w:w="0" w:type="dxa"/>
                <w:trHeight w:val="308" w:hRule="atLeast"/>
                <w:jc w:val="center"/>
              </w:trPr>
              <w:tc>
                <w:tcPr>
                  <w:tcW w:w="508" w:type="dxa"/>
                  <w:vMerge w:val="restart"/>
                  <w:noWrap w:val="0"/>
                  <w:vAlign w:val="center"/>
                </w:tcPr>
                <w:p>
                  <w:pPr>
                    <w:jc w:val="center"/>
                    <w:rPr>
                      <w:rFonts w:hint="eastAsia" w:cs="宋体"/>
                      <w:szCs w:val="21"/>
                    </w:rPr>
                  </w:pPr>
                  <w:r>
                    <w:rPr>
                      <w:rFonts w:hint="eastAsia" w:cs="宋体"/>
                      <w:szCs w:val="21"/>
                    </w:rPr>
                    <w:t>序号</w:t>
                  </w:r>
                </w:p>
              </w:tc>
              <w:tc>
                <w:tcPr>
                  <w:tcW w:w="2811" w:type="dxa"/>
                  <w:vMerge w:val="restart"/>
                  <w:noWrap w:val="0"/>
                  <w:vAlign w:val="center"/>
                </w:tcPr>
                <w:p>
                  <w:pPr>
                    <w:jc w:val="center"/>
                    <w:rPr>
                      <w:rFonts w:hint="eastAsia" w:cs="宋体"/>
                      <w:szCs w:val="21"/>
                    </w:rPr>
                  </w:pPr>
                  <w:r>
                    <w:rPr>
                      <w:rFonts w:hint="eastAsia" w:cs="宋体"/>
                      <w:szCs w:val="21"/>
                    </w:rPr>
                    <w:t>工作内容</w:t>
                  </w:r>
                </w:p>
              </w:tc>
              <w:tc>
                <w:tcPr>
                  <w:tcW w:w="1661" w:type="dxa"/>
                  <w:gridSpan w:val="3"/>
                  <w:noWrap w:val="0"/>
                  <w:vAlign w:val="top"/>
                </w:tcPr>
                <w:p>
                  <w:pPr>
                    <w:jc w:val="center"/>
                    <w:rPr>
                      <w:rFonts w:hint="eastAsia" w:cs="宋体"/>
                      <w:szCs w:val="21"/>
                    </w:rPr>
                  </w:pPr>
                  <w:r>
                    <w:rPr>
                      <w:rFonts w:hint="eastAsia" w:cs="宋体"/>
                      <w:szCs w:val="21"/>
                    </w:rPr>
                    <w:t>执行周期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wBefore w:w="0" w:type="dxa"/>
                <w:wAfter w:w="0" w:type="dxa"/>
                <w:trHeight w:val="140" w:hRule="atLeast"/>
                <w:jc w:val="center"/>
              </w:trPr>
              <w:tc>
                <w:tcPr>
                  <w:tcW w:w="508" w:type="dxa"/>
                  <w:vMerge w:val="continue"/>
                  <w:noWrap w:val="0"/>
                  <w:vAlign w:val="top"/>
                </w:tcPr>
                <w:p>
                  <w:pPr>
                    <w:jc w:val="center"/>
                    <w:rPr>
                      <w:rFonts w:hint="eastAsia" w:cs="宋体"/>
                      <w:szCs w:val="21"/>
                    </w:rPr>
                  </w:pPr>
                </w:p>
              </w:tc>
              <w:tc>
                <w:tcPr>
                  <w:tcW w:w="2811" w:type="dxa"/>
                  <w:vMerge w:val="continue"/>
                  <w:noWrap w:val="0"/>
                  <w:vAlign w:val="top"/>
                </w:tcPr>
                <w:p>
                  <w:pPr>
                    <w:jc w:val="center"/>
                    <w:rPr>
                      <w:rFonts w:hint="eastAsia" w:cs="宋体"/>
                      <w:szCs w:val="21"/>
                    </w:rPr>
                  </w:pPr>
                </w:p>
              </w:tc>
              <w:tc>
                <w:tcPr>
                  <w:tcW w:w="553" w:type="dxa"/>
                  <w:noWrap w:val="0"/>
                  <w:vAlign w:val="top"/>
                </w:tcPr>
                <w:p>
                  <w:pPr>
                    <w:jc w:val="center"/>
                    <w:rPr>
                      <w:rFonts w:hint="eastAsia" w:cs="宋体"/>
                      <w:szCs w:val="21"/>
                    </w:rPr>
                  </w:pPr>
                  <w:r>
                    <w:rPr>
                      <w:rFonts w:hint="eastAsia" w:cs="宋体"/>
                      <w:szCs w:val="21"/>
                    </w:rPr>
                    <w:t>日</w:t>
                  </w:r>
                </w:p>
              </w:tc>
              <w:tc>
                <w:tcPr>
                  <w:tcW w:w="553" w:type="dxa"/>
                  <w:noWrap w:val="0"/>
                  <w:vAlign w:val="top"/>
                </w:tcPr>
                <w:p>
                  <w:pPr>
                    <w:jc w:val="center"/>
                    <w:rPr>
                      <w:rFonts w:hint="eastAsia" w:cs="宋体"/>
                      <w:szCs w:val="21"/>
                    </w:rPr>
                  </w:pPr>
                  <w:r>
                    <w:rPr>
                      <w:rFonts w:hint="eastAsia" w:cs="宋体"/>
                      <w:szCs w:val="21"/>
                    </w:rPr>
                    <w:t>周</w:t>
                  </w:r>
                </w:p>
              </w:tc>
              <w:tc>
                <w:tcPr>
                  <w:tcW w:w="555" w:type="dxa"/>
                  <w:noWrap w:val="0"/>
                  <w:vAlign w:val="top"/>
                </w:tcPr>
                <w:p>
                  <w:pPr>
                    <w:jc w:val="center"/>
                    <w:rPr>
                      <w:rFonts w:hint="eastAsia" w:cs="宋体"/>
                      <w:szCs w:val="21"/>
                    </w:rPr>
                  </w:pPr>
                  <w:r>
                    <w:rPr>
                      <w:rFonts w:hint="eastAsia" w:cs="宋体"/>
                      <w:szCs w:val="21"/>
                    </w:rPr>
                    <w:t>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08" w:hRule="atLeast"/>
                <w:jc w:val="center"/>
              </w:trPr>
              <w:tc>
                <w:tcPr>
                  <w:tcW w:w="508" w:type="dxa"/>
                  <w:noWrap w:val="0"/>
                  <w:vAlign w:val="top"/>
                </w:tcPr>
                <w:p>
                  <w:pPr>
                    <w:jc w:val="center"/>
                    <w:rPr>
                      <w:rFonts w:hint="eastAsia" w:cs="宋体"/>
                      <w:szCs w:val="21"/>
                    </w:rPr>
                  </w:pPr>
                  <w:r>
                    <w:rPr>
                      <w:rFonts w:hint="eastAsia" w:cs="宋体"/>
                      <w:szCs w:val="21"/>
                    </w:rPr>
                    <w:t>1</w:t>
                  </w:r>
                </w:p>
              </w:tc>
              <w:tc>
                <w:tcPr>
                  <w:tcW w:w="2811" w:type="dxa"/>
                  <w:noWrap w:val="0"/>
                  <w:vAlign w:val="top"/>
                </w:tcPr>
                <w:p>
                  <w:pPr>
                    <w:jc w:val="center"/>
                    <w:rPr>
                      <w:rFonts w:hint="eastAsia" w:cs="宋体"/>
                      <w:szCs w:val="21"/>
                    </w:rPr>
                  </w:pPr>
                  <w:r>
                    <w:rPr>
                      <w:rFonts w:hint="eastAsia" w:cs="宋体"/>
                      <w:szCs w:val="21"/>
                    </w:rPr>
                    <w:t>应用备份</w:t>
                  </w:r>
                </w:p>
              </w:tc>
              <w:tc>
                <w:tcPr>
                  <w:tcW w:w="553" w:type="dxa"/>
                  <w:noWrap w:val="0"/>
                  <w:vAlign w:val="top"/>
                </w:tcPr>
                <w:p>
                  <w:pPr>
                    <w:jc w:val="center"/>
                    <w:rPr>
                      <w:rFonts w:hint="eastAsia" w:cs="宋体"/>
                      <w:szCs w:val="21"/>
                    </w:rPr>
                  </w:pPr>
                  <w:r>
                    <w:rPr>
                      <w:rFonts w:hint="eastAsia" w:cs="宋体"/>
                      <w:szCs w:val="21"/>
                    </w:rPr>
                    <w:t>√</w:t>
                  </w:r>
                </w:p>
              </w:tc>
              <w:tc>
                <w:tcPr>
                  <w:tcW w:w="553" w:type="dxa"/>
                  <w:noWrap w:val="0"/>
                  <w:vAlign w:val="top"/>
                </w:tcPr>
                <w:p>
                  <w:pPr>
                    <w:jc w:val="center"/>
                    <w:rPr>
                      <w:rFonts w:hint="eastAsia" w:cs="宋体"/>
                      <w:szCs w:val="21"/>
                    </w:rPr>
                  </w:pPr>
                </w:p>
              </w:tc>
              <w:tc>
                <w:tcPr>
                  <w:tcW w:w="555" w:type="dxa"/>
                  <w:noWrap w:val="0"/>
                  <w:vAlign w:val="top"/>
                </w:tcPr>
                <w:p>
                  <w:pPr>
                    <w:jc w:val="center"/>
                    <w:rPr>
                      <w:rFonts w:hint="eastAsia"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93" w:hRule="atLeast"/>
                <w:jc w:val="center"/>
              </w:trPr>
              <w:tc>
                <w:tcPr>
                  <w:tcW w:w="508" w:type="dxa"/>
                  <w:noWrap w:val="0"/>
                  <w:vAlign w:val="top"/>
                </w:tcPr>
                <w:p>
                  <w:pPr>
                    <w:jc w:val="center"/>
                    <w:rPr>
                      <w:rFonts w:hint="eastAsia" w:cs="宋体"/>
                      <w:szCs w:val="21"/>
                    </w:rPr>
                  </w:pPr>
                  <w:r>
                    <w:rPr>
                      <w:rFonts w:hint="eastAsia" w:cs="宋体"/>
                      <w:szCs w:val="21"/>
                    </w:rPr>
                    <w:t>2</w:t>
                  </w:r>
                </w:p>
              </w:tc>
              <w:tc>
                <w:tcPr>
                  <w:tcW w:w="2811" w:type="dxa"/>
                  <w:noWrap w:val="0"/>
                  <w:vAlign w:val="top"/>
                </w:tcPr>
                <w:p>
                  <w:pPr>
                    <w:jc w:val="center"/>
                    <w:rPr>
                      <w:rFonts w:hint="eastAsia" w:cs="宋体"/>
                      <w:szCs w:val="21"/>
                    </w:rPr>
                  </w:pPr>
                  <w:r>
                    <w:rPr>
                      <w:rFonts w:hint="eastAsia" w:cs="宋体"/>
                      <w:szCs w:val="21"/>
                    </w:rPr>
                    <w:t>杀毒软件升级</w:t>
                  </w:r>
                </w:p>
              </w:tc>
              <w:tc>
                <w:tcPr>
                  <w:tcW w:w="553" w:type="dxa"/>
                  <w:noWrap w:val="0"/>
                  <w:vAlign w:val="top"/>
                </w:tcPr>
                <w:p>
                  <w:pPr>
                    <w:jc w:val="center"/>
                    <w:rPr>
                      <w:rFonts w:hint="eastAsia" w:cs="宋体"/>
                      <w:szCs w:val="21"/>
                    </w:rPr>
                  </w:pPr>
                </w:p>
              </w:tc>
              <w:tc>
                <w:tcPr>
                  <w:tcW w:w="553" w:type="dxa"/>
                  <w:noWrap w:val="0"/>
                  <w:vAlign w:val="top"/>
                </w:tcPr>
                <w:p>
                  <w:pPr>
                    <w:jc w:val="center"/>
                    <w:rPr>
                      <w:rFonts w:hint="eastAsia" w:cs="宋体"/>
                      <w:szCs w:val="21"/>
                    </w:rPr>
                  </w:pPr>
                </w:p>
              </w:tc>
              <w:tc>
                <w:tcPr>
                  <w:tcW w:w="55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wBefore w:w="0" w:type="dxa"/>
                <w:wAfter w:w="0" w:type="dxa"/>
                <w:trHeight w:val="308" w:hRule="atLeast"/>
                <w:jc w:val="center"/>
              </w:trPr>
              <w:tc>
                <w:tcPr>
                  <w:tcW w:w="508" w:type="dxa"/>
                  <w:noWrap w:val="0"/>
                  <w:vAlign w:val="top"/>
                </w:tcPr>
                <w:p>
                  <w:pPr>
                    <w:jc w:val="center"/>
                    <w:rPr>
                      <w:rFonts w:hint="eastAsia" w:cs="宋体"/>
                      <w:szCs w:val="21"/>
                    </w:rPr>
                  </w:pPr>
                  <w:r>
                    <w:rPr>
                      <w:rFonts w:hint="eastAsia" w:cs="宋体"/>
                      <w:szCs w:val="21"/>
                    </w:rPr>
                    <w:t>3</w:t>
                  </w:r>
                </w:p>
              </w:tc>
              <w:tc>
                <w:tcPr>
                  <w:tcW w:w="2811" w:type="dxa"/>
                  <w:noWrap w:val="0"/>
                  <w:vAlign w:val="top"/>
                </w:tcPr>
                <w:p>
                  <w:pPr>
                    <w:jc w:val="center"/>
                    <w:rPr>
                      <w:rFonts w:hint="eastAsia" w:cs="宋体"/>
                      <w:szCs w:val="21"/>
                    </w:rPr>
                  </w:pPr>
                  <w:r>
                    <w:rPr>
                      <w:rFonts w:hint="eastAsia" w:cs="宋体"/>
                      <w:szCs w:val="21"/>
                    </w:rPr>
                    <w:t>安全漏洞扫描</w:t>
                  </w:r>
                </w:p>
              </w:tc>
              <w:tc>
                <w:tcPr>
                  <w:tcW w:w="553" w:type="dxa"/>
                  <w:noWrap w:val="0"/>
                  <w:vAlign w:val="top"/>
                </w:tcPr>
                <w:p>
                  <w:pPr>
                    <w:jc w:val="center"/>
                    <w:rPr>
                      <w:rFonts w:hint="eastAsia" w:cs="宋体"/>
                      <w:szCs w:val="21"/>
                    </w:rPr>
                  </w:pPr>
                </w:p>
              </w:tc>
              <w:tc>
                <w:tcPr>
                  <w:tcW w:w="553" w:type="dxa"/>
                  <w:noWrap w:val="0"/>
                  <w:vAlign w:val="top"/>
                </w:tcPr>
                <w:p>
                  <w:pPr>
                    <w:jc w:val="center"/>
                    <w:rPr>
                      <w:rFonts w:hint="eastAsia" w:cs="宋体"/>
                      <w:szCs w:val="21"/>
                    </w:rPr>
                  </w:pPr>
                </w:p>
              </w:tc>
              <w:tc>
                <w:tcPr>
                  <w:tcW w:w="555" w:type="dxa"/>
                  <w:noWrap w:val="0"/>
                  <w:vAlign w:val="top"/>
                </w:tcPr>
                <w:p>
                  <w:pPr>
                    <w:jc w:val="center"/>
                    <w:rPr>
                      <w:rFonts w:hint="eastAsia" w:cs="宋体"/>
                      <w:szCs w:val="21"/>
                    </w:rPr>
                  </w:pPr>
                  <w:r>
                    <w:rPr>
                      <w:rFonts w:hint="eastAsia" w:cs="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308" w:hRule="atLeast"/>
                <w:jc w:val="center"/>
              </w:trPr>
              <w:tc>
                <w:tcPr>
                  <w:tcW w:w="508" w:type="dxa"/>
                  <w:noWrap w:val="0"/>
                  <w:vAlign w:val="top"/>
                </w:tcPr>
                <w:p>
                  <w:pPr>
                    <w:jc w:val="center"/>
                    <w:rPr>
                      <w:rFonts w:hint="eastAsia" w:cs="宋体"/>
                      <w:szCs w:val="21"/>
                    </w:rPr>
                  </w:pPr>
                  <w:r>
                    <w:rPr>
                      <w:rFonts w:hint="eastAsia" w:cs="宋体"/>
                      <w:szCs w:val="21"/>
                    </w:rPr>
                    <w:t>4</w:t>
                  </w:r>
                </w:p>
              </w:tc>
              <w:tc>
                <w:tcPr>
                  <w:tcW w:w="2811" w:type="dxa"/>
                  <w:noWrap w:val="0"/>
                  <w:vAlign w:val="top"/>
                </w:tcPr>
                <w:p>
                  <w:pPr>
                    <w:jc w:val="center"/>
                    <w:rPr>
                      <w:rFonts w:hint="eastAsia" w:cs="宋体"/>
                      <w:szCs w:val="21"/>
                    </w:rPr>
                  </w:pPr>
                  <w:r>
                    <w:rPr>
                      <w:rFonts w:hint="eastAsia" w:cs="宋体"/>
                      <w:szCs w:val="21"/>
                    </w:rPr>
                    <w:t>等保测评后整改</w:t>
                  </w:r>
                </w:p>
              </w:tc>
              <w:tc>
                <w:tcPr>
                  <w:tcW w:w="1661" w:type="dxa"/>
                  <w:gridSpan w:val="3"/>
                  <w:noWrap w:val="0"/>
                  <w:vAlign w:val="top"/>
                </w:tcPr>
                <w:p>
                  <w:pPr>
                    <w:jc w:val="center"/>
                    <w:rPr>
                      <w:rFonts w:hint="eastAsia" w:cs="宋体"/>
                      <w:szCs w:val="21"/>
                    </w:rPr>
                  </w:pPr>
                  <w:r>
                    <w:rPr>
                      <w:rFonts w:hint="eastAsia" w:cs="宋体"/>
                      <w:szCs w:val="21"/>
                    </w:rPr>
                    <w:t>按需</w:t>
                  </w:r>
                </w:p>
              </w:tc>
            </w:tr>
          </w:tbl>
          <w:p>
            <w:pPr>
              <w:pStyle w:val="111"/>
              <w:spacing w:line="300" w:lineRule="exact"/>
              <w:ind w:firstLine="420"/>
              <w:rPr>
                <w:rFonts w:hint="eastAsia" w:cs="宋体"/>
                <w:sz w:val="21"/>
                <w:szCs w:val="21"/>
              </w:rPr>
            </w:pPr>
          </w:p>
          <w:p>
            <w:pPr>
              <w:pStyle w:val="111"/>
              <w:spacing w:line="300" w:lineRule="exact"/>
              <w:ind w:firstLine="420"/>
              <w:rPr>
                <w:rFonts w:hint="eastAsia" w:cs="宋体"/>
                <w:sz w:val="21"/>
                <w:szCs w:val="21"/>
              </w:rPr>
            </w:pPr>
            <w:r>
              <w:rPr>
                <w:rFonts w:hint="eastAsia" w:cs="宋体"/>
                <w:sz w:val="21"/>
                <w:szCs w:val="21"/>
              </w:rPr>
              <w:t>5.重大节假日保障</w:t>
            </w:r>
            <w:bookmarkEnd w:id="79"/>
          </w:p>
          <w:p>
            <w:pPr>
              <w:pStyle w:val="111"/>
              <w:spacing w:line="300" w:lineRule="exact"/>
              <w:ind w:firstLine="420"/>
              <w:rPr>
                <w:rFonts w:hint="eastAsia" w:cs="宋体"/>
                <w:sz w:val="21"/>
                <w:szCs w:val="21"/>
              </w:rPr>
            </w:pPr>
            <w:bookmarkStart w:id="80" w:name="_Toc377330656"/>
            <w:r>
              <w:rPr>
                <w:rFonts w:hint="eastAsia" w:cs="宋体"/>
                <w:sz w:val="21"/>
                <w:szCs w:val="21"/>
              </w:rPr>
              <w:t>保障重要活动节假日期间平台安全可靠运行，全面提高应对突发情况的综合管理水平和应急处置能力，最大限度地保证重大节假日期间平台稳定安全运行和可靠畅通。</w:t>
            </w:r>
            <w:bookmarkEnd w:id="80"/>
          </w:p>
          <w:p>
            <w:pPr>
              <w:pStyle w:val="111"/>
              <w:spacing w:line="300" w:lineRule="exact"/>
              <w:ind w:firstLine="420"/>
              <w:rPr>
                <w:rFonts w:hint="eastAsia" w:cs="宋体"/>
                <w:sz w:val="21"/>
                <w:szCs w:val="21"/>
              </w:rPr>
            </w:pPr>
            <w:bookmarkStart w:id="81" w:name="_Toc865739773"/>
            <w:r>
              <w:rPr>
                <w:rFonts w:hint="eastAsia" w:cs="宋体"/>
                <w:sz w:val="21"/>
                <w:szCs w:val="21"/>
              </w:rPr>
              <w:t>（1）应急资源、人员准备。提前做好资源分配工作、做好应急预案，成立专职保障小组、安排专人进行 24 小时待命。</w:t>
            </w:r>
            <w:bookmarkEnd w:id="81"/>
          </w:p>
          <w:p>
            <w:pPr>
              <w:pStyle w:val="111"/>
              <w:spacing w:line="300" w:lineRule="exact"/>
              <w:ind w:firstLine="420"/>
              <w:rPr>
                <w:rFonts w:hint="eastAsia" w:cs="宋体"/>
                <w:sz w:val="21"/>
                <w:szCs w:val="21"/>
              </w:rPr>
            </w:pPr>
            <w:bookmarkStart w:id="82" w:name="_Toc994722729"/>
            <w:r>
              <w:rPr>
                <w:rFonts w:hint="eastAsia" w:cs="宋体"/>
                <w:sz w:val="21"/>
                <w:szCs w:val="21"/>
              </w:rPr>
              <w:t>（2）加强监控和巡查频次。</w:t>
            </w:r>
            <w:bookmarkEnd w:id="82"/>
          </w:p>
          <w:p>
            <w:pPr>
              <w:pStyle w:val="111"/>
              <w:spacing w:line="300" w:lineRule="exact"/>
              <w:ind w:firstLine="420"/>
              <w:rPr>
                <w:rFonts w:hint="eastAsia" w:cs="宋体"/>
                <w:sz w:val="21"/>
                <w:szCs w:val="21"/>
              </w:rPr>
            </w:pPr>
            <w:bookmarkStart w:id="83" w:name="_Toc251125879"/>
            <w:r>
              <w:rPr>
                <w:rFonts w:hint="eastAsia" w:cs="宋体"/>
                <w:sz w:val="21"/>
                <w:szCs w:val="21"/>
              </w:rPr>
              <w:t>6.系统运维结果输出</w:t>
            </w:r>
            <w:bookmarkEnd w:id="83"/>
          </w:p>
          <w:p>
            <w:pPr>
              <w:pStyle w:val="111"/>
              <w:spacing w:line="300" w:lineRule="exact"/>
              <w:ind w:firstLine="420"/>
              <w:rPr>
                <w:rFonts w:hint="eastAsia" w:cs="宋体"/>
                <w:sz w:val="21"/>
                <w:szCs w:val="21"/>
              </w:rPr>
            </w:pPr>
            <w:r>
              <w:rPr>
                <w:rFonts w:hint="eastAsia" w:cs="宋体"/>
                <w:sz w:val="21"/>
                <w:szCs w:val="21"/>
              </w:rPr>
              <w:t>在系统运行维护期内做好运维记录，每周输出日常巡检记录，并在钉钉群内发送日常巡检情况。</w:t>
            </w:r>
          </w:p>
          <w:p>
            <w:pPr>
              <w:pStyle w:val="111"/>
              <w:spacing w:line="300" w:lineRule="exact"/>
              <w:ind w:firstLine="420"/>
              <w:rPr>
                <w:rFonts w:hint="eastAsia" w:cs="宋体"/>
                <w:sz w:val="21"/>
                <w:szCs w:val="21"/>
              </w:rPr>
            </w:pPr>
            <w:r>
              <w:rPr>
                <w:rFonts w:hint="eastAsia" w:cs="宋体"/>
                <w:sz w:val="21"/>
                <w:szCs w:val="21"/>
              </w:rPr>
              <w:t>每月、每季度、每年提供运维报告，对期间内的运维工作进行总结，并以邮件和纸质报告的方式提交。</w:t>
            </w:r>
          </w:p>
          <w:p>
            <w:pPr>
              <w:pStyle w:val="111"/>
              <w:spacing w:line="300" w:lineRule="exact"/>
              <w:ind w:firstLine="420"/>
              <w:rPr>
                <w:rFonts w:hint="eastAsia" w:cs="宋体"/>
                <w:sz w:val="21"/>
                <w:szCs w:val="21"/>
              </w:rPr>
            </w:pPr>
            <w:r>
              <w:rPr>
                <w:rFonts w:hint="eastAsia" w:cs="宋体"/>
                <w:sz w:val="21"/>
                <w:szCs w:val="21"/>
              </w:rPr>
              <w:t>在运维服务过程中将产生包括但不限于以下的记录和报告：</w:t>
            </w:r>
          </w:p>
          <w:p>
            <w:pPr>
              <w:pStyle w:val="111"/>
              <w:spacing w:line="300" w:lineRule="exact"/>
              <w:ind w:firstLine="420"/>
              <w:rPr>
                <w:rFonts w:hint="eastAsia" w:cs="宋体"/>
                <w:sz w:val="21"/>
                <w:szCs w:val="21"/>
              </w:rPr>
            </w:pPr>
            <w:r>
              <w:rPr>
                <w:rFonts w:hint="eastAsia" w:cs="宋体"/>
                <w:sz w:val="21"/>
                <w:szCs w:val="21"/>
              </w:rPr>
              <w:t>《运维项目服务明细计划表》</w:t>
            </w:r>
          </w:p>
          <w:p>
            <w:pPr>
              <w:pStyle w:val="111"/>
              <w:spacing w:line="300" w:lineRule="exact"/>
              <w:ind w:firstLine="420"/>
              <w:rPr>
                <w:rFonts w:hint="eastAsia" w:cs="宋体"/>
                <w:sz w:val="21"/>
                <w:szCs w:val="21"/>
              </w:rPr>
            </w:pPr>
            <w:r>
              <w:rPr>
                <w:rFonts w:hint="eastAsia" w:cs="宋体"/>
                <w:sz w:val="21"/>
                <w:szCs w:val="21"/>
              </w:rPr>
              <w:t>《运维日常巡检记录》</w:t>
            </w:r>
          </w:p>
          <w:p>
            <w:pPr>
              <w:pStyle w:val="111"/>
              <w:spacing w:line="300" w:lineRule="exact"/>
              <w:ind w:firstLine="420"/>
              <w:rPr>
                <w:rFonts w:hint="eastAsia" w:cs="宋体"/>
                <w:sz w:val="21"/>
                <w:szCs w:val="21"/>
              </w:rPr>
            </w:pPr>
            <w:r>
              <w:rPr>
                <w:rFonts w:hint="eastAsia" w:cs="宋体"/>
                <w:sz w:val="21"/>
                <w:szCs w:val="21"/>
              </w:rPr>
              <w:t>《运维服务月报》</w:t>
            </w:r>
          </w:p>
          <w:p>
            <w:pPr>
              <w:pStyle w:val="111"/>
              <w:spacing w:line="300" w:lineRule="exact"/>
              <w:ind w:firstLine="420"/>
              <w:rPr>
                <w:rFonts w:hint="eastAsia" w:cs="宋体"/>
                <w:sz w:val="21"/>
                <w:szCs w:val="21"/>
              </w:rPr>
            </w:pPr>
            <w:r>
              <w:rPr>
                <w:rFonts w:hint="eastAsia" w:cs="宋体"/>
                <w:sz w:val="21"/>
                <w:szCs w:val="21"/>
              </w:rPr>
              <w:t>《运维服务季报》</w:t>
            </w:r>
          </w:p>
          <w:p>
            <w:pPr>
              <w:pStyle w:val="111"/>
              <w:spacing w:line="300" w:lineRule="exact"/>
              <w:ind w:firstLine="420"/>
              <w:rPr>
                <w:rFonts w:hint="eastAsia" w:cs="宋体"/>
                <w:sz w:val="21"/>
                <w:szCs w:val="21"/>
              </w:rPr>
            </w:pPr>
            <w:r>
              <w:rPr>
                <w:rFonts w:hint="eastAsia" w:cs="宋体"/>
                <w:sz w:val="21"/>
                <w:szCs w:val="21"/>
              </w:rPr>
              <w:t>《运维服务年度总结报告》</w:t>
            </w:r>
          </w:p>
          <w:p>
            <w:pPr>
              <w:pStyle w:val="111"/>
              <w:spacing w:line="300" w:lineRule="exact"/>
              <w:ind w:firstLine="420"/>
              <w:rPr>
                <w:rFonts w:hint="eastAsia" w:cs="宋体"/>
                <w:sz w:val="21"/>
                <w:szCs w:val="21"/>
              </w:rPr>
            </w:pPr>
            <w:r>
              <w:rPr>
                <w:rFonts w:hint="eastAsia" w:cs="宋体"/>
                <w:sz w:val="21"/>
                <w:szCs w:val="21"/>
              </w:rPr>
              <w:t>《重大故障记录报告》</w:t>
            </w:r>
          </w:p>
          <w:p>
            <w:pPr>
              <w:pStyle w:val="111"/>
              <w:spacing w:line="300" w:lineRule="exact"/>
              <w:ind w:firstLine="420"/>
              <w:rPr>
                <w:rFonts w:hint="eastAsia" w:cs="宋体"/>
                <w:sz w:val="21"/>
                <w:szCs w:val="21"/>
              </w:rPr>
            </w:pPr>
            <w:r>
              <w:rPr>
                <w:rFonts w:hint="eastAsia" w:cs="宋体"/>
                <w:sz w:val="21"/>
                <w:szCs w:val="21"/>
              </w:rPr>
              <w:t>《服务资产明细清单》</w:t>
            </w:r>
          </w:p>
          <w:p>
            <w:pPr>
              <w:pStyle w:val="111"/>
              <w:spacing w:line="300" w:lineRule="exact"/>
              <w:ind w:firstLine="420"/>
              <w:rPr>
                <w:rFonts w:hint="eastAsia" w:cs="宋体"/>
                <w:sz w:val="21"/>
                <w:szCs w:val="21"/>
              </w:rPr>
            </w:pPr>
            <w:bookmarkStart w:id="84" w:name="_Toc823844569"/>
            <w:bookmarkStart w:id="85" w:name="_Toc1157020357_WPSOffice_Level2"/>
            <w:r>
              <w:rPr>
                <w:rFonts w:hint="eastAsia" w:cs="宋体"/>
                <w:sz w:val="21"/>
                <w:szCs w:val="21"/>
              </w:rPr>
              <w:t>（四）各业务系统具体运维要求</w:t>
            </w:r>
            <w:bookmarkEnd w:id="84"/>
            <w:bookmarkEnd w:id="85"/>
          </w:p>
          <w:p>
            <w:pPr>
              <w:pStyle w:val="111"/>
              <w:spacing w:line="300" w:lineRule="exact"/>
              <w:ind w:firstLine="420"/>
              <w:rPr>
                <w:rFonts w:hint="eastAsia" w:cs="宋体"/>
                <w:sz w:val="21"/>
                <w:szCs w:val="21"/>
              </w:rPr>
            </w:pPr>
            <w:r>
              <w:rPr>
                <w:rFonts w:hint="eastAsia" w:cs="宋体"/>
                <w:sz w:val="21"/>
                <w:szCs w:val="21"/>
              </w:rPr>
              <w:t>包括但不限于以下方面：</w:t>
            </w:r>
          </w:p>
          <w:tbl>
            <w:tblPr>
              <w:tblStyle w:val="31"/>
              <w:tblW w:w="48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54"/>
              <w:gridCol w:w="820"/>
              <w:gridCol w:w="36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2" w:hRule="atLeast"/>
                <w:tblHeader/>
                <w:jc w:val="center"/>
              </w:trPr>
              <w:tc>
                <w:tcPr>
                  <w:tcW w:w="354" w:type="dxa"/>
                  <w:noWrap w:val="0"/>
                  <w:vAlign w:val="center"/>
                </w:tcPr>
                <w:p>
                  <w:pPr>
                    <w:jc w:val="center"/>
                    <w:rPr>
                      <w:rFonts w:eastAsia="仿宋"/>
                      <w:bCs/>
                      <w:color w:val="000000"/>
                      <w:szCs w:val="21"/>
                    </w:rPr>
                  </w:pPr>
                  <w:bookmarkStart w:id="86" w:name="_Toc2145405215_WPSOffice_Level2"/>
                  <w:bookmarkStart w:id="87" w:name="_Toc1067579235"/>
                  <w:r>
                    <w:rPr>
                      <w:rFonts w:cs="宋体"/>
                      <w:szCs w:val="21"/>
                    </w:rPr>
                    <w:t>序号</w:t>
                  </w:r>
                </w:p>
              </w:tc>
              <w:tc>
                <w:tcPr>
                  <w:tcW w:w="820" w:type="dxa"/>
                  <w:noWrap w:val="0"/>
                  <w:vAlign w:val="center"/>
                </w:tcPr>
                <w:p>
                  <w:pPr>
                    <w:jc w:val="center"/>
                    <w:rPr>
                      <w:rFonts w:eastAsia="仿宋"/>
                      <w:bCs/>
                      <w:color w:val="000000"/>
                      <w:szCs w:val="21"/>
                    </w:rPr>
                  </w:pPr>
                  <w:r>
                    <w:rPr>
                      <w:rFonts w:cs="宋体"/>
                      <w:szCs w:val="21"/>
                    </w:rPr>
                    <w:t>系统名称</w:t>
                  </w:r>
                </w:p>
              </w:tc>
              <w:tc>
                <w:tcPr>
                  <w:tcW w:w="3644" w:type="dxa"/>
                  <w:noWrap w:val="0"/>
                  <w:vAlign w:val="center"/>
                </w:tcPr>
                <w:p>
                  <w:pPr>
                    <w:jc w:val="center"/>
                    <w:rPr>
                      <w:rFonts w:eastAsia="仿宋"/>
                      <w:bCs/>
                      <w:color w:val="000000"/>
                      <w:szCs w:val="21"/>
                    </w:rPr>
                  </w:pPr>
                  <w:r>
                    <w:rPr>
                      <w:rFonts w:hint="eastAsia" w:cs="宋体"/>
                      <w:szCs w:val="21"/>
                    </w:rPr>
                    <w:t>具体运维要求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2" w:hRule="atLeast"/>
                <w:jc w:val="center"/>
              </w:trPr>
              <w:tc>
                <w:tcPr>
                  <w:tcW w:w="354" w:type="dxa"/>
                  <w:noWrap w:val="0"/>
                  <w:vAlign w:val="center"/>
                </w:tcPr>
                <w:p>
                  <w:pPr>
                    <w:jc w:val="center"/>
                    <w:rPr>
                      <w:rFonts w:eastAsia="仿宋"/>
                      <w:bCs/>
                      <w:color w:val="000000"/>
                      <w:szCs w:val="21"/>
                    </w:rPr>
                  </w:pPr>
                  <w:r>
                    <w:rPr>
                      <w:rFonts w:cs="宋体"/>
                      <w:szCs w:val="21"/>
                    </w:rPr>
                    <w:t>1</w:t>
                  </w:r>
                </w:p>
              </w:tc>
              <w:tc>
                <w:tcPr>
                  <w:tcW w:w="820" w:type="dxa"/>
                  <w:noWrap w:val="0"/>
                  <w:vAlign w:val="center"/>
                </w:tcPr>
                <w:p>
                  <w:pPr>
                    <w:jc w:val="center"/>
                    <w:rPr>
                      <w:rFonts w:eastAsia="仿宋"/>
                      <w:bCs/>
                      <w:color w:val="000000"/>
                      <w:szCs w:val="21"/>
                    </w:rPr>
                  </w:pPr>
                  <w:r>
                    <w:rPr>
                      <w:rFonts w:hint="eastAsia" w:cs="宋体"/>
                      <w:szCs w:val="21"/>
                    </w:rPr>
                    <w:t>广西环境监管移动执法系统</w:t>
                  </w:r>
                </w:p>
              </w:tc>
              <w:tc>
                <w:tcPr>
                  <w:tcW w:w="3644" w:type="dxa"/>
                  <w:noWrap w:val="0"/>
                  <w:vAlign w:val="center"/>
                </w:tcPr>
                <w:p>
                  <w:pPr>
                    <w:pStyle w:val="111"/>
                    <w:spacing w:line="300" w:lineRule="exact"/>
                    <w:ind w:firstLine="420"/>
                    <w:rPr>
                      <w:rFonts w:hint="eastAsia" w:cs="宋体"/>
                      <w:sz w:val="21"/>
                      <w:szCs w:val="21"/>
                    </w:rPr>
                  </w:pPr>
                  <w:r>
                    <w:rPr>
                      <w:rFonts w:hint="eastAsia" w:cs="宋体"/>
                      <w:sz w:val="21"/>
                      <w:szCs w:val="21"/>
                    </w:rPr>
                    <w:t>包含硬件运行维护（实施部署、移动终端设备运维、打印设备运维、执法箱设备运维）、软件运行维护（系统功能运行维护、移动执法后台支撑软件运维、笔记本端软件运维、移动执法终端软件运维、支撑软件运维），问题跟踪管理（问题处理反馈、BUG调优开发服务）、应急保障和培训服务，并提供至少1名驻场工程师。</w:t>
                  </w:r>
                </w:p>
                <w:p>
                  <w:pPr>
                    <w:pStyle w:val="111"/>
                    <w:spacing w:line="300" w:lineRule="exact"/>
                    <w:ind w:firstLine="420"/>
                    <w:rPr>
                      <w:rFonts w:hint="eastAsia" w:cs="宋体"/>
                      <w:sz w:val="21"/>
                      <w:szCs w:val="21"/>
                    </w:rPr>
                  </w:pPr>
                  <w:r>
                    <w:rPr>
                      <w:rFonts w:hint="eastAsia" w:cs="宋体"/>
                      <w:sz w:val="21"/>
                      <w:szCs w:val="21"/>
                    </w:rPr>
                    <w:t>1.硬件运行维护</w:t>
                  </w:r>
                </w:p>
                <w:p>
                  <w:pPr>
                    <w:pStyle w:val="111"/>
                    <w:spacing w:line="300" w:lineRule="exact"/>
                    <w:ind w:firstLine="420"/>
                    <w:rPr>
                      <w:rFonts w:hint="eastAsia" w:cs="宋体"/>
                      <w:sz w:val="21"/>
                      <w:szCs w:val="21"/>
                    </w:rPr>
                  </w:pPr>
                  <w:r>
                    <w:rPr>
                      <w:rFonts w:hint="eastAsia" w:cs="宋体"/>
                      <w:sz w:val="21"/>
                      <w:szCs w:val="21"/>
                    </w:rPr>
                    <w:t>移动执法系统涉及一台甚至多台服务器，但是移动执法系统采用集中部署的方式由自治区大数据发展局管理运维，因此本次运维不包括区厅服务器的运维。硬件运维主要是针对自治区、设区市生态环境部门及其派出机构的前端移动执法硬件进行安装调试与运维工作，第一时间发现并排查问题，快速响应、快速处理故障。</w:t>
                  </w:r>
                </w:p>
                <w:p>
                  <w:pPr>
                    <w:pStyle w:val="111"/>
                    <w:spacing w:line="300" w:lineRule="exact"/>
                    <w:ind w:firstLine="420"/>
                    <w:rPr>
                      <w:rFonts w:hint="eastAsia" w:cs="宋体"/>
                      <w:sz w:val="21"/>
                      <w:szCs w:val="21"/>
                    </w:rPr>
                  </w:pPr>
                  <w:r>
                    <w:rPr>
                      <w:rFonts w:hint="eastAsia" w:cs="宋体"/>
                      <w:sz w:val="21"/>
                      <w:szCs w:val="21"/>
                    </w:rPr>
                    <w:t>（1）实施部署</w:t>
                  </w:r>
                </w:p>
                <w:p>
                  <w:pPr>
                    <w:pStyle w:val="111"/>
                    <w:spacing w:line="300" w:lineRule="exact"/>
                    <w:ind w:firstLine="420"/>
                    <w:rPr>
                      <w:rFonts w:hint="eastAsia" w:cs="宋体"/>
                      <w:sz w:val="21"/>
                      <w:szCs w:val="21"/>
                    </w:rPr>
                  </w:pPr>
                  <w:r>
                    <w:rPr>
                      <w:rFonts w:hint="eastAsia" w:cs="宋体"/>
                      <w:sz w:val="21"/>
                      <w:szCs w:val="21"/>
                    </w:rPr>
                    <w:t>下放修改权限，当市、县两级有新增移动执法设备或旧设备需要淘汰，则由属地对终端设备后台设备数据进行增加或注销处理。</w:t>
                  </w:r>
                </w:p>
                <w:p>
                  <w:pPr>
                    <w:pStyle w:val="111"/>
                    <w:spacing w:line="300" w:lineRule="exact"/>
                    <w:ind w:firstLine="420"/>
                    <w:rPr>
                      <w:rFonts w:hint="eastAsia" w:cs="宋体"/>
                      <w:sz w:val="21"/>
                      <w:szCs w:val="21"/>
                    </w:rPr>
                  </w:pPr>
                  <w:r>
                    <w:rPr>
                      <w:rFonts w:hint="eastAsia" w:cs="宋体"/>
                      <w:sz w:val="21"/>
                      <w:szCs w:val="21"/>
                    </w:rPr>
                    <w:t>（2）移动终端设备运维</w:t>
                  </w:r>
                </w:p>
                <w:p>
                  <w:pPr>
                    <w:pStyle w:val="111"/>
                    <w:spacing w:line="300" w:lineRule="exact"/>
                    <w:ind w:firstLine="420"/>
                    <w:rPr>
                      <w:rFonts w:hint="eastAsia" w:cs="宋体"/>
                      <w:sz w:val="21"/>
                      <w:szCs w:val="21"/>
                    </w:rPr>
                  </w:pPr>
                  <w:r>
                    <w:rPr>
                      <w:rFonts w:hint="eastAsia" w:cs="宋体"/>
                      <w:sz w:val="21"/>
                      <w:szCs w:val="21"/>
                    </w:rPr>
                    <w:t>包括设备备案、绑定、配置网络、执法相关驱动安装、连接打印机、故障处理。</w:t>
                  </w:r>
                </w:p>
                <w:p>
                  <w:pPr>
                    <w:pStyle w:val="111"/>
                    <w:spacing w:line="300" w:lineRule="exact"/>
                    <w:ind w:firstLine="420"/>
                    <w:rPr>
                      <w:rFonts w:hint="eastAsia" w:cs="宋体"/>
                      <w:sz w:val="21"/>
                      <w:szCs w:val="21"/>
                    </w:rPr>
                  </w:pPr>
                  <w:r>
                    <w:rPr>
                      <w:rFonts w:hint="eastAsia" w:cs="宋体"/>
                      <w:sz w:val="21"/>
                      <w:szCs w:val="21"/>
                    </w:rPr>
                    <w:t>（3）打印设备运维</w:t>
                  </w:r>
                </w:p>
                <w:p>
                  <w:pPr>
                    <w:pStyle w:val="111"/>
                    <w:spacing w:line="300" w:lineRule="exact"/>
                    <w:ind w:firstLine="420"/>
                    <w:rPr>
                      <w:rFonts w:hint="eastAsia" w:cs="宋体"/>
                      <w:sz w:val="21"/>
                      <w:szCs w:val="21"/>
                    </w:rPr>
                  </w:pPr>
                  <w:r>
                    <w:rPr>
                      <w:rFonts w:hint="eastAsia" w:cs="宋体"/>
                      <w:sz w:val="21"/>
                      <w:szCs w:val="21"/>
                    </w:rPr>
                    <w:t>包括备件安装调试、连通终端设备、故障处理、通知更换墨盒等各项检查。</w:t>
                  </w:r>
                </w:p>
                <w:p>
                  <w:pPr>
                    <w:pStyle w:val="111"/>
                    <w:spacing w:line="300" w:lineRule="exact"/>
                    <w:ind w:firstLine="420"/>
                    <w:rPr>
                      <w:rFonts w:hint="eastAsia" w:cs="宋体"/>
                      <w:sz w:val="21"/>
                      <w:szCs w:val="21"/>
                    </w:rPr>
                  </w:pPr>
                  <w:r>
                    <w:rPr>
                      <w:rFonts w:hint="eastAsia" w:cs="宋体"/>
                      <w:sz w:val="21"/>
                      <w:szCs w:val="21"/>
                    </w:rPr>
                    <w:t>2.软件运行维护</w:t>
                  </w:r>
                </w:p>
                <w:p>
                  <w:pPr>
                    <w:pStyle w:val="111"/>
                    <w:spacing w:line="300" w:lineRule="exact"/>
                    <w:ind w:firstLine="420"/>
                    <w:rPr>
                      <w:rFonts w:hint="eastAsia" w:cs="宋体"/>
                      <w:sz w:val="21"/>
                      <w:szCs w:val="21"/>
                    </w:rPr>
                  </w:pPr>
                  <w:r>
                    <w:rPr>
                      <w:rFonts w:hint="eastAsia" w:cs="宋体"/>
                      <w:sz w:val="21"/>
                      <w:szCs w:val="21"/>
                    </w:rPr>
                    <w:t>（1）系统功能运维内容</w:t>
                  </w:r>
                </w:p>
                <w:p>
                  <w:pPr>
                    <w:pStyle w:val="111"/>
                    <w:spacing w:line="300" w:lineRule="exact"/>
                    <w:ind w:firstLine="420"/>
                    <w:rPr>
                      <w:rFonts w:hint="eastAsia" w:cs="宋体"/>
                      <w:sz w:val="21"/>
                      <w:szCs w:val="21"/>
                    </w:rPr>
                  </w:pPr>
                  <w:r>
                    <w:rPr>
                      <w:rFonts w:hint="eastAsia" w:cs="宋体"/>
                      <w:sz w:val="21"/>
                      <w:szCs w:val="21"/>
                    </w:rPr>
                    <w:t>对移动执法系统软件功能的日常运行维护。包括手持终端移动执法系统、笔记本终端移动执法系统、移动执法后台支撑系统。</w:t>
                  </w:r>
                </w:p>
                <w:p>
                  <w:pPr>
                    <w:pStyle w:val="111"/>
                    <w:spacing w:line="300" w:lineRule="exact"/>
                    <w:ind w:firstLine="420"/>
                    <w:rPr>
                      <w:rFonts w:hint="eastAsia" w:cs="宋体"/>
                      <w:sz w:val="21"/>
                      <w:szCs w:val="21"/>
                    </w:rPr>
                  </w:pPr>
                  <w:r>
                    <w:rPr>
                      <w:rFonts w:hint="eastAsia" w:cs="宋体"/>
                      <w:sz w:val="21"/>
                      <w:szCs w:val="21"/>
                    </w:rPr>
                    <w:t>（2）后台支撑软件运维</w:t>
                  </w:r>
                </w:p>
                <w:p>
                  <w:pPr>
                    <w:pStyle w:val="111"/>
                    <w:spacing w:line="300" w:lineRule="exact"/>
                    <w:ind w:firstLine="420"/>
                    <w:rPr>
                      <w:rFonts w:hint="eastAsia" w:cs="宋体"/>
                      <w:sz w:val="21"/>
                      <w:szCs w:val="21"/>
                    </w:rPr>
                  </w:pPr>
                  <w:r>
                    <w:rPr>
                      <w:rFonts w:hint="eastAsia" w:cs="宋体"/>
                      <w:sz w:val="21"/>
                      <w:szCs w:val="21"/>
                    </w:rPr>
                    <w:t>对移动执法后台软件进行运行维护，包括日常巡检、权限变更配置、数据权限变更、人员角色增删改、BUG修复、浏览器兼容性处理、故障处理等。</w:t>
                  </w:r>
                </w:p>
                <w:p>
                  <w:pPr>
                    <w:pStyle w:val="111"/>
                    <w:spacing w:line="300" w:lineRule="exact"/>
                    <w:ind w:firstLine="420"/>
                    <w:rPr>
                      <w:rFonts w:hint="eastAsia" w:cs="宋体"/>
                      <w:sz w:val="21"/>
                      <w:szCs w:val="21"/>
                    </w:rPr>
                  </w:pPr>
                  <w:r>
                    <w:rPr>
                      <w:rFonts w:hint="eastAsia" w:cs="宋体"/>
                      <w:sz w:val="21"/>
                      <w:szCs w:val="21"/>
                    </w:rPr>
                    <w:t>（3）笔记本端软件运维</w:t>
                  </w:r>
                </w:p>
                <w:p>
                  <w:pPr>
                    <w:pStyle w:val="111"/>
                    <w:spacing w:line="300" w:lineRule="exact"/>
                    <w:ind w:firstLine="420"/>
                    <w:rPr>
                      <w:rFonts w:hint="eastAsia" w:cs="宋体"/>
                      <w:sz w:val="21"/>
                      <w:szCs w:val="21"/>
                    </w:rPr>
                  </w:pPr>
                  <w:r>
                    <w:rPr>
                      <w:rFonts w:hint="eastAsia" w:cs="宋体"/>
                      <w:sz w:val="21"/>
                      <w:szCs w:val="21"/>
                    </w:rPr>
                    <w:t>对基于windows系统进行开发C/S架构的笔记本终端执法系统运行维护服务，包括基础表单增删改、office软件检查、bug处理等。</w:t>
                  </w:r>
                </w:p>
                <w:p>
                  <w:pPr>
                    <w:pStyle w:val="111"/>
                    <w:spacing w:line="300" w:lineRule="exact"/>
                    <w:ind w:firstLine="420"/>
                    <w:rPr>
                      <w:rFonts w:hint="eastAsia" w:cs="宋体"/>
                      <w:sz w:val="21"/>
                      <w:szCs w:val="21"/>
                    </w:rPr>
                  </w:pPr>
                  <w:r>
                    <w:rPr>
                      <w:rFonts w:hint="eastAsia" w:cs="宋体"/>
                      <w:sz w:val="21"/>
                      <w:szCs w:val="21"/>
                    </w:rPr>
                    <w:t>（4）移动执法终端软件运维</w:t>
                  </w:r>
                </w:p>
                <w:p>
                  <w:pPr>
                    <w:pStyle w:val="111"/>
                    <w:spacing w:line="300" w:lineRule="exact"/>
                    <w:ind w:firstLine="420"/>
                    <w:rPr>
                      <w:rFonts w:hint="eastAsia" w:cs="宋体"/>
                      <w:sz w:val="21"/>
                      <w:szCs w:val="21"/>
                    </w:rPr>
                  </w:pPr>
                  <w:r>
                    <w:rPr>
                      <w:rFonts w:hint="eastAsia" w:cs="宋体"/>
                      <w:sz w:val="21"/>
                      <w:szCs w:val="21"/>
                    </w:rPr>
                    <w:t>对移动执法后台软件运行维护，包括终端操作系统、权限变更配置、数据权限变更、人员角色增删改、BUG修复、故障处理等。</w:t>
                  </w:r>
                </w:p>
                <w:p>
                  <w:pPr>
                    <w:pStyle w:val="111"/>
                    <w:spacing w:line="300" w:lineRule="exact"/>
                    <w:ind w:firstLine="420"/>
                    <w:rPr>
                      <w:rFonts w:hint="eastAsia" w:cs="宋体"/>
                      <w:sz w:val="21"/>
                      <w:szCs w:val="21"/>
                    </w:rPr>
                  </w:pPr>
                  <w:r>
                    <w:rPr>
                      <w:rFonts w:hint="eastAsia" w:cs="宋体"/>
                      <w:sz w:val="21"/>
                      <w:szCs w:val="21"/>
                    </w:rPr>
                    <w:t>（5）支撑软件运维</w:t>
                  </w:r>
                </w:p>
                <w:p>
                  <w:pPr>
                    <w:pStyle w:val="111"/>
                    <w:spacing w:line="300" w:lineRule="exact"/>
                    <w:ind w:firstLine="420"/>
                    <w:rPr>
                      <w:rFonts w:hint="eastAsia" w:cs="宋体"/>
                      <w:sz w:val="21"/>
                      <w:szCs w:val="21"/>
                    </w:rPr>
                  </w:pPr>
                  <w:r>
                    <w:rPr>
                      <w:rFonts w:hint="eastAsia" w:cs="宋体"/>
                      <w:sz w:val="21"/>
                      <w:szCs w:val="21"/>
                    </w:rPr>
                    <w:t>包括打印软件升级调配、文件阅读软件升级调配。</w:t>
                  </w:r>
                </w:p>
                <w:p>
                  <w:pPr>
                    <w:pStyle w:val="111"/>
                    <w:spacing w:line="300" w:lineRule="exact"/>
                    <w:ind w:firstLine="420"/>
                    <w:rPr>
                      <w:rFonts w:hint="eastAsia" w:cs="宋体"/>
                      <w:sz w:val="21"/>
                      <w:szCs w:val="21"/>
                    </w:rPr>
                  </w:pPr>
                  <w:r>
                    <w:rPr>
                      <w:rFonts w:hint="eastAsia" w:cs="宋体"/>
                      <w:sz w:val="21"/>
                      <w:szCs w:val="21"/>
                    </w:rPr>
                    <w:t>3.驻场服务</w:t>
                  </w:r>
                </w:p>
                <w:p>
                  <w:pPr>
                    <w:pStyle w:val="111"/>
                    <w:spacing w:line="300" w:lineRule="exact"/>
                    <w:ind w:firstLine="420"/>
                    <w:rPr>
                      <w:rFonts w:cs="宋体"/>
                      <w:sz w:val="21"/>
                      <w:szCs w:val="21"/>
                    </w:rPr>
                  </w:pPr>
                  <w:r>
                    <w:rPr>
                      <w:rFonts w:hint="eastAsia" w:cs="宋体"/>
                      <w:sz w:val="21"/>
                      <w:szCs w:val="21"/>
                    </w:rPr>
                    <w:t>配备1名技术人员作为驻场服务人员，为用户提供5*8小时的现场故障诊断、处理，以及7*24小时电话或远程技术支持服务。负责现场软硬件基础运行维护服务、用户培训事宜。跟踪并反馈提出的问题，协调好内外部门资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2" w:hRule="atLeast"/>
                <w:jc w:val="center"/>
              </w:trPr>
              <w:tc>
                <w:tcPr>
                  <w:tcW w:w="354" w:type="dxa"/>
                  <w:noWrap w:val="0"/>
                  <w:vAlign w:val="center"/>
                </w:tcPr>
                <w:p>
                  <w:pPr>
                    <w:jc w:val="center"/>
                    <w:rPr>
                      <w:rFonts w:eastAsia="仿宋"/>
                      <w:bCs/>
                      <w:color w:val="000000"/>
                      <w:szCs w:val="21"/>
                    </w:rPr>
                  </w:pPr>
                  <w:r>
                    <w:rPr>
                      <w:rFonts w:hint="eastAsia" w:cs="宋体"/>
                      <w:szCs w:val="21"/>
                    </w:rPr>
                    <w:t>2</w:t>
                  </w:r>
                </w:p>
              </w:tc>
              <w:tc>
                <w:tcPr>
                  <w:tcW w:w="820" w:type="dxa"/>
                  <w:noWrap w:val="0"/>
                  <w:vAlign w:val="center"/>
                </w:tcPr>
                <w:p>
                  <w:pPr>
                    <w:jc w:val="center"/>
                    <w:rPr>
                      <w:rFonts w:eastAsia="仿宋"/>
                      <w:bCs/>
                      <w:color w:val="000000"/>
                      <w:szCs w:val="21"/>
                    </w:rPr>
                  </w:pPr>
                  <w:r>
                    <w:rPr>
                      <w:rFonts w:hint="eastAsia" w:cs="宋体"/>
                      <w:szCs w:val="21"/>
                    </w:rPr>
                    <w:t>广西生态环境“双随机、一公开”监管平台</w:t>
                  </w:r>
                </w:p>
              </w:tc>
              <w:tc>
                <w:tcPr>
                  <w:tcW w:w="3644" w:type="dxa"/>
                  <w:noWrap w:val="0"/>
                  <w:vAlign w:val="center"/>
                </w:tcPr>
                <w:p>
                  <w:pPr>
                    <w:pStyle w:val="111"/>
                    <w:spacing w:line="300" w:lineRule="exact"/>
                    <w:ind w:firstLine="420"/>
                    <w:rPr>
                      <w:rFonts w:cs="宋体"/>
                      <w:sz w:val="21"/>
                      <w:szCs w:val="21"/>
                    </w:rPr>
                  </w:pPr>
                  <w:r>
                    <w:rPr>
                      <w:rFonts w:hint="eastAsia" w:cs="宋体"/>
                      <w:sz w:val="21"/>
                      <w:szCs w:val="21"/>
                    </w:rPr>
                    <w:t>包含日常运维(接口数据维护、日志维护、平台功能维护服务费、新功能升级与BUG调优开发服务)，应急保障培训服务。</w:t>
                  </w:r>
                </w:p>
                <w:p>
                  <w:pPr>
                    <w:pStyle w:val="111"/>
                    <w:spacing w:line="300" w:lineRule="exact"/>
                    <w:ind w:firstLine="420"/>
                    <w:rPr>
                      <w:rFonts w:cs="宋体"/>
                      <w:sz w:val="21"/>
                      <w:szCs w:val="21"/>
                    </w:rPr>
                  </w:pPr>
                  <w:r>
                    <w:rPr>
                      <w:rFonts w:hint="eastAsia" w:cs="宋体"/>
                      <w:sz w:val="21"/>
                      <w:szCs w:val="21"/>
                    </w:rPr>
                    <w:t>1.接口数据维护</w:t>
                  </w:r>
                </w:p>
                <w:p>
                  <w:pPr>
                    <w:pStyle w:val="111"/>
                    <w:spacing w:line="300" w:lineRule="exact"/>
                    <w:ind w:firstLine="420"/>
                    <w:rPr>
                      <w:rFonts w:cs="宋体"/>
                      <w:sz w:val="21"/>
                      <w:szCs w:val="21"/>
                    </w:rPr>
                  </w:pPr>
                  <w:r>
                    <w:rPr>
                      <w:rFonts w:hint="eastAsia" w:cs="宋体"/>
                      <w:sz w:val="21"/>
                      <w:szCs w:val="21"/>
                    </w:rPr>
                    <w:t>对“双随机、一公开”监管平台与其他业务系统相关的接口进行维护，监察数据接口是否畅通，消息推送是否正常，并对数据接口进行日常维护及升级。</w:t>
                  </w:r>
                </w:p>
                <w:p>
                  <w:pPr>
                    <w:pStyle w:val="111"/>
                    <w:spacing w:line="300" w:lineRule="exact"/>
                    <w:ind w:firstLine="420"/>
                    <w:rPr>
                      <w:rFonts w:cs="宋体"/>
                      <w:sz w:val="21"/>
                      <w:szCs w:val="21"/>
                    </w:rPr>
                  </w:pPr>
                  <w:r>
                    <w:rPr>
                      <w:rFonts w:hint="eastAsia" w:cs="宋体"/>
                      <w:sz w:val="21"/>
                      <w:szCs w:val="21"/>
                    </w:rPr>
                    <w:t>2.日志维护</w:t>
                  </w:r>
                </w:p>
                <w:p>
                  <w:pPr>
                    <w:pStyle w:val="111"/>
                    <w:spacing w:line="300" w:lineRule="exact"/>
                    <w:ind w:firstLine="420"/>
                    <w:rPr>
                      <w:rFonts w:cs="宋体"/>
                      <w:sz w:val="21"/>
                      <w:szCs w:val="21"/>
                    </w:rPr>
                  </w:pPr>
                  <w:r>
                    <w:rPr>
                      <w:rFonts w:hint="eastAsia" w:cs="宋体"/>
                      <w:sz w:val="21"/>
                      <w:szCs w:val="21"/>
                    </w:rPr>
                    <w:t>对系统程序所产生的执行日志进行维护，对关键日志进行定期保留备份，删除不再需要的日志。</w:t>
                  </w:r>
                </w:p>
                <w:p>
                  <w:pPr>
                    <w:pStyle w:val="111"/>
                    <w:spacing w:line="300" w:lineRule="exact"/>
                    <w:ind w:firstLine="420"/>
                    <w:rPr>
                      <w:rFonts w:cs="宋体"/>
                      <w:sz w:val="21"/>
                      <w:szCs w:val="21"/>
                    </w:rPr>
                  </w:pPr>
                  <w:r>
                    <w:rPr>
                      <w:rFonts w:hint="eastAsia" w:cs="宋体"/>
                      <w:sz w:val="21"/>
                      <w:szCs w:val="21"/>
                    </w:rPr>
                    <w:t>3.平台功能维护服务</w:t>
                  </w:r>
                </w:p>
                <w:p>
                  <w:pPr>
                    <w:pStyle w:val="111"/>
                    <w:spacing w:line="300" w:lineRule="exact"/>
                    <w:ind w:firstLine="420"/>
                    <w:rPr>
                      <w:rFonts w:cs="宋体"/>
                      <w:sz w:val="21"/>
                      <w:szCs w:val="21"/>
                    </w:rPr>
                  </w:pPr>
                  <w:r>
                    <w:rPr>
                      <w:rFonts w:hint="eastAsia" w:cs="宋体"/>
                      <w:sz w:val="21"/>
                      <w:szCs w:val="21"/>
                    </w:rPr>
                    <w:t>对“双随机、一公开”监管平台功能运行维护服务，内容包括日常巡检、权限变更配置、数据权限变更、人员角色增删改、基础表单增删改、</w:t>
                  </w:r>
                  <w:r>
                    <w:rPr>
                      <w:rFonts w:cs="宋体"/>
                      <w:sz w:val="21"/>
                      <w:szCs w:val="21"/>
                    </w:rPr>
                    <w:t>bug</w:t>
                  </w:r>
                  <w:r>
                    <w:rPr>
                      <w:rFonts w:hint="eastAsia" w:cs="宋体"/>
                      <w:sz w:val="21"/>
                      <w:szCs w:val="21"/>
                    </w:rPr>
                    <w:t>修复、浏览器兼容性处理和故障处理等。</w:t>
                  </w:r>
                </w:p>
                <w:p>
                  <w:pPr>
                    <w:pStyle w:val="111"/>
                    <w:spacing w:line="300" w:lineRule="exact"/>
                    <w:ind w:firstLine="420"/>
                    <w:rPr>
                      <w:rFonts w:cs="宋体"/>
                      <w:sz w:val="21"/>
                      <w:szCs w:val="21"/>
                    </w:rPr>
                  </w:pPr>
                  <w:r>
                    <w:rPr>
                      <w:rFonts w:hint="eastAsia" w:cs="宋体"/>
                      <w:sz w:val="21"/>
                      <w:szCs w:val="21"/>
                    </w:rPr>
                    <w:t>4.驻场服务</w:t>
                  </w:r>
                </w:p>
                <w:p>
                  <w:pPr>
                    <w:pStyle w:val="111"/>
                    <w:spacing w:line="300" w:lineRule="exact"/>
                    <w:ind w:firstLine="420"/>
                    <w:rPr>
                      <w:rFonts w:eastAsia="仿宋"/>
                      <w:bCs/>
                      <w:sz w:val="21"/>
                      <w:szCs w:val="21"/>
                    </w:rPr>
                  </w:pPr>
                  <w:r>
                    <w:rPr>
                      <w:rFonts w:hint="eastAsia" w:cs="宋体"/>
                      <w:sz w:val="21"/>
                      <w:szCs w:val="21"/>
                    </w:rPr>
                    <w:t>配备1名技术人员作为驻场服务人员，为用户提供5*8小时的现场故障诊断、处理，以及7*24小时电话或远程技术支持服务。负责现场软硬件基础运行维护服务、用户培训事宜。跟踪并反馈提出的问题，协调好内外部门资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2" w:hRule="atLeast"/>
                <w:jc w:val="center"/>
              </w:trPr>
              <w:tc>
                <w:tcPr>
                  <w:tcW w:w="354" w:type="dxa"/>
                  <w:noWrap w:val="0"/>
                  <w:vAlign w:val="center"/>
                </w:tcPr>
                <w:p>
                  <w:pPr>
                    <w:jc w:val="center"/>
                    <w:rPr>
                      <w:rFonts w:eastAsia="仿宋"/>
                      <w:bCs/>
                      <w:color w:val="000000"/>
                      <w:szCs w:val="21"/>
                    </w:rPr>
                  </w:pPr>
                  <w:r>
                    <w:rPr>
                      <w:rFonts w:hint="eastAsia" w:cs="宋体"/>
                      <w:szCs w:val="21"/>
                    </w:rPr>
                    <w:t>3</w:t>
                  </w:r>
                </w:p>
              </w:tc>
              <w:tc>
                <w:tcPr>
                  <w:tcW w:w="820" w:type="dxa"/>
                  <w:noWrap w:val="0"/>
                  <w:vAlign w:val="center"/>
                </w:tcPr>
                <w:p>
                  <w:pPr>
                    <w:jc w:val="center"/>
                    <w:rPr>
                      <w:rFonts w:eastAsia="仿宋"/>
                      <w:bCs/>
                      <w:color w:val="000000"/>
                      <w:szCs w:val="21"/>
                    </w:rPr>
                  </w:pPr>
                  <w:r>
                    <w:rPr>
                      <w:rFonts w:hint="eastAsia" w:cs="宋体"/>
                      <w:szCs w:val="21"/>
                    </w:rPr>
                    <w:t>广西生态环保“一码通”程序</w:t>
                  </w:r>
                </w:p>
              </w:tc>
              <w:tc>
                <w:tcPr>
                  <w:tcW w:w="3644" w:type="dxa"/>
                  <w:noWrap w:val="0"/>
                  <w:vAlign w:val="center"/>
                </w:tcPr>
                <w:p>
                  <w:pPr>
                    <w:pStyle w:val="111"/>
                    <w:spacing w:line="300" w:lineRule="exact"/>
                    <w:ind w:firstLine="420"/>
                    <w:rPr>
                      <w:rFonts w:cs="宋体"/>
                      <w:sz w:val="21"/>
                      <w:szCs w:val="21"/>
                    </w:rPr>
                  </w:pPr>
                  <w:r>
                    <w:rPr>
                      <w:rFonts w:hint="eastAsia" w:cs="宋体"/>
                      <w:sz w:val="21"/>
                      <w:szCs w:val="21"/>
                    </w:rPr>
                    <w:t>1.系统日常巡检</w:t>
                  </w:r>
                </w:p>
                <w:p>
                  <w:pPr>
                    <w:pStyle w:val="111"/>
                    <w:spacing w:line="300" w:lineRule="exact"/>
                    <w:ind w:firstLine="420"/>
                    <w:rPr>
                      <w:rFonts w:cs="宋体"/>
                      <w:sz w:val="21"/>
                      <w:szCs w:val="21"/>
                    </w:rPr>
                  </w:pPr>
                  <w:r>
                    <w:rPr>
                      <w:rFonts w:hint="eastAsia" w:cs="宋体"/>
                      <w:sz w:val="21"/>
                      <w:szCs w:val="21"/>
                    </w:rPr>
                    <w:t>对服务器、数据库、应用系统、中间件进行日常巡检，发现问题及时处理，并做好巡检记录。</w:t>
                  </w:r>
                </w:p>
                <w:p>
                  <w:pPr>
                    <w:pStyle w:val="111"/>
                    <w:spacing w:line="300" w:lineRule="exact"/>
                    <w:ind w:firstLine="420"/>
                    <w:rPr>
                      <w:rFonts w:cs="宋体"/>
                      <w:sz w:val="21"/>
                      <w:szCs w:val="21"/>
                    </w:rPr>
                  </w:pPr>
                  <w:r>
                    <w:rPr>
                      <w:rFonts w:hint="eastAsia" w:cs="宋体"/>
                      <w:sz w:val="21"/>
                      <w:szCs w:val="21"/>
                    </w:rPr>
                    <w:t>2.应用系统运维</w:t>
                  </w:r>
                </w:p>
                <w:p>
                  <w:pPr>
                    <w:pStyle w:val="111"/>
                    <w:spacing w:line="300" w:lineRule="exact"/>
                    <w:ind w:firstLine="420"/>
                    <w:rPr>
                      <w:rFonts w:cs="宋体"/>
                      <w:sz w:val="21"/>
                      <w:szCs w:val="21"/>
                    </w:rPr>
                  </w:pPr>
                  <w:r>
                    <w:rPr>
                      <w:rFonts w:hint="eastAsia" w:cs="宋体"/>
                      <w:sz w:val="21"/>
                      <w:szCs w:val="21"/>
                    </w:rPr>
                    <w:t>包括权限调整、业务咨询服务、系统缺陷记录、反馈和处理服务、数据修正、功能调整等服务。</w:t>
                  </w:r>
                </w:p>
                <w:p>
                  <w:pPr>
                    <w:pStyle w:val="111"/>
                    <w:spacing w:line="300" w:lineRule="exact"/>
                    <w:ind w:firstLine="420"/>
                    <w:rPr>
                      <w:rFonts w:cs="宋体"/>
                      <w:sz w:val="21"/>
                      <w:szCs w:val="21"/>
                    </w:rPr>
                  </w:pPr>
                  <w:r>
                    <w:rPr>
                      <w:rFonts w:hint="eastAsia" w:cs="宋体"/>
                      <w:sz w:val="21"/>
                      <w:szCs w:val="21"/>
                    </w:rPr>
                    <w:t>3.数据库运维</w:t>
                  </w:r>
                </w:p>
                <w:p>
                  <w:pPr>
                    <w:pStyle w:val="111"/>
                    <w:spacing w:line="300" w:lineRule="exact"/>
                    <w:ind w:firstLine="420"/>
                    <w:rPr>
                      <w:rFonts w:cs="宋体"/>
                      <w:sz w:val="21"/>
                      <w:szCs w:val="21"/>
                    </w:rPr>
                  </w:pPr>
                  <w:r>
                    <w:rPr>
                      <w:rFonts w:hint="eastAsia" w:cs="宋体"/>
                      <w:sz w:val="21"/>
                      <w:szCs w:val="21"/>
                    </w:rPr>
                    <w:t>根据实际需求，负责维护数据库的备份/还原、监控、故障处理、性能优化、容灾、升级/迁移等问题。</w:t>
                  </w:r>
                </w:p>
                <w:p>
                  <w:pPr>
                    <w:pStyle w:val="111"/>
                    <w:spacing w:line="300" w:lineRule="exact"/>
                    <w:ind w:firstLine="420"/>
                    <w:rPr>
                      <w:rFonts w:cs="宋体"/>
                      <w:sz w:val="21"/>
                      <w:szCs w:val="21"/>
                    </w:rPr>
                  </w:pPr>
                  <w:r>
                    <w:rPr>
                      <w:rFonts w:hint="eastAsia" w:cs="宋体"/>
                      <w:sz w:val="21"/>
                      <w:szCs w:val="21"/>
                    </w:rPr>
                    <w:t>4.驻场服务</w:t>
                  </w:r>
                </w:p>
                <w:p>
                  <w:pPr>
                    <w:pStyle w:val="111"/>
                    <w:spacing w:line="300" w:lineRule="exact"/>
                    <w:ind w:firstLine="420"/>
                    <w:rPr>
                      <w:rFonts w:eastAsia="仿宋"/>
                      <w:bCs/>
                      <w:sz w:val="21"/>
                      <w:szCs w:val="21"/>
                    </w:rPr>
                  </w:pPr>
                  <w:r>
                    <w:rPr>
                      <w:rFonts w:hint="eastAsia" w:cs="宋体"/>
                      <w:sz w:val="21"/>
                      <w:szCs w:val="21"/>
                    </w:rPr>
                    <w:t>配备1名技术人员作为驻场服务人员，为用户提供5*8小时的现场故障诊断、处理，以及7*24小时电话或远程技术支持服务。负责现场软硬件基础运行维护服务、用户培训事宜。跟踪并反馈提出的问题，协调好内外部门资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2" w:hRule="atLeast"/>
                <w:jc w:val="center"/>
              </w:trPr>
              <w:tc>
                <w:tcPr>
                  <w:tcW w:w="354" w:type="dxa"/>
                  <w:noWrap w:val="0"/>
                  <w:vAlign w:val="center"/>
                </w:tcPr>
                <w:p>
                  <w:pPr>
                    <w:jc w:val="center"/>
                    <w:rPr>
                      <w:rFonts w:eastAsia="仿宋"/>
                      <w:bCs/>
                      <w:color w:val="000000"/>
                      <w:szCs w:val="21"/>
                    </w:rPr>
                  </w:pPr>
                  <w:r>
                    <w:rPr>
                      <w:rFonts w:hint="eastAsia" w:cs="宋体"/>
                      <w:szCs w:val="21"/>
                    </w:rPr>
                    <w:t>4</w:t>
                  </w:r>
                </w:p>
              </w:tc>
              <w:tc>
                <w:tcPr>
                  <w:tcW w:w="820" w:type="dxa"/>
                  <w:noWrap w:val="0"/>
                  <w:vAlign w:val="center"/>
                </w:tcPr>
                <w:p>
                  <w:pPr>
                    <w:jc w:val="center"/>
                    <w:rPr>
                      <w:rFonts w:eastAsia="仿宋"/>
                      <w:bCs/>
                      <w:color w:val="000000"/>
                      <w:szCs w:val="21"/>
                    </w:rPr>
                  </w:pPr>
                  <w:r>
                    <w:rPr>
                      <w:rFonts w:hint="eastAsia" w:cs="宋体"/>
                      <w:szCs w:val="21"/>
                    </w:rPr>
                    <w:t>广西固定污染源自动监控平台</w:t>
                  </w:r>
                </w:p>
              </w:tc>
              <w:tc>
                <w:tcPr>
                  <w:tcW w:w="3644" w:type="dxa"/>
                  <w:noWrap w:val="0"/>
                  <w:vAlign w:val="center"/>
                </w:tcPr>
                <w:p>
                  <w:pPr>
                    <w:pStyle w:val="111"/>
                    <w:spacing w:line="300" w:lineRule="exact"/>
                    <w:ind w:firstLine="420"/>
                    <w:rPr>
                      <w:rFonts w:cs="宋体"/>
                      <w:sz w:val="21"/>
                      <w:szCs w:val="21"/>
                    </w:rPr>
                  </w:pPr>
                  <w:r>
                    <w:rPr>
                      <w:rFonts w:hint="eastAsia" w:cs="宋体"/>
                      <w:sz w:val="21"/>
                      <w:szCs w:val="21"/>
                    </w:rPr>
                    <w:t>1.</w:t>
                  </w:r>
                  <w:r>
                    <w:rPr>
                      <w:rFonts w:cs="宋体"/>
                      <w:sz w:val="21"/>
                      <w:szCs w:val="21"/>
                    </w:rPr>
                    <w:t>日常运维</w:t>
                  </w:r>
                </w:p>
                <w:p>
                  <w:pPr>
                    <w:pStyle w:val="111"/>
                    <w:spacing w:line="300" w:lineRule="exact"/>
                    <w:ind w:firstLine="420"/>
                    <w:rPr>
                      <w:rFonts w:cs="宋体"/>
                      <w:sz w:val="21"/>
                      <w:szCs w:val="21"/>
                    </w:rPr>
                  </w:pPr>
                  <w:r>
                    <w:rPr>
                      <w:rFonts w:hint="eastAsia" w:cs="宋体"/>
                      <w:sz w:val="21"/>
                      <w:szCs w:val="21"/>
                    </w:rPr>
                    <w:t>（1）</w:t>
                  </w:r>
                  <w:r>
                    <w:rPr>
                      <w:rFonts w:cs="宋体"/>
                      <w:sz w:val="21"/>
                      <w:szCs w:val="21"/>
                    </w:rPr>
                    <w:t>保障应用平台、通讯服务器、交换服务器、数据库服务器及相关服务的正常运行。保障目标：故障半小时内响应，24小时内解决。</w:t>
                  </w:r>
                </w:p>
                <w:p>
                  <w:pPr>
                    <w:pStyle w:val="111"/>
                    <w:spacing w:line="300" w:lineRule="exact"/>
                    <w:ind w:firstLine="420"/>
                    <w:rPr>
                      <w:rFonts w:cs="宋体"/>
                      <w:sz w:val="21"/>
                      <w:szCs w:val="21"/>
                    </w:rPr>
                  </w:pPr>
                  <w:r>
                    <w:rPr>
                      <w:rFonts w:hint="eastAsia" w:cs="宋体"/>
                      <w:sz w:val="21"/>
                      <w:szCs w:val="21"/>
                    </w:rPr>
                    <w:t>（2）</w:t>
                  </w:r>
                  <w:r>
                    <w:rPr>
                      <w:rFonts w:cs="宋体"/>
                      <w:sz w:val="21"/>
                      <w:szCs w:val="21"/>
                    </w:rPr>
                    <w:t>保障平台正常运行，包含通讯数据收取、解析入库、平台应用、数据逐级交换、基数确认信息传递，协助处理由于软件、硬件、网络等问题引起的系统异常问题。</w:t>
                  </w:r>
                </w:p>
                <w:p>
                  <w:pPr>
                    <w:pStyle w:val="111"/>
                    <w:spacing w:line="300" w:lineRule="exact"/>
                    <w:ind w:firstLine="420"/>
                    <w:rPr>
                      <w:rFonts w:cs="宋体"/>
                      <w:sz w:val="21"/>
                      <w:szCs w:val="21"/>
                    </w:rPr>
                  </w:pPr>
                  <w:r>
                    <w:rPr>
                      <w:rFonts w:hint="eastAsia" w:cs="宋体"/>
                      <w:sz w:val="21"/>
                      <w:szCs w:val="21"/>
                    </w:rPr>
                    <w:t>（3）</w:t>
                  </w:r>
                  <w:r>
                    <w:rPr>
                      <w:rFonts w:cs="宋体"/>
                      <w:sz w:val="21"/>
                      <w:szCs w:val="21"/>
                    </w:rPr>
                    <w:t>对监测点信息进行管理，录入、存储、查询及修改监测点信息，进行用户、点位、权限等相关管理。</w:t>
                  </w:r>
                </w:p>
                <w:p>
                  <w:pPr>
                    <w:pStyle w:val="111"/>
                    <w:spacing w:line="300" w:lineRule="exact"/>
                    <w:ind w:firstLine="420"/>
                    <w:rPr>
                      <w:rFonts w:cs="宋体"/>
                      <w:sz w:val="21"/>
                      <w:szCs w:val="21"/>
                    </w:rPr>
                  </w:pPr>
                  <w:r>
                    <w:rPr>
                      <w:rFonts w:hint="eastAsia" w:cs="宋体"/>
                      <w:sz w:val="21"/>
                      <w:szCs w:val="21"/>
                    </w:rPr>
                    <w:t>（4）</w:t>
                  </w:r>
                  <w:r>
                    <w:rPr>
                      <w:rFonts w:cs="宋体"/>
                      <w:sz w:val="21"/>
                      <w:szCs w:val="21"/>
                    </w:rPr>
                    <w:t>配合现场端实施点位接入调测，协助联系相关单位（排污企业）解决存在问题；分析现场数采仪报送数据的缺陷，提出工作建议，提高数据传输有效率等相关指标、提高平台监测数据的联网率和数据质量。</w:t>
                  </w:r>
                </w:p>
                <w:p>
                  <w:pPr>
                    <w:pStyle w:val="111"/>
                    <w:spacing w:line="300" w:lineRule="exact"/>
                    <w:ind w:firstLine="420"/>
                    <w:rPr>
                      <w:rFonts w:cs="宋体"/>
                      <w:sz w:val="21"/>
                      <w:szCs w:val="21"/>
                    </w:rPr>
                  </w:pPr>
                  <w:r>
                    <w:rPr>
                      <w:rFonts w:hint="eastAsia" w:cs="宋体"/>
                      <w:sz w:val="21"/>
                      <w:szCs w:val="21"/>
                    </w:rPr>
                    <w:t>（5）</w:t>
                  </w:r>
                  <w:r>
                    <w:rPr>
                      <w:rFonts w:cs="宋体"/>
                      <w:sz w:val="21"/>
                      <w:szCs w:val="21"/>
                    </w:rPr>
                    <w:t>通过反控功能对平台缺失的数据进行补采，避免或减少数据缺失情况。</w:t>
                  </w:r>
                </w:p>
                <w:p>
                  <w:pPr>
                    <w:pStyle w:val="111"/>
                    <w:spacing w:line="300" w:lineRule="exact"/>
                    <w:ind w:firstLine="420"/>
                    <w:rPr>
                      <w:rFonts w:cs="宋体"/>
                      <w:sz w:val="21"/>
                      <w:szCs w:val="21"/>
                    </w:rPr>
                  </w:pPr>
                  <w:r>
                    <w:rPr>
                      <w:rFonts w:hint="eastAsia" w:cs="宋体"/>
                      <w:sz w:val="21"/>
                      <w:szCs w:val="21"/>
                    </w:rPr>
                    <w:t>（6）</w:t>
                  </w:r>
                  <w:r>
                    <w:rPr>
                      <w:rFonts w:cs="宋体"/>
                      <w:sz w:val="21"/>
                      <w:szCs w:val="21"/>
                    </w:rPr>
                    <w:t>汇总编制数据传输情况、超标情况报告，按时提交日常维护报告。</w:t>
                  </w:r>
                </w:p>
                <w:p>
                  <w:pPr>
                    <w:pStyle w:val="111"/>
                    <w:spacing w:line="300" w:lineRule="exact"/>
                    <w:ind w:firstLine="420"/>
                    <w:rPr>
                      <w:rFonts w:cs="宋体"/>
                      <w:sz w:val="21"/>
                      <w:szCs w:val="21"/>
                    </w:rPr>
                  </w:pPr>
                  <w:r>
                    <w:rPr>
                      <w:rFonts w:hint="eastAsia" w:cs="宋体"/>
                      <w:sz w:val="21"/>
                      <w:szCs w:val="21"/>
                    </w:rPr>
                    <w:t>（7）</w:t>
                  </w:r>
                  <w:r>
                    <w:rPr>
                      <w:rFonts w:cs="宋体"/>
                      <w:sz w:val="21"/>
                      <w:szCs w:val="21"/>
                    </w:rPr>
                    <w:t>提供咨询服务，对在平台使用过程中遇到的问题进行解答，并提供解决方案。</w:t>
                  </w:r>
                </w:p>
                <w:p>
                  <w:pPr>
                    <w:pStyle w:val="111"/>
                    <w:spacing w:line="300" w:lineRule="exact"/>
                    <w:ind w:firstLine="420"/>
                    <w:rPr>
                      <w:rFonts w:cs="宋体"/>
                      <w:sz w:val="21"/>
                      <w:szCs w:val="21"/>
                    </w:rPr>
                  </w:pPr>
                  <w:r>
                    <w:rPr>
                      <w:rFonts w:hint="eastAsia" w:cs="宋体"/>
                      <w:sz w:val="21"/>
                      <w:szCs w:val="21"/>
                    </w:rPr>
                    <w:t>（8）</w:t>
                  </w:r>
                  <w:r>
                    <w:rPr>
                      <w:rFonts w:cs="宋体"/>
                      <w:sz w:val="21"/>
                      <w:szCs w:val="21"/>
                    </w:rPr>
                    <w:t>日常收集平台使用的意见建议，整理反馈研发优化。</w:t>
                  </w:r>
                </w:p>
                <w:p>
                  <w:pPr>
                    <w:pStyle w:val="111"/>
                    <w:spacing w:line="300" w:lineRule="exact"/>
                    <w:ind w:firstLine="420"/>
                    <w:rPr>
                      <w:rFonts w:cs="宋体"/>
                      <w:sz w:val="21"/>
                      <w:szCs w:val="21"/>
                    </w:rPr>
                  </w:pPr>
                  <w:r>
                    <w:rPr>
                      <w:rFonts w:hint="eastAsia" w:cs="宋体"/>
                      <w:sz w:val="21"/>
                      <w:szCs w:val="21"/>
                    </w:rPr>
                    <w:t>（9）</w:t>
                  </w:r>
                  <w:r>
                    <w:rPr>
                      <w:rFonts w:cs="宋体"/>
                      <w:sz w:val="21"/>
                      <w:szCs w:val="21"/>
                    </w:rPr>
                    <w:t xml:space="preserve">原有排污单位、新增MN号分配并汇总成表。 </w:t>
                  </w:r>
                </w:p>
                <w:p>
                  <w:pPr>
                    <w:pStyle w:val="111"/>
                    <w:spacing w:line="300" w:lineRule="exact"/>
                    <w:ind w:firstLine="420"/>
                    <w:rPr>
                      <w:rFonts w:cs="宋体"/>
                      <w:sz w:val="21"/>
                      <w:szCs w:val="21"/>
                    </w:rPr>
                  </w:pPr>
                  <w:r>
                    <w:rPr>
                      <w:rFonts w:hint="eastAsia" w:cs="宋体"/>
                      <w:sz w:val="21"/>
                      <w:szCs w:val="21"/>
                    </w:rPr>
                    <w:t>（10）</w:t>
                  </w:r>
                  <w:r>
                    <w:rPr>
                      <w:rFonts w:cs="宋体"/>
                      <w:sz w:val="21"/>
                      <w:szCs w:val="21"/>
                    </w:rPr>
                    <w:t>排污单位基本信息检查更新及备案。</w:t>
                  </w:r>
                </w:p>
                <w:p>
                  <w:pPr>
                    <w:pStyle w:val="111"/>
                    <w:spacing w:line="300" w:lineRule="exact"/>
                    <w:ind w:firstLine="420"/>
                    <w:rPr>
                      <w:rFonts w:cs="宋体"/>
                      <w:sz w:val="21"/>
                      <w:szCs w:val="21"/>
                    </w:rPr>
                  </w:pPr>
                  <w:r>
                    <w:rPr>
                      <w:rFonts w:hint="eastAsia" w:cs="宋体"/>
                      <w:sz w:val="21"/>
                      <w:szCs w:val="21"/>
                    </w:rPr>
                    <w:t>（11）</w:t>
                  </w:r>
                  <w:r>
                    <w:rPr>
                      <w:rFonts w:cs="宋体"/>
                      <w:sz w:val="21"/>
                      <w:szCs w:val="21"/>
                    </w:rPr>
                    <w:t>确保重点行业重点地区污染源数据上传，督促地市完成相关信息完善。</w:t>
                  </w:r>
                </w:p>
                <w:p>
                  <w:pPr>
                    <w:pStyle w:val="111"/>
                    <w:spacing w:line="300" w:lineRule="exact"/>
                    <w:ind w:firstLine="420"/>
                    <w:rPr>
                      <w:rFonts w:cs="宋体"/>
                      <w:sz w:val="21"/>
                      <w:szCs w:val="21"/>
                    </w:rPr>
                  </w:pPr>
                  <w:r>
                    <w:rPr>
                      <w:rFonts w:hint="eastAsia" w:cs="宋体"/>
                      <w:sz w:val="21"/>
                      <w:szCs w:val="21"/>
                    </w:rPr>
                    <w:t>（12）</w:t>
                  </w:r>
                  <w:r>
                    <w:rPr>
                      <w:rFonts w:cs="宋体"/>
                      <w:sz w:val="21"/>
                      <w:szCs w:val="21"/>
                    </w:rPr>
                    <w:t>根据日常工作要求，每日统计数据缺失情况，协助地市提高污染源数据上报的完整率。</w:t>
                  </w:r>
                </w:p>
                <w:p>
                  <w:pPr>
                    <w:pStyle w:val="111"/>
                    <w:spacing w:line="300" w:lineRule="exact"/>
                    <w:ind w:firstLine="420"/>
                    <w:rPr>
                      <w:rFonts w:cs="宋体"/>
                      <w:sz w:val="21"/>
                      <w:szCs w:val="21"/>
                    </w:rPr>
                  </w:pPr>
                  <w:r>
                    <w:rPr>
                      <w:rFonts w:hint="eastAsia" w:cs="宋体"/>
                      <w:sz w:val="21"/>
                      <w:szCs w:val="21"/>
                    </w:rPr>
                    <w:t>2.</w:t>
                  </w:r>
                  <w:r>
                    <w:rPr>
                      <w:rFonts w:cs="宋体"/>
                      <w:sz w:val="21"/>
                      <w:szCs w:val="21"/>
                    </w:rPr>
                    <w:t>数据查询分析服务</w:t>
                  </w:r>
                </w:p>
                <w:p>
                  <w:pPr>
                    <w:pStyle w:val="111"/>
                    <w:spacing w:line="300" w:lineRule="exact"/>
                    <w:ind w:firstLine="420"/>
                    <w:rPr>
                      <w:rFonts w:cs="宋体"/>
                      <w:sz w:val="21"/>
                      <w:szCs w:val="21"/>
                    </w:rPr>
                  </w:pPr>
                  <w:r>
                    <w:rPr>
                      <w:rFonts w:hint="eastAsia" w:cs="宋体"/>
                      <w:sz w:val="21"/>
                      <w:szCs w:val="21"/>
                    </w:rPr>
                    <w:t>（1）</w:t>
                  </w:r>
                  <w:r>
                    <w:rPr>
                      <w:rFonts w:cs="宋体"/>
                      <w:sz w:val="21"/>
                      <w:szCs w:val="21"/>
                    </w:rPr>
                    <w:t>完成各项业务报表，做好汇总、统计、分析等工作。</w:t>
                  </w:r>
                </w:p>
                <w:p>
                  <w:pPr>
                    <w:pStyle w:val="111"/>
                    <w:spacing w:line="300" w:lineRule="exact"/>
                    <w:ind w:firstLine="420"/>
                    <w:rPr>
                      <w:rFonts w:cs="宋体"/>
                      <w:sz w:val="21"/>
                      <w:szCs w:val="21"/>
                    </w:rPr>
                  </w:pPr>
                  <w:r>
                    <w:rPr>
                      <w:rFonts w:hint="eastAsia" w:cs="宋体"/>
                      <w:sz w:val="21"/>
                      <w:szCs w:val="21"/>
                    </w:rPr>
                    <w:t>（2）</w:t>
                  </w:r>
                  <w:r>
                    <w:rPr>
                      <w:rFonts w:cs="宋体"/>
                      <w:sz w:val="21"/>
                      <w:szCs w:val="21"/>
                    </w:rPr>
                    <w:t>每日对超标排污单位进行汇总分析，如超标汇总、无效数据汇总。</w:t>
                  </w:r>
                </w:p>
                <w:p>
                  <w:pPr>
                    <w:pStyle w:val="111"/>
                    <w:spacing w:line="300" w:lineRule="exact"/>
                    <w:ind w:firstLine="420"/>
                    <w:rPr>
                      <w:rFonts w:cs="宋体"/>
                      <w:sz w:val="21"/>
                      <w:szCs w:val="21"/>
                    </w:rPr>
                  </w:pPr>
                  <w:r>
                    <w:rPr>
                      <w:rFonts w:hint="eastAsia" w:cs="宋体"/>
                      <w:sz w:val="21"/>
                      <w:szCs w:val="21"/>
                    </w:rPr>
                    <w:t>（3）</w:t>
                  </w:r>
                  <w:r>
                    <w:rPr>
                      <w:rFonts w:cs="宋体"/>
                      <w:sz w:val="21"/>
                      <w:szCs w:val="21"/>
                    </w:rPr>
                    <w:t>对辖区内某一时段缺失数据、未标记数据等各类情况统计分析。</w:t>
                  </w:r>
                </w:p>
                <w:p>
                  <w:pPr>
                    <w:pStyle w:val="111"/>
                    <w:spacing w:line="300" w:lineRule="exact"/>
                    <w:ind w:firstLine="420"/>
                    <w:rPr>
                      <w:rFonts w:cs="宋体"/>
                      <w:sz w:val="21"/>
                      <w:szCs w:val="21"/>
                    </w:rPr>
                  </w:pPr>
                  <w:r>
                    <w:rPr>
                      <w:rFonts w:hint="eastAsia" w:cs="宋体"/>
                      <w:sz w:val="21"/>
                      <w:szCs w:val="21"/>
                    </w:rPr>
                    <w:t>（4）</w:t>
                  </w:r>
                  <w:r>
                    <w:rPr>
                      <w:rFonts w:cs="宋体"/>
                      <w:sz w:val="21"/>
                      <w:szCs w:val="21"/>
                    </w:rPr>
                    <w:t>根据业务新增情况，对新增业务进行数据查询分析。</w:t>
                  </w:r>
                </w:p>
                <w:p>
                  <w:pPr>
                    <w:pStyle w:val="111"/>
                    <w:spacing w:line="300" w:lineRule="exact"/>
                    <w:ind w:firstLine="420"/>
                    <w:rPr>
                      <w:rFonts w:cs="宋体"/>
                      <w:sz w:val="21"/>
                      <w:szCs w:val="21"/>
                    </w:rPr>
                  </w:pPr>
                  <w:r>
                    <w:rPr>
                      <w:rFonts w:hint="eastAsia" w:cs="宋体"/>
                      <w:sz w:val="21"/>
                      <w:szCs w:val="21"/>
                    </w:rPr>
                    <w:t>（5）</w:t>
                  </w:r>
                  <w:r>
                    <w:rPr>
                      <w:rFonts w:cs="宋体"/>
                      <w:sz w:val="21"/>
                      <w:szCs w:val="21"/>
                    </w:rPr>
                    <w:t>及时提供共享数据接口，保障数据接口的数据推送。</w:t>
                  </w:r>
                </w:p>
                <w:p>
                  <w:pPr>
                    <w:pStyle w:val="111"/>
                    <w:spacing w:line="300" w:lineRule="exact"/>
                    <w:ind w:firstLine="420"/>
                    <w:rPr>
                      <w:rFonts w:cs="宋体"/>
                      <w:sz w:val="21"/>
                      <w:szCs w:val="21"/>
                    </w:rPr>
                  </w:pPr>
                  <w:r>
                    <w:rPr>
                      <w:rFonts w:hint="eastAsia" w:cs="宋体"/>
                      <w:sz w:val="21"/>
                      <w:szCs w:val="21"/>
                    </w:rPr>
                    <w:t>（6）</w:t>
                  </w:r>
                  <w:r>
                    <w:rPr>
                      <w:rFonts w:cs="宋体"/>
                      <w:sz w:val="21"/>
                      <w:szCs w:val="21"/>
                    </w:rPr>
                    <w:t>根据甲方实际工作要求，对于应急性非日常性应用报表，服务人员通过SQL进行数据库查询。</w:t>
                  </w:r>
                </w:p>
                <w:p>
                  <w:pPr>
                    <w:pStyle w:val="111"/>
                    <w:spacing w:line="300" w:lineRule="exact"/>
                    <w:ind w:firstLine="420"/>
                    <w:rPr>
                      <w:rFonts w:cs="宋体"/>
                      <w:sz w:val="21"/>
                      <w:szCs w:val="21"/>
                    </w:rPr>
                  </w:pPr>
                  <w:r>
                    <w:rPr>
                      <w:rFonts w:hint="eastAsia" w:cs="宋体"/>
                      <w:sz w:val="21"/>
                      <w:szCs w:val="21"/>
                    </w:rPr>
                    <w:t>（7）</w:t>
                  </w:r>
                  <w:r>
                    <w:rPr>
                      <w:rFonts w:cs="宋体"/>
                      <w:sz w:val="21"/>
                      <w:szCs w:val="21"/>
                    </w:rPr>
                    <w:t>根据用户要求定期对可疑数据分析、汇总。</w:t>
                  </w:r>
                </w:p>
                <w:p>
                  <w:pPr>
                    <w:pStyle w:val="111"/>
                    <w:spacing w:line="300" w:lineRule="exact"/>
                    <w:ind w:firstLine="420"/>
                    <w:rPr>
                      <w:rFonts w:cs="宋体"/>
                      <w:sz w:val="21"/>
                      <w:szCs w:val="21"/>
                    </w:rPr>
                  </w:pPr>
                  <w:r>
                    <w:rPr>
                      <w:rFonts w:hint="eastAsia" w:cs="宋体"/>
                      <w:sz w:val="21"/>
                      <w:szCs w:val="21"/>
                    </w:rPr>
                    <w:t>3.</w:t>
                  </w:r>
                  <w:r>
                    <w:rPr>
                      <w:rFonts w:cs="宋体"/>
                      <w:sz w:val="21"/>
                      <w:szCs w:val="21"/>
                    </w:rPr>
                    <w:t>部署、升级、联调及数据接口运维服务</w:t>
                  </w:r>
                </w:p>
                <w:p>
                  <w:pPr>
                    <w:pStyle w:val="111"/>
                    <w:spacing w:line="300" w:lineRule="exact"/>
                    <w:ind w:firstLine="420"/>
                    <w:rPr>
                      <w:rFonts w:cs="宋体"/>
                      <w:sz w:val="21"/>
                      <w:szCs w:val="21"/>
                    </w:rPr>
                  </w:pPr>
                  <w:r>
                    <w:rPr>
                      <w:rFonts w:hint="eastAsia" w:cs="宋体"/>
                      <w:sz w:val="21"/>
                      <w:szCs w:val="21"/>
                    </w:rPr>
                    <w:t>（1）</w:t>
                  </w:r>
                  <w:r>
                    <w:rPr>
                      <w:rFonts w:cs="宋体"/>
                      <w:sz w:val="21"/>
                      <w:szCs w:val="21"/>
                    </w:rPr>
                    <w:t>按照相关要求进行部署、升级、联调等工作内容，并对平台功能模块进行优化，确保平台用户顺畅使用，平台正常稳定运行。</w:t>
                  </w:r>
                </w:p>
                <w:p>
                  <w:pPr>
                    <w:pStyle w:val="111"/>
                    <w:spacing w:line="300" w:lineRule="exact"/>
                    <w:ind w:firstLine="420"/>
                    <w:rPr>
                      <w:rFonts w:cs="宋体"/>
                      <w:sz w:val="21"/>
                      <w:szCs w:val="21"/>
                    </w:rPr>
                  </w:pPr>
                  <w:r>
                    <w:rPr>
                      <w:rFonts w:hint="eastAsia" w:cs="宋体"/>
                      <w:sz w:val="21"/>
                      <w:szCs w:val="21"/>
                    </w:rPr>
                    <w:t>（2）</w:t>
                  </w:r>
                  <w:r>
                    <w:rPr>
                      <w:rFonts w:cs="宋体"/>
                      <w:sz w:val="21"/>
                      <w:szCs w:val="21"/>
                    </w:rPr>
                    <w:t>确保数据接口或共享箱正常运行，乙方通过接口运维服务方式按照用户要求数据字段、推送频次，确保数据正常推送到接口或共享箱，第三方用户通过访问数据接口或共享箱获取监控数据。</w:t>
                  </w:r>
                </w:p>
                <w:p>
                  <w:pPr>
                    <w:pStyle w:val="111"/>
                    <w:spacing w:line="300" w:lineRule="exact"/>
                    <w:ind w:firstLine="420"/>
                    <w:rPr>
                      <w:rFonts w:cs="宋体"/>
                      <w:sz w:val="21"/>
                      <w:szCs w:val="21"/>
                    </w:rPr>
                  </w:pPr>
                  <w:r>
                    <w:rPr>
                      <w:rFonts w:hint="eastAsia" w:cs="宋体"/>
                      <w:sz w:val="21"/>
                      <w:szCs w:val="21"/>
                    </w:rPr>
                    <w:t>4.</w:t>
                  </w:r>
                  <w:r>
                    <w:rPr>
                      <w:rFonts w:cs="宋体"/>
                      <w:sz w:val="21"/>
                      <w:szCs w:val="21"/>
                    </w:rPr>
                    <w:t>软件培训服务</w:t>
                  </w:r>
                </w:p>
                <w:p>
                  <w:pPr>
                    <w:pStyle w:val="111"/>
                    <w:spacing w:line="300" w:lineRule="exact"/>
                    <w:ind w:firstLine="420"/>
                    <w:rPr>
                      <w:rFonts w:cs="宋体"/>
                      <w:sz w:val="21"/>
                      <w:szCs w:val="21"/>
                    </w:rPr>
                  </w:pPr>
                  <w:r>
                    <w:rPr>
                      <w:rFonts w:cs="宋体"/>
                      <w:sz w:val="21"/>
                      <w:szCs w:val="21"/>
                    </w:rPr>
                    <w:t>每年提供至少2次集中培训，按照指定的时间和地点派1-2名讲师到现场授课。</w:t>
                  </w:r>
                </w:p>
                <w:p>
                  <w:pPr>
                    <w:pStyle w:val="111"/>
                    <w:spacing w:line="300" w:lineRule="exact"/>
                    <w:ind w:firstLine="420"/>
                    <w:rPr>
                      <w:rFonts w:cs="宋体"/>
                      <w:sz w:val="21"/>
                      <w:szCs w:val="21"/>
                    </w:rPr>
                  </w:pPr>
                  <w:r>
                    <w:rPr>
                      <w:rFonts w:hint="eastAsia" w:cs="宋体"/>
                      <w:sz w:val="21"/>
                      <w:szCs w:val="21"/>
                    </w:rPr>
                    <w:t>（1）</w:t>
                  </w:r>
                  <w:r>
                    <w:rPr>
                      <w:rFonts w:cs="宋体"/>
                      <w:sz w:val="21"/>
                      <w:szCs w:val="21"/>
                    </w:rPr>
                    <w:t>根据国家考核相关政策要求进行业务培训、软件操作培训，可集中培训或个别辅导。</w:t>
                  </w:r>
                </w:p>
                <w:p>
                  <w:pPr>
                    <w:pStyle w:val="111"/>
                    <w:spacing w:line="300" w:lineRule="exact"/>
                    <w:ind w:firstLine="420"/>
                    <w:rPr>
                      <w:rFonts w:cs="宋体"/>
                      <w:sz w:val="21"/>
                      <w:szCs w:val="21"/>
                    </w:rPr>
                  </w:pPr>
                  <w:r>
                    <w:rPr>
                      <w:rFonts w:hint="eastAsia" w:cs="宋体"/>
                      <w:sz w:val="21"/>
                      <w:szCs w:val="21"/>
                    </w:rPr>
                    <w:t>（2）</w:t>
                  </w:r>
                  <w:r>
                    <w:rPr>
                      <w:rFonts w:cs="宋体"/>
                      <w:sz w:val="21"/>
                      <w:szCs w:val="21"/>
                    </w:rPr>
                    <w:t>当政策发生变化，或平台业务更新时，提供新的培训文档，及常见问题解析的更新。</w:t>
                  </w:r>
                </w:p>
                <w:p>
                  <w:pPr>
                    <w:pStyle w:val="111"/>
                    <w:spacing w:line="300" w:lineRule="exact"/>
                    <w:ind w:firstLine="420"/>
                    <w:rPr>
                      <w:rFonts w:cs="宋体"/>
                      <w:sz w:val="21"/>
                      <w:szCs w:val="21"/>
                    </w:rPr>
                  </w:pPr>
                  <w:r>
                    <w:rPr>
                      <w:rFonts w:hint="eastAsia" w:cs="宋体"/>
                      <w:sz w:val="21"/>
                      <w:szCs w:val="21"/>
                    </w:rPr>
                    <w:t>（3）</w:t>
                  </w:r>
                  <w:r>
                    <w:rPr>
                      <w:rFonts w:cs="宋体"/>
                      <w:sz w:val="21"/>
                      <w:szCs w:val="21"/>
                    </w:rPr>
                    <w:t>平台使用人员调整时，对调整后人员提供全面系统培训，侧重业务要求、平台使用、数据上报，同时包含平台使用相关的制度及规范，帮助其快速熟知业务及平台操作。</w:t>
                  </w:r>
                </w:p>
                <w:p>
                  <w:pPr>
                    <w:pStyle w:val="111"/>
                    <w:spacing w:line="300" w:lineRule="exact"/>
                    <w:ind w:firstLine="420"/>
                    <w:rPr>
                      <w:rFonts w:cs="宋体"/>
                      <w:sz w:val="21"/>
                      <w:szCs w:val="21"/>
                    </w:rPr>
                  </w:pPr>
                  <w:r>
                    <w:rPr>
                      <w:rFonts w:hint="eastAsia" w:cs="宋体"/>
                      <w:sz w:val="21"/>
                      <w:szCs w:val="21"/>
                    </w:rPr>
                    <w:t>5.</w:t>
                  </w:r>
                  <w:r>
                    <w:rPr>
                      <w:rFonts w:cs="宋体"/>
                      <w:sz w:val="21"/>
                      <w:szCs w:val="21"/>
                    </w:rPr>
                    <w:t>应急处理维护服务</w:t>
                  </w:r>
                </w:p>
                <w:p>
                  <w:pPr>
                    <w:pStyle w:val="111"/>
                    <w:spacing w:line="300" w:lineRule="exact"/>
                    <w:ind w:firstLine="420"/>
                    <w:rPr>
                      <w:rFonts w:cs="宋体"/>
                      <w:sz w:val="21"/>
                      <w:szCs w:val="21"/>
                    </w:rPr>
                  </w:pPr>
                  <w:r>
                    <w:rPr>
                      <w:rFonts w:cs="宋体"/>
                      <w:sz w:val="21"/>
                      <w:szCs w:val="21"/>
                    </w:rPr>
                    <w:t>对操作系统故障、数据库软件出错、软件运行所在的服务器（或PC机）网络通讯故障等问题，造成的平台软件不能正常运行故障事件进行及时应急处理。在电话和计算机远程维护不能解决的情况下，专职运维人员将在约定的时间内到达现场，并保证在24小时内解决问题。</w:t>
                  </w:r>
                </w:p>
                <w:p>
                  <w:pPr>
                    <w:pStyle w:val="111"/>
                    <w:spacing w:line="300" w:lineRule="exact"/>
                    <w:ind w:firstLine="420"/>
                    <w:rPr>
                      <w:rFonts w:cs="宋体"/>
                      <w:sz w:val="21"/>
                      <w:szCs w:val="21"/>
                    </w:rPr>
                  </w:pPr>
                  <w:r>
                    <w:rPr>
                      <w:rFonts w:hint="eastAsia" w:cs="宋体"/>
                      <w:sz w:val="21"/>
                      <w:szCs w:val="21"/>
                    </w:rPr>
                    <w:t>6、驻场服务</w:t>
                  </w:r>
                </w:p>
                <w:p>
                  <w:pPr>
                    <w:pStyle w:val="111"/>
                    <w:spacing w:line="300" w:lineRule="exact"/>
                    <w:ind w:firstLine="420"/>
                    <w:rPr>
                      <w:rFonts w:cs="宋体"/>
                      <w:sz w:val="21"/>
                      <w:szCs w:val="21"/>
                    </w:rPr>
                  </w:pPr>
                  <w:r>
                    <w:rPr>
                      <w:rFonts w:hint="eastAsia" w:cs="宋体"/>
                      <w:sz w:val="21"/>
                      <w:szCs w:val="21"/>
                    </w:rPr>
                    <w:t>配备1名技术人员作为驻场服务人员，为用户提供5*8小时的现场故障诊断、处理，以及7*24小时电话或远程技术支持服务。负责现场软硬件基础运行维护服务、用户培训事宜。跟踪并反馈提出的问题，协调好内外部门资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2" w:hRule="atLeast"/>
                <w:jc w:val="center"/>
              </w:trPr>
              <w:tc>
                <w:tcPr>
                  <w:tcW w:w="354" w:type="dxa"/>
                  <w:noWrap w:val="0"/>
                  <w:vAlign w:val="center"/>
                </w:tcPr>
                <w:p>
                  <w:pPr>
                    <w:jc w:val="center"/>
                    <w:rPr>
                      <w:rFonts w:eastAsia="仿宋"/>
                      <w:bCs/>
                      <w:color w:val="000000"/>
                      <w:szCs w:val="21"/>
                    </w:rPr>
                  </w:pPr>
                  <w:r>
                    <w:rPr>
                      <w:rFonts w:hint="eastAsia" w:cs="宋体"/>
                      <w:szCs w:val="21"/>
                    </w:rPr>
                    <w:t>5</w:t>
                  </w:r>
                </w:p>
              </w:tc>
              <w:tc>
                <w:tcPr>
                  <w:tcW w:w="820" w:type="dxa"/>
                  <w:noWrap w:val="0"/>
                  <w:vAlign w:val="center"/>
                </w:tcPr>
                <w:p>
                  <w:pPr>
                    <w:jc w:val="center"/>
                    <w:rPr>
                      <w:rFonts w:cs="宋体"/>
                      <w:szCs w:val="21"/>
                    </w:rPr>
                  </w:pPr>
                  <w:r>
                    <w:rPr>
                      <w:rFonts w:cs="宋体"/>
                      <w:szCs w:val="21"/>
                    </w:rPr>
                    <w:t>广西环境保护税涉税信息共享平台</w:t>
                  </w:r>
                </w:p>
                <w:p>
                  <w:pPr>
                    <w:jc w:val="center"/>
                    <w:rPr>
                      <w:rFonts w:eastAsia="仿宋"/>
                      <w:bCs/>
                      <w:color w:val="000000"/>
                      <w:szCs w:val="21"/>
                    </w:rPr>
                  </w:pPr>
                  <w:r>
                    <w:rPr>
                      <w:rFonts w:cs="宋体"/>
                      <w:szCs w:val="21"/>
                    </w:rPr>
                    <w:t>（环保端）</w:t>
                  </w:r>
                </w:p>
              </w:tc>
              <w:tc>
                <w:tcPr>
                  <w:tcW w:w="3644" w:type="dxa"/>
                  <w:noWrap w:val="0"/>
                  <w:vAlign w:val="center"/>
                </w:tcPr>
                <w:p>
                  <w:pPr>
                    <w:pStyle w:val="111"/>
                    <w:spacing w:line="300" w:lineRule="exact"/>
                    <w:ind w:firstLine="420"/>
                    <w:rPr>
                      <w:rFonts w:cs="宋体"/>
                      <w:sz w:val="21"/>
                      <w:szCs w:val="21"/>
                    </w:rPr>
                  </w:pPr>
                  <w:r>
                    <w:rPr>
                      <w:rFonts w:hint="eastAsia" w:cs="宋体"/>
                      <w:sz w:val="21"/>
                      <w:szCs w:val="21"/>
                    </w:rPr>
                    <w:t>1.</w:t>
                  </w:r>
                  <w:r>
                    <w:rPr>
                      <w:rFonts w:cs="宋体"/>
                      <w:sz w:val="21"/>
                      <w:szCs w:val="21"/>
                    </w:rPr>
                    <w:t>日常维护</w:t>
                  </w:r>
                </w:p>
                <w:p>
                  <w:pPr>
                    <w:pStyle w:val="111"/>
                    <w:spacing w:line="300" w:lineRule="exact"/>
                    <w:ind w:firstLine="420"/>
                    <w:rPr>
                      <w:rFonts w:cs="宋体"/>
                      <w:sz w:val="21"/>
                      <w:szCs w:val="21"/>
                    </w:rPr>
                  </w:pPr>
                  <w:r>
                    <w:rPr>
                      <w:rFonts w:cs="宋体"/>
                      <w:sz w:val="21"/>
                      <w:szCs w:val="21"/>
                    </w:rPr>
                    <w:t>（1）每天通过对数据库服务器CPU，内存，硬盘进行检查是否发生故障，如有故障及时协助处理，保障服务器正常稳定的运行。</w:t>
                  </w:r>
                </w:p>
                <w:p>
                  <w:pPr>
                    <w:pStyle w:val="111"/>
                    <w:spacing w:line="300" w:lineRule="exact"/>
                    <w:ind w:firstLine="420"/>
                    <w:rPr>
                      <w:rFonts w:cs="宋体"/>
                      <w:sz w:val="21"/>
                      <w:szCs w:val="21"/>
                    </w:rPr>
                  </w:pPr>
                  <w:r>
                    <w:rPr>
                      <w:rFonts w:cs="宋体"/>
                      <w:sz w:val="21"/>
                      <w:szCs w:val="21"/>
                    </w:rPr>
                    <w:t>（2）每天对SQLServer的运行情况进行检查并且进行记录。</w:t>
                  </w:r>
                </w:p>
                <w:p>
                  <w:pPr>
                    <w:pStyle w:val="111"/>
                    <w:spacing w:line="300" w:lineRule="exact"/>
                    <w:ind w:firstLine="420"/>
                    <w:rPr>
                      <w:rFonts w:cs="宋体"/>
                      <w:sz w:val="21"/>
                      <w:szCs w:val="21"/>
                    </w:rPr>
                  </w:pPr>
                  <w:r>
                    <w:rPr>
                      <w:rFonts w:cs="宋体"/>
                      <w:sz w:val="21"/>
                      <w:szCs w:val="21"/>
                    </w:rPr>
                    <w:t>（3）每天对业务数据库日志进行收缩，保障业务系统能正常稳定的运行。</w:t>
                  </w:r>
                </w:p>
                <w:p>
                  <w:pPr>
                    <w:pStyle w:val="111"/>
                    <w:spacing w:line="300" w:lineRule="exact"/>
                    <w:ind w:firstLine="420"/>
                    <w:rPr>
                      <w:rFonts w:cs="宋体"/>
                      <w:sz w:val="21"/>
                      <w:szCs w:val="21"/>
                    </w:rPr>
                  </w:pPr>
                  <w:r>
                    <w:rPr>
                      <w:rFonts w:cs="宋体"/>
                      <w:sz w:val="21"/>
                      <w:szCs w:val="21"/>
                    </w:rPr>
                    <w:t>（4）环保前置机升级</w:t>
                  </w:r>
                </w:p>
                <w:p>
                  <w:pPr>
                    <w:pStyle w:val="111"/>
                    <w:spacing w:line="300" w:lineRule="exact"/>
                    <w:ind w:firstLine="420"/>
                    <w:rPr>
                      <w:rFonts w:cs="宋体"/>
                      <w:sz w:val="21"/>
                      <w:szCs w:val="21"/>
                    </w:rPr>
                  </w:pPr>
                  <w:r>
                    <w:rPr>
                      <w:rFonts w:cs="宋体"/>
                      <w:sz w:val="21"/>
                      <w:szCs w:val="21"/>
                    </w:rPr>
                    <w:t>根据生态环境部环保前置机升级维护工作安排，完成省级环保前置机升级，并参照业务要求，核实升级结果，解决环保前置机升级遇到问题。</w:t>
                  </w:r>
                </w:p>
                <w:p>
                  <w:pPr>
                    <w:pStyle w:val="111"/>
                    <w:spacing w:line="300" w:lineRule="exact"/>
                    <w:ind w:firstLine="420"/>
                    <w:rPr>
                      <w:rFonts w:cs="宋体"/>
                      <w:sz w:val="21"/>
                      <w:szCs w:val="21"/>
                    </w:rPr>
                  </w:pPr>
                  <w:r>
                    <w:rPr>
                      <w:rFonts w:cs="宋体"/>
                      <w:sz w:val="21"/>
                      <w:szCs w:val="21"/>
                    </w:rPr>
                    <w:t>（5）数据共享与交换联调</w:t>
                  </w:r>
                </w:p>
                <w:p>
                  <w:pPr>
                    <w:pStyle w:val="111"/>
                    <w:spacing w:line="300" w:lineRule="exact"/>
                    <w:ind w:firstLine="420"/>
                    <w:rPr>
                      <w:rFonts w:cs="宋体"/>
                      <w:sz w:val="21"/>
                      <w:szCs w:val="21"/>
                    </w:rPr>
                  </w:pPr>
                  <w:r>
                    <w:rPr>
                      <w:rFonts w:cs="宋体"/>
                      <w:sz w:val="21"/>
                      <w:szCs w:val="21"/>
                    </w:rPr>
                    <w:t>与税务技术人员配合，负责生态环境部门与税务部门前置机数据交换联调，确保环保与税务前置机数据共享与交换工作正常开展。跟踪前置机数据交换日志，分析并解决前置机运行过程中遇到的问题，并配合税务技术人员，协助解决税务前置机遇到问题。</w:t>
                  </w:r>
                </w:p>
                <w:p>
                  <w:pPr>
                    <w:pStyle w:val="111"/>
                    <w:spacing w:line="300" w:lineRule="exact"/>
                    <w:ind w:firstLine="420"/>
                    <w:rPr>
                      <w:rFonts w:cs="宋体"/>
                      <w:sz w:val="21"/>
                      <w:szCs w:val="21"/>
                    </w:rPr>
                  </w:pPr>
                  <w:r>
                    <w:rPr>
                      <w:rFonts w:cs="宋体"/>
                      <w:sz w:val="21"/>
                      <w:szCs w:val="21"/>
                    </w:rPr>
                    <w:t>（6）根据排污许可证、生态环境行政处罚、监督性监测、污染源自动监控等业务系统的变动，修改对应的ETL数据模板。</w:t>
                  </w:r>
                </w:p>
                <w:p>
                  <w:pPr>
                    <w:pStyle w:val="111"/>
                    <w:spacing w:line="300" w:lineRule="exact"/>
                    <w:ind w:firstLine="420"/>
                    <w:rPr>
                      <w:rFonts w:cs="宋体"/>
                      <w:sz w:val="21"/>
                      <w:szCs w:val="21"/>
                    </w:rPr>
                  </w:pPr>
                  <w:r>
                    <w:rPr>
                      <w:rFonts w:hint="eastAsia" w:cs="宋体"/>
                      <w:sz w:val="21"/>
                      <w:szCs w:val="21"/>
                    </w:rPr>
                    <w:t>2.</w:t>
                  </w:r>
                  <w:r>
                    <w:rPr>
                      <w:rFonts w:cs="宋体"/>
                      <w:sz w:val="21"/>
                      <w:szCs w:val="21"/>
                    </w:rPr>
                    <w:t>数据服务</w:t>
                  </w:r>
                </w:p>
                <w:p>
                  <w:pPr>
                    <w:pStyle w:val="111"/>
                    <w:spacing w:line="300" w:lineRule="exact"/>
                    <w:ind w:firstLine="420"/>
                    <w:rPr>
                      <w:rFonts w:cs="宋体"/>
                      <w:sz w:val="21"/>
                      <w:szCs w:val="21"/>
                    </w:rPr>
                  </w:pPr>
                  <w:r>
                    <w:rPr>
                      <w:rFonts w:cs="宋体"/>
                      <w:sz w:val="21"/>
                      <w:szCs w:val="21"/>
                    </w:rPr>
                    <w:t>（1）数据导入</w:t>
                  </w:r>
                </w:p>
                <w:p>
                  <w:pPr>
                    <w:pStyle w:val="111"/>
                    <w:spacing w:line="300" w:lineRule="exact"/>
                    <w:ind w:firstLine="420"/>
                    <w:rPr>
                      <w:rFonts w:cs="宋体"/>
                      <w:sz w:val="21"/>
                      <w:szCs w:val="21"/>
                    </w:rPr>
                  </w:pPr>
                  <w:r>
                    <w:rPr>
                      <w:rFonts w:cs="宋体"/>
                      <w:sz w:val="21"/>
                      <w:szCs w:val="21"/>
                    </w:rPr>
                    <w:t>对涉及的业务数据：税务共享数据、排污许可证数据、生态环境处罚信息数据、污染源在线监控数据、监督性监测等进行数据导入。</w:t>
                  </w:r>
                </w:p>
                <w:p>
                  <w:pPr>
                    <w:pStyle w:val="111"/>
                    <w:spacing w:line="300" w:lineRule="exact"/>
                    <w:ind w:firstLine="420"/>
                    <w:rPr>
                      <w:rFonts w:cs="宋体"/>
                      <w:sz w:val="21"/>
                      <w:szCs w:val="21"/>
                    </w:rPr>
                  </w:pPr>
                  <w:r>
                    <w:rPr>
                      <w:rFonts w:cs="宋体"/>
                      <w:sz w:val="21"/>
                      <w:szCs w:val="21"/>
                    </w:rPr>
                    <w:t>（2）数据统一</w:t>
                  </w:r>
                </w:p>
                <w:p>
                  <w:pPr>
                    <w:pStyle w:val="111"/>
                    <w:spacing w:line="300" w:lineRule="exact"/>
                    <w:ind w:firstLine="420"/>
                    <w:rPr>
                      <w:rFonts w:cs="宋体"/>
                      <w:sz w:val="21"/>
                      <w:szCs w:val="21"/>
                    </w:rPr>
                  </w:pPr>
                  <w:r>
                    <w:rPr>
                      <w:rFonts w:cs="宋体"/>
                      <w:sz w:val="21"/>
                      <w:szCs w:val="21"/>
                    </w:rPr>
                    <w:t>对税务部门及生态环境各业务部门产生的增量数据中无法按照工具统一的数据进行分析核实并确定数据统一方式，完成数据统一，以提升数据统一比率。</w:t>
                  </w:r>
                </w:p>
                <w:p>
                  <w:pPr>
                    <w:pStyle w:val="111"/>
                    <w:spacing w:line="300" w:lineRule="exact"/>
                    <w:ind w:firstLine="420"/>
                    <w:rPr>
                      <w:rFonts w:cs="宋体"/>
                      <w:sz w:val="21"/>
                      <w:szCs w:val="21"/>
                    </w:rPr>
                  </w:pPr>
                  <w:r>
                    <w:rPr>
                      <w:rFonts w:cs="宋体"/>
                      <w:sz w:val="21"/>
                      <w:szCs w:val="21"/>
                    </w:rPr>
                    <w:t>（3）数据比对清洗及审核处理</w:t>
                  </w:r>
                </w:p>
                <w:p>
                  <w:pPr>
                    <w:pStyle w:val="111"/>
                    <w:spacing w:line="300" w:lineRule="exact"/>
                    <w:ind w:firstLine="420"/>
                    <w:rPr>
                      <w:rFonts w:cs="宋体"/>
                      <w:sz w:val="21"/>
                      <w:szCs w:val="21"/>
                    </w:rPr>
                  </w:pPr>
                  <w:r>
                    <w:rPr>
                      <w:rFonts w:cs="宋体"/>
                      <w:sz w:val="21"/>
                      <w:szCs w:val="21"/>
                    </w:rPr>
                    <w:t>结合业务实际发现不同数据源相同或相似数据存在数据不一致及数据缺失、异常等情况，通过多业务部门会同协商，对潜在数据问题及涉及数据内容进行确定，再结合技术手段，发现数据存在的不一致及数据缺失、异常等情况并反馈各业务部门供其进行完善。此过程涉及多次，直到最终数据达到数据中心数据标准约定的质量要求。</w:t>
                  </w:r>
                </w:p>
                <w:p>
                  <w:pPr>
                    <w:pStyle w:val="111"/>
                    <w:spacing w:line="300" w:lineRule="exact"/>
                    <w:ind w:firstLine="420"/>
                    <w:rPr>
                      <w:rFonts w:cs="宋体"/>
                      <w:sz w:val="21"/>
                      <w:szCs w:val="21"/>
                    </w:rPr>
                  </w:pPr>
                  <w:r>
                    <w:rPr>
                      <w:rFonts w:cs="宋体"/>
                      <w:sz w:val="21"/>
                      <w:szCs w:val="21"/>
                    </w:rPr>
                    <w:t>业务数据清洗主要指各数据来源部门根据发现问题对数据进行完善。</w:t>
                  </w:r>
                </w:p>
                <w:p>
                  <w:pPr>
                    <w:pStyle w:val="111"/>
                    <w:spacing w:line="300" w:lineRule="exact"/>
                    <w:ind w:firstLine="420"/>
                    <w:rPr>
                      <w:rFonts w:cs="宋体"/>
                      <w:sz w:val="21"/>
                      <w:szCs w:val="21"/>
                    </w:rPr>
                  </w:pPr>
                  <w:r>
                    <w:rPr>
                      <w:rFonts w:cs="宋体"/>
                      <w:sz w:val="21"/>
                      <w:szCs w:val="21"/>
                    </w:rPr>
                    <w:t>（4）环境保护税复核服务</w:t>
                  </w:r>
                </w:p>
                <w:p>
                  <w:pPr>
                    <w:pStyle w:val="111"/>
                    <w:spacing w:line="300" w:lineRule="exact"/>
                    <w:ind w:firstLine="420"/>
                    <w:rPr>
                      <w:rFonts w:cs="宋体"/>
                      <w:sz w:val="21"/>
                      <w:szCs w:val="21"/>
                    </w:rPr>
                  </w:pPr>
                  <w:r>
                    <w:rPr>
                      <w:rFonts w:cs="宋体"/>
                      <w:sz w:val="21"/>
                      <w:szCs w:val="21"/>
                    </w:rPr>
                    <w:t>协助省级生态环境部门对于疑难复核情况进行数据采集、数据比对及分析，并配合行业专家指导一线开展复核。</w:t>
                  </w:r>
                </w:p>
                <w:p>
                  <w:pPr>
                    <w:pStyle w:val="111"/>
                    <w:spacing w:line="300" w:lineRule="exact"/>
                    <w:ind w:firstLine="420"/>
                    <w:rPr>
                      <w:rFonts w:cs="宋体"/>
                      <w:sz w:val="21"/>
                      <w:szCs w:val="21"/>
                    </w:rPr>
                  </w:pPr>
                  <w:r>
                    <w:rPr>
                      <w:rFonts w:cs="宋体"/>
                      <w:sz w:val="21"/>
                      <w:szCs w:val="21"/>
                    </w:rPr>
                    <w:t>配合省级生态环境部门，根据税务机关提请复核任务办结情况，抽取并分析企业原始申报数据、环境保护税复核结论、历史环境报税征收数据、排污许可证数据、在线数据、监督性监测数据、处罚数据，核实并验证生态环境部门复核结果。对核实过程中发现的问题形成复核结果核实及验证报告，并汇总省级生态环境部门。</w:t>
                  </w:r>
                </w:p>
                <w:p>
                  <w:pPr>
                    <w:pStyle w:val="111"/>
                    <w:spacing w:line="300" w:lineRule="exact"/>
                    <w:ind w:firstLine="420"/>
                    <w:rPr>
                      <w:rFonts w:cs="宋体"/>
                      <w:sz w:val="21"/>
                      <w:szCs w:val="21"/>
                    </w:rPr>
                  </w:pPr>
                  <w:r>
                    <w:rPr>
                      <w:rFonts w:hint="eastAsia" w:cs="宋体"/>
                      <w:sz w:val="21"/>
                      <w:szCs w:val="21"/>
                    </w:rPr>
                    <w:t>3.</w:t>
                  </w:r>
                  <w:r>
                    <w:rPr>
                      <w:rFonts w:cs="宋体"/>
                      <w:sz w:val="21"/>
                      <w:szCs w:val="21"/>
                    </w:rPr>
                    <w:t>培训服务</w:t>
                  </w:r>
                </w:p>
                <w:p>
                  <w:pPr>
                    <w:pStyle w:val="111"/>
                    <w:spacing w:line="300" w:lineRule="exact"/>
                    <w:ind w:firstLine="420"/>
                    <w:rPr>
                      <w:rFonts w:cs="宋体"/>
                      <w:sz w:val="21"/>
                      <w:szCs w:val="21"/>
                    </w:rPr>
                  </w:pPr>
                  <w:r>
                    <w:rPr>
                      <w:rFonts w:cs="宋体"/>
                      <w:sz w:val="21"/>
                      <w:szCs w:val="21"/>
                    </w:rPr>
                    <w:t>（1）生态环境法律、法规、政策咨询及培训</w:t>
                  </w:r>
                </w:p>
                <w:p>
                  <w:pPr>
                    <w:pStyle w:val="111"/>
                    <w:spacing w:line="300" w:lineRule="exact"/>
                    <w:ind w:firstLine="420"/>
                    <w:rPr>
                      <w:rFonts w:cs="宋体"/>
                      <w:sz w:val="21"/>
                      <w:szCs w:val="21"/>
                    </w:rPr>
                  </w:pPr>
                  <w:r>
                    <w:rPr>
                      <w:rFonts w:cs="宋体"/>
                      <w:sz w:val="21"/>
                      <w:szCs w:val="21"/>
                    </w:rPr>
                    <w:t>（2）环境保护税申报、核算业务咨询及培训</w:t>
                  </w:r>
                </w:p>
                <w:p>
                  <w:pPr>
                    <w:pStyle w:val="111"/>
                    <w:spacing w:line="300" w:lineRule="exact"/>
                    <w:ind w:firstLine="420"/>
                    <w:rPr>
                      <w:rFonts w:cs="宋体"/>
                      <w:sz w:val="21"/>
                      <w:szCs w:val="21"/>
                    </w:rPr>
                  </w:pPr>
                  <w:r>
                    <w:rPr>
                      <w:rFonts w:cs="宋体"/>
                      <w:sz w:val="21"/>
                      <w:szCs w:val="21"/>
                    </w:rPr>
                    <w:t>（3）环境保护税复核业务咨询及培训</w:t>
                  </w:r>
                </w:p>
                <w:p>
                  <w:pPr>
                    <w:pStyle w:val="111"/>
                    <w:spacing w:line="300" w:lineRule="exact"/>
                    <w:ind w:firstLine="420"/>
                    <w:rPr>
                      <w:rFonts w:cs="宋体"/>
                      <w:sz w:val="21"/>
                      <w:szCs w:val="21"/>
                    </w:rPr>
                  </w:pPr>
                  <w:r>
                    <w:rPr>
                      <w:rFonts w:cs="宋体"/>
                      <w:sz w:val="21"/>
                      <w:szCs w:val="21"/>
                    </w:rPr>
                    <w:t>（4）环境保护税涉税数据标准化相关业务咨询及培训</w:t>
                  </w:r>
                </w:p>
                <w:p>
                  <w:pPr>
                    <w:pStyle w:val="111"/>
                    <w:spacing w:line="300" w:lineRule="exact"/>
                    <w:ind w:firstLine="420"/>
                    <w:rPr>
                      <w:rFonts w:cs="宋体"/>
                      <w:sz w:val="21"/>
                      <w:szCs w:val="21"/>
                    </w:rPr>
                  </w:pPr>
                  <w:r>
                    <w:rPr>
                      <w:rFonts w:cs="宋体"/>
                      <w:sz w:val="21"/>
                      <w:szCs w:val="21"/>
                    </w:rPr>
                    <w:t xml:space="preserve">（5）环境保护税涉税数据采集、汇总、比对、异常数据分析、清洗相关业务咨询及培训； </w:t>
                  </w:r>
                </w:p>
                <w:p>
                  <w:pPr>
                    <w:pStyle w:val="111"/>
                    <w:spacing w:line="300" w:lineRule="exact"/>
                    <w:ind w:firstLine="420"/>
                    <w:rPr>
                      <w:rFonts w:hint="eastAsia" w:cs="宋体"/>
                      <w:sz w:val="21"/>
                      <w:szCs w:val="21"/>
                    </w:rPr>
                  </w:pPr>
                  <w:r>
                    <w:rPr>
                      <w:rFonts w:cs="宋体"/>
                      <w:sz w:val="21"/>
                      <w:szCs w:val="21"/>
                    </w:rPr>
                    <w:t>（6）环境保护税涉税数据前置机升级，运行维护，日常数据共享与交换保障、监控相关业务咨询及培训</w:t>
                  </w:r>
                  <w:r>
                    <w:rPr>
                      <w:rFonts w:hint="eastAsia" w:cs="宋体"/>
                      <w:sz w:val="21"/>
                      <w:szCs w:val="21"/>
                    </w:rPr>
                    <w:t>。</w:t>
                  </w:r>
                </w:p>
                <w:p>
                  <w:pPr>
                    <w:pStyle w:val="111"/>
                    <w:spacing w:line="300" w:lineRule="exact"/>
                    <w:ind w:firstLine="420"/>
                    <w:rPr>
                      <w:rFonts w:cs="宋体"/>
                      <w:sz w:val="21"/>
                      <w:szCs w:val="21"/>
                    </w:rPr>
                  </w:pPr>
                  <w:r>
                    <w:rPr>
                      <w:rFonts w:hint="eastAsia" w:cs="宋体"/>
                      <w:sz w:val="21"/>
                      <w:szCs w:val="21"/>
                    </w:rPr>
                    <w:t>4．驻场服务</w:t>
                  </w:r>
                </w:p>
                <w:p>
                  <w:pPr>
                    <w:pStyle w:val="111"/>
                    <w:spacing w:line="300" w:lineRule="exact"/>
                    <w:ind w:firstLine="420"/>
                    <w:rPr>
                      <w:rFonts w:hint="eastAsia" w:cs="宋体"/>
                      <w:sz w:val="21"/>
                      <w:szCs w:val="21"/>
                    </w:rPr>
                  </w:pPr>
                  <w:r>
                    <w:rPr>
                      <w:rFonts w:hint="eastAsia" w:cs="宋体"/>
                      <w:sz w:val="21"/>
                      <w:szCs w:val="21"/>
                    </w:rPr>
                    <w:t>配备1名技术人员作为驻场服务人员，为用户提供5*8小时的现场故障诊断、处理，以及7*24小时电话或远程技术支持服务。负责现场软硬件基础运行维护服务、用户培训事宜。跟踪并反馈提出的问题，协调好内外部门资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2" w:hRule="atLeast"/>
                <w:jc w:val="center"/>
              </w:trPr>
              <w:tc>
                <w:tcPr>
                  <w:tcW w:w="354" w:type="dxa"/>
                  <w:noWrap w:val="0"/>
                  <w:vAlign w:val="center"/>
                </w:tcPr>
                <w:p>
                  <w:pPr>
                    <w:jc w:val="center"/>
                    <w:rPr>
                      <w:rFonts w:eastAsia="仿宋"/>
                      <w:bCs/>
                      <w:color w:val="000000"/>
                      <w:szCs w:val="21"/>
                    </w:rPr>
                  </w:pPr>
                  <w:r>
                    <w:rPr>
                      <w:rFonts w:hint="eastAsia" w:cs="宋体"/>
                      <w:szCs w:val="21"/>
                    </w:rPr>
                    <w:t>6</w:t>
                  </w:r>
                </w:p>
              </w:tc>
              <w:tc>
                <w:tcPr>
                  <w:tcW w:w="820" w:type="dxa"/>
                  <w:noWrap w:val="0"/>
                  <w:vAlign w:val="center"/>
                </w:tcPr>
                <w:p>
                  <w:pPr>
                    <w:jc w:val="center"/>
                    <w:rPr>
                      <w:rFonts w:eastAsia="仿宋"/>
                      <w:bCs/>
                      <w:color w:val="000000"/>
                      <w:szCs w:val="21"/>
                    </w:rPr>
                  </w:pPr>
                  <w:r>
                    <w:rPr>
                      <w:rFonts w:hint="eastAsia" w:cs="宋体"/>
                      <w:szCs w:val="21"/>
                    </w:rPr>
                    <w:t>广西执法视频监控平台</w:t>
                  </w:r>
                </w:p>
              </w:tc>
              <w:tc>
                <w:tcPr>
                  <w:tcW w:w="3644" w:type="dxa"/>
                  <w:noWrap w:val="0"/>
                  <w:vAlign w:val="center"/>
                </w:tcPr>
                <w:p>
                  <w:pPr>
                    <w:pStyle w:val="111"/>
                    <w:spacing w:line="300" w:lineRule="exact"/>
                    <w:ind w:firstLine="420"/>
                    <w:rPr>
                      <w:rFonts w:cs="宋体"/>
                      <w:sz w:val="21"/>
                      <w:szCs w:val="21"/>
                    </w:rPr>
                  </w:pPr>
                  <w:r>
                    <w:rPr>
                      <w:rFonts w:hint="eastAsia" w:cs="宋体"/>
                      <w:sz w:val="21"/>
                      <w:szCs w:val="21"/>
                    </w:rPr>
                    <w:t>危险废物、医疗废物处置企业执法视频监控平台及冶炼行业执法视频监控平台运维</w:t>
                  </w:r>
                </w:p>
                <w:p>
                  <w:pPr>
                    <w:pStyle w:val="111"/>
                    <w:spacing w:line="300" w:lineRule="exact"/>
                    <w:ind w:firstLine="420"/>
                    <w:rPr>
                      <w:rFonts w:hint="eastAsia" w:cs="宋体"/>
                      <w:sz w:val="21"/>
                      <w:szCs w:val="21"/>
                    </w:rPr>
                  </w:pPr>
                  <w:r>
                    <w:rPr>
                      <w:rFonts w:cs="宋体"/>
                      <w:sz w:val="21"/>
                      <w:szCs w:val="21"/>
                    </w:rPr>
                    <w:t>对平台内所有监控点位进行后端维护，配合业务需求单位提供业务数据接口。实施7*24h现场/远程优质高效服务，定期远程巡检和调试各监控点，每周至少巡检1次监控平台，并及时报告视频监控点故障问题。升级更新平台各类软件，满足日常执法监管工作需求。进一步优化网络资源，合理使用网络信息流量，保障关键业务数据运行通畅</w:t>
                  </w:r>
                  <w:r>
                    <w:rPr>
                      <w:rFonts w:hint="eastAsia" w:cs="宋体"/>
                      <w:sz w:val="21"/>
                      <w:szCs w:val="21"/>
                    </w:rPr>
                    <w:t>。</w:t>
                  </w:r>
                </w:p>
                <w:p>
                  <w:pPr>
                    <w:pStyle w:val="111"/>
                    <w:spacing w:line="300" w:lineRule="exact"/>
                    <w:ind w:firstLine="420"/>
                    <w:rPr>
                      <w:rFonts w:eastAsia="仿宋"/>
                      <w:bCs/>
                      <w:sz w:val="21"/>
                      <w:szCs w:val="21"/>
                    </w:rPr>
                  </w:pPr>
                  <w:r>
                    <w:rPr>
                      <w:rFonts w:hint="eastAsia" w:cs="宋体"/>
                      <w:sz w:val="21"/>
                      <w:szCs w:val="21"/>
                    </w:rPr>
                    <w:t>通过单点登录方式将危险废物、医疗废物处置企业执法视频监控平台集成至广西“生态云”平台。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22" w:hRule="atLeast"/>
                <w:jc w:val="center"/>
              </w:trPr>
              <w:tc>
                <w:tcPr>
                  <w:tcW w:w="354" w:type="dxa"/>
                  <w:noWrap w:val="0"/>
                  <w:vAlign w:val="center"/>
                </w:tcPr>
                <w:p>
                  <w:pPr>
                    <w:jc w:val="center"/>
                    <w:rPr>
                      <w:rFonts w:eastAsia="仿宋"/>
                      <w:bCs/>
                      <w:color w:val="000000"/>
                      <w:szCs w:val="21"/>
                    </w:rPr>
                  </w:pPr>
                  <w:r>
                    <w:rPr>
                      <w:rFonts w:hint="eastAsia" w:cs="宋体"/>
                      <w:szCs w:val="21"/>
                    </w:rPr>
                    <w:t>7</w:t>
                  </w:r>
                </w:p>
              </w:tc>
              <w:tc>
                <w:tcPr>
                  <w:tcW w:w="820" w:type="dxa"/>
                  <w:noWrap w:val="0"/>
                  <w:vAlign w:val="center"/>
                </w:tcPr>
                <w:p>
                  <w:pPr>
                    <w:jc w:val="center"/>
                    <w:rPr>
                      <w:rFonts w:eastAsia="仿宋"/>
                      <w:bCs/>
                      <w:color w:val="000000"/>
                      <w:szCs w:val="21"/>
                    </w:rPr>
                  </w:pPr>
                  <w:r>
                    <w:rPr>
                      <w:rFonts w:cs="宋体"/>
                      <w:szCs w:val="21"/>
                    </w:rPr>
                    <w:t>广西环境违法案件查处系统</w:t>
                  </w:r>
                </w:p>
              </w:tc>
              <w:tc>
                <w:tcPr>
                  <w:tcW w:w="3644" w:type="dxa"/>
                  <w:noWrap w:val="0"/>
                  <w:vAlign w:val="center"/>
                </w:tcPr>
                <w:p>
                  <w:pPr>
                    <w:pStyle w:val="111"/>
                    <w:spacing w:line="300" w:lineRule="exact"/>
                    <w:ind w:firstLine="420"/>
                    <w:rPr>
                      <w:rFonts w:hint="eastAsia" w:cs="宋体"/>
                      <w:sz w:val="21"/>
                      <w:szCs w:val="21"/>
                    </w:rPr>
                  </w:pPr>
                  <w:r>
                    <w:rPr>
                      <w:rFonts w:hint="eastAsia" w:cs="宋体"/>
                      <w:sz w:val="21"/>
                      <w:szCs w:val="21"/>
                    </w:rPr>
                    <w:t>1.系统维护。保障系统的稳定运行。</w:t>
                  </w:r>
                </w:p>
                <w:p>
                  <w:pPr>
                    <w:pStyle w:val="111"/>
                    <w:spacing w:line="300" w:lineRule="exact"/>
                    <w:ind w:firstLine="420"/>
                    <w:rPr>
                      <w:rFonts w:hint="eastAsia" w:cs="宋体"/>
                      <w:sz w:val="21"/>
                      <w:szCs w:val="21"/>
                    </w:rPr>
                  </w:pPr>
                  <w:r>
                    <w:rPr>
                      <w:rFonts w:hint="eastAsia" w:cs="宋体"/>
                      <w:sz w:val="21"/>
                      <w:szCs w:val="21"/>
                    </w:rPr>
                    <w:t>2.系统优化。根据日常软件维护服务，保障系统运行稳定。结合使用情况以及客户需求进行部分功能优化调整。</w:t>
                  </w:r>
                </w:p>
                <w:p>
                  <w:pPr>
                    <w:pStyle w:val="111"/>
                    <w:spacing w:line="300" w:lineRule="exact"/>
                    <w:ind w:firstLine="420"/>
                    <w:rPr>
                      <w:rFonts w:hint="eastAsia" w:cs="宋体"/>
                      <w:sz w:val="21"/>
                      <w:szCs w:val="21"/>
                    </w:rPr>
                  </w:pPr>
                  <w:r>
                    <w:rPr>
                      <w:rFonts w:hint="eastAsia" w:cs="宋体"/>
                      <w:sz w:val="21"/>
                      <w:szCs w:val="21"/>
                    </w:rPr>
                    <w:t>3.基础数据和数据库维护。针对系统中使用的预设信息及相关基础信息定期进行更新维护。</w:t>
                  </w:r>
                </w:p>
                <w:p>
                  <w:pPr>
                    <w:pStyle w:val="111"/>
                    <w:spacing w:line="300" w:lineRule="exact"/>
                    <w:ind w:firstLine="420"/>
                    <w:rPr>
                      <w:rFonts w:hint="eastAsia" w:cs="宋体"/>
                      <w:sz w:val="21"/>
                      <w:szCs w:val="21"/>
                    </w:rPr>
                  </w:pPr>
                  <w:r>
                    <w:rPr>
                      <w:rFonts w:hint="eastAsia" w:cs="宋体"/>
                      <w:sz w:val="21"/>
                      <w:szCs w:val="21"/>
                    </w:rPr>
                    <w:t>4.系统日常咨询。为管理部门、系统用户提供技术咨询服务。</w:t>
                  </w:r>
                </w:p>
                <w:p>
                  <w:pPr>
                    <w:pStyle w:val="111"/>
                    <w:spacing w:line="300" w:lineRule="exact"/>
                    <w:ind w:firstLine="420"/>
                    <w:rPr>
                      <w:rFonts w:hint="eastAsia" w:cs="宋体"/>
                      <w:sz w:val="21"/>
                      <w:szCs w:val="21"/>
                    </w:rPr>
                  </w:pPr>
                  <w:r>
                    <w:rPr>
                      <w:rFonts w:hint="eastAsia" w:cs="宋体"/>
                      <w:sz w:val="21"/>
                      <w:szCs w:val="21"/>
                    </w:rPr>
                    <w:t>5.驻场服务。配备1名技术人员作为驻场服务人员，为用户提供5*8小时的现场故障诊断、处理，以及7*24小时电话或远程技术支持服务。负责现场软硬件基础运行维护服务、用户培训事宜。跟踪并反馈提出的问题，协调好内外部门资源。。</w:t>
                  </w:r>
                </w:p>
                <w:p>
                  <w:pPr>
                    <w:pStyle w:val="111"/>
                    <w:spacing w:line="300" w:lineRule="exact"/>
                    <w:ind w:firstLine="420"/>
                    <w:rPr>
                      <w:rFonts w:hint="eastAsia" w:cs="宋体"/>
                      <w:sz w:val="21"/>
                      <w:szCs w:val="21"/>
                    </w:rPr>
                  </w:pPr>
                  <w:r>
                    <w:rPr>
                      <w:rFonts w:hint="eastAsia" w:cs="宋体"/>
                      <w:sz w:val="21"/>
                      <w:szCs w:val="21"/>
                    </w:rPr>
                    <w:t>6.国产化适配。统一对全区各级用户使用的国产电脑（浪潮、麒麟系统）进行系统适配，保障勘察应用、行政处罚、信用评价等应用程序能够正常使用。</w:t>
                  </w:r>
                </w:p>
                <w:p>
                  <w:pPr>
                    <w:pStyle w:val="111"/>
                    <w:spacing w:line="300" w:lineRule="exact"/>
                    <w:ind w:firstLine="420"/>
                    <w:rPr>
                      <w:rFonts w:cs="宋体"/>
                      <w:sz w:val="21"/>
                      <w:szCs w:val="21"/>
                    </w:rPr>
                  </w:pPr>
                  <w:r>
                    <w:rPr>
                      <w:rFonts w:hint="eastAsia" w:cs="宋体"/>
                      <w:sz w:val="21"/>
                      <w:szCs w:val="21"/>
                    </w:rPr>
                    <w:t>7.系统培训，为系统用户提供专业技术培训。通过系统培训，使用户能够了解和掌握系统的功能、日常的操作步骤和流程以及使用时的注意事项，能够排除和解决在使用过程中遇到的一般问题，保障日常工作的正常进行。</w:t>
                  </w:r>
                </w:p>
              </w:tc>
            </w:tr>
          </w:tbl>
          <w:p>
            <w:pPr>
              <w:pStyle w:val="111"/>
              <w:spacing w:line="300" w:lineRule="exact"/>
              <w:ind w:firstLine="420"/>
              <w:rPr>
                <w:rFonts w:hint="eastAsia" w:cs="宋体"/>
                <w:sz w:val="21"/>
                <w:szCs w:val="21"/>
              </w:rPr>
            </w:pPr>
          </w:p>
          <w:p>
            <w:pPr>
              <w:pStyle w:val="111"/>
              <w:spacing w:line="300" w:lineRule="exact"/>
              <w:ind w:firstLine="420"/>
              <w:rPr>
                <w:rFonts w:hint="eastAsia" w:cs="宋体"/>
                <w:sz w:val="21"/>
                <w:szCs w:val="21"/>
              </w:rPr>
            </w:pPr>
            <w:r>
              <w:rPr>
                <w:rFonts w:hint="eastAsia" w:cs="宋体"/>
                <w:sz w:val="21"/>
                <w:szCs w:val="21"/>
              </w:rPr>
              <w:t>（五）问题跟踪管理</w:t>
            </w:r>
            <w:bookmarkEnd w:id="86"/>
            <w:bookmarkEnd w:id="87"/>
          </w:p>
          <w:p>
            <w:pPr>
              <w:pStyle w:val="111"/>
              <w:spacing w:line="300" w:lineRule="exact"/>
              <w:ind w:firstLine="420"/>
              <w:rPr>
                <w:rFonts w:hint="eastAsia" w:cs="宋体"/>
                <w:sz w:val="21"/>
                <w:szCs w:val="21"/>
              </w:rPr>
            </w:pPr>
            <w:r>
              <w:rPr>
                <w:rFonts w:hint="eastAsia" w:cs="宋体"/>
                <w:sz w:val="21"/>
                <w:szCs w:val="21"/>
              </w:rPr>
              <w:t>系统运维过程中，会存在需求、缺陷、用户建议等。需重视在系统使用过程中出现的各类问题，设计统一流程记录、跟踪和管理各类问题。</w:t>
            </w:r>
          </w:p>
          <w:p>
            <w:pPr>
              <w:pStyle w:val="111"/>
              <w:spacing w:line="300" w:lineRule="exact"/>
              <w:ind w:firstLine="420"/>
              <w:rPr>
                <w:rFonts w:hint="eastAsia" w:cs="宋体"/>
                <w:sz w:val="21"/>
                <w:szCs w:val="21"/>
              </w:rPr>
            </w:pPr>
            <w:bookmarkStart w:id="88" w:name="_Toc1566526581"/>
            <w:r>
              <w:rPr>
                <w:rFonts w:hint="eastAsia" w:cs="宋体"/>
                <w:sz w:val="21"/>
                <w:szCs w:val="21"/>
              </w:rPr>
              <w:t>1.问题登记</w:t>
            </w:r>
            <w:bookmarkEnd w:id="88"/>
          </w:p>
          <w:p>
            <w:pPr>
              <w:pStyle w:val="111"/>
              <w:spacing w:line="300" w:lineRule="exact"/>
              <w:ind w:firstLine="420"/>
              <w:rPr>
                <w:rFonts w:hint="eastAsia" w:cs="宋体"/>
                <w:sz w:val="21"/>
                <w:szCs w:val="21"/>
              </w:rPr>
            </w:pPr>
            <w:r>
              <w:rPr>
                <w:rFonts w:hint="eastAsia" w:cs="宋体"/>
                <w:sz w:val="21"/>
                <w:szCs w:val="21"/>
              </w:rPr>
              <w:t>当出现问题时，用户可通过包括电话、在线客服、微信、邮箱等渠道进行反馈。供应商将所反馈的问题进行收集登记，并安排进行审核。</w:t>
            </w:r>
          </w:p>
          <w:p>
            <w:pPr>
              <w:pStyle w:val="111"/>
              <w:spacing w:line="300" w:lineRule="exact"/>
              <w:ind w:firstLine="420"/>
              <w:rPr>
                <w:rFonts w:hint="eastAsia" w:cs="宋体"/>
                <w:sz w:val="21"/>
                <w:szCs w:val="21"/>
              </w:rPr>
            </w:pPr>
            <w:bookmarkStart w:id="89" w:name="_Toc526614362"/>
            <w:r>
              <w:rPr>
                <w:rFonts w:hint="eastAsia" w:cs="宋体"/>
                <w:sz w:val="21"/>
                <w:szCs w:val="21"/>
              </w:rPr>
              <w:t>2.问题审核</w:t>
            </w:r>
            <w:bookmarkEnd w:id="89"/>
          </w:p>
          <w:p>
            <w:pPr>
              <w:pStyle w:val="111"/>
              <w:spacing w:line="300" w:lineRule="exact"/>
              <w:ind w:firstLine="420"/>
              <w:rPr>
                <w:rFonts w:hint="eastAsia" w:cs="宋体"/>
                <w:sz w:val="21"/>
                <w:szCs w:val="21"/>
              </w:rPr>
            </w:pPr>
            <w:r>
              <w:rPr>
                <w:rFonts w:hint="eastAsia" w:cs="宋体"/>
                <w:sz w:val="21"/>
                <w:szCs w:val="21"/>
              </w:rPr>
              <w:t>供应商根据用户所提出的问题，经过分析后，进行针对性检查，并提出解决方法。</w:t>
            </w:r>
          </w:p>
          <w:p>
            <w:pPr>
              <w:pStyle w:val="111"/>
              <w:spacing w:line="300" w:lineRule="exact"/>
              <w:ind w:firstLine="420"/>
              <w:rPr>
                <w:rFonts w:hint="eastAsia" w:cs="宋体"/>
                <w:sz w:val="21"/>
                <w:szCs w:val="21"/>
              </w:rPr>
            </w:pPr>
            <w:bookmarkStart w:id="90" w:name="_Toc1872326565"/>
            <w:r>
              <w:rPr>
                <w:rFonts w:hint="eastAsia" w:cs="宋体"/>
                <w:sz w:val="21"/>
                <w:szCs w:val="21"/>
              </w:rPr>
              <w:t>为了提高运维服务质量，规范服务和故障响应，需制定“故障分级和升级制度”。由于故障可能在多方面体现影响，所以故障的综合等级评定原则，取各个方面中严重等级最高者为该故障综合严重等级，故障分级如下所示。</w:t>
            </w:r>
          </w:p>
          <w:tbl>
            <w:tblPr>
              <w:tblStyle w:val="3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8"/>
              <w:gridCol w:w="858"/>
              <w:gridCol w:w="2536"/>
              <w:gridCol w:w="93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blHeader/>
              </w:trPr>
              <w:tc>
                <w:tcPr>
                  <w:tcW w:w="571" w:type="pct"/>
                  <w:noWrap w:val="0"/>
                  <w:vAlign w:val="center"/>
                </w:tcPr>
                <w:p>
                  <w:pPr>
                    <w:pStyle w:val="111"/>
                    <w:spacing w:line="300" w:lineRule="exact"/>
                    <w:ind w:firstLine="0" w:firstLineChars="0"/>
                    <w:jc w:val="center"/>
                    <w:rPr>
                      <w:rFonts w:hint="eastAsia" w:cs="宋体"/>
                      <w:b/>
                      <w:bCs/>
                      <w:sz w:val="21"/>
                      <w:szCs w:val="21"/>
                    </w:rPr>
                  </w:pPr>
                  <w:r>
                    <w:rPr>
                      <w:rFonts w:hint="eastAsia" w:cs="宋体"/>
                      <w:b/>
                      <w:bCs/>
                      <w:sz w:val="21"/>
                      <w:szCs w:val="21"/>
                    </w:rPr>
                    <w:t>故障级别</w:t>
                  </w:r>
                </w:p>
              </w:tc>
              <w:tc>
                <w:tcPr>
                  <w:tcW w:w="876" w:type="pct"/>
                  <w:noWrap w:val="0"/>
                  <w:vAlign w:val="center"/>
                </w:tcPr>
                <w:p>
                  <w:pPr>
                    <w:pStyle w:val="111"/>
                    <w:spacing w:line="300" w:lineRule="exact"/>
                    <w:ind w:firstLine="0" w:firstLineChars="0"/>
                    <w:jc w:val="center"/>
                    <w:rPr>
                      <w:rFonts w:hint="eastAsia" w:cs="宋体"/>
                      <w:b/>
                      <w:bCs/>
                      <w:sz w:val="21"/>
                      <w:szCs w:val="21"/>
                    </w:rPr>
                  </w:pPr>
                  <w:r>
                    <w:rPr>
                      <w:rFonts w:hint="eastAsia" w:cs="宋体"/>
                      <w:b/>
                      <w:bCs/>
                      <w:sz w:val="21"/>
                      <w:szCs w:val="21"/>
                    </w:rPr>
                    <w:t>类型</w:t>
                  </w:r>
                </w:p>
              </w:tc>
              <w:tc>
                <w:tcPr>
                  <w:tcW w:w="2591" w:type="pct"/>
                  <w:noWrap w:val="0"/>
                  <w:vAlign w:val="center"/>
                </w:tcPr>
                <w:p>
                  <w:pPr>
                    <w:pStyle w:val="111"/>
                    <w:spacing w:line="300" w:lineRule="exact"/>
                    <w:ind w:firstLine="0" w:firstLineChars="0"/>
                    <w:jc w:val="center"/>
                    <w:rPr>
                      <w:rFonts w:hint="eastAsia" w:cs="宋体"/>
                      <w:b/>
                      <w:bCs/>
                      <w:sz w:val="21"/>
                      <w:szCs w:val="21"/>
                    </w:rPr>
                  </w:pPr>
                  <w:r>
                    <w:rPr>
                      <w:rFonts w:hint="eastAsia" w:cs="宋体"/>
                      <w:b/>
                      <w:bCs/>
                      <w:sz w:val="21"/>
                      <w:szCs w:val="21"/>
                    </w:rPr>
                    <w:t>描述</w:t>
                  </w:r>
                </w:p>
              </w:tc>
              <w:tc>
                <w:tcPr>
                  <w:tcW w:w="959" w:type="pct"/>
                  <w:noWrap w:val="0"/>
                  <w:vAlign w:val="center"/>
                </w:tcPr>
                <w:p>
                  <w:pPr>
                    <w:pStyle w:val="111"/>
                    <w:spacing w:line="300" w:lineRule="exact"/>
                    <w:ind w:firstLine="0" w:firstLineChars="0"/>
                    <w:jc w:val="center"/>
                    <w:rPr>
                      <w:rFonts w:hint="eastAsia" w:cs="宋体"/>
                      <w:b/>
                      <w:bCs/>
                      <w:sz w:val="21"/>
                      <w:szCs w:val="21"/>
                    </w:rPr>
                  </w:pPr>
                  <w:r>
                    <w:rPr>
                      <w:rFonts w:hint="eastAsia" w:cs="宋体"/>
                      <w:b/>
                      <w:bCs/>
                      <w:sz w:val="21"/>
                      <w:szCs w:val="21"/>
                    </w:rPr>
                    <w:t>响应要求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571" w:type="pct"/>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一级故障</w:t>
                  </w:r>
                </w:p>
              </w:tc>
              <w:tc>
                <w:tcPr>
                  <w:tcW w:w="876" w:type="pct"/>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不可用</w:t>
                  </w:r>
                </w:p>
              </w:tc>
              <w:tc>
                <w:tcPr>
                  <w:tcW w:w="2591" w:type="pct"/>
                  <w:noWrap w:val="0"/>
                  <w:vAlign w:val="center"/>
                </w:tcPr>
                <w:p>
                  <w:pPr>
                    <w:pStyle w:val="111"/>
                    <w:spacing w:line="300" w:lineRule="exact"/>
                    <w:ind w:firstLine="420"/>
                    <w:rPr>
                      <w:rFonts w:hint="eastAsia" w:cs="宋体"/>
                      <w:sz w:val="21"/>
                      <w:szCs w:val="21"/>
                    </w:rPr>
                  </w:pPr>
                  <w:r>
                    <w:rPr>
                      <w:rFonts w:hint="eastAsia" w:cs="宋体"/>
                      <w:sz w:val="21"/>
                      <w:szCs w:val="21"/>
                    </w:rPr>
                    <w:t>主要指系统在运行中出现系统瘫痪或服务中断，导致业务系统的基本功能不能正常运行。</w:t>
                  </w:r>
                </w:p>
              </w:tc>
              <w:tc>
                <w:tcPr>
                  <w:tcW w:w="959" w:type="pct"/>
                  <w:noWrap w:val="0"/>
                  <w:vAlign w:val="center"/>
                </w:tcPr>
                <w:p>
                  <w:pPr>
                    <w:pStyle w:val="111"/>
                    <w:spacing w:line="300" w:lineRule="exact"/>
                    <w:ind w:firstLine="0" w:firstLineChars="0"/>
                    <w:rPr>
                      <w:rFonts w:hint="eastAsia" w:cs="宋体"/>
                      <w:sz w:val="21"/>
                      <w:szCs w:val="21"/>
                    </w:rPr>
                  </w:pPr>
                  <w:r>
                    <w:rPr>
                      <w:rFonts w:hint="eastAsia" w:cs="宋体"/>
                      <w:sz w:val="21"/>
                      <w:szCs w:val="21"/>
                    </w:rPr>
                    <w:t>立即响应，30分钟内给出解决方案。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571" w:type="pct"/>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二级故障</w:t>
                  </w:r>
                </w:p>
              </w:tc>
              <w:tc>
                <w:tcPr>
                  <w:tcW w:w="876" w:type="pct"/>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BUG类或第三方问题</w:t>
                  </w:r>
                </w:p>
              </w:tc>
              <w:tc>
                <w:tcPr>
                  <w:tcW w:w="2591" w:type="pct"/>
                  <w:noWrap w:val="0"/>
                  <w:vAlign w:val="center"/>
                </w:tcPr>
                <w:p>
                  <w:pPr>
                    <w:pStyle w:val="111"/>
                    <w:spacing w:line="300" w:lineRule="exact"/>
                    <w:ind w:firstLine="420"/>
                    <w:rPr>
                      <w:rFonts w:hint="eastAsia" w:cs="宋体"/>
                      <w:sz w:val="21"/>
                      <w:szCs w:val="21"/>
                    </w:rPr>
                  </w:pPr>
                  <w:r>
                    <w:rPr>
                      <w:rFonts w:hint="eastAsia" w:cs="宋体"/>
                      <w:sz w:val="21"/>
                      <w:szCs w:val="21"/>
                    </w:rPr>
                    <w:t>系统设计之初固有缺陷，在应用过程中，通过实际操作暴露问题，且无法通过现有程序配置处理的问题</w:t>
                  </w:r>
                </w:p>
                <w:p>
                  <w:pPr>
                    <w:pStyle w:val="111"/>
                    <w:spacing w:line="300" w:lineRule="exact"/>
                    <w:ind w:firstLine="420"/>
                    <w:rPr>
                      <w:rFonts w:hint="eastAsia" w:cs="宋体"/>
                      <w:sz w:val="21"/>
                      <w:szCs w:val="21"/>
                    </w:rPr>
                  </w:pPr>
                  <w:r>
                    <w:rPr>
                      <w:rFonts w:hint="eastAsia" w:cs="宋体"/>
                      <w:sz w:val="21"/>
                      <w:szCs w:val="21"/>
                    </w:rPr>
                    <w:t>（1）系统上线运行后，通过用户使用，结合实际业务要求和优化需求产生的完善性问题</w:t>
                  </w:r>
                </w:p>
                <w:p>
                  <w:pPr>
                    <w:pStyle w:val="111"/>
                    <w:spacing w:line="300" w:lineRule="exact"/>
                    <w:ind w:firstLine="420"/>
                    <w:rPr>
                      <w:rFonts w:hint="eastAsia" w:cs="宋体"/>
                      <w:sz w:val="21"/>
                      <w:szCs w:val="21"/>
                    </w:rPr>
                  </w:pPr>
                  <w:r>
                    <w:rPr>
                      <w:rFonts w:hint="eastAsia" w:cs="宋体"/>
                      <w:sz w:val="21"/>
                      <w:szCs w:val="21"/>
                    </w:rPr>
                    <w:t>（2）系统运行后，由已有功能衍生出的，不包含在推广范围内功能与需求，通过约定流程获取修改/开发授权的代码修改类问题</w:t>
                  </w:r>
                </w:p>
                <w:p>
                  <w:pPr>
                    <w:pStyle w:val="111"/>
                    <w:spacing w:line="300" w:lineRule="exact"/>
                    <w:ind w:firstLine="420"/>
                    <w:rPr>
                      <w:rFonts w:hint="eastAsia" w:cs="宋体"/>
                      <w:sz w:val="21"/>
                      <w:szCs w:val="21"/>
                    </w:rPr>
                  </w:pPr>
                  <w:r>
                    <w:rPr>
                      <w:rFonts w:hint="eastAsia" w:cs="宋体"/>
                      <w:sz w:val="21"/>
                      <w:szCs w:val="21"/>
                    </w:rPr>
                    <w:t>（3）系统运行后，因第三方支撑软件版本升级或兼容性，导致影响平台功能，必须通过升级/更换支撑软件的程序调试问题</w:t>
                  </w:r>
                </w:p>
                <w:p>
                  <w:pPr>
                    <w:pStyle w:val="111"/>
                    <w:spacing w:line="300" w:lineRule="exact"/>
                    <w:ind w:firstLine="420"/>
                    <w:rPr>
                      <w:rFonts w:hint="eastAsia" w:cs="宋体"/>
                      <w:sz w:val="21"/>
                      <w:szCs w:val="21"/>
                    </w:rPr>
                  </w:pPr>
                  <w:r>
                    <w:rPr>
                      <w:rFonts w:hint="eastAsia" w:cs="宋体"/>
                      <w:sz w:val="21"/>
                      <w:szCs w:val="21"/>
                    </w:rPr>
                    <w:t>（4）第三方软件的数据库、网络、硬件等问题</w:t>
                  </w:r>
                </w:p>
              </w:tc>
              <w:tc>
                <w:tcPr>
                  <w:tcW w:w="959" w:type="pct"/>
                  <w:noWrap w:val="0"/>
                  <w:vAlign w:val="center"/>
                </w:tcPr>
                <w:p>
                  <w:pPr>
                    <w:pStyle w:val="111"/>
                    <w:spacing w:line="300" w:lineRule="exact"/>
                    <w:ind w:firstLine="0" w:firstLineChars="0"/>
                    <w:rPr>
                      <w:rFonts w:hint="eastAsia" w:cs="宋体"/>
                      <w:sz w:val="21"/>
                      <w:szCs w:val="21"/>
                    </w:rPr>
                  </w:pPr>
                  <w:r>
                    <w:rPr>
                      <w:rFonts w:hint="eastAsia" w:cs="宋体"/>
                      <w:sz w:val="21"/>
                      <w:szCs w:val="21"/>
                    </w:rPr>
                    <w:t>30分钟内做出响应，1小时内给出解决方案。（需求类：在调研清楚且跟执法局进行沟通确认后，提出解决方案；缺陷类：需确保该缺陷可重现；对于暂时无法重现的缺陷，应积极持续跟踪解决）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571" w:type="pct"/>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三级故障</w:t>
                  </w:r>
                </w:p>
              </w:tc>
              <w:tc>
                <w:tcPr>
                  <w:tcW w:w="876" w:type="pct"/>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操作类/</w:t>
                  </w:r>
                </w:p>
                <w:p>
                  <w:pPr>
                    <w:pStyle w:val="111"/>
                    <w:spacing w:line="300" w:lineRule="exact"/>
                    <w:ind w:firstLine="0" w:firstLineChars="0"/>
                    <w:jc w:val="center"/>
                    <w:rPr>
                      <w:rFonts w:hint="eastAsia" w:cs="宋体"/>
                      <w:sz w:val="21"/>
                      <w:szCs w:val="21"/>
                    </w:rPr>
                  </w:pPr>
                  <w:r>
                    <w:rPr>
                      <w:rFonts w:hint="eastAsia" w:cs="宋体"/>
                      <w:sz w:val="21"/>
                      <w:szCs w:val="21"/>
                    </w:rPr>
                    <w:t>配置类</w:t>
                  </w:r>
                </w:p>
              </w:tc>
              <w:tc>
                <w:tcPr>
                  <w:tcW w:w="2591" w:type="pct"/>
                  <w:noWrap w:val="0"/>
                  <w:vAlign w:val="center"/>
                </w:tcPr>
                <w:p>
                  <w:pPr>
                    <w:pStyle w:val="111"/>
                    <w:spacing w:line="300" w:lineRule="exact"/>
                    <w:ind w:firstLine="420"/>
                    <w:rPr>
                      <w:rFonts w:hint="eastAsia" w:cs="宋体"/>
                      <w:sz w:val="21"/>
                      <w:szCs w:val="21"/>
                    </w:rPr>
                  </w:pPr>
                  <w:r>
                    <w:rPr>
                      <w:rFonts w:hint="eastAsia" w:cs="宋体"/>
                      <w:sz w:val="21"/>
                      <w:szCs w:val="21"/>
                    </w:rPr>
                    <w:t>用户实际操作过程中，因业务熟练度、平台熟悉度、个人计算机水平方面出现的操作问题，而非平台程序问题。例如：</w:t>
                  </w:r>
                </w:p>
                <w:p>
                  <w:pPr>
                    <w:pStyle w:val="111"/>
                    <w:spacing w:line="300" w:lineRule="exact"/>
                    <w:ind w:firstLine="420"/>
                    <w:rPr>
                      <w:rFonts w:hint="eastAsia" w:cs="宋体"/>
                      <w:sz w:val="21"/>
                      <w:szCs w:val="21"/>
                    </w:rPr>
                  </w:pPr>
                  <w:r>
                    <w:rPr>
                      <w:rFonts w:hint="eastAsia" w:cs="宋体"/>
                      <w:sz w:val="21"/>
                      <w:szCs w:val="21"/>
                    </w:rPr>
                    <w:t>（1）浏览器设置不当导致的页面或功能展现异常</w:t>
                  </w:r>
                </w:p>
                <w:p>
                  <w:pPr>
                    <w:pStyle w:val="111"/>
                    <w:spacing w:line="300" w:lineRule="exact"/>
                    <w:ind w:firstLine="420"/>
                    <w:rPr>
                      <w:rFonts w:hint="eastAsia" w:cs="宋体"/>
                      <w:sz w:val="21"/>
                      <w:szCs w:val="21"/>
                    </w:rPr>
                  </w:pPr>
                  <w:r>
                    <w:rPr>
                      <w:rFonts w:hint="eastAsia" w:cs="宋体"/>
                      <w:sz w:val="21"/>
                      <w:szCs w:val="21"/>
                    </w:rPr>
                    <w:t>（2）用户登录地址记录错误，导致无法登录</w:t>
                  </w:r>
                </w:p>
                <w:p>
                  <w:pPr>
                    <w:pStyle w:val="111"/>
                    <w:spacing w:line="300" w:lineRule="exact"/>
                    <w:ind w:firstLine="420"/>
                    <w:rPr>
                      <w:rFonts w:hint="eastAsia" w:cs="宋体"/>
                      <w:sz w:val="21"/>
                      <w:szCs w:val="21"/>
                    </w:rPr>
                  </w:pPr>
                  <w:r>
                    <w:rPr>
                      <w:rFonts w:hint="eastAsia" w:cs="宋体"/>
                      <w:sz w:val="21"/>
                      <w:szCs w:val="21"/>
                    </w:rPr>
                    <w:t>（3）用户身份认证未匹配绑定，导致登录或使用范围不匹配问题</w:t>
                  </w:r>
                </w:p>
                <w:p>
                  <w:pPr>
                    <w:pStyle w:val="111"/>
                    <w:spacing w:line="300" w:lineRule="exact"/>
                    <w:ind w:firstLine="420"/>
                    <w:rPr>
                      <w:rFonts w:hint="eastAsia" w:cs="宋体"/>
                      <w:sz w:val="21"/>
                      <w:szCs w:val="21"/>
                    </w:rPr>
                  </w:pPr>
                  <w:r>
                    <w:rPr>
                      <w:rFonts w:hint="eastAsia" w:cs="宋体"/>
                      <w:sz w:val="21"/>
                      <w:szCs w:val="21"/>
                    </w:rPr>
                    <w:t>（4）登陆后用户在系统未找到对应操作的位置，导致操作无法进行</w:t>
                  </w:r>
                </w:p>
                <w:p>
                  <w:pPr>
                    <w:pStyle w:val="111"/>
                    <w:spacing w:line="300" w:lineRule="exact"/>
                    <w:ind w:firstLine="420"/>
                    <w:rPr>
                      <w:rFonts w:hint="eastAsia" w:cs="宋体"/>
                      <w:sz w:val="21"/>
                      <w:szCs w:val="21"/>
                    </w:rPr>
                  </w:pPr>
                  <w:r>
                    <w:rPr>
                      <w:rFonts w:hint="eastAsia" w:cs="宋体"/>
                      <w:sz w:val="21"/>
                      <w:szCs w:val="21"/>
                    </w:rPr>
                    <w:t>（5）业务模块功能使用不熟练，导致正常功能流转受阻问题</w:t>
                  </w:r>
                </w:p>
              </w:tc>
              <w:tc>
                <w:tcPr>
                  <w:tcW w:w="959" w:type="pct"/>
                  <w:noWrap w:val="0"/>
                  <w:vAlign w:val="center"/>
                </w:tcPr>
                <w:p>
                  <w:pPr>
                    <w:pStyle w:val="111"/>
                    <w:spacing w:line="300" w:lineRule="exact"/>
                    <w:ind w:firstLine="0" w:firstLineChars="0"/>
                    <w:rPr>
                      <w:rFonts w:hint="eastAsia" w:cs="宋体"/>
                      <w:sz w:val="21"/>
                      <w:szCs w:val="21"/>
                    </w:rPr>
                  </w:pPr>
                  <w:r>
                    <w:rPr>
                      <w:rFonts w:hint="eastAsia" w:cs="宋体"/>
                      <w:sz w:val="21"/>
                      <w:szCs w:val="21"/>
                    </w:rPr>
                    <w:t>30分钟内做出响应，1小时内给出解决方案。</w:t>
                  </w:r>
                </w:p>
              </w:tc>
            </w:tr>
          </w:tbl>
          <w:p>
            <w:pPr>
              <w:pStyle w:val="111"/>
              <w:spacing w:line="300" w:lineRule="exact"/>
              <w:ind w:firstLine="420"/>
              <w:rPr>
                <w:rFonts w:hint="eastAsia" w:ascii="宋体" w:hAnsi="宋体" w:cs="宋体"/>
                <w:sz w:val="21"/>
                <w:szCs w:val="21"/>
              </w:rPr>
            </w:pPr>
            <w:r>
              <w:rPr>
                <w:rFonts w:hint="eastAsia" w:ascii="宋体" w:hAnsi="宋体" w:cs="宋体"/>
                <w:sz w:val="21"/>
                <w:szCs w:val="21"/>
              </w:rPr>
              <w:t>故障处理评定是根据相关责任人对故障的响应、处理、完成结果等因素来对故障的处理情况进行综合评定，执法局依据这个评定来对故障处罚等级进行调整。符合以下条件者，可以对故障处罚等级进行适当升级，具体升级由执法局负责项目的领导部门决定，故障升级制如下所示。</w:t>
            </w:r>
          </w:p>
          <w:tbl>
            <w:tblPr>
              <w:tblStyle w:val="31"/>
              <w:tblW w:w="4999" w:type="pct"/>
              <w:jc w:val="center"/>
              <w:tblLayout w:type="fixed"/>
              <w:tblCellMar>
                <w:top w:w="0" w:type="dxa"/>
                <w:left w:w="108" w:type="dxa"/>
                <w:bottom w:w="0" w:type="dxa"/>
                <w:right w:w="108" w:type="dxa"/>
              </w:tblCellMar>
            </w:tblPr>
            <w:tblGrid>
              <w:gridCol w:w="1542"/>
              <w:gridCol w:w="3358"/>
            </w:tblGrid>
            <w:tr>
              <w:tblPrEx>
                <w:tblCellMar>
                  <w:top w:w="0" w:type="dxa"/>
                  <w:left w:w="108" w:type="dxa"/>
                  <w:bottom w:w="0" w:type="dxa"/>
                  <w:right w:w="108" w:type="dxa"/>
                </w:tblCellMar>
              </w:tblPrEx>
              <w:trPr>
                <w:trHeight w:val="454" w:hRule="atLeast"/>
                <w:jc w:val="center"/>
              </w:trPr>
              <w:tc>
                <w:tcPr>
                  <w:tcW w:w="1574" w:type="pct"/>
                  <w:tcBorders>
                    <w:top w:val="single" w:color="auto" w:sz="4" w:space="0"/>
                    <w:left w:val="single" w:color="auto" w:sz="4" w:space="0"/>
                    <w:bottom w:val="single" w:color="auto" w:sz="4" w:space="0"/>
                    <w:right w:val="single" w:color="auto" w:sz="4" w:space="0"/>
                  </w:tcBorders>
                  <w:noWrap w:val="0"/>
                  <w:vAlign w:val="center"/>
                </w:tcPr>
                <w:p>
                  <w:pPr>
                    <w:pStyle w:val="111"/>
                    <w:spacing w:line="300" w:lineRule="exact"/>
                    <w:ind w:firstLine="0" w:firstLineChars="0"/>
                    <w:jc w:val="center"/>
                    <w:rPr>
                      <w:rFonts w:hint="eastAsia" w:cs="宋体"/>
                      <w:b/>
                      <w:bCs/>
                      <w:sz w:val="21"/>
                      <w:szCs w:val="21"/>
                    </w:rPr>
                  </w:pPr>
                  <w:r>
                    <w:rPr>
                      <w:rFonts w:hint="eastAsia" w:cs="宋体"/>
                      <w:b/>
                      <w:bCs/>
                      <w:sz w:val="21"/>
                      <w:szCs w:val="21"/>
                    </w:rPr>
                    <w:t>评定项</w:t>
                  </w:r>
                </w:p>
              </w:tc>
              <w:tc>
                <w:tcPr>
                  <w:tcW w:w="3425" w:type="pct"/>
                  <w:tcBorders>
                    <w:top w:val="single" w:color="auto" w:sz="4" w:space="0"/>
                    <w:left w:val="nil"/>
                    <w:bottom w:val="single" w:color="auto" w:sz="4" w:space="0"/>
                    <w:right w:val="single" w:color="auto" w:sz="4" w:space="0"/>
                  </w:tcBorders>
                  <w:noWrap w:val="0"/>
                  <w:vAlign w:val="center"/>
                </w:tcPr>
                <w:p>
                  <w:pPr>
                    <w:pStyle w:val="111"/>
                    <w:spacing w:line="300" w:lineRule="exact"/>
                    <w:ind w:firstLine="0" w:firstLineChars="0"/>
                    <w:jc w:val="center"/>
                    <w:rPr>
                      <w:rFonts w:hint="eastAsia" w:cs="宋体"/>
                      <w:b/>
                      <w:bCs/>
                      <w:sz w:val="21"/>
                      <w:szCs w:val="21"/>
                    </w:rPr>
                  </w:pPr>
                  <w:r>
                    <w:rPr>
                      <w:rFonts w:hint="eastAsia" w:cs="宋体"/>
                      <w:b/>
                      <w:bCs/>
                      <w:sz w:val="21"/>
                      <w:szCs w:val="21"/>
                    </w:rPr>
                    <w:t>升级标准</w:t>
                  </w:r>
                </w:p>
              </w:tc>
            </w:tr>
            <w:tr>
              <w:tblPrEx>
                <w:tblCellMar>
                  <w:top w:w="0" w:type="dxa"/>
                  <w:left w:w="108" w:type="dxa"/>
                  <w:bottom w:w="0" w:type="dxa"/>
                  <w:right w:w="108" w:type="dxa"/>
                </w:tblCellMar>
              </w:tblPrEx>
              <w:trPr>
                <w:trHeight w:val="454" w:hRule="atLeast"/>
                <w:jc w:val="center"/>
              </w:trPr>
              <w:tc>
                <w:tcPr>
                  <w:tcW w:w="1574" w:type="pct"/>
                  <w:tcBorders>
                    <w:top w:val="nil"/>
                    <w:left w:val="single" w:color="auto" w:sz="4" w:space="0"/>
                    <w:bottom w:val="single" w:color="auto" w:sz="4" w:space="0"/>
                    <w:right w:val="single" w:color="auto" w:sz="4" w:space="0"/>
                  </w:tcBorders>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响应度</w:t>
                  </w:r>
                </w:p>
              </w:tc>
              <w:tc>
                <w:tcPr>
                  <w:tcW w:w="3425" w:type="pct"/>
                  <w:tcBorders>
                    <w:top w:val="single" w:color="auto" w:sz="4" w:space="0"/>
                    <w:left w:val="nil"/>
                    <w:bottom w:val="single" w:color="auto" w:sz="4" w:space="0"/>
                    <w:right w:val="single" w:color="auto" w:sz="4" w:space="0"/>
                  </w:tcBorders>
                  <w:noWrap w:val="0"/>
                  <w:vAlign w:val="center"/>
                </w:tcPr>
                <w:p>
                  <w:pPr>
                    <w:pStyle w:val="111"/>
                    <w:spacing w:line="300" w:lineRule="exact"/>
                    <w:ind w:firstLine="0" w:firstLineChars="0"/>
                    <w:rPr>
                      <w:rFonts w:hint="eastAsia" w:cs="宋体"/>
                      <w:sz w:val="21"/>
                      <w:szCs w:val="21"/>
                    </w:rPr>
                  </w:pPr>
                  <w:r>
                    <w:rPr>
                      <w:rFonts w:hint="eastAsia" w:cs="宋体"/>
                      <w:sz w:val="21"/>
                      <w:szCs w:val="21"/>
                    </w:rPr>
                    <w:t>相关人员一再催促，责任人仍没有及时对故障进行处理。</w:t>
                  </w:r>
                </w:p>
              </w:tc>
            </w:tr>
            <w:tr>
              <w:tblPrEx>
                <w:tblCellMar>
                  <w:top w:w="0" w:type="dxa"/>
                  <w:left w:w="108" w:type="dxa"/>
                  <w:bottom w:w="0" w:type="dxa"/>
                  <w:right w:w="108" w:type="dxa"/>
                </w:tblCellMar>
              </w:tblPrEx>
              <w:trPr>
                <w:trHeight w:val="454" w:hRule="atLeast"/>
                <w:jc w:val="center"/>
              </w:trPr>
              <w:tc>
                <w:tcPr>
                  <w:tcW w:w="1574" w:type="pct"/>
                  <w:tcBorders>
                    <w:top w:val="nil"/>
                    <w:left w:val="single" w:color="auto" w:sz="4" w:space="0"/>
                    <w:bottom w:val="single" w:color="auto" w:sz="4" w:space="0"/>
                    <w:right w:val="single" w:color="auto" w:sz="4" w:space="0"/>
                  </w:tcBorders>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准备度</w:t>
                  </w:r>
                </w:p>
              </w:tc>
              <w:tc>
                <w:tcPr>
                  <w:tcW w:w="3425" w:type="pct"/>
                  <w:tcBorders>
                    <w:top w:val="single" w:color="auto" w:sz="4" w:space="0"/>
                    <w:left w:val="nil"/>
                    <w:bottom w:val="single" w:color="auto" w:sz="4" w:space="0"/>
                    <w:right w:val="single" w:color="auto" w:sz="4" w:space="0"/>
                  </w:tcBorders>
                  <w:noWrap w:val="0"/>
                  <w:vAlign w:val="center"/>
                </w:tcPr>
                <w:p>
                  <w:pPr>
                    <w:pStyle w:val="111"/>
                    <w:spacing w:line="300" w:lineRule="exact"/>
                    <w:ind w:firstLine="0" w:firstLineChars="0"/>
                    <w:rPr>
                      <w:rFonts w:hint="eastAsia" w:cs="宋体"/>
                      <w:sz w:val="21"/>
                      <w:szCs w:val="21"/>
                    </w:rPr>
                  </w:pPr>
                  <w:r>
                    <w:rPr>
                      <w:rFonts w:hint="eastAsia" w:cs="宋体"/>
                      <w:sz w:val="21"/>
                      <w:szCs w:val="21"/>
                    </w:rPr>
                    <w:t>对已存在问题或低级错误没有进行预防或规避。</w:t>
                  </w:r>
                </w:p>
              </w:tc>
            </w:tr>
            <w:tr>
              <w:tblPrEx>
                <w:tblCellMar>
                  <w:top w:w="0" w:type="dxa"/>
                  <w:left w:w="108" w:type="dxa"/>
                  <w:bottom w:w="0" w:type="dxa"/>
                  <w:right w:w="108" w:type="dxa"/>
                </w:tblCellMar>
              </w:tblPrEx>
              <w:trPr>
                <w:trHeight w:val="454" w:hRule="atLeast"/>
                <w:jc w:val="center"/>
              </w:trPr>
              <w:tc>
                <w:tcPr>
                  <w:tcW w:w="1574" w:type="pct"/>
                  <w:tcBorders>
                    <w:top w:val="nil"/>
                    <w:left w:val="single" w:color="auto" w:sz="4" w:space="0"/>
                    <w:bottom w:val="single" w:color="auto" w:sz="4" w:space="0"/>
                    <w:right w:val="single" w:color="auto" w:sz="4" w:space="0"/>
                  </w:tcBorders>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处理态度与能力</w:t>
                  </w:r>
                </w:p>
              </w:tc>
              <w:tc>
                <w:tcPr>
                  <w:tcW w:w="3425" w:type="pct"/>
                  <w:tcBorders>
                    <w:top w:val="single" w:color="auto" w:sz="4" w:space="0"/>
                    <w:left w:val="nil"/>
                    <w:bottom w:val="single" w:color="auto" w:sz="4" w:space="0"/>
                    <w:right w:val="single" w:color="auto" w:sz="4" w:space="0"/>
                  </w:tcBorders>
                  <w:noWrap w:val="0"/>
                  <w:vAlign w:val="center"/>
                </w:tcPr>
                <w:p>
                  <w:pPr>
                    <w:pStyle w:val="111"/>
                    <w:spacing w:line="300" w:lineRule="exact"/>
                    <w:ind w:firstLine="0" w:firstLineChars="0"/>
                    <w:rPr>
                      <w:rFonts w:hint="eastAsia" w:cs="宋体"/>
                      <w:sz w:val="21"/>
                      <w:szCs w:val="21"/>
                    </w:rPr>
                  </w:pPr>
                  <w:r>
                    <w:rPr>
                      <w:rFonts w:hint="eastAsia" w:cs="宋体"/>
                      <w:sz w:val="21"/>
                      <w:szCs w:val="21"/>
                    </w:rPr>
                    <w:t>对故障不重视，态度怠慢、敷衍；没有足够的技能进行故障处理。</w:t>
                  </w:r>
                </w:p>
              </w:tc>
            </w:tr>
            <w:tr>
              <w:tblPrEx>
                <w:tblCellMar>
                  <w:top w:w="0" w:type="dxa"/>
                  <w:left w:w="108" w:type="dxa"/>
                  <w:bottom w:w="0" w:type="dxa"/>
                  <w:right w:w="108" w:type="dxa"/>
                </w:tblCellMar>
              </w:tblPrEx>
              <w:trPr>
                <w:trHeight w:val="454" w:hRule="atLeast"/>
                <w:jc w:val="center"/>
              </w:trPr>
              <w:tc>
                <w:tcPr>
                  <w:tcW w:w="1574" w:type="pct"/>
                  <w:tcBorders>
                    <w:top w:val="nil"/>
                    <w:left w:val="single" w:color="auto" w:sz="4" w:space="0"/>
                    <w:bottom w:val="single" w:color="auto" w:sz="4" w:space="0"/>
                    <w:right w:val="single" w:color="auto" w:sz="4" w:space="0"/>
                  </w:tcBorders>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处理结果</w:t>
                  </w:r>
                </w:p>
              </w:tc>
              <w:tc>
                <w:tcPr>
                  <w:tcW w:w="3425" w:type="pct"/>
                  <w:tcBorders>
                    <w:top w:val="single" w:color="auto" w:sz="4" w:space="0"/>
                    <w:left w:val="nil"/>
                    <w:bottom w:val="single" w:color="auto" w:sz="4" w:space="0"/>
                    <w:right w:val="single" w:color="auto" w:sz="4" w:space="0"/>
                  </w:tcBorders>
                  <w:noWrap w:val="0"/>
                  <w:vAlign w:val="center"/>
                </w:tcPr>
                <w:p>
                  <w:pPr>
                    <w:pStyle w:val="111"/>
                    <w:spacing w:line="300" w:lineRule="exact"/>
                    <w:ind w:firstLine="0" w:firstLineChars="0"/>
                    <w:rPr>
                      <w:rFonts w:hint="eastAsia" w:cs="宋体"/>
                      <w:sz w:val="21"/>
                      <w:szCs w:val="21"/>
                    </w:rPr>
                  </w:pPr>
                  <w:r>
                    <w:rPr>
                      <w:rFonts w:hint="eastAsia" w:cs="宋体"/>
                      <w:sz w:val="21"/>
                      <w:szCs w:val="21"/>
                    </w:rPr>
                    <w:t>故障没有完全解决；由于处理不当导致影响扩大。</w:t>
                  </w:r>
                </w:p>
              </w:tc>
            </w:tr>
            <w:tr>
              <w:tblPrEx>
                <w:tblCellMar>
                  <w:top w:w="0" w:type="dxa"/>
                  <w:left w:w="108" w:type="dxa"/>
                  <w:bottom w:w="0" w:type="dxa"/>
                  <w:right w:w="108" w:type="dxa"/>
                </w:tblCellMar>
              </w:tblPrEx>
              <w:trPr>
                <w:trHeight w:val="454" w:hRule="atLeast"/>
                <w:jc w:val="center"/>
              </w:trPr>
              <w:tc>
                <w:tcPr>
                  <w:tcW w:w="1574" w:type="pct"/>
                  <w:tcBorders>
                    <w:top w:val="nil"/>
                    <w:left w:val="single" w:color="auto" w:sz="4" w:space="0"/>
                    <w:bottom w:val="single" w:color="auto" w:sz="4" w:space="0"/>
                    <w:right w:val="single" w:color="auto" w:sz="4" w:space="0"/>
                  </w:tcBorders>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后续措施</w:t>
                  </w:r>
                </w:p>
              </w:tc>
              <w:tc>
                <w:tcPr>
                  <w:tcW w:w="3425" w:type="pct"/>
                  <w:tcBorders>
                    <w:top w:val="single" w:color="auto" w:sz="4" w:space="0"/>
                    <w:left w:val="nil"/>
                    <w:bottom w:val="single" w:color="auto" w:sz="4" w:space="0"/>
                    <w:right w:val="single" w:color="auto" w:sz="4" w:space="0"/>
                  </w:tcBorders>
                  <w:noWrap w:val="0"/>
                  <w:vAlign w:val="center"/>
                </w:tcPr>
                <w:p>
                  <w:pPr>
                    <w:pStyle w:val="111"/>
                    <w:spacing w:line="300" w:lineRule="exact"/>
                    <w:ind w:firstLine="0" w:firstLineChars="0"/>
                    <w:rPr>
                      <w:rFonts w:hint="eastAsia" w:cs="宋体"/>
                      <w:sz w:val="21"/>
                      <w:szCs w:val="21"/>
                    </w:rPr>
                  </w:pPr>
                  <w:r>
                    <w:rPr>
                      <w:rFonts w:hint="eastAsia" w:cs="宋体"/>
                      <w:sz w:val="21"/>
                      <w:szCs w:val="21"/>
                    </w:rPr>
                    <w:t>拒绝对故障原因进行总结和制定预防规避措施。</w:t>
                  </w:r>
                </w:p>
              </w:tc>
            </w:tr>
          </w:tbl>
          <w:p>
            <w:pPr>
              <w:pStyle w:val="111"/>
              <w:spacing w:line="300" w:lineRule="exact"/>
              <w:ind w:firstLine="420"/>
              <w:rPr>
                <w:rFonts w:hint="eastAsia" w:cs="宋体"/>
                <w:sz w:val="21"/>
                <w:szCs w:val="21"/>
              </w:rPr>
            </w:pPr>
            <w:r>
              <w:rPr>
                <w:rFonts w:hint="eastAsia" w:cs="宋体"/>
                <w:sz w:val="21"/>
                <w:szCs w:val="21"/>
              </w:rPr>
              <w:t>3.问题解决</w:t>
            </w:r>
            <w:bookmarkEnd w:id="90"/>
          </w:p>
          <w:p>
            <w:pPr>
              <w:pStyle w:val="111"/>
              <w:spacing w:line="300" w:lineRule="exact"/>
              <w:ind w:firstLine="420"/>
              <w:rPr>
                <w:rFonts w:hint="eastAsia" w:cs="宋体"/>
                <w:sz w:val="21"/>
                <w:szCs w:val="21"/>
              </w:rPr>
            </w:pPr>
            <w:r>
              <w:rPr>
                <w:rFonts w:hint="eastAsia" w:cs="宋体"/>
                <w:sz w:val="21"/>
                <w:szCs w:val="21"/>
              </w:rPr>
              <w:t>供应商与执法局沟通解决途径，并按照解决方法在规定时间内解决问题。</w:t>
            </w:r>
          </w:p>
          <w:p>
            <w:pPr>
              <w:pStyle w:val="111"/>
              <w:spacing w:line="300" w:lineRule="exact"/>
              <w:ind w:firstLine="420"/>
              <w:rPr>
                <w:rFonts w:hint="eastAsia" w:cs="宋体"/>
                <w:sz w:val="21"/>
                <w:szCs w:val="21"/>
              </w:rPr>
            </w:pPr>
            <w:r>
              <w:rPr>
                <w:rFonts w:hint="eastAsia" w:cs="宋体"/>
                <w:sz w:val="21"/>
                <w:szCs w:val="21"/>
              </w:rPr>
              <w:t>如发生事故，供应商应调配技术力量，对事故问题进行分析、跟踪和处理。</w:t>
            </w:r>
          </w:p>
          <w:p>
            <w:pPr>
              <w:pStyle w:val="111"/>
              <w:spacing w:line="300" w:lineRule="exact"/>
              <w:ind w:firstLine="420"/>
              <w:rPr>
                <w:rFonts w:hint="eastAsia" w:cs="宋体"/>
                <w:sz w:val="21"/>
                <w:szCs w:val="21"/>
              </w:rPr>
            </w:pPr>
            <w:bookmarkStart w:id="91" w:name="_Toc1192509266"/>
            <w:r>
              <w:rPr>
                <w:rFonts w:hint="eastAsia" w:cs="宋体"/>
                <w:sz w:val="21"/>
                <w:szCs w:val="21"/>
              </w:rPr>
              <w:t>4.验证</w:t>
            </w:r>
            <w:bookmarkEnd w:id="91"/>
          </w:p>
          <w:p>
            <w:pPr>
              <w:pStyle w:val="111"/>
              <w:spacing w:line="300" w:lineRule="exact"/>
              <w:ind w:firstLine="420"/>
              <w:rPr>
                <w:rFonts w:hint="eastAsia" w:cs="宋体"/>
                <w:sz w:val="21"/>
                <w:szCs w:val="21"/>
              </w:rPr>
            </w:pPr>
            <w:r>
              <w:rPr>
                <w:rFonts w:hint="eastAsia" w:cs="宋体"/>
                <w:sz w:val="21"/>
                <w:szCs w:val="21"/>
              </w:rPr>
              <w:t>在问题解决后，必须及时验证问题，确认问题得到解决后则流程结束。如果验证后发现问题未完全解决，供应商需重新进行处理。</w:t>
            </w:r>
          </w:p>
          <w:p>
            <w:pPr>
              <w:pStyle w:val="111"/>
              <w:spacing w:line="300" w:lineRule="exact"/>
              <w:ind w:firstLine="420"/>
              <w:rPr>
                <w:rFonts w:hint="eastAsia" w:cs="宋体"/>
                <w:sz w:val="21"/>
                <w:szCs w:val="21"/>
              </w:rPr>
            </w:pPr>
            <w:bookmarkStart w:id="92" w:name="_Toc1023706756"/>
            <w:r>
              <w:rPr>
                <w:rFonts w:hint="eastAsia" w:cs="宋体"/>
                <w:sz w:val="21"/>
                <w:szCs w:val="21"/>
              </w:rPr>
              <w:t>5.事后反馈</w:t>
            </w:r>
            <w:bookmarkEnd w:id="92"/>
          </w:p>
          <w:p>
            <w:pPr>
              <w:pStyle w:val="111"/>
              <w:spacing w:line="300" w:lineRule="exact"/>
              <w:ind w:firstLine="420"/>
              <w:rPr>
                <w:rFonts w:hint="eastAsia" w:cs="宋体"/>
                <w:sz w:val="21"/>
                <w:szCs w:val="21"/>
              </w:rPr>
            </w:pPr>
            <w:r>
              <w:rPr>
                <w:rFonts w:hint="eastAsia" w:cs="宋体"/>
                <w:sz w:val="21"/>
                <w:szCs w:val="21"/>
              </w:rPr>
              <w:t>供应商在解决问题后的规定时间内向该问题的原始提出人及执法局反馈。</w:t>
            </w:r>
          </w:p>
          <w:p>
            <w:pPr>
              <w:pStyle w:val="111"/>
              <w:spacing w:line="300" w:lineRule="exact"/>
              <w:ind w:firstLine="420"/>
              <w:rPr>
                <w:rFonts w:hint="eastAsia" w:cs="宋体"/>
                <w:sz w:val="21"/>
                <w:szCs w:val="21"/>
              </w:rPr>
            </w:pPr>
            <w:r>
              <w:rPr>
                <w:rFonts w:hint="eastAsia" w:cs="宋体"/>
                <w:sz w:val="21"/>
                <w:szCs w:val="21"/>
              </w:rPr>
              <w:t>反馈时间：一般情况下应在30分钟内反馈，较复杂问题根据实际情况与问题的原始提出人及执法局协商反馈时间。</w:t>
            </w:r>
          </w:p>
          <w:p>
            <w:pPr>
              <w:pStyle w:val="111"/>
              <w:spacing w:line="300" w:lineRule="exact"/>
              <w:ind w:firstLine="420"/>
              <w:rPr>
                <w:rFonts w:hint="eastAsia" w:cs="宋体"/>
                <w:sz w:val="21"/>
                <w:szCs w:val="21"/>
              </w:rPr>
            </w:pPr>
            <w:r>
              <w:rPr>
                <w:rFonts w:hint="eastAsia" w:cs="宋体"/>
                <w:sz w:val="21"/>
                <w:szCs w:val="21"/>
              </w:rPr>
              <w:t>反馈内容：反馈解决问题的详细情况，如解决的方式、时间等。</w:t>
            </w:r>
          </w:p>
          <w:p>
            <w:pPr>
              <w:pStyle w:val="111"/>
              <w:spacing w:line="300" w:lineRule="exact"/>
              <w:ind w:firstLine="420"/>
              <w:rPr>
                <w:rFonts w:hint="eastAsia" w:cs="宋体"/>
                <w:sz w:val="21"/>
                <w:szCs w:val="21"/>
              </w:rPr>
            </w:pPr>
            <w:r>
              <w:rPr>
                <w:rFonts w:hint="eastAsia" w:cs="宋体"/>
                <w:sz w:val="21"/>
                <w:szCs w:val="21"/>
              </w:rPr>
              <w:t>反馈方式：可以通过邮件、微信、钉钉或电话等方式进行。</w:t>
            </w:r>
          </w:p>
          <w:p>
            <w:pPr>
              <w:pStyle w:val="111"/>
              <w:spacing w:line="300" w:lineRule="exact"/>
              <w:ind w:firstLine="420"/>
              <w:rPr>
                <w:rFonts w:hint="eastAsia" w:cs="宋体"/>
                <w:sz w:val="21"/>
                <w:szCs w:val="21"/>
              </w:rPr>
            </w:pPr>
            <w:r>
              <w:rPr>
                <w:rFonts w:hint="eastAsia" w:cs="宋体"/>
                <w:sz w:val="21"/>
                <w:szCs w:val="21"/>
              </w:rPr>
              <w:t>6.问题分析及建议</w:t>
            </w:r>
          </w:p>
          <w:p>
            <w:pPr>
              <w:pStyle w:val="111"/>
              <w:spacing w:line="300" w:lineRule="exact"/>
              <w:ind w:firstLine="420"/>
              <w:rPr>
                <w:rFonts w:hint="eastAsia" w:cs="宋体"/>
                <w:sz w:val="21"/>
                <w:szCs w:val="21"/>
              </w:rPr>
            </w:pPr>
            <w:r>
              <w:rPr>
                <w:rFonts w:hint="eastAsia" w:cs="宋体"/>
                <w:sz w:val="21"/>
                <w:szCs w:val="21"/>
              </w:rPr>
              <w:t>运维单位需对频发问题进行分析，找出原因，并提出建设性的意见，帮助执法局持续推进系统稳定运行或优化。</w:t>
            </w:r>
          </w:p>
          <w:p>
            <w:pPr>
              <w:pStyle w:val="111"/>
              <w:spacing w:line="300" w:lineRule="exact"/>
              <w:ind w:firstLine="420"/>
              <w:rPr>
                <w:rFonts w:hint="eastAsia" w:cs="宋体"/>
                <w:sz w:val="21"/>
                <w:szCs w:val="21"/>
              </w:rPr>
            </w:pPr>
            <w:bookmarkStart w:id="93" w:name="_Toc769577581_WPSOffice_Level2"/>
            <w:bookmarkStart w:id="94" w:name="_Toc653400405"/>
            <w:r>
              <w:rPr>
                <w:rFonts w:hint="eastAsia" w:cs="宋体"/>
                <w:sz w:val="21"/>
                <w:szCs w:val="21"/>
              </w:rPr>
              <w:t>（六）运维服务团队及应急响应</w:t>
            </w:r>
            <w:bookmarkEnd w:id="93"/>
            <w:bookmarkEnd w:id="94"/>
          </w:p>
          <w:p>
            <w:pPr>
              <w:pStyle w:val="111"/>
              <w:spacing w:line="300" w:lineRule="exact"/>
              <w:ind w:firstLine="420"/>
              <w:rPr>
                <w:rFonts w:hint="eastAsia" w:cs="宋体"/>
                <w:sz w:val="21"/>
                <w:szCs w:val="21"/>
              </w:rPr>
            </w:pPr>
            <w:bookmarkStart w:id="95" w:name="_Toc1776606159"/>
            <w:r>
              <w:rPr>
                <w:rFonts w:hint="eastAsia" w:cs="宋体"/>
                <w:sz w:val="21"/>
                <w:szCs w:val="21"/>
              </w:rPr>
              <w:t>1.运维服务团队</w:t>
            </w:r>
            <w:bookmarkEnd w:id="95"/>
          </w:p>
          <w:p>
            <w:pPr>
              <w:pStyle w:val="111"/>
              <w:spacing w:line="300" w:lineRule="exact"/>
              <w:ind w:firstLine="420"/>
              <w:rPr>
                <w:rFonts w:hint="eastAsia" w:cs="宋体"/>
                <w:sz w:val="21"/>
                <w:szCs w:val="21"/>
              </w:rPr>
            </w:pPr>
            <w:r>
              <w:rPr>
                <w:rFonts w:hint="eastAsia" w:cs="宋体"/>
                <w:sz w:val="21"/>
                <w:szCs w:val="21"/>
              </w:rPr>
              <w:t>为确保运维服务的及时性，成立专门的运维服务团队，应包含运维团队领导组、客服组、运维开发组、项目实施组、售前组、驻场技术人员等，并建立运维汇报机制。</w:t>
            </w:r>
          </w:p>
          <w:p>
            <w:pPr>
              <w:pStyle w:val="111"/>
              <w:spacing w:line="300" w:lineRule="exact"/>
              <w:ind w:firstLine="420"/>
              <w:rPr>
                <w:rFonts w:hint="eastAsia" w:cs="宋体"/>
                <w:sz w:val="21"/>
                <w:szCs w:val="21"/>
              </w:rPr>
            </w:pPr>
            <w:r>
              <w:rPr>
                <w:rFonts w:hint="eastAsia" w:cs="宋体"/>
                <w:sz w:val="21"/>
                <w:szCs w:val="21"/>
              </w:rPr>
              <w:t>（1）运维问题定期汇报机制</w:t>
            </w:r>
          </w:p>
          <w:p>
            <w:pPr>
              <w:pStyle w:val="111"/>
              <w:spacing w:line="300" w:lineRule="exact"/>
              <w:ind w:firstLine="420"/>
              <w:rPr>
                <w:rFonts w:hint="eastAsia" w:cs="宋体"/>
                <w:sz w:val="21"/>
                <w:szCs w:val="21"/>
              </w:rPr>
            </w:pPr>
            <w:r>
              <w:rPr>
                <w:rFonts w:hint="eastAsia" w:cs="宋体"/>
                <w:sz w:val="21"/>
                <w:szCs w:val="21"/>
              </w:rPr>
              <w:t>每天下班前客服人员将当天已解决的问题，及时反馈汇报给执法局；对超时未完成问题，客服人员定期将问题处理完成进度汇报给执法局。</w:t>
            </w:r>
          </w:p>
          <w:p>
            <w:pPr>
              <w:pStyle w:val="111"/>
              <w:spacing w:line="300" w:lineRule="exact"/>
              <w:ind w:firstLine="420"/>
              <w:rPr>
                <w:rFonts w:hint="eastAsia" w:cs="宋体"/>
                <w:sz w:val="21"/>
                <w:szCs w:val="21"/>
              </w:rPr>
            </w:pPr>
            <w:r>
              <w:rPr>
                <w:rFonts w:hint="eastAsia" w:cs="宋体"/>
                <w:sz w:val="21"/>
                <w:szCs w:val="21"/>
              </w:rPr>
              <w:t>（2）运维定期回访</w:t>
            </w:r>
          </w:p>
          <w:p>
            <w:pPr>
              <w:pStyle w:val="111"/>
              <w:spacing w:line="300" w:lineRule="exact"/>
              <w:ind w:firstLine="420"/>
              <w:rPr>
                <w:rFonts w:hint="eastAsia" w:cs="宋体"/>
                <w:sz w:val="21"/>
                <w:szCs w:val="21"/>
              </w:rPr>
            </w:pPr>
            <w:r>
              <w:rPr>
                <w:rFonts w:hint="eastAsia" w:cs="宋体"/>
                <w:sz w:val="21"/>
                <w:szCs w:val="21"/>
              </w:rPr>
              <w:t>定期走访相关用户单位了解用户单位在使用过程中存在的问题，记录并跟进解决回复。</w:t>
            </w:r>
          </w:p>
          <w:p>
            <w:pPr>
              <w:pStyle w:val="111"/>
              <w:spacing w:line="300" w:lineRule="exact"/>
              <w:ind w:firstLine="420"/>
              <w:rPr>
                <w:rFonts w:hint="eastAsia" w:cs="宋体"/>
                <w:sz w:val="21"/>
                <w:szCs w:val="21"/>
              </w:rPr>
            </w:pPr>
            <w:r>
              <w:rPr>
                <w:rFonts w:hint="eastAsia" w:cs="宋体"/>
                <w:sz w:val="21"/>
                <w:szCs w:val="21"/>
              </w:rPr>
              <w:t>（3）严重问题升级机制</w:t>
            </w:r>
          </w:p>
          <w:p>
            <w:pPr>
              <w:pStyle w:val="111"/>
              <w:spacing w:line="300" w:lineRule="exact"/>
              <w:ind w:firstLine="420"/>
              <w:rPr>
                <w:rFonts w:hint="eastAsia" w:cs="宋体"/>
                <w:sz w:val="21"/>
                <w:szCs w:val="21"/>
              </w:rPr>
            </w:pPr>
            <w:r>
              <w:rPr>
                <w:rFonts w:hint="eastAsia" w:cs="宋体"/>
                <w:sz w:val="21"/>
                <w:szCs w:val="21"/>
              </w:rPr>
              <w:t>针对中病毒、数据丢失、服务器崩溃、应用崩溃、数据库崩溃等严重问题需要把问题及时升级到执法局和运维团队高层领导，便于协调资源及时解决问题。</w:t>
            </w:r>
          </w:p>
          <w:p>
            <w:pPr>
              <w:pStyle w:val="111"/>
              <w:spacing w:line="300" w:lineRule="exact"/>
              <w:ind w:firstLine="420"/>
              <w:rPr>
                <w:rFonts w:hint="eastAsia" w:cs="宋体"/>
                <w:sz w:val="21"/>
                <w:szCs w:val="21"/>
              </w:rPr>
            </w:pPr>
            <w:bookmarkStart w:id="96" w:name="_Toc598694431"/>
            <w:r>
              <w:rPr>
                <w:rFonts w:hint="eastAsia" w:cs="宋体"/>
                <w:sz w:val="21"/>
                <w:szCs w:val="21"/>
              </w:rPr>
              <w:t>2.运维应急响应制度</w:t>
            </w:r>
            <w:bookmarkEnd w:id="96"/>
          </w:p>
          <w:p>
            <w:pPr>
              <w:pStyle w:val="111"/>
              <w:spacing w:line="300" w:lineRule="exact"/>
              <w:ind w:firstLine="420"/>
              <w:rPr>
                <w:rFonts w:hint="eastAsia" w:cs="宋体"/>
                <w:sz w:val="21"/>
                <w:szCs w:val="21"/>
              </w:rPr>
            </w:pPr>
            <w:r>
              <w:rPr>
                <w:rFonts w:hint="eastAsia" w:cs="宋体"/>
                <w:sz w:val="21"/>
                <w:szCs w:val="21"/>
              </w:rPr>
              <w:t>系统使用单位或人员发现信息系统突发事件后，应及时报告执法局及运维团队领导。执法局及运维团队领导及时组织相关人员查找故障原因，在短时间内（一般要在半小时以内）依据故障情形和修复时间进行初步判别，确定故障分类级别。</w:t>
            </w:r>
          </w:p>
          <w:p>
            <w:pPr>
              <w:pStyle w:val="111"/>
              <w:spacing w:line="300" w:lineRule="exact"/>
              <w:ind w:firstLine="420"/>
              <w:rPr>
                <w:rFonts w:hint="eastAsia" w:cs="宋体"/>
                <w:sz w:val="21"/>
                <w:szCs w:val="21"/>
              </w:rPr>
            </w:pPr>
            <w:bookmarkStart w:id="97" w:name="_Toc37146609_WPSOffice_Level2"/>
            <w:bookmarkStart w:id="98" w:name="_Toc1373862539"/>
            <w:r>
              <w:rPr>
                <w:rFonts w:hint="eastAsia" w:cs="宋体"/>
                <w:sz w:val="21"/>
                <w:szCs w:val="21"/>
              </w:rPr>
              <w:t>（七）运维培训服务</w:t>
            </w:r>
            <w:bookmarkEnd w:id="97"/>
            <w:bookmarkEnd w:id="98"/>
          </w:p>
          <w:p>
            <w:pPr>
              <w:pStyle w:val="111"/>
              <w:spacing w:line="300" w:lineRule="exact"/>
              <w:ind w:firstLine="420"/>
              <w:rPr>
                <w:rFonts w:hint="eastAsia" w:cs="宋体"/>
                <w:sz w:val="21"/>
                <w:szCs w:val="21"/>
              </w:rPr>
            </w:pPr>
            <w:r>
              <w:rPr>
                <w:rFonts w:hint="eastAsia" w:cs="宋体"/>
                <w:sz w:val="21"/>
                <w:szCs w:val="21"/>
              </w:rPr>
              <w:t>针对执法局用户提供系统软件产品和应用系统的技术培训。提供具有相应专业知识、实际工作和培训经验的人员和相应的教材。</w:t>
            </w:r>
          </w:p>
          <w:p>
            <w:pPr>
              <w:pStyle w:val="111"/>
              <w:spacing w:line="300" w:lineRule="exact"/>
              <w:ind w:firstLine="420"/>
              <w:rPr>
                <w:rFonts w:hint="eastAsia" w:cs="宋体"/>
                <w:sz w:val="21"/>
                <w:szCs w:val="21"/>
              </w:rPr>
            </w:pPr>
            <w:bookmarkStart w:id="99" w:name="_Toc1484476408"/>
            <w:r>
              <w:rPr>
                <w:rFonts w:hint="eastAsia" w:cs="宋体"/>
                <w:sz w:val="21"/>
                <w:szCs w:val="21"/>
              </w:rPr>
              <w:t>1.现场培训</w:t>
            </w:r>
            <w:bookmarkEnd w:id="99"/>
          </w:p>
          <w:p>
            <w:pPr>
              <w:pStyle w:val="111"/>
              <w:spacing w:line="300" w:lineRule="exact"/>
              <w:ind w:firstLine="420"/>
              <w:rPr>
                <w:rFonts w:hint="eastAsia" w:cs="宋体"/>
                <w:sz w:val="21"/>
                <w:szCs w:val="21"/>
              </w:rPr>
            </w:pPr>
            <w:r>
              <w:rPr>
                <w:rFonts w:hint="eastAsia" w:cs="宋体"/>
                <w:sz w:val="21"/>
                <w:szCs w:val="21"/>
              </w:rPr>
              <w:t>系统运维期间根据执法局需求提供现场培训，使全体人员能熟练地使用终端设备和应用软件系统。</w:t>
            </w:r>
          </w:p>
          <w:p>
            <w:pPr>
              <w:pStyle w:val="111"/>
              <w:spacing w:line="300" w:lineRule="exact"/>
              <w:ind w:firstLine="420"/>
              <w:rPr>
                <w:rFonts w:hint="eastAsia" w:cs="宋体"/>
                <w:sz w:val="21"/>
                <w:szCs w:val="21"/>
              </w:rPr>
            </w:pPr>
            <w:bookmarkStart w:id="100" w:name="_Toc1833398972"/>
            <w:r>
              <w:rPr>
                <w:rFonts w:hint="eastAsia" w:cs="宋体"/>
                <w:sz w:val="21"/>
                <w:szCs w:val="21"/>
              </w:rPr>
              <w:t>2.网络培训</w:t>
            </w:r>
            <w:bookmarkEnd w:id="100"/>
          </w:p>
          <w:p>
            <w:pPr>
              <w:pStyle w:val="111"/>
              <w:spacing w:line="300" w:lineRule="exact"/>
              <w:ind w:firstLine="420"/>
              <w:rPr>
                <w:rFonts w:hint="eastAsia" w:cs="宋体"/>
                <w:sz w:val="21"/>
                <w:szCs w:val="21"/>
              </w:rPr>
            </w:pPr>
            <w:r>
              <w:rPr>
                <w:rFonts w:hint="eastAsia" w:cs="宋体"/>
                <w:sz w:val="21"/>
                <w:szCs w:val="21"/>
              </w:rPr>
              <w:t>定期对常见问题进行分析总结，制作出常见问题解决办法或系统操作视频，通过在线或远程等方式提供培训、指导服务。</w:t>
            </w:r>
          </w:p>
          <w:p>
            <w:pPr>
              <w:pStyle w:val="111"/>
              <w:spacing w:line="300" w:lineRule="exact"/>
              <w:ind w:firstLine="420"/>
              <w:rPr>
                <w:rFonts w:hint="eastAsia" w:cs="宋体"/>
                <w:sz w:val="21"/>
                <w:szCs w:val="21"/>
              </w:rPr>
            </w:pPr>
            <w:bookmarkStart w:id="101" w:name="_Toc1425722894"/>
            <w:bookmarkStart w:id="102" w:name="_Toc1806452641_WPSOffice_Level2"/>
            <w:r>
              <w:rPr>
                <w:rFonts w:hint="eastAsia" w:cs="宋体"/>
                <w:sz w:val="21"/>
                <w:szCs w:val="21"/>
              </w:rPr>
              <w:t>（八）服务人员素质培训</w:t>
            </w:r>
            <w:bookmarkEnd w:id="101"/>
            <w:bookmarkEnd w:id="102"/>
          </w:p>
          <w:p>
            <w:pPr>
              <w:pStyle w:val="111"/>
              <w:spacing w:line="300" w:lineRule="exact"/>
              <w:ind w:firstLine="420"/>
              <w:rPr>
                <w:rFonts w:hint="eastAsia" w:cs="宋体"/>
                <w:sz w:val="21"/>
                <w:szCs w:val="21"/>
              </w:rPr>
            </w:pPr>
            <w:r>
              <w:rPr>
                <w:rFonts w:hint="eastAsia" w:cs="宋体"/>
                <w:sz w:val="21"/>
                <w:szCs w:val="21"/>
              </w:rPr>
              <w:t>供应商应不定期对运维服务团队的服务意识规范、服务用语规范、服务响应、专业技能等进行专业的培训，以保证服务人员的服务态度及技能。</w:t>
            </w:r>
          </w:p>
          <w:p>
            <w:pPr>
              <w:pStyle w:val="111"/>
              <w:spacing w:line="300" w:lineRule="exact"/>
              <w:ind w:firstLine="420"/>
              <w:rPr>
                <w:rFonts w:hint="eastAsia" w:cs="宋体"/>
                <w:sz w:val="21"/>
                <w:szCs w:val="21"/>
              </w:rPr>
            </w:pPr>
            <w:bookmarkStart w:id="103" w:name="_Toc1853296315_WPSOffice_Level2"/>
            <w:bookmarkStart w:id="104" w:name="_Toc1409939702"/>
            <w:r>
              <w:rPr>
                <w:rFonts w:hint="eastAsia" w:cs="宋体"/>
                <w:sz w:val="21"/>
                <w:szCs w:val="21"/>
              </w:rPr>
              <w:t>（九）服务时间保障</w:t>
            </w:r>
            <w:bookmarkEnd w:id="103"/>
            <w:bookmarkEnd w:id="104"/>
          </w:p>
          <w:p>
            <w:pPr>
              <w:pStyle w:val="111"/>
              <w:spacing w:line="300" w:lineRule="exact"/>
              <w:ind w:firstLine="420"/>
              <w:rPr>
                <w:rFonts w:hint="eastAsia" w:cs="宋体"/>
                <w:sz w:val="21"/>
                <w:szCs w:val="21"/>
              </w:rPr>
            </w:pPr>
            <w:r>
              <w:rPr>
                <w:rFonts w:hint="eastAsia" w:cs="宋体"/>
                <w:sz w:val="21"/>
                <w:szCs w:val="21"/>
              </w:rPr>
              <w:t>运维服务团队至少派4名可以现场处理一般问题的技术人员到执法局驻场，提供5*8小时的现场故障诊断、处理，以及7*24小时电话或远程技术支持服务。负责现场软硬件基础运行维护服务、用户培训事宜。跟踪并反馈提出的问题，协调好内外部门资源。。</w:t>
            </w:r>
          </w:p>
          <w:p>
            <w:pPr>
              <w:pStyle w:val="111"/>
              <w:spacing w:line="300" w:lineRule="exact"/>
              <w:ind w:firstLine="420"/>
              <w:rPr>
                <w:rFonts w:hint="eastAsia" w:cs="宋体"/>
                <w:sz w:val="21"/>
                <w:szCs w:val="21"/>
              </w:rPr>
            </w:pPr>
            <w:bookmarkStart w:id="105" w:name="_Toc2145405215_WPSOffice_Level1"/>
            <w:bookmarkStart w:id="106" w:name="_Toc1563731467"/>
            <w:r>
              <w:rPr>
                <w:rFonts w:hint="eastAsia" w:cs="宋体"/>
                <w:sz w:val="21"/>
                <w:szCs w:val="21"/>
                <w:lang w:val="en"/>
              </w:rPr>
              <w:t>四</w:t>
            </w:r>
            <w:r>
              <w:rPr>
                <w:rFonts w:hint="eastAsia" w:cs="宋体"/>
                <w:sz w:val="21"/>
                <w:szCs w:val="21"/>
              </w:rPr>
              <w:t>、运维服务考核办法</w:t>
            </w:r>
            <w:bookmarkEnd w:id="105"/>
            <w:bookmarkEnd w:id="106"/>
          </w:p>
          <w:p>
            <w:pPr>
              <w:pStyle w:val="111"/>
              <w:spacing w:line="300" w:lineRule="exact"/>
              <w:ind w:firstLine="420"/>
              <w:rPr>
                <w:rFonts w:hint="eastAsia" w:cs="宋体"/>
                <w:sz w:val="21"/>
                <w:szCs w:val="21"/>
              </w:rPr>
            </w:pPr>
            <w:r>
              <w:rPr>
                <w:rFonts w:hint="eastAsia" w:cs="宋体"/>
                <w:sz w:val="21"/>
                <w:szCs w:val="21"/>
              </w:rPr>
              <w:t>为加强对运维服务的监督管理，确保运维服务合同有效执行，保障信息系统正常运行，执法局将按信息系统运维服务考核办法（详见附件），在合同期内，每月对运维团队的服务进行考核。</w:t>
            </w:r>
          </w:p>
          <w:p>
            <w:pPr>
              <w:pStyle w:val="111"/>
              <w:spacing w:line="300" w:lineRule="exact"/>
              <w:ind w:firstLine="420"/>
              <w:rPr>
                <w:rFonts w:hint="eastAsia" w:cs="宋体"/>
                <w:sz w:val="21"/>
                <w:szCs w:val="21"/>
              </w:rPr>
            </w:pPr>
            <w:r>
              <w:rPr>
                <w:rFonts w:hint="eastAsia" w:cs="宋体"/>
                <w:sz w:val="21"/>
                <w:szCs w:val="21"/>
              </w:rPr>
              <w:t>考核分数≥80分，通过当期考核，不扣除履约保证金；</w:t>
            </w:r>
          </w:p>
          <w:p>
            <w:pPr>
              <w:pStyle w:val="111"/>
              <w:spacing w:line="300" w:lineRule="exact"/>
              <w:ind w:firstLine="420"/>
              <w:rPr>
                <w:rFonts w:hint="eastAsia" w:cs="宋体"/>
                <w:sz w:val="21"/>
                <w:szCs w:val="21"/>
              </w:rPr>
            </w:pPr>
            <w:r>
              <w:rPr>
                <w:rFonts w:hint="eastAsia" w:cs="宋体"/>
                <w:sz w:val="21"/>
                <w:szCs w:val="21"/>
              </w:rPr>
              <w:t>考核分数&lt;80分，且≥60分，未通过当期考核，以80分为基准线每少1分扣除履约保证金2%；</w:t>
            </w:r>
          </w:p>
          <w:p>
            <w:pPr>
              <w:pStyle w:val="111"/>
              <w:spacing w:line="300" w:lineRule="exact"/>
              <w:ind w:firstLine="420"/>
              <w:rPr>
                <w:rFonts w:hint="eastAsia" w:cs="宋体"/>
                <w:sz w:val="21"/>
                <w:szCs w:val="21"/>
              </w:rPr>
            </w:pPr>
            <w:r>
              <w:rPr>
                <w:rFonts w:hint="eastAsia" w:cs="宋体"/>
                <w:sz w:val="21"/>
                <w:szCs w:val="21"/>
              </w:rPr>
              <w:t>考核分数&lt;60分的，未通过当期考核，直接扣除履约保证金的50%；</w:t>
            </w:r>
          </w:p>
          <w:p>
            <w:pPr>
              <w:pStyle w:val="111"/>
              <w:spacing w:line="300" w:lineRule="exact"/>
              <w:ind w:firstLine="420"/>
              <w:rPr>
                <w:rFonts w:hint="eastAsia" w:cs="宋体"/>
                <w:sz w:val="21"/>
                <w:szCs w:val="21"/>
              </w:rPr>
            </w:pPr>
            <w:r>
              <w:rPr>
                <w:rFonts w:hint="eastAsia" w:cs="宋体"/>
                <w:sz w:val="21"/>
                <w:szCs w:val="21"/>
              </w:rPr>
              <w:t>服务期内累计两次考核分数&lt;60分的，执法局可终止合同，供应商应承担相应违约责任。</w:t>
            </w:r>
          </w:p>
          <w:p>
            <w:pPr>
              <w:pStyle w:val="111"/>
              <w:spacing w:line="300" w:lineRule="exact"/>
              <w:ind w:firstLine="420"/>
              <w:rPr>
                <w:rFonts w:hint="eastAsia" w:cs="宋体"/>
                <w:sz w:val="21"/>
                <w:szCs w:val="21"/>
              </w:rPr>
            </w:pPr>
          </w:p>
          <w:p>
            <w:pPr>
              <w:pStyle w:val="111"/>
              <w:spacing w:line="300" w:lineRule="exact"/>
              <w:ind w:firstLine="420"/>
              <w:rPr>
                <w:rFonts w:hint="eastAsia" w:cs="宋体"/>
                <w:sz w:val="21"/>
                <w:szCs w:val="21"/>
              </w:rPr>
            </w:pPr>
            <w:bookmarkStart w:id="107" w:name="_Toc769577581_WPSOffice_Level1"/>
            <w:r>
              <w:rPr>
                <w:rFonts w:hint="eastAsia" w:cs="宋体"/>
                <w:sz w:val="21"/>
                <w:szCs w:val="21"/>
              </w:rPr>
              <w:t>附件：2023年执法局信息系统运维服务考核办法</w:t>
            </w:r>
            <w:bookmarkEnd w:id="107"/>
          </w:p>
          <w:p>
            <w:pPr>
              <w:pStyle w:val="111"/>
              <w:spacing w:line="300" w:lineRule="exact"/>
              <w:ind w:firstLine="420"/>
              <w:rPr>
                <w:rFonts w:hint="eastAsia" w:cs="宋体"/>
                <w:sz w:val="21"/>
                <w:szCs w:val="21"/>
              </w:rPr>
            </w:pPr>
          </w:p>
          <w:p>
            <w:pPr>
              <w:pStyle w:val="111"/>
              <w:spacing w:line="300" w:lineRule="exact"/>
              <w:ind w:firstLine="420"/>
              <w:rPr>
                <w:rFonts w:hint="eastAsia" w:cs="宋体"/>
                <w:sz w:val="21"/>
                <w:szCs w:val="21"/>
              </w:rPr>
            </w:pPr>
            <w:r>
              <w:rPr>
                <w:rFonts w:hint="eastAsia" w:cs="宋体"/>
                <w:sz w:val="21"/>
                <w:szCs w:val="21"/>
              </w:rPr>
              <w:t>根据《广西壮族自治区生态环境厅信息化项目建设管理办法》要求，为做好环境执法业务信息系统运维服务工作，推行集中统一的信息化运维管理模式，建设安全、完整、全面、科学、高效的运维支持体系，加强对运维服务的监督管理，确保运维服务合同有效执行，保障各信息系统的安全性、完整性、稳定性、流畅性，更好地为全区生态环境执法业务正常开展提供信息技术支撑，特制定业务信息系统运维服务考核办法，具体内容如下：</w:t>
            </w:r>
          </w:p>
          <w:p>
            <w:pPr>
              <w:pStyle w:val="111"/>
              <w:spacing w:line="300" w:lineRule="exact"/>
              <w:ind w:firstLine="420"/>
              <w:rPr>
                <w:rFonts w:hint="eastAsia" w:cs="宋体"/>
                <w:sz w:val="21"/>
                <w:szCs w:val="21"/>
              </w:rPr>
            </w:pPr>
            <w:bookmarkStart w:id="108" w:name="_Toc1806452641_WPSOffice_Level1"/>
            <w:bookmarkStart w:id="109" w:name="_Toc1896492580"/>
            <w:r>
              <w:rPr>
                <w:rFonts w:hint="eastAsia" w:cs="宋体"/>
                <w:sz w:val="21"/>
                <w:szCs w:val="21"/>
              </w:rPr>
              <w:t>一、考核范围</w:t>
            </w:r>
            <w:bookmarkEnd w:id="108"/>
            <w:bookmarkEnd w:id="109"/>
          </w:p>
          <w:p>
            <w:pPr>
              <w:pStyle w:val="111"/>
              <w:spacing w:line="300" w:lineRule="exact"/>
              <w:ind w:firstLine="420"/>
              <w:rPr>
                <w:rFonts w:hint="eastAsia" w:cs="宋体"/>
                <w:sz w:val="21"/>
                <w:szCs w:val="21"/>
              </w:rPr>
            </w:pPr>
            <w:r>
              <w:rPr>
                <w:rFonts w:hint="eastAsia" w:cs="宋体"/>
                <w:sz w:val="21"/>
                <w:szCs w:val="21"/>
              </w:rPr>
              <w:t>本办法适用于执法局业务信息系统运维服务合同约定的各项运维服务。</w:t>
            </w:r>
          </w:p>
          <w:p>
            <w:pPr>
              <w:pStyle w:val="111"/>
              <w:spacing w:line="300" w:lineRule="exact"/>
              <w:ind w:firstLine="420"/>
              <w:rPr>
                <w:rFonts w:hint="eastAsia" w:cs="宋体"/>
                <w:sz w:val="21"/>
                <w:szCs w:val="21"/>
              </w:rPr>
            </w:pPr>
            <w:bookmarkStart w:id="110" w:name="_Toc1853296315_WPSOffice_Level1"/>
            <w:bookmarkStart w:id="111" w:name="_Toc1859695140"/>
            <w:r>
              <w:rPr>
                <w:rFonts w:hint="eastAsia" w:cs="宋体"/>
                <w:sz w:val="21"/>
                <w:szCs w:val="21"/>
              </w:rPr>
              <w:t>二、考核内容</w:t>
            </w:r>
            <w:bookmarkEnd w:id="110"/>
            <w:bookmarkEnd w:id="111"/>
          </w:p>
          <w:p>
            <w:pPr>
              <w:pStyle w:val="111"/>
              <w:spacing w:line="300" w:lineRule="exact"/>
              <w:ind w:firstLine="420"/>
              <w:rPr>
                <w:rFonts w:hint="eastAsia" w:cs="宋体"/>
                <w:sz w:val="21"/>
                <w:szCs w:val="21"/>
              </w:rPr>
            </w:pPr>
            <w:r>
              <w:rPr>
                <w:rFonts w:hint="eastAsia" w:cs="宋体"/>
                <w:sz w:val="21"/>
                <w:szCs w:val="21"/>
              </w:rPr>
              <w:t>执法局每月对合同约定的运维服务内容进行考核（每个月10号之前对上个月服务进行考核），检查服务是否满足合同要求。</w:t>
            </w:r>
          </w:p>
          <w:p>
            <w:pPr>
              <w:pStyle w:val="111"/>
              <w:spacing w:line="300" w:lineRule="exact"/>
              <w:ind w:firstLine="420"/>
              <w:rPr>
                <w:rFonts w:hint="eastAsia" w:cs="宋体"/>
                <w:sz w:val="21"/>
                <w:szCs w:val="21"/>
              </w:rPr>
            </w:pPr>
            <w:bookmarkStart w:id="112" w:name="_Toc517973157"/>
            <w:bookmarkStart w:id="113" w:name="_Toc1920902084_WPSOffice_Level1"/>
            <w:r>
              <w:rPr>
                <w:rFonts w:hint="eastAsia" w:cs="宋体"/>
                <w:sz w:val="21"/>
                <w:szCs w:val="21"/>
              </w:rPr>
              <w:t>三、评分办法</w:t>
            </w:r>
            <w:bookmarkEnd w:id="112"/>
            <w:bookmarkEnd w:id="113"/>
          </w:p>
          <w:p>
            <w:pPr>
              <w:pStyle w:val="111"/>
              <w:spacing w:line="300" w:lineRule="exact"/>
              <w:ind w:firstLine="420"/>
              <w:rPr>
                <w:rFonts w:hint="eastAsia" w:cs="宋体"/>
                <w:sz w:val="21"/>
                <w:szCs w:val="21"/>
              </w:rPr>
            </w:pPr>
            <w:r>
              <w:rPr>
                <w:rFonts w:hint="eastAsia" w:cs="宋体"/>
                <w:sz w:val="21"/>
                <w:szCs w:val="21"/>
              </w:rPr>
              <w:t>（一）服务内容将分为三大项共10小项进行评分，评分细则详见附表。</w:t>
            </w:r>
          </w:p>
          <w:p>
            <w:pPr>
              <w:pStyle w:val="111"/>
              <w:spacing w:line="300" w:lineRule="exact"/>
              <w:ind w:firstLine="420"/>
              <w:rPr>
                <w:rFonts w:hint="eastAsia" w:cs="宋体"/>
                <w:sz w:val="21"/>
                <w:szCs w:val="21"/>
              </w:rPr>
            </w:pPr>
            <w:r>
              <w:rPr>
                <w:rFonts w:hint="eastAsia" w:cs="宋体"/>
                <w:sz w:val="21"/>
                <w:szCs w:val="21"/>
              </w:rPr>
              <w:t>（二）执法局相关业务科室讨论后填写评分表，评分参考依据为服务合同、运维报告和日常工作表现。</w:t>
            </w:r>
          </w:p>
          <w:p>
            <w:pPr>
              <w:pStyle w:val="111"/>
              <w:spacing w:line="300" w:lineRule="exact"/>
              <w:ind w:firstLine="420"/>
              <w:rPr>
                <w:rFonts w:hint="eastAsia" w:cs="宋体"/>
                <w:sz w:val="21"/>
                <w:szCs w:val="21"/>
              </w:rPr>
            </w:pPr>
            <w:r>
              <w:rPr>
                <w:rFonts w:hint="eastAsia" w:cs="宋体"/>
                <w:sz w:val="21"/>
                <w:szCs w:val="21"/>
              </w:rPr>
              <w:t>（三）考核总分为100分，采取得分制，最终累计得分为总分。得分事项应经双方项目负责人签字或加盖公章确认方为有效。</w:t>
            </w:r>
          </w:p>
          <w:p>
            <w:pPr>
              <w:pStyle w:val="111"/>
              <w:spacing w:line="300" w:lineRule="exact"/>
              <w:ind w:firstLine="420"/>
              <w:rPr>
                <w:rFonts w:hint="eastAsia" w:cs="宋体"/>
                <w:sz w:val="21"/>
                <w:szCs w:val="21"/>
              </w:rPr>
            </w:pPr>
            <w:bookmarkStart w:id="114" w:name="_Toc243144726"/>
            <w:bookmarkStart w:id="115" w:name="_Toc1564966232_WPSOffice_Level1"/>
            <w:r>
              <w:rPr>
                <w:rFonts w:hint="eastAsia" w:cs="宋体"/>
                <w:sz w:val="21"/>
                <w:szCs w:val="21"/>
              </w:rPr>
              <w:t>四、评价结果运用</w:t>
            </w:r>
            <w:bookmarkEnd w:id="114"/>
            <w:bookmarkEnd w:id="115"/>
          </w:p>
          <w:p>
            <w:pPr>
              <w:pStyle w:val="111"/>
              <w:spacing w:line="300" w:lineRule="exact"/>
              <w:ind w:firstLine="420"/>
              <w:rPr>
                <w:rFonts w:hint="eastAsia" w:cs="宋体"/>
                <w:sz w:val="21"/>
                <w:szCs w:val="21"/>
              </w:rPr>
            </w:pPr>
            <w:r>
              <w:rPr>
                <w:rFonts w:hint="eastAsia" w:cs="宋体"/>
                <w:sz w:val="21"/>
                <w:szCs w:val="21"/>
              </w:rPr>
              <w:t>考核总分为100分，采取得分制，最终累计得分为总分。</w:t>
            </w:r>
          </w:p>
          <w:p>
            <w:pPr>
              <w:pStyle w:val="111"/>
              <w:spacing w:line="300" w:lineRule="exact"/>
              <w:ind w:firstLine="420"/>
              <w:rPr>
                <w:rFonts w:hint="eastAsia" w:cs="宋体"/>
                <w:sz w:val="21"/>
                <w:szCs w:val="21"/>
              </w:rPr>
            </w:pPr>
            <w:r>
              <w:rPr>
                <w:rFonts w:hint="eastAsia" w:cs="宋体"/>
                <w:sz w:val="21"/>
                <w:szCs w:val="21"/>
              </w:rPr>
              <w:t>（1）考核分数≥80分，通过当期考核，不扣除履约保证金；</w:t>
            </w:r>
          </w:p>
          <w:p>
            <w:pPr>
              <w:pStyle w:val="111"/>
              <w:spacing w:line="300" w:lineRule="exact"/>
              <w:ind w:firstLine="420"/>
              <w:rPr>
                <w:rFonts w:hint="eastAsia" w:cs="宋体"/>
                <w:sz w:val="21"/>
                <w:szCs w:val="21"/>
              </w:rPr>
            </w:pPr>
            <w:r>
              <w:rPr>
                <w:rFonts w:hint="eastAsia" w:cs="宋体"/>
                <w:sz w:val="21"/>
                <w:szCs w:val="21"/>
              </w:rPr>
              <w:t>（2）考核分数&lt;80分，且≥60分，未通过当期考核，以80分为基准线每少1分扣除履约保证金2%；</w:t>
            </w:r>
          </w:p>
          <w:p>
            <w:pPr>
              <w:pStyle w:val="111"/>
              <w:spacing w:line="300" w:lineRule="exact"/>
              <w:ind w:firstLine="420"/>
              <w:rPr>
                <w:rFonts w:hint="eastAsia" w:cs="宋体"/>
                <w:sz w:val="21"/>
                <w:szCs w:val="21"/>
              </w:rPr>
            </w:pPr>
            <w:r>
              <w:rPr>
                <w:rFonts w:hint="eastAsia" w:cs="宋体"/>
                <w:sz w:val="21"/>
                <w:szCs w:val="21"/>
              </w:rPr>
              <w:t>（3）考核分数&lt;60分的，未通过当期考核，直接扣除履约保证金的50%；</w:t>
            </w:r>
          </w:p>
          <w:p>
            <w:pPr>
              <w:pStyle w:val="111"/>
              <w:spacing w:line="300" w:lineRule="exact"/>
              <w:ind w:firstLine="420"/>
              <w:rPr>
                <w:rFonts w:hint="eastAsia" w:cs="宋体"/>
                <w:sz w:val="21"/>
                <w:szCs w:val="21"/>
              </w:rPr>
            </w:pPr>
            <w:r>
              <w:rPr>
                <w:rFonts w:hint="eastAsia" w:cs="宋体"/>
                <w:sz w:val="21"/>
                <w:szCs w:val="21"/>
              </w:rPr>
              <w:t>（4）服务期内累计两次考核分数&lt;60分的，执法局可终止合同，供应商应承担相应违约责任。</w:t>
            </w:r>
          </w:p>
          <w:p>
            <w:pPr>
              <w:pStyle w:val="111"/>
              <w:spacing w:line="300" w:lineRule="exact"/>
              <w:ind w:firstLine="420"/>
              <w:rPr>
                <w:rFonts w:hint="eastAsia" w:cs="宋体"/>
                <w:sz w:val="21"/>
                <w:szCs w:val="21"/>
              </w:rPr>
            </w:pPr>
            <w:bookmarkStart w:id="116" w:name="_Toc1106398238_WPSOffice_Level1"/>
            <w:bookmarkStart w:id="117" w:name="_Toc1238507615"/>
            <w:r>
              <w:rPr>
                <w:rFonts w:hint="eastAsia" w:cs="宋体"/>
                <w:sz w:val="21"/>
                <w:szCs w:val="21"/>
              </w:rPr>
              <w:t>五、事故定级说明</w:t>
            </w:r>
            <w:bookmarkEnd w:id="116"/>
            <w:bookmarkEnd w:id="117"/>
          </w:p>
          <w:p>
            <w:pPr>
              <w:pStyle w:val="111"/>
              <w:spacing w:line="300" w:lineRule="exact"/>
              <w:ind w:firstLine="420"/>
              <w:rPr>
                <w:rFonts w:hint="eastAsia" w:cs="宋体"/>
                <w:sz w:val="21"/>
                <w:szCs w:val="21"/>
              </w:rPr>
            </w:pPr>
            <w:r>
              <w:rPr>
                <w:rFonts w:hint="eastAsia" w:cs="宋体"/>
                <w:sz w:val="21"/>
                <w:szCs w:val="21"/>
              </w:rPr>
              <w:t xml:space="preserve">由于供应商未认真履行合同内容而造成事故的，将根据事故等级采取相应扣分措施。事故定级和解释如下： </w:t>
            </w:r>
          </w:p>
          <w:p>
            <w:pPr>
              <w:pStyle w:val="111"/>
              <w:spacing w:line="300" w:lineRule="exact"/>
              <w:ind w:firstLine="420"/>
              <w:rPr>
                <w:rFonts w:hint="eastAsia" w:cs="宋体"/>
                <w:sz w:val="21"/>
                <w:szCs w:val="21"/>
              </w:rPr>
            </w:pPr>
            <w:r>
              <w:rPr>
                <w:rFonts w:hint="eastAsia" w:cs="宋体"/>
                <w:sz w:val="21"/>
                <w:szCs w:val="21"/>
              </w:rPr>
              <w:t>（一）特别重大事故。是指使执法局业务信息系统遭受特别重大的损失，影响涉及全厅用户或绝大部分市县生态环境部门，恢复正常运行和消除事故负面影响所需付出代价巨大。具体有：</w:t>
            </w:r>
          </w:p>
          <w:p>
            <w:pPr>
              <w:pStyle w:val="111"/>
              <w:spacing w:line="300" w:lineRule="exact"/>
              <w:ind w:firstLine="420"/>
              <w:rPr>
                <w:rFonts w:hint="eastAsia" w:cs="宋体"/>
                <w:sz w:val="21"/>
                <w:szCs w:val="21"/>
              </w:rPr>
            </w:pPr>
            <w:r>
              <w:rPr>
                <w:rFonts w:hint="eastAsia" w:cs="宋体"/>
                <w:sz w:val="21"/>
                <w:szCs w:val="21"/>
              </w:rPr>
              <w:t>1．信息系统无法对外服务超过48小时；</w:t>
            </w:r>
          </w:p>
          <w:p>
            <w:pPr>
              <w:pStyle w:val="111"/>
              <w:spacing w:line="300" w:lineRule="exact"/>
              <w:ind w:firstLine="420"/>
              <w:rPr>
                <w:rFonts w:hint="eastAsia" w:cs="宋体"/>
                <w:sz w:val="21"/>
                <w:szCs w:val="21"/>
              </w:rPr>
            </w:pPr>
            <w:r>
              <w:rPr>
                <w:rFonts w:hint="eastAsia" w:cs="宋体"/>
                <w:sz w:val="21"/>
                <w:szCs w:val="21"/>
              </w:rPr>
              <w:t>2．供应商对信息系统的故障处理结果不能满足执法局要求，导致系统后续无法正常使用。</w:t>
            </w:r>
          </w:p>
          <w:p>
            <w:pPr>
              <w:pStyle w:val="111"/>
              <w:spacing w:line="300" w:lineRule="exact"/>
              <w:ind w:firstLine="420"/>
              <w:rPr>
                <w:rFonts w:hint="eastAsia" w:cs="宋体"/>
                <w:sz w:val="21"/>
                <w:szCs w:val="21"/>
              </w:rPr>
            </w:pPr>
            <w:r>
              <w:rPr>
                <w:rFonts w:hint="eastAsia" w:cs="宋体"/>
                <w:sz w:val="21"/>
                <w:szCs w:val="21"/>
              </w:rPr>
              <w:t>3．因供应商操作不当，发生核心业务数据丢失、被破坏不可用、无法恢复等事故；</w:t>
            </w:r>
          </w:p>
          <w:p>
            <w:pPr>
              <w:pStyle w:val="111"/>
              <w:spacing w:line="300" w:lineRule="exact"/>
              <w:ind w:firstLine="420"/>
              <w:rPr>
                <w:rFonts w:hint="eastAsia" w:cs="宋体"/>
                <w:sz w:val="21"/>
                <w:szCs w:val="21"/>
              </w:rPr>
            </w:pPr>
            <w:r>
              <w:rPr>
                <w:rFonts w:hint="eastAsia" w:cs="宋体"/>
                <w:sz w:val="21"/>
                <w:szCs w:val="21"/>
              </w:rPr>
              <w:t>4．因供应商工作失误，发生信息系统被黑客入侵、篡改、数据窃取、发布非法信息等事件，导致危及国家安全、社会秩序、经济建设和公众利益；或损害生态环境厅声誉，严重影响生态环境厅正常工作秩序；</w:t>
            </w:r>
          </w:p>
          <w:p>
            <w:pPr>
              <w:pStyle w:val="111"/>
              <w:spacing w:line="300" w:lineRule="exact"/>
              <w:ind w:firstLine="420"/>
              <w:rPr>
                <w:rFonts w:hint="eastAsia" w:cs="宋体"/>
                <w:sz w:val="21"/>
                <w:szCs w:val="21"/>
              </w:rPr>
            </w:pPr>
            <w:r>
              <w:rPr>
                <w:rFonts w:hint="eastAsia" w:cs="宋体"/>
                <w:sz w:val="21"/>
                <w:szCs w:val="21"/>
              </w:rPr>
              <w:t>5．因供应商工作能力不足发生事故，导致执法局需要另行找人负责处理。</w:t>
            </w:r>
          </w:p>
          <w:p>
            <w:pPr>
              <w:pStyle w:val="111"/>
              <w:spacing w:line="300" w:lineRule="exact"/>
              <w:ind w:firstLine="420"/>
              <w:rPr>
                <w:rFonts w:hint="eastAsia" w:cs="宋体"/>
                <w:sz w:val="21"/>
                <w:szCs w:val="21"/>
              </w:rPr>
            </w:pPr>
            <w:r>
              <w:rPr>
                <w:rFonts w:hint="eastAsia" w:cs="宋体"/>
                <w:sz w:val="21"/>
                <w:szCs w:val="21"/>
              </w:rPr>
              <w:t>6．其他后果严重的特别重大事故。</w:t>
            </w:r>
          </w:p>
          <w:p>
            <w:pPr>
              <w:pStyle w:val="111"/>
              <w:spacing w:line="300" w:lineRule="exact"/>
              <w:ind w:firstLine="420"/>
              <w:rPr>
                <w:rFonts w:hint="eastAsia" w:cs="宋体"/>
                <w:sz w:val="21"/>
                <w:szCs w:val="21"/>
              </w:rPr>
            </w:pPr>
            <w:r>
              <w:rPr>
                <w:rFonts w:hint="eastAsia" w:cs="宋体"/>
                <w:sz w:val="21"/>
                <w:szCs w:val="21"/>
              </w:rPr>
              <w:t>本期内发生一次特别重大事故的，视为当期服务不合格，本期考核为零分。</w:t>
            </w:r>
          </w:p>
          <w:p>
            <w:pPr>
              <w:pStyle w:val="111"/>
              <w:spacing w:line="300" w:lineRule="exact"/>
              <w:ind w:firstLine="420"/>
              <w:rPr>
                <w:rFonts w:hint="eastAsia" w:cs="宋体"/>
                <w:sz w:val="21"/>
                <w:szCs w:val="21"/>
              </w:rPr>
            </w:pPr>
            <w:r>
              <w:rPr>
                <w:rFonts w:hint="eastAsia" w:cs="宋体"/>
                <w:sz w:val="21"/>
                <w:szCs w:val="21"/>
              </w:rPr>
              <w:t>（二）重大事故。是指使执法局业务信息系统遭受重大的损失，影响涉及大部分厅内用户或市县生态环境部门，恢复正常运行和消除事故负面影响所需付出代价很大。具体有：</w:t>
            </w:r>
          </w:p>
          <w:p>
            <w:pPr>
              <w:pStyle w:val="111"/>
              <w:spacing w:line="300" w:lineRule="exact"/>
              <w:ind w:firstLine="420"/>
              <w:rPr>
                <w:rFonts w:hint="eastAsia" w:cs="宋体"/>
                <w:sz w:val="21"/>
                <w:szCs w:val="21"/>
              </w:rPr>
            </w:pPr>
            <w:r>
              <w:rPr>
                <w:rFonts w:hint="eastAsia" w:cs="宋体"/>
                <w:sz w:val="21"/>
                <w:szCs w:val="21"/>
              </w:rPr>
              <w:t>1．信息系统无法对外服务超过24小时；</w:t>
            </w:r>
          </w:p>
          <w:p>
            <w:pPr>
              <w:pStyle w:val="111"/>
              <w:spacing w:line="300" w:lineRule="exact"/>
              <w:ind w:firstLine="420"/>
              <w:rPr>
                <w:rFonts w:hint="eastAsia" w:cs="宋体"/>
                <w:sz w:val="21"/>
                <w:szCs w:val="21"/>
              </w:rPr>
            </w:pPr>
            <w:r>
              <w:rPr>
                <w:rFonts w:hint="eastAsia" w:cs="宋体"/>
                <w:sz w:val="21"/>
                <w:szCs w:val="21"/>
              </w:rPr>
              <w:t>2．因供应商操作不当，造成重要业务数据丢失或被破坏但可恢复，恢复时间超过16小时；</w:t>
            </w:r>
          </w:p>
          <w:p>
            <w:pPr>
              <w:pStyle w:val="111"/>
              <w:spacing w:line="300" w:lineRule="exact"/>
              <w:ind w:firstLine="420"/>
              <w:rPr>
                <w:rFonts w:hint="eastAsia" w:cs="宋体"/>
                <w:sz w:val="21"/>
                <w:szCs w:val="21"/>
              </w:rPr>
            </w:pPr>
            <w:r>
              <w:rPr>
                <w:rFonts w:hint="eastAsia" w:cs="宋体"/>
                <w:sz w:val="21"/>
                <w:szCs w:val="21"/>
              </w:rPr>
              <w:t>3．因供应商工作不到位，发生信息系统被黑客入侵，导致业务一般数据、文件被窃取或篡改，但未出现非法言论等有害信息、未篡改重要公告、通知等信息；未影响自治区生态环境厅正常工作秩序；</w:t>
            </w:r>
          </w:p>
          <w:p>
            <w:pPr>
              <w:pStyle w:val="111"/>
              <w:spacing w:line="300" w:lineRule="exact"/>
              <w:ind w:firstLine="420"/>
              <w:rPr>
                <w:rFonts w:hint="eastAsia" w:cs="宋体"/>
                <w:sz w:val="21"/>
                <w:szCs w:val="21"/>
              </w:rPr>
            </w:pPr>
            <w:r>
              <w:rPr>
                <w:rFonts w:hint="eastAsia" w:cs="宋体"/>
                <w:sz w:val="21"/>
                <w:szCs w:val="21"/>
              </w:rPr>
              <w:t>4．其他后果严重的事故。</w:t>
            </w:r>
          </w:p>
          <w:p>
            <w:pPr>
              <w:pStyle w:val="111"/>
              <w:spacing w:line="300" w:lineRule="exact"/>
              <w:ind w:firstLine="420"/>
              <w:rPr>
                <w:rFonts w:hint="eastAsia" w:cs="宋体"/>
                <w:sz w:val="21"/>
                <w:szCs w:val="21"/>
              </w:rPr>
            </w:pPr>
            <w:r>
              <w:rPr>
                <w:rFonts w:hint="eastAsia" w:cs="宋体"/>
                <w:sz w:val="21"/>
                <w:szCs w:val="21"/>
              </w:rPr>
              <w:t>本期内发生一次重大事故的，本期考核减30分。</w:t>
            </w:r>
          </w:p>
          <w:p>
            <w:pPr>
              <w:pStyle w:val="111"/>
              <w:spacing w:line="300" w:lineRule="exact"/>
              <w:ind w:firstLine="420"/>
              <w:rPr>
                <w:rFonts w:hint="eastAsia" w:cs="宋体"/>
                <w:sz w:val="21"/>
                <w:szCs w:val="21"/>
              </w:rPr>
            </w:pPr>
            <w:r>
              <w:rPr>
                <w:rFonts w:hint="eastAsia" w:cs="宋体"/>
                <w:sz w:val="21"/>
                <w:szCs w:val="21"/>
              </w:rPr>
              <w:t>（三）较大事故。是指使执法局业务信息系统遭受较大的损失，影响涉及部分厅内用户或市县生态环境部门，恢复正常运行和消除事故负面影响所需付出代价较大。具体有：</w:t>
            </w:r>
          </w:p>
          <w:p>
            <w:pPr>
              <w:pStyle w:val="111"/>
              <w:spacing w:line="300" w:lineRule="exact"/>
              <w:ind w:firstLine="420"/>
              <w:rPr>
                <w:rFonts w:hint="eastAsia" w:cs="宋体"/>
                <w:sz w:val="21"/>
                <w:szCs w:val="21"/>
              </w:rPr>
            </w:pPr>
            <w:bookmarkStart w:id="118" w:name="_Toc1920902084_WPSOffice_Level2"/>
            <w:r>
              <w:rPr>
                <w:rFonts w:hint="eastAsia" w:cs="宋体"/>
                <w:sz w:val="21"/>
                <w:szCs w:val="21"/>
              </w:rPr>
              <w:t>1．信息系统无法对外服务超过12小时；</w:t>
            </w:r>
            <w:bookmarkEnd w:id="118"/>
          </w:p>
          <w:p>
            <w:pPr>
              <w:pStyle w:val="111"/>
              <w:spacing w:line="300" w:lineRule="exact"/>
              <w:ind w:firstLine="420"/>
              <w:rPr>
                <w:rFonts w:hint="eastAsia" w:cs="宋体"/>
                <w:sz w:val="21"/>
                <w:szCs w:val="21"/>
              </w:rPr>
            </w:pPr>
            <w:bookmarkStart w:id="119" w:name="_Toc1564966232_WPSOffice_Level2"/>
            <w:r>
              <w:rPr>
                <w:rFonts w:hint="eastAsia" w:cs="宋体"/>
                <w:sz w:val="21"/>
                <w:szCs w:val="21"/>
              </w:rPr>
              <w:t>2．因供应商操作不当，造成业务数据丢失或被破坏但可恢复，恢复时间超过8小时；</w:t>
            </w:r>
            <w:bookmarkEnd w:id="119"/>
          </w:p>
          <w:p>
            <w:pPr>
              <w:pStyle w:val="111"/>
              <w:spacing w:line="300" w:lineRule="exact"/>
              <w:ind w:firstLine="420"/>
              <w:rPr>
                <w:rFonts w:hint="eastAsia" w:cs="宋体"/>
                <w:sz w:val="21"/>
                <w:szCs w:val="21"/>
              </w:rPr>
            </w:pPr>
            <w:bookmarkStart w:id="120" w:name="_Toc1106398238_WPSOffice_Level2"/>
            <w:r>
              <w:rPr>
                <w:rFonts w:hint="eastAsia" w:cs="宋体"/>
                <w:sz w:val="21"/>
                <w:szCs w:val="21"/>
              </w:rPr>
              <w:t>3．因供应商工作不到位，发生信息系统等被黑客入侵，但未发生实际损失；</w:t>
            </w:r>
            <w:bookmarkEnd w:id="120"/>
          </w:p>
          <w:p>
            <w:pPr>
              <w:pStyle w:val="111"/>
              <w:spacing w:line="300" w:lineRule="exact"/>
              <w:ind w:firstLine="420"/>
              <w:rPr>
                <w:rFonts w:hint="eastAsia" w:cs="宋体"/>
                <w:sz w:val="21"/>
                <w:szCs w:val="21"/>
              </w:rPr>
            </w:pPr>
            <w:bookmarkStart w:id="121" w:name="_Toc77177512_WPSOffice_Level2"/>
            <w:r>
              <w:rPr>
                <w:rFonts w:hint="eastAsia" w:cs="宋体"/>
                <w:sz w:val="21"/>
                <w:szCs w:val="21"/>
              </w:rPr>
              <w:t>4．其他产生不利后果的事故。</w:t>
            </w:r>
            <w:bookmarkEnd w:id="121"/>
          </w:p>
          <w:p>
            <w:pPr>
              <w:pStyle w:val="111"/>
              <w:spacing w:line="300" w:lineRule="exact"/>
              <w:ind w:firstLine="420"/>
              <w:rPr>
                <w:rFonts w:hint="eastAsia" w:cs="宋体"/>
                <w:sz w:val="21"/>
                <w:szCs w:val="21"/>
              </w:rPr>
            </w:pPr>
            <w:r>
              <w:rPr>
                <w:rFonts w:hint="eastAsia" w:cs="宋体"/>
                <w:sz w:val="21"/>
                <w:szCs w:val="21"/>
              </w:rPr>
              <w:t>本期内发生一次较大事故的，本期考核减15分。</w:t>
            </w:r>
          </w:p>
          <w:p>
            <w:pPr>
              <w:pStyle w:val="111"/>
              <w:spacing w:line="300" w:lineRule="exact"/>
              <w:ind w:firstLine="420"/>
              <w:rPr>
                <w:rFonts w:hint="eastAsia" w:cs="宋体"/>
                <w:sz w:val="21"/>
                <w:szCs w:val="21"/>
              </w:rPr>
            </w:pPr>
          </w:p>
          <w:p>
            <w:pPr>
              <w:pStyle w:val="111"/>
              <w:spacing w:line="300" w:lineRule="exact"/>
              <w:ind w:firstLine="420"/>
              <w:rPr>
                <w:rFonts w:hint="eastAsia" w:cs="宋体"/>
                <w:sz w:val="21"/>
                <w:szCs w:val="21"/>
              </w:rPr>
            </w:pPr>
            <w:r>
              <w:rPr>
                <w:rFonts w:hint="eastAsia" w:cs="宋体"/>
                <w:sz w:val="21"/>
                <w:szCs w:val="21"/>
              </w:rPr>
              <w:br w:type="page"/>
            </w:r>
            <w:bookmarkStart w:id="122" w:name="_Toc77177512_WPSOffice_Level1"/>
            <w:r>
              <w:rPr>
                <w:rFonts w:hint="eastAsia" w:cs="宋体"/>
                <w:sz w:val="21"/>
                <w:szCs w:val="21"/>
              </w:rPr>
              <w:t>附表</w:t>
            </w:r>
            <w:bookmarkEnd w:id="122"/>
            <w:r>
              <w:rPr>
                <w:rFonts w:hint="eastAsia" w:cs="宋体"/>
                <w:sz w:val="21"/>
                <w:szCs w:val="21"/>
              </w:rPr>
              <w:t>：</w:t>
            </w:r>
            <w:bookmarkStart w:id="123" w:name="_Toc1509758387"/>
            <w:bookmarkStart w:id="124" w:name="_Toc1933353223_WPSOffice_Level1"/>
            <w:r>
              <w:rPr>
                <w:rFonts w:hint="eastAsia" w:cs="宋体"/>
                <w:sz w:val="21"/>
                <w:szCs w:val="21"/>
              </w:rPr>
              <w:t>2023年执法局业务信息系统运维服务考核表</w:t>
            </w:r>
            <w:bookmarkEnd w:id="123"/>
            <w:bookmarkEnd w:id="124"/>
          </w:p>
          <w:tbl>
            <w:tblPr>
              <w:tblStyle w:val="3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7"/>
              <w:gridCol w:w="923"/>
              <w:gridCol w:w="997"/>
              <w:gridCol w:w="1983"/>
              <w:gridCol w:w="4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000" w:type="pct"/>
                  <w:gridSpan w:val="5"/>
                  <w:noWrap w:val="0"/>
                  <w:vAlign w:val="center"/>
                </w:tcPr>
                <w:p>
                  <w:pPr>
                    <w:pStyle w:val="111"/>
                    <w:spacing w:line="300" w:lineRule="exact"/>
                    <w:ind w:firstLine="0" w:firstLineChars="0"/>
                    <w:jc w:val="center"/>
                    <w:rPr>
                      <w:rFonts w:hint="eastAsia" w:cs="宋体"/>
                      <w:sz w:val="21"/>
                      <w:szCs w:val="21"/>
                    </w:rPr>
                  </w:pPr>
                  <w:r>
                    <w:rPr>
                      <w:rFonts w:hint="eastAsia" w:cs="宋体"/>
                      <w:sz w:val="21"/>
                      <w:szCs w:val="21"/>
                    </w:rPr>
                    <w:t>2023年执法局业务信息系统运维服务考核表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2563" w:type="pct"/>
                  <w:gridSpan w:val="3"/>
                  <w:noWrap w:val="0"/>
                  <w:vAlign w:val="center"/>
                </w:tcPr>
                <w:p>
                  <w:pPr>
                    <w:jc w:val="center"/>
                    <w:rPr>
                      <w:rFonts w:hint="eastAsia" w:cs="宋体"/>
                      <w:szCs w:val="21"/>
                    </w:rPr>
                  </w:pPr>
                  <w:r>
                    <w:rPr>
                      <w:rFonts w:hint="eastAsia" w:cs="宋体"/>
                      <w:szCs w:val="21"/>
                    </w:rPr>
                    <w:t>信息系统名称：</w:t>
                  </w:r>
                </w:p>
              </w:tc>
              <w:tc>
                <w:tcPr>
                  <w:tcW w:w="2436" w:type="pct"/>
                  <w:gridSpan w:val="2"/>
                  <w:noWrap w:val="0"/>
                  <w:vAlign w:val="center"/>
                </w:tcPr>
                <w:p>
                  <w:pPr>
                    <w:jc w:val="center"/>
                    <w:rPr>
                      <w:rFonts w:hint="eastAsia" w:cs="宋体"/>
                      <w:szCs w:val="21"/>
                    </w:rPr>
                  </w:pPr>
                  <w:r>
                    <w:rPr>
                      <w:rFonts w:hint="eastAsia" w:cs="宋体"/>
                      <w:szCs w:val="21"/>
                    </w:rPr>
                    <w:t>运维单位：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600" w:type="pct"/>
                  <w:noWrap w:val="0"/>
                  <w:vAlign w:val="center"/>
                </w:tcPr>
                <w:p>
                  <w:pPr>
                    <w:jc w:val="center"/>
                    <w:rPr>
                      <w:rFonts w:hint="eastAsia" w:cs="宋体"/>
                      <w:szCs w:val="21"/>
                    </w:rPr>
                  </w:pPr>
                  <w:r>
                    <w:rPr>
                      <w:rFonts w:hint="eastAsia" w:cs="宋体"/>
                      <w:szCs w:val="21"/>
                    </w:rPr>
                    <w:t>项目</w:t>
                  </w:r>
                </w:p>
              </w:tc>
              <w:tc>
                <w:tcPr>
                  <w:tcW w:w="944" w:type="pct"/>
                  <w:noWrap w:val="0"/>
                  <w:vAlign w:val="center"/>
                </w:tcPr>
                <w:p>
                  <w:pPr>
                    <w:jc w:val="center"/>
                    <w:rPr>
                      <w:rFonts w:hint="eastAsia" w:cs="宋体"/>
                      <w:szCs w:val="21"/>
                    </w:rPr>
                  </w:pPr>
                  <w:r>
                    <w:rPr>
                      <w:rFonts w:hint="eastAsia" w:cs="宋体"/>
                      <w:szCs w:val="21"/>
                    </w:rPr>
                    <w:t>项目分类</w:t>
                  </w:r>
                </w:p>
              </w:tc>
              <w:tc>
                <w:tcPr>
                  <w:tcW w:w="3045" w:type="pct"/>
                  <w:gridSpan w:val="2"/>
                  <w:noWrap w:val="0"/>
                  <w:vAlign w:val="center"/>
                </w:tcPr>
                <w:p>
                  <w:pPr>
                    <w:jc w:val="center"/>
                    <w:rPr>
                      <w:rFonts w:hint="eastAsia" w:cs="宋体"/>
                      <w:szCs w:val="21"/>
                    </w:rPr>
                  </w:pPr>
                  <w:r>
                    <w:rPr>
                      <w:rFonts w:hint="eastAsia" w:cs="宋体"/>
                      <w:szCs w:val="21"/>
                    </w:rPr>
                    <w:t>评分细则</w:t>
                  </w:r>
                </w:p>
              </w:tc>
              <w:tc>
                <w:tcPr>
                  <w:tcW w:w="409" w:type="pct"/>
                  <w:noWrap w:val="0"/>
                  <w:vAlign w:val="center"/>
                </w:tcPr>
                <w:p>
                  <w:pPr>
                    <w:jc w:val="center"/>
                    <w:rPr>
                      <w:rFonts w:hint="eastAsia" w:cs="宋体"/>
                      <w:szCs w:val="21"/>
                    </w:rPr>
                  </w:pPr>
                  <w:r>
                    <w:rPr>
                      <w:rFonts w:hint="eastAsia" w:cs="宋体"/>
                      <w:szCs w:val="21"/>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0" w:hRule="atLeast"/>
                <w:jc w:val="center"/>
              </w:trPr>
              <w:tc>
                <w:tcPr>
                  <w:tcW w:w="600" w:type="pct"/>
                  <w:vMerge w:val="restart"/>
                  <w:noWrap w:val="0"/>
                  <w:vAlign w:val="center"/>
                </w:tcPr>
                <w:p>
                  <w:pPr>
                    <w:jc w:val="center"/>
                    <w:rPr>
                      <w:rFonts w:hint="eastAsia" w:cs="宋体"/>
                      <w:szCs w:val="21"/>
                    </w:rPr>
                  </w:pPr>
                  <w:r>
                    <w:rPr>
                      <w:rFonts w:hint="eastAsia" w:cs="宋体"/>
                      <w:szCs w:val="21"/>
                    </w:rPr>
                    <w:t>一、</w:t>
                  </w:r>
                </w:p>
                <w:p>
                  <w:pPr>
                    <w:jc w:val="center"/>
                    <w:rPr>
                      <w:rFonts w:hint="eastAsia" w:cs="宋体"/>
                      <w:szCs w:val="21"/>
                    </w:rPr>
                  </w:pPr>
                  <w:r>
                    <w:rPr>
                      <w:rFonts w:hint="eastAsia" w:cs="宋体"/>
                      <w:szCs w:val="21"/>
                    </w:rPr>
                    <w:t>服务项目（80分）</w:t>
                  </w:r>
                </w:p>
              </w:tc>
              <w:tc>
                <w:tcPr>
                  <w:tcW w:w="944" w:type="pct"/>
                  <w:noWrap w:val="0"/>
                  <w:vAlign w:val="center"/>
                </w:tcPr>
                <w:p>
                  <w:pPr>
                    <w:jc w:val="center"/>
                    <w:rPr>
                      <w:rFonts w:hint="eastAsia" w:cs="宋体"/>
                      <w:szCs w:val="21"/>
                    </w:rPr>
                  </w:pPr>
                  <w:r>
                    <w:rPr>
                      <w:rFonts w:hint="eastAsia" w:cs="宋体"/>
                      <w:szCs w:val="21"/>
                    </w:rPr>
                    <w:t>1</w:t>
                  </w:r>
                  <w:r>
                    <w:rPr>
                      <w:rFonts w:hint="eastAsia" w:cs="宋体"/>
                      <w:szCs w:val="21"/>
                      <w:lang w:val="en"/>
                    </w:rPr>
                    <w:t>．</w:t>
                  </w:r>
                  <w:r>
                    <w:rPr>
                      <w:rFonts w:hint="eastAsia" w:cs="宋体"/>
                      <w:szCs w:val="21"/>
                    </w:rPr>
                    <w:t>系统日常巡检</w:t>
                  </w:r>
                </w:p>
                <w:p>
                  <w:pPr>
                    <w:jc w:val="center"/>
                    <w:rPr>
                      <w:rFonts w:hint="eastAsia" w:cs="宋体"/>
                      <w:szCs w:val="21"/>
                    </w:rPr>
                  </w:pPr>
                  <w:r>
                    <w:rPr>
                      <w:rFonts w:hint="eastAsia" w:cs="宋体"/>
                      <w:szCs w:val="21"/>
                    </w:rPr>
                    <w:t>（20分）</w:t>
                  </w:r>
                </w:p>
              </w:tc>
              <w:tc>
                <w:tcPr>
                  <w:tcW w:w="3045" w:type="pct"/>
                  <w:gridSpan w:val="2"/>
                  <w:noWrap w:val="0"/>
                  <w:vAlign w:val="center"/>
                </w:tcPr>
                <w:p>
                  <w:pPr>
                    <w:rPr>
                      <w:rFonts w:hint="eastAsia" w:cs="宋体"/>
                      <w:szCs w:val="21"/>
                    </w:rPr>
                  </w:pPr>
                  <w:r>
                    <w:rPr>
                      <w:rFonts w:hint="eastAsia" w:cs="宋体"/>
                      <w:szCs w:val="21"/>
                    </w:rPr>
                    <w:t>（1）15～20分。合同要求执行良好，服务到位，运维信息记录详实，能及时发现隐患并报告执法局，系统运行正常。</w:t>
                  </w:r>
                </w:p>
                <w:p>
                  <w:pPr>
                    <w:rPr>
                      <w:rFonts w:hint="eastAsia" w:cs="宋体"/>
                      <w:szCs w:val="21"/>
                    </w:rPr>
                  </w:pPr>
                  <w:r>
                    <w:rPr>
                      <w:rFonts w:hint="eastAsia" w:cs="宋体"/>
                      <w:szCs w:val="21"/>
                    </w:rPr>
                    <w:t>（2）8～14分。合同要求执行一般，服务基本到位，运维信息记录较认真，能发现隐患并报告，系统正常运行。</w:t>
                  </w:r>
                </w:p>
                <w:p>
                  <w:pPr>
                    <w:rPr>
                      <w:rFonts w:hint="eastAsia" w:cs="宋体"/>
                      <w:szCs w:val="21"/>
                    </w:rPr>
                  </w:pPr>
                  <w:r>
                    <w:rPr>
                      <w:rFonts w:hint="eastAsia" w:cs="宋体"/>
                      <w:szCs w:val="21"/>
                    </w:rPr>
                    <w:t>（3）0～7分。合同要求执行马虎，服务一般，运维信息记录马虎，隐患排查不力，未及时发现和解决问题而导致系统无法正常运行。</w:t>
                  </w:r>
                </w:p>
              </w:tc>
              <w:tc>
                <w:tcPr>
                  <w:tcW w:w="409" w:type="pct"/>
                  <w:noWrap w:val="0"/>
                  <w:vAlign w:val="center"/>
                </w:tcPr>
                <w:p>
                  <w:pPr>
                    <w:pStyle w:val="111"/>
                    <w:spacing w:line="300" w:lineRule="exact"/>
                    <w:ind w:firstLine="420"/>
                    <w:rPr>
                      <w:rFonts w:hint="eastAsia"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5" w:hRule="atLeast"/>
                <w:jc w:val="center"/>
              </w:trPr>
              <w:tc>
                <w:tcPr>
                  <w:tcW w:w="600" w:type="pct"/>
                  <w:vMerge w:val="continue"/>
                  <w:noWrap w:val="0"/>
                  <w:vAlign w:val="center"/>
                </w:tcPr>
                <w:p>
                  <w:pPr>
                    <w:jc w:val="center"/>
                    <w:rPr>
                      <w:rFonts w:hint="eastAsia" w:cs="宋体"/>
                      <w:szCs w:val="21"/>
                    </w:rPr>
                  </w:pPr>
                </w:p>
              </w:tc>
              <w:tc>
                <w:tcPr>
                  <w:tcW w:w="944" w:type="pct"/>
                  <w:noWrap w:val="0"/>
                  <w:vAlign w:val="center"/>
                </w:tcPr>
                <w:p>
                  <w:pPr>
                    <w:jc w:val="center"/>
                    <w:rPr>
                      <w:rFonts w:hint="eastAsia" w:cs="宋体"/>
                      <w:szCs w:val="21"/>
                    </w:rPr>
                  </w:pPr>
                  <w:r>
                    <w:rPr>
                      <w:rFonts w:hint="eastAsia" w:cs="宋体"/>
                      <w:szCs w:val="21"/>
                    </w:rPr>
                    <w:t>2</w:t>
                  </w:r>
                  <w:r>
                    <w:rPr>
                      <w:rFonts w:hint="eastAsia" w:cs="宋体"/>
                      <w:szCs w:val="21"/>
                      <w:lang w:val="en"/>
                    </w:rPr>
                    <w:t>．</w:t>
                  </w:r>
                  <w:r>
                    <w:rPr>
                      <w:rFonts w:hint="eastAsia" w:cs="宋体"/>
                      <w:szCs w:val="21"/>
                    </w:rPr>
                    <w:t>应用系统运维</w:t>
                  </w:r>
                </w:p>
                <w:p>
                  <w:pPr>
                    <w:jc w:val="center"/>
                    <w:rPr>
                      <w:rFonts w:hint="eastAsia" w:cs="宋体"/>
                      <w:szCs w:val="21"/>
                    </w:rPr>
                  </w:pPr>
                  <w:r>
                    <w:rPr>
                      <w:rFonts w:hint="eastAsia" w:cs="宋体"/>
                      <w:szCs w:val="21"/>
                    </w:rPr>
                    <w:t>（20分）</w:t>
                  </w:r>
                </w:p>
              </w:tc>
              <w:tc>
                <w:tcPr>
                  <w:tcW w:w="3045" w:type="pct"/>
                  <w:gridSpan w:val="2"/>
                  <w:noWrap w:val="0"/>
                  <w:vAlign w:val="center"/>
                </w:tcPr>
                <w:p>
                  <w:pPr>
                    <w:rPr>
                      <w:rFonts w:hint="eastAsia" w:cs="宋体"/>
                      <w:szCs w:val="21"/>
                    </w:rPr>
                  </w:pPr>
                  <w:r>
                    <w:rPr>
                      <w:rFonts w:hint="eastAsia" w:cs="宋体"/>
                      <w:szCs w:val="21"/>
                    </w:rPr>
                    <w:t>（1）15～20分。合同要求执行优良，工作配合到位，运维信息记录详实，处理问题能力优良，确保整个系统高效、安全、稳定的运行。</w:t>
                  </w:r>
                </w:p>
                <w:p>
                  <w:pPr>
                    <w:rPr>
                      <w:rFonts w:hint="eastAsia" w:cs="宋体"/>
                      <w:szCs w:val="21"/>
                    </w:rPr>
                  </w:pPr>
                  <w:r>
                    <w:rPr>
                      <w:rFonts w:hint="eastAsia" w:cs="宋体"/>
                      <w:szCs w:val="21"/>
                    </w:rPr>
                    <w:t>（2）8～14分。合同要求执行良好，工作配合基本到位，运维信息记录较详实，处理问题能力良好，基本确保整个系统高效、安全、稳定的运行。</w:t>
                  </w:r>
                </w:p>
                <w:p>
                  <w:pPr>
                    <w:rPr>
                      <w:rFonts w:hint="eastAsia" w:cs="宋体"/>
                      <w:szCs w:val="21"/>
                    </w:rPr>
                  </w:pPr>
                  <w:r>
                    <w:rPr>
                      <w:rFonts w:hint="eastAsia" w:cs="宋体"/>
                      <w:szCs w:val="21"/>
                    </w:rPr>
                    <w:t>（3）0～7分。合同要求执行一般，工作配合一般，运维信息记录马虎，处理问题能力一般，难以确保整个系统高效、安全、稳定的运行。</w:t>
                  </w:r>
                </w:p>
              </w:tc>
              <w:tc>
                <w:tcPr>
                  <w:tcW w:w="409" w:type="pct"/>
                  <w:noWrap w:val="0"/>
                  <w:vAlign w:val="center"/>
                </w:tcPr>
                <w:p>
                  <w:pPr>
                    <w:pStyle w:val="111"/>
                    <w:spacing w:line="300" w:lineRule="exact"/>
                    <w:ind w:firstLine="420"/>
                    <w:rPr>
                      <w:rFonts w:hint="eastAsia"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jc w:val="center"/>
              </w:trPr>
              <w:tc>
                <w:tcPr>
                  <w:tcW w:w="600" w:type="pct"/>
                  <w:vMerge w:val="continue"/>
                  <w:noWrap w:val="0"/>
                  <w:vAlign w:val="center"/>
                </w:tcPr>
                <w:p>
                  <w:pPr>
                    <w:jc w:val="center"/>
                    <w:rPr>
                      <w:rFonts w:hint="eastAsia" w:cs="宋体"/>
                      <w:szCs w:val="21"/>
                    </w:rPr>
                  </w:pPr>
                </w:p>
              </w:tc>
              <w:tc>
                <w:tcPr>
                  <w:tcW w:w="944" w:type="pct"/>
                  <w:noWrap w:val="0"/>
                  <w:vAlign w:val="center"/>
                </w:tcPr>
                <w:p>
                  <w:pPr>
                    <w:jc w:val="center"/>
                    <w:rPr>
                      <w:rFonts w:hint="eastAsia" w:cs="宋体"/>
                      <w:szCs w:val="21"/>
                    </w:rPr>
                  </w:pPr>
                  <w:r>
                    <w:rPr>
                      <w:rFonts w:hint="eastAsia" w:cs="宋体"/>
                      <w:szCs w:val="21"/>
                    </w:rPr>
                    <w:t>3</w:t>
                  </w:r>
                  <w:r>
                    <w:rPr>
                      <w:rFonts w:hint="eastAsia" w:cs="宋体"/>
                      <w:szCs w:val="21"/>
                      <w:lang w:val="en"/>
                    </w:rPr>
                    <w:t>．</w:t>
                  </w:r>
                  <w:r>
                    <w:rPr>
                      <w:rFonts w:hint="eastAsia" w:cs="宋体"/>
                      <w:szCs w:val="21"/>
                    </w:rPr>
                    <w:t>数据库运维</w:t>
                  </w:r>
                </w:p>
                <w:p>
                  <w:pPr>
                    <w:jc w:val="center"/>
                    <w:rPr>
                      <w:rFonts w:hint="eastAsia" w:cs="宋体"/>
                      <w:szCs w:val="21"/>
                    </w:rPr>
                  </w:pPr>
                  <w:r>
                    <w:rPr>
                      <w:rFonts w:hint="eastAsia" w:cs="宋体"/>
                      <w:szCs w:val="21"/>
                    </w:rPr>
                    <w:t>（15分）</w:t>
                  </w:r>
                </w:p>
              </w:tc>
              <w:tc>
                <w:tcPr>
                  <w:tcW w:w="3045" w:type="pct"/>
                  <w:gridSpan w:val="2"/>
                  <w:noWrap w:val="0"/>
                  <w:vAlign w:val="center"/>
                </w:tcPr>
                <w:p>
                  <w:pPr>
                    <w:rPr>
                      <w:rFonts w:hint="eastAsia" w:cs="宋体"/>
                      <w:szCs w:val="21"/>
                    </w:rPr>
                  </w:pPr>
                  <w:r>
                    <w:rPr>
                      <w:rFonts w:hint="eastAsia" w:cs="宋体"/>
                      <w:szCs w:val="21"/>
                    </w:rPr>
                    <w:t>（1）11～15分。合同要求执行良好，对数据库备份、监控、安全等相关工作完成情况较优。</w:t>
                  </w:r>
                </w:p>
                <w:p>
                  <w:pPr>
                    <w:rPr>
                      <w:rFonts w:hint="eastAsia" w:cs="宋体"/>
                      <w:szCs w:val="21"/>
                    </w:rPr>
                  </w:pPr>
                  <w:r>
                    <w:rPr>
                      <w:rFonts w:hint="eastAsia" w:cs="宋体"/>
                      <w:szCs w:val="21"/>
                    </w:rPr>
                    <w:t>（2）6～10分。合同要求执行一般，对数据库备份、监控、安全等相关工作完成情况一般。</w:t>
                  </w:r>
                </w:p>
                <w:p>
                  <w:pPr>
                    <w:rPr>
                      <w:rFonts w:hint="eastAsia" w:cs="宋体"/>
                      <w:szCs w:val="21"/>
                    </w:rPr>
                  </w:pPr>
                  <w:r>
                    <w:rPr>
                      <w:rFonts w:hint="eastAsia" w:cs="宋体"/>
                      <w:szCs w:val="21"/>
                    </w:rPr>
                    <w:t>（3）0～5分。合同要求执行马虎，对数据库备份、监控、安全等相关工作完成情况较差。</w:t>
                  </w:r>
                </w:p>
              </w:tc>
              <w:tc>
                <w:tcPr>
                  <w:tcW w:w="409" w:type="pct"/>
                  <w:noWrap w:val="0"/>
                  <w:vAlign w:val="center"/>
                </w:tcPr>
                <w:p>
                  <w:pPr>
                    <w:pStyle w:val="111"/>
                    <w:spacing w:line="300" w:lineRule="exact"/>
                    <w:ind w:firstLine="420"/>
                    <w:rPr>
                      <w:rFonts w:hint="eastAsia"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6" w:hRule="atLeast"/>
                <w:jc w:val="center"/>
              </w:trPr>
              <w:tc>
                <w:tcPr>
                  <w:tcW w:w="600" w:type="pct"/>
                  <w:vMerge w:val="continue"/>
                  <w:noWrap w:val="0"/>
                  <w:vAlign w:val="center"/>
                </w:tcPr>
                <w:p>
                  <w:pPr>
                    <w:jc w:val="center"/>
                    <w:rPr>
                      <w:rFonts w:hint="eastAsia" w:cs="宋体"/>
                      <w:szCs w:val="21"/>
                    </w:rPr>
                  </w:pPr>
                </w:p>
              </w:tc>
              <w:tc>
                <w:tcPr>
                  <w:tcW w:w="944" w:type="pct"/>
                  <w:noWrap w:val="0"/>
                  <w:vAlign w:val="center"/>
                </w:tcPr>
                <w:p>
                  <w:pPr>
                    <w:jc w:val="center"/>
                    <w:rPr>
                      <w:rFonts w:hint="eastAsia" w:cs="宋体"/>
                      <w:szCs w:val="21"/>
                    </w:rPr>
                  </w:pPr>
                  <w:r>
                    <w:rPr>
                      <w:rFonts w:hint="eastAsia" w:cs="宋体"/>
                      <w:szCs w:val="21"/>
                    </w:rPr>
                    <w:t>4</w:t>
                  </w:r>
                  <w:r>
                    <w:rPr>
                      <w:rFonts w:hint="eastAsia" w:cs="宋体"/>
                      <w:szCs w:val="21"/>
                      <w:lang w:val="en"/>
                    </w:rPr>
                    <w:t>．</w:t>
                  </w:r>
                  <w:r>
                    <w:rPr>
                      <w:rFonts w:hint="eastAsia" w:cs="宋体"/>
                      <w:szCs w:val="21"/>
                    </w:rPr>
                    <w:t>系统安全保障</w:t>
                  </w:r>
                </w:p>
                <w:p>
                  <w:pPr>
                    <w:jc w:val="center"/>
                    <w:rPr>
                      <w:rFonts w:hint="eastAsia" w:cs="宋体"/>
                      <w:szCs w:val="21"/>
                    </w:rPr>
                  </w:pPr>
                  <w:r>
                    <w:rPr>
                      <w:rFonts w:hint="eastAsia" w:cs="宋体"/>
                      <w:szCs w:val="21"/>
                    </w:rPr>
                    <w:t>（15分）</w:t>
                  </w:r>
                </w:p>
              </w:tc>
              <w:tc>
                <w:tcPr>
                  <w:tcW w:w="3045" w:type="pct"/>
                  <w:gridSpan w:val="2"/>
                  <w:noWrap w:val="0"/>
                  <w:vAlign w:val="center"/>
                </w:tcPr>
                <w:p>
                  <w:pPr>
                    <w:rPr>
                      <w:rFonts w:hint="eastAsia" w:cs="宋体"/>
                      <w:szCs w:val="21"/>
                    </w:rPr>
                  </w:pPr>
                  <w:r>
                    <w:rPr>
                      <w:rFonts w:hint="eastAsia" w:cs="宋体"/>
                      <w:szCs w:val="21"/>
                    </w:rPr>
                    <w:t>（1）11～15分。合同要求执行良好，安全保障服务到位，能及时发现隐患和做好防护，并报告执法局，其他安全检查、安全整改工作配合度良好。</w:t>
                  </w:r>
                </w:p>
                <w:p>
                  <w:pPr>
                    <w:rPr>
                      <w:rFonts w:hint="eastAsia" w:cs="宋体"/>
                      <w:szCs w:val="21"/>
                    </w:rPr>
                  </w:pPr>
                  <w:r>
                    <w:rPr>
                      <w:rFonts w:hint="eastAsia" w:cs="宋体"/>
                      <w:szCs w:val="21"/>
                    </w:rPr>
                    <w:t>（2）6～10分。合同要求执行一般，安全保障基本到位，能发现隐患并报告，防护工作推进一般，其他安全检查、安全整改工作配合度一般。</w:t>
                  </w:r>
                </w:p>
                <w:p>
                  <w:pPr>
                    <w:rPr>
                      <w:rFonts w:hint="eastAsia" w:cs="宋体"/>
                      <w:szCs w:val="21"/>
                    </w:rPr>
                  </w:pPr>
                  <w:r>
                    <w:rPr>
                      <w:rFonts w:hint="eastAsia" w:cs="宋体"/>
                      <w:szCs w:val="21"/>
                    </w:rPr>
                    <w:t>（3）0～5分。合同要求执行马虎，安全保障服务马虎，隐患排查不力，其他安全检查、安全整改工作配合度较差。</w:t>
                  </w:r>
                </w:p>
              </w:tc>
              <w:tc>
                <w:tcPr>
                  <w:tcW w:w="409" w:type="pct"/>
                  <w:noWrap w:val="0"/>
                  <w:vAlign w:val="center"/>
                </w:tcPr>
                <w:p>
                  <w:pPr>
                    <w:pStyle w:val="111"/>
                    <w:spacing w:line="300" w:lineRule="exact"/>
                    <w:ind w:firstLine="420"/>
                    <w:rPr>
                      <w:rFonts w:hint="eastAsia"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jc w:val="center"/>
              </w:trPr>
              <w:tc>
                <w:tcPr>
                  <w:tcW w:w="600" w:type="pct"/>
                  <w:vMerge w:val="continue"/>
                  <w:noWrap w:val="0"/>
                  <w:vAlign w:val="center"/>
                </w:tcPr>
                <w:p>
                  <w:pPr>
                    <w:jc w:val="center"/>
                    <w:rPr>
                      <w:rFonts w:hint="eastAsia" w:cs="宋体"/>
                      <w:szCs w:val="21"/>
                    </w:rPr>
                  </w:pPr>
                </w:p>
              </w:tc>
              <w:tc>
                <w:tcPr>
                  <w:tcW w:w="944" w:type="pct"/>
                  <w:noWrap w:val="0"/>
                  <w:vAlign w:val="center"/>
                </w:tcPr>
                <w:p>
                  <w:pPr>
                    <w:jc w:val="center"/>
                    <w:rPr>
                      <w:rFonts w:hint="eastAsia" w:cs="宋体"/>
                      <w:szCs w:val="21"/>
                    </w:rPr>
                  </w:pPr>
                  <w:r>
                    <w:rPr>
                      <w:rFonts w:hint="eastAsia" w:cs="宋体"/>
                      <w:szCs w:val="21"/>
                    </w:rPr>
                    <w:t>5</w:t>
                  </w:r>
                  <w:r>
                    <w:rPr>
                      <w:rFonts w:hint="eastAsia" w:cs="宋体"/>
                      <w:szCs w:val="21"/>
                      <w:lang w:val="en"/>
                    </w:rPr>
                    <w:t>．</w:t>
                  </w:r>
                  <w:r>
                    <w:rPr>
                      <w:rFonts w:hint="eastAsia" w:cs="宋体"/>
                      <w:szCs w:val="21"/>
                    </w:rPr>
                    <w:t>运维报告</w:t>
                  </w:r>
                </w:p>
                <w:p>
                  <w:pPr>
                    <w:jc w:val="center"/>
                    <w:rPr>
                      <w:rFonts w:hint="eastAsia" w:cs="宋体"/>
                      <w:szCs w:val="21"/>
                    </w:rPr>
                  </w:pPr>
                  <w:r>
                    <w:rPr>
                      <w:rFonts w:hint="eastAsia" w:cs="宋体"/>
                      <w:szCs w:val="21"/>
                    </w:rPr>
                    <w:t>(10分)</w:t>
                  </w:r>
                </w:p>
              </w:tc>
              <w:tc>
                <w:tcPr>
                  <w:tcW w:w="3045" w:type="pct"/>
                  <w:gridSpan w:val="2"/>
                  <w:noWrap w:val="0"/>
                  <w:vAlign w:val="center"/>
                </w:tcPr>
                <w:p>
                  <w:pPr>
                    <w:rPr>
                      <w:rFonts w:hint="eastAsia" w:cs="宋体"/>
                      <w:szCs w:val="21"/>
                    </w:rPr>
                  </w:pPr>
                  <w:r>
                    <w:rPr>
                      <w:rFonts w:hint="eastAsia" w:cs="宋体"/>
                      <w:szCs w:val="21"/>
                    </w:rPr>
                    <w:t>（1）8～10分。文档齐全、规范、详细，按时提供。</w:t>
                  </w:r>
                </w:p>
                <w:p>
                  <w:pPr>
                    <w:rPr>
                      <w:rFonts w:hint="eastAsia" w:cs="宋体"/>
                      <w:szCs w:val="21"/>
                    </w:rPr>
                  </w:pPr>
                  <w:r>
                    <w:rPr>
                      <w:rFonts w:hint="eastAsia" w:cs="宋体"/>
                      <w:szCs w:val="21"/>
                    </w:rPr>
                    <w:t>（2）3～7分。文档齐全，按时提供，但不够规范、详细。</w:t>
                  </w:r>
                </w:p>
                <w:p>
                  <w:pPr>
                    <w:rPr>
                      <w:rFonts w:hint="eastAsia" w:cs="宋体"/>
                      <w:szCs w:val="21"/>
                    </w:rPr>
                  </w:pPr>
                  <w:r>
                    <w:rPr>
                      <w:rFonts w:hint="eastAsia" w:cs="宋体"/>
                      <w:szCs w:val="21"/>
                    </w:rPr>
                    <w:t>（3）0～3分。文档不齐全，未按时提供，也不够规范、详细。</w:t>
                  </w:r>
                </w:p>
              </w:tc>
              <w:tc>
                <w:tcPr>
                  <w:tcW w:w="409" w:type="pct"/>
                  <w:noWrap w:val="0"/>
                  <w:vAlign w:val="center"/>
                </w:tcPr>
                <w:p>
                  <w:pPr>
                    <w:pStyle w:val="111"/>
                    <w:spacing w:line="300" w:lineRule="exact"/>
                    <w:ind w:firstLine="420"/>
                    <w:rPr>
                      <w:rFonts w:hint="eastAsia"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600" w:type="pct"/>
                  <w:vMerge w:val="restart"/>
                  <w:noWrap w:val="0"/>
                  <w:vAlign w:val="center"/>
                </w:tcPr>
                <w:p>
                  <w:pPr>
                    <w:jc w:val="center"/>
                    <w:rPr>
                      <w:rFonts w:hint="eastAsia" w:cs="宋体"/>
                      <w:szCs w:val="21"/>
                    </w:rPr>
                  </w:pPr>
                  <w:r>
                    <w:rPr>
                      <w:rFonts w:hint="eastAsia" w:cs="宋体"/>
                      <w:szCs w:val="21"/>
                    </w:rPr>
                    <w:t>二、</w:t>
                  </w:r>
                </w:p>
                <w:p>
                  <w:pPr>
                    <w:jc w:val="center"/>
                    <w:rPr>
                      <w:rFonts w:hint="eastAsia" w:cs="宋体"/>
                      <w:szCs w:val="21"/>
                    </w:rPr>
                  </w:pPr>
                  <w:r>
                    <w:rPr>
                      <w:rFonts w:hint="eastAsia" w:cs="宋体"/>
                      <w:szCs w:val="21"/>
                    </w:rPr>
                    <w:t>质量保障</w:t>
                  </w:r>
                </w:p>
                <w:p>
                  <w:pPr>
                    <w:jc w:val="center"/>
                    <w:rPr>
                      <w:rFonts w:hint="eastAsia" w:cs="宋体"/>
                      <w:szCs w:val="21"/>
                    </w:rPr>
                  </w:pPr>
                  <w:r>
                    <w:rPr>
                      <w:rFonts w:hint="eastAsia" w:cs="宋体"/>
                      <w:szCs w:val="21"/>
                    </w:rPr>
                    <w:t>（20分）</w:t>
                  </w:r>
                </w:p>
              </w:tc>
              <w:tc>
                <w:tcPr>
                  <w:tcW w:w="944" w:type="pct"/>
                  <w:noWrap w:val="0"/>
                  <w:vAlign w:val="center"/>
                </w:tcPr>
                <w:p>
                  <w:pPr>
                    <w:jc w:val="center"/>
                    <w:rPr>
                      <w:rFonts w:hint="eastAsia" w:cs="宋体"/>
                      <w:szCs w:val="21"/>
                    </w:rPr>
                  </w:pPr>
                  <w:r>
                    <w:rPr>
                      <w:rFonts w:hint="eastAsia" w:cs="宋体"/>
                      <w:szCs w:val="21"/>
                    </w:rPr>
                    <w:t>1</w:t>
                  </w:r>
                  <w:r>
                    <w:rPr>
                      <w:rFonts w:hint="eastAsia" w:cs="宋体"/>
                      <w:szCs w:val="21"/>
                      <w:lang w:val="en"/>
                    </w:rPr>
                    <w:t>．</w:t>
                  </w:r>
                  <w:r>
                    <w:rPr>
                      <w:rFonts w:hint="eastAsia" w:cs="宋体"/>
                      <w:szCs w:val="21"/>
                    </w:rPr>
                    <w:t>迟到早退/加班情况</w:t>
                  </w:r>
                </w:p>
                <w:p>
                  <w:pPr>
                    <w:jc w:val="center"/>
                    <w:rPr>
                      <w:rFonts w:hint="eastAsia" w:cs="宋体"/>
                      <w:szCs w:val="21"/>
                    </w:rPr>
                  </w:pPr>
                  <w:r>
                    <w:rPr>
                      <w:rFonts w:hint="eastAsia" w:cs="宋体"/>
                      <w:szCs w:val="21"/>
                    </w:rPr>
                    <w:t>(5分)</w:t>
                  </w:r>
                </w:p>
              </w:tc>
              <w:tc>
                <w:tcPr>
                  <w:tcW w:w="3045" w:type="pct"/>
                  <w:gridSpan w:val="2"/>
                  <w:noWrap w:val="0"/>
                  <w:vAlign w:val="center"/>
                </w:tcPr>
                <w:p>
                  <w:pPr>
                    <w:rPr>
                      <w:rFonts w:hint="eastAsia" w:cs="宋体"/>
                      <w:szCs w:val="21"/>
                    </w:rPr>
                  </w:pPr>
                  <w:r>
                    <w:rPr>
                      <w:rFonts w:hint="eastAsia" w:cs="宋体"/>
                      <w:szCs w:val="21"/>
                    </w:rPr>
                    <w:t>（1）5分。按时上下班，配合加班。</w:t>
                  </w:r>
                </w:p>
                <w:p>
                  <w:pPr>
                    <w:rPr>
                      <w:rFonts w:hint="eastAsia" w:cs="宋体"/>
                      <w:szCs w:val="21"/>
                    </w:rPr>
                  </w:pPr>
                  <w:r>
                    <w:rPr>
                      <w:rFonts w:hint="eastAsia" w:cs="宋体"/>
                      <w:szCs w:val="21"/>
                    </w:rPr>
                    <w:t>（2）3～4分。按时上下班，偶尔配合加班。</w:t>
                  </w:r>
                </w:p>
                <w:p>
                  <w:pPr>
                    <w:rPr>
                      <w:rFonts w:hint="eastAsia" w:cs="宋体"/>
                      <w:szCs w:val="21"/>
                    </w:rPr>
                  </w:pPr>
                  <w:r>
                    <w:rPr>
                      <w:rFonts w:hint="eastAsia" w:cs="宋体"/>
                      <w:szCs w:val="21"/>
                    </w:rPr>
                    <w:t>（3）1～2分。偶尔迟到早退，每个月次数2次以内</w:t>
                  </w:r>
                </w:p>
                <w:p>
                  <w:pPr>
                    <w:rPr>
                      <w:rFonts w:hint="eastAsia" w:cs="宋体"/>
                      <w:szCs w:val="21"/>
                    </w:rPr>
                  </w:pPr>
                  <w:r>
                    <w:rPr>
                      <w:rFonts w:hint="eastAsia" w:cs="宋体"/>
                      <w:szCs w:val="21"/>
                    </w:rPr>
                    <w:t>（4）0分。常迟到早退不配合加班，每个月次数达4次</w:t>
                  </w:r>
                </w:p>
              </w:tc>
              <w:tc>
                <w:tcPr>
                  <w:tcW w:w="409" w:type="pct"/>
                  <w:noWrap w:val="0"/>
                  <w:vAlign w:val="center"/>
                </w:tcPr>
                <w:p>
                  <w:pPr>
                    <w:pStyle w:val="111"/>
                    <w:spacing w:line="300" w:lineRule="exact"/>
                    <w:ind w:firstLine="420"/>
                    <w:rPr>
                      <w:rFonts w:hint="eastAsia"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0" w:hRule="atLeast"/>
                <w:jc w:val="center"/>
              </w:trPr>
              <w:tc>
                <w:tcPr>
                  <w:tcW w:w="600" w:type="pct"/>
                  <w:vMerge w:val="continue"/>
                  <w:noWrap w:val="0"/>
                  <w:vAlign w:val="center"/>
                </w:tcPr>
                <w:p>
                  <w:pPr>
                    <w:jc w:val="center"/>
                    <w:rPr>
                      <w:rFonts w:hint="eastAsia" w:cs="宋体"/>
                      <w:szCs w:val="21"/>
                    </w:rPr>
                  </w:pPr>
                </w:p>
              </w:tc>
              <w:tc>
                <w:tcPr>
                  <w:tcW w:w="944" w:type="pct"/>
                  <w:noWrap w:val="0"/>
                  <w:vAlign w:val="center"/>
                </w:tcPr>
                <w:p>
                  <w:pPr>
                    <w:jc w:val="center"/>
                    <w:rPr>
                      <w:rFonts w:hint="eastAsia" w:cs="宋体"/>
                      <w:szCs w:val="21"/>
                    </w:rPr>
                  </w:pPr>
                  <w:r>
                    <w:rPr>
                      <w:rFonts w:hint="eastAsia" w:cs="宋体"/>
                      <w:szCs w:val="21"/>
                    </w:rPr>
                    <w:t>2</w:t>
                  </w:r>
                  <w:r>
                    <w:rPr>
                      <w:rFonts w:hint="eastAsia" w:cs="宋体"/>
                      <w:szCs w:val="21"/>
                      <w:lang w:val="en"/>
                    </w:rPr>
                    <w:t>．</w:t>
                  </w:r>
                  <w:r>
                    <w:rPr>
                      <w:rFonts w:hint="eastAsia" w:cs="宋体"/>
                      <w:szCs w:val="21"/>
                    </w:rPr>
                    <w:t>服务质量</w:t>
                  </w:r>
                </w:p>
                <w:p>
                  <w:pPr>
                    <w:jc w:val="center"/>
                    <w:rPr>
                      <w:rFonts w:hint="eastAsia" w:cs="宋体"/>
                      <w:szCs w:val="21"/>
                    </w:rPr>
                  </w:pPr>
                  <w:r>
                    <w:rPr>
                      <w:rFonts w:hint="eastAsia" w:cs="宋体"/>
                      <w:szCs w:val="21"/>
                    </w:rPr>
                    <w:t>(5分)</w:t>
                  </w:r>
                </w:p>
              </w:tc>
              <w:tc>
                <w:tcPr>
                  <w:tcW w:w="3045" w:type="pct"/>
                  <w:gridSpan w:val="2"/>
                  <w:noWrap w:val="0"/>
                  <w:vAlign w:val="center"/>
                </w:tcPr>
                <w:p>
                  <w:pPr>
                    <w:rPr>
                      <w:rFonts w:hint="eastAsia" w:cs="宋体"/>
                      <w:szCs w:val="21"/>
                    </w:rPr>
                  </w:pPr>
                  <w:r>
                    <w:rPr>
                      <w:rFonts w:hint="eastAsia" w:cs="宋体"/>
                      <w:szCs w:val="21"/>
                    </w:rPr>
                    <w:t>（1）5分。快速解决故障，效率高，效果良好。</w:t>
                  </w:r>
                </w:p>
                <w:p>
                  <w:pPr>
                    <w:rPr>
                      <w:rFonts w:hint="eastAsia" w:cs="宋体"/>
                      <w:szCs w:val="21"/>
                    </w:rPr>
                  </w:pPr>
                  <w:r>
                    <w:rPr>
                      <w:rFonts w:hint="eastAsia" w:cs="宋体"/>
                      <w:szCs w:val="21"/>
                    </w:rPr>
                    <w:t>（2）3～4分。快速解决故障，但仍存在小问题。</w:t>
                  </w:r>
                </w:p>
                <w:p>
                  <w:pPr>
                    <w:rPr>
                      <w:rFonts w:hint="eastAsia" w:cs="宋体"/>
                      <w:szCs w:val="21"/>
                    </w:rPr>
                  </w:pPr>
                  <w:r>
                    <w:rPr>
                      <w:rFonts w:hint="eastAsia" w:cs="宋体"/>
                      <w:szCs w:val="21"/>
                    </w:rPr>
                    <w:t>（3）1～2分。故障解决时间长，效率低，但能最终解决。</w:t>
                  </w:r>
                </w:p>
                <w:p>
                  <w:pPr>
                    <w:rPr>
                      <w:rFonts w:hint="eastAsia" w:cs="宋体"/>
                      <w:szCs w:val="21"/>
                    </w:rPr>
                  </w:pPr>
                  <w:r>
                    <w:rPr>
                      <w:rFonts w:hint="eastAsia" w:cs="宋体"/>
                      <w:szCs w:val="21"/>
                    </w:rPr>
                    <w:t>（4）0分。无法解决故障，或花长时间解决后仍存在很大问题。</w:t>
                  </w:r>
                </w:p>
              </w:tc>
              <w:tc>
                <w:tcPr>
                  <w:tcW w:w="409" w:type="pct"/>
                  <w:noWrap w:val="0"/>
                  <w:vAlign w:val="center"/>
                </w:tcPr>
                <w:p>
                  <w:pPr>
                    <w:pStyle w:val="111"/>
                    <w:spacing w:line="300" w:lineRule="exact"/>
                    <w:ind w:firstLine="420"/>
                    <w:rPr>
                      <w:rFonts w:hint="eastAsia"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jc w:val="center"/>
              </w:trPr>
              <w:tc>
                <w:tcPr>
                  <w:tcW w:w="600" w:type="pct"/>
                  <w:vMerge w:val="continue"/>
                  <w:noWrap w:val="0"/>
                  <w:vAlign w:val="center"/>
                </w:tcPr>
                <w:p>
                  <w:pPr>
                    <w:jc w:val="center"/>
                    <w:rPr>
                      <w:rFonts w:hint="eastAsia" w:cs="宋体"/>
                      <w:szCs w:val="21"/>
                    </w:rPr>
                  </w:pPr>
                </w:p>
              </w:tc>
              <w:tc>
                <w:tcPr>
                  <w:tcW w:w="944" w:type="pct"/>
                  <w:noWrap w:val="0"/>
                  <w:vAlign w:val="center"/>
                </w:tcPr>
                <w:p>
                  <w:pPr>
                    <w:jc w:val="center"/>
                    <w:rPr>
                      <w:rFonts w:hint="eastAsia" w:cs="宋体"/>
                      <w:szCs w:val="21"/>
                    </w:rPr>
                  </w:pPr>
                  <w:r>
                    <w:rPr>
                      <w:rFonts w:hint="eastAsia" w:cs="宋体"/>
                      <w:szCs w:val="21"/>
                    </w:rPr>
                    <w:t>3</w:t>
                  </w:r>
                  <w:r>
                    <w:rPr>
                      <w:rFonts w:hint="eastAsia" w:cs="宋体"/>
                      <w:szCs w:val="21"/>
                      <w:lang w:val="en"/>
                    </w:rPr>
                    <w:t>．</w:t>
                  </w:r>
                  <w:r>
                    <w:rPr>
                      <w:rFonts w:hint="eastAsia" w:cs="宋体"/>
                      <w:szCs w:val="21"/>
                    </w:rPr>
                    <w:t>应急响应时间</w:t>
                  </w:r>
                </w:p>
                <w:p>
                  <w:pPr>
                    <w:jc w:val="center"/>
                    <w:rPr>
                      <w:rFonts w:hint="eastAsia" w:cs="宋体"/>
                      <w:szCs w:val="21"/>
                    </w:rPr>
                  </w:pPr>
                  <w:r>
                    <w:rPr>
                      <w:rFonts w:hint="eastAsia" w:cs="宋体"/>
                      <w:szCs w:val="21"/>
                    </w:rPr>
                    <w:t>(5分)</w:t>
                  </w:r>
                </w:p>
              </w:tc>
              <w:tc>
                <w:tcPr>
                  <w:tcW w:w="3045" w:type="pct"/>
                  <w:gridSpan w:val="2"/>
                  <w:noWrap w:val="0"/>
                  <w:vAlign w:val="center"/>
                </w:tcPr>
                <w:p>
                  <w:pPr>
                    <w:rPr>
                      <w:rFonts w:hint="eastAsia" w:cs="宋体"/>
                      <w:szCs w:val="21"/>
                    </w:rPr>
                  </w:pPr>
                  <w:r>
                    <w:rPr>
                      <w:rFonts w:hint="eastAsia" w:cs="宋体"/>
                      <w:szCs w:val="21"/>
                    </w:rPr>
                    <w:t>（1）5分。5分钟内响应，30分钟到达现场。</w:t>
                  </w:r>
                </w:p>
                <w:p>
                  <w:pPr>
                    <w:rPr>
                      <w:rFonts w:hint="eastAsia" w:cs="宋体"/>
                      <w:szCs w:val="21"/>
                    </w:rPr>
                  </w:pPr>
                  <w:r>
                    <w:rPr>
                      <w:rFonts w:hint="eastAsia" w:cs="宋体"/>
                      <w:szCs w:val="21"/>
                    </w:rPr>
                    <w:t>（2）3～4分。5～15分钟响应，60分钟到达现场。</w:t>
                  </w:r>
                </w:p>
                <w:p>
                  <w:pPr>
                    <w:rPr>
                      <w:rFonts w:hint="eastAsia" w:cs="宋体"/>
                      <w:szCs w:val="21"/>
                    </w:rPr>
                  </w:pPr>
                  <w:r>
                    <w:rPr>
                      <w:rFonts w:hint="eastAsia" w:cs="宋体"/>
                      <w:szCs w:val="21"/>
                    </w:rPr>
                    <w:t>（3）1～2分。15～30分钟响应，1-2小时到达现场。</w:t>
                  </w:r>
                </w:p>
                <w:p>
                  <w:pPr>
                    <w:rPr>
                      <w:rFonts w:hint="eastAsia" w:cs="宋体"/>
                      <w:szCs w:val="21"/>
                    </w:rPr>
                  </w:pPr>
                  <w:r>
                    <w:rPr>
                      <w:rFonts w:hint="eastAsia" w:cs="宋体"/>
                      <w:szCs w:val="21"/>
                    </w:rPr>
                    <w:t>（4）0分。30分钟后才响应，2小时后才到达现场。</w:t>
                  </w:r>
                </w:p>
              </w:tc>
              <w:tc>
                <w:tcPr>
                  <w:tcW w:w="409" w:type="pct"/>
                  <w:noWrap w:val="0"/>
                  <w:vAlign w:val="center"/>
                </w:tcPr>
                <w:p>
                  <w:pPr>
                    <w:pStyle w:val="111"/>
                    <w:spacing w:line="300" w:lineRule="exact"/>
                    <w:ind w:firstLine="420"/>
                    <w:rPr>
                      <w:rFonts w:hint="eastAsia"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3" w:hRule="atLeast"/>
                <w:jc w:val="center"/>
              </w:trPr>
              <w:tc>
                <w:tcPr>
                  <w:tcW w:w="600" w:type="pct"/>
                  <w:vMerge w:val="continue"/>
                  <w:noWrap w:val="0"/>
                  <w:vAlign w:val="center"/>
                </w:tcPr>
                <w:p>
                  <w:pPr>
                    <w:jc w:val="center"/>
                    <w:rPr>
                      <w:rFonts w:hint="eastAsia" w:cs="宋体"/>
                      <w:szCs w:val="21"/>
                    </w:rPr>
                  </w:pPr>
                </w:p>
              </w:tc>
              <w:tc>
                <w:tcPr>
                  <w:tcW w:w="944" w:type="pct"/>
                  <w:noWrap w:val="0"/>
                  <w:vAlign w:val="center"/>
                </w:tcPr>
                <w:p>
                  <w:pPr>
                    <w:jc w:val="center"/>
                    <w:rPr>
                      <w:rFonts w:hint="eastAsia" w:cs="宋体"/>
                      <w:szCs w:val="21"/>
                    </w:rPr>
                  </w:pPr>
                  <w:r>
                    <w:rPr>
                      <w:rFonts w:hint="eastAsia" w:cs="宋体"/>
                      <w:szCs w:val="21"/>
                    </w:rPr>
                    <w:t>4</w:t>
                  </w:r>
                  <w:r>
                    <w:rPr>
                      <w:rFonts w:hint="eastAsia" w:cs="宋体"/>
                      <w:szCs w:val="21"/>
                      <w:lang w:val="en"/>
                    </w:rPr>
                    <w:t>．</w:t>
                  </w:r>
                  <w:r>
                    <w:rPr>
                      <w:rFonts w:hint="eastAsia" w:cs="宋体"/>
                      <w:szCs w:val="21"/>
                    </w:rPr>
                    <w:t>人员管理</w:t>
                  </w:r>
                </w:p>
                <w:p>
                  <w:pPr>
                    <w:jc w:val="center"/>
                    <w:rPr>
                      <w:rFonts w:hint="eastAsia" w:cs="宋体"/>
                      <w:szCs w:val="21"/>
                    </w:rPr>
                  </w:pPr>
                  <w:r>
                    <w:rPr>
                      <w:rFonts w:hint="eastAsia" w:cs="宋体"/>
                      <w:szCs w:val="21"/>
                    </w:rPr>
                    <w:t>(5分)</w:t>
                  </w:r>
                </w:p>
              </w:tc>
              <w:tc>
                <w:tcPr>
                  <w:tcW w:w="3045" w:type="pct"/>
                  <w:gridSpan w:val="2"/>
                  <w:noWrap w:val="0"/>
                  <w:vAlign w:val="center"/>
                </w:tcPr>
                <w:p>
                  <w:pPr>
                    <w:rPr>
                      <w:rFonts w:hint="eastAsia" w:cs="宋体"/>
                      <w:szCs w:val="21"/>
                    </w:rPr>
                  </w:pPr>
                  <w:r>
                    <w:rPr>
                      <w:rFonts w:hint="eastAsia" w:cs="宋体"/>
                      <w:szCs w:val="21"/>
                    </w:rPr>
                    <w:t>（1）5分。人员满足合同要求，态度热情，能力突出。</w:t>
                  </w:r>
                </w:p>
                <w:p>
                  <w:pPr>
                    <w:rPr>
                      <w:rFonts w:hint="eastAsia" w:cs="宋体"/>
                      <w:szCs w:val="21"/>
                    </w:rPr>
                  </w:pPr>
                  <w:r>
                    <w:rPr>
                      <w:rFonts w:hint="eastAsia" w:cs="宋体"/>
                      <w:szCs w:val="21"/>
                    </w:rPr>
                    <w:t>（2）3～4分。人员满足合同要求，态度较好，能力一般。</w:t>
                  </w:r>
                </w:p>
                <w:p>
                  <w:pPr>
                    <w:rPr>
                      <w:rFonts w:hint="eastAsia" w:cs="宋体"/>
                      <w:szCs w:val="21"/>
                    </w:rPr>
                  </w:pPr>
                  <w:r>
                    <w:rPr>
                      <w:rFonts w:hint="eastAsia" w:cs="宋体"/>
                      <w:szCs w:val="21"/>
                    </w:rPr>
                    <w:t>（3）1～2分。人员满足合同要求，态度一般，能力一般。</w:t>
                  </w:r>
                </w:p>
                <w:p>
                  <w:pPr>
                    <w:rPr>
                      <w:rFonts w:hint="eastAsia" w:cs="宋体"/>
                      <w:szCs w:val="21"/>
                    </w:rPr>
                  </w:pPr>
                  <w:r>
                    <w:rPr>
                      <w:rFonts w:hint="eastAsia" w:cs="宋体"/>
                      <w:szCs w:val="21"/>
                    </w:rPr>
                    <w:t>（4）0分。人员态度冷淡，责任心差，能力欠缺。</w:t>
                  </w:r>
                </w:p>
              </w:tc>
              <w:tc>
                <w:tcPr>
                  <w:tcW w:w="409" w:type="pct"/>
                  <w:noWrap w:val="0"/>
                  <w:vAlign w:val="center"/>
                </w:tcPr>
                <w:p>
                  <w:pPr>
                    <w:pStyle w:val="111"/>
                    <w:spacing w:line="300" w:lineRule="exact"/>
                    <w:ind w:firstLine="420"/>
                    <w:rPr>
                      <w:rFonts w:hint="eastAsia"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600" w:type="pct"/>
                  <w:noWrap w:val="0"/>
                  <w:vAlign w:val="center"/>
                </w:tcPr>
                <w:p>
                  <w:pPr>
                    <w:jc w:val="center"/>
                    <w:rPr>
                      <w:rFonts w:hint="eastAsia" w:cs="宋体"/>
                      <w:szCs w:val="21"/>
                    </w:rPr>
                  </w:pPr>
                  <w:r>
                    <w:rPr>
                      <w:rFonts w:hint="eastAsia" w:cs="宋体"/>
                      <w:szCs w:val="21"/>
                    </w:rPr>
                    <w:t>三、</w:t>
                  </w:r>
                </w:p>
                <w:p>
                  <w:pPr>
                    <w:jc w:val="center"/>
                    <w:rPr>
                      <w:rFonts w:hint="eastAsia" w:cs="宋体"/>
                      <w:szCs w:val="21"/>
                    </w:rPr>
                  </w:pPr>
                  <w:r>
                    <w:rPr>
                      <w:rFonts w:hint="eastAsia" w:cs="宋体"/>
                      <w:szCs w:val="21"/>
                    </w:rPr>
                    <w:t>工作事故</w:t>
                  </w:r>
                </w:p>
                <w:p>
                  <w:pPr>
                    <w:jc w:val="center"/>
                    <w:rPr>
                      <w:rFonts w:hint="eastAsia" w:cs="宋体"/>
                      <w:szCs w:val="21"/>
                    </w:rPr>
                  </w:pPr>
                  <w:r>
                    <w:rPr>
                      <w:rFonts w:hint="eastAsia" w:cs="宋体"/>
                      <w:szCs w:val="21"/>
                    </w:rPr>
                    <w:t>（此项为扣分项）</w:t>
                  </w:r>
                </w:p>
              </w:tc>
              <w:tc>
                <w:tcPr>
                  <w:tcW w:w="944" w:type="pct"/>
                  <w:noWrap w:val="0"/>
                  <w:vAlign w:val="center"/>
                </w:tcPr>
                <w:p>
                  <w:pPr>
                    <w:jc w:val="center"/>
                    <w:rPr>
                      <w:rFonts w:hint="eastAsia" w:cs="宋体"/>
                      <w:szCs w:val="21"/>
                    </w:rPr>
                  </w:pPr>
                </w:p>
              </w:tc>
              <w:tc>
                <w:tcPr>
                  <w:tcW w:w="3045" w:type="pct"/>
                  <w:gridSpan w:val="2"/>
                  <w:noWrap w:val="0"/>
                  <w:vAlign w:val="center"/>
                </w:tcPr>
                <w:p>
                  <w:pPr>
                    <w:rPr>
                      <w:rFonts w:hint="eastAsia" w:cs="宋体"/>
                      <w:szCs w:val="21"/>
                    </w:rPr>
                  </w:pPr>
                  <w:r>
                    <w:rPr>
                      <w:rFonts w:hint="eastAsia" w:cs="宋体"/>
                      <w:szCs w:val="21"/>
                    </w:rPr>
                    <w:t>（1）本期内发生特别重大事故，每次减100分。</w:t>
                  </w:r>
                </w:p>
                <w:p>
                  <w:pPr>
                    <w:rPr>
                      <w:rFonts w:hint="eastAsia" w:cs="宋体"/>
                      <w:szCs w:val="21"/>
                    </w:rPr>
                  </w:pPr>
                  <w:r>
                    <w:rPr>
                      <w:rFonts w:hint="eastAsia" w:cs="宋体"/>
                      <w:szCs w:val="21"/>
                    </w:rPr>
                    <w:t>（2）本期内发生重大事故，每次减30分。</w:t>
                  </w:r>
                </w:p>
                <w:p>
                  <w:pPr>
                    <w:rPr>
                      <w:rFonts w:hint="eastAsia" w:cs="宋体"/>
                      <w:szCs w:val="21"/>
                    </w:rPr>
                  </w:pPr>
                  <w:r>
                    <w:rPr>
                      <w:rFonts w:hint="eastAsia" w:cs="宋体"/>
                      <w:szCs w:val="21"/>
                    </w:rPr>
                    <w:t>（3）本期内发生较大事故的，每次减15分。</w:t>
                  </w:r>
                </w:p>
              </w:tc>
              <w:tc>
                <w:tcPr>
                  <w:tcW w:w="409" w:type="pct"/>
                  <w:noWrap w:val="0"/>
                  <w:vAlign w:val="center"/>
                </w:tcPr>
                <w:p>
                  <w:pPr>
                    <w:pStyle w:val="111"/>
                    <w:spacing w:line="300" w:lineRule="exact"/>
                    <w:ind w:firstLine="420"/>
                    <w:rPr>
                      <w:rFonts w:hint="eastAsia"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600" w:type="pct"/>
                  <w:noWrap w:val="0"/>
                  <w:vAlign w:val="center"/>
                </w:tcPr>
                <w:p>
                  <w:pPr>
                    <w:pStyle w:val="111"/>
                    <w:spacing w:line="300" w:lineRule="exact"/>
                    <w:ind w:firstLine="0" w:firstLineChars="0"/>
                    <w:rPr>
                      <w:rFonts w:hint="eastAsia" w:cs="宋体"/>
                      <w:sz w:val="21"/>
                      <w:szCs w:val="21"/>
                    </w:rPr>
                  </w:pPr>
                  <w:r>
                    <w:rPr>
                      <w:rFonts w:hint="eastAsia" w:cs="宋体"/>
                      <w:sz w:val="21"/>
                      <w:szCs w:val="21"/>
                    </w:rPr>
                    <w:t>总分</w:t>
                  </w:r>
                </w:p>
              </w:tc>
              <w:tc>
                <w:tcPr>
                  <w:tcW w:w="3990" w:type="pct"/>
                  <w:gridSpan w:val="3"/>
                  <w:noWrap w:val="0"/>
                  <w:vAlign w:val="center"/>
                </w:tcPr>
                <w:p>
                  <w:pPr>
                    <w:pStyle w:val="111"/>
                    <w:spacing w:line="300" w:lineRule="exact"/>
                    <w:ind w:firstLine="420"/>
                    <w:rPr>
                      <w:rFonts w:hint="eastAsia" w:cs="宋体"/>
                      <w:sz w:val="21"/>
                      <w:szCs w:val="21"/>
                    </w:rPr>
                  </w:pPr>
                </w:p>
              </w:tc>
              <w:tc>
                <w:tcPr>
                  <w:tcW w:w="409" w:type="pct"/>
                  <w:noWrap w:val="0"/>
                  <w:vAlign w:val="center"/>
                </w:tcPr>
                <w:p>
                  <w:pPr>
                    <w:pStyle w:val="111"/>
                    <w:spacing w:line="300" w:lineRule="exact"/>
                    <w:ind w:firstLine="420"/>
                    <w:rPr>
                      <w:rFonts w:hint="eastAsia"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jc w:val="center"/>
              </w:trPr>
              <w:tc>
                <w:tcPr>
                  <w:tcW w:w="5000" w:type="pct"/>
                  <w:gridSpan w:val="5"/>
                  <w:noWrap w:val="0"/>
                  <w:vAlign w:val="center"/>
                </w:tcPr>
                <w:p>
                  <w:pPr>
                    <w:rPr>
                      <w:rFonts w:hint="eastAsia" w:cs="宋体"/>
                      <w:szCs w:val="21"/>
                    </w:rPr>
                  </w:pPr>
                  <w:r>
                    <w:rPr>
                      <w:rFonts w:hint="eastAsia" w:cs="宋体"/>
                      <w:szCs w:val="21"/>
                    </w:rPr>
                    <w:t xml:space="preserve">考核结论：   </w:t>
                  </w:r>
                </w:p>
                <w:p>
                  <w:pPr>
                    <w:rPr>
                      <w:rFonts w:hint="eastAsia" w:cs="宋体"/>
                      <w:szCs w:val="21"/>
                    </w:rPr>
                  </w:pPr>
                </w:p>
                <w:p>
                  <w:pPr>
                    <w:rPr>
                      <w:rFonts w:hint="eastAsia" w:cs="宋体"/>
                      <w:szCs w:val="21"/>
                    </w:rPr>
                  </w:pPr>
                  <w:r>
                    <w:rPr>
                      <w:rFonts w:hint="eastAsia" w:cs="宋体"/>
                      <w:szCs w:val="21"/>
                    </w:rPr>
                    <w:t xml:space="preserve">     </w:t>
                  </w:r>
                </w:p>
                <w:p>
                  <w:pPr>
                    <w:pStyle w:val="111"/>
                    <w:spacing w:line="300" w:lineRule="exact"/>
                    <w:ind w:firstLine="420"/>
                    <w:rPr>
                      <w:rFonts w:hint="eastAsia" w:cs="宋体"/>
                      <w:sz w:val="21"/>
                      <w:szCs w:val="21"/>
                    </w:rPr>
                  </w:pPr>
                  <w:r>
                    <w:rPr>
                      <w:rFonts w:hint="eastAsia" w:cs="宋体"/>
                      <w:sz w:val="21"/>
                      <w:szCs w:val="21"/>
                    </w:rPr>
                    <w:t xml:space="preserve"> 签字：                        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5000" w:type="pct"/>
                  <w:gridSpan w:val="5"/>
                  <w:noWrap w:val="0"/>
                  <w:vAlign w:val="center"/>
                </w:tcPr>
                <w:p>
                  <w:pPr>
                    <w:pStyle w:val="111"/>
                    <w:spacing w:line="300" w:lineRule="exact"/>
                    <w:ind w:firstLine="0" w:firstLineChars="0"/>
                    <w:rPr>
                      <w:rFonts w:hint="eastAsia" w:cs="宋体"/>
                      <w:sz w:val="21"/>
                      <w:szCs w:val="21"/>
                    </w:rPr>
                  </w:pPr>
                  <w:r>
                    <w:rPr>
                      <w:rFonts w:hint="eastAsia" w:cs="宋体"/>
                      <w:sz w:val="21"/>
                      <w:szCs w:val="21"/>
                    </w:rPr>
                    <w:t>供应商意见：</w:t>
                  </w:r>
                </w:p>
                <w:p>
                  <w:pPr>
                    <w:pStyle w:val="111"/>
                    <w:spacing w:line="300" w:lineRule="exact"/>
                    <w:ind w:firstLine="420"/>
                    <w:rPr>
                      <w:rFonts w:hint="eastAsia" w:cs="宋体"/>
                      <w:sz w:val="21"/>
                      <w:szCs w:val="21"/>
                    </w:rPr>
                  </w:pPr>
                </w:p>
                <w:p>
                  <w:pPr>
                    <w:pStyle w:val="111"/>
                    <w:spacing w:line="300" w:lineRule="exact"/>
                    <w:ind w:firstLine="420"/>
                    <w:rPr>
                      <w:rFonts w:hint="eastAsia" w:cs="宋体"/>
                      <w:sz w:val="21"/>
                      <w:szCs w:val="21"/>
                    </w:rPr>
                  </w:pPr>
                </w:p>
                <w:p>
                  <w:pPr>
                    <w:pStyle w:val="111"/>
                    <w:spacing w:line="300" w:lineRule="exact"/>
                    <w:ind w:firstLine="420"/>
                    <w:rPr>
                      <w:rFonts w:hint="eastAsia" w:cs="宋体"/>
                      <w:sz w:val="21"/>
                      <w:szCs w:val="21"/>
                    </w:rPr>
                  </w:pPr>
                  <w:r>
                    <w:rPr>
                      <w:rFonts w:hint="eastAsia" w:cs="宋体"/>
                      <w:sz w:val="21"/>
                      <w:szCs w:val="21"/>
                    </w:rPr>
                    <w:t xml:space="preserve"> 签字：                        日期： </w:t>
                  </w:r>
                </w:p>
              </w:tc>
            </w:tr>
          </w:tbl>
          <w:p>
            <w:pPr>
              <w:pStyle w:val="111"/>
              <w:spacing w:line="300" w:lineRule="exact"/>
              <w:ind w:firstLine="0" w:firstLineChars="0"/>
              <w:rPr>
                <w:rFonts w:hint="eastAsia" w:cs="宋体"/>
                <w:sz w:val="21"/>
                <w:szCs w:val="21"/>
              </w:rPr>
            </w:pPr>
            <w:r>
              <w:rPr>
                <w:rFonts w:hint="eastAsia" w:cs="宋体"/>
                <w:sz w:val="21"/>
                <w:szCs w:val="21"/>
              </w:rPr>
              <w:t>备注：每期考核保留考核表一式两份，执法局及供应商各留存一份。</w:t>
            </w:r>
          </w:p>
          <w:p>
            <w:pPr>
              <w:pStyle w:val="109"/>
              <w:spacing w:line="400" w:lineRule="exact"/>
              <w:ind w:firstLine="420"/>
              <w:jc w:val="left"/>
              <w:rPr>
                <w:rFonts w:hint="eastAsia" w:ascii="宋体" w:hAnsi="宋体" w:eastAsia="宋体" w:cs="Times New Roman"/>
                <w:color w:val="auto"/>
              </w:rPr>
            </w:pPr>
          </w:p>
        </w:tc>
        <w:tc>
          <w:tcPr>
            <w:tcW w:w="1275" w:type="dxa"/>
            <w:vMerge w:val="restart"/>
            <w:tcBorders>
              <w:top w:val="single" w:color="auto" w:sz="4" w:space="0"/>
              <w:left w:val="single" w:color="auto" w:sz="4" w:space="0"/>
              <w:right w:val="single" w:color="auto" w:sz="4" w:space="0"/>
            </w:tcBorders>
            <w:noWrap w:val="0"/>
            <w:vAlign w:val="center"/>
          </w:tcPr>
          <w:p>
            <w:pPr>
              <w:spacing w:line="260" w:lineRule="exact"/>
              <w:jc w:val="center"/>
              <w:rPr>
                <w:rFonts w:ascii="宋体" w:hAnsi="宋体"/>
                <w:szCs w:val="21"/>
              </w:rPr>
            </w:pPr>
            <w:r>
              <w:rPr>
                <w:rFonts w:hint="eastAsia" w:ascii="宋体" w:hAnsi="宋体"/>
              </w:rPr>
              <w:t>软件和信息技术服务业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20" w:hRule="atLeast"/>
          <w:jc w:val="center"/>
        </w:trPr>
        <w:tc>
          <w:tcPr>
            <w:tcW w:w="426" w:type="dxa"/>
            <w:tcBorders>
              <w:left w:val="single" w:color="auto" w:sz="4" w:space="0"/>
              <w:bottom w:val="single" w:color="auto" w:sz="4" w:space="0"/>
              <w:right w:val="single" w:color="auto" w:sz="4" w:space="0"/>
            </w:tcBorders>
            <w:noWrap w:val="0"/>
            <w:vAlign w:val="center"/>
          </w:tcPr>
          <w:p>
            <w:pPr>
              <w:spacing w:line="400" w:lineRule="exact"/>
              <w:rPr>
                <w:rFonts w:hint="eastAsia" w:ascii="宋体" w:hAnsi="宋体" w:cs="宋体"/>
                <w:b/>
                <w:bCs/>
                <w:szCs w:val="21"/>
              </w:rPr>
            </w:pPr>
          </w:p>
        </w:tc>
        <w:tc>
          <w:tcPr>
            <w:tcW w:w="414" w:type="dxa"/>
            <w:vMerge w:val="continue"/>
            <w:tcBorders>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szCs w:val="21"/>
              </w:rPr>
            </w:pPr>
          </w:p>
        </w:tc>
        <w:tc>
          <w:tcPr>
            <w:tcW w:w="1440" w:type="dxa"/>
            <w:vMerge w:val="continue"/>
            <w:tcBorders>
              <w:left w:val="single" w:color="auto" w:sz="4" w:space="0"/>
              <w:bottom w:val="single" w:color="auto" w:sz="4" w:space="0"/>
              <w:right w:val="single" w:color="auto" w:sz="4" w:space="0"/>
            </w:tcBorders>
            <w:noWrap w:val="0"/>
            <w:vAlign w:val="center"/>
          </w:tcPr>
          <w:p>
            <w:pPr>
              <w:tabs>
                <w:tab w:val="left" w:pos="1440"/>
              </w:tabs>
              <w:spacing w:line="400" w:lineRule="exact"/>
              <w:jc w:val="center"/>
              <w:rPr>
                <w:rFonts w:hint="eastAsia" w:ascii="宋体" w:hAnsi="宋体" w:cs="宋体"/>
                <w:szCs w:val="21"/>
              </w:rPr>
            </w:pPr>
          </w:p>
        </w:tc>
        <w:tc>
          <w:tcPr>
            <w:tcW w:w="567" w:type="dxa"/>
            <w:vMerge w:val="continue"/>
            <w:tcBorders>
              <w:left w:val="single" w:color="auto" w:sz="4" w:space="0"/>
              <w:bottom w:val="single" w:color="auto" w:sz="4" w:space="0"/>
              <w:right w:val="single" w:color="auto" w:sz="4" w:space="0"/>
            </w:tcBorders>
            <w:noWrap w:val="0"/>
            <w:vAlign w:val="center"/>
          </w:tcPr>
          <w:p>
            <w:pPr>
              <w:tabs>
                <w:tab w:val="left" w:pos="1440"/>
              </w:tabs>
              <w:spacing w:line="400" w:lineRule="exact"/>
              <w:jc w:val="center"/>
              <w:rPr>
                <w:rFonts w:hint="eastAsia" w:ascii="宋体" w:hAnsi="宋体" w:cs="宋体"/>
                <w:bCs/>
                <w:kern w:val="0"/>
                <w:szCs w:val="21"/>
              </w:rPr>
            </w:pPr>
          </w:p>
        </w:tc>
        <w:tc>
          <w:tcPr>
            <w:tcW w:w="426" w:type="dxa"/>
            <w:vMerge w:val="continue"/>
            <w:tcBorders>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bCs/>
                <w:kern w:val="0"/>
                <w:szCs w:val="21"/>
              </w:rPr>
            </w:pPr>
          </w:p>
        </w:tc>
        <w:tc>
          <w:tcPr>
            <w:tcW w:w="5117" w:type="dxa"/>
            <w:vMerge w:val="continue"/>
            <w:tcBorders>
              <w:left w:val="single" w:color="auto" w:sz="4" w:space="0"/>
              <w:bottom w:val="single" w:color="auto" w:sz="4" w:space="0"/>
              <w:right w:val="single" w:color="auto" w:sz="4" w:space="0"/>
            </w:tcBorders>
            <w:noWrap w:val="0"/>
            <w:vAlign w:val="center"/>
          </w:tcPr>
          <w:p>
            <w:pPr>
              <w:spacing w:line="360" w:lineRule="auto"/>
              <w:rPr>
                <w:rFonts w:hint="eastAsia" w:ascii="宋体" w:hAnsi="宋体"/>
                <w:b/>
                <w:szCs w:val="21"/>
              </w:rPr>
            </w:pPr>
          </w:p>
        </w:tc>
        <w:tc>
          <w:tcPr>
            <w:tcW w:w="1275" w:type="dxa"/>
            <w:vMerge w:val="continue"/>
            <w:tcBorders>
              <w:left w:val="single" w:color="auto" w:sz="4" w:space="0"/>
              <w:bottom w:val="single" w:color="auto" w:sz="4" w:space="0"/>
              <w:right w:val="single" w:color="auto" w:sz="4" w:space="0"/>
            </w:tcBorders>
            <w:noWrap w:val="0"/>
            <w:vAlign w:val="center"/>
          </w:tcPr>
          <w:p>
            <w:pPr>
              <w:spacing w:line="260" w:lineRule="exact"/>
              <w:jc w:val="center"/>
              <w:rPr>
                <w:rFonts w:hint="eastAsia" w:ascii="宋体" w:hAnsi="宋体"/>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wBefore w:w="0" w:type="dxa"/>
          <w:wAfter w:w="0" w:type="dxa"/>
          <w:trHeight w:val="20" w:hRule="atLeast"/>
          <w:jc w:val="center"/>
        </w:trPr>
        <w:tc>
          <w:tcPr>
            <w:tcW w:w="426" w:type="dxa"/>
            <w:tcBorders>
              <w:top w:val="single" w:color="auto" w:sz="4" w:space="0"/>
              <w:left w:val="single" w:color="auto" w:sz="4" w:space="0"/>
              <w:bottom w:val="single" w:color="auto" w:sz="4" w:space="0"/>
              <w:right w:val="single" w:color="auto" w:sz="4" w:space="0"/>
            </w:tcBorders>
            <w:noWrap w:val="0"/>
            <w:vAlign w:val="center"/>
          </w:tcPr>
          <w:p>
            <w:pPr>
              <w:spacing w:line="400" w:lineRule="exact"/>
              <w:jc w:val="center"/>
              <w:rPr>
                <w:rFonts w:hint="eastAsia" w:ascii="宋体" w:hAnsi="宋体" w:cs="宋体"/>
                <w:color w:val="000000"/>
                <w:szCs w:val="21"/>
              </w:rPr>
            </w:pPr>
            <w:r>
              <w:rPr>
                <w:rFonts w:hint="eastAsia" w:ascii="宋体" w:hAnsi="宋体" w:cs="宋体"/>
                <w:color w:val="000000"/>
                <w:szCs w:val="21"/>
              </w:rPr>
              <w:t>商务条款</w:t>
            </w:r>
          </w:p>
        </w:tc>
        <w:tc>
          <w:tcPr>
            <w:tcW w:w="9239" w:type="dxa"/>
            <w:gridSpan w:val="6"/>
            <w:tcBorders>
              <w:top w:val="single" w:color="auto" w:sz="4" w:space="0"/>
              <w:left w:val="single" w:color="auto" w:sz="4" w:space="0"/>
              <w:bottom w:val="single" w:color="auto" w:sz="4" w:space="0"/>
              <w:right w:val="single" w:color="auto" w:sz="4" w:space="0"/>
            </w:tcBorders>
            <w:noWrap w:val="0"/>
            <w:vAlign w:val="top"/>
          </w:tcPr>
          <w:p>
            <w:pPr>
              <w:spacing w:line="400" w:lineRule="exact"/>
              <w:ind w:firstLine="420" w:firstLineChars="200"/>
              <w:jc w:val="left"/>
              <w:rPr>
                <w:rFonts w:hint="eastAsia" w:ascii="宋体" w:hAnsi="宋体" w:cs="宋体"/>
                <w:szCs w:val="21"/>
              </w:rPr>
            </w:pPr>
            <w:r>
              <w:rPr>
                <w:rFonts w:hint="eastAsia" w:ascii="宋体" w:hAnsi="宋体" w:cs="宋体"/>
                <w:szCs w:val="20"/>
              </w:rPr>
              <w:t>▲</w:t>
            </w:r>
            <w:r>
              <w:rPr>
                <w:rFonts w:hint="eastAsia" w:ascii="宋体" w:hAnsi="宋体" w:cs="宋体"/>
                <w:szCs w:val="21"/>
              </w:rPr>
              <w:t>1.</w:t>
            </w:r>
            <w:r>
              <w:rPr>
                <w:rFonts w:hint="eastAsia" w:ascii="宋体" w:hAnsi="宋体" w:cs="宋体"/>
                <w:szCs w:val="20"/>
              </w:rPr>
              <w:t xml:space="preserve"> 磋商报价要求</w:t>
            </w:r>
          </w:p>
          <w:p>
            <w:pPr>
              <w:spacing w:line="400" w:lineRule="exact"/>
              <w:ind w:firstLine="420" w:firstLineChars="200"/>
              <w:jc w:val="left"/>
              <w:rPr>
                <w:rFonts w:hint="eastAsia" w:ascii="宋体" w:hAnsi="宋体" w:cs="宋体"/>
                <w:szCs w:val="21"/>
              </w:rPr>
            </w:pPr>
            <w:r>
              <w:rPr>
                <w:rFonts w:hint="eastAsia" w:ascii="宋体" w:hAnsi="宋体" w:cs="宋体"/>
                <w:szCs w:val="21"/>
              </w:rPr>
              <w:t>（1）</w:t>
            </w:r>
            <w:r>
              <w:rPr>
                <w:rFonts w:hint="eastAsia" w:ascii="宋体" w:hAnsi="宋体" w:cs="宋体"/>
                <w:szCs w:val="20"/>
              </w:rPr>
              <w:t>磋商报价是供应商完成本项目的全部服务内容及其相关工作所需的全部费用：应包含（但不限于）日常运维技术服务、巡检、新功能升级与BUG调优开发、平台数据统计分析、培训、应急处理维护、技术支持、技术资料归档、培训、派出工作人员的交通费、住宿费、伙食补助费、临时场地租用费等各种费用和售后服务、税金及其它所有成本费用的总和。</w:t>
            </w:r>
          </w:p>
          <w:p>
            <w:pPr>
              <w:spacing w:line="400" w:lineRule="exact"/>
              <w:ind w:firstLine="420" w:firstLineChars="200"/>
              <w:jc w:val="left"/>
              <w:rPr>
                <w:rFonts w:hint="eastAsia" w:ascii="宋体" w:hAnsi="宋体" w:cs="宋体"/>
                <w:szCs w:val="21"/>
              </w:rPr>
            </w:pPr>
            <w:r>
              <w:rPr>
                <w:rFonts w:hint="eastAsia" w:ascii="宋体" w:hAnsi="宋体" w:cs="宋体"/>
                <w:szCs w:val="21"/>
              </w:rPr>
              <w:t>（2）</w:t>
            </w:r>
            <w:r>
              <w:rPr>
                <w:rFonts w:hint="eastAsia" w:ascii="宋体" w:hAnsi="宋体" w:cs="宋体"/>
                <w:szCs w:val="20"/>
              </w:rPr>
              <w:t>本次报价为固定总价，在合同执行过程及结算时均不允许变更；采购人不再支付任何费用。</w:t>
            </w:r>
          </w:p>
          <w:p>
            <w:pPr>
              <w:spacing w:line="400" w:lineRule="exact"/>
              <w:ind w:firstLine="420" w:firstLineChars="200"/>
              <w:jc w:val="left"/>
              <w:rPr>
                <w:rFonts w:hint="eastAsia" w:ascii="宋体" w:hAnsi="宋体" w:cs="宋体"/>
                <w:szCs w:val="21"/>
              </w:rPr>
            </w:pPr>
            <w:r>
              <w:rPr>
                <w:rFonts w:hint="eastAsia" w:ascii="宋体" w:hAnsi="宋体" w:cs="宋体"/>
                <w:szCs w:val="20"/>
              </w:rPr>
              <w:t>▲</w:t>
            </w:r>
            <w:r>
              <w:rPr>
                <w:rFonts w:hint="eastAsia" w:ascii="宋体" w:hAnsi="宋体" w:cs="宋体"/>
                <w:szCs w:val="21"/>
              </w:rPr>
              <w:t>2.</w:t>
            </w:r>
            <w:r>
              <w:rPr>
                <w:rFonts w:hint="eastAsia" w:ascii="宋体" w:hAnsi="宋体" w:cs="宋体"/>
                <w:szCs w:val="20"/>
              </w:rPr>
              <w:t xml:space="preserve"> 服务时间及地点</w:t>
            </w:r>
          </w:p>
          <w:p>
            <w:pPr>
              <w:spacing w:line="400" w:lineRule="exact"/>
              <w:ind w:firstLine="420" w:firstLineChars="200"/>
              <w:jc w:val="left"/>
              <w:rPr>
                <w:rFonts w:hint="eastAsia" w:ascii="宋体" w:hAnsi="宋体" w:cs="宋体"/>
                <w:szCs w:val="21"/>
              </w:rPr>
            </w:pPr>
            <w:r>
              <w:rPr>
                <w:rFonts w:hint="eastAsia" w:ascii="宋体" w:hAnsi="宋体" w:cs="宋体"/>
                <w:szCs w:val="21"/>
              </w:rPr>
              <w:t>（1）服务时间：</w:t>
            </w:r>
            <w:r>
              <w:rPr>
                <w:rFonts w:hint="eastAsia"/>
                <w:color w:val="000000"/>
                <w:szCs w:val="21"/>
              </w:rPr>
              <w:t>合同签订之日起至2</w:t>
            </w:r>
            <w:r>
              <w:rPr>
                <w:color w:val="000000"/>
                <w:szCs w:val="21"/>
              </w:rPr>
              <w:t>02</w:t>
            </w:r>
            <w:r>
              <w:rPr>
                <w:rFonts w:hint="eastAsia"/>
                <w:color w:val="000000"/>
                <w:szCs w:val="21"/>
              </w:rPr>
              <w:t>4年6月3</w:t>
            </w:r>
            <w:r>
              <w:rPr>
                <w:color w:val="000000"/>
                <w:szCs w:val="21"/>
              </w:rPr>
              <w:t>0</w:t>
            </w:r>
            <w:r>
              <w:rPr>
                <w:rFonts w:hint="eastAsia"/>
                <w:color w:val="000000"/>
                <w:szCs w:val="21"/>
              </w:rPr>
              <w:t>日。</w:t>
            </w:r>
          </w:p>
          <w:p>
            <w:pPr>
              <w:spacing w:line="400" w:lineRule="exact"/>
              <w:ind w:firstLine="420" w:firstLineChars="200"/>
              <w:jc w:val="left"/>
              <w:rPr>
                <w:rFonts w:hint="eastAsia" w:ascii="宋体" w:hAnsi="宋体" w:cs="宋体"/>
                <w:szCs w:val="21"/>
              </w:rPr>
            </w:pPr>
            <w:r>
              <w:rPr>
                <w:rFonts w:hint="eastAsia" w:ascii="宋体" w:hAnsi="宋体" w:cs="宋体"/>
                <w:szCs w:val="21"/>
              </w:rPr>
              <w:t>（2）服务地点：广西壮族自治区区内，采购人指定的地点。</w:t>
            </w:r>
          </w:p>
          <w:p>
            <w:pPr>
              <w:spacing w:line="400" w:lineRule="exact"/>
              <w:ind w:firstLine="420" w:firstLineChars="200"/>
              <w:jc w:val="left"/>
              <w:rPr>
                <w:rFonts w:hint="eastAsia" w:ascii="宋体" w:hAnsi="宋体" w:cs="宋体"/>
                <w:szCs w:val="21"/>
              </w:rPr>
            </w:pPr>
            <w:r>
              <w:rPr>
                <w:rFonts w:hint="eastAsia" w:ascii="宋体" w:hAnsi="宋体" w:cs="宋体"/>
                <w:szCs w:val="20"/>
              </w:rPr>
              <w:t>▲</w:t>
            </w:r>
            <w:r>
              <w:rPr>
                <w:rFonts w:hint="eastAsia" w:ascii="宋体" w:hAnsi="宋体" w:cs="宋体"/>
                <w:szCs w:val="21"/>
              </w:rPr>
              <w:t>3.</w:t>
            </w:r>
            <w:r>
              <w:rPr>
                <w:rFonts w:hint="eastAsia" w:ascii="宋体" w:hAnsi="宋体" w:cs="宋体"/>
                <w:szCs w:val="20"/>
              </w:rPr>
              <w:t xml:space="preserve"> 服务时间保障</w:t>
            </w:r>
          </w:p>
          <w:p>
            <w:pPr>
              <w:adjustRightInd w:val="0"/>
              <w:snapToGrid w:val="0"/>
              <w:spacing w:line="400" w:lineRule="exact"/>
              <w:ind w:firstLine="420" w:firstLineChars="200"/>
              <w:jc w:val="left"/>
              <w:rPr>
                <w:rFonts w:hint="eastAsia" w:ascii="宋体" w:hAnsi="宋体"/>
                <w:szCs w:val="21"/>
              </w:rPr>
            </w:pPr>
            <w:r>
              <w:rPr>
                <w:rFonts w:hint="eastAsia" w:ascii="宋体" w:hAnsi="宋体" w:cs="宋体"/>
                <w:szCs w:val="20"/>
              </w:rPr>
              <w:t>供应商至少</w:t>
            </w:r>
            <w:r>
              <w:rPr>
                <w:rFonts w:hint="eastAsia" w:cs="宋体"/>
                <w:szCs w:val="21"/>
              </w:rPr>
              <w:t>配备1名项目经理，统筹现场软硬件基础运行维护服务、用户培训事宜，跟踪并反馈提出的问题，协调好内外部门资源。</w:t>
            </w:r>
            <w:r>
              <w:rPr>
                <w:rFonts w:hint="eastAsia" w:ascii="宋体" w:hAnsi="宋体" w:cs="宋体"/>
                <w:szCs w:val="20"/>
              </w:rPr>
              <w:t>至少配备4名可以现场处理一般问题的技术人员到采购人指定地点驻场，提供5*8小时的现场故障诊断、处理，以及7*24小时电话或远程技术支持服务。</w:t>
            </w:r>
          </w:p>
          <w:p>
            <w:pPr>
              <w:spacing w:line="400" w:lineRule="exact"/>
              <w:ind w:firstLine="420" w:firstLineChars="200"/>
              <w:jc w:val="left"/>
              <w:rPr>
                <w:rFonts w:hint="eastAsia" w:ascii="宋体" w:hAnsi="宋体" w:cs="宋体"/>
                <w:szCs w:val="21"/>
              </w:rPr>
            </w:pPr>
            <w:r>
              <w:rPr>
                <w:rFonts w:hint="eastAsia" w:ascii="宋体" w:hAnsi="宋体" w:cs="宋体"/>
                <w:szCs w:val="21"/>
              </w:rPr>
              <w:t>4.</w:t>
            </w:r>
            <w:r>
              <w:rPr>
                <w:rFonts w:hint="eastAsia" w:ascii="宋体" w:hAnsi="宋体" w:cs="宋体"/>
                <w:szCs w:val="20"/>
              </w:rPr>
              <w:t xml:space="preserve"> 运维培训服务</w:t>
            </w:r>
          </w:p>
          <w:p>
            <w:pPr>
              <w:spacing w:line="400" w:lineRule="exact"/>
              <w:ind w:firstLine="420" w:firstLineChars="200"/>
              <w:jc w:val="left"/>
              <w:rPr>
                <w:rFonts w:hint="eastAsia" w:ascii="宋体" w:hAnsi="宋体" w:cs="宋体"/>
                <w:szCs w:val="21"/>
              </w:rPr>
            </w:pPr>
            <w:r>
              <w:rPr>
                <w:rFonts w:hint="eastAsia" w:ascii="宋体" w:hAnsi="宋体" w:cs="宋体"/>
                <w:szCs w:val="20"/>
              </w:rPr>
              <w:t>针对采购人用户提供系统软件产品和应用系统的技术培训。提供具有相应专业知识、实际工作和培训经验的人员和相应的教材。</w:t>
            </w:r>
          </w:p>
          <w:p>
            <w:pPr>
              <w:spacing w:line="400" w:lineRule="exact"/>
              <w:ind w:firstLine="420" w:firstLineChars="200"/>
              <w:jc w:val="left"/>
              <w:rPr>
                <w:rFonts w:hint="eastAsia" w:ascii="宋体" w:hAnsi="宋体" w:cs="宋体"/>
                <w:szCs w:val="21"/>
              </w:rPr>
            </w:pPr>
            <w:r>
              <w:rPr>
                <w:rFonts w:hint="eastAsia" w:ascii="宋体" w:hAnsi="宋体" w:cs="宋体"/>
                <w:szCs w:val="21"/>
              </w:rPr>
              <w:t>（1）</w:t>
            </w:r>
            <w:r>
              <w:rPr>
                <w:rFonts w:hint="eastAsia" w:ascii="宋体" w:hAnsi="宋体" w:cs="宋体"/>
                <w:szCs w:val="20"/>
              </w:rPr>
              <w:t>现场培训</w:t>
            </w:r>
          </w:p>
          <w:p>
            <w:pPr>
              <w:spacing w:line="400" w:lineRule="exact"/>
              <w:ind w:firstLine="420" w:firstLineChars="200"/>
              <w:jc w:val="left"/>
              <w:rPr>
                <w:rFonts w:hint="eastAsia" w:ascii="宋体" w:hAnsi="宋体" w:cs="宋体"/>
                <w:szCs w:val="20"/>
              </w:rPr>
            </w:pPr>
            <w:r>
              <w:rPr>
                <w:rFonts w:hint="eastAsia" w:ascii="宋体" w:hAnsi="宋体" w:cs="宋体"/>
                <w:szCs w:val="20"/>
              </w:rPr>
              <w:t>系统运维期间根据采购人需求提供现场培训，使全体人员能熟练地使用终端设备和应用软件系统。</w:t>
            </w:r>
          </w:p>
          <w:p>
            <w:pPr>
              <w:spacing w:line="400" w:lineRule="exact"/>
              <w:ind w:firstLine="420" w:firstLineChars="200"/>
              <w:jc w:val="left"/>
              <w:rPr>
                <w:rFonts w:hint="eastAsia" w:ascii="宋体" w:hAnsi="宋体" w:cs="宋体"/>
                <w:szCs w:val="21"/>
              </w:rPr>
            </w:pPr>
            <w:r>
              <w:rPr>
                <w:rFonts w:hint="eastAsia" w:ascii="宋体" w:hAnsi="宋体" w:cs="宋体"/>
                <w:szCs w:val="21"/>
              </w:rPr>
              <w:t>（2）</w:t>
            </w:r>
            <w:r>
              <w:rPr>
                <w:rFonts w:hint="eastAsia" w:ascii="宋体" w:hAnsi="宋体" w:cs="宋体"/>
                <w:szCs w:val="20"/>
              </w:rPr>
              <w:t>网络培训</w:t>
            </w:r>
          </w:p>
          <w:p>
            <w:pPr>
              <w:spacing w:line="400" w:lineRule="exact"/>
              <w:ind w:firstLine="420" w:firstLineChars="200"/>
              <w:jc w:val="left"/>
              <w:rPr>
                <w:rFonts w:hint="eastAsia" w:ascii="宋体" w:hAnsi="宋体" w:cs="宋体"/>
                <w:szCs w:val="21"/>
              </w:rPr>
            </w:pPr>
            <w:r>
              <w:rPr>
                <w:rFonts w:hint="eastAsia" w:ascii="宋体" w:hAnsi="宋体" w:cs="宋体"/>
                <w:szCs w:val="20"/>
              </w:rPr>
              <w:t>定期对常见问题进行分析总结，制作出常见问题解决办法或系统操作视频，通过在线或远程等方式提供培训、指导服务。</w:t>
            </w:r>
          </w:p>
          <w:p>
            <w:pPr>
              <w:spacing w:line="400" w:lineRule="exact"/>
              <w:ind w:firstLine="420" w:firstLineChars="200"/>
              <w:jc w:val="left"/>
              <w:rPr>
                <w:rFonts w:hint="eastAsia" w:ascii="宋体" w:hAnsi="宋体" w:cs="宋体"/>
                <w:szCs w:val="20"/>
              </w:rPr>
            </w:pPr>
            <w:r>
              <w:rPr>
                <w:rFonts w:hint="eastAsia" w:ascii="宋体" w:hAnsi="宋体" w:cs="宋体"/>
                <w:szCs w:val="21"/>
              </w:rPr>
              <w:t>5.</w:t>
            </w:r>
            <w:r>
              <w:rPr>
                <w:rFonts w:hint="eastAsia" w:ascii="宋体" w:hAnsi="宋体" w:cs="宋体"/>
                <w:szCs w:val="20"/>
              </w:rPr>
              <w:t xml:space="preserve"> 服务人员素质培训</w:t>
            </w:r>
          </w:p>
          <w:p>
            <w:pPr>
              <w:spacing w:line="400" w:lineRule="exact"/>
              <w:ind w:firstLine="420" w:firstLineChars="200"/>
              <w:jc w:val="left"/>
              <w:rPr>
                <w:rFonts w:hint="eastAsia" w:ascii="宋体" w:hAnsi="宋体" w:cs="宋体"/>
                <w:szCs w:val="21"/>
              </w:rPr>
            </w:pPr>
            <w:r>
              <w:rPr>
                <w:rFonts w:hint="eastAsia" w:ascii="宋体" w:hAnsi="宋体" w:cs="宋体"/>
                <w:szCs w:val="20"/>
              </w:rPr>
              <w:t>供应商应不定期对运维服务团队的服务意识规范、服务用语规范、服务响应、专业技能等进行专业的培训，以保证服务人员的服务态度及技能。</w:t>
            </w:r>
          </w:p>
          <w:p>
            <w:pPr>
              <w:spacing w:line="400" w:lineRule="exact"/>
              <w:ind w:firstLine="420" w:firstLineChars="200"/>
              <w:jc w:val="left"/>
              <w:rPr>
                <w:rFonts w:hint="eastAsia" w:ascii="宋体" w:hAnsi="宋体" w:cs="宋体"/>
                <w:szCs w:val="21"/>
              </w:rPr>
            </w:pPr>
            <w:r>
              <w:rPr>
                <w:rFonts w:hint="eastAsia" w:ascii="宋体" w:hAnsi="宋体" w:cs="宋体"/>
                <w:szCs w:val="20"/>
              </w:rPr>
              <w:t>▲</w:t>
            </w:r>
            <w:r>
              <w:rPr>
                <w:rFonts w:hint="eastAsia" w:ascii="宋体" w:hAnsi="宋体" w:cs="宋体"/>
                <w:szCs w:val="21"/>
              </w:rPr>
              <w:t>6.</w:t>
            </w:r>
            <w:r>
              <w:rPr>
                <w:rFonts w:hint="eastAsia" w:ascii="宋体" w:hAnsi="宋体" w:cs="宋体"/>
                <w:szCs w:val="20"/>
              </w:rPr>
              <w:t xml:space="preserve"> 付款方式</w:t>
            </w:r>
          </w:p>
          <w:p>
            <w:pPr>
              <w:spacing w:line="400" w:lineRule="exact"/>
              <w:ind w:firstLine="420" w:firstLineChars="200"/>
              <w:jc w:val="left"/>
              <w:rPr>
                <w:rFonts w:hint="eastAsia" w:ascii="宋体" w:hAnsi="宋体" w:cs="宋体"/>
                <w:szCs w:val="21"/>
              </w:rPr>
            </w:pPr>
            <w:r>
              <w:rPr>
                <w:rFonts w:hint="eastAsia" w:ascii="宋体" w:hAnsi="宋体" w:cs="宋体"/>
                <w:szCs w:val="20"/>
              </w:rPr>
              <w:t>合同签订之日起10日内支付合同款的</w:t>
            </w:r>
            <w:r>
              <w:rPr>
                <w:rFonts w:ascii="宋体" w:hAnsi="宋体" w:cs="宋体"/>
                <w:szCs w:val="20"/>
                <w:lang w:val="en"/>
              </w:rPr>
              <w:t>50</w:t>
            </w:r>
            <w:r>
              <w:rPr>
                <w:rFonts w:hint="eastAsia" w:ascii="宋体" w:hAnsi="宋体" w:cs="宋体"/>
                <w:szCs w:val="20"/>
              </w:rPr>
              <w:t>%；运维通过2个月考核支付合同款的40%；运维通过4个月考核支付</w:t>
            </w:r>
            <w:r>
              <w:rPr>
                <w:rFonts w:hint="eastAsia" w:ascii="宋体" w:hAnsi="宋体" w:cs="宋体"/>
                <w:color w:val="000000"/>
                <w:szCs w:val="20"/>
              </w:rPr>
              <w:t>剩余的10%的合同款</w:t>
            </w:r>
            <w:r>
              <w:rPr>
                <w:rFonts w:hint="eastAsia" w:ascii="宋体" w:hAnsi="宋体" w:cs="宋体"/>
                <w:szCs w:val="20"/>
              </w:rPr>
              <w:t>。供应商应在采购人付款前提出付款申请，并向采购人提供等额的合法有效发票，采购人在收到发票15个工作日内支付相应金额。供应商未及时向采购人开具发票的，采购人有权顺延付款时间，且不承担任何逾期付款违约责任。</w:t>
            </w:r>
          </w:p>
          <w:p>
            <w:pPr>
              <w:spacing w:line="400" w:lineRule="exact"/>
              <w:ind w:firstLine="420" w:firstLineChars="200"/>
              <w:jc w:val="left"/>
              <w:rPr>
                <w:rFonts w:hint="eastAsia" w:ascii="宋体" w:hAnsi="宋体" w:cs="宋体"/>
                <w:szCs w:val="21"/>
              </w:rPr>
            </w:pPr>
            <w:r>
              <w:rPr>
                <w:rFonts w:hint="eastAsia" w:ascii="宋体" w:hAnsi="宋体" w:cs="宋体"/>
                <w:szCs w:val="20"/>
              </w:rPr>
              <w:t>▲</w:t>
            </w:r>
            <w:r>
              <w:rPr>
                <w:rFonts w:hint="eastAsia" w:ascii="宋体" w:hAnsi="宋体" w:cs="宋体"/>
                <w:szCs w:val="21"/>
              </w:rPr>
              <w:t>7.</w:t>
            </w:r>
            <w:r>
              <w:rPr>
                <w:rFonts w:hint="eastAsia" w:ascii="宋体" w:hAnsi="宋体" w:cs="宋体"/>
                <w:szCs w:val="20"/>
              </w:rPr>
              <w:t xml:space="preserve"> 履约保证金</w:t>
            </w:r>
          </w:p>
          <w:p>
            <w:pPr>
              <w:spacing w:line="400" w:lineRule="exact"/>
              <w:ind w:firstLine="420" w:firstLineChars="200"/>
              <w:jc w:val="left"/>
              <w:rPr>
                <w:rFonts w:hint="eastAsia" w:ascii="宋体" w:hAnsi="宋体" w:cs="宋体"/>
                <w:szCs w:val="20"/>
              </w:rPr>
            </w:pPr>
            <w:r>
              <w:rPr>
                <w:rFonts w:hint="eastAsia" w:ascii="宋体" w:hAnsi="宋体" w:cs="宋体"/>
                <w:szCs w:val="20"/>
              </w:rPr>
              <w:t>履约保证金金额：合同金额的2%。</w:t>
            </w:r>
          </w:p>
          <w:p>
            <w:pPr>
              <w:spacing w:line="400" w:lineRule="exact"/>
              <w:ind w:firstLine="420" w:firstLineChars="200"/>
              <w:jc w:val="left"/>
              <w:rPr>
                <w:rFonts w:hint="eastAsia" w:ascii="宋体" w:hAnsi="宋体" w:cs="宋体"/>
                <w:szCs w:val="20"/>
              </w:rPr>
            </w:pPr>
            <w:r>
              <w:rPr>
                <w:rFonts w:hint="eastAsia" w:ascii="宋体" w:hAnsi="宋体" w:cs="宋体"/>
                <w:szCs w:val="20"/>
              </w:rPr>
              <w:t>在收到成交通知书后，合同签订之前，供应商须向采购人指定账户提交足额履约保证金。</w:t>
            </w:r>
          </w:p>
          <w:p>
            <w:pPr>
              <w:spacing w:line="400" w:lineRule="exact"/>
              <w:ind w:firstLine="420" w:firstLineChars="200"/>
              <w:jc w:val="left"/>
              <w:rPr>
                <w:rFonts w:hint="eastAsia" w:ascii="宋体" w:hAnsi="宋体" w:cs="宋体"/>
                <w:szCs w:val="20"/>
              </w:rPr>
            </w:pPr>
            <w:r>
              <w:rPr>
                <w:rFonts w:hint="eastAsia" w:ascii="宋体" w:hAnsi="宋体" w:cs="宋体"/>
                <w:szCs w:val="20"/>
              </w:rPr>
              <w:t>服务期内，采购人根据合同约定对成交供应商的服务质量进行考核，并扣罚相应的履约保证金。</w:t>
            </w:r>
          </w:p>
          <w:p>
            <w:pPr>
              <w:spacing w:line="400" w:lineRule="exact"/>
              <w:ind w:firstLine="420" w:firstLineChars="200"/>
              <w:jc w:val="left"/>
              <w:rPr>
                <w:rFonts w:hint="eastAsia" w:ascii="宋体" w:hAnsi="宋体" w:cs="宋体"/>
                <w:szCs w:val="20"/>
              </w:rPr>
            </w:pPr>
            <w:r>
              <w:rPr>
                <w:rFonts w:hint="eastAsia" w:ascii="宋体" w:hAnsi="宋体" w:cs="宋体"/>
                <w:szCs w:val="20"/>
              </w:rPr>
              <w:t>项目验收后，由成交供应商提出申请，采购人根据全年考核情况在成交供应商提出申请后十五个工作日内将扣罚后剩余的履约保证金无息退还。</w:t>
            </w:r>
          </w:p>
          <w:p>
            <w:pPr>
              <w:spacing w:line="400" w:lineRule="exact"/>
              <w:ind w:firstLine="420" w:firstLineChars="200"/>
              <w:jc w:val="left"/>
              <w:rPr>
                <w:rFonts w:hint="eastAsia" w:ascii="宋体" w:hAnsi="宋体" w:cs="宋体"/>
                <w:szCs w:val="21"/>
              </w:rPr>
            </w:pPr>
            <w:r>
              <w:rPr>
                <w:rFonts w:hint="eastAsia" w:ascii="宋体" w:hAnsi="宋体" w:cs="宋体"/>
                <w:szCs w:val="20"/>
              </w:rPr>
              <w:t>履约保证金递交方式：允许供应商自主选择以转账、电汇、支票、汇票、本票、保函、保险单等非现金形式缴纳或提交。</w:t>
            </w:r>
          </w:p>
          <w:p>
            <w:pPr>
              <w:spacing w:line="400" w:lineRule="exact"/>
              <w:ind w:firstLine="420" w:firstLineChars="200"/>
              <w:jc w:val="left"/>
              <w:rPr>
                <w:rFonts w:hint="eastAsia" w:ascii="宋体" w:hAnsi="宋体" w:cs="宋体"/>
                <w:szCs w:val="21"/>
              </w:rPr>
            </w:pPr>
            <w:r>
              <w:rPr>
                <w:rFonts w:hint="eastAsia" w:ascii="宋体" w:hAnsi="宋体" w:cs="宋体"/>
                <w:szCs w:val="20"/>
              </w:rPr>
              <w:t>▲</w:t>
            </w:r>
            <w:r>
              <w:rPr>
                <w:rFonts w:hint="eastAsia" w:ascii="宋体" w:hAnsi="宋体" w:cs="宋体"/>
                <w:szCs w:val="21"/>
              </w:rPr>
              <w:t>8.</w:t>
            </w:r>
            <w:r>
              <w:rPr>
                <w:rFonts w:hint="eastAsia" w:ascii="宋体" w:hAnsi="宋体" w:cs="宋体"/>
                <w:szCs w:val="20"/>
              </w:rPr>
              <w:t xml:space="preserve"> 其他要求</w:t>
            </w:r>
          </w:p>
          <w:p>
            <w:pPr>
              <w:spacing w:line="400" w:lineRule="exact"/>
              <w:ind w:firstLine="420" w:firstLineChars="200"/>
              <w:jc w:val="left"/>
              <w:rPr>
                <w:rFonts w:hint="eastAsia" w:ascii="宋体" w:hAnsi="宋体" w:cs="宋体"/>
                <w:szCs w:val="21"/>
              </w:rPr>
            </w:pPr>
            <w:r>
              <w:rPr>
                <w:rFonts w:hint="eastAsia" w:ascii="宋体" w:hAnsi="宋体" w:cs="宋体"/>
                <w:szCs w:val="21"/>
              </w:rPr>
              <w:t>（1）</w:t>
            </w:r>
            <w:r>
              <w:rPr>
                <w:rFonts w:hint="eastAsia" w:ascii="宋体" w:hAnsi="宋体" w:cs="宋体"/>
                <w:szCs w:val="20"/>
              </w:rPr>
              <w:t>供应商使用采购人提供的设备和物品属采购人所有，在运维服务工作完成或终止时，应将设备和剩余物品及时归还给采购人。</w:t>
            </w:r>
          </w:p>
          <w:p>
            <w:pPr>
              <w:spacing w:line="400" w:lineRule="exact"/>
              <w:ind w:firstLine="420" w:firstLineChars="200"/>
              <w:jc w:val="left"/>
              <w:rPr>
                <w:rFonts w:hint="eastAsia" w:ascii="宋体" w:hAnsi="宋体" w:cs="宋体"/>
                <w:szCs w:val="21"/>
              </w:rPr>
            </w:pPr>
            <w:r>
              <w:rPr>
                <w:rFonts w:hint="eastAsia" w:ascii="宋体" w:hAnsi="宋体" w:cs="宋体"/>
                <w:szCs w:val="21"/>
              </w:rPr>
              <w:t>（2）</w:t>
            </w:r>
            <w:r>
              <w:rPr>
                <w:rFonts w:hint="eastAsia" w:ascii="宋体" w:hAnsi="宋体" w:cs="宋体"/>
                <w:szCs w:val="20"/>
              </w:rPr>
              <w:t>其他未尽事宜由供需双方在采购合同中详细约定。</w:t>
            </w:r>
          </w:p>
          <w:p>
            <w:pPr>
              <w:spacing w:line="400" w:lineRule="exact"/>
              <w:ind w:firstLine="420" w:firstLineChars="200"/>
              <w:jc w:val="left"/>
              <w:rPr>
                <w:rFonts w:ascii="宋体" w:hAnsi="宋体" w:cs="宋体"/>
                <w:szCs w:val="21"/>
              </w:rPr>
            </w:pPr>
            <w:r>
              <w:rPr>
                <w:rFonts w:hint="eastAsia" w:ascii="宋体" w:hAnsi="宋体" w:cs="宋体"/>
                <w:szCs w:val="21"/>
              </w:rPr>
              <w:t>（3）</w:t>
            </w:r>
            <w:r>
              <w:rPr>
                <w:rFonts w:hint="eastAsia" w:ascii="宋体" w:hAnsi="宋体" w:cs="宋体"/>
                <w:szCs w:val="20"/>
              </w:rPr>
              <w:t>供应商必须针对本项目提供技术方案等内容；如有请提供与本项目采购内容相关的信誉业绩、人员资质等相关证明材料。</w:t>
            </w:r>
          </w:p>
        </w:tc>
      </w:tr>
    </w:tbl>
    <w:p>
      <w:pPr>
        <w:spacing w:line="360" w:lineRule="auto"/>
        <w:jc w:val="left"/>
        <w:rPr>
          <w:rFonts w:hint="eastAsia"/>
        </w:rPr>
      </w:pPr>
    </w:p>
    <w:p>
      <w:pPr>
        <w:spacing w:line="320" w:lineRule="exact"/>
        <w:rPr>
          <w:rFonts w:hint="eastAsia" w:ascii="宋体" w:hAnsi="宋体"/>
          <w:szCs w:val="21"/>
        </w:rPr>
      </w:pPr>
    </w:p>
    <w:p>
      <w:pPr>
        <w:widowControl/>
        <w:jc w:val="left"/>
        <w:rPr>
          <w:rFonts w:ascii="宋体" w:hAnsi="宋体" w:cs="宋体"/>
          <w:b/>
          <w:bCs/>
        </w:rPr>
        <w:sectPr>
          <w:pgSz w:w="11910" w:h="16840"/>
          <w:pgMar w:top="1520" w:right="1500" w:bottom="1460" w:left="1680" w:header="720" w:footer="720" w:gutter="0"/>
          <w:pgNumType w:start="1"/>
          <w:cols w:space="720" w:num="1"/>
          <w:docGrid w:type="lines" w:linePitch="312" w:charSpace="0"/>
        </w:sectPr>
      </w:pPr>
    </w:p>
    <w:p>
      <w:pPr>
        <w:spacing w:line="360" w:lineRule="auto"/>
        <w:ind w:firstLine="422" w:firstLineChars="200"/>
        <w:rPr>
          <w:rFonts w:hint="eastAsia" w:ascii="宋体" w:hAnsi="宋体"/>
          <w:b/>
          <w:bCs/>
        </w:rPr>
      </w:pPr>
      <w:r>
        <w:rPr>
          <w:rFonts w:hint="eastAsia" w:ascii="宋体" w:hAnsi="宋体"/>
          <w:b/>
          <w:bCs/>
        </w:rPr>
        <w:t xml:space="preserve"> </w:t>
      </w:r>
    </w:p>
    <w:p>
      <w:pPr>
        <w:spacing w:line="428" w:lineRule="exact"/>
        <w:ind w:left="119"/>
        <w:rPr>
          <w:rFonts w:hint="eastAsia" w:ascii="Arial Unicode MS" w:hAnsi="Arial Unicode MS"/>
          <w:sz w:val="17"/>
          <w:szCs w:val="17"/>
        </w:rPr>
      </w:pPr>
      <w:r>
        <w:rPr>
          <w:rFonts w:hint="eastAsia" w:ascii="微软雅黑" w:hAnsi="微软雅黑" w:eastAsia="微软雅黑"/>
          <w:sz w:val="32"/>
          <w:szCs w:val="32"/>
        </w:rPr>
        <w:t>附件1：</w:t>
      </w:r>
    </w:p>
    <w:p>
      <w:pPr>
        <w:spacing w:line="528" w:lineRule="exact"/>
        <w:ind w:left="1871"/>
        <w:rPr>
          <w:rFonts w:ascii="Arial Unicode MS" w:hAnsi="Arial Unicode MS"/>
          <w:sz w:val="40"/>
          <w:szCs w:val="40"/>
        </w:rPr>
      </w:pPr>
      <w:r>
        <w:rPr>
          <w:rFonts w:hint="eastAsia" w:ascii="微软雅黑" w:hAnsi="微软雅黑" w:eastAsia="微软雅黑"/>
          <w:sz w:val="40"/>
          <w:szCs w:val="40"/>
        </w:rPr>
        <w:t>节能产品政府采购品目清单</w:t>
      </w:r>
    </w:p>
    <w:tbl>
      <w:tblPr>
        <w:tblStyle w:val="31"/>
        <w:tblW w:w="9220" w:type="dxa"/>
        <w:tblInd w:w="93" w:type="dxa"/>
        <w:tblLayout w:type="autofit"/>
        <w:tblCellMar>
          <w:top w:w="0" w:type="dxa"/>
          <w:left w:w="108" w:type="dxa"/>
          <w:bottom w:w="0" w:type="dxa"/>
          <w:right w:w="108" w:type="dxa"/>
        </w:tblCellMar>
      </w:tblPr>
      <w:tblGrid>
        <w:gridCol w:w="660"/>
        <w:gridCol w:w="1080"/>
        <w:gridCol w:w="1320"/>
        <w:gridCol w:w="1620"/>
        <w:gridCol w:w="4540"/>
      </w:tblGrid>
      <w:tr>
        <w:tblPrEx>
          <w:tblCellMar>
            <w:top w:w="0" w:type="dxa"/>
            <w:left w:w="108" w:type="dxa"/>
            <w:bottom w:w="0" w:type="dxa"/>
            <w:right w:w="108" w:type="dxa"/>
          </w:tblCellMar>
        </w:tblPrEx>
        <w:trPr>
          <w:trHeight w:val="555" w:hRule="atLeast"/>
        </w:trPr>
        <w:tc>
          <w:tcPr>
            <w:tcW w:w="660" w:type="dxa"/>
            <w:tcBorders>
              <w:top w:val="single" w:color="000000" w:sz="8" w:space="0"/>
              <w:left w:val="single" w:color="000000" w:sz="8" w:space="0"/>
              <w:bottom w:val="single" w:color="000000" w:sz="8" w:space="0"/>
              <w:right w:val="single" w:color="000000" w:sz="8" w:space="0"/>
            </w:tcBorders>
            <w:noWrap w:val="0"/>
            <w:vAlign w:val="top"/>
          </w:tcPr>
          <w:p>
            <w:pPr>
              <w:widowControl/>
              <w:jc w:val="center"/>
              <w:rPr>
                <w:rFonts w:ascii="宋体" w:hAnsi="宋体"/>
                <w:b/>
                <w:bCs/>
                <w:kern w:val="0"/>
                <w:sz w:val="22"/>
                <w:szCs w:val="22"/>
              </w:rPr>
            </w:pPr>
            <w:r>
              <w:rPr>
                <w:rFonts w:hint="eastAsia" w:ascii="宋体" w:hAnsi="宋体"/>
                <w:b/>
                <w:bCs/>
                <w:kern w:val="0"/>
                <w:sz w:val="22"/>
                <w:szCs w:val="22"/>
              </w:rPr>
              <w:t>品目序号</w:t>
            </w:r>
          </w:p>
        </w:tc>
        <w:tc>
          <w:tcPr>
            <w:tcW w:w="4020" w:type="dxa"/>
            <w:gridSpan w:val="3"/>
            <w:tcBorders>
              <w:top w:val="single" w:color="000000" w:sz="8" w:space="0"/>
              <w:left w:val="nil"/>
              <w:bottom w:val="single" w:color="000000" w:sz="8" w:space="0"/>
              <w:right w:val="single" w:color="000000" w:sz="8" w:space="0"/>
            </w:tcBorders>
            <w:noWrap w:val="0"/>
            <w:vAlign w:val="center"/>
          </w:tcPr>
          <w:p>
            <w:pPr>
              <w:widowControl/>
              <w:jc w:val="center"/>
              <w:rPr>
                <w:rFonts w:ascii="宋体" w:hAnsi="宋体"/>
                <w:b/>
                <w:bCs/>
                <w:kern w:val="0"/>
                <w:sz w:val="22"/>
                <w:szCs w:val="22"/>
              </w:rPr>
            </w:pPr>
            <w:r>
              <w:rPr>
                <w:rFonts w:hint="eastAsia" w:ascii="宋体" w:hAnsi="宋体"/>
                <w:b/>
                <w:bCs/>
                <w:kern w:val="0"/>
                <w:sz w:val="22"/>
                <w:szCs w:val="22"/>
              </w:rPr>
              <w:t>名称</w:t>
            </w:r>
          </w:p>
        </w:tc>
        <w:tc>
          <w:tcPr>
            <w:tcW w:w="4540" w:type="dxa"/>
            <w:tcBorders>
              <w:top w:val="single" w:color="000000" w:sz="8" w:space="0"/>
              <w:left w:val="nil"/>
              <w:bottom w:val="single" w:color="000000" w:sz="8" w:space="0"/>
              <w:right w:val="single" w:color="000000" w:sz="8" w:space="0"/>
            </w:tcBorders>
            <w:noWrap w:val="0"/>
            <w:vAlign w:val="center"/>
          </w:tcPr>
          <w:p>
            <w:pPr>
              <w:widowControl/>
              <w:jc w:val="center"/>
              <w:rPr>
                <w:rFonts w:ascii="宋体" w:hAnsi="宋体"/>
                <w:b/>
                <w:bCs/>
                <w:kern w:val="0"/>
                <w:sz w:val="22"/>
                <w:szCs w:val="22"/>
              </w:rPr>
            </w:pPr>
            <w:r>
              <w:rPr>
                <w:rFonts w:hint="eastAsia" w:ascii="宋体" w:hAnsi="宋体"/>
                <w:b/>
                <w:bCs/>
                <w:kern w:val="0"/>
                <w:sz w:val="22"/>
                <w:szCs w:val="22"/>
              </w:rPr>
              <w:t>依据的标准</w:t>
            </w:r>
          </w:p>
        </w:tc>
      </w:tr>
      <w:tr>
        <w:tblPrEx>
          <w:tblCellMar>
            <w:top w:w="0" w:type="dxa"/>
            <w:left w:w="108" w:type="dxa"/>
            <w:bottom w:w="0" w:type="dxa"/>
            <w:right w:w="108" w:type="dxa"/>
          </w:tblCellMar>
        </w:tblPrEx>
        <w:trPr>
          <w:trHeight w:val="495" w:hRule="atLeast"/>
        </w:trPr>
        <w:tc>
          <w:tcPr>
            <w:tcW w:w="660" w:type="dxa"/>
            <w:vMerge w:val="restart"/>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1</w:t>
            </w:r>
          </w:p>
        </w:tc>
        <w:tc>
          <w:tcPr>
            <w:tcW w:w="1080" w:type="dxa"/>
            <w:vMerge w:val="restart"/>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A020101计算机设备</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★A02010104台式计算机</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《微型计算机能效限定值及能效等级》（GB28380）</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★A02010105便携式计算机</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《微型计算机能效限定值及能效等级》（GB28380）</w:t>
            </w:r>
          </w:p>
        </w:tc>
      </w:tr>
      <w:tr>
        <w:tblPrEx>
          <w:tblCellMar>
            <w:top w:w="0" w:type="dxa"/>
            <w:left w:w="108" w:type="dxa"/>
            <w:bottom w:w="0" w:type="dxa"/>
            <w:right w:w="108" w:type="dxa"/>
          </w:tblCellMar>
        </w:tblPrEx>
        <w:trPr>
          <w:trHeight w:val="73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★A02010107平板式微型计算机</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《微型计算机能效限定值及能效等级》（GB28380）</w:t>
            </w:r>
          </w:p>
        </w:tc>
      </w:tr>
      <w:tr>
        <w:tblPrEx>
          <w:tblCellMar>
            <w:top w:w="0" w:type="dxa"/>
            <w:left w:w="108" w:type="dxa"/>
            <w:bottom w:w="0" w:type="dxa"/>
            <w:right w:w="108" w:type="dxa"/>
          </w:tblCellMar>
        </w:tblPrEx>
        <w:trPr>
          <w:trHeight w:val="495" w:hRule="atLeast"/>
        </w:trPr>
        <w:tc>
          <w:tcPr>
            <w:tcW w:w="660" w:type="dxa"/>
            <w:vMerge w:val="restart"/>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2</w:t>
            </w:r>
          </w:p>
        </w:tc>
        <w:tc>
          <w:tcPr>
            <w:tcW w:w="1080" w:type="dxa"/>
            <w:vMerge w:val="restart"/>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A020106输入输出设备</w:t>
            </w:r>
          </w:p>
        </w:tc>
        <w:tc>
          <w:tcPr>
            <w:tcW w:w="1320" w:type="dxa"/>
            <w:vMerge w:val="restart"/>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A02010601打印设备</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A0201060101喷墨打印机</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《复印机、打印机和传真机能效限定值及能效等级》（GB21521）</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★A0201060102激光打印机</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《复印机、打印机和传真机能效限定值及能效等级》（GB21521）</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★A0201060104针式打印机</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《复印机、打印机和传真机能效限定值及能效等级》（GB21521）</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A02010604显示设备</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★A0201060401液晶显示器</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《计算机显示器能效限定值及能效等级》（GB21520）</w:t>
            </w:r>
          </w:p>
        </w:tc>
      </w:tr>
      <w:tr>
        <w:tblPrEx>
          <w:tblCellMar>
            <w:top w:w="0" w:type="dxa"/>
            <w:left w:w="108" w:type="dxa"/>
            <w:bottom w:w="0" w:type="dxa"/>
            <w:right w:w="108" w:type="dxa"/>
          </w:tblCellMar>
        </w:tblPrEx>
        <w:trPr>
          <w:trHeight w:val="97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A02010609图形图像输入设备</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A0201060901扫描仪</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参照《复印机、打印机和传真机能效限定值及能效等级》（GB21521中打印速度为15页/分的针式打印机相关要求中打印速度为15页/分的针式打印机相关要求</w:t>
            </w:r>
          </w:p>
        </w:tc>
      </w:tr>
      <w:tr>
        <w:tblPrEx>
          <w:tblCellMar>
            <w:top w:w="0" w:type="dxa"/>
            <w:left w:w="108" w:type="dxa"/>
            <w:bottom w:w="0" w:type="dxa"/>
            <w:right w:w="108" w:type="dxa"/>
          </w:tblCellMar>
        </w:tblPrEx>
        <w:trPr>
          <w:trHeight w:val="49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3</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A020202投影仪</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《投影机能效限定值及能效等级》（GB32028）</w:t>
            </w:r>
          </w:p>
        </w:tc>
      </w:tr>
      <w:tr>
        <w:tblPrEx>
          <w:tblCellMar>
            <w:top w:w="0" w:type="dxa"/>
            <w:left w:w="108" w:type="dxa"/>
            <w:bottom w:w="0" w:type="dxa"/>
            <w:right w:w="108" w:type="dxa"/>
          </w:tblCellMar>
        </w:tblPrEx>
        <w:trPr>
          <w:trHeight w:val="49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4</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A020204多功能一体机</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《复印机、打印机和传真机能效限定值及能效等级》（GB21521）</w:t>
            </w:r>
          </w:p>
        </w:tc>
      </w:tr>
      <w:tr>
        <w:tblPrEx>
          <w:tblCellMar>
            <w:top w:w="0" w:type="dxa"/>
            <w:left w:w="108" w:type="dxa"/>
            <w:bottom w:w="0" w:type="dxa"/>
            <w:right w:w="108" w:type="dxa"/>
          </w:tblCellMar>
        </w:tblPrEx>
        <w:trPr>
          <w:trHeight w:val="49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5</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A020519泵</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A02051901离心泵</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《清水离心泵能效限定值及节能评价值》（GB19762）</w:t>
            </w:r>
          </w:p>
        </w:tc>
      </w:tr>
      <w:tr>
        <w:tblPrEx>
          <w:tblCellMar>
            <w:top w:w="0" w:type="dxa"/>
            <w:left w:w="108" w:type="dxa"/>
            <w:bottom w:w="0" w:type="dxa"/>
            <w:right w:w="108" w:type="dxa"/>
          </w:tblCellMar>
        </w:tblPrEx>
        <w:trPr>
          <w:trHeight w:val="735" w:hRule="atLeast"/>
        </w:trPr>
        <w:tc>
          <w:tcPr>
            <w:tcW w:w="660" w:type="dxa"/>
            <w:vMerge w:val="restart"/>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6</w:t>
            </w:r>
          </w:p>
        </w:tc>
        <w:tc>
          <w:tcPr>
            <w:tcW w:w="1080" w:type="dxa"/>
            <w:vMerge w:val="restart"/>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A020523制冷空调设备</w:t>
            </w:r>
          </w:p>
        </w:tc>
        <w:tc>
          <w:tcPr>
            <w:tcW w:w="1320" w:type="dxa"/>
            <w:vMerge w:val="restart"/>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★A02052301制冷压缩机</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冷水机组</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《冷水机组能效限定值及能效等级》（GB19577），《低环境温度空气源热泵（冷水）机组能效限定值及能效等级》（GB37480）</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水源热泵机组</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《水（地）源热泵机组能效限定值及能效等级》（GB30721）</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溴化锂吸收式冷水机组</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《溴化锂吸收式冷水机组能效限定值及能效等级》（GB29540）</w:t>
            </w:r>
          </w:p>
        </w:tc>
      </w:tr>
      <w:tr>
        <w:tblPrEx>
          <w:tblCellMar>
            <w:top w:w="0" w:type="dxa"/>
            <w:left w:w="108" w:type="dxa"/>
            <w:bottom w:w="0" w:type="dxa"/>
            <w:right w:w="108" w:type="dxa"/>
          </w:tblCellMar>
        </w:tblPrEx>
        <w:trPr>
          <w:trHeight w:val="73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vMerge w:val="restart"/>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★A02052305空调机组</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多联式空调（热泵）机组(制冷量&gt;14000W)</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《多联式空调（热泵）机组能效限定值及能源效率等级》（GB21454）</w:t>
            </w:r>
          </w:p>
        </w:tc>
      </w:tr>
      <w:tr>
        <w:tblPrEx>
          <w:tblCellMar>
            <w:top w:w="0" w:type="dxa"/>
            <w:left w:w="108" w:type="dxa"/>
            <w:bottom w:w="0" w:type="dxa"/>
            <w:right w:w="108" w:type="dxa"/>
          </w:tblCellMar>
        </w:tblPrEx>
        <w:trPr>
          <w:trHeight w:val="73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单元式空气调节机(制冷量&gt;14000W</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《单元式空气调节机能效限定值及能效等级》（GB19576）《风管送风式空调机组能效限定值及能效等级》（GB37479）</w:t>
            </w:r>
          </w:p>
        </w:tc>
      </w:tr>
      <w:tr>
        <w:tblPrEx>
          <w:tblCellMar>
            <w:top w:w="0" w:type="dxa"/>
            <w:left w:w="108" w:type="dxa"/>
            <w:bottom w:w="0" w:type="dxa"/>
            <w:right w:w="108" w:type="dxa"/>
          </w:tblCellMar>
        </w:tblPrEx>
        <w:trPr>
          <w:trHeight w:val="73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★A02052309专用制冷、空调设备</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机房空调</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《单元式空气调节机能效限定值及能效等级》（GB19576）</w:t>
            </w:r>
          </w:p>
        </w:tc>
      </w:tr>
      <w:tr>
        <w:tblPrEx>
          <w:tblCellMar>
            <w:top w:w="0" w:type="dxa"/>
            <w:left w:w="108" w:type="dxa"/>
            <w:bottom w:w="0" w:type="dxa"/>
            <w:right w:w="108" w:type="dxa"/>
          </w:tblCellMar>
        </w:tblPrEx>
        <w:trPr>
          <w:trHeight w:val="73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A02052399其他制冷空调设备</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冷却塔</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《机械通风冷却塔第1部分：中小型开式冷却塔》（GB/T7190.1）；《机械通风冷却塔第2部分：大型开式冷却塔》（GB/T7190.2）</w:t>
            </w:r>
          </w:p>
        </w:tc>
      </w:tr>
      <w:tr>
        <w:tblPrEx>
          <w:tblCellMar>
            <w:top w:w="0" w:type="dxa"/>
            <w:left w:w="108" w:type="dxa"/>
            <w:bottom w:w="0" w:type="dxa"/>
            <w:right w:w="108" w:type="dxa"/>
          </w:tblCellMar>
        </w:tblPrEx>
        <w:trPr>
          <w:trHeight w:val="49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7</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A020601电机</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《中小型三相异步电动机能效限定值及能效等级》（GB18613）</w:t>
            </w:r>
          </w:p>
        </w:tc>
      </w:tr>
      <w:tr>
        <w:tblPrEx>
          <w:tblCellMar>
            <w:top w:w="0" w:type="dxa"/>
            <w:left w:w="108" w:type="dxa"/>
            <w:bottom w:w="0" w:type="dxa"/>
            <w:right w:w="108" w:type="dxa"/>
          </w:tblCellMar>
        </w:tblPrEx>
        <w:trPr>
          <w:trHeight w:val="49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8</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A020602变压器</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配电变压器</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《三相配电变压器能效限定值及能效等级》（GB20052）</w:t>
            </w:r>
          </w:p>
        </w:tc>
      </w:tr>
      <w:tr>
        <w:tblPrEx>
          <w:tblCellMar>
            <w:top w:w="0" w:type="dxa"/>
            <w:left w:w="108" w:type="dxa"/>
            <w:bottom w:w="0" w:type="dxa"/>
            <w:right w:w="108" w:type="dxa"/>
          </w:tblCellMar>
        </w:tblPrEx>
        <w:trPr>
          <w:trHeight w:val="49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9</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★A020609镇流器</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管型荧光灯镇流器</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《管形荧光灯镇流器能效限定值及能效等级》（GB17896）</w:t>
            </w:r>
          </w:p>
        </w:tc>
      </w:tr>
      <w:tr>
        <w:tblPrEx>
          <w:tblCellMar>
            <w:top w:w="0" w:type="dxa"/>
            <w:left w:w="108" w:type="dxa"/>
            <w:bottom w:w="0" w:type="dxa"/>
            <w:right w:w="108" w:type="dxa"/>
          </w:tblCellMar>
        </w:tblPrEx>
        <w:trPr>
          <w:trHeight w:val="495" w:hRule="atLeast"/>
        </w:trPr>
        <w:tc>
          <w:tcPr>
            <w:tcW w:w="660" w:type="dxa"/>
            <w:vMerge w:val="restart"/>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10</w:t>
            </w:r>
          </w:p>
        </w:tc>
        <w:tc>
          <w:tcPr>
            <w:tcW w:w="1080" w:type="dxa"/>
            <w:vMerge w:val="restart"/>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A020618生活用电器</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A0206180101电冰箱</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《家用电冰箱耗电量限定值及能效等级》（GB 12021.2）</w:t>
            </w:r>
          </w:p>
        </w:tc>
      </w:tr>
      <w:tr>
        <w:tblPrEx>
          <w:tblCellMar>
            <w:top w:w="0" w:type="dxa"/>
            <w:left w:w="108" w:type="dxa"/>
            <w:bottom w:w="0" w:type="dxa"/>
            <w:right w:w="108" w:type="dxa"/>
          </w:tblCellMar>
        </w:tblPrEx>
        <w:trPr>
          <w:trHeight w:val="97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vMerge w:val="restart"/>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★A0206180203空调机</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房间空气调节器</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《转速可控型房间空气调节器能效限定值及能效等级》（GB21455-2013），待2019年修订发布后，按《房间空气调节器能效限定值及能效等级》（GB21455-2019实施。</w:t>
            </w:r>
          </w:p>
        </w:tc>
      </w:tr>
      <w:tr>
        <w:tblPrEx>
          <w:tblCellMar>
            <w:top w:w="0" w:type="dxa"/>
            <w:left w:w="108" w:type="dxa"/>
            <w:bottom w:w="0" w:type="dxa"/>
            <w:right w:w="108" w:type="dxa"/>
          </w:tblCellMar>
        </w:tblPrEx>
        <w:trPr>
          <w:trHeight w:val="73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多联式空调（热泵）机组（制冷量≤ 14000W）</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《多联式空调（热泵）机组能效限定值及能源效率等级》（GB21454）</w:t>
            </w:r>
          </w:p>
        </w:tc>
      </w:tr>
      <w:tr>
        <w:tblPrEx>
          <w:tblCellMar>
            <w:top w:w="0" w:type="dxa"/>
            <w:left w:w="108" w:type="dxa"/>
            <w:bottom w:w="0" w:type="dxa"/>
            <w:right w:w="108" w:type="dxa"/>
          </w:tblCellMar>
        </w:tblPrEx>
        <w:trPr>
          <w:trHeight w:val="73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单元式空气调节机(制冷量≤14000W)</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《单元式空气调节机能效限定值及能源效率等级》（GB19576）《风管送风式空调机组能效限定值及能效等级》（GB37479）</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A0206180301洗衣机</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《电动洗衣机能效水效限定值及等级》（GB12021.4）</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vMerge w:val="restart"/>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A02061808热水器</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★电热水器</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《储水式电热水器能效限定值及能效等级》（GB21519）</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燃气热水器</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《家用燃气快速热水器和燃气采暖热水炉能效限定值及能效等级》（GB20665）</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热泵热水器</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《热泵热水机（器）能效限定值及能效等级》（GB29541）</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太阳能热水系统</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《家用太阳能热水系统能效限定值及能效等级》（GB26969）</w:t>
            </w:r>
          </w:p>
        </w:tc>
      </w:tr>
      <w:tr>
        <w:tblPrEx>
          <w:tblCellMar>
            <w:top w:w="0" w:type="dxa"/>
            <w:left w:w="108" w:type="dxa"/>
            <w:bottom w:w="0" w:type="dxa"/>
            <w:right w:w="108" w:type="dxa"/>
          </w:tblCellMar>
        </w:tblPrEx>
        <w:trPr>
          <w:trHeight w:val="495" w:hRule="atLeast"/>
        </w:trPr>
        <w:tc>
          <w:tcPr>
            <w:tcW w:w="660" w:type="dxa"/>
            <w:vMerge w:val="restart"/>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11</w:t>
            </w:r>
          </w:p>
        </w:tc>
        <w:tc>
          <w:tcPr>
            <w:tcW w:w="1080" w:type="dxa"/>
            <w:vMerge w:val="restart"/>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A020619照明设备</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★普通照明用双端荧光灯</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《普通照明用双端荧光灯能效限定值及能效等级》（GB19043）</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LED道路/隧道照明产品</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《道路和隧道照明用LED灯具能效限定值及能效等级》（GB37478）</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LED筒灯</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《室内照明用LED产品能效限定值及能效等级》（GB30255）</w:t>
            </w:r>
          </w:p>
        </w:tc>
      </w:tr>
      <w:tr>
        <w:tblPrEx>
          <w:tblCellMar>
            <w:top w:w="0" w:type="dxa"/>
            <w:left w:w="108" w:type="dxa"/>
            <w:bottom w:w="0" w:type="dxa"/>
            <w:right w:w="108" w:type="dxa"/>
          </w:tblCellMar>
        </w:tblPrEx>
        <w:trPr>
          <w:trHeight w:val="73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普通照明用非定向自镇流LED灯</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《室内照明用LED产品能效限定值及能效等级》（GB30255）</w:t>
            </w:r>
          </w:p>
        </w:tc>
      </w:tr>
      <w:tr>
        <w:tblPrEx>
          <w:tblCellMar>
            <w:top w:w="0" w:type="dxa"/>
            <w:left w:w="108" w:type="dxa"/>
            <w:bottom w:w="0" w:type="dxa"/>
            <w:right w:w="108" w:type="dxa"/>
          </w:tblCellMar>
        </w:tblPrEx>
        <w:trPr>
          <w:trHeight w:val="73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12</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★A020910电视设备</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A02091001普通电视设备（电视机）</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《平板电视能效限定值及能效等级》（GB24850）</w:t>
            </w:r>
          </w:p>
        </w:tc>
      </w:tr>
      <w:tr>
        <w:tblPrEx>
          <w:tblCellMar>
            <w:top w:w="0" w:type="dxa"/>
            <w:left w:w="108" w:type="dxa"/>
            <w:bottom w:w="0" w:type="dxa"/>
            <w:right w:w="108" w:type="dxa"/>
          </w:tblCellMar>
        </w:tblPrEx>
        <w:trPr>
          <w:trHeight w:val="97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13</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★A020911视频设备</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A02091107视频监控设备</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监视器</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以射频信号为主要信号输入的监视器应符合《平板电视能效限定值及能效等级》（GB24850），以数字信号为主要信号输入的监视器应符合《计算机显示器能效限定值及能效等级》（GB21520）</w:t>
            </w:r>
          </w:p>
        </w:tc>
      </w:tr>
      <w:tr>
        <w:tblPrEx>
          <w:tblCellMar>
            <w:top w:w="0" w:type="dxa"/>
            <w:left w:w="108" w:type="dxa"/>
            <w:bottom w:w="0" w:type="dxa"/>
            <w:right w:w="108" w:type="dxa"/>
          </w:tblCellMar>
        </w:tblPrEx>
        <w:trPr>
          <w:trHeight w:val="49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14</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A031210饮食炊事机械</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商用燃气灶具</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《商用燃气灶具能效限定值及能效等级》（GB30531）</w:t>
            </w:r>
          </w:p>
        </w:tc>
      </w:tr>
      <w:tr>
        <w:tblPrEx>
          <w:tblCellMar>
            <w:top w:w="0" w:type="dxa"/>
            <w:left w:w="108" w:type="dxa"/>
            <w:bottom w:w="0" w:type="dxa"/>
            <w:right w:w="108" w:type="dxa"/>
          </w:tblCellMar>
        </w:tblPrEx>
        <w:trPr>
          <w:trHeight w:val="285" w:hRule="atLeast"/>
        </w:trPr>
        <w:tc>
          <w:tcPr>
            <w:tcW w:w="660" w:type="dxa"/>
            <w:vMerge w:val="restart"/>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15</w:t>
            </w:r>
          </w:p>
        </w:tc>
        <w:tc>
          <w:tcPr>
            <w:tcW w:w="1080" w:type="dxa"/>
            <w:vMerge w:val="restart"/>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★A060805便器</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坐便器</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《坐便器水效限定值及水效等级》（GB25502）</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蹲便器</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《蹲便器用水效率限定值及用水效率等级》（GB30717）</w:t>
            </w:r>
          </w:p>
        </w:tc>
      </w:tr>
      <w:tr>
        <w:tblPrEx>
          <w:tblCellMar>
            <w:top w:w="0" w:type="dxa"/>
            <w:left w:w="108" w:type="dxa"/>
            <w:bottom w:w="0" w:type="dxa"/>
            <w:right w:w="108" w:type="dxa"/>
          </w:tblCellMar>
        </w:tblPrEx>
        <w:trPr>
          <w:trHeight w:val="495" w:hRule="atLeast"/>
        </w:trPr>
        <w:tc>
          <w:tcPr>
            <w:tcW w:w="0" w:type="auto"/>
            <w:vMerge w:val="continue"/>
            <w:tcBorders>
              <w:top w:val="nil"/>
              <w:left w:val="single" w:color="000000" w:sz="8" w:space="0"/>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0" w:type="auto"/>
            <w:vMerge w:val="continue"/>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小便器</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《小便器用水效率限定值及用水效率等级》（GB28377）</w:t>
            </w:r>
          </w:p>
        </w:tc>
      </w:tr>
      <w:tr>
        <w:tblPrEx>
          <w:tblCellMar>
            <w:top w:w="0" w:type="dxa"/>
            <w:left w:w="108" w:type="dxa"/>
            <w:bottom w:w="0" w:type="dxa"/>
            <w:right w:w="108" w:type="dxa"/>
          </w:tblCellMar>
        </w:tblPrEx>
        <w:trPr>
          <w:trHeight w:val="49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16</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★A060806水嘴</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《水嘴用水效率限定值及用水效率等级》（GB 25501）</w:t>
            </w:r>
          </w:p>
        </w:tc>
      </w:tr>
      <w:tr>
        <w:tblPrEx>
          <w:tblCellMar>
            <w:top w:w="0" w:type="dxa"/>
            <w:left w:w="108" w:type="dxa"/>
            <w:bottom w:w="0" w:type="dxa"/>
            <w:right w:w="108" w:type="dxa"/>
          </w:tblCellMar>
        </w:tblPrEx>
        <w:trPr>
          <w:trHeight w:val="49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17</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A060807便器冲洗阀</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《便器冲洗阀用水效率限定值及用水效率等级》（GB28379）</w:t>
            </w:r>
          </w:p>
        </w:tc>
      </w:tr>
      <w:tr>
        <w:tblPrEx>
          <w:tblCellMar>
            <w:top w:w="0" w:type="dxa"/>
            <w:left w:w="108" w:type="dxa"/>
            <w:bottom w:w="0" w:type="dxa"/>
            <w:right w:w="108" w:type="dxa"/>
          </w:tblCellMar>
        </w:tblPrEx>
        <w:trPr>
          <w:trHeight w:val="495" w:hRule="atLeast"/>
        </w:trPr>
        <w:tc>
          <w:tcPr>
            <w:tcW w:w="660" w:type="dxa"/>
            <w:tcBorders>
              <w:top w:val="nil"/>
              <w:left w:val="single" w:color="000000" w:sz="8" w:space="0"/>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18</w:t>
            </w:r>
          </w:p>
        </w:tc>
        <w:tc>
          <w:tcPr>
            <w:tcW w:w="108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A060810淋浴器</w:t>
            </w:r>
          </w:p>
        </w:tc>
        <w:tc>
          <w:tcPr>
            <w:tcW w:w="13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1620" w:type="dxa"/>
            <w:tcBorders>
              <w:top w:val="nil"/>
              <w:left w:val="nil"/>
              <w:bottom w:val="single" w:color="000000" w:sz="8" w:space="0"/>
              <w:right w:val="single" w:color="000000" w:sz="8" w:space="0"/>
            </w:tcBorders>
            <w:noWrap w:val="0"/>
            <w:vAlign w:val="center"/>
          </w:tcPr>
          <w:p>
            <w:pPr>
              <w:widowControl/>
              <w:jc w:val="center"/>
              <w:rPr>
                <w:rFonts w:ascii="宋体" w:hAnsi="宋体"/>
                <w:kern w:val="0"/>
                <w:sz w:val="20"/>
                <w:szCs w:val="20"/>
              </w:rPr>
            </w:pPr>
            <w:r>
              <w:rPr>
                <w:rFonts w:hint="eastAsia" w:ascii="宋体" w:hAnsi="宋体"/>
                <w:kern w:val="0"/>
                <w:sz w:val="20"/>
                <w:szCs w:val="20"/>
              </w:rPr>
              <w:t>　</w:t>
            </w:r>
          </w:p>
        </w:tc>
        <w:tc>
          <w:tcPr>
            <w:tcW w:w="4540" w:type="dxa"/>
            <w:tcBorders>
              <w:top w:val="nil"/>
              <w:left w:val="nil"/>
              <w:bottom w:val="single" w:color="000000" w:sz="8" w:space="0"/>
              <w:right w:val="single" w:color="000000" w:sz="8" w:space="0"/>
            </w:tcBorders>
            <w:noWrap w:val="0"/>
            <w:vAlign w:val="center"/>
          </w:tcPr>
          <w:p>
            <w:pPr>
              <w:widowControl/>
              <w:jc w:val="left"/>
              <w:rPr>
                <w:rFonts w:ascii="宋体" w:hAnsi="宋体"/>
                <w:kern w:val="0"/>
                <w:sz w:val="20"/>
                <w:szCs w:val="20"/>
              </w:rPr>
            </w:pPr>
            <w:r>
              <w:rPr>
                <w:rFonts w:hint="eastAsia" w:ascii="宋体" w:hAnsi="宋体"/>
                <w:kern w:val="0"/>
                <w:sz w:val="20"/>
                <w:szCs w:val="20"/>
              </w:rPr>
              <w:t>《淋浴器用水效率限定值及用水效率等级》（GB28378）</w:t>
            </w:r>
          </w:p>
        </w:tc>
      </w:tr>
    </w:tbl>
    <w:p>
      <w:pPr>
        <w:pStyle w:val="12"/>
        <w:widowControl/>
        <w:spacing w:line="360" w:lineRule="auto"/>
        <w:rPr>
          <w:rFonts w:ascii="宋体" w:hAnsi="宋体"/>
          <w:szCs w:val="21"/>
        </w:rPr>
      </w:pPr>
      <w:r>
        <w:rPr>
          <w:rFonts w:hint="eastAsia" w:ascii="宋体" w:hAnsi="宋体"/>
          <w:spacing w:val="-3"/>
        </w:rPr>
        <w:t>注：</w:t>
      </w:r>
      <w:r>
        <w:rPr>
          <w:spacing w:val="-3"/>
        </w:rPr>
        <w:t>1.</w:t>
      </w:r>
      <w:r>
        <w:rPr>
          <w:rFonts w:hint="eastAsia" w:ascii="宋体" w:hAnsi="宋体"/>
          <w:spacing w:val="-3"/>
        </w:rPr>
        <w:t>节能产品认证应依据相关国家标准的最新版本，依据国家标准中二级能效（水效）</w:t>
      </w:r>
      <w:r>
        <w:rPr>
          <w:rFonts w:hint="eastAsia" w:ascii="宋体" w:hAnsi="宋体"/>
        </w:rPr>
        <w:t>指标。</w:t>
      </w:r>
    </w:p>
    <w:p>
      <w:pPr>
        <w:pStyle w:val="17"/>
        <w:widowControl/>
        <w:jc w:val="left"/>
        <w:rPr>
          <w:rFonts w:hint="eastAsia" w:ascii="Arial Unicode MS" w:hAnsi="Arial Unicode MS"/>
          <w:sz w:val="32"/>
          <w:szCs w:val="32"/>
        </w:rPr>
      </w:pPr>
      <w:r>
        <w:rPr>
          <w:rFonts w:hint="eastAsia" w:hAnsi="宋体"/>
        </w:rPr>
        <w:t xml:space="preserve">    2.以</w:t>
      </w:r>
      <w:r>
        <w:rPr>
          <w:rFonts w:hint="eastAsia" w:ascii="Courier New" w:cs="Courier New"/>
        </w:rPr>
        <w:t>“</w:t>
      </w:r>
      <w:r>
        <w:rPr>
          <w:rFonts w:hint="eastAsia" w:hAnsi="宋体"/>
        </w:rPr>
        <w:t>★</w:t>
      </w:r>
      <w:r>
        <w:rPr>
          <w:rFonts w:hint="eastAsia" w:ascii="Courier New" w:cs="Courier New"/>
        </w:rPr>
        <w:t>”</w:t>
      </w:r>
      <w:r>
        <w:rPr>
          <w:rFonts w:hint="eastAsia" w:hAnsi="宋体"/>
        </w:rPr>
        <w:t>标注的为政府强制采购产品。</w:t>
      </w:r>
      <w:r>
        <w:rPr>
          <w:rFonts w:hint="eastAsia"/>
        </w:rPr>
        <w:br w:type="page"/>
      </w:r>
      <w:r>
        <w:rPr>
          <w:rFonts w:hint="eastAsia" w:ascii="微软雅黑" w:hAnsi="微软雅黑" w:eastAsia="微软雅黑"/>
          <w:sz w:val="32"/>
          <w:szCs w:val="32"/>
        </w:rPr>
        <w:t>附件</w:t>
      </w:r>
      <w:r>
        <w:rPr>
          <w:rFonts w:ascii="Arial Unicode MS" w:hAnsi="Arial Unicode MS"/>
          <w:sz w:val="32"/>
          <w:szCs w:val="32"/>
        </w:rPr>
        <w:t>2</w:t>
      </w:r>
      <w:r>
        <w:rPr>
          <w:rFonts w:hint="eastAsia" w:ascii="微软雅黑" w:hAnsi="微软雅黑" w:eastAsia="微软雅黑"/>
          <w:sz w:val="32"/>
          <w:szCs w:val="32"/>
        </w:rPr>
        <w:t>：</w:t>
      </w:r>
    </w:p>
    <w:p>
      <w:pPr>
        <w:spacing w:line="528" w:lineRule="exact"/>
        <w:ind w:left="1871"/>
        <w:rPr>
          <w:rFonts w:ascii="Arial Unicode MS" w:hAnsi="Arial Unicode MS"/>
          <w:sz w:val="40"/>
          <w:szCs w:val="40"/>
        </w:rPr>
      </w:pPr>
      <w:r>
        <w:rPr>
          <w:rFonts w:hint="eastAsia" w:ascii="微软雅黑" w:hAnsi="微软雅黑" w:eastAsia="微软雅黑"/>
          <w:sz w:val="40"/>
          <w:szCs w:val="40"/>
        </w:rPr>
        <w:t>中小微企业划型标准</w:t>
      </w:r>
    </w:p>
    <w:tbl>
      <w:tblPr>
        <w:tblStyle w:val="31"/>
        <w:tblW w:w="9495" w:type="dxa"/>
        <w:tblInd w:w="250" w:type="dxa"/>
        <w:tblLayout w:type="fixed"/>
        <w:tblCellMar>
          <w:top w:w="0" w:type="dxa"/>
          <w:left w:w="108" w:type="dxa"/>
          <w:bottom w:w="0" w:type="dxa"/>
          <w:right w:w="108" w:type="dxa"/>
        </w:tblCellMar>
      </w:tblPr>
      <w:tblGrid>
        <w:gridCol w:w="1984"/>
        <w:gridCol w:w="1983"/>
        <w:gridCol w:w="851"/>
        <w:gridCol w:w="1841"/>
        <w:gridCol w:w="1701"/>
        <w:gridCol w:w="1135"/>
      </w:tblGrid>
      <w:tr>
        <w:tblPrEx>
          <w:tblCellMar>
            <w:top w:w="0" w:type="dxa"/>
            <w:left w:w="108" w:type="dxa"/>
            <w:bottom w:w="0" w:type="dxa"/>
            <w:right w:w="108" w:type="dxa"/>
          </w:tblCellMar>
        </w:tblPrEx>
        <w:trPr>
          <w:trHeight w:val="285" w:hRule="atLeast"/>
        </w:trPr>
        <w:tc>
          <w:tcPr>
            <w:tcW w:w="1984" w:type="dxa"/>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kern w:val="0"/>
                <w:sz w:val="24"/>
              </w:rPr>
            </w:pPr>
            <w:r>
              <w:rPr>
                <w:rFonts w:hint="eastAsia" w:ascii="仿宋_GB2312" w:hAnsi="仿宋" w:eastAsia="仿宋_GB2312" w:cs="宋体"/>
                <w:b/>
                <w:kern w:val="0"/>
                <w:sz w:val="24"/>
              </w:rPr>
              <w:t>行业名称</w:t>
            </w:r>
          </w:p>
        </w:tc>
        <w:tc>
          <w:tcPr>
            <w:tcW w:w="1983" w:type="dxa"/>
            <w:tcBorders>
              <w:top w:val="single" w:color="auto" w:sz="4" w:space="0"/>
              <w:left w:val="nil"/>
              <w:bottom w:val="single" w:color="auto" w:sz="4" w:space="0"/>
              <w:right w:val="single" w:color="auto" w:sz="4" w:space="0"/>
            </w:tcBorders>
            <w:noWrap w:val="0"/>
            <w:vAlign w:val="center"/>
          </w:tcPr>
          <w:p>
            <w:pPr>
              <w:widowControl/>
              <w:jc w:val="left"/>
              <w:rPr>
                <w:rFonts w:ascii="仿宋_GB2312" w:hAnsi="仿宋" w:eastAsia="仿宋_GB2312" w:cs="宋体"/>
                <w:b/>
                <w:kern w:val="0"/>
                <w:sz w:val="24"/>
              </w:rPr>
            </w:pPr>
            <w:r>
              <w:rPr>
                <w:rFonts w:hint="eastAsia" w:ascii="仿宋_GB2312" w:hAnsi="仿宋" w:eastAsia="仿宋_GB2312" w:cs="宋体"/>
                <w:b/>
                <w:kern w:val="0"/>
                <w:sz w:val="24"/>
              </w:rPr>
              <w:t>指标名称</w:t>
            </w:r>
          </w:p>
        </w:tc>
        <w:tc>
          <w:tcPr>
            <w:tcW w:w="851" w:type="dxa"/>
            <w:tcBorders>
              <w:top w:val="single" w:color="auto" w:sz="4" w:space="0"/>
              <w:left w:val="nil"/>
              <w:bottom w:val="single" w:color="auto" w:sz="4" w:space="0"/>
              <w:right w:val="single" w:color="auto" w:sz="4" w:space="0"/>
            </w:tcBorders>
            <w:noWrap w:val="0"/>
            <w:vAlign w:val="center"/>
          </w:tcPr>
          <w:p>
            <w:pPr>
              <w:widowControl/>
              <w:jc w:val="left"/>
              <w:rPr>
                <w:rFonts w:ascii="仿宋_GB2312" w:hAnsi="仿宋" w:eastAsia="仿宋_GB2312" w:cs="宋体"/>
                <w:b/>
                <w:kern w:val="0"/>
                <w:sz w:val="24"/>
              </w:rPr>
            </w:pPr>
            <w:r>
              <w:rPr>
                <w:rFonts w:hint="eastAsia" w:ascii="仿宋_GB2312" w:hAnsi="仿宋" w:eastAsia="仿宋_GB2312" w:cs="宋体"/>
                <w:b/>
                <w:kern w:val="0"/>
                <w:sz w:val="24"/>
              </w:rPr>
              <w:t>计量单位</w:t>
            </w:r>
          </w:p>
        </w:tc>
        <w:tc>
          <w:tcPr>
            <w:tcW w:w="1841" w:type="dxa"/>
            <w:tcBorders>
              <w:top w:val="single" w:color="auto" w:sz="4" w:space="0"/>
              <w:left w:val="nil"/>
              <w:bottom w:val="single" w:color="auto" w:sz="4" w:space="0"/>
              <w:right w:val="single" w:color="auto" w:sz="4" w:space="0"/>
            </w:tcBorders>
            <w:noWrap w:val="0"/>
            <w:vAlign w:val="center"/>
          </w:tcPr>
          <w:p>
            <w:pPr>
              <w:widowControl/>
              <w:jc w:val="left"/>
              <w:rPr>
                <w:rFonts w:ascii="仿宋_GB2312" w:hAnsi="仿宋" w:eastAsia="仿宋_GB2312" w:cs="宋体"/>
                <w:b/>
                <w:kern w:val="0"/>
                <w:sz w:val="24"/>
              </w:rPr>
            </w:pPr>
            <w:r>
              <w:rPr>
                <w:rFonts w:hint="eastAsia" w:ascii="仿宋_GB2312" w:hAnsi="仿宋" w:eastAsia="仿宋_GB2312" w:cs="宋体"/>
                <w:b/>
                <w:kern w:val="0"/>
                <w:sz w:val="24"/>
              </w:rPr>
              <w:t>中型</w:t>
            </w:r>
          </w:p>
        </w:tc>
        <w:tc>
          <w:tcPr>
            <w:tcW w:w="1701" w:type="dxa"/>
            <w:tcBorders>
              <w:top w:val="single" w:color="auto" w:sz="4" w:space="0"/>
              <w:left w:val="nil"/>
              <w:bottom w:val="single" w:color="auto" w:sz="4" w:space="0"/>
              <w:right w:val="single" w:color="auto" w:sz="4" w:space="0"/>
            </w:tcBorders>
            <w:noWrap w:val="0"/>
            <w:vAlign w:val="center"/>
          </w:tcPr>
          <w:p>
            <w:pPr>
              <w:widowControl/>
              <w:jc w:val="left"/>
              <w:rPr>
                <w:rFonts w:ascii="仿宋_GB2312" w:hAnsi="仿宋" w:eastAsia="仿宋_GB2312" w:cs="宋体"/>
                <w:b/>
                <w:kern w:val="0"/>
                <w:sz w:val="24"/>
              </w:rPr>
            </w:pPr>
            <w:r>
              <w:rPr>
                <w:rFonts w:hint="eastAsia" w:ascii="仿宋_GB2312" w:hAnsi="仿宋" w:eastAsia="仿宋_GB2312" w:cs="宋体"/>
                <w:b/>
                <w:kern w:val="0"/>
                <w:sz w:val="24"/>
              </w:rPr>
              <w:t>小型</w:t>
            </w:r>
          </w:p>
        </w:tc>
        <w:tc>
          <w:tcPr>
            <w:tcW w:w="1135" w:type="dxa"/>
            <w:tcBorders>
              <w:top w:val="single" w:color="auto" w:sz="4" w:space="0"/>
              <w:left w:val="nil"/>
              <w:bottom w:val="single" w:color="auto" w:sz="4" w:space="0"/>
              <w:right w:val="single" w:color="auto" w:sz="4" w:space="0"/>
            </w:tcBorders>
            <w:noWrap w:val="0"/>
            <w:vAlign w:val="center"/>
          </w:tcPr>
          <w:p>
            <w:pPr>
              <w:widowControl/>
              <w:jc w:val="left"/>
              <w:rPr>
                <w:rFonts w:ascii="仿宋_GB2312" w:hAnsi="仿宋" w:eastAsia="仿宋_GB2312" w:cs="宋体"/>
                <w:b/>
                <w:kern w:val="0"/>
                <w:sz w:val="24"/>
              </w:rPr>
            </w:pPr>
            <w:r>
              <w:rPr>
                <w:rFonts w:hint="eastAsia" w:ascii="仿宋_GB2312" w:hAnsi="仿宋" w:eastAsia="仿宋_GB2312" w:cs="宋体"/>
                <w:b/>
                <w:kern w:val="0"/>
                <w:sz w:val="24"/>
              </w:rPr>
              <w:t>微型</w:t>
            </w:r>
          </w:p>
        </w:tc>
      </w:tr>
      <w:tr>
        <w:tblPrEx>
          <w:tblCellMar>
            <w:top w:w="0" w:type="dxa"/>
            <w:left w:w="108" w:type="dxa"/>
            <w:bottom w:w="0" w:type="dxa"/>
            <w:right w:w="108" w:type="dxa"/>
          </w:tblCellMar>
        </w:tblPrEx>
        <w:trPr>
          <w:trHeight w:val="225" w:hRule="atLeast"/>
        </w:trPr>
        <w:tc>
          <w:tcPr>
            <w:tcW w:w="1984" w:type="dxa"/>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农、林、牧、渔</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500≤Y＜20000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50≤Y＜500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Y＜50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工业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300≤X＜1000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20≤X＜300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X＜20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2000≤Y＜40000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300≤Y＜2000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Y＜300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建筑业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6000≤Y＜80000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300≤Y＜6000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Y＜300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资产总额（Z）</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5000≤Z＜80000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300≤Z＜5000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Z＜300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批发业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20≤X＜200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5≤X＜20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X＜5</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5000≤Y＜40000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1000≤Y＜5000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Y＜1000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零售业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50≤X＜300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10≤X＜50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X＜10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500≤Y＜20000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100≤Y＜500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Y＜100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交通运输业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300≤X＜1000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20≤X＜300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X＜20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3000≤Y＜30000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200≤Y＜3000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Y＜200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仓储业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100≤X＜200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20≤X＜100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X＜20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1000≤Y＜30000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100≤Y＜1000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Y＜100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邮政业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300≤X＜1000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20≤X＜300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X＜20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2000≤Y＜30000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100≤Y＜2000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Y＜100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住宿业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10≤X＜100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X＜10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2000≤Y＜10000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100≤Y＜2000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Y＜100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餐饮业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10≤X＜100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X＜10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2000≤Y＜10000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100≤Y＜2000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Y＜100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信息传输业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100≤X＜2000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10≤X＜100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X＜10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1000≤Y＜100000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100≤Y＜1000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Y＜100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软件和信息技术服务业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10≤X＜100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X＜10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1000≤Y＜10000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50≤Y＜1000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Y＜50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房地产开发经营</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1000≤Y＜200000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100≤X＜1000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X＜100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资产总额（Z）</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5000≤Z＜10000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2000≤Y＜5000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Y＜2000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物业管理</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300≤X＜1000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100≤X＜300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X＜100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营业收入（Y）</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1000≤Y＜5000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500≤Y＜1000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Y＜500</w:t>
            </w:r>
          </w:p>
        </w:tc>
      </w:tr>
      <w:tr>
        <w:tblPrEx>
          <w:tblCellMar>
            <w:top w:w="0" w:type="dxa"/>
            <w:left w:w="108" w:type="dxa"/>
            <w:bottom w:w="0" w:type="dxa"/>
            <w:right w:w="108" w:type="dxa"/>
          </w:tblCellMar>
        </w:tblPrEx>
        <w:trPr>
          <w:trHeight w:val="225" w:hRule="atLeast"/>
        </w:trPr>
        <w:tc>
          <w:tcPr>
            <w:tcW w:w="1984" w:type="dxa"/>
            <w:vMerge w:val="restart"/>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租赁和商务服务业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10≤X＜100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X＜10</w:t>
            </w:r>
          </w:p>
        </w:tc>
      </w:tr>
      <w:tr>
        <w:tblPrEx>
          <w:tblCellMar>
            <w:top w:w="0" w:type="dxa"/>
            <w:left w:w="108" w:type="dxa"/>
            <w:bottom w:w="0" w:type="dxa"/>
            <w:right w:w="108" w:type="dxa"/>
          </w:tblCellMar>
        </w:tblPrEx>
        <w:trPr>
          <w:trHeight w:val="225" w:hRule="atLeast"/>
        </w:trPr>
        <w:tc>
          <w:tcPr>
            <w:tcW w:w="1984" w:type="dxa"/>
            <w:vMerge w:val="continue"/>
            <w:tcBorders>
              <w:top w:val="nil"/>
              <w:left w:val="single" w:color="auto" w:sz="4" w:space="0"/>
              <w:bottom w:val="single" w:color="auto" w:sz="4" w:space="0"/>
              <w:right w:val="single" w:color="auto" w:sz="4" w:space="0"/>
            </w:tcBorders>
            <w:noWrap w:val="0"/>
            <w:vAlign w:val="center"/>
          </w:tcPr>
          <w:p>
            <w:pPr>
              <w:widowControl/>
              <w:jc w:val="left"/>
              <w:rPr>
                <w:rFonts w:ascii="仿宋_GB2312" w:hAnsi="仿宋" w:eastAsia="仿宋_GB2312" w:cs="宋体"/>
                <w:b/>
                <w:bCs/>
                <w:kern w:val="0"/>
                <w:sz w:val="18"/>
                <w:szCs w:val="18"/>
              </w:rPr>
            </w:pP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资产总额（Z）</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万元</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8000≤Z＜120000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100≤Z＜8000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Y＜100</w:t>
            </w:r>
          </w:p>
        </w:tc>
      </w:tr>
      <w:tr>
        <w:tblPrEx>
          <w:tblCellMar>
            <w:top w:w="0" w:type="dxa"/>
            <w:left w:w="108" w:type="dxa"/>
            <w:bottom w:w="0" w:type="dxa"/>
            <w:right w:w="108" w:type="dxa"/>
          </w:tblCellMar>
        </w:tblPrEx>
        <w:trPr>
          <w:trHeight w:val="225" w:hRule="atLeast"/>
        </w:trPr>
        <w:tc>
          <w:tcPr>
            <w:tcW w:w="1984" w:type="dxa"/>
            <w:tcBorders>
              <w:top w:val="nil"/>
              <w:left w:val="single" w:color="auto" w:sz="4" w:space="0"/>
              <w:bottom w:val="single" w:color="auto" w:sz="4" w:space="0"/>
              <w:right w:val="single" w:color="auto" w:sz="4" w:space="0"/>
            </w:tcBorders>
            <w:noWrap w:val="0"/>
            <w:vAlign w:val="bottom"/>
          </w:tcPr>
          <w:p>
            <w:pPr>
              <w:widowControl/>
              <w:jc w:val="center"/>
              <w:rPr>
                <w:rFonts w:ascii="仿宋_GB2312" w:hAnsi="仿宋" w:eastAsia="仿宋_GB2312" w:cs="宋体"/>
                <w:b/>
                <w:bCs/>
                <w:kern w:val="0"/>
                <w:sz w:val="18"/>
                <w:szCs w:val="18"/>
              </w:rPr>
            </w:pPr>
            <w:r>
              <w:rPr>
                <w:rFonts w:hint="eastAsia" w:ascii="仿宋_GB2312" w:hAnsi="仿宋" w:eastAsia="仿宋_GB2312" w:cs="宋体"/>
                <w:b/>
                <w:bCs/>
                <w:kern w:val="0"/>
                <w:sz w:val="18"/>
                <w:szCs w:val="18"/>
              </w:rPr>
              <w:t>其他未列明行业</w:t>
            </w:r>
          </w:p>
        </w:tc>
        <w:tc>
          <w:tcPr>
            <w:tcW w:w="1983"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从业人员（X）</w:t>
            </w:r>
          </w:p>
        </w:tc>
        <w:tc>
          <w:tcPr>
            <w:tcW w:w="85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人</w:t>
            </w:r>
          </w:p>
        </w:tc>
        <w:tc>
          <w:tcPr>
            <w:tcW w:w="184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100≤X＜300</w:t>
            </w:r>
          </w:p>
        </w:tc>
        <w:tc>
          <w:tcPr>
            <w:tcW w:w="1701"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10≤X＜100</w:t>
            </w:r>
          </w:p>
        </w:tc>
        <w:tc>
          <w:tcPr>
            <w:tcW w:w="1135" w:type="dxa"/>
            <w:tcBorders>
              <w:top w:val="nil"/>
              <w:left w:val="nil"/>
              <w:bottom w:val="single" w:color="auto" w:sz="4" w:space="0"/>
              <w:right w:val="single" w:color="auto" w:sz="4" w:space="0"/>
            </w:tcBorders>
            <w:noWrap w:val="0"/>
            <w:vAlign w:val="center"/>
          </w:tcPr>
          <w:p>
            <w:pPr>
              <w:widowControl/>
              <w:jc w:val="left"/>
              <w:rPr>
                <w:rFonts w:ascii="仿宋_GB2312" w:hAnsi="仿宋" w:eastAsia="仿宋_GB2312" w:cs="宋体"/>
                <w:kern w:val="0"/>
                <w:sz w:val="18"/>
                <w:szCs w:val="18"/>
              </w:rPr>
            </w:pPr>
            <w:r>
              <w:rPr>
                <w:rFonts w:hint="eastAsia" w:ascii="仿宋_GB2312" w:hAnsi="仿宋" w:eastAsia="仿宋_GB2312" w:cs="宋体"/>
                <w:kern w:val="0"/>
                <w:sz w:val="18"/>
                <w:szCs w:val="18"/>
              </w:rPr>
              <w:t>X＜10</w:t>
            </w:r>
          </w:p>
        </w:tc>
      </w:tr>
    </w:tbl>
    <w:p>
      <w:pPr>
        <w:spacing w:line="560" w:lineRule="exact"/>
        <w:ind w:firstLine="525" w:firstLineChars="250"/>
        <w:rPr>
          <w:rFonts w:ascii="仿宋_GB2312" w:hAnsi="仿宋" w:eastAsia="仿宋_GB2312"/>
          <w:szCs w:val="21"/>
        </w:rPr>
      </w:pPr>
      <w:r>
        <w:rPr>
          <w:rFonts w:hint="eastAsia" w:ascii="仿宋_GB2312" w:hAnsi="仿宋" w:eastAsia="仿宋_GB2312"/>
        </w:rPr>
        <w:t>说明：上述标准参照《关于印发中小企业划型标准规定的通知》（工信部联企业[2011]300号），大型、中型和小型企业须同时满足所列指标的下限，否则下划一档；微型企业只须满足所列指标中的一项即可。</w:t>
      </w:r>
    </w:p>
    <w:p>
      <w:pPr>
        <w:widowControl/>
        <w:jc w:val="left"/>
        <w:rPr>
          <w:rFonts w:ascii="宋体" w:hAnsi="宋体"/>
          <w:sz w:val="20"/>
          <w:szCs w:val="20"/>
        </w:rPr>
        <w:sectPr>
          <w:pgSz w:w="11906" w:h="16838"/>
          <w:pgMar w:top="1135" w:right="1135" w:bottom="1135" w:left="1135" w:header="720" w:footer="720" w:gutter="0"/>
          <w:cols w:space="720" w:num="1"/>
          <w:docGrid w:type="lines" w:linePitch="331" w:charSpace="0"/>
        </w:sectPr>
      </w:pPr>
    </w:p>
    <w:p>
      <w:pPr>
        <w:pStyle w:val="2"/>
        <w:keepLines w:val="0"/>
        <w:widowControl/>
        <w:jc w:val="center"/>
        <w:rPr>
          <w:rFonts w:hint="eastAsia"/>
        </w:rPr>
      </w:pPr>
      <w:bookmarkStart w:id="125" w:name="_Toc80886927"/>
      <w:bookmarkEnd w:id="125"/>
      <w:bookmarkStart w:id="126" w:name="_Toc122512757"/>
      <w:r>
        <w:rPr>
          <w:rFonts w:hint="eastAsia" w:ascii="宋体" w:hAnsi="宋体"/>
          <w:bCs w:val="0"/>
          <w:sz w:val="32"/>
          <w:szCs w:val="32"/>
        </w:rPr>
        <w:t>第三章</w:t>
      </w:r>
      <w:r>
        <w:rPr>
          <w:rFonts w:ascii="Cambria" w:hAnsi="Cambria"/>
          <w:bCs w:val="0"/>
          <w:sz w:val="32"/>
          <w:szCs w:val="32"/>
        </w:rPr>
        <w:t xml:space="preserve"> </w:t>
      </w:r>
      <w:r>
        <w:rPr>
          <w:rFonts w:hint="eastAsia" w:ascii="宋体" w:hAnsi="宋体"/>
          <w:bCs w:val="0"/>
          <w:sz w:val="32"/>
          <w:szCs w:val="32"/>
        </w:rPr>
        <w:t>供应商须知</w:t>
      </w:r>
      <w:bookmarkEnd w:id="126"/>
    </w:p>
    <w:p>
      <w:pPr>
        <w:pStyle w:val="3"/>
        <w:keepLines w:val="0"/>
        <w:widowControl/>
        <w:jc w:val="center"/>
        <w:rPr>
          <w:rFonts w:ascii="宋体" w:hAnsi="宋体"/>
          <w:b w:val="0"/>
        </w:rPr>
      </w:pPr>
      <w:bookmarkStart w:id="127" w:name="_Toc80886928"/>
      <w:bookmarkEnd w:id="127"/>
      <w:r>
        <w:rPr>
          <w:rFonts w:hint="eastAsia" w:ascii="宋体" w:hAnsi="宋体"/>
          <w:b w:val="0"/>
          <w:bCs w:val="0"/>
        </w:rPr>
        <w:t>第一节 供应商须知前附表</w:t>
      </w:r>
    </w:p>
    <w:p>
      <w:pPr>
        <w:spacing w:line="400" w:lineRule="exact"/>
        <w:jc w:val="center"/>
        <w:rPr>
          <w:rFonts w:hint="eastAsia" w:ascii="宋体" w:hAnsi="宋体"/>
          <w:b/>
          <w:sz w:val="32"/>
          <w:szCs w:val="32"/>
        </w:rPr>
      </w:pPr>
      <w:r>
        <w:rPr>
          <w:rFonts w:hint="eastAsia" w:ascii="宋体" w:hAnsi="宋体"/>
          <w:b/>
          <w:sz w:val="32"/>
          <w:szCs w:val="32"/>
        </w:rPr>
        <w:t xml:space="preserve"> </w:t>
      </w:r>
    </w:p>
    <w:tbl>
      <w:tblPr>
        <w:tblStyle w:val="31"/>
        <w:tblW w:w="1036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5"/>
        <w:gridCol w:w="2786"/>
        <w:gridCol w:w="685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3" w:hRule="atLeast"/>
          <w:jc w:val="center"/>
        </w:trPr>
        <w:tc>
          <w:tcPr>
            <w:tcW w:w="725" w:type="dxa"/>
            <w:tcBorders>
              <w:top w:val="single" w:color="000000" w:sz="4" w:space="0"/>
              <w:left w:val="single" w:color="000000" w:sz="4" w:space="0"/>
              <w:bottom w:val="single" w:color="000000" w:sz="4" w:space="0"/>
              <w:right w:val="single" w:color="000000" w:sz="4" w:space="0"/>
            </w:tcBorders>
            <w:noWrap w:val="0"/>
            <w:vAlign w:val="top"/>
          </w:tcPr>
          <w:p>
            <w:pPr>
              <w:jc w:val="center"/>
              <w:rPr>
                <w:rFonts w:ascii="宋体" w:hAnsi="宋体"/>
                <w:b/>
                <w:szCs w:val="21"/>
              </w:rPr>
            </w:pPr>
            <w:r>
              <w:rPr>
                <w:rFonts w:hint="eastAsia" w:ascii="宋体" w:hAnsi="宋体"/>
                <w:b/>
              </w:rPr>
              <w:t>条款号</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b/>
                <w:szCs w:val="21"/>
              </w:rPr>
            </w:pPr>
            <w:r>
              <w:rPr>
                <w:rFonts w:hint="eastAsia" w:ascii="宋体" w:hAnsi="宋体"/>
                <w:b/>
              </w:rPr>
              <w:t>条款内容</w:t>
            </w:r>
          </w:p>
        </w:tc>
        <w:tc>
          <w:tcPr>
            <w:tcW w:w="6853" w:type="dxa"/>
            <w:tcBorders>
              <w:top w:val="single" w:color="000000" w:sz="4" w:space="0"/>
              <w:left w:val="nil"/>
              <w:bottom w:val="single" w:color="000000" w:sz="4" w:space="0"/>
              <w:right w:val="single" w:color="000000" w:sz="4" w:space="0"/>
            </w:tcBorders>
            <w:noWrap w:val="0"/>
            <w:vAlign w:val="center"/>
          </w:tcPr>
          <w:p>
            <w:pPr>
              <w:jc w:val="center"/>
              <w:rPr>
                <w:rFonts w:ascii="宋体" w:hAnsi="宋体"/>
                <w:b/>
                <w:szCs w:val="21"/>
              </w:rPr>
            </w:pPr>
            <w:r>
              <w:rPr>
                <w:rFonts w:hint="eastAsia" w:ascii="宋体" w:hAnsi="宋体"/>
                <w:b/>
              </w:rPr>
              <w:t>具体要求</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3.1</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供应商资格条件</w:t>
            </w:r>
          </w:p>
        </w:tc>
        <w:tc>
          <w:tcPr>
            <w:tcW w:w="6853" w:type="dxa"/>
            <w:tcBorders>
              <w:top w:val="single" w:color="000000" w:sz="4" w:space="0"/>
              <w:left w:val="nil"/>
              <w:bottom w:val="single" w:color="000000" w:sz="4" w:space="0"/>
              <w:right w:val="single" w:color="000000" w:sz="4" w:space="0"/>
            </w:tcBorders>
            <w:noWrap w:val="0"/>
            <w:vAlign w:val="top"/>
          </w:tcPr>
          <w:p>
            <w:pPr>
              <w:rPr>
                <w:rFonts w:ascii="宋体" w:hAnsi="宋体"/>
                <w:szCs w:val="21"/>
              </w:rPr>
            </w:pPr>
            <w:r>
              <w:rPr>
                <w:rFonts w:hint="eastAsia" w:ascii="宋体" w:hAnsi="宋体"/>
              </w:rPr>
              <w:t>供应商资格条件要求详见公告。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5.1</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是否接受联合体竞标</w:t>
            </w:r>
          </w:p>
        </w:tc>
        <w:tc>
          <w:tcPr>
            <w:tcW w:w="6853" w:type="dxa"/>
            <w:tcBorders>
              <w:top w:val="single" w:color="000000" w:sz="4" w:space="0"/>
              <w:left w:val="nil"/>
              <w:bottom w:val="single" w:color="000000" w:sz="4" w:space="0"/>
              <w:right w:val="single" w:color="000000" w:sz="4" w:space="0"/>
            </w:tcBorders>
            <w:noWrap w:val="0"/>
            <w:vAlign w:val="center"/>
          </w:tcPr>
          <w:p>
            <w:pPr>
              <w:rPr>
                <w:rFonts w:ascii="宋体" w:hAnsi="宋体"/>
                <w:szCs w:val="21"/>
              </w:rPr>
            </w:pPr>
            <w:r>
              <w:rPr>
                <w:rFonts w:hint="eastAsia" w:ascii="宋体" w:hAnsi="宋体"/>
                <w:color w:val="000000"/>
                <w:szCs w:val="21"/>
              </w:rPr>
              <w:t>□是/</w:t>
            </w:r>
            <w:r>
              <w:rPr>
                <w:rFonts w:hint="eastAsia" w:ascii="宋体" w:hAnsi="MS Gothic" w:eastAsia="MS Gothic" w:cs="MS Gothic"/>
                <w:color w:val="000000"/>
                <w:szCs w:val="21"/>
              </w:rPr>
              <w:t>☑</w:t>
            </w:r>
            <w:r>
              <w:rPr>
                <w:rFonts w:hint="eastAsia" w:ascii="宋体" w:hAnsi="宋体"/>
                <w:color w:val="000000"/>
                <w:szCs w:val="21"/>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5.2</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联合体竞标要求</w:t>
            </w:r>
          </w:p>
        </w:tc>
        <w:tc>
          <w:tcPr>
            <w:tcW w:w="6853" w:type="dxa"/>
            <w:tcBorders>
              <w:top w:val="single" w:color="000000" w:sz="4" w:space="0"/>
              <w:left w:val="nil"/>
              <w:bottom w:val="single" w:color="000000" w:sz="4" w:space="0"/>
              <w:right w:val="single" w:color="000000" w:sz="4" w:space="0"/>
            </w:tcBorders>
            <w:noWrap w:val="0"/>
            <w:vAlign w:val="center"/>
          </w:tcPr>
          <w:p>
            <w:pPr>
              <w:rPr>
                <w:rFonts w:ascii="宋体" w:hAnsi="宋体"/>
                <w:szCs w:val="21"/>
              </w:rPr>
            </w:pPr>
            <w:r>
              <w:rPr>
                <w:rFonts w:hint="eastAsia" w:ascii="宋体" w:hAnsi="宋体"/>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6.1</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是否允许分包</w:t>
            </w:r>
          </w:p>
        </w:tc>
        <w:tc>
          <w:tcPr>
            <w:tcW w:w="6853" w:type="dxa"/>
            <w:tcBorders>
              <w:top w:val="single" w:color="000000" w:sz="4" w:space="0"/>
              <w:left w:val="nil"/>
              <w:bottom w:val="single" w:color="000000" w:sz="4" w:space="0"/>
              <w:right w:val="single" w:color="000000" w:sz="4" w:space="0"/>
            </w:tcBorders>
            <w:noWrap w:val="0"/>
            <w:vAlign w:val="center"/>
          </w:tcPr>
          <w:p>
            <w:pPr>
              <w:pStyle w:val="10"/>
              <w:widowControl/>
              <w:rPr>
                <w:rFonts w:ascii="宋体" w:hAnsi="宋体"/>
              </w:rPr>
            </w:pPr>
            <w:r>
              <w:rPr>
                <w:rFonts w:hint="eastAsia" w:ascii="宋体" w:hAnsi="宋体"/>
                <w:szCs w:val="21"/>
                <w:lang w:val="en-US" w:eastAsia="zh-CN"/>
              </w:rPr>
              <w:t>□</w:t>
            </w:r>
            <w:r>
              <w:rPr>
                <w:rFonts w:hint="eastAsia" w:ascii="宋体" w:hAnsi="宋体"/>
              </w:rPr>
              <w:t>不允许分包</w:t>
            </w:r>
          </w:p>
          <w:p>
            <w:pPr>
              <w:pStyle w:val="10"/>
              <w:spacing w:line="400" w:lineRule="exact"/>
              <w:rPr>
                <w:rFonts w:hint="eastAsia" w:ascii="宋体" w:hAnsi="宋体"/>
                <w:szCs w:val="21"/>
                <w:lang w:val="en-US" w:eastAsia="zh-CN"/>
              </w:rPr>
            </w:pPr>
            <w:r>
              <w:rPr>
                <w:rFonts w:hint="eastAsia" w:ascii="MS Mincho" w:hAnsi="MS Mincho" w:eastAsia="MS Mincho" w:cs="MS Mincho"/>
                <w:szCs w:val="21"/>
                <w:lang w:val="en-US" w:eastAsia="zh-CN"/>
              </w:rPr>
              <w:t>☑</w:t>
            </w:r>
            <w:r>
              <w:rPr>
                <w:rFonts w:hint="eastAsia" w:ascii="宋体" w:hAnsi="宋体"/>
                <w:szCs w:val="21"/>
                <w:lang w:val="en-US" w:eastAsia="zh-CN"/>
              </w:rPr>
              <w:t>允许分包</w:t>
            </w:r>
          </w:p>
          <w:p>
            <w:pPr>
              <w:pStyle w:val="10"/>
              <w:widowControl/>
              <w:rPr>
                <w:rFonts w:hint="eastAsia" w:ascii="宋体" w:hAnsi="宋体"/>
                <w:u w:val="single"/>
              </w:rPr>
            </w:pPr>
            <w:r>
              <w:rPr>
                <w:rFonts w:hint="eastAsia" w:ascii="宋体" w:hAnsi="宋体"/>
              </w:rPr>
              <w:t>分包内容：</w:t>
            </w:r>
            <w:r>
              <w:rPr>
                <w:rFonts w:hint="eastAsia" w:ascii="宋体" w:hAnsi="宋体"/>
                <w:u w:val="single"/>
                <w:lang w:val="en-US"/>
              </w:rPr>
              <w:t>广西固定污染源自动监控平台、</w:t>
            </w:r>
            <w:r>
              <w:rPr>
                <w:rFonts w:ascii="宋体" w:hAnsi="宋体"/>
                <w:u w:val="single"/>
                <w:lang w:val="en-US"/>
              </w:rPr>
              <w:t>广西环境保护税涉税信息共享平台（环保端）、</w:t>
            </w:r>
            <w:r>
              <w:rPr>
                <w:rFonts w:hint="eastAsia" w:ascii="宋体" w:hAnsi="宋体"/>
                <w:u w:val="single"/>
                <w:lang w:val="en-US"/>
              </w:rPr>
              <w:t>广西执法视频监控平台、</w:t>
            </w:r>
            <w:r>
              <w:rPr>
                <w:rFonts w:ascii="宋体" w:hAnsi="宋体"/>
                <w:u w:val="single"/>
                <w:lang w:val="en-US"/>
              </w:rPr>
              <w:t>广西环境违法案件查处系统</w:t>
            </w:r>
            <w:r>
              <w:rPr>
                <w:rFonts w:hint="eastAsia" w:ascii="宋体" w:hAnsi="宋体"/>
                <w:u w:val="single"/>
                <w:lang w:eastAsia="zh-CN"/>
              </w:rPr>
              <w:t>等4个信息系统运维服务</w:t>
            </w:r>
            <w:r>
              <w:rPr>
                <w:rFonts w:hint="eastAsia" w:ascii="宋体" w:hAnsi="宋体"/>
                <w:u w:val="single"/>
              </w:rPr>
              <w:t>。</w:t>
            </w:r>
          </w:p>
          <w:p>
            <w:pPr>
              <w:pStyle w:val="10"/>
              <w:widowControl/>
              <w:rPr>
                <w:rFonts w:ascii="宋体" w:hAnsi="宋体"/>
              </w:rPr>
            </w:pPr>
            <w:r>
              <w:rPr>
                <w:rFonts w:hint="eastAsia" w:ascii="宋体" w:hAnsi="宋体"/>
              </w:rPr>
              <w:t>分包金额或者比例：</w:t>
            </w:r>
            <w:r>
              <w:rPr>
                <w:rFonts w:hint="eastAsia" w:ascii="宋体" w:hAnsi="宋体"/>
                <w:u w:val="single"/>
                <w:lang w:eastAsia="zh-CN"/>
              </w:rPr>
              <w:t>按</w:t>
            </w:r>
            <w:r>
              <w:rPr>
                <w:rFonts w:hint="eastAsia" w:ascii="宋体" w:hAnsi="宋体"/>
                <w:u w:val="single"/>
              </w:rPr>
              <w:t>实际发生计算。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12.1.1</w:t>
            </w:r>
          </w:p>
        </w:tc>
        <w:tc>
          <w:tcPr>
            <w:tcW w:w="2786" w:type="dxa"/>
            <w:tcBorders>
              <w:top w:val="single" w:color="000000" w:sz="4" w:space="0"/>
              <w:left w:val="nil"/>
              <w:bottom w:val="single" w:color="000000" w:sz="4" w:space="0"/>
              <w:right w:val="single" w:color="000000" w:sz="4" w:space="0"/>
            </w:tcBorders>
            <w:noWrap w:val="0"/>
            <w:vAlign w:val="center"/>
          </w:tcPr>
          <w:p>
            <w:pPr>
              <w:snapToGrid w:val="0"/>
              <w:jc w:val="center"/>
              <w:rPr>
                <w:rFonts w:ascii="宋体" w:hAnsi="宋体"/>
                <w:b/>
              </w:rPr>
            </w:pPr>
            <w:r>
              <w:rPr>
                <w:rFonts w:hint="eastAsia" w:ascii="宋体" w:hAnsi="宋体"/>
                <w:b/>
              </w:rPr>
              <w:t>资格证明文件组成</w:t>
            </w:r>
          </w:p>
          <w:p>
            <w:pPr>
              <w:jc w:val="center"/>
              <w:rPr>
                <w:rFonts w:ascii="宋体" w:hAnsi="宋体"/>
                <w:szCs w:val="21"/>
              </w:rPr>
            </w:pPr>
          </w:p>
        </w:tc>
        <w:tc>
          <w:tcPr>
            <w:tcW w:w="6853" w:type="dxa"/>
            <w:tcBorders>
              <w:top w:val="single" w:color="000000" w:sz="4" w:space="0"/>
              <w:left w:val="nil"/>
              <w:bottom w:val="single" w:color="000000" w:sz="4" w:space="0"/>
              <w:right w:val="single" w:color="000000" w:sz="4" w:space="0"/>
            </w:tcBorders>
            <w:noWrap w:val="0"/>
            <w:vAlign w:val="center"/>
          </w:tcPr>
          <w:p>
            <w:pPr>
              <w:pStyle w:val="10"/>
              <w:widowControl/>
              <w:rPr>
                <w:rFonts w:ascii="宋体" w:hAnsi="宋体"/>
              </w:rPr>
            </w:pPr>
            <w:r>
              <w:rPr>
                <w:rFonts w:hint="eastAsia" w:ascii="宋体" w:hAnsi="宋体"/>
              </w:rPr>
              <w:t>1.供应商为法人或者其他组织的提供其营业执照等证明文件（如营业执照或者事业单位法人证书或者执业许可证等），供应商为自然人的提供其身份证复印件；（</w:t>
            </w:r>
            <w:r>
              <w:rPr>
                <w:rFonts w:hint="eastAsia" w:ascii="宋体" w:hAnsi="宋体"/>
                <w:b/>
              </w:rPr>
              <w:t>必须提供，否则响应文件按无效响应处理</w:t>
            </w:r>
            <w:r>
              <w:rPr>
                <w:rFonts w:hint="eastAsia" w:ascii="宋体" w:hAnsi="宋体"/>
              </w:rPr>
              <w:t>）</w:t>
            </w:r>
          </w:p>
          <w:p>
            <w:pPr>
              <w:snapToGrid w:val="0"/>
              <w:jc w:val="left"/>
              <w:rPr>
                <w:rFonts w:hint="eastAsia" w:ascii="宋体" w:hAnsi="宋体"/>
              </w:rPr>
            </w:pPr>
            <w:r>
              <w:rPr>
                <w:rFonts w:hint="eastAsia" w:ascii="宋体" w:hAnsi="宋体"/>
              </w:rPr>
              <w:t>2.供应商依法缴纳税收的相关材料：[</w:t>
            </w:r>
            <w:r>
              <w:rPr>
                <w:rFonts w:hint="eastAsia" w:ascii="宋体" w:hAnsi="宋体"/>
                <w:u w:val="single"/>
              </w:rPr>
              <w:t>2022</w:t>
            </w:r>
            <w:r>
              <w:rPr>
                <w:rFonts w:hint="eastAsia" w:ascii="宋体" w:hAnsi="宋体"/>
              </w:rPr>
              <w:t>年</w:t>
            </w:r>
            <w:r>
              <w:rPr>
                <w:rFonts w:hint="eastAsia" w:ascii="宋体" w:hAnsi="宋体"/>
                <w:u w:val="single"/>
              </w:rPr>
              <w:t>12</w:t>
            </w:r>
            <w:r>
              <w:rPr>
                <w:rFonts w:hint="eastAsia" w:ascii="宋体" w:hAnsi="宋体"/>
              </w:rPr>
              <w:t>月至</w:t>
            </w:r>
            <w:r>
              <w:rPr>
                <w:rFonts w:hint="eastAsia" w:ascii="宋体" w:hAnsi="宋体"/>
                <w:u w:val="single"/>
              </w:rPr>
              <w:t>2023</w:t>
            </w:r>
            <w:r>
              <w:rPr>
                <w:rFonts w:hint="eastAsia" w:ascii="宋体" w:hAnsi="宋体"/>
              </w:rPr>
              <w:t>年</w:t>
            </w:r>
            <w:r>
              <w:rPr>
                <w:rFonts w:hint="eastAsia" w:ascii="宋体" w:hAnsi="宋体"/>
                <w:u w:val="single"/>
              </w:rPr>
              <w:t>5</w:t>
            </w:r>
            <w:r>
              <w:rPr>
                <w:rFonts w:hint="eastAsia" w:ascii="宋体" w:hAnsi="宋体"/>
              </w:rPr>
              <w:t>月]连续</w:t>
            </w:r>
            <w:r>
              <w:rPr>
                <w:rFonts w:hint="eastAsia" w:ascii="宋体" w:hAnsi="宋体"/>
                <w:u w:val="single"/>
              </w:rPr>
              <w:t xml:space="preserve">3   </w:t>
            </w:r>
            <w:r>
              <w:rPr>
                <w:rFonts w:hint="eastAsia" w:ascii="宋体" w:hAnsi="宋体"/>
              </w:rPr>
              <w:t>个月的依法缴纳税收的凭据复印件；依法免税的供应商，必须提供相应文件证明其依法免税。从取得营业执照时间起到相应文件提交截止时间为止不足要求月数的，只需提供从取得营业执照起的依法缴纳税收相应证明文件）；（</w:t>
            </w:r>
            <w:r>
              <w:rPr>
                <w:rFonts w:hint="eastAsia" w:ascii="宋体" w:hAnsi="宋体"/>
                <w:b/>
              </w:rPr>
              <w:t>必须提供，否则作无效竞标处理</w:t>
            </w:r>
            <w:r>
              <w:rPr>
                <w:rFonts w:hint="eastAsia" w:ascii="宋体" w:hAnsi="宋体"/>
              </w:rPr>
              <w:t>）</w:t>
            </w:r>
          </w:p>
          <w:p>
            <w:pPr>
              <w:snapToGrid w:val="0"/>
              <w:jc w:val="left"/>
              <w:rPr>
                <w:rFonts w:hint="eastAsia" w:ascii="宋体" w:hAnsi="宋体"/>
              </w:rPr>
            </w:pPr>
            <w:r>
              <w:rPr>
                <w:rFonts w:hint="eastAsia" w:ascii="宋体" w:hAnsi="宋体"/>
              </w:rPr>
              <w:t>3.供应商依法缴纳社会保障资金的相关材料：[</w:t>
            </w:r>
            <w:r>
              <w:rPr>
                <w:rFonts w:hint="eastAsia" w:ascii="宋体" w:hAnsi="宋体"/>
                <w:u w:val="single"/>
              </w:rPr>
              <w:t>2022</w:t>
            </w:r>
            <w:r>
              <w:rPr>
                <w:rFonts w:hint="eastAsia" w:ascii="宋体" w:hAnsi="宋体"/>
              </w:rPr>
              <w:t>年</w:t>
            </w:r>
            <w:r>
              <w:rPr>
                <w:rFonts w:hint="eastAsia" w:ascii="宋体" w:hAnsi="宋体"/>
                <w:u w:val="single"/>
              </w:rPr>
              <w:t>12</w:t>
            </w:r>
            <w:r>
              <w:rPr>
                <w:rFonts w:hint="eastAsia" w:ascii="宋体" w:hAnsi="宋体"/>
              </w:rPr>
              <w:t>月至</w:t>
            </w:r>
            <w:r>
              <w:rPr>
                <w:rFonts w:hint="eastAsia" w:ascii="宋体" w:hAnsi="宋体"/>
                <w:u w:val="single"/>
              </w:rPr>
              <w:t>2023</w:t>
            </w:r>
            <w:r>
              <w:rPr>
                <w:rFonts w:hint="eastAsia" w:ascii="宋体" w:hAnsi="宋体"/>
              </w:rPr>
              <w:t>年</w:t>
            </w:r>
            <w:r>
              <w:rPr>
                <w:rFonts w:hint="eastAsia" w:ascii="宋体" w:hAnsi="宋体"/>
                <w:u w:val="single"/>
              </w:rPr>
              <w:t>5</w:t>
            </w:r>
            <w:r>
              <w:rPr>
                <w:rFonts w:hint="eastAsia" w:ascii="宋体" w:hAnsi="宋体"/>
              </w:rPr>
              <w:t>月]连续</w:t>
            </w:r>
            <w:r>
              <w:rPr>
                <w:rFonts w:hint="eastAsia" w:ascii="宋体" w:hAnsi="宋体"/>
                <w:u w:val="single"/>
              </w:rPr>
              <w:t xml:space="preserve"> 3 </w:t>
            </w:r>
            <w:r>
              <w:rPr>
                <w:rFonts w:hint="eastAsia" w:ascii="宋体" w:hAnsi="宋体"/>
              </w:rPr>
              <w:t>个月的依法缴纳社会保障资金的缴费凭证（专用收据或者社会保险缴纳清单）复印件；依法不需要缴纳社会保障资金的供应商，必须提供相应文件证明不需要缴纳社会保障资金。从取得营业执照时间起到响应文件提交截止时间为止不足要求月数的只需提供从取得营业执照起的依法缴纳社会保障资金的相应证明文件]；（</w:t>
            </w:r>
            <w:r>
              <w:rPr>
                <w:rFonts w:hint="eastAsia" w:ascii="宋体" w:hAnsi="宋体"/>
                <w:b/>
              </w:rPr>
              <w:t>必须提供，否则作无效竞标处理</w:t>
            </w:r>
            <w:r>
              <w:rPr>
                <w:rFonts w:hint="eastAsia" w:ascii="宋体" w:hAnsi="宋体"/>
              </w:rPr>
              <w:t>）</w:t>
            </w:r>
          </w:p>
          <w:p>
            <w:pPr>
              <w:snapToGrid w:val="0"/>
              <w:jc w:val="left"/>
              <w:rPr>
                <w:rFonts w:hint="eastAsia" w:ascii="宋体" w:hAnsi="宋体"/>
              </w:rPr>
            </w:pPr>
            <w:r>
              <w:rPr>
                <w:rFonts w:hint="eastAsia" w:ascii="宋体" w:hAnsi="宋体"/>
              </w:rPr>
              <w:t>4.供应商财务状况报告：[</w:t>
            </w:r>
            <w:r>
              <w:rPr>
                <w:rFonts w:hint="eastAsia" w:ascii="宋体" w:hAnsi="宋体"/>
                <w:u w:val="single"/>
              </w:rPr>
              <w:t>2022</w:t>
            </w:r>
            <w:r>
              <w:rPr>
                <w:rFonts w:hint="eastAsia" w:ascii="宋体" w:hAnsi="宋体"/>
              </w:rPr>
              <w:t>年]财务状况报告复印件；供应商成立不满一年的应按提供首次响应文件提交截止时间上一个月的财务状况报告复印件。（上述财务状况报告包括：供应商执行《企业会计准则》的，提供资产负债表、利润表、现金流量表、所有者权益变动表及其附注（以下称“四表一注”）；供应商执行《小企业会计准则》的，提供资产负债表、利润表、现金流量表及其附注（以下称“三表一注”）；供应商执行《政府会计制度》的，提供资产负债表、收入费用表和净资产变动表及其附注)；（</w:t>
            </w:r>
            <w:r>
              <w:rPr>
                <w:rFonts w:hint="eastAsia" w:ascii="宋体" w:hAnsi="宋体"/>
                <w:b/>
              </w:rPr>
              <w:t>必须提供，否则作无效竞标处理</w:t>
            </w:r>
            <w:r>
              <w:rPr>
                <w:rFonts w:hint="eastAsia" w:ascii="宋体" w:hAnsi="宋体"/>
              </w:rPr>
              <w:t>）</w:t>
            </w:r>
          </w:p>
          <w:p>
            <w:pPr>
              <w:snapToGrid w:val="0"/>
              <w:jc w:val="left"/>
              <w:rPr>
                <w:rFonts w:hint="eastAsia" w:ascii="宋体" w:hAnsi="宋体"/>
              </w:rPr>
            </w:pPr>
            <w:r>
              <w:rPr>
                <w:rFonts w:hint="eastAsia" w:ascii="宋体" w:hAnsi="宋体"/>
              </w:rPr>
              <w:t>5.供应商直接控股、管理关系信息表；（</w:t>
            </w:r>
            <w:r>
              <w:rPr>
                <w:rFonts w:hint="eastAsia" w:ascii="宋体" w:hAnsi="宋体"/>
                <w:b/>
              </w:rPr>
              <w:t>必须提供，否则响应文件按无效响应处理</w:t>
            </w:r>
            <w:r>
              <w:rPr>
                <w:rFonts w:hint="eastAsia" w:ascii="宋体" w:hAnsi="宋体"/>
              </w:rPr>
              <w:t>）</w:t>
            </w:r>
          </w:p>
          <w:p>
            <w:pPr>
              <w:snapToGrid w:val="0"/>
              <w:jc w:val="left"/>
              <w:rPr>
                <w:rFonts w:hint="eastAsia" w:ascii="宋体" w:hAnsi="宋体"/>
              </w:rPr>
            </w:pPr>
            <w:r>
              <w:rPr>
                <w:rFonts w:hint="eastAsia" w:ascii="宋体" w:hAnsi="宋体"/>
              </w:rPr>
              <w:t>6.资格声明函；（</w:t>
            </w:r>
            <w:r>
              <w:rPr>
                <w:rFonts w:hint="eastAsia" w:ascii="宋体" w:hAnsi="宋体"/>
                <w:b/>
              </w:rPr>
              <w:t>必须提供，否则响应文件按无效响应处理</w:t>
            </w:r>
            <w:r>
              <w:rPr>
                <w:rFonts w:hint="eastAsia" w:ascii="宋体" w:hAnsi="宋体"/>
              </w:rPr>
              <w:t>）</w:t>
            </w:r>
          </w:p>
          <w:p>
            <w:pPr>
              <w:snapToGrid w:val="0"/>
              <w:jc w:val="left"/>
              <w:rPr>
                <w:rFonts w:hint="eastAsia" w:ascii="宋体" w:hAnsi="宋体"/>
              </w:rPr>
            </w:pPr>
            <w:r>
              <w:rPr>
                <w:rFonts w:hint="eastAsia" w:ascii="宋体" w:hAnsi="宋体"/>
              </w:rPr>
              <w:t>7.联合体协议书；（</w:t>
            </w:r>
            <w:r>
              <w:rPr>
                <w:rFonts w:hint="eastAsia" w:ascii="宋体" w:hAnsi="宋体"/>
                <w:b/>
              </w:rPr>
              <w:t>联合体竞标时必须提供，否则响应文件按无效响应处理</w:t>
            </w:r>
            <w:r>
              <w:rPr>
                <w:rFonts w:hint="eastAsia" w:ascii="宋体" w:hAnsi="宋体"/>
              </w:rPr>
              <w:t>）</w:t>
            </w:r>
          </w:p>
          <w:p>
            <w:pPr>
              <w:snapToGrid w:val="0"/>
              <w:jc w:val="left"/>
              <w:rPr>
                <w:rFonts w:hint="eastAsia" w:ascii="宋体" w:hAnsi="宋体"/>
              </w:rPr>
            </w:pPr>
            <w:r>
              <w:rPr>
                <w:rFonts w:hint="eastAsia" w:ascii="宋体" w:hAnsi="宋体"/>
              </w:rPr>
              <w:t>8. 中小企业声明函(或监狱企业证明文件、残疾人福利企业声明函)。</w:t>
            </w:r>
            <w:r>
              <w:rPr>
                <w:rFonts w:hint="eastAsia" w:ascii="宋体" w:hAnsi="宋体"/>
                <w:b/>
              </w:rPr>
              <w:t>（必须提供，否则作无效响应处理）</w:t>
            </w:r>
          </w:p>
          <w:p>
            <w:pPr>
              <w:snapToGrid w:val="0"/>
              <w:jc w:val="left"/>
              <w:rPr>
                <w:rFonts w:hint="eastAsia" w:ascii="宋体" w:hAnsi="宋体"/>
              </w:rPr>
            </w:pPr>
            <w:r>
              <w:rPr>
                <w:rFonts w:hint="eastAsia" w:ascii="宋体" w:hAnsi="宋体"/>
              </w:rPr>
              <w:t>9.除磋商文件规定必须提供以外，供应商认为需要提供的其他证明材料；</w:t>
            </w:r>
          </w:p>
          <w:p>
            <w:pPr>
              <w:snapToGrid w:val="0"/>
              <w:jc w:val="left"/>
              <w:rPr>
                <w:rFonts w:hint="eastAsia" w:ascii="宋体" w:hAnsi="宋体"/>
                <w:b/>
              </w:rPr>
            </w:pPr>
            <w:r>
              <w:rPr>
                <w:rFonts w:hint="eastAsia" w:ascii="宋体" w:hAnsi="宋体"/>
                <w:b/>
              </w:rPr>
              <w:t>注：</w:t>
            </w:r>
          </w:p>
          <w:p>
            <w:pPr>
              <w:snapToGrid w:val="0"/>
              <w:ind w:firstLine="413" w:firstLineChars="196"/>
              <w:jc w:val="left"/>
              <w:rPr>
                <w:rFonts w:hint="eastAsia" w:ascii="宋体" w:hAnsi="宋体"/>
                <w:b/>
              </w:rPr>
            </w:pPr>
            <w:r>
              <w:rPr>
                <w:rFonts w:hint="eastAsia" w:ascii="宋体" w:hAnsi="宋体"/>
                <w:b/>
              </w:rPr>
              <w:t>1.以上标明“必须提供”的材料属于复印件的扫描件的，必须加盖供应商电子公章，否则响应文件按无效响应处理。</w:t>
            </w:r>
          </w:p>
          <w:p>
            <w:pPr>
              <w:pStyle w:val="10"/>
              <w:widowControl/>
              <w:ind w:firstLine="422" w:firstLineChars="200"/>
              <w:rPr>
                <w:rFonts w:ascii="宋体" w:hAnsi="宋体"/>
                <w:b/>
              </w:rPr>
            </w:pPr>
            <w:r>
              <w:rPr>
                <w:rFonts w:hint="eastAsia" w:ascii="宋体" w:hAnsi="宋体"/>
                <w:b/>
              </w:rPr>
              <w:t>2.联合体竞标时，第1-5项资格证明文件联合体各方均必须分别提供，联合体各方分别盖章和签字，否则响应文件按无效响应处理。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vMerge w:val="restart"/>
            <w:tcBorders>
              <w:top w:val="nil"/>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12.1.2</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b/>
                <w:bCs/>
                <w:szCs w:val="21"/>
              </w:rPr>
            </w:pPr>
            <w:r>
              <w:rPr>
                <w:rFonts w:hint="eastAsia" w:ascii="宋体" w:hAnsi="宋体"/>
                <w:b/>
                <w:bCs/>
              </w:rPr>
              <w:t>商务文件组成</w:t>
            </w:r>
          </w:p>
        </w:tc>
        <w:tc>
          <w:tcPr>
            <w:tcW w:w="6853" w:type="dxa"/>
            <w:tcBorders>
              <w:top w:val="single" w:color="000000" w:sz="4" w:space="0"/>
              <w:left w:val="nil"/>
              <w:bottom w:val="single" w:color="000000" w:sz="4" w:space="0"/>
              <w:right w:val="single" w:color="000000" w:sz="4" w:space="0"/>
            </w:tcBorders>
            <w:noWrap w:val="0"/>
            <w:vAlign w:val="center"/>
          </w:tcPr>
          <w:p>
            <w:pPr>
              <w:rPr>
                <w:rFonts w:ascii="宋体" w:hAnsi="宋体"/>
              </w:rPr>
            </w:pPr>
            <w:r>
              <w:rPr>
                <w:rFonts w:hint="eastAsia" w:ascii="宋体" w:hAnsi="宋体"/>
              </w:rPr>
              <w:t>1.无串通竞标行为的承诺函；（</w:t>
            </w:r>
            <w:r>
              <w:rPr>
                <w:rFonts w:hint="eastAsia" w:ascii="宋体" w:hAnsi="宋体"/>
                <w:b/>
              </w:rPr>
              <w:t>必须提供，否则响应文件按无效响应处理</w:t>
            </w:r>
            <w:r>
              <w:rPr>
                <w:rFonts w:hint="eastAsia" w:ascii="宋体" w:hAnsi="宋体"/>
              </w:rPr>
              <w:t>）</w:t>
            </w:r>
          </w:p>
          <w:p>
            <w:pPr>
              <w:snapToGrid w:val="0"/>
              <w:jc w:val="left"/>
              <w:rPr>
                <w:rFonts w:hint="eastAsia" w:ascii="宋体" w:hAnsi="宋体"/>
              </w:rPr>
            </w:pPr>
            <w:r>
              <w:rPr>
                <w:rFonts w:hint="eastAsia" w:ascii="宋体" w:hAnsi="宋体"/>
              </w:rPr>
              <w:t>2.法定代表人身份证明书及法定代表人有效身份证正反面复印件；（</w:t>
            </w:r>
            <w:r>
              <w:rPr>
                <w:rFonts w:hint="eastAsia" w:ascii="宋体" w:hAnsi="宋体"/>
                <w:b/>
                <w:bCs/>
              </w:rPr>
              <w:t>除自然人竞标外</w:t>
            </w:r>
            <w:r>
              <w:rPr>
                <w:rFonts w:hint="eastAsia" w:ascii="宋体" w:hAnsi="宋体"/>
                <w:b/>
              </w:rPr>
              <w:t>必须提供，否则响应文件按无效响应处理</w:t>
            </w:r>
            <w:r>
              <w:rPr>
                <w:rFonts w:hint="eastAsia" w:ascii="宋体" w:hAnsi="宋体"/>
              </w:rPr>
              <w:t>）</w:t>
            </w:r>
          </w:p>
          <w:p>
            <w:pPr>
              <w:rPr>
                <w:rFonts w:hint="eastAsia" w:ascii="宋体" w:hAnsi="宋体"/>
                <w:b/>
              </w:rPr>
            </w:pPr>
            <w:r>
              <w:rPr>
                <w:rFonts w:hint="eastAsia" w:ascii="宋体" w:hAnsi="宋体"/>
              </w:rPr>
              <w:t>3.法定代表人授权委托书及委托代理人有效身份证正反面复印件；（</w:t>
            </w:r>
            <w:r>
              <w:rPr>
                <w:rFonts w:hint="eastAsia" w:ascii="宋体" w:hAnsi="宋体"/>
                <w:b/>
              </w:rPr>
              <w:t>委托时必须提供，否则响应文件按无效响应处理</w:t>
            </w:r>
            <w:r>
              <w:rPr>
                <w:rFonts w:hint="eastAsia" w:ascii="宋体" w:hAnsi="宋体"/>
              </w:rPr>
              <w:t>）</w:t>
            </w:r>
          </w:p>
          <w:p>
            <w:pPr>
              <w:rPr>
                <w:rFonts w:hint="eastAsia" w:ascii="宋体" w:hAnsi="宋体"/>
              </w:rPr>
            </w:pPr>
            <w:r>
              <w:rPr>
                <w:rFonts w:hint="eastAsia" w:ascii="宋体" w:hAnsi="宋体"/>
              </w:rPr>
              <w:t>4.商务条款偏离表；（</w:t>
            </w:r>
            <w:r>
              <w:rPr>
                <w:rFonts w:hint="eastAsia" w:ascii="宋体" w:hAnsi="宋体"/>
                <w:b/>
              </w:rPr>
              <w:t>必须提供，否则响应文件按无效响应处理</w:t>
            </w:r>
            <w:r>
              <w:rPr>
                <w:rFonts w:hint="eastAsia" w:ascii="宋体" w:hAnsi="宋体"/>
              </w:rPr>
              <w:t>）</w:t>
            </w:r>
          </w:p>
          <w:p>
            <w:pPr>
              <w:rPr>
                <w:rFonts w:hint="eastAsia" w:ascii="宋体" w:hAnsi="宋体"/>
              </w:rPr>
            </w:pPr>
            <w:r>
              <w:rPr>
                <w:rFonts w:hint="eastAsia" w:ascii="宋体" w:hAnsi="宋体"/>
              </w:rPr>
              <w:t>5.</w:t>
            </w:r>
            <w:r>
              <w:rPr>
                <w:rFonts w:hint="eastAsia" w:ascii="宋体" w:hAnsi="宋体" w:cs="宋体"/>
                <w:szCs w:val="21"/>
              </w:rPr>
              <w:t>磋商保证金的相关证明复印件；</w:t>
            </w:r>
            <w:r>
              <w:rPr>
                <w:rFonts w:hint="eastAsia" w:ascii="宋体" w:hAnsi="宋体"/>
              </w:rPr>
              <w:t>（</w:t>
            </w:r>
            <w:r>
              <w:rPr>
                <w:rFonts w:hint="eastAsia" w:ascii="宋体" w:hAnsi="宋体"/>
                <w:b/>
              </w:rPr>
              <w:t>必须提供，否则响应文件按无效响应处理</w:t>
            </w:r>
            <w:r>
              <w:rPr>
                <w:rFonts w:hint="eastAsia" w:ascii="宋体" w:hAnsi="宋体"/>
              </w:rPr>
              <w:t>）</w:t>
            </w:r>
          </w:p>
          <w:p>
            <w:pPr>
              <w:rPr>
                <w:rFonts w:ascii="宋体" w:hAnsi="宋体"/>
              </w:rPr>
            </w:pPr>
            <w:r>
              <w:rPr>
                <w:rFonts w:hint="eastAsia" w:ascii="宋体" w:hAnsi="宋体"/>
              </w:rPr>
              <w:t>6.竞标人情况介绍；</w:t>
            </w:r>
          </w:p>
          <w:p>
            <w:pPr>
              <w:rPr>
                <w:rFonts w:hint="eastAsia" w:ascii="宋体" w:hAnsi="宋体"/>
              </w:rPr>
            </w:pPr>
            <w:r>
              <w:rPr>
                <w:rFonts w:hint="eastAsia" w:ascii="宋体" w:hAnsi="宋体"/>
              </w:rPr>
              <w:t>7.供应商认为需要提供的其他有关资料。</w:t>
            </w:r>
          </w:p>
          <w:p>
            <w:pPr>
              <w:snapToGrid w:val="0"/>
              <w:jc w:val="left"/>
              <w:rPr>
                <w:rFonts w:hint="eastAsia" w:ascii="宋体" w:hAnsi="宋体"/>
                <w:b/>
              </w:rPr>
            </w:pPr>
            <w:r>
              <w:rPr>
                <w:rFonts w:hint="eastAsia" w:ascii="宋体" w:hAnsi="宋体"/>
                <w:b/>
              </w:rPr>
              <w:t xml:space="preserve">注： </w:t>
            </w:r>
          </w:p>
          <w:p>
            <w:pPr>
              <w:snapToGrid w:val="0"/>
              <w:ind w:firstLine="413" w:firstLineChars="196"/>
              <w:jc w:val="left"/>
              <w:rPr>
                <w:rFonts w:hint="eastAsia" w:ascii="宋体" w:hAnsi="宋体"/>
                <w:b/>
              </w:rPr>
            </w:pPr>
            <w:r>
              <w:rPr>
                <w:rFonts w:hint="eastAsia" w:ascii="宋体" w:hAnsi="宋体"/>
                <w:b/>
              </w:rPr>
              <w:t>1.法定代表人授权委托书必须由法定代表人及委托代理人签字，并加盖供应商公章，否则响应文件按无效响应处理。</w:t>
            </w:r>
          </w:p>
          <w:p>
            <w:pPr>
              <w:ind w:firstLine="413" w:firstLineChars="196"/>
              <w:rPr>
                <w:rFonts w:ascii="宋体" w:hAnsi="宋体"/>
                <w:b/>
                <w:szCs w:val="21"/>
              </w:rPr>
            </w:pPr>
            <w:r>
              <w:rPr>
                <w:rFonts w:hint="eastAsia" w:ascii="宋体" w:hAnsi="宋体"/>
                <w:b/>
              </w:rPr>
              <w:t>2.以上标明“必须提供”的材料属于复印件的扫描件的，必须加盖供应商电子公章，否则响应文件按无效响应处理。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vMerge w:val="continue"/>
            <w:tcBorders>
              <w:top w:val="nil"/>
              <w:left w:val="single" w:color="000000" w:sz="4" w:space="0"/>
              <w:bottom w:val="single" w:color="000000" w:sz="4" w:space="0"/>
              <w:right w:val="single" w:color="000000" w:sz="4" w:space="0"/>
            </w:tcBorders>
            <w:noWrap w:val="0"/>
            <w:vAlign w:val="center"/>
          </w:tcPr>
          <w:p>
            <w:pPr>
              <w:widowControl/>
              <w:jc w:val="left"/>
              <w:rPr>
                <w:rFonts w:ascii="宋体" w:hAnsi="宋体"/>
                <w:szCs w:val="21"/>
              </w:rPr>
            </w:pP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b/>
                <w:bCs/>
                <w:szCs w:val="21"/>
              </w:rPr>
            </w:pPr>
            <w:r>
              <w:rPr>
                <w:rFonts w:hint="eastAsia" w:ascii="宋体" w:hAnsi="宋体"/>
                <w:b/>
                <w:bCs/>
              </w:rPr>
              <w:t>技术文件组成</w:t>
            </w:r>
          </w:p>
        </w:tc>
        <w:tc>
          <w:tcPr>
            <w:tcW w:w="6853" w:type="dxa"/>
            <w:tcBorders>
              <w:top w:val="single" w:color="000000" w:sz="4" w:space="0"/>
              <w:left w:val="nil"/>
              <w:bottom w:val="single" w:color="000000" w:sz="4" w:space="0"/>
              <w:right w:val="single" w:color="000000" w:sz="4" w:space="0"/>
            </w:tcBorders>
            <w:noWrap w:val="0"/>
            <w:vAlign w:val="center"/>
          </w:tcPr>
          <w:p>
            <w:pPr>
              <w:rPr>
                <w:rFonts w:ascii="宋体" w:hAnsi="宋体"/>
              </w:rPr>
            </w:pPr>
            <w:r>
              <w:rPr>
                <w:rFonts w:hint="eastAsia" w:ascii="宋体" w:hAnsi="宋体"/>
              </w:rPr>
              <w:t>1.服务需求偏离表；（</w:t>
            </w:r>
            <w:r>
              <w:rPr>
                <w:rFonts w:hint="eastAsia" w:ascii="宋体" w:hAnsi="宋体"/>
                <w:b/>
              </w:rPr>
              <w:t>必须提供，否则响应文件按无效响应处理</w:t>
            </w:r>
            <w:r>
              <w:rPr>
                <w:rFonts w:hint="eastAsia" w:ascii="宋体" w:hAnsi="宋体"/>
              </w:rPr>
              <w:t>）</w:t>
            </w:r>
          </w:p>
          <w:p>
            <w:pPr>
              <w:rPr>
                <w:rFonts w:hint="eastAsia" w:ascii="宋体" w:hAnsi="宋体"/>
              </w:rPr>
            </w:pPr>
            <w:r>
              <w:rPr>
                <w:rFonts w:hint="eastAsia" w:ascii="宋体" w:hAnsi="宋体"/>
              </w:rPr>
              <w:t>2.技术服务方案；</w:t>
            </w:r>
          </w:p>
          <w:p>
            <w:pPr>
              <w:rPr>
                <w:rFonts w:hint="eastAsia" w:ascii="宋体" w:hAnsi="宋体"/>
              </w:rPr>
            </w:pPr>
            <w:r>
              <w:rPr>
                <w:rFonts w:hint="eastAsia" w:ascii="宋体" w:hAnsi="宋体"/>
              </w:rPr>
              <w:t>3.项目实施人员一览表；</w:t>
            </w:r>
          </w:p>
          <w:p>
            <w:pPr>
              <w:rPr>
                <w:rFonts w:hint="eastAsia" w:ascii="宋体" w:hAnsi="宋体"/>
              </w:rPr>
            </w:pPr>
            <w:r>
              <w:rPr>
                <w:rFonts w:hint="eastAsia" w:ascii="宋体" w:hAnsi="宋体"/>
              </w:rPr>
              <w:t>4.对应采购需求的服务需求、商务条款提供的其他文件资料；</w:t>
            </w:r>
          </w:p>
          <w:p>
            <w:pPr>
              <w:rPr>
                <w:rFonts w:hint="eastAsia" w:ascii="宋体" w:hAnsi="宋体"/>
              </w:rPr>
            </w:pPr>
            <w:r>
              <w:rPr>
                <w:rFonts w:hint="eastAsia" w:ascii="宋体" w:hAnsi="宋体"/>
              </w:rPr>
              <w:t>5.供应商认为需要提供的其他有关资料。</w:t>
            </w:r>
          </w:p>
          <w:p>
            <w:pPr>
              <w:rPr>
                <w:rFonts w:ascii="宋体" w:hAnsi="宋体"/>
                <w:szCs w:val="21"/>
              </w:rPr>
            </w:pPr>
            <w:r>
              <w:rPr>
                <w:rFonts w:hint="eastAsia" w:ascii="宋体" w:hAnsi="宋体"/>
                <w:b/>
              </w:rPr>
              <w:t>注：1.以上标明“必须提供”的材料属于复印件的扫描件的，必须加盖供应商电子公章，否则响应文件按无效响应处理。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12.1.2</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b/>
                <w:bCs/>
              </w:rPr>
              <w:t>报价文件组成</w:t>
            </w:r>
          </w:p>
        </w:tc>
        <w:tc>
          <w:tcPr>
            <w:tcW w:w="6853" w:type="dxa"/>
            <w:tcBorders>
              <w:top w:val="single" w:color="000000" w:sz="4" w:space="0"/>
              <w:left w:val="nil"/>
              <w:bottom w:val="single" w:color="000000" w:sz="4" w:space="0"/>
              <w:right w:val="single" w:color="000000" w:sz="4" w:space="0"/>
            </w:tcBorders>
            <w:noWrap w:val="0"/>
            <w:vAlign w:val="center"/>
          </w:tcPr>
          <w:p>
            <w:pPr>
              <w:snapToGrid w:val="0"/>
              <w:jc w:val="left"/>
              <w:rPr>
                <w:rFonts w:ascii="宋体" w:hAnsi="宋体"/>
              </w:rPr>
            </w:pPr>
            <w:r>
              <w:rPr>
                <w:rFonts w:hint="eastAsia" w:ascii="宋体" w:hAnsi="宋体"/>
              </w:rPr>
              <w:t>1.响应函；</w:t>
            </w:r>
            <w:r>
              <w:rPr>
                <w:rFonts w:hint="eastAsia" w:ascii="宋体" w:hAnsi="宋体"/>
                <w:b/>
              </w:rPr>
              <w:t>（必须提供，否则作无效响应处理）</w:t>
            </w:r>
          </w:p>
          <w:p>
            <w:pPr>
              <w:rPr>
                <w:rFonts w:ascii="宋体" w:hAnsi="宋体"/>
                <w:szCs w:val="21"/>
              </w:rPr>
            </w:pPr>
            <w:r>
              <w:rPr>
                <w:rFonts w:hint="eastAsia" w:ascii="宋体" w:hAnsi="宋体"/>
              </w:rPr>
              <w:t>2.响应报价表；（</w:t>
            </w:r>
            <w:r>
              <w:rPr>
                <w:rFonts w:hint="eastAsia" w:ascii="宋体" w:hAnsi="宋体"/>
                <w:b/>
              </w:rPr>
              <w:t>必须提供，否则响应文件按无效响应处理</w:t>
            </w:r>
            <w:r>
              <w:rPr>
                <w:rFonts w:hint="eastAsia" w:ascii="宋体" w:hAnsi="宋体"/>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12.2</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响应文件电子版要求</w:t>
            </w:r>
          </w:p>
        </w:tc>
        <w:tc>
          <w:tcPr>
            <w:tcW w:w="6853" w:type="dxa"/>
            <w:tcBorders>
              <w:top w:val="single" w:color="000000" w:sz="4" w:space="0"/>
              <w:left w:val="nil"/>
              <w:bottom w:val="single" w:color="000000" w:sz="4" w:space="0"/>
              <w:right w:val="single" w:color="000000" w:sz="4" w:space="0"/>
            </w:tcBorders>
            <w:noWrap w:val="0"/>
            <w:vAlign w:val="center"/>
          </w:tcPr>
          <w:p>
            <w:pPr>
              <w:snapToGrid w:val="0"/>
              <w:jc w:val="left"/>
              <w:rPr>
                <w:rFonts w:ascii="宋体" w:hAnsi="宋体"/>
              </w:rPr>
            </w:pPr>
            <w:r>
              <w:rPr>
                <w:rFonts w:hint="eastAsia" w:ascii="宋体" w:hAnsi="宋体"/>
              </w:rPr>
              <w:t>1.响应文件电子版要求：按照本采购文件“第五章 响应文件格式”编写（第五章未附格式的，由供应商自行拟定），不可涂改并在规定加盖公章处加盖电子公章，</w:t>
            </w:r>
            <w:r>
              <w:rPr>
                <w:rFonts w:hint="eastAsia" w:ascii="宋体" w:hAnsi="宋体"/>
                <w:b/>
              </w:rPr>
              <w:t>否则响应文件按无效响应处理</w:t>
            </w:r>
            <w:r>
              <w:rPr>
                <w:rFonts w:hint="eastAsia" w:ascii="宋体" w:hAnsi="宋体"/>
              </w:rPr>
              <w:t>。</w:t>
            </w:r>
          </w:p>
          <w:p>
            <w:pPr>
              <w:snapToGrid w:val="0"/>
              <w:jc w:val="left"/>
              <w:rPr>
                <w:rFonts w:ascii="宋体" w:hAnsi="宋体"/>
                <w:szCs w:val="21"/>
              </w:rPr>
            </w:pPr>
            <w:r>
              <w:rPr>
                <w:rFonts w:hint="eastAsia" w:ascii="宋体" w:hAnsi="宋体"/>
              </w:rPr>
              <w:t>2</w:t>
            </w:r>
            <w:r>
              <w:rPr>
                <w:rFonts w:hint="eastAsia" w:ascii="宋体" w:hAnsi="宋体" w:cs="Courier New"/>
              </w:rPr>
              <w:t>.响应文件电子版密封方式：电子响应文件通过平台有效CA加密后在“政采云”平台投送。（操作方式见公告附件“</w:t>
            </w:r>
            <w:r>
              <w:rPr>
                <w:rFonts w:hint="eastAsia" w:ascii="宋体" w:hAnsi="宋体"/>
              </w:rPr>
              <w:t>电子响应文件制作与投送教程</w:t>
            </w:r>
            <w:r>
              <w:rPr>
                <w:rFonts w:hint="eastAsia" w:ascii="宋体" w:hAnsi="宋体" w:cs="Courier New"/>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15.2</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响应报价要求</w:t>
            </w:r>
          </w:p>
        </w:tc>
        <w:tc>
          <w:tcPr>
            <w:tcW w:w="6853" w:type="dxa"/>
            <w:tcBorders>
              <w:top w:val="single" w:color="000000" w:sz="4" w:space="0"/>
              <w:left w:val="nil"/>
              <w:bottom w:val="single" w:color="000000" w:sz="4" w:space="0"/>
              <w:right w:val="single" w:color="000000" w:sz="4" w:space="0"/>
            </w:tcBorders>
            <w:noWrap w:val="0"/>
            <w:vAlign w:val="center"/>
          </w:tcPr>
          <w:p>
            <w:pPr>
              <w:snapToGrid w:val="0"/>
              <w:jc w:val="left"/>
              <w:rPr>
                <w:rFonts w:ascii="宋体" w:hAnsi="宋体"/>
                <w:szCs w:val="21"/>
              </w:rPr>
            </w:pPr>
            <w:r>
              <w:rPr>
                <w:rFonts w:hint="eastAsia" w:ascii="宋体" w:hAnsi="宋体"/>
              </w:rPr>
              <w:t>响应报价必须包含满足本次竞标全部采购需求所应提供的服务，以及伴随的货物和工程（如有）的价格；包含竞标服务、货物、工程的成本、运输（含保险）、安装（如有）、调试、检验、技术服务、培训、税费等所有费用。</w:t>
            </w:r>
            <w:r>
              <w:rPr>
                <w:rFonts w:hint="eastAsia" w:ascii="宋体" w:hAnsi="宋体"/>
                <w:b/>
              </w:rPr>
              <w:t>（采购需求另有约定的，从其约定。）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16.2</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竞标有效期</w:t>
            </w:r>
          </w:p>
        </w:tc>
        <w:tc>
          <w:tcPr>
            <w:tcW w:w="6853" w:type="dxa"/>
            <w:tcBorders>
              <w:top w:val="single" w:color="000000" w:sz="4" w:space="0"/>
              <w:left w:val="nil"/>
              <w:bottom w:val="single" w:color="000000" w:sz="4" w:space="0"/>
              <w:right w:val="single" w:color="000000" w:sz="4" w:space="0"/>
            </w:tcBorders>
            <w:noWrap w:val="0"/>
            <w:vAlign w:val="center"/>
          </w:tcPr>
          <w:p>
            <w:pPr>
              <w:pStyle w:val="9"/>
              <w:widowControl w:val="0"/>
              <w:tabs>
                <w:tab w:val="clear" w:pos="454"/>
                <w:tab w:val="clear" w:pos="720"/>
                <w:tab w:val="clear" w:pos="840"/>
              </w:tabs>
              <w:snapToGrid w:val="0"/>
              <w:spacing w:after="0" w:afterLines="0"/>
              <w:ind w:left="0" w:firstLine="0"/>
              <w:jc w:val="both"/>
              <w:rPr>
                <w:rFonts w:ascii="宋体" w:hAnsi="宋体"/>
                <w:kern w:val="2"/>
                <w:sz w:val="21"/>
                <w:szCs w:val="21"/>
              </w:rPr>
            </w:pPr>
            <w:r>
              <w:rPr>
                <w:rFonts w:hint="eastAsia" w:ascii="宋体" w:hAnsi="宋体"/>
                <w:kern w:val="2"/>
                <w:sz w:val="21"/>
                <w:szCs w:val="21"/>
              </w:rPr>
              <w:t>自首次响应文件提交截止之日起</w:t>
            </w:r>
            <w:bookmarkStart w:id="128" w:name="PO_3000001868_PM046"/>
            <w:r>
              <w:rPr>
                <w:rFonts w:hint="eastAsia" w:ascii="宋体" w:hAnsi="宋体"/>
                <w:kern w:val="2"/>
                <w:sz w:val="21"/>
                <w:szCs w:val="21"/>
                <w:u w:val="single"/>
              </w:rPr>
              <w:t>60</w:t>
            </w:r>
            <w:bookmarkEnd w:id="128"/>
            <w:r>
              <w:rPr>
                <w:rFonts w:hint="eastAsia" w:ascii="宋体" w:hAnsi="宋体"/>
                <w:kern w:val="2"/>
                <w:sz w:val="21"/>
                <w:szCs w:val="21"/>
                <w:u w:val="single"/>
              </w:rPr>
              <w:t>日历天</w:t>
            </w:r>
            <w:r>
              <w:rPr>
                <w:rFonts w:hint="eastAsia" w:ascii="宋体" w:hAnsi="宋体"/>
                <w:kern w:val="2"/>
                <w:sz w:val="21"/>
                <w:szCs w:val="2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17.1</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磋商保证金</w:t>
            </w:r>
          </w:p>
        </w:tc>
        <w:tc>
          <w:tcPr>
            <w:tcW w:w="6853" w:type="dxa"/>
            <w:tcBorders>
              <w:top w:val="single" w:color="000000" w:sz="4" w:space="0"/>
              <w:left w:val="nil"/>
              <w:bottom w:val="single" w:color="000000" w:sz="4" w:space="0"/>
              <w:right w:val="single" w:color="000000" w:sz="4" w:space="0"/>
            </w:tcBorders>
            <w:noWrap w:val="0"/>
            <w:vAlign w:val="center"/>
          </w:tcPr>
          <w:p>
            <w:pPr>
              <w:rPr>
                <w:rFonts w:hint="eastAsia" w:ascii="宋体" w:hAnsi="宋体"/>
                <w:kern w:val="0"/>
              </w:rPr>
            </w:pPr>
            <w:r>
              <w:rPr>
                <w:rFonts w:hint="eastAsia" w:ascii="宋体" w:hAnsi="宋体"/>
                <w:kern w:val="0"/>
              </w:rPr>
              <w:t xml:space="preserve">磋商保证金（人民币）：壹万玖仟元整（¥19000.00）。 (必须足额交纳) </w:t>
            </w:r>
          </w:p>
          <w:p>
            <w:pPr>
              <w:rPr>
                <w:rFonts w:hint="eastAsia" w:ascii="宋体" w:hAnsi="宋体"/>
                <w:kern w:val="0"/>
              </w:rPr>
            </w:pPr>
            <w:r>
              <w:rPr>
                <w:rFonts w:hint="eastAsia" w:ascii="宋体" w:hAnsi="宋体"/>
                <w:kern w:val="0"/>
              </w:rPr>
              <w:t>1.磋商保证金交纳形式：</w:t>
            </w:r>
            <w:r>
              <w:rPr>
                <w:rFonts w:hint="eastAsia" w:ascii="宋体" w:hAnsi="宋体"/>
                <w:bCs/>
                <w:kern w:val="0"/>
              </w:rPr>
              <w:t>支票、汇票、本票或者金融机构、担保机构出具的保函等非现金形式提交。</w:t>
            </w:r>
          </w:p>
          <w:p>
            <w:pPr>
              <w:rPr>
                <w:rFonts w:hint="eastAsia" w:ascii="宋体" w:hAnsi="宋体"/>
                <w:kern w:val="0"/>
              </w:rPr>
            </w:pPr>
            <w:r>
              <w:rPr>
                <w:rFonts w:hint="eastAsia" w:ascii="宋体" w:hAnsi="宋体"/>
                <w:kern w:val="0"/>
              </w:rPr>
              <w:t>2.采用网上银行转账形式的，供应商应于</w:t>
            </w:r>
            <w:r>
              <w:rPr>
                <w:rFonts w:hint="eastAsia" w:ascii="宋体" w:hAnsi="宋体" w:cs="宋体"/>
                <w:color w:val="000000"/>
                <w:kern w:val="0"/>
                <w:szCs w:val="21"/>
              </w:rPr>
              <w:t>首次响应文件提交截止时间前</w:t>
            </w:r>
            <w:r>
              <w:rPr>
                <w:rFonts w:hint="eastAsia" w:ascii="宋体" w:hAnsi="宋体"/>
                <w:kern w:val="0"/>
              </w:rPr>
              <w:t>将磋商保证金交至以下账户。开户银行：建行南宁市民族大道东分理处，开户名称：广西城建咨询有限公司，银行账号：4500 1604 6530 5070 3663。</w:t>
            </w:r>
          </w:p>
          <w:p>
            <w:pPr>
              <w:rPr>
                <w:rFonts w:hint="eastAsia" w:ascii="宋体" w:hAnsi="宋体"/>
                <w:kern w:val="0"/>
              </w:rPr>
            </w:pPr>
            <w:r>
              <w:rPr>
                <w:rFonts w:hint="eastAsia" w:ascii="宋体" w:hAnsi="宋体"/>
                <w:kern w:val="0"/>
              </w:rPr>
              <w:t>3.采用支票、汇票、本票或者保函等形式的，供应商应于</w:t>
            </w:r>
            <w:r>
              <w:rPr>
                <w:rFonts w:hint="eastAsia" w:ascii="宋体" w:hAnsi="宋体" w:cs="宋体"/>
                <w:color w:val="000000"/>
                <w:kern w:val="0"/>
                <w:szCs w:val="21"/>
              </w:rPr>
              <w:t>首次响应文件提交截止时间前</w:t>
            </w:r>
            <w:r>
              <w:rPr>
                <w:rFonts w:hint="eastAsia" w:ascii="宋体" w:hAnsi="宋体"/>
                <w:kern w:val="0"/>
              </w:rPr>
              <w:t>递交单独密封的支票、汇票、本票或者保函原件至采购代理机构处。</w:t>
            </w:r>
          </w:p>
          <w:p>
            <w:pPr>
              <w:rPr>
                <w:rFonts w:hint="eastAsia" w:ascii="宋体" w:hAnsi="宋体"/>
                <w:kern w:val="0"/>
              </w:rPr>
            </w:pPr>
            <w:r>
              <w:rPr>
                <w:rFonts w:hint="eastAsia" w:ascii="宋体" w:hAnsi="宋体"/>
                <w:kern w:val="0"/>
              </w:rPr>
              <w:t>4.供应商为联合体的，可以由联合体中的一方或者多方共同交纳磋商保证金，其交纳的保证金对联合体各方均具有约束力。</w:t>
            </w:r>
          </w:p>
          <w:p>
            <w:pPr>
              <w:rPr>
                <w:rFonts w:hint="eastAsia" w:ascii="宋体" w:hAnsi="宋体"/>
                <w:kern w:val="0"/>
              </w:rPr>
            </w:pPr>
            <w:r>
              <w:rPr>
                <w:rFonts w:hint="eastAsia" w:ascii="宋体" w:hAnsi="宋体"/>
                <w:kern w:val="0"/>
              </w:rPr>
              <w:t>5.</w:t>
            </w:r>
            <w:r>
              <w:rPr>
                <w:rFonts w:ascii="宋体" w:hAnsi="宋体"/>
                <w:kern w:val="0"/>
              </w:rPr>
              <w:t>未</w:t>
            </w:r>
            <w:r>
              <w:rPr>
                <w:rFonts w:hint="eastAsia" w:ascii="宋体" w:hAnsi="宋体"/>
                <w:kern w:val="0"/>
              </w:rPr>
              <w:t>成交人</w:t>
            </w:r>
            <w:r>
              <w:rPr>
                <w:rFonts w:ascii="宋体" w:hAnsi="宋体"/>
                <w:kern w:val="0"/>
              </w:rPr>
              <w:t>的</w:t>
            </w:r>
            <w:r>
              <w:rPr>
                <w:rFonts w:hint="eastAsia" w:ascii="宋体" w:hAnsi="宋体"/>
                <w:kern w:val="0"/>
              </w:rPr>
              <w:t>磋商</w:t>
            </w:r>
            <w:r>
              <w:rPr>
                <w:rFonts w:ascii="宋体" w:hAnsi="宋体"/>
                <w:kern w:val="0"/>
              </w:rPr>
              <w:t>保证金自</w:t>
            </w:r>
            <w:r>
              <w:rPr>
                <w:rFonts w:hint="eastAsia" w:ascii="宋体" w:hAnsi="宋体"/>
                <w:kern w:val="0"/>
              </w:rPr>
              <w:t>成交</w:t>
            </w:r>
            <w:r>
              <w:rPr>
                <w:rFonts w:ascii="宋体" w:hAnsi="宋体"/>
                <w:kern w:val="0"/>
              </w:rPr>
              <w:t>通知书发出之日起5个工作日内退还，</w:t>
            </w:r>
            <w:r>
              <w:rPr>
                <w:rFonts w:hint="eastAsia" w:ascii="宋体" w:hAnsi="宋体"/>
                <w:kern w:val="0"/>
              </w:rPr>
              <w:t>成交</w:t>
            </w:r>
            <w:r>
              <w:rPr>
                <w:rFonts w:ascii="宋体" w:hAnsi="宋体"/>
                <w:kern w:val="0"/>
              </w:rPr>
              <w:t>人的</w:t>
            </w:r>
            <w:r>
              <w:rPr>
                <w:rFonts w:hint="eastAsia" w:ascii="宋体" w:hAnsi="宋体"/>
                <w:kern w:val="0"/>
              </w:rPr>
              <w:t>磋商</w:t>
            </w:r>
            <w:r>
              <w:rPr>
                <w:rFonts w:ascii="宋体" w:hAnsi="宋体"/>
                <w:kern w:val="0"/>
              </w:rPr>
              <w:t>保证金自合同签订并送达采购代理机构存档后5个工作日内退还，退还方式如下：</w:t>
            </w:r>
          </w:p>
          <w:p>
            <w:pPr>
              <w:rPr>
                <w:rFonts w:hint="eastAsia" w:ascii="宋体" w:hAnsi="宋体"/>
                <w:kern w:val="0"/>
              </w:rPr>
            </w:pPr>
            <w:r>
              <w:rPr>
                <w:rFonts w:ascii="宋体" w:hAnsi="宋体"/>
                <w:kern w:val="0"/>
              </w:rPr>
              <w:t>（1）采用银行转账方式的，以转账方式退回到供应商银行账户。</w:t>
            </w:r>
          </w:p>
          <w:p>
            <w:pPr>
              <w:rPr>
                <w:rFonts w:hint="eastAsia" w:ascii="宋体" w:hAnsi="宋体"/>
                <w:kern w:val="0"/>
              </w:rPr>
            </w:pPr>
            <w:r>
              <w:rPr>
                <w:rFonts w:ascii="宋体" w:hAnsi="宋体"/>
                <w:kern w:val="0"/>
              </w:rPr>
              <w:t>（2）采用支票、汇票或本票方式的，以转账方式退回到供应商银行账户或由供应商代表持相关授权证明材料至</w:t>
            </w:r>
            <w:r>
              <w:rPr>
                <w:rFonts w:hint="eastAsia" w:ascii="宋体" w:hAnsi="宋体"/>
                <w:kern w:val="0"/>
              </w:rPr>
              <w:t>磋商</w:t>
            </w:r>
            <w:r>
              <w:rPr>
                <w:rFonts w:ascii="宋体" w:hAnsi="宋体"/>
                <w:kern w:val="0"/>
              </w:rPr>
              <w:t>保证金收取单位办理支票、汇票或本票原件退还手续。</w:t>
            </w:r>
            <w:r>
              <w:rPr>
                <w:rFonts w:ascii="宋体" w:hAnsi="宋体"/>
                <w:kern w:val="0"/>
              </w:rPr>
              <w:br w:type="textWrapping"/>
            </w:r>
            <w:r>
              <w:rPr>
                <w:rFonts w:ascii="宋体" w:hAnsi="宋体"/>
                <w:kern w:val="0"/>
              </w:rPr>
              <w:t>（3）采用金融机构、担保机构、保险机构出具的保函、保险单方式的，由供应商代表持相关授权证明材料至</w:t>
            </w:r>
            <w:r>
              <w:rPr>
                <w:rFonts w:hint="eastAsia" w:ascii="宋体" w:hAnsi="宋体"/>
                <w:kern w:val="0"/>
              </w:rPr>
              <w:t>磋商</w:t>
            </w:r>
            <w:r>
              <w:rPr>
                <w:rFonts w:ascii="宋体" w:hAnsi="宋体"/>
                <w:kern w:val="0"/>
              </w:rPr>
              <w:t>保证金收取单位办理保函、保险单原件退还手续。</w:t>
            </w:r>
          </w:p>
          <w:p>
            <w:pPr>
              <w:rPr>
                <w:rFonts w:hint="eastAsia" w:ascii="宋体" w:hAnsi="宋体"/>
                <w:b/>
                <w:kern w:val="0"/>
              </w:rPr>
            </w:pPr>
            <w:r>
              <w:rPr>
                <w:rFonts w:hint="eastAsia" w:ascii="宋体" w:hAnsi="宋体"/>
                <w:b/>
                <w:kern w:val="0"/>
              </w:rPr>
              <w:t xml:space="preserve">备注： </w:t>
            </w:r>
          </w:p>
          <w:p>
            <w:pPr>
              <w:rPr>
                <w:rFonts w:hint="eastAsia" w:ascii="宋体" w:hAnsi="宋体"/>
                <w:b/>
                <w:kern w:val="0"/>
              </w:rPr>
            </w:pPr>
            <w:r>
              <w:rPr>
                <w:rFonts w:hint="eastAsia" w:ascii="宋体" w:hAnsi="宋体"/>
                <w:b/>
                <w:kern w:val="0"/>
              </w:rPr>
              <w:t>1. 磋商保证金在首次响应文件提交截止时间后提交的，或者不按规定交纳方式交纳的，或者未足额交纳的（包含保函额度不足的），视为无效磋商保证金。</w:t>
            </w:r>
          </w:p>
          <w:p>
            <w:pPr>
              <w:rPr>
                <w:rFonts w:hint="eastAsia" w:ascii="宋体" w:hAnsi="宋体"/>
                <w:b/>
                <w:kern w:val="0"/>
              </w:rPr>
            </w:pPr>
            <w:r>
              <w:rPr>
                <w:rFonts w:hint="eastAsia" w:ascii="宋体" w:hAnsi="宋体"/>
                <w:b/>
                <w:kern w:val="0"/>
              </w:rPr>
              <w:t>2.供应商采用现钞方式或者从个人账户（自然人投标除外）转出的磋商保证金，视为无效磋商保证金。</w:t>
            </w:r>
          </w:p>
          <w:p>
            <w:pPr>
              <w:rPr>
                <w:rFonts w:hint="eastAsia" w:ascii="宋体" w:hAnsi="宋体"/>
                <w:b/>
                <w:kern w:val="0"/>
              </w:rPr>
            </w:pPr>
            <w:r>
              <w:rPr>
                <w:rFonts w:hint="eastAsia" w:ascii="宋体" w:hAnsi="宋体"/>
                <w:b/>
                <w:kern w:val="0"/>
              </w:rPr>
              <w:t>3.支票、汇票或者本票出现无效或者背书情形的，视为无效磋商保证金。</w:t>
            </w:r>
          </w:p>
          <w:p>
            <w:pPr>
              <w:rPr>
                <w:rFonts w:hint="eastAsia" w:ascii="宋体" w:hAnsi="宋体"/>
                <w:b/>
                <w:kern w:val="0"/>
              </w:rPr>
            </w:pPr>
            <w:r>
              <w:rPr>
                <w:rFonts w:hint="eastAsia" w:ascii="宋体" w:hAnsi="宋体"/>
                <w:b/>
                <w:kern w:val="0"/>
              </w:rPr>
              <w:t>4.保函有效期低于投标有效期的，视为无效磋商保证金。</w:t>
            </w:r>
          </w:p>
          <w:p>
            <w:pPr>
              <w:rPr>
                <w:rFonts w:ascii="宋体" w:hAnsi="宋体"/>
                <w:szCs w:val="21"/>
              </w:rPr>
            </w:pPr>
            <w:r>
              <w:rPr>
                <w:rFonts w:hint="eastAsia" w:ascii="宋体" w:hAnsi="宋体"/>
                <w:b/>
                <w:kern w:val="0"/>
              </w:rPr>
              <w:t>5.采用银行、保险机构出具保函的，必须为无条件保函，否则视为无效磋商保证金。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jc w:val="center"/>
        </w:trPr>
        <w:tc>
          <w:tcPr>
            <w:tcW w:w="725" w:type="dxa"/>
            <w:vMerge w:val="restart"/>
            <w:tcBorders>
              <w:top w:val="nil"/>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20.1</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首次响应文件提交起止时间</w:t>
            </w:r>
          </w:p>
        </w:tc>
        <w:tc>
          <w:tcPr>
            <w:tcW w:w="6853" w:type="dxa"/>
            <w:tcBorders>
              <w:top w:val="single" w:color="000000" w:sz="4" w:space="0"/>
              <w:left w:val="nil"/>
              <w:bottom w:val="single" w:color="000000" w:sz="4" w:space="0"/>
              <w:right w:val="single" w:color="000000" w:sz="4" w:space="0"/>
            </w:tcBorders>
            <w:noWrap w:val="0"/>
            <w:vAlign w:val="center"/>
          </w:tcPr>
          <w:p>
            <w:pPr>
              <w:snapToGrid w:val="0"/>
              <w:jc w:val="left"/>
              <w:rPr>
                <w:rFonts w:ascii="宋体" w:hAnsi="宋体"/>
                <w:szCs w:val="21"/>
                <w:u w:val="single"/>
              </w:rPr>
            </w:pPr>
            <w:r>
              <w:rPr>
                <w:rFonts w:hint="eastAsia" w:ascii="宋体" w:hAnsi="宋体"/>
              </w:rPr>
              <w:t>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2" w:hRule="atLeast"/>
          <w:jc w:val="center"/>
        </w:trPr>
        <w:tc>
          <w:tcPr>
            <w:tcW w:w="725" w:type="dxa"/>
            <w:vMerge w:val="continue"/>
            <w:tcBorders>
              <w:top w:val="nil"/>
              <w:left w:val="single" w:color="000000" w:sz="4" w:space="0"/>
              <w:bottom w:val="single" w:color="000000" w:sz="4" w:space="0"/>
              <w:right w:val="single" w:color="000000" w:sz="4" w:space="0"/>
            </w:tcBorders>
            <w:noWrap w:val="0"/>
            <w:vAlign w:val="center"/>
          </w:tcPr>
          <w:p>
            <w:pPr>
              <w:widowControl/>
              <w:jc w:val="left"/>
              <w:rPr>
                <w:rFonts w:ascii="宋体" w:hAnsi="宋体"/>
                <w:szCs w:val="21"/>
              </w:rPr>
            </w:pP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首次响应文件提交地点</w:t>
            </w:r>
          </w:p>
        </w:tc>
        <w:tc>
          <w:tcPr>
            <w:tcW w:w="6853" w:type="dxa"/>
            <w:tcBorders>
              <w:top w:val="single" w:color="000000" w:sz="4" w:space="0"/>
              <w:left w:val="nil"/>
              <w:bottom w:val="single" w:color="000000" w:sz="4" w:space="0"/>
              <w:right w:val="single" w:color="000000" w:sz="4" w:space="0"/>
            </w:tcBorders>
            <w:noWrap w:val="0"/>
            <w:vAlign w:val="center"/>
          </w:tcPr>
          <w:p>
            <w:pPr>
              <w:snapToGrid w:val="0"/>
              <w:jc w:val="left"/>
              <w:rPr>
                <w:rFonts w:ascii="宋体" w:hAnsi="宋体"/>
                <w:szCs w:val="21"/>
                <w:u w:val="single"/>
              </w:rPr>
            </w:pPr>
            <w:r>
              <w:rPr>
                <w:rFonts w:hint="eastAsia" w:ascii="宋体" w:hAnsi="宋体"/>
              </w:rPr>
              <w:t>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2" w:hRule="atLeast"/>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20.6</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备份响应文件</w:t>
            </w:r>
          </w:p>
        </w:tc>
        <w:tc>
          <w:tcPr>
            <w:tcW w:w="6853" w:type="dxa"/>
            <w:tcBorders>
              <w:top w:val="single" w:color="000000" w:sz="4" w:space="0"/>
              <w:left w:val="nil"/>
              <w:bottom w:val="single" w:color="000000" w:sz="4" w:space="0"/>
              <w:right w:val="single" w:color="000000" w:sz="4" w:space="0"/>
            </w:tcBorders>
            <w:noWrap w:val="0"/>
            <w:vAlign w:val="center"/>
          </w:tcPr>
          <w:p>
            <w:pPr>
              <w:snapToGrid w:val="0"/>
              <w:jc w:val="left"/>
              <w:rPr>
                <w:rFonts w:ascii="宋体" w:hAnsi="宋体"/>
                <w:szCs w:val="21"/>
              </w:rPr>
            </w:pPr>
            <w:r>
              <w:rPr>
                <w:rFonts w:hint="eastAsia" w:ascii="宋体" w:hAnsi="宋体"/>
              </w:rPr>
              <w:t>本项目不接受备份响应文件。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2" w:hRule="atLeast"/>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21</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首次响应文件的退回</w:t>
            </w:r>
          </w:p>
        </w:tc>
        <w:tc>
          <w:tcPr>
            <w:tcW w:w="6853" w:type="dxa"/>
            <w:tcBorders>
              <w:top w:val="single" w:color="000000" w:sz="4" w:space="0"/>
              <w:left w:val="nil"/>
              <w:bottom w:val="single" w:color="000000" w:sz="4" w:space="0"/>
              <w:right w:val="single" w:color="000000" w:sz="4" w:space="0"/>
            </w:tcBorders>
            <w:noWrap w:val="0"/>
            <w:vAlign w:val="center"/>
          </w:tcPr>
          <w:p>
            <w:pPr>
              <w:snapToGrid w:val="0"/>
              <w:jc w:val="left"/>
              <w:rPr>
                <w:rFonts w:ascii="宋体" w:hAnsi="宋体"/>
                <w:szCs w:val="21"/>
              </w:rPr>
            </w:pPr>
            <w:r>
              <w:rPr>
                <w:rFonts w:hint="eastAsia" w:ascii="宋体" w:hAnsi="宋体"/>
              </w:rPr>
              <w:t>详见竞争性磋商公告。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24" w:hRule="atLeast"/>
          <w:jc w:val="center"/>
        </w:trPr>
        <w:tc>
          <w:tcPr>
            <w:tcW w:w="725" w:type="dxa"/>
            <w:vMerge w:val="restart"/>
            <w:tcBorders>
              <w:top w:val="nil"/>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26.2</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负偏离要求</w:t>
            </w:r>
          </w:p>
        </w:tc>
        <w:tc>
          <w:tcPr>
            <w:tcW w:w="6853" w:type="dxa"/>
            <w:tcBorders>
              <w:top w:val="single" w:color="000000" w:sz="4" w:space="0"/>
              <w:left w:val="nil"/>
              <w:bottom w:val="single" w:color="000000" w:sz="4" w:space="0"/>
              <w:right w:val="single" w:color="000000" w:sz="4" w:space="0"/>
            </w:tcBorders>
            <w:noWrap w:val="0"/>
            <w:vAlign w:val="center"/>
          </w:tcPr>
          <w:p>
            <w:pPr>
              <w:snapToGrid w:val="0"/>
              <w:rPr>
                <w:rFonts w:ascii="宋体" w:hAnsi="宋体"/>
              </w:rPr>
            </w:pPr>
            <w:r>
              <w:rPr>
                <w:rFonts w:hint="eastAsia" w:ascii="宋体" w:hAnsi="宋体"/>
              </w:rPr>
              <w:t>商务条款评审中允许负偏离的条款数为</w:t>
            </w:r>
            <w:r>
              <w:rPr>
                <w:rFonts w:hint="eastAsia" w:ascii="宋体" w:hAnsi="宋体"/>
                <w:u w:val="single"/>
              </w:rPr>
              <w:t xml:space="preserve"> 0 </w:t>
            </w:r>
            <w:r>
              <w:rPr>
                <w:rFonts w:hint="eastAsia" w:ascii="宋体" w:hAnsi="宋体"/>
              </w:rPr>
              <w:t>项。</w:t>
            </w:r>
          </w:p>
          <w:p>
            <w:pPr>
              <w:snapToGrid w:val="0"/>
              <w:rPr>
                <w:rFonts w:ascii="宋体" w:hAnsi="宋体"/>
                <w:szCs w:val="21"/>
              </w:rPr>
            </w:pPr>
            <w:r>
              <w:rPr>
                <w:rFonts w:hint="eastAsia" w:ascii="宋体" w:hAnsi="宋体"/>
              </w:rPr>
              <w:t>服务需求评审中允许负偏离的条款数为</w:t>
            </w:r>
            <w:r>
              <w:rPr>
                <w:rFonts w:hint="eastAsia" w:ascii="宋体" w:hAnsi="宋体"/>
                <w:u w:val="single"/>
              </w:rPr>
              <w:t xml:space="preserve">  0 </w:t>
            </w:r>
            <w:r>
              <w:rPr>
                <w:rFonts w:hint="eastAsia" w:ascii="宋体" w:hAnsi="宋体"/>
              </w:rPr>
              <w:t>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vMerge w:val="continue"/>
            <w:tcBorders>
              <w:top w:val="nil"/>
              <w:left w:val="single" w:color="000000" w:sz="4" w:space="0"/>
              <w:bottom w:val="single" w:color="000000" w:sz="4" w:space="0"/>
              <w:right w:val="single" w:color="000000" w:sz="4" w:space="0"/>
            </w:tcBorders>
            <w:noWrap w:val="0"/>
            <w:vAlign w:val="center"/>
          </w:tcPr>
          <w:p>
            <w:pPr>
              <w:widowControl/>
              <w:jc w:val="left"/>
              <w:rPr>
                <w:rFonts w:ascii="宋体" w:hAnsi="宋体"/>
                <w:szCs w:val="21"/>
              </w:rPr>
            </w:pPr>
          </w:p>
        </w:tc>
        <w:tc>
          <w:tcPr>
            <w:tcW w:w="2786" w:type="dxa"/>
            <w:tcBorders>
              <w:top w:val="single" w:color="000000" w:sz="4" w:space="0"/>
              <w:left w:val="nil"/>
              <w:bottom w:val="single" w:color="000000" w:sz="4" w:space="0"/>
              <w:right w:val="single" w:color="000000" w:sz="4" w:space="0"/>
            </w:tcBorders>
            <w:noWrap w:val="0"/>
            <w:vAlign w:val="center"/>
          </w:tcPr>
          <w:p>
            <w:pPr>
              <w:snapToGrid w:val="0"/>
              <w:jc w:val="center"/>
              <w:rPr>
                <w:rFonts w:ascii="宋体" w:hAnsi="宋体"/>
              </w:rPr>
            </w:pPr>
            <w:r>
              <w:rPr>
                <w:rFonts w:hint="eastAsia" w:ascii="宋体" w:hAnsi="宋体"/>
              </w:rPr>
              <w:t>磋商的顺序</w:t>
            </w:r>
          </w:p>
          <w:p>
            <w:pPr>
              <w:jc w:val="center"/>
              <w:rPr>
                <w:rFonts w:ascii="宋体" w:hAnsi="宋体"/>
                <w:szCs w:val="21"/>
              </w:rPr>
            </w:pPr>
          </w:p>
        </w:tc>
        <w:tc>
          <w:tcPr>
            <w:tcW w:w="6853" w:type="dxa"/>
            <w:tcBorders>
              <w:top w:val="single" w:color="000000" w:sz="4" w:space="0"/>
              <w:left w:val="nil"/>
              <w:bottom w:val="single" w:color="000000" w:sz="4" w:space="0"/>
              <w:right w:val="single" w:color="000000" w:sz="4" w:space="0"/>
            </w:tcBorders>
            <w:noWrap w:val="0"/>
            <w:vAlign w:val="center"/>
          </w:tcPr>
          <w:p>
            <w:pPr>
              <w:pStyle w:val="10"/>
              <w:widowControl/>
              <w:rPr>
                <w:rFonts w:ascii="宋体" w:hAnsi="宋体"/>
              </w:rPr>
            </w:pPr>
            <w:r>
              <w:rPr>
                <w:rFonts w:hint="eastAsia" w:ascii="宋体" w:hAnsi="宋体"/>
              </w:rPr>
              <w:t>□按照提交首次响应文件的顺序，通知磋商时，若某供应商不在通知现场时，该供应商排序到最后磋商，按照签到的顺序由其下一位供应商先参与磋商。</w:t>
            </w:r>
          </w:p>
          <w:p>
            <w:pPr>
              <w:snapToGrid w:val="0"/>
              <w:jc w:val="left"/>
              <w:rPr>
                <w:rFonts w:hint="eastAsia" w:ascii="宋体" w:hAnsi="宋体"/>
              </w:rPr>
            </w:pPr>
            <w:r>
              <w:rPr>
                <w:rFonts w:hint="eastAsia" w:ascii="MS Mincho" w:hAnsi="MS Mincho" w:eastAsia="MS Mincho" w:cs="MS Mincho"/>
              </w:rPr>
              <w:t>☑</w:t>
            </w:r>
            <w:r>
              <w:rPr>
                <w:rFonts w:hint="eastAsia" w:ascii="宋体" w:hAnsi="宋体" w:cs="宋体"/>
              </w:rPr>
              <w:t>随机排序。</w:t>
            </w:r>
          </w:p>
          <w:p>
            <w:pPr>
              <w:pStyle w:val="10"/>
              <w:widowControl/>
              <w:rPr>
                <w:rFonts w:ascii="宋体" w:hAnsi="宋体"/>
                <w:b/>
              </w:rPr>
            </w:pPr>
            <w:r>
              <w:rPr>
                <w:rFonts w:hint="eastAsia" w:ascii="宋体" w:hAnsi="宋体"/>
                <w:b/>
              </w:rPr>
              <w:t>参与磋商前，供应商法定代表人或者委托代理人必须向磋商小组出示本人有效证件原件[有效证件可以是身份证（含临时身份证明）、机动车驾驶证、社会保障卡或者护照的其中一项]，若参与磋商的委托代理人不是响应文件中授权的委托代理人时，必须同时出示有效的法定代表人授权委托书原件，否则磋商小组将拒绝其参与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28</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履约保证金</w:t>
            </w:r>
          </w:p>
        </w:tc>
        <w:tc>
          <w:tcPr>
            <w:tcW w:w="6853" w:type="dxa"/>
            <w:tcBorders>
              <w:top w:val="single" w:color="000000" w:sz="4" w:space="0"/>
              <w:left w:val="nil"/>
              <w:bottom w:val="single" w:color="000000" w:sz="4" w:space="0"/>
              <w:right w:val="single" w:color="000000" w:sz="4" w:space="0"/>
            </w:tcBorders>
            <w:noWrap w:val="0"/>
            <w:vAlign w:val="center"/>
          </w:tcPr>
          <w:p>
            <w:pPr>
              <w:widowControl/>
              <w:spacing w:line="360" w:lineRule="exact"/>
              <w:jc w:val="left"/>
              <w:rPr>
                <w:rFonts w:hint="eastAsia" w:ascii="宋体" w:hAnsi="宋体" w:cs="宋体"/>
                <w:szCs w:val="20"/>
              </w:rPr>
            </w:pPr>
            <w:r>
              <w:rPr>
                <w:rFonts w:hint="eastAsia" w:ascii="宋体" w:hAnsi="宋体" w:cs="宋体"/>
                <w:szCs w:val="20"/>
              </w:rPr>
              <w:t>履约保证金金额：合同金额的2%。</w:t>
            </w:r>
          </w:p>
          <w:p>
            <w:pPr>
              <w:widowControl/>
              <w:spacing w:line="360" w:lineRule="exact"/>
              <w:jc w:val="left"/>
              <w:rPr>
                <w:rFonts w:hint="eastAsia" w:ascii="宋体" w:hAnsi="宋体" w:cs="宋体"/>
                <w:szCs w:val="20"/>
              </w:rPr>
            </w:pPr>
            <w:r>
              <w:rPr>
                <w:rFonts w:hint="eastAsia" w:ascii="宋体" w:hAnsi="宋体" w:cs="宋体"/>
                <w:szCs w:val="20"/>
              </w:rPr>
              <w:t>在收到成交通知书后，合同签订之前，供应商须向采购人指定账户提交足额履约保证金。</w:t>
            </w:r>
          </w:p>
          <w:p>
            <w:pPr>
              <w:widowControl/>
              <w:spacing w:line="360" w:lineRule="exact"/>
              <w:jc w:val="left"/>
              <w:rPr>
                <w:rFonts w:hint="eastAsia" w:ascii="宋体" w:hAnsi="宋体" w:cs="宋体"/>
                <w:szCs w:val="20"/>
              </w:rPr>
            </w:pPr>
            <w:r>
              <w:rPr>
                <w:rFonts w:hint="eastAsia" w:ascii="宋体" w:hAnsi="宋体" w:cs="宋体"/>
                <w:szCs w:val="20"/>
              </w:rPr>
              <w:t>服务期内，采购人根据合同约定对成交供应商的服务质量进行考核，并扣罚相应的履约保证金。</w:t>
            </w:r>
          </w:p>
          <w:p>
            <w:pPr>
              <w:widowControl/>
              <w:spacing w:line="360" w:lineRule="exact"/>
              <w:jc w:val="left"/>
              <w:rPr>
                <w:rFonts w:hint="eastAsia" w:ascii="宋体" w:hAnsi="宋体" w:cs="宋体"/>
                <w:szCs w:val="20"/>
              </w:rPr>
            </w:pPr>
            <w:r>
              <w:rPr>
                <w:rFonts w:hint="eastAsia" w:ascii="宋体" w:hAnsi="宋体" w:cs="宋体"/>
                <w:szCs w:val="20"/>
              </w:rPr>
              <w:t>项目验收后，由成交供应商提出申请，采购人根据全年考核情况在成交供应商提出申请后十五个工作日内将扣罚后剩余的履约保证金无息退还。</w:t>
            </w:r>
          </w:p>
          <w:p>
            <w:pPr>
              <w:snapToGrid w:val="0"/>
              <w:rPr>
                <w:rFonts w:ascii="宋体" w:hAnsi="宋体"/>
                <w:szCs w:val="21"/>
              </w:rPr>
            </w:pPr>
            <w:r>
              <w:rPr>
                <w:rFonts w:hint="eastAsia" w:ascii="宋体" w:hAnsi="宋体" w:cs="宋体"/>
                <w:szCs w:val="20"/>
              </w:rPr>
              <w:t>履约保证金递交方式：允许供应商自主选择以转账、电汇、支票、汇票、本票、保函、保险单等非现金形式缴纳或提交。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29.5</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签订合同携带的材料</w:t>
            </w:r>
          </w:p>
        </w:tc>
        <w:tc>
          <w:tcPr>
            <w:tcW w:w="6853" w:type="dxa"/>
            <w:tcBorders>
              <w:top w:val="single" w:color="000000" w:sz="4" w:space="0"/>
              <w:left w:val="nil"/>
              <w:bottom w:val="single" w:color="000000" w:sz="4" w:space="0"/>
              <w:right w:val="single" w:color="000000" w:sz="4" w:space="0"/>
            </w:tcBorders>
            <w:noWrap w:val="0"/>
            <w:vAlign w:val="center"/>
          </w:tcPr>
          <w:p>
            <w:pPr>
              <w:autoSpaceDE w:val="0"/>
              <w:autoSpaceDN w:val="0"/>
              <w:snapToGrid w:val="0"/>
              <w:textAlignment w:val="bottom"/>
              <w:rPr>
                <w:rFonts w:ascii="宋体" w:hAnsi="宋体"/>
                <w:b/>
              </w:rPr>
            </w:pPr>
            <w:r>
              <w:rPr>
                <w:rFonts w:hint="eastAsia" w:ascii="宋体" w:hAnsi="宋体"/>
                <w:b/>
              </w:rPr>
              <w:t>委托代理人负责签订合同的，须携带授权委托书及委托代理人身份证原件等其他资格证件。</w:t>
            </w:r>
          </w:p>
          <w:p>
            <w:pPr>
              <w:snapToGrid w:val="0"/>
              <w:rPr>
                <w:rFonts w:ascii="宋体" w:hAnsi="宋体"/>
                <w:szCs w:val="21"/>
              </w:rPr>
            </w:pPr>
            <w:r>
              <w:rPr>
                <w:rFonts w:hint="eastAsia" w:ascii="宋体" w:hAnsi="宋体"/>
                <w:b/>
              </w:rPr>
              <w:t>法定代表人负责签订合同的，须携带法定代表人身份证明原件及身份证原件等其他证明材料。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vMerge w:val="restart"/>
            <w:tcBorders>
              <w:top w:val="nil"/>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31.2</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接收质疑函方式</w:t>
            </w:r>
          </w:p>
        </w:tc>
        <w:tc>
          <w:tcPr>
            <w:tcW w:w="6853" w:type="dxa"/>
            <w:tcBorders>
              <w:top w:val="single" w:color="000000" w:sz="4" w:space="0"/>
              <w:left w:val="nil"/>
              <w:bottom w:val="single" w:color="000000" w:sz="4" w:space="0"/>
              <w:right w:val="single" w:color="000000" w:sz="4" w:space="0"/>
            </w:tcBorders>
            <w:noWrap w:val="0"/>
            <w:vAlign w:val="center"/>
          </w:tcPr>
          <w:p>
            <w:pPr>
              <w:snapToGrid w:val="0"/>
              <w:rPr>
                <w:rFonts w:ascii="宋体" w:hAnsi="宋体"/>
                <w:szCs w:val="21"/>
              </w:rPr>
            </w:pPr>
            <w:r>
              <w:rPr>
                <w:rFonts w:hint="eastAsia" w:ascii="宋体" w:hAnsi="宋体"/>
              </w:rPr>
              <w:t>以书面形式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vMerge w:val="continue"/>
            <w:tcBorders>
              <w:top w:val="nil"/>
              <w:left w:val="single" w:color="000000" w:sz="4" w:space="0"/>
              <w:bottom w:val="single" w:color="000000" w:sz="4" w:space="0"/>
              <w:right w:val="single" w:color="000000" w:sz="4" w:space="0"/>
            </w:tcBorders>
            <w:noWrap w:val="0"/>
            <w:vAlign w:val="center"/>
          </w:tcPr>
          <w:p>
            <w:pPr>
              <w:widowControl/>
              <w:jc w:val="left"/>
              <w:rPr>
                <w:rFonts w:ascii="宋体" w:hAnsi="宋体"/>
                <w:szCs w:val="21"/>
              </w:rPr>
            </w:pP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质疑联系部门及联系方式</w:t>
            </w:r>
          </w:p>
        </w:tc>
        <w:tc>
          <w:tcPr>
            <w:tcW w:w="6853" w:type="dxa"/>
            <w:tcBorders>
              <w:top w:val="single" w:color="000000" w:sz="4" w:space="0"/>
              <w:left w:val="nil"/>
              <w:bottom w:val="single" w:color="000000" w:sz="4" w:space="0"/>
              <w:right w:val="single" w:color="000000" w:sz="4" w:space="0"/>
            </w:tcBorders>
            <w:noWrap w:val="0"/>
            <w:vAlign w:val="center"/>
          </w:tcPr>
          <w:p>
            <w:pPr>
              <w:snapToGrid w:val="0"/>
              <w:spacing w:line="380" w:lineRule="exact"/>
              <w:rPr>
                <w:rFonts w:hint="eastAsia" w:ascii="宋体" w:hAnsi="宋体"/>
                <w:szCs w:val="21"/>
                <w:u w:val="single"/>
              </w:rPr>
            </w:pPr>
            <w:r>
              <w:rPr>
                <w:rFonts w:hint="eastAsia" w:ascii="宋体" w:hAnsi="宋体"/>
                <w:szCs w:val="21"/>
              </w:rPr>
              <w:t>（1）采购代理机构：</w:t>
            </w:r>
            <w:r>
              <w:rPr>
                <w:rFonts w:hint="eastAsia" w:ascii="宋体" w:hAnsi="宋体"/>
                <w:szCs w:val="21"/>
                <w:u w:val="single"/>
              </w:rPr>
              <w:t>广西城建咨询有限公司</w:t>
            </w:r>
          </w:p>
          <w:p>
            <w:pPr>
              <w:snapToGrid w:val="0"/>
              <w:spacing w:line="380" w:lineRule="exact"/>
              <w:rPr>
                <w:rFonts w:hint="eastAsia" w:ascii="宋体" w:hAnsi="宋体"/>
                <w:szCs w:val="21"/>
                <w:u w:val="single"/>
              </w:rPr>
            </w:pPr>
            <w:r>
              <w:rPr>
                <w:rFonts w:hint="eastAsia" w:ascii="宋体" w:hAnsi="宋体"/>
                <w:szCs w:val="21"/>
              </w:rPr>
              <w:t>联系电话：</w:t>
            </w:r>
            <w:r>
              <w:rPr>
                <w:rFonts w:ascii="宋体" w:hAnsi="宋体"/>
                <w:szCs w:val="21"/>
                <w:u w:val="single"/>
              </w:rPr>
              <w:t>0771-5328654</w:t>
            </w:r>
          </w:p>
          <w:p>
            <w:pPr>
              <w:snapToGrid w:val="0"/>
              <w:spacing w:line="380" w:lineRule="exact"/>
              <w:rPr>
                <w:rFonts w:hint="eastAsia" w:ascii="宋体" w:hAnsi="宋体"/>
                <w:szCs w:val="21"/>
                <w:u w:val="single"/>
              </w:rPr>
            </w:pPr>
            <w:r>
              <w:rPr>
                <w:rFonts w:hint="eastAsia" w:ascii="宋体" w:hAnsi="宋体"/>
                <w:szCs w:val="21"/>
              </w:rPr>
              <w:t>通讯地址：</w:t>
            </w:r>
            <w:r>
              <w:rPr>
                <w:rFonts w:hint="eastAsia" w:ascii="宋体" w:hAnsi="宋体"/>
                <w:szCs w:val="21"/>
                <w:u w:val="single"/>
              </w:rPr>
              <w:t>广西南宁市青秀区金湖路58号广西建设大厦三楼</w:t>
            </w:r>
          </w:p>
          <w:p>
            <w:pPr>
              <w:snapToGrid w:val="0"/>
              <w:spacing w:line="380" w:lineRule="exact"/>
              <w:rPr>
                <w:rFonts w:hint="eastAsia" w:ascii="宋体" w:hAnsi="宋体"/>
              </w:rPr>
            </w:pPr>
            <w:r>
              <w:rPr>
                <w:rFonts w:hint="eastAsia" w:ascii="宋体" w:hAnsi="宋体"/>
              </w:rPr>
              <w:t>（2）采购人：</w:t>
            </w:r>
            <w:r>
              <w:rPr>
                <w:rFonts w:hint="eastAsia" w:ascii="宋体" w:hAnsi="宋体"/>
                <w:u w:val="single"/>
              </w:rPr>
              <w:t>广西壮族自治区生态环境厅生态环境保护综合行政执法局</w:t>
            </w:r>
          </w:p>
          <w:p>
            <w:pPr>
              <w:snapToGrid w:val="0"/>
              <w:spacing w:line="380" w:lineRule="exact"/>
              <w:rPr>
                <w:rFonts w:hint="eastAsia" w:ascii="宋体" w:hAnsi="宋体"/>
              </w:rPr>
            </w:pPr>
            <w:r>
              <w:rPr>
                <w:rFonts w:hint="eastAsia" w:ascii="宋体" w:hAnsi="宋体"/>
              </w:rPr>
              <w:t>联系电话：</w:t>
            </w:r>
            <w:r>
              <w:rPr>
                <w:rFonts w:hint="eastAsia" w:ascii="宋体" w:hAnsi="宋体"/>
                <w:szCs w:val="21"/>
                <w:u w:val="single"/>
              </w:rPr>
              <w:t>0771-5324465</w:t>
            </w:r>
          </w:p>
          <w:p>
            <w:pPr>
              <w:snapToGrid w:val="0"/>
              <w:rPr>
                <w:rFonts w:ascii="宋体" w:hAnsi="宋体"/>
                <w:szCs w:val="21"/>
              </w:rPr>
            </w:pPr>
            <w:r>
              <w:rPr>
                <w:rFonts w:hint="eastAsia" w:ascii="宋体" w:hAnsi="宋体"/>
              </w:rPr>
              <w:t>通讯地址：</w:t>
            </w:r>
            <w:r>
              <w:rPr>
                <w:rFonts w:hint="eastAsia" w:ascii="宋体" w:hAnsi="宋体"/>
                <w:u w:val="single"/>
              </w:rPr>
              <w:t xml:space="preserve">广西南宁市青秀区佛子岭路 16 号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vMerge w:val="continue"/>
            <w:tcBorders>
              <w:top w:val="nil"/>
              <w:left w:val="single" w:color="000000" w:sz="4" w:space="0"/>
              <w:bottom w:val="single" w:color="000000" w:sz="4" w:space="0"/>
              <w:right w:val="single" w:color="000000" w:sz="4" w:space="0"/>
            </w:tcBorders>
            <w:noWrap w:val="0"/>
            <w:vAlign w:val="center"/>
          </w:tcPr>
          <w:p>
            <w:pPr>
              <w:widowControl/>
              <w:jc w:val="left"/>
              <w:rPr>
                <w:rFonts w:ascii="宋体" w:hAnsi="宋体"/>
                <w:szCs w:val="21"/>
              </w:rPr>
            </w:pP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现场提交质疑办理业务时间</w:t>
            </w:r>
          </w:p>
        </w:tc>
        <w:tc>
          <w:tcPr>
            <w:tcW w:w="6853" w:type="dxa"/>
            <w:tcBorders>
              <w:top w:val="single" w:color="000000" w:sz="4" w:space="0"/>
              <w:left w:val="nil"/>
              <w:bottom w:val="single" w:color="000000" w:sz="4" w:space="0"/>
              <w:right w:val="single" w:color="000000" w:sz="4" w:space="0"/>
            </w:tcBorders>
            <w:noWrap w:val="0"/>
            <w:vAlign w:val="center"/>
          </w:tcPr>
          <w:p>
            <w:pPr>
              <w:snapToGrid w:val="0"/>
              <w:rPr>
                <w:rFonts w:ascii="宋体" w:hAnsi="宋体"/>
                <w:szCs w:val="21"/>
              </w:rPr>
            </w:pPr>
            <w:r>
              <w:rPr>
                <w:rFonts w:hint="eastAsia" w:hAnsi="宋体"/>
              </w:rPr>
              <w:t>质疑期内每个工作日</w:t>
            </w:r>
            <w:r>
              <w:rPr>
                <w:rFonts w:hint="eastAsia" w:hAnsi="宋体"/>
                <w:u w:val="single"/>
              </w:rPr>
              <w:t>9</w:t>
            </w:r>
            <w:r>
              <w:rPr>
                <w:rFonts w:hint="eastAsia" w:hAnsi="宋体"/>
              </w:rPr>
              <w:t>时</w:t>
            </w:r>
            <w:r>
              <w:rPr>
                <w:rFonts w:hint="eastAsia" w:hAnsi="宋体"/>
                <w:u w:val="single"/>
              </w:rPr>
              <w:t>00</w:t>
            </w:r>
            <w:r>
              <w:rPr>
                <w:rFonts w:hint="eastAsia" w:hAnsi="宋体"/>
              </w:rPr>
              <w:t>分到</w:t>
            </w:r>
            <w:r>
              <w:rPr>
                <w:rFonts w:hint="eastAsia" w:hAnsi="宋体"/>
                <w:u w:val="single"/>
              </w:rPr>
              <w:t>12</w:t>
            </w:r>
            <w:r>
              <w:rPr>
                <w:rFonts w:hint="eastAsia" w:hAnsi="宋体"/>
              </w:rPr>
              <w:t>时</w:t>
            </w:r>
            <w:r>
              <w:rPr>
                <w:rFonts w:hint="eastAsia" w:hAnsi="宋体"/>
                <w:u w:val="single"/>
              </w:rPr>
              <w:t>00</w:t>
            </w:r>
            <w:r>
              <w:rPr>
                <w:rFonts w:hint="eastAsia" w:hAnsi="宋体"/>
              </w:rPr>
              <w:t>分，</w:t>
            </w:r>
            <w:r>
              <w:rPr>
                <w:rFonts w:hint="eastAsia" w:hAnsi="宋体"/>
                <w:u w:val="single"/>
              </w:rPr>
              <w:t>15</w:t>
            </w:r>
            <w:r>
              <w:rPr>
                <w:rFonts w:hint="eastAsia" w:hAnsi="宋体"/>
              </w:rPr>
              <w:t>时</w:t>
            </w:r>
            <w:r>
              <w:rPr>
                <w:rFonts w:hint="eastAsia" w:hAnsi="宋体"/>
                <w:u w:val="single"/>
              </w:rPr>
              <w:t>00</w:t>
            </w:r>
            <w:r>
              <w:rPr>
                <w:rFonts w:hint="eastAsia" w:hAnsi="宋体"/>
              </w:rPr>
              <w:t>分到</w:t>
            </w:r>
            <w:r>
              <w:rPr>
                <w:rFonts w:hint="eastAsia" w:hAnsi="宋体"/>
                <w:u w:val="single"/>
              </w:rPr>
              <w:t>18</w:t>
            </w:r>
            <w:r>
              <w:rPr>
                <w:rFonts w:hint="eastAsia" w:hAnsi="宋体"/>
              </w:rPr>
              <w:t>时</w:t>
            </w:r>
            <w:r>
              <w:rPr>
                <w:rFonts w:hint="eastAsia" w:hAnsi="宋体"/>
                <w:u w:val="single"/>
              </w:rPr>
              <w:t xml:space="preserve">00 </w:t>
            </w:r>
            <w:r>
              <w:rPr>
                <w:rFonts w:hint="eastAsia" w:hAnsi="宋体"/>
              </w:rPr>
              <w:t>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31.6</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受理投诉方式</w:t>
            </w:r>
          </w:p>
        </w:tc>
        <w:tc>
          <w:tcPr>
            <w:tcW w:w="6853" w:type="dxa"/>
            <w:tcBorders>
              <w:top w:val="single" w:color="000000" w:sz="4" w:space="0"/>
              <w:left w:val="nil"/>
              <w:bottom w:val="single" w:color="000000" w:sz="4" w:space="0"/>
              <w:right w:val="single" w:color="000000" w:sz="4" w:space="0"/>
            </w:tcBorders>
            <w:noWrap w:val="0"/>
            <w:vAlign w:val="center"/>
          </w:tcPr>
          <w:p>
            <w:pPr>
              <w:snapToGrid w:val="0"/>
              <w:rPr>
                <w:rFonts w:hAnsi="宋体"/>
              </w:rPr>
            </w:pPr>
            <w:r>
              <w:rPr>
                <w:rFonts w:hAnsi="宋体"/>
              </w:rPr>
              <w:t>1</w:t>
            </w:r>
            <w:r>
              <w:rPr>
                <w:rFonts w:hint="eastAsia" w:ascii="宋体" w:hAnsi="宋体"/>
              </w:rPr>
              <w:t>、受理方式：纸质方式受理，投诉书正、副本（经过质疑的事项才可投诉）。</w:t>
            </w:r>
          </w:p>
          <w:p>
            <w:pPr>
              <w:snapToGrid w:val="0"/>
              <w:rPr>
                <w:rFonts w:hAnsi="宋体"/>
              </w:rPr>
            </w:pPr>
            <w:r>
              <w:rPr>
                <w:rFonts w:hAnsi="宋体"/>
              </w:rPr>
              <w:t>2</w:t>
            </w:r>
            <w:r>
              <w:rPr>
                <w:rFonts w:hint="eastAsia" w:ascii="宋体" w:hAnsi="宋体"/>
              </w:rPr>
              <w:t>、邮寄地址：</w:t>
            </w:r>
          </w:p>
          <w:p>
            <w:pPr>
              <w:snapToGrid w:val="0"/>
              <w:jc w:val="left"/>
              <w:rPr>
                <w:rFonts w:ascii="Arial" w:hAnsi="Arial" w:cs="Arial"/>
              </w:rPr>
            </w:pPr>
            <w:r>
              <w:rPr>
                <w:rFonts w:ascii="宋体" w:hAnsi="宋体" w:cs="Arial"/>
              </w:rPr>
              <w:t>名称：</w:t>
            </w:r>
            <w:bookmarkStart w:id="129" w:name="PO_3000001867_PM036"/>
            <w:bookmarkEnd w:id="129"/>
            <w:r>
              <w:rPr>
                <w:rFonts w:ascii="宋体" w:hAnsi="宋体" w:cs="Arial"/>
              </w:rPr>
              <w:t>广西壮族自治区财政厅政府采购监督管理处</w:t>
            </w:r>
          </w:p>
          <w:p>
            <w:pPr>
              <w:snapToGrid w:val="0"/>
              <w:jc w:val="left"/>
              <w:rPr>
                <w:rFonts w:ascii="宋体" w:hAnsi="宋体" w:cs="Arial"/>
              </w:rPr>
            </w:pPr>
            <w:r>
              <w:rPr>
                <w:rFonts w:ascii="宋体" w:hAnsi="宋体" w:cs="Arial"/>
              </w:rPr>
              <w:t>地址：</w:t>
            </w:r>
            <w:bookmarkStart w:id="130" w:name="PO_3000001867_PM039"/>
            <w:bookmarkEnd w:id="130"/>
            <w:r>
              <w:rPr>
                <w:rFonts w:ascii="宋体" w:hAnsi="宋体" w:cs="Arial"/>
              </w:rPr>
              <w:t>南宁市桃源路69号广西财政大厦 7楼</w:t>
            </w:r>
          </w:p>
          <w:p>
            <w:pPr>
              <w:snapToGrid w:val="0"/>
              <w:rPr>
                <w:rFonts w:ascii="Calibri" w:hAnsi="宋体" w:cs="宋体"/>
                <w:szCs w:val="21"/>
              </w:rPr>
            </w:pPr>
            <w:r>
              <w:rPr>
                <w:rFonts w:ascii="宋体" w:hAnsi="宋体" w:cs="Arial"/>
              </w:rPr>
              <w:t>联系电话：</w:t>
            </w:r>
            <w:bookmarkStart w:id="131" w:name="PO_3000001867_PM038"/>
            <w:bookmarkEnd w:id="131"/>
            <w:r>
              <w:rPr>
                <w:rFonts w:ascii="宋体" w:hAnsi="宋体" w:cs="Arial"/>
              </w:rPr>
              <w:t>0771-5331544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33</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采购代理费</w:t>
            </w:r>
          </w:p>
        </w:tc>
        <w:tc>
          <w:tcPr>
            <w:tcW w:w="6853" w:type="dxa"/>
            <w:tcBorders>
              <w:top w:val="single" w:color="000000" w:sz="4" w:space="0"/>
              <w:left w:val="nil"/>
              <w:bottom w:val="single" w:color="000000" w:sz="4" w:space="0"/>
              <w:right w:val="single" w:color="000000" w:sz="4" w:space="0"/>
            </w:tcBorders>
            <w:noWrap w:val="0"/>
            <w:vAlign w:val="center"/>
          </w:tcPr>
          <w:p>
            <w:pPr>
              <w:pStyle w:val="17"/>
              <w:widowControl/>
              <w:snapToGrid w:val="0"/>
              <w:rPr>
                <w:rFonts w:hAnsi="宋体"/>
                <w:sz w:val="21"/>
              </w:rPr>
            </w:pPr>
            <w:r>
              <w:rPr>
                <w:rFonts w:hint="eastAsia" w:hAnsi="宋体"/>
                <w:sz w:val="21"/>
              </w:rPr>
              <w:t>1. 是否收取采购代理费：</w:t>
            </w:r>
          </w:p>
          <w:p>
            <w:pPr>
              <w:pStyle w:val="17"/>
              <w:widowControl/>
              <w:snapToGrid w:val="0"/>
              <w:rPr>
                <w:rFonts w:hint="eastAsia" w:hAnsi="宋体"/>
                <w:sz w:val="21"/>
              </w:rPr>
            </w:pPr>
            <w:r>
              <w:rPr>
                <w:rFonts w:hint="eastAsia" w:ascii="MS Mincho" w:hAnsi="MS Mincho" w:eastAsia="MS Mincho" w:cs="MS Mincho"/>
                <w:sz w:val="21"/>
              </w:rPr>
              <w:t>☑</w:t>
            </w:r>
            <w:r>
              <w:rPr>
                <w:rFonts w:hint="eastAsia" w:hAnsi="宋体" w:cs="宋体"/>
                <w:sz w:val="21"/>
              </w:rPr>
              <w:t>是</w:t>
            </w:r>
            <w:r>
              <w:rPr>
                <w:rFonts w:hint="eastAsia" w:hAnsi="宋体"/>
                <w:sz w:val="21"/>
              </w:rPr>
              <w:t xml:space="preserve">    □ 否</w:t>
            </w:r>
          </w:p>
          <w:p>
            <w:pPr>
              <w:pStyle w:val="17"/>
              <w:widowControl/>
              <w:snapToGrid w:val="0"/>
              <w:rPr>
                <w:rFonts w:hint="eastAsia" w:hAnsi="宋体"/>
                <w:sz w:val="21"/>
              </w:rPr>
            </w:pPr>
            <w:r>
              <w:rPr>
                <w:rFonts w:hint="eastAsia" w:hAnsi="宋体"/>
                <w:sz w:val="21"/>
              </w:rPr>
              <w:t>2.采购代理费支付方式：</w:t>
            </w:r>
          </w:p>
          <w:p>
            <w:pPr>
              <w:pStyle w:val="17"/>
              <w:widowControl/>
              <w:snapToGrid w:val="0"/>
              <w:rPr>
                <w:rFonts w:hint="eastAsia" w:hAnsi="宋体"/>
                <w:sz w:val="21"/>
              </w:rPr>
            </w:pPr>
            <w:r>
              <w:rPr>
                <w:rFonts w:hint="eastAsia" w:ascii="MS Mincho" w:hAnsi="MS Mincho" w:eastAsia="MS Mincho" w:cs="MS Mincho"/>
                <w:sz w:val="21"/>
              </w:rPr>
              <w:t>☑</w:t>
            </w:r>
            <w:r>
              <w:rPr>
                <w:rFonts w:hint="eastAsia" w:hAnsi="宋体" w:cs="宋体"/>
                <w:sz w:val="21"/>
              </w:rPr>
              <w:t>本项目代理服务费由</w:t>
            </w:r>
            <w:r>
              <w:rPr>
                <w:rFonts w:hint="eastAsia" w:hAnsi="宋体"/>
                <w:sz w:val="21"/>
                <w:u w:val="single"/>
              </w:rPr>
              <w:t>成交供应商</w:t>
            </w:r>
            <w:r>
              <w:rPr>
                <w:rFonts w:hint="eastAsia" w:hAnsi="宋体"/>
                <w:sz w:val="21"/>
              </w:rPr>
              <w:t>领取成交通知书前，一次性向采购代理机构支付。</w:t>
            </w:r>
          </w:p>
          <w:p>
            <w:pPr>
              <w:pStyle w:val="17"/>
              <w:widowControl/>
              <w:snapToGrid w:val="0"/>
              <w:rPr>
                <w:rFonts w:hint="eastAsia" w:hAnsi="宋体"/>
                <w:sz w:val="21"/>
              </w:rPr>
            </w:pPr>
            <w:r>
              <w:rPr>
                <w:rFonts w:hint="eastAsia" w:hAnsi="宋体"/>
                <w:sz w:val="21"/>
              </w:rPr>
              <w:t>□采购人支付。</w:t>
            </w:r>
          </w:p>
          <w:p>
            <w:pPr>
              <w:pStyle w:val="17"/>
              <w:widowControl/>
              <w:snapToGrid w:val="0"/>
              <w:rPr>
                <w:rFonts w:hint="eastAsia" w:hAnsi="宋体"/>
                <w:sz w:val="21"/>
              </w:rPr>
            </w:pPr>
            <w:r>
              <w:rPr>
                <w:rFonts w:hint="eastAsia" w:hAnsi="宋体"/>
                <w:sz w:val="21"/>
              </w:rPr>
              <w:t>3.采购代理费收取标准：</w:t>
            </w:r>
            <w:r>
              <w:rPr>
                <w:rFonts w:hint="eastAsia" w:hAnsi="宋体"/>
                <w:bCs/>
                <w:sz w:val="21"/>
                <w:lang w:val="en-US"/>
              </w:rPr>
              <w:t>固定金额</w:t>
            </w:r>
            <w:r>
              <w:rPr>
                <w:rFonts w:hAnsi="宋体"/>
                <w:bCs/>
                <w:sz w:val="21"/>
                <w:lang w:val="en-US"/>
              </w:rPr>
              <w:t>人民币（大写）</w:t>
            </w:r>
            <w:r>
              <w:rPr>
                <w:rFonts w:hAnsi="宋体"/>
                <w:bCs/>
                <w:sz w:val="21"/>
                <w:u w:val="single"/>
                <w:lang w:val="en-US"/>
              </w:rPr>
              <w:t>贰万</w:t>
            </w:r>
            <w:r>
              <w:rPr>
                <w:rFonts w:hint="eastAsia" w:hAnsi="宋体"/>
                <w:bCs/>
                <w:sz w:val="21"/>
                <w:u w:val="single"/>
                <w:lang w:val="en-US"/>
              </w:rPr>
              <w:t>肆</w:t>
            </w:r>
            <w:r>
              <w:rPr>
                <w:rFonts w:hAnsi="宋体"/>
                <w:bCs/>
                <w:sz w:val="21"/>
                <w:u w:val="single"/>
                <w:lang w:val="en-US"/>
              </w:rPr>
              <w:t>仟元整（￥2</w:t>
            </w:r>
            <w:r>
              <w:rPr>
                <w:rFonts w:hint="eastAsia" w:hAnsi="宋体"/>
                <w:bCs/>
                <w:sz w:val="21"/>
                <w:u w:val="single"/>
                <w:lang w:val="en-US"/>
              </w:rPr>
              <w:t>400</w:t>
            </w:r>
            <w:r>
              <w:rPr>
                <w:rFonts w:hAnsi="宋体"/>
                <w:bCs/>
                <w:sz w:val="21"/>
                <w:u w:val="single"/>
                <w:lang w:val="en-US"/>
              </w:rPr>
              <w:t>0.00）</w:t>
            </w:r>
          </w:p>
          <w:p>
            <w:pPr>
              <w:pStyle w:val="17"/>
              <w:widowControl/>
              <w:snapToGrid w:val="0"/>
              <w:rPr>
                <w:rFonts w:hint="eastAsia" w:hAnsi="宋体"/>
                <w:sz w:val="21"/>
              </w:rPr>
            </w:pPr>
            <w:r>
              <w:rPr>
                <w:rFonts w:hint="eastAsia" w:hAnsi="宋体"/>
                <w:sz w:val="21"/>
              </w:rPr>
              <w:t>4. 采购代理费收取银行账户</w:t>
            </w:r>
          </w:p>
          <w:p>
            <w:pPr>
              <w:pStyle w:val="17"/>
              <w:widowControl/>
              <w:snapToGrid w:val="0"/>
              <w:rPr>
                <w:rFonts w:hint="eastAsia" w:hAnsi="宋体"/>
                <w:sz w:val="21"/>
              </w:rPr>
            </w:pPr>
            <w:r>
              <w:rPr>
                <w:rFonts w:hint="eastAsia" w:hAnsi="宋体"/>
                <w:sz w:val="21"/>
              </w:rPr>
              <w:t xml:space="preserve">开户名称：广西城建咨询有限公司 </w:t>
            </w:r>
          </w:p>
          <w:p>
            <w:pPr>
              <w:pStyle w:val="17"/>
              <w:widowControl/>
              <w:snapToGrid w:val="0"/>
              <w:rPr>
                <w:rFonts w:hint="eastAsia" w:hAnsi="宋体"/>
                <w:sz w:val="21"/>
              </w:rPr>
            </w:pPr>
            <w:r>
              <w:rPr>
                <w:rFonts w:hint="eastAsia" w:hAnsi="宋体"/>
                <w:sz w:val="21"/>
              </w:rPr>
              <w:t xml:space="preserve">开户银行：中国建设银行股份有限公司南宁锦春路支行 </w:t>
            </w:r>
          </w:p>
          <w:p>
            <w:pPr>
              <w:pStyle w:val="17"/>
              <w:widowControl/>
              <w:snapToGrid w:val="0"/>
              <w:rPr>
                <w:rFonts w:hAnsi="宋体"/>
                <w:sz w:val="21"/>
              </w:rPr>
            </w:pPr>
            <w:r>
              <w:rPr>
                <w:rFonts w:hint="eastAsia" w:hAnsi="宋体"/>
                <w:sz w:val="21"/>
              </w:rPr>
              <w:t>银行账号：45050160478300000080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34.1</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解释</w:t>
            </w:r>
          </w:p>
        </w:tc>
        <w:tc>
          <w:tcPr>
            <w:tcW w:w="6853" w:type="dxa"/>
            <w:tcBorders>
              <w:top w:val="single" w:color="000000" w:sz="4" w:space="0"/>
              <w:left w:val="nil"/>
              <w:bottom w:val="single" w:color="000000" w:sz="4" w:space="0"/>
              <w:right w:val="single" w:color="000000" w:sz="4" w:space="0"/>
            </w:tcBorders>
            <w:noWrap w:val="0"/>
            <w:vAlign w:val="center"/>
          </w:tcPr>
          <w:p>
            <w:pPr>
              <w:pStyle w:val="17"/>
              <w:widowControl/>
              <w:snapToGrid w:val="0"/>
              <w:rPr>
                <w:rFonts w:hAnsi="宋体"/>
                <w:b/>
                <w:sz w:val="21"/>
              </w:rPr>
            </w:pPr>
            <w:r>
              <w:rPr>
                <w:rFonts w:hint="eastAsia" w:hAnsi="宋体"/>
                <w:b/>
                <w:sz w:val="21"/>
              </w:rPr>
              <w:t>解释权：</w:t>
            </w:r>
            <w:r>
              <w:rPr>
                <w:rFonts w:hint="eastAsia" w:hAnsi="宋体"/>
                <w:sz w:val="21"/>
              </w:rPr>
              <w:t>构成本磋商文件的各个组成文件应互为解释，互为说明；除磋商文件中有特别规定外，仅适用于竞标阶段的规定，按更正公告（澄清公告）、竞争性磋商公告、供应商须知、采购需求、评审程序、评审方法和评审标准、响应文件格式、合同文本的先后顺序解释；同一组成文件中就同一事项的规定或者约定不一致的，以编排顺序在后者为准；同一组成文件不同版本之间有不一致的，以形成时间在后者为准；更正公告（澄清公告）与同步更新的磋商文件不一致时以更正公告（澄清公告）为准。按本款前述规定仍不能形成结论的，</w:t>
            </w:r>
            <w:r>
              <w:rPr>
                <w:rFonts w:hint="eastAsia" w:hAnsi="宋体"/>
                <w:b/>
                <w:sz w:val="21"/>
              </w:rPr>
              <w:t>由采购人或者采购代理机构负责解释。</w:t>
            </w:r>
          </w:p>
          <w:p>
            <w:pPr>
              <w:pStyle w:val="17"/>
              <w:widowControl/>
              <w:snapToGrid w:val="0"/>
              <w:rPr>
                <w:rFonts w:hint="eastAsia" w:hAnsi="宋体"/>
                <w:b/>
                <w:sz w:val="21"/>
              </w:rPr>
            </w:pPr>
            <w:r>
              <w:rPr>
                <w:rFonts w:hint="eastAsia" w:hAnsi="宋体"/>
                <w:b/>
                <w:sz w:val="21"/>
              </w:rPr>
              <w:t>法律责任：</w:t>
            </w:r>
          </w:p>
          <w:p>
            <w:pPr>
              <w:pStyle w:val="17"/>
              <w:widowControl/>
              <w:snapToGrid w:val="0"/>
              <w:rPr>
                <w:rFonts w:hint="eastAsia" w:hAnsi="宋体"/>
                <w:sz w:val="21"/>
              </w:rPr>
            </w:pPr>
            <w:r>
              <w:rPr>
                <w:rFonts w:hint="eastAsia" w:hAnsi="宋体"/>
                <w:b/>
                <w:sz w:val="21"/>
              </w:rPr>
              <w:t>1.</w:t>
            </w:r>
            <w:r>
              <w:rPr>
                <w:rFonts w:hint="eastAsia" w:hAnsi="宋体"/>
                <w:sz w:val="21"/>
              </w:rPr>
              <w:t>本采购文件根据《中华人民共和国政府采购法》、《中华人民共和国民法典》；《中华人民共和国政府采购法实施条例》、《政府采购竞争性磋商采购方式管理暂行办法》等有关法律、法规编制，参与本项目的各政府采购当事人依法享有上述法律法规所赋予的权利与义务。</w:t>
            </w:r>
          </w:p>
          <w:p>
            <w:pPr>
              <w:rPr>
                <w:rFonts w:ascii="Calibri" w:hAnsi="宋体" w:cs="宋体"/>
                <w:szCs w:val="21"/>
              </w:rPr>
            </w:pPr>
            <w:r>
              <w:rPr>
                <w:rFonts w:hAnsi="宋体" w:cs="宋体"/>
                <w:b/>
              </w:rPr>
              <w:t>2.</w:t>
            </w:r>
            <w:r>
              <w:rPr>
                <w:rFonts w:hint="eastAsia" w:ascii="宋体" w:hAnsi="宋体"/>
                <w:b/>
              </w:rPr>
              <w:t xml:space="preserve"> 本项目采购代理机构应严格按照“政采云”平台项目采购全流程电子化电子开评标规程执行项目采购活动，代理机构在“政采云”平台的“项目管理”—“采购文件管理”内开评标规则设置作为本采购文件的组成部分，截标之后不可更改，因代理机构开评标规则设置错误导致采购活动无法开展下去的情况，由代理机构负责解释并承担其后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5" w:type="dxa"/>
            <w:tcBorders>
              <w:top w:val="single" w:color="000000" w:sz="4" w:space="0"/>
              <w:left w:val="single" w:color="000000" w:sz="4" w:space="0"/>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34.2</w:t>
            </w:r>
          </w:p>
        </w:tc>
        <w:tc>
          <w:tcPr>
            <w:tcW w:w="2786" w:type="dxa"/>
            <w:tcBorders>
              <w:top w:val="single" w:color="000000" w:sz="4" w:space="0"/>
              <w:left w:val="nil"/>
              <w:bottom w:val="single" w:color="000000" w:sz="4" w:space="0"/>
              <w:right w:val="single" w:color="000000" w:sz="4" w:space="0"/>
            </w:tcBorders>
            <w:noWrap w:val="0"/>
            <w:vAlign w:val="center"/>
          </w:tcPr>
          <w:p>
            <w:pPr>
              <w:jc w:val="center"/>
              <w:rPr>
                <w:rFonts w:ascii="宋体" w:hAnsi="宋体"/>
                <w:szCs w:val="21"/>
              </w:rPr>
            </w:pPr>
            <w:r>
              <w:rPr>
                <w:rFonts w:hint="eastAsia" w:ascii="宋体" w:hAnsi="宋体"/>
              </w:rPr>
              <w:t>其他</w:t>
            </w:r>
          </w:p>
        </w:tc>
        <w:tc>
          <w:tcPr>
            <w:tcW w:w="6853" w:type="dxa"/>
            <w:tcBorders>
              <w:top w:val="single" w:color="000000" w:sz="4" w:space="0"/>
              <w:left w:val="nil"/>
              <w:bottom w:val="single" w:color="000000" w:sz="4" w:space="0"/>
              <w:right w:val="single" w:color="000000" w:sz="4" w:space="0"/>
            </w:tcBorders>
            <w:noWrap w:val="0"/>
            <w:vAlign w:val="center"/>
          </w:tcPr>
          <w:p>
            <w:pPr>
              <w:pStyle w:val="17"/>
              <w:widowControl/>
              <w:snapToGrid w:val="0"/>
              <w:rPr>
                <w:rFonts w:hAnsi="宋体"/>
                <w:sz w:val="21"/>
              </w:rPr>
            </w:pPr>
            <w:r>
              <w:rPr>
                <w:rFonts w:hint="eastAsia" w:hAnsi="宋体"/>
                <w:sz w:val="21"/>
              </w:rPr>
              <w:t>1.本磋商文件中描述供应商的“公章”是指根据我国对公章的管理规定，用供应商法定主体行为名称制作的印章，除本磋商文件有特殊规定外，供应商的财务章、部门章、分公司章、工会章、合同章、竞标/投标专用章、业务专用章及银行的转账章、现金收讫章、现金付讫章等其他形式印章均不能代替公章。</w:t>
            </w:r>
          </w:p>
          <w:p>
            <w:pPr>
              <w:pStyle w:val="17"/>
              <w:widowControl/>
              <w:snapToGrid w:val="0"/>
              <w:rPr>
                <w:rFonts w:hint="eastAsia" w:hAnsi="宋体"/>
                <w:sz w:val="21"/>
              </w:rPr>
            </w:pPr>
            <w:r>
              <w:rPr>
                <w:rFonts w:hint="eastAsia" w:hAnsi="宋体"/>
                <w:sz w:val="21"/>
              </w:rPr>
              <w:t>2.供应商为其他组织或者自然人时，本磋商文件规定的法定代表人指负责人或者自然人。本磋商文件所称负责人是指参加竞标的其他组织营业执照上的负责人，本磋商文件所称自然人指参与竞标的自然人本人。</w:t>
            </w:r>
          </w:p>
          <w:p>
            <w:pPr>
              <w:pStyle w:val="17"/>
              <w:widowControl/>
              <w:snapToGrid w:val="0"/>
              <w:rPr>
                <w:rFonts w:hint="eastAsia" w:hAnsi="宋体"/>
                <w:sz w:val="21"/>
              </w:rPr>
            </w:pPr>
            <w:r>
              <w:rPr>
                <w:rFonts w:hint="eastAsia" w:hAnsi="宋体"/>
                <w:sz w:val="21"/>
              </w:rPr>
              <w:t>3.本磋商文件中描述供应商的“签字”是指供应商的法定代表人或者委托代理人亲自在文件规定签署处亲笔写上个人的名字的行为，私章、签字章、印鉴、影印等其他形式均不能代替亲笔签字。</w:t>
            </w:r>
          </w:p>
          <w:p>
            <w:pPr>
              <w:pStyle w:val="17"/>
              <w:widowControl/>
              <w:snapToGrid w:val="0"/>
              <w:rPr>
                <w:rFonts w:hint="eastAsia" w:hAnsi="宋体"/>
                <w:sz w:val="21"/>
              </w:rPr>
            </w:pPr>
            <w:r>
              <w:rPr>
                <w:rFonts w:hint="eastAsia" w:hAnsi="宋体"/>
                <w:sz w:val="21"/>
              </w:rPr>
              <w:t>4.自然人竞标的，磋商文件规定盖公章处由自然人摁手指指印。</w:t>
            </w:r>
          </w:p>
          <w:p>
            <w:pPr>
              <w:pStyle w:val="17"/>
              <w:widowControl/>
              <w:snapToGrid w:val="0"/>
              <w:rPr>
                <w:rFonts w:hAnsi="宋体"/>
                <w:sz w:val="21"/>
              </w:rPr>
            </w:pPr>
            <w:r>
              <w:rPr>
                <w:rFonts w:hint="eastAsia" w:hAnsi="宋体"/>
                <w:sz w:val="21"/>
              </w:rPr>
              <w:t>5.本磋商文件所称的“以上”“以下”“以内”“届满”，包括本数；所称的“不满”“超过”“以外”，不包括本数。</w:t>
            </w:r>
          </w:p>
        </w:tc>
      </w:tr>
    </w:tbl>
    <w:p>
      <w:pPr>
        <w:pStyle w:val="3"/>
        <w:keepLines w:val="0"/>
        <w:widowControl/>
        <w:spacing w:line="420" w:lineRule="exact"/>
        <w:jc w:val="center"/>
        <w:rPr>
          <w:rFonts w:hint="eastAsia" w:ascii="宋体" w:hAnsi="宋体"/>
          <w:b w:val="0"/>
          <w:kern w:val="0"/>
          <w:sz w:val="30"/>
          <w:szCs w:val="30"/>
        </w:rPr>
      </w:pPr>
      <w:r>
        <w:rPr>
          <w:rFonts w:hint="eastAsia" w:ascii="宋体" w:hAnsi="宋体"/>
        </w:rPr>
        <w:br w:type="page"/>
      </w:r>
      <w:bookmarkStart w:id="132" w:name="_Toc80886929"/>
      <w:bookmarkEnd w:id="132"/>
      <w:r>
        <w:rPr>
          <w:rFonts w:hint="eastAsia" w:ascii="宋体" w:hAnsi="宋体"/>
          <w:b w:val="0"/>
          <w:bCs w:val="0"/>
        </w:rPr>
        <w:t>第二节 供应商须知正文</w:t>
      </w:r>
    </w:p>
    <w:p>
      <w:pPr>
        <w:pStyle w:val="4"/>
        <w:keepLines w:val="0"/>
        <w:widowControl/>
        <w:spacing w:before="0" w:after="0" w:line="360" w:lineRule="auto"/>
        <w:ind w:firstLine="640" w:firstLineChars="200"/>
        <w:rPr>
          <w:rFonts w:hint="eastAsia" w:ascii="宋体" w:hAnsi="宋体"/>
          <w:b w:val="0"/>
        </w:rPr>
      </w:pPr>
      <w:bookmarkStart w:id="133" w:name="_Toc80886930"/>
      <w:bookmarkEnd w:id="133"/>
      <w:r>
        <w:rPr>
          <w:rFonts w:hint="eastAsia" w:ascii="宋体" w:hAnsi="宋体"/>
          <w:b w:val="0"/>
        </w:rPr>
        <w:t>一、总则</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1.适用范围</w:t>
      </w:r>
    </w:p>
    <w:p>
      <w:pPr>
        <w:spacing w:line="360" w:lineRule="auto"/>
        <w:ind w:firstLine="420" w:firstLineChars="200"/>
        <w:rPr>
          <w:rFonts w:hint="eastAsia" w:ascii="宋体" w:hAnsi="宋体"/>
          <w:szCs w:val="21"/>
        </w:rPr>
      </w:pPr>
      <w:r>
        <w:rPr>
          <w:rFonts w:hint="eastAsia" w:ascii="宋体" w:hAnsi="宋体"/>
        </w:rPr>
        <w:t>1.1本项目采购人、采购代理机构、供应商、磋商小组的相关行为均受《中华人民共和国政府采购法》《中华人民共和国政府采购法实施条例》《政府采购竞争性磋商采购方式管理暂行办法》《财政部关于政府采购竞争性磋商采购方式管理暂行办法有关问题的补充通知》及本项目本级和上级财政部门政府采购有关规定的约束和保护。</w:t>
      </w:r>
    </w:p>
    <w:p>
      <w:pPr>
        <w:spacing w:line="360" w:lineRule="auto"/>
        <w:ind w:firstLine="420" w:firstLineChars="200"/>
        <w:rPr>
          <w:rFonts w:hint="eastAsia" w:ascii="宋体" w:hAnsi="宋体"/>
        </w:rPr>
      </w:pPr>
      <w:r>
        <w:rPr>
          <w:rFonts w:hint="eastAsia" w:ascii="宋体" w:hAnsi="宋体"/>
        </w:rPr>
        <w:t>1.2</w:t>
      </w:r>
      <w:r>
        <w:rPr>
          <w:rFonts w:hint="eastAsia" w:ascii="宋体" w:hAnsi="宋体"/>
          <w:spacing w:val="-6"/>
        </w:rPr>
        <w:t>本竞争性磋商文件（以下简称磋商文件）适用于本项目的所有采购程序和环节（法律、法规另有规定的，从其规定）。</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2.定义</w:t>
      </w:r>
    </w:p>
    <w:p>
      <w:pPr>
        <w:spacing w:line="360" w:lineRule="auto"/>
        <w:ind w:firstLine="420" w:firstLineChars="200"/>
        <w:rPr>
          <w:rFonts w:hint="eastAsia" w:ascii="宋体" w:hAnsi="宋体"/>
          <w:szCs w:val="21"/>
        </w:rPr>
      </w:pPr>
      <w:r>
        <w:rPr>
          <w:rFonts w:hint="eastAsia" w:ascii="宋体" w:hAnsi="宋体"/>
        </w:rPr>
        <w:t>2.1“采购人”是指依法进行政府采购的国家机关、事业单位、团体组织。</w:t>
      </w:r>
    </w:p>
    <w:p>
      <w:pPr>
        <w:spacing w:line="360" w:lineRule="auto"/>
        <w:ind w:firstLine="420" w:firstLineChars="200"/>
        <w:rPr>
          <w:rFonts w:hint="eastAsia" w:ascii="宋体" w:hAnsi="宋体"/>
          <w:u w:val="single"/>
        </w:rPr>
      </w:pPr>
      <w:r>
        <w:rPr>
          <w:rFonts w:hint="eastAsia" w:ascii="宋体" w:hAnsi="宋体"/>
        </w:rPr>
        <w:t>2.2“采购代理机构”是指政府采购集中采购机构和集中采购机构以外的采购代理机构。</w:t>
      </w:r>
    </w:p>
    <w:p>
      <w:pPr>
        <w:spacing w:line="360" w:lineRule="auto"/>
        <w:ind w:firstLine="420" w:firstLineChars="200"/>
        <w:rPr>
          <w:rFonts w:hint="eastAsia" w:ascii="宋体" w:hAnsi="宋体"/>
        </w:rPr>
      </w:pPr>
      <w:r>
        <w:rPr>
          <w:rFonts w:hint="eastAsia" w:ascii="宋体" w:hAnsi="宋体"/>
        </w:rPr>
        <w:t>2.3“供应商”是指向采购人提供货物、工程或者服务的法人、其他组织或者自然人。</w:t>
      </w:r>
    </w:p>
    <w:p>
      <w:pPr>
        <w:spacing w:line="360" w:lineRule="auto"/>
        <w:ind w:firstLine="420" w:firstLineChars="200"/>
        <w:rPr>
          <w:rFonts w:hint="eastAsia" w:ascii="宋体" w:hAnsi="宋体"/>
        </w:rPr>
      </w:pPr>
      <w:r>
        <w:rPr>
          <w:rFonts w:hint="eastAsia" w:ascii="宋体" w:hAnsi="宋体"/>
        </w:rPr>
        <w:t>2.4“服务”是指除货物和工程以外的其他政府采购对象。</w:t>
      </w:r>
    </w:p>
    <w:p>
      <w:pPr>
        <w:spacing w:line="360" w:lineRule="auto"/>
        <w:ind w:firstLine="420" w:firstLineChars="200"/>
        <w:rPr>
          <w:rFonts w:hint="eastAsia" w:ascii="宋体" w:hAnsi="宋体"/>
        </w:rPr>
      </w:pPr>
      <w:r>
        <w:rPr>
          <w:rFonts w:hint="eastAsia" w:ascii="宋体" w:hAnsi="宋体"/>
        </w:rPr>
        <w:t>2.5“竞标”是指供应商按照本项目竞争性磋商公告或者邀请函规定的方式获取磋商文件、提交响应文件并希望获得标的的行为。</w:t>
      </w:r>
    </w:p>
    <w:p>
      <w:pPr>
        <w:spacing w:line="360" w:lineRule="auto"/>
        <w:ind w:firstLine="420" w:firstLineChars="200"/>
        <w:rPr>
          <w:rFonts w:hint="eastAsia" w:ascii="宋体" w:hAnsi="宋体"/>
        </w:rPr>
      </w:pPr>
      <w:r>
        <w:rPr>
          <w:rFonts w:hint="eastAsia" w:ascii="宋体" w:hAnsi="宋体"/>
        </w:rPr>
        <w:t>2.6“响应文件”</w:t>
      </w:r>
      <w:r>
        <w:rPr>
          <w:rFonts w:hint="eastAsia" w:ascii="宋体" w:hAnsi="宋体"/>
          <w:spacing w:val="-6"/>
        </w:rPr>
        <w:t>是指：供应商根据本磋商文件要求，编制包含资格证明、报价商务技术等所有内容的文件。</w:t>
      </w:r>
    </w:p>
    <w:p>
      <w:pPr>
        <w:spacing w:line="360" w:lineRule="auto"/>
        <w:ind w:firstLine="420" w:firstLineChars="200"/>
        <w:rPr>
          <w:rFonts w:hint="eastAsia" w:ascii="宋体" w:hAnsi="宋体"/>
        </w:rPr>
      </w:pPr>
      <w:r>
        <w:rPr>
          <w:rFonts w:hint="eastAsia" w:ascii="宋体" w:hAnsi="宋体"/>
        </w:rPr>
        <w:t>2.7“实质性要求”是指磋商文件中已经指明不满足则响应文件按无效响应处理的条款，或者不能负偏离的条款，或者采购需求中带“▲”的条款。</w:t>
      </w:r>
    </w:p>
    <w:p>
      <w:pPr>
        <w:spacing w:line="360" w:lineRule="auto"/>
        <w:ind w:firstLine="420" w:firstLineChars="200"/>
        <w:rPr>
          <w:rFonts w:hint="eastAsia" w:ascii="宋体" w:hAnsi="宋体"/>
        </w:rPr>
      </w:pPr>
      <w:r>
        <w:rPr>
          <w:rFonts w:hint="eastAsia" w:ascii="宋体" w:hAnsi="宋体"/>
        </w:rPr>
        <w:t>2.8“正偏离”，是指响应文件对磋商文件“采购需求”中有关条款作出的响应优于条款要求并有利于采购人的情形。</w:t>
      </w:r>
    </w:p>
    <w:p>
      <w:pPr>
        <w:spacing w:line="360" w:lineRule="auto"/>
        <w:ind w:firstLine="420" w:firstLineChars="200"/>
        <w:rPr>
          <w:rFonts w:hint="eastAsia" w:ascii="宋体" w:hAnsi="宋体"/>
        </w:rPr>
      </w:pPr>
      <w:r>
        <w:rPr>
          <w:rFonts w:hint="eastAsia" w:ascii="宋体" w:hAnsi="宋体"/>
        </w:rPr>
        <w:t>2.9“负偏离”，是指响应文件对磋商文件“采购需求”中有关条款作出的响应不满足条款要求，导致采购人要求不能得到满足的情形。</w:t>
      </w:r>
    </w:p>
    <w:p>
      <w:pPr>
        <w:spacing w:line="360" w:lineRule="auto"/>
        <w:ind w:firstLine="420" w:firstLineChars="200"/>
        <w:rPr>
          <w:rFonts w:hint="eastAsia" w:ascii="宋体" w:hAnsi="宋体"/>
        </w:rPr>
      </w:pPr>
      <w:r>
        <w:rPr>
          <w:rFonts w:hint="eastAsia" w:ascii="宋体" w:hAnsi="宋体"/>
        </w:rPr>
        <w:t>2.10“允许负偏离的条款”是指采购需求中的不属于“实质性要求”的条款。</w:t>
      </w:r>
    </w:p>
    <w:p>
      <w:pPr>
        <w:spacing w:line="360" w:lineRule="auto"/>
        <w:ind w:firstLine="420" w:firstLineChars="200"/>
        <w:rPr>
          <w:rFonts w:hint="eastAsia" w:ascii="宋体" w:hAnsi="宋体"/>
        </w:rPr>
      </w:pPr>
      <w:r>
        <w:rPr>
          <w:rFonts w:hint="eastAsia" w:ascii="宋体" w:hAnsi="宋体"/>
        </w:rPr>
        <w:t>2.11“书面形式”是指合同书、信件和数据电文（包括电报、电传、传真、电子数据交换和电子邮件）等可以有形地表现所载内容的形式。</w:t>
      </w:r>
    </w:p>
    <w:p>
      <w:pPr>
        <w:spacing w:line="360" w:lineRule="auto"/>
        <w:ind w:firstLine="420" w:firstLineChars="200"/>
        <w:rPr>
          <w:rFonts w:hint="eastAsia" w:ascii="宋体" w:hAnsi="宋体"/>
        </w:rPr>
      </w:pPr>
      <w:r>
        <w:rPr>
          <w:rFonts w:hint="eastAsia" w:ascii="宋体" w:hAnsi="宋体"/>
        </w:rPr>
        <w:t>2.12“首次报价”是指供应商提交的首次响应文件中的报价。</w:t>
      </w:r>
    </w:p>
    <w:p>
      <w:pPr>
        <w:spacing w:line="360" w:lineRule="auto"/>
        <w:ind w:firstLine="420" w:firstLineChars="200"/>
        <w:rPr>
          <w:rFonts w:hint="eastAsia" w:ascii="宋体" w:hAnsi="宋体"/>
        </w:rPr>
      </w:pPr>
      <w:r>
        <w:rPr>
          <w:rFonts w:hint="eastAsia" w:ascii="宋体" w:hAnsi="宋体"/>
        </w:rPr>
        <w:t>2.13“评审报价”是指供应商提交的最后报价并经修正（如有）和政策功能价格扣除（如有）后的价格。</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3.供应商的资格条件</w:t>
      </w:r>
    </w:p>
    <w:p>
      <w:pPr>
        <w:spacing w:line="360" w:lineRule="auto"/>
        <w:ind w:firstLine="420" w:firstLineChars="200"/>
        <w:rPr>
          <w:rFonts w:hint="eastAsia" w:ascii="宋体" w:hAnsi="宋体"/>
          <w:szCs w:val="21"/>
        </w:rPr>
      </w:pPr>
      <w:r>
        <w:rPr>
          <w:rFonts w:hint="eastAsia" w:ascii="宋体" w:hAnsi="宋体"/>
        </w:rPr>
        <w:t>供应商的资格条件详见“供应商须知前附表”。</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4.磋商费用</w:t>
      </w:r>
    </w:p>
    <w:p>
      <w:pPr>
        <w:spacing w:line="360" w:lineRule="auto"/>
        <w:ind w:firstLine="420" w:firstLineChars="200"/>
        <w:rPr>
          <w:rFonts w:hint="eastAsia" w:ascii="宋体" w:hAnsi="宋体"/>
          <w:szCs w:val="21"/>
        </w:rPr>
      </w:pPr>
      <w:r>
        <w:rPr>
          <w:rFonts w:hint="eastAsia" w:ascii="宋体" w:hAnsi="宋体"/>
        </w:rPr>
        <w:t>供应商应承担参与本次采购活动有关的所有费用，包括但不限于、勘查现场、编制和提交响应文件、参加磋商与应答、签订合同等，不论竞标结果如何，均应自行承担。</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5.联合体竞标</w:t>
      </w:r>
    </w:p>
    <w:p>
      <w:pPr>
        <w:spacing w:line="360" w:lineRule="auto"/>
        <w:ind w:firstLine="420" w:firstLineChars="200"/>
        <w:rPr>
          <w:rFonts w:hint="eastAsia" w:ascii="宋体" w:hAnsi="宋体"/>
          <w:szCs w:val="21"/>
        </w:rPr>
      </w:pPr>
      <w:r>
        <w:rPr>
          <w:rFonts w:hint="eastAsia" w:ascii="宋体" w:hAnsi="宋体"/>
        </w:rPr>
        <w:t>5.1本项目是否接受联合体竞标，详见“供应商须知前附表”。</w:t>
      </w:r>
    </w:p>
    <w:p>
      <w:pPr>
        <w:spacing w:line="360" w:lineRule="auto"/>
        <w:ind w:firstLine="420" w:firstLineChars="200"/>
        <w:rPr>
          <w:rFonts w:hint="eastAsia" w:ascii="宋体" w:hAnsi="宋体"/>
        </w:rPr>
      </w:pPr>
      <w:r>
        <w:rPr>
          <w:rFonts w:hint="eastAsia" w:ascii="宋体" w:hAnsi="宋体"/>
        </w:rPr>
        <w:t>5.2如接受联合体竞标，联合体竞标要求详见“供应商须知前附表”。</w:t>
      </w:r>
    </w:p>
    <w:p>
      <w:pPr>
        <w:spacing w:line="360" w:lineRule="auto"/>
        <w:ind w:firstLine="420" w:firstLineChars="200"/>
        <w:rPr>
          <w:rFonts w:hint="eastAsia" w:ascii="宋体" w:hAnsi="宋体"/>
          <w:bCs/>
        </w:rPr>
      </w:pPr>
      <w:r>
        <w:rPr>
          <w:rFonts w:hint="eastAsia" w:ascii="宋体" w:hAnsi="宋体"/>
        </w:rPr>
        <w:t>5.3根据《政府采购促进中小企业发展管理办法》（财库[2020]46号）第九条及《广西壮族自治区财政厅关于进一步发挥政府采购政策功能促进企业发展的通知》（桂财采〔2022〕30号）规定，接受大中型企业与小微企业组成联合体的采购项目，对于联合协议约定小微企业的合同份额占到合同总金额 30%以上的，采购人、采购代理机构应当对联合体的报价给予 4%-6%（工程项目为 1%—2%）的扣除，用扣除后的价格参加评审。组成联合体的小微企业与联合体内其他企业、分包企业之间存在直接控股、管理关系的，不享受价格扣除优惠政策。</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 xml:space="preserve">6.转包与分包             </w:t>
      </w:r>
    </w:p>
    <w:p>
      <w:pPr>
        <w:spacing w:line="360" w:lineRule="auto"/>
        <w:ind w:firstLine="420" w:firstLineChars="200"/>
        <w:rPr>
          <w:rFonts w:hint="eastAsia" w:ascii="宋体" w:hAnsi="宋体"/>
          <w:szCs w:val="21"/>
        </w:rPr>
      </w:pPr>
      <w:r>
        <w:rPr>
          <w:rFonts w:hint="eastAsia" w:ascii="宋体" w:hAnsi="宋体"/>
        </w:rPr>
        <w:t>6.1本项目是否允许分包详见“供应商须知前附表”，本项目不允许违法分包。</w:t>
      </w:r>
    </w:p>
    <w:p>
      <w:pPr>
        <w:spacing w:line="360" w:lineRule="auto"/>
        <w:ind w:firstLine="420" w:firstLineChars="200"/>
        <w:rPr>
          <w:rFonts w:hint="eastAsia" w:ascii="宋体" w:hAnsi="宋体"/>
        </w:rPr>
      </w:pPr>
      <w:r>
        <w:rPr>
          <w:rFonts w:hint="eastAsia" w:ascii="宋体" w:hAnsi="宋体"/>
        </w:rPr>
        <w:t>6.2根据《政府采购促进中小企业发展管理办法》（财库[2020]46号）第九条及《广西壮族自治区财政厅关于进一步发挥政府采购政策功能促进企业发展的通知》（桂财采〔2022〕30号）规定，允许大中型企业向一家或者多家小微企业分包的采购项目，对于分包意向协议约定小微企业的合同份额占到合同总金额 30%以上的，采购人、采购代理机构应当对大中型企业的报价给予 4%-6%的扣除，用扣除后的价格参加评审。接受分包的小微企业与分包企业之间存在直接控股、管理关系的，不享受价格扣除优惠政策。</w:t>
      </w:r>
    </w:p>
    <w:p>
      <w:pPr>
        <w:spacing w:line="360" w:lineRule="auto"/>
        <w:ind w:firstLine="482" w:firstLineChars="200"/>
        <w:rPr>
          <w:rFonts w:hint="eastAsia" w:ascii="黑体" w:hAnsi="宋体" w:eastAsia="黑体" w:cs="宋体"/>
          <w:b/>
          <w:bCs/>
          <w:sz w:val="24"/>
        </w:rPr>
      </w:pPr>
      <w:bookmarkStart w:id="134" w:name="_Toc254970532"/>
      <w:bookmarkEnd w:id="134"/>
      <w:bookmarkStart w:id="135" w:name="_Toc254970673"/>
      <w:r>
        <w:rPr>
          <w:rFonts w:hint="eastAsia" w:ascii="黑体" w:hAnsi="黑体" w:eastAsia="黑体" w:cs="宋体"/>
          <w:b/>
          <w:bCs/>
          <w:sz w:val="24"/>
        </w:rPr>
        <w:t>7.特别说明</w:t>
      </w:r>
      <w:bookmarkEnd w:id="135"/>
    </w:p>
    <w:p>
      <w:pPr>
        <w:spacing w:line="360" w:lineRule="auto"/>
        <w:ind w:firstLine="420" w:firstLineChars="200"/>
        <w:rPr>
          <w:rFonts w:hint="eastAsia" w:ascii="宋体" w:hAnsi="宋体"/>
          <w:szCs w:val="21"/>
        </w:rPr>
      </w:pPr>
      <w:bookmarkStart w:id="136" w:name="_8.1提供相同品牌产品且通过资格审查、符合性审查的不同投标人参加同一合"/>
      <w:bookmarkEnd w:id="136"/>
      <w:r>
        <w:rPr>
          <w:rFonts w:hint="eastAsia" w:ascii="宋体" w:hAnsi="宋体"/>
        </w:rPr>
        <w:t>7.1</w:t>
      </w:r>
      <w:bookmarkStart w:id="137" w:name="_Hlk65832145"/>
      <w:r>
        <w:rPr>
          <w:rFonts w:hint="eastAsia" w:ascii="宋体" w:hAnsi="宋体"/>
        </w:rPr>
        <w:t>如果本磋商文件要求提供供应商或制造商的资格、信誉、荣誉、业绩与企业认证等材料的，资格、信誉、荣誉、业绩与企业认证等必须为供应商或者制造商所拥有或自身获得 。</w:t>
      </w:r>
      <w:bookmarkEnd w:id="137"/>
    </w:p>
    <w:p>
      <w:pPr>
        <w:spacing w:line="360" w:lineRule="auto"/>
        <w:ind w:firstLine="420" w:firstLineChars="200"/>
        <w:rPr>
          <w:rFonts w:hint="eastAsia" w:ascii="宋体" w:hAnsi="宋体"/>
        </w:rPr>
      </w:pPr>
      <w:r>
        <w:rPr>
          <w:rFonts w:hint="eastAsia" w:ascii="宋体" w:hAnsi="宋体"/>
        </w:rPr>
        <w:t>7.2供应商应仔细阅读磋商文件的所有内容，按照磋商文件的要求提交响应文件，并对所提供的全部资料的真实性承担法律责任。</w:t>
      </w:r>
    </w:p>
    <w:p>
      <w:pPr>
        <w:spacing w:line="360" w:lineRule="auto"/>
        <w:ind w:firstLine="420" w:firstLineChars="200"/>
        <w:rPr>
          <w:rFonts w:hint="eastAsia" w:ascii="宋体" w:hAnsi="宋体"/>
        </w:rPr>
      </w:pPr>
      <w:r>
        <w:rPr>
          <w:rFonts w:hint="eastAsia" w:ascii="宋体" w:hAnsi="宋体"/>
        </w:rPr>
        <w:t>7.3供应商在竞标活动中提供任何疑似虚假材料，将报监管部门查处；签订合同后发现的，成交供应商须依照《中华人民共和国消费者权益保护法》规定赔偿采购人，且民事赔偿并不免除违法供应商的行政与刑事责任。</w:t>
      </w:r>
    </w:p>
    <w:p>
      <w:pPr>
        <w:spacing w:line="360" w:lineRule="auto"/>
        <w:ind w:firstLine="420" w:firstLineChars="200"/>
        <w:rPr>
          <w:rFonts w:hint="eastAsia" w:ascii="宋体" w:hAnsi="宋体"/>
        </w:rPr>
      </w:pPr>
      <w:r>
        <w:rPr>
          <w:rFonts w:hint="eastAsia" w:ascii="宋体" w:hAnsi="宋体"/>
        </w:rPr>
        <w:t>7.4在政府采购活动中，采购人员及相关人员与供应商有下列利害关系之一的，应当回避：</w:t>
      </w:r>
    </w:p>
    <w:p>
      <w:pPr>
        <w:spacing w:line="360" w:lineRule="auto"/>
        <w:ind w:firstLine="420" w:firstLineChars="200"/>
        <w:rPr>
          <w:rFonts w:hint="eastAsia" w:ascii="宋体" w:hAnsi="宋体"/>
        </w:rPr>
      </w:pPr>
      <w:r>
        <w:rPr>
          <w:rFonts w:hint="eastAsia" w:ascii="宋体" w:hAnsi="宋体"/>
        </w:rPr>
        <w:t>（1）参加采购活动前3年内与供应商存在劳动关系；</w:t>
      </w:r>
    </w:p>
    <w:p>
      <w:pPr>
        <w:spacing w:line="360" w:lineRule="auto"/>
        <w:ind w:firstLine="420" w:firstLineChars="200"/>
        <w:rPr>
          <w:rFonts w:hint="eastAsia" w:ascii="宋体" w:hAnsi="宋体"/>
        </w:rPr>
      </w:pPr>
      <w:r>
        <w:rPr>
          <w:rFonts w:hint="eastAsia" w:ascii="宋体" w:hAnsi="宋体"/>
        </w:rPr>
        <w:t>（2）参加采购活动前3年内担任供应商的董事、监事；</w:t>
      </w:r>
    </w:p>
    <w:p>
      <w:pPr>
        <w:spacing w:line="360" w:lineRule="auto"/>
        <w:ind w:firstLine="420" w:firstLineChars="200"/>
        <w:rPr>
          <w:rFonts w:hint="eastAsia" w:ascii="宋体" w:hAnsi="宋体"/>
        </w:rPr>
      </w:pPr>
      <w:r>
        <w:rPr>
          <w:rFonts w:hint="eastAsia" w:ascii="宋体" w:hAnsi="宋体"/>
        </w:rPr>
        <w:t>（3）参加采购活动前3年内是供应商的控股股东或者实际控制人；</w:t>
      </w:r>
    </w:p>
    <w:p>
      <w:pPr>
        <w:spacing w:line="360" w:lineRule="auto"/>
        <w:ind w:firstLine="420" w:firstLineChars="200"/>
        <w:rPr>
          <w:rFonts w:hint="eastAsia" w:ascii="宋体" w:hAnsi="宋体"/>
        </w:rPr>
      </w:pPr>
      <w:r>
        <w:rPr>
          <w:rFonts w:hint="eastAsia" w:ascii="宋体" w:hAnsi="宋体"/>
        </w:rPr>
        <w:t>（4）与供应商的法定代表人或者负责人有夫妻、直系血亲、三代以内旁系血亲或者近姻亲关系；</w:t>
      </w:r>
    </w:p>
    <w:p>
      <w:pPr>
        <w:spacing w:line="360" w:lineRule="auto"/>
        <w:ind w:firstLine="420" w:firstLineChars="200"/>
        <w:rPr>
          <w:rFonts w:hint="eastAsia" w:ascii="宋体" w:hAnsi="宋体"/>
        </w:rPr>
      </w:pPr>
      <w:r>
        <w:rPr>
          <w:rFonts w:hint="eastAsia" w:ascii="宋体" w:hAnsi="宋体"/>
        </w:rPr>
        <w:t>（5）与供应商有其他可能影响政府采购活动公平、公正进行的关系。</w:t>
      </w:r>
    </w:p>
    <w:p>
      <w:pPr>
        <w:spacing w:line="360" w:lineRule="auto"/>
        <w:ind w:firstLine="420" w:firstLineChars="200"/>
        <w:rPr>
          <w:rFonts w:hint="eastAsia" w:ascii="宋体" w:hAnsi="宋体"/>
        </w:rPr>
      </w:pPr>
      <w:r>
        <w:rPr>
          <w:rFonts w:hint="eastAsia" w:ascii="宋体" w:hAnsi="宋体"/>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pPr>
        <w:spacing w:line="360" w:lineRule="auto"/>
        <w:ind w:firstLine="420" w:firstLineChars="200"/>
        <w:rPr>
          <w:rFonts w:hint="eastAsia" w:ascii="宋体" w:hAnsi="宋体"/>
        </w:rPr>
      </w:pPr>
      <w:r>
        <w:rPr>
          <w:rFonts w:hint="eastAsia" w:ascii="宋体" w:hAnsi="宋体"/>
        </w:rPr>
        <w:t>7.5有下列情形之一的视为供应商相互串通竞标，响应文件将被视为无效：</w:t>
      </w:r>
    </w:p>
    <w:p>
      <w:pPr>
        <w:spacing w:line="360" w:lineRule="auto"/>
        <w:ind w:firstLine="420" w:firstLineChars="200"/>
        <w:rPr>
          <w:rFonts w:hint="eastAsia" w:ascii="宋体" w:hAnsi="宋体"/>
        </w:rPr>
      </w:pPr>
      <w:r>
        <w:rPr>
          <w:rFonts w:hint="eastAsia" w:ascii="宋体" w:hAnsi="宋体"/>
        </w:rPr>
        <w:t xml:space="preserve">（1）不同供应商的响应文件由同一单位或者个人编制；或者不同供应商报名的IP地址一致的；或者编制响应文件硬件设备CPU编号、硬盘编号、网卡地址一致的情况。 </w:t>
      </w:r>
    </w:p>
    <w:p>
      <w:pPr>
        <w:spacing w:line="360" w:lineRule="auto"/>
        <w:ind w:firstLine="420" w:firstLineChars="200"/>
        <w:rPr>
          <w:rFonts w:hint="eastAsia" w:ascii="宋体" w:hAnsi="宋体"/>
        </w:rPr>
      </w:pPr>
      <w:r>
        <w:rPr>
          <w:rFonts w:hint="eastAsia" w:ascii="宋体" w:hAnsi="宋体"/>
        </w:rPr>
        <w:t>（2）不同供应商委托同一单位或者个人办理竞标事宜；</w:t>
      </w:r>
    </w:p>
    <w:p>
      <w:pPr>
        <w:spacing w:line="360" w:lineRule="auto"/>
        <w:ind w:firstLine="420" w:firstLineChars="200"/>
        <w:rPr>
          <w:rFonts w:hint="eastAsia" w:ascii="宋体" w:hAnsi="宋体"/>
        </w:rPr>
      </w:pPr>
      <w:r>
        <w:rPr>
          <w:rFonts w:hint="eastAsia" w:ascii="宋体" w:hAnsi="宋体"/>
        </w:rPr>
        <w:t>（3）不同的供应商的响应文件载明的项目管理员为同一个人；</w:t>
      </w:r>
    </w:p>
    <w:p>
      <w:pPr>
        <w:spacing w:line="360" w:lineRule="auto"/>
        <w:ind w:firstLine="420" w:firstLineChars="200"/>
        <w:rPr>
          <w:rFonts w:hint="eastAsia" w:ascii="宋体" w:hAnsi="宋体"/>
        </w:rPr>
      </w:pPr>
      <w:r>
        <w:rPr>
          <w:rFonts w:hint="eastAsia" w:ascii="宋体" w:hAnsi="宋体"/>
        </w:rPr>
        <w:t>（4）不同供应商的响应文件异常一致或者报价呈规律性差异；</w:t>
      </w:r>
    </w:p>
    <w:p>
      <w:pPr>
        <w:spacing w:line="360" w:lineRule="auto"/>
        <w:ind w:firstLine="420" w:firstLineChars="200"/>
        <w:rPr>
          <w:rFonts w:hint="eastAsia" w:ascii="宋体" w:hAnsi="宋体"/>
        </w:rPr>
      </w:pPr>
      <w:r>
        <w:rPr>
          <w:rFonts w:hint="eastAsia" w:ascii="宋体" w:hAnsi="宋体"/>
        </w:rPr>
        <w:t>（5）不同供应商的响应文件相互混装；</w:t>
      </w:r>
    </w:p>
    <w:p>
      <w:pPr>
        <w:spacing w:line="360" w:lineRule="auto"/>
        <w:ind w:firstLine="420" w:firstLineChars="200"/>
        <w:rPr>
          <w:rFonts w:hint="eastAsia" w:ascii="宋体" w:hAnsi="宋体"/>
        </w:rPr>
      </w:pPr>
      <w:r>
        <w:rPr>
          <w:rFonts w:hint="eastAsia" w:ascii="宋体" w:hAnsi="宋体"/>
        </w:rPr>
        <w:t>（6）不同供应商的磋商保证金从同一单位或者个人账户转出。</w:t>
      </w:r>
      <w:r>
        <w:rPr>
          <w:rFonts w:hint="eastAsia" w:ascii="宋体" w:hAnsi="宋体"/>
        </w:rPr>
        <w:tab/>
      </w:r>
    </w:p>
    <w:p>
      <w:pPr>
        <w:spacing w:line="360" w:lineRule="auto"/>
        <w:ind w:firstLine="420" w:firstLineChars="200"/>
        <w:rPr>
          <w:rFonts w:hint="eastAsia" w:ascii="宋体" w:hAnsi="宋体"/>
        </w:rPr>
      </w:pPr>
      <w:r>
        <w:rPr>
          <w:rFonts w:hint="eastAsia" w:ascii="宋体" w:hAnsi="宋体"/>
        </w:rPr>
        <w:t>7.6供应商有下列情形之一的，属于恶意串通行为，将报同级监督管理部门：</w:t>
      </w:r>
    </w:p>
    <w:p>
      <w:pPr>
        <w:spacing w:line="360" w:lineRule="auto"/>
        <w:ind w:firstLine="420" w:firstLineChars="200"/>
        <w:rPr>
          <w:rFonts w:hint="eastAsia" w:ascii="宋体" w:hAnsi="宋体"/>
        </w:rPr>
      </w:pPr>
      <w:r>
        <w:rPr>
          <w:rFonts w:hint="eastAsia" w:ascii="宋体" w:hAnsi="宋体"/>
        </w:rPr>
        <w:t>（1）供应商直接或者间接从采购人或者采购代理机构处获得其他供应商的相关信息并修改其响应文件；</w:t>
      </w:r>
    </w:p>
    <w:p>
      <w:pPr>
        <w:spacing w:line="360" w:lineRule="auto"/>
        <w:ind w:firstLine="420" w:firstLineChars="200"/>
        <w:rPr>
          <w:rFonts w:hint="eastAsia" w:ascii="宋体" w:hAnsi="宋体"/>
        </w:rPr>
      </w:pPr>
      <w:r>
        <w:rPr>
          <w:rFonts w:hint="eastAsia" w:ascii="宋体" w:hAnsi="宋体"/>
        </w:rPr>
        <w:t>（2）供应商按照采购人或者采购代理机构的授意撤换、修改响应文件；</w:t>
      </w:r>
    </w:p>
    <w:p>
      <w:pPr>
        <w:spacing w:line="360" w:lineRule="auto"/>
        <w:ind w:firstLine="420" w:firstLineChars="200"/>
        <w:rPr>
          <w:rFonts w:hint="eastAsia" w:ascii="宋体" w:hAnsi="宋体"/>
        </w:rPr>
      </w:pPr>
      <w:r>
        <w:rPr>
          <w:rFonts w:hint="eastAsia" w:ascii="宋体" w:hAnsi="宋体"/>
        </w:rPr>
        <w:t>（3）供应商之间协商报价、技术方案等响应文件或者响应文件的实质性内容；</w:t>
      </w:r>
    </w:p>
    <w:p>
      <w:pPr>
        <w:spacing w:line="360" w:lineRule="auto"/>
        <w:ind w:firstLine="420" w:firstLineChars="200"/>
        <w:rPr>
          <w:rFonts w:hint="eastAsia" w:ascii="宋体" w:hAnsi="宋体"/>
        </w:rPr>
      </w:pPr>
      <w:r>
        <w:rPr>
          <w:rFonts w:hint="eastAsia" w:ascii="宋体" w:hAnsi="宋体"/>
        </w:rPr>
        <w:t>（4）属于同一集团、协会、商会等组织成员的供应商按照该组织要求协同参加政府采购活动；</w:t>
      </w:r>
    </w:p>
    <w:p>
      <w:pPr>
        <w:spacing w:line="360" w:lineRule="auto"/>
        <w:ind w:firstLine="420" w:firstLineChars="200"/>
        <w:rPr>
          <w:rFonts w:hint="eastAsia" w:ascii="宋体" w:hAnsi="宋体"/>
        </w:rPr>
      </w:pPr>
      <w:r>
        <w:rPr>
          <w:rFonts w:hint="eastAsia" w:ascii="宋体" w:hAnsi="宋体"/>
        </w:rPr>
        <w:t>（5）供应商之间事先约定一致抬高或者压低报价，或者在政府采购活动中事先约定轮流以高价位或者低价位成交，或者事先约定由某一特定供应商成交，然后再参加竞标；</w:t>
      </w:r>
    </w:p>
    <w:p>
      <w:pPr>
        <w:spacing w:line="360" w:lineRule="auto"/>
        <w:ind w:firstLine="420" w:firstLineChars="200"/>
        <w:rPr>
          <w:rFonts w:hint="eastAsia" w:ascii="宋体" w:hAnsi="宋体"/>
        </w:rPr>
      </w:pPr>
      <w:r>
        <w:rPr>
          <w:rFonts w:hint="eastAsia" w:ascii="宋体" w:hAnsi="宋体"/>
        </w:rPr>
        <w:t>（6）供应商之间商定部分供应商放弃参加政府采购活动或者放弃成交；</w:t>
      </w:r>
    </w:p>
    <w:p>
      <w:pPr>
        <w:spacing w:line="360" w:lineRule="auto"/>
        <w:ind w:firstLine="420" w:firstLineChars="200"/>
        <w:rPr>
          <w:rFonts w:hint="eastAsia" w:ascii="宋体" w:hAnsi="宋体"/>
        </w:rPr>
      </w:pPr>
      <w:r>
        <w:rPr>
          <w:rFonts w:hint="eastAsia" w:ascii="宋体" w:hAnsi="宋体"/>
        </w:rPr>
        <w:t>（7）供应商与采购人或者采购代理机构之间、供应商相互之间，为谋求特定供应商成交或者排斥其他供应商的其他串通行为。</w:t>
      </w:r>
    </w:p>
    <w:p>
      <w:pPr>
        <w:pStyle w:val="4"/>
        <w:keepLines w:val="0"/>
        <w:widowControl/>
        <w:spacing w:before="0" w:after="0" w:line="360" w:lineRule="auto"/>
        <w:ind w:firstLine="640" w:firstLineChars="200"/>
        <w:rPr>
          <w:rFonts w:hint="eastAsia" w:ascii="宋体" w:hAnsi="宋体"/>
          <w:b w:val="0"/>
          <w:bCs w:val="0"/>
        </w:rPr>
      </w:pPr>
      <w:bookmarkStart w:id="138" w:name="_Toc254970675"/>
      <w:bookmarkEnd w:id="138"/>
      <w:bookmarkStart w:id="139" w:name="_Toc80886931"/>
      <w:bookmarkEnd w:id="139"/>
      <w:bookmarkStart w:id="140" w:name="_Toc254970534"/>
      <w:r>
        <w:rPr>
          <w:rFonts w:hint="eastAsia" w:ascii="宋体" w:hAnsi="宋体"/>
          <w:b w:val="0"/>
          <w:bCs w:val="0"/>
        </w:rPr>
        <w:t>二、磋商文件</w:t>
      </w:r>
      <w:bookmarkEnd w:id="140"/>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8.磋商文件的构成</w:t>
      </w:r>
    </w:p>
    <w:p>
      <w:pPr>
        <w:spacing w:line="360" w:lineRule="auto"/>
        <w:ind w:firstLine="420" w:firstLineChars="200"/>
        <w:jc w:val="left"/>
        <w:rPr>
          <w:rFonts w:hint="eastAsia" w:ascii="宋体" w:hAnsi="宋体"/>
          <w:szCs w:val="21"/>
        </w:rPr>
      </w:pPr>
      <w:r>
        <w:rPr>
          <w:rFonts w:hint="eastAsia" w:ascii="宋体" w:hAnsi="宋体"/>
        </w:rPr>
        <w:t>第一章 竞争性磋商公告；</w:t>
      </w:r>
    </w:p>
    <w:p>
      <w:pPr>
        <w:spacing w:line="360" w:lineRule="auto"/>
        <w:ind w:firstLine="420" w:firstLineChars="200"/>
        <w:jc w:val="left"/>
        <w:rPr>
          <w:rFonts w:hint="eastAsia" w:ascii="宋体" w:hAnsi="宋体"/>
        </w:rPr>
      </w:pPr>
      <w:r>
        <w:rPr>
          <w:rFonts w:hint="eastAsia" w:ascii="宋体" w:hAnsi="宋体"/>
        </w:rPr>
        <w:t>第二章 采购需求；</w:t>
      </w:r>
    </w:p>
    <w:p>
      <w:pPr>
        <w:spacing w:line="360" w:lineRule="auto"/>
        <w:ind w:firstLine="420" w:firstLineChars="200"/>
        <w:jc w:val="left"/>
        <w:rPr>
          <w:rFonts w:hint="eastAsia" w:ascii="宋体" w:hAnsi="宋体"/>
        </w:rPr>
      </w:pPr>
      <w:r>
        <w:rPr>
          <w:rFonts w:hint="eastAsia" w:ascii="宋体" w:hAnsi="宋体"/>
        </w:rPr>
        <w:t xml:space="preserve">第三章 供应商须知； </w:t>
      </w:r>
    </w:p>
    <w:p>
      <w:pPr>
        <w:spacing w:line="360" w:lineRule="auto"/>
        <w:ind w:firstLine="420" w:firstLineChars="200"/>
        <w:jc w:val="left"/>
        <w:rPr>
          <w:rFonts w:hint="eastAsia" w:ascii="宋体" w:hAnsi="宋体"/>
        </w:rPr>
      </w:pPr>
      <w:r>
        <w:rPr>
          <w:rFonts w:hint="eastAsia" w:ascii="宋体" w:hAnsi="宋体"/>
        </w:rPr>
        <w:t>第四章 评审程序、评审方法和评审标准；</w:t>
      </w:r>
    </w:p>
    <w:p>
      <w:pPr>
        <w:spacing w:line="360" w:lineRule="auto"/>
        <w:ind w:firstLine="420" w:firstLineChars="200"/>
        <w:jc w:val="left"/>
        <w:rPr>
          <w:rFonts w:hint="eastAsia" w:ascii="宋体" w:hAnsi="宋体"/>
        </w:rPr>
      </w:pPr>
      <w:r>
        <w:rPr>
          <w:rFonts w:hint="eastAsia" w:ascii="宋体" w:hAnsi="宋体"/>
        </w:rPr>
        <w:t>第五章 响应文件格式；</w:t>
      </w:r>
    </w:p>
    <w:p>
      <w:pPr>
        <w:spacing w:line="360" w:lineRule="auto"/>
        <w:ind w:firstLine="420" w:firstLineChars="200"/>
        <w:jc w:val="left"/>
        <w:rPr>
          <w:rFonts w:hint="eastAsia" w:ascii="宋体" w:hAnsi="宋体"/>
        </w:rPr>
      </w:pPr>
      <w:r>
        <w:rPr>
          <w:rFonts w:hint="eastAsia" w:ascii="宋体" w:hAnsi="宋体"/>
        </w:rPr>
        <w:t>第六章 合同文本；</w:t>
      </w:r>
    </w:p>
    <w:p>
      <w:pPr>
        <w:spacing w:line="360" w:lineRule="auto"/>
        <w:ind w:firstLine="420" w:firstLineChars="200"/>
        <w:jc w:val="left"/>
        <w:rPr>
          <w:rFonts w:hint="eastAsia" w:ascii="宋体" w:hAnsi="宋体"/>
        </w:rPr>
      </w:pPr>
      <w:r>
        <w:rPr>
          <w:rFonts w:hint="eastAsia" w:ascii="宋体" w:hAnsi="宋体"/>
        </w:rPr>
        <w:t>第七章 质疑、投诉材料格式。</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9.供应商的询问</w:t>
      </w:r>
    </w:p>
    <w:p>
      <w:pPr>
        <w:spacing w:line="360" w:lineRule="auto"/>
        <w:ind w:firstLine="420" w:firstLineChars="200"/>
        <w:rPr>
          <w:rFonts w:hint="eastAsia" w:ascii="宋体" w:hAnsi="宋体"/>
          <w:szCs w:val="21"/>
        </w:rPr>
      </w:pPr>
      <w:r>
        <w:rPr>
          <w:rFonts w:hint="eastAsia" w:ascii="宋体" w:hAnsi="宋体"/>
        </w:rPr>
        <w:t>供应商应认真阅读磋商文件的采购需求，如供应商对磋商文件有疑问的，如要求采购人作出澄清或者修改的，供应商尽应在提交首次响应文件截止之日前，以书面形式向采购人、采购代理机构提出。</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10.磋商文件的澄清和修改</w:t>
      </w:r>
    </w:p>
    <w:p>
      <w:pPr>
        <w:spacing w:line="360" w:lineRule="auto"/>
        <w:ind w:firstLine="420" w:firstLineChars="200"/>
        <w:rPr>
          <w:rFonts w:hint="eastAsia" w:ascii="宋体" w:hAnsi="宋体"/>
          <w:szCs w:val="21"/>
        </w:rPr>
      </w:pPr>
      <w:r>
        <w:rPr>
          <w:rFonts w:hint="eastAsia" w:ascii="宋体" w:hAnsi="宋体"/>
        </w:rPr>
        <w:t>10.1已获取磋商文件的潜在供应商，若有问题需要澄清，应于应标截止时间前，以书面形式向采购代理机构提出，采购代理机构与采购人研究后，对认为有必要回答的问题，按照本章10.3的内容处理。</w:t>
      </w:r>
    </w:p>
    <w:p>
      <w:pPr>
        <w:spacing w:line="360" w:lineRule="auto"/>
        <w:ind w:firstLine="422" w:firstLineChars="200"/>
        <w:rPr>
          <w:rFonts w:hint="eastAsia" w:ascii="宋体" w:hAnsi="宋体"/>
          <w:b/>
        </w:rPr>
      </w:pPr>
      <w:r>
        <w:rPr>
          <w:rFonts w:hint="eastAsia" w:ascii="宋体" w:hAnsi="宋体"/>
          <w:b/>
        </w:rPr>
        <w:t>10.2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pPr>
        <w:spacing w:line="360" w:lineRule="auto"/>
        <w:ind w:firstLine="420" w:firstLineChars="200"/>
        <w:rPr>
          <w:rFonts w:hint="eastAsia" w:ascii="宋体" w:hAnsi="宋体"/>
        </w:rPr>
      </w:pPr>
      <w:r>
        <w:rPr>
          <w:rFonts w:hint="eastAsia" w:ascii="宋体" w:hAnsi="宋体"/>
        </w:rPr>
        <w:t>10.3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在提交首次响应文件截止之日3个工作日前，以书面形式（目前为网上公告和系统短信等形式）通知所有获取磋商文件的供应商，不足3个工作日的，应当顺延提交首次响应文件截止之日。</w:t>
      </w:r>
    </w:p>
    <w:p>
      <w:pPr>
        <w:spacing w:line="360" w:lineRule="auto"/>
        <w:ind w:firstLine="420" w:firstLineChars="200"/>
        <w:rPr>
          <w:rFonts w:hint="eastAsia" w:ascii="宋体" w:hAnsi="宋体"/>
        </w:rPr>
      </w:pPr>
      <w:r>
        <w:rPr>
          <w:rFonts w:hint="eastAsia" w:ascii="宋体" w:hAnsi="宋体"/>
        </w:rPr>
        <w:t>10.4</w:t>
      </w:r>
      <w:r>
        <w:rPr>
          <w:rFonts w:hint="eastAsia" w:ascii="宋体" w:hAnsi="宋体" w:cs="Arial"/>
          <w:shd w:val="clear" w:color="auto" w:fill="FFFFFF"/>
        </w:rPr>
        <w:t>采购信息更正公告的内容应当包括采购人和采购代理机构名称、地址、联系方式，原公告的采购项目名称及首次公告日期，更正事项、内容及日期，采购项目联系人和电话。</w:t>
      </w:r>
    </w:p>
    <w:p>
      <w:pPr>
        <w:spacing w:line="360" w:lineRule="auto"/>
        <w:ind w:firstLine="420" w:firstLineChars="200"/>
        <w:rPr>
          <w:rFonts w:hint="eastAsia" w:ascii="Calibri" w:hAnsi="Calibri"/>
        </w:rPr>
      </w:pPr>
      <w:r>
        <w:rPr>
          <w:rFonts w:hAnsi="宋体"/>
        </w:rPr>
        <w:t xml:space="preserve">10.5  </w:t>
      </w:r>
      <w:r>
        <w:rPr>
          <w:rFonts w:hint="eastAsia" w:ascii="宋体" w:hAnsi="宋体"/>
        </w:rPr>
        <w:t>采购人和采购代理机构可以视采购具体情况，变更提交首次响应文件截止时间和竞谈时间，将变更时间将在“采购文件公告”中“七、其他补充事宜</w:t>
      </w:r>
      <w:r>
        <w:rPr>
          <w:rFonts w:hAnsi="宋体"/>
        </w:rPr>
        <w:t>3.</w:t>
      </w:r>
      <w:r>
        <w:rPr>
          <w:rFonts w:hint="eastAsia" w:ascii="宋体" w:hAnsi="宋体"/>
        </w:rPr>
        <w:t>网上查询地址”规定的政府采购信息发布媒体上发布更正公告。</w:t>
      </w:r>
    </w:p>
    <w:p>
      <w:pPr>
        <w:spacing w:line="360" w:lineRule="auto"/>
        <w:ind w:firstLine="400" w:firstLineChars="200"/>
        <w:rPr>
          <w:rFonts w:ascii="宋体" w:hAnsi="Courier New"/>
          <w:kern w:val="0"/>
          <w:sz w:val="20"/>
          <w:szCs w:val="20"/>
        </w:rPr>
      </w:pPr>
      <w:r>
        <w:rPr>
          <w:rFonts w:hint="eastAsia" w:ascii="宋体" w:hAnsi="宋体"/>
          <w:kern w:val="0"/>
          <w:sz w:val="20"/>
          <w:szCs w:val="20"/>
        </w:rPr>
        <w:t>▲</w:t>
      </w:r>
      <w:r>
        <w:rPr>
          <w:rFonts w:hint="eastAsia" w:ascii="宋体" w:hAnsi="宋体"/>
          <w:b/>
          <w:kern w:val="0"/>
          <w:sz w:val="20"/>
          <w:szCs w:val="20"/>
        </w:rPr>
        <w:t>响应文件未按磋商文件的澄清、修改的内容编制，又不符合实质性要求的，其响应文件作无效处理。</w:t>
      </w:r>
    </w:p>
    <w:p>
      <w:pPr>
        <w:pStyle w:val="4"/>
        <w:keepLines w:val="0"/>
        <w:widowControl/>
        <w:spacing w:before="0" w:after="0" w:line="360" w:lineRule="auto"/>
        <w:ind w:firstLine="640" w:firstLineChars="200"/>
        <w:rPr>
          <w:rFonts w:hint="eastAsia" w:ascii="宋体" w:hAnsi="宋体"/>
          <w:b w:val="0"/>
          <w:bCs w:val="0"/>
        </w:rPr>
      </w:pPr>
      <w:r>
        <w:rPr>
          <w:rFonts w:hint="eastAsia" w:ascii="宋体" w:hAnsi="宋体"/>
          <w:b w:val="0"/>
          <w:bCs w:val="0"/>
        </w:rPr>
        <w:t xml:space="preserve">  </w:t>
      </w:r>
      <w:bookmarkStart w:id="141" w:name="_Toc80886932"/>
      <w:r>
        <w:rPr>
          <w:rFonts w:hint="eastAsia" w:ascii="宋体" w:hAnsi="宋体"/>
          <w:b w:val="0"/>
          <w:bCs w:val="0"/>
        </w:rPr>
        <w:t>三、响应文件的编制</w:t>
      </w:r>
      <w:bookmarkEnd w:id="141"/>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11.响应文件的编制原则</w:t>
      </w:r>
    </w:p>
    <w:p>
      <w:pPr>
        <w:spacing w:line="360" w:lineRule="auto"/>
        <w:ind w:firstLine="420" w:firstLineChars="200"/>
        <w:rPr>
          <w:rFonts w:hint="eastAsia" w:ascii="宋体" w:hAnsi="宋体"/>
          <w:szCs w:val="21"/>
        </w:rPr>
      </w:pPr>
      <w:r>
        <w:rPr>
          <w:rFonts w:hint="eastAsia" w:ascii="宋体" w:hAnsi="宋体"/>
        </w:rPr>
        <w:t>供应商必须按照磋商文件的要求编制响应文件，并对其提交的响应文件的真实性、合法性承担法律责任。响应文件必须对磋商文件作出实质性响应。</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12.响应文件的组成</w:t>
      </w:r>
    </w:p>
    <w:p>
      <w:pPr>
        <w:spacing w:line="360" w:lineRule="auto"/>
        <w:ind w:firstLine="420" w:firstLineChars="200"/>
        <w:rPr>
          <w:rFonts w:hint="eastAsia" w:ascii="宋体" w:hAnsi="宋体"/>
          <w:szCs w:val="21"/>
        </w:rPr>
      </w:pPr>
      <w:r>
        <w:rPr>
          <w:rFonts w:hint="eastAsia" w:ascii="宋体" w:hAnsi="宋体"/>
        </w:rPr>
        <w:t>12.1响应文件由资格证明文件、报价文件、商务和技术文件三部分组成。</w:t>
      </w:r>
    </w:p>
    <w:p>
      <w:pPr>
        <w:spacing w:line="360" w:lineRule="auto"/>
        <w:ind w:left="420" w:leftChars="200" w:firstLine="420" w:firstLineChars="200"/>
        <w:rPr>
          <w:rFonts w:hint="eastAsia" w:ascii="宋体" w:hAnsi="宋体"/>
        </w:rPr>
      </w:pPr>
      <w:r>
        <w:rPr>
          <w:rFonts w:hint="eastAsia" w:ascii="宋体" w:hAnsi="宋体"/>
        </w:rPr>
        <w:t>12.1.1资格证明文件：详见须知前附表</w:t>
      </w:r>
    </w:p>
    <w:p>
      <w:pPr>
        <w:spacing w:line="360" w:lineRule="auto"/>
        <w:ind w:left="420" w:leftChars="200" w:firstLine="420" w:firstLineChars="200"/>
        <w:rPr>
          <w:rFonts w:hint="eastAsia" w:ascii="宋体" w:hAnsi="宋体"/>
        </w:rPr>
      </w:pPr>
      <w:r>
        <w:rPr>
          <w:rFonts w:hint="eastAsia" w:ascii="宋体" w:hAnsi="宋体"/>
        </w:rPr>
        <w:t>12.1.2商务技术文件：详见须知前附表</w:t>
      </w:r>
    </w:p>
    <w:p>
      <w:pPr>
        <w:spacing w:line="360" w:lineRule="auto"/>
        <w:ind w:left="420" w:leftChars="200" w:firstLine="420" w:firstLineChars="200"/>
        <w:rPr>
          <w:rFonts w:hint="eastAsia" w:ascii="宋体" w:hAnsi="宋体"/>
        </w:rPr>
      </w:pPr>
      <w:r>
        <w:rPr>
          <w:rFonts w:hint="eastAsia" w:ascii="宋体" w:hAnsi="宋体"/>
        </w:rPr>
        <w:t>12.1.3报价文件：详见须知前附表</w:t>
      </w:r>
    </w:p>
    <w:p>
      <w:pPr>
        <w:spacing w:line="360" w:lineRule="auto"/>
        <w:ind w:firstLine="420" w:firstLineChars="200"/>
        <w:rPr>
          <w:rFonts w:hint="eastAsia" w:ascii="宋体" w:hAnsi="宋体"/>
        </w:rPr>
      </w:pPr>
      <w:r>
        <w:rPr>
          <w:rFonts w:hint="eastAsia" w:ascii="宋体" w:hAnsi="宋体"/>
        </w:rPr>
        <w:t>12.2响应文件电子版：详见须知前附表</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13.计量单位</w:t>
      </w:r>
    </w:p>
    <w:p>
      <w:pPr>
        <w:spacing w:line="360" w:lineRule="auto"/>
        <w:ind w:firstLine="420" w:firstLineChars="200"/>
        <w:rPr>
          <w:rFonts w:hint="eastAsia" w:ascii="宋体" w:hAnsi="宋体"/>
          <w:szCs w:val="21"/>
        </w:rPr>
      </w:pPr>
      <w:r>
        <w:rPr>
          <w:rFonts w:hint="eastAsia" w:ascii="宋体" w:hAnsi="宋体"/>
        </w:rPr>
        <w:t>磋商文件已有明确规定的，使用磋商文件规定的计量单位；磋商文件没有规定的，应采用中华人民共和国法定计量单位，货币种类为人民币，否则视同未响应。</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14.竞标的风险</w:t>
      </w:r>
    </w:p>
    <w:p>
      <w:pPr>
        <w:spacing w:line="360" w:lineRule="auto"/>
        <w:ind w:firstLine="420" w:firstLineChars="200"/>
        <w:rPr>
          <w:rFonts w:hint="eastAsia" w:ascii="宋体" w:hAnsi="宋体"/>
          <w:szCs w:val="21"/>
        </w:rPr>
      </w:pPr>
      <w:r>
        <w:rPr>
          <w:rFonts w:hint="eastAsia" w:ascii="宋体" w:hAnsi="宋体"/>
        </w:rPr>
        <w:t>供应商没有按照磋商文件要求提供全部资料，或者供应商没有对磋商文件在各方面作出实质性响应可能导致其响应无效，是供应商应当考虑的风险。</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15.响应报价要求和构成</w:t>
      </w:r>
    </w:p>
    <w:p>
      <w:pPr>
        <w:spacing w:line="360" w:lineRule="auto"/>
        <w:ind w:firstLine="420" w:firstLineChars="200"/>
        <w:rPr>
          <w:rFonts w:hint="eastAsia" w:ascii="宋体" w:hAnsi="宋体"/>
          <w:szCs w:val="21"/>
        </w:rPr>
      </w:pPr>
      <w:r>
        <w:rPr>
          <w:rFonts w:hint="eastAsia" w:ascii="宋体" w:hAnsi="宋体"/>
        </w:rPr>
        <w:t>15.1响应报价应按“第五章 响应文件格式”中“响应报价表”格式填写。</w:t>
      </w:r>
    </w:p>
    <w:p>
      <w:pPr>
        <w:spacing w:line="360" w:lineRule="auto"/>
        <w:ind w:firstLine="420" w:firstLineChars="200"/>
        <w:rPr>
          <w:rFonts w:hint="eastAsia" w:ascii="宋体" w:hAnsi="宋体"/>
        </w:rPr>
      </w:pPr>
      <w:r>
        <w:rPr>
          <w:rFonts w:hint="eastAsia" w:ascii="宋体" w:hAnsi="宋体"/>
        </w:rPr>
        <w:t>15.2响应报价的价格构成见“供应商须知前附表”。</w:t>
      </w:r>
    </w:p>
    <w:p>
      <w:pPr>
        <w:spacing w:line="360" w:lineRule="auto"/>
        <w:ind w:firstLine="420" w:firstLineChars="200"/>
        <w:rPr>
          <w:rFonts w:hint="eastAsia" w:ascii="宋体" w:hAnsi="宋体"/>
        </w:rPr>
      </w:pPr>
      <w:r>
        <w:rPr>
          <w:rFonts w:hint="eastAsia" w:ascii="宋体" w:hAnsi="宋体"/>
        </w:rPr>
        <w:t>15.3响应报价要求</w:t>
      </w:r>
    </w:p>
    <w:p>
      <w:pPr>
        <w:spacing w:line="360" w:lineRule="auto"/>
        <w:ind w:firstLine="420" w:firstLineChars="200"/>
        <w:rPr>
          <w:rFonts w:hint="eastAsia" w:ascii="宋体" w:hAnsi="宋体"/>
        </w:rPr>
      </w:pPr>
      <w:r>
        <w:rPr>
          <w:rFonts w:hint="eastAsia" w:ascii="宋体" w:hAnsi="宋体"/>
        </w:rPr>
        <w:t>15.3.1供应商的响应报价应符合以下要求，否则响应文件按无效响应处理：</w:t>
      </w:r>
    </w:p>
    <w:p>
      <w:pPr>
        <w:spacing w:line="360" w:lineRule="auto"/>
        <w:ind w:firstLine="420" w:firstLineChars="200"/>
        <w:rPr>
          <w:rFonts w:hint="eastAsia" w:ascii="宋体" w:hAnsi="宋体"/>
        </w:rPr>
      </w:pPr>
      <w:r>
        <w:rPr>
          <w:rFonts w:hint="eastAsia" w:ascii="宋体" w:hAnsi="宋体"/>
        </w:rPr>
        <w:t>（1）供应商必须就“采购需求”中所竞标的每个分标的全部内容分别作完整唯一总价报价，不得存在漏项报价；</w:t>
      </w:r>
    </w:p>
    <w:p>
      <w:pPr>
        <w:spacing w:line="360" w:lineRule="auto"/>
        <w:ind w:firstLine="420" w:firstLineChars="200"/>
        <w:rPr>
          <w:rFonts w:hint="eastAsia" w:ascii="宋体" w:hAnsi="宋体"/>
        </w:rPr>
      </w:pPr>
      <w:r>
        <w:rPr>
          <w:rFonts w:hint="eastAsia" w:ascii="宋体" w:hAnsi="宋体"/>
        </w:rPr>
        <w:t>（2）供应商必须就所竞标的分标的单项内容作唯一报价。</w:t>
      </w:r>
    </w:p>
    <w:p>
      <w:pPr>
        <w:spacing w:line="360" w:lineRule="auto"/>
        <w:ind w:firstLine="420" w:firstLineChars="200"/>
        <w:rPr>
          <w:rFonts w:hint="eastAsia" w:ascii="宋体" w:hAnsi="宋体"/>
        </w:rPr>
      </w:pPr>
      <w:r>
        <w:rPr>
          <w:rFonts w:hint="eastAsia" w:ascii="宋体" w:hAnsi="宋体"/>
        </w:rPr>
        <w:t>15.3.2响应报价（包含首次报价、最后报价）超过所竞标分标规定的采购预算金额或者最高限价的，其响应文件将作无效处理。</w:t>
      </w:r>
    </w:p>
    <w:p>
      <w:pPr>
        <w:spacing w:line="360" w:lineRule="auto"/>
        <w:ind w:firstLine="420" w:firstLineChars="200"/>
        <w:rPr>
          <w:rFonts w:hint="eastAsia" w:ascii="宋体" w:hAnsi="宋体"/>
        </w:rPr>
      </w:pPr>
      <w:r>
        <w:rPr>
          <w:rFonts w:hint="eastAsia" w:ascii="宋体" w:hAnsi="宋体"/>
        </w:rPr>
        <w:t>15.3.3</w:t>
      </w:r>
      <w:bookmarkStart w:id="142" w:name="_Hlk42592874"/>
      <w:r>
        <w:rPr>
          <w:rFonts w:hint="eastAsia" w:ascii="宋体" w:hAnsi="宋体"/>
        </w:rPr>
        <w:t>响应报价（包含首次报价、最后报价）超过分项采购预算金额或者最高限价的，其响应文件将作无效处理。</w:t>
      </w:r>
      <w:bookmarkEnd w:id="142"/>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16.竞标有效期</w:t>
      </w:r>
    </w:p>
    <w:p>
      <w:pPr>
        <w:spacing w:line="360" w:lineRule="auto"/>
        <w:ind w:firstLine="420" w:firstLineChars="200"/>
        <w:rPr>
          <w:rFonts w:hint="eastAsia" w:ascii="宋体" w:hAnsi="宋体"/>
          <w:szCs w:val="21"/>
        </w:rPr>
      </w:pPr>
      <w:r>
        <w:rPr>
          <w:rFonts w:hint="eastAsia" w:ascii="宋体" w:hAnsi="宋体"/>
        </w:rPr>
        <w:t>16.1竞标有效期是指为保证采购人有足够的时间在提交响应文件后完成评审、确定成交供应商、合同签订等工作而要求供应商提交的响应文件在一定时间内保持有效的期限。</w:t>
      </w:r>
    </w:p>
    <w:p>
      <w:pPr>
        <w:spacing w:line="360" w:lineRule="auto"/>
        <w:ind w:firstLine="420" w:firstLineChars="200"/>
        <w:rPr>
          <w:rFonts w:hint="eastAsia" w:ascii="宋体" w:hAnsi="宋体"/>
        </w:rPr>
      </w:pPr>
      <w:r>
        <w:rPr>
          <w:rFonts w:hint="eastAsia" w:ascii="宋体" w:hAnsi="宋体"/>
        </w:rPr>
        <w:t>16.2 竞标有效期应由供应商按“供应商须知前附表”规定的期限作出响应。</w:t>
      </w:r>
    </w:p>
    <w:p>
      <w:pPr>
        <w:spacing w:line="360" w:lineRule="auto"/>
        <w:ind w:firstLine="420" w:firstLineChars="200"/>
        <w:rPr>
          <w:rFonts w:hint="eastAsia" w:ascii="宋体" w:hAnsi="宋体"/>
        </w:rPr>
      </w:pPr>
      <w:r>
        <w:rPr>
          <w:rFonts w:hint="eastAsia" w:ascii="宋体" w:hAnsi="宋体"/>
        </w:rPr>
        <w:t>16.3供应商的响应文件在竞标有效期内均保持有效。</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17.磋商保证金</w:t>
      </w:r>
    </w:p>
    <w:p>
      <w:pPr>
        <w:spacing w:line="360" w:lineRule="auto"/>
        <w:ind w:firstLine="420" w:firstLineChars="200"/>
        <w:rPr>
          <w:rFonts w:hint="eastAsia" w:ascii="宋体" w:hAnsi="宋体"/>
          <w:szCs w:val="21"/>
        </w:rPr>
      </w:pPr>
      <w:r>
        <w:rPr>
          <w:rFonts w:hint="eastAsia" w:ascii="宋体" w:hAnsi="宋体"/>
        </w:rPr>
        <w:t>详见“供应商须知前附表”。</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18.响应文件编制的要求</w:t>
      </w:r>
    </w:p>
    <w:p>
      <w:pPr>
        <w:spacing w:line="360" w:lineRule="auto"/>
        <w:ind w:firstLine="420" w:firstLineChars="200"/>
        <w:rPr>
          <w:rFonts w:hint="eastAsia" w:ascii="宋体" w:hAnsi="宋体"/>
          <w:szCs w:val="21"/>
        </w:rPr>
      </w:pPr>
      <w:r>
        <w:rPr>
          <w:rFonts w:hint="eastAsia" w:ascii="宋体" w:hAnsi="宋体"/>
        </w:rPr>
        <w:t>18.1各供应商在编制响应文件时请按照磋商文件“第五章 响应文件格式”规定的格式进行，混乱的编排导致响应文件被误读或磋商小组查找不到有效文件是供应商的风险。不完整、编排混乱导致响应文件被误读、漏读或者查找不到相关内容的，由此引发的后果由供应商承担。</w:t>
      </w:r>
    </w:p>
    <w:p>
      <w:pPr>
        <w:spacing w:line="360" w:lineRule="auto"/>
        <w:ind w:firstLine="420" w:firstLineChars="200"/>
        <w:rPr>
          <w:rFonts w:hint="eastAsia" w:ascii="宋体" w:hAnsi="宋体"/>
        </w:rPr>
      </w:pPr>
      <w:r>
        <w:rPr>
          <w:rFonts w:hint="eastAsia" w:ascii="宋体" w:hAnsi="宋体"/>
        </w:rPr>
        <w:t>18.2响应文件应按资格证明、报价分别编制，商务技术文件合并编制，本磋商只接受电子版响应文件，要求见本章“12.2响应文件电子版要求”。</w:t>
      </w:r>
    </w:p>
    <w:p>
      <w:pPr>
        <w:spacing w:line="360" w:lineRule="auto"/>
        <w:ind w:firstLine="420" w:firstLineChars="200"/>
        <w:rPr>
          <w:rFonts w:hint="eastAsia" w:ascii="宋体" w:hAnsi="宋体"/>
        </w:rPr>
      </w:pPr>
      <w:r>
        <w:rPr>
          <w:rFonts w:hint="eastAsia" w:ascii="宋体" w:hAnsi="宋体"/>
        </w:rPr>
        <w:t>18.</w:t>
      </w:r>
      <w:bookmarkStart w:id="143" w:name="_Hlk65832699"/>
      <w:r>
        <w:rPr>
          <w:rFonts w:hint="eastAsia" w:ascii="宋体" w:hAnsi="宋体"/>
        </w:rPr>
        <w:t>3响应文件须由供应商在</w:t>
      </w:r>
      <w:bookmarkEnd w:id="143"/>
      <w:r>
        <w:rPr>
          <w:rFonts w:hint="eastAsia" w:ascii="宋体" w:hAnsi="宋体" w:cs="仿宋_GB2312"/>
          <w:kern w:val="0"/>
        </w:rPr>
        <w:t>“</w:t>
      </w:r>
      <w:r>
        <w:rPr>
          <w:rFonts w:hint="eastAsia" w:ascii="宋体" w:hAnsi="宋体"/>
        </w:rPr>
        <w:t>第五章 响应文件格式</w:t>
      </w:r>
      <w:r>
        <w:rPr>
          <w:rFonts w:hint="eastAsia" w:ascii="宋体" w:hAnsi="宋体" w:cs="仿宋_GB2312"/>
          <w:kern w:val="0"/>
        </w:rPr>
        <w:t>”</w:t>
      </w:r>
      <w:r>
        <w:rPr>
          <w:rFonts w:hint="eastAsia" w:ascii="宋体" w:hAnsi="宋体"/>
        </w:rPr>
        <w:t>规定位置</w:t>
      </w:r>
      <w:r>
        <w:rPr>
          <w:rFonts w:hint="eastAsia" w:ascii="宋体" w:hAnsi="宋体" w:cs="仿宋_GB2312"/>
        </w:rPr>
        <w:t>进行签署、盖章</w:t>
      </w:r>
      <w:r>
        <w:rPr>
          <w:rFonts w:hint="eastAsia" w:ascii="宋体" w:hAnsi="宋体"/>
        </w:rPr>
        <w:t>，否则其响应文件按无效响应处理。骑缝盖公章不视为在规定位置盖章。</w:t>
      </w:r>
    </w:p>
    <w:p>
      <w:pPr>
        <w:spacing w:line="360" w:lineRule="auto"/>
        <w:ind w:firstLine="420" w:firstLineChars="200"/>
        <w:rPr>
          <w:rFonts w:hint="eastAsia" w:ascii="宋体" w:hAnsi="宋体"/>
        </w:rPr>
      </w:pPr>
      <w:r>
        <w:rPr>
          <w:rFonts w:hint="eastAsia" w:ascii="宋体" w:hAnsi="宋体"/>
        </w:rPr>
        <w:t>18.4响应文件中标注的供应商名称应与营业执照（事业单位法人证书、执业许可证、自然人身份证）及电子公章一致，否则其响应文件按无效响应处理。</w:t>
      </w:r>
    </w:p>
    <w:p>
      <w:pPr>
        <w:spacing w:line="360" w:lineRule="auto"/>
        <w:ind w:firstLine="420" w:firstLineChars="200"/>
        <w:rPr>
          <w:rFonts w:hint="eastAsia" w:ascii="宋体" w:hAnsi="宋体"/>
        </w:rPr>
      </w:pPr>
      <w:r>
        <w:rPr>
          <w:rFonts w:hint="eastAsia" w:ascii="宋体" w:hAnsi="宋体"/>
        </w:rPr>
        <w:t>18.5响应文件应避免涂改、行间插字或者删除，否则其响应文件按无效响应处理。</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19.响应文件的密封和标记</w:t>
      </w:r>
    </w:p>
    <w:p>
      <w:pPr>
        <w:spacing w:line="360" w:lineRule="auto"/>
        <w:ind w:firstLine="420" w:firstLineChars="200"/>
        <w:rPr>
          <w:rFonts w:hint="eastAsia" w:ascii="宋体" w:hAnsi="宋体" w:cs="仿宋_GB2312"/>
          <w:kern w:val="0"/>
          <w:szCs w:val="21"/>
        </w:rPr>
      </w:pPr>
      <w:r>
        <w:rPr>
          <w:rFonts w:hint="eastAsia" w:ascii="宋体" w:hAnsi="宋体" w:cs="仿宋_GB2312"/>
          <w:kern w:val="0"/>
        </w:rPr>
        <w:t>19.1供应商进行电子交易应安装客户端软件—“政采云电子交易客户端”，并按照磋商文件和电子交易平台的要求编制并加密响应文件。供应商未按规定加密的响应文件，电子交易平台将拒收并提示。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20" w:firstLineChars="200"/>
        <w:rPr>
          <w:rFonts w:hint="eastAsia" w:ascii="宋体" w:hAnsi="宋体" w:cs="仿宋_GB2312"/>
          <w:kern w:val="0"/>
        </w:rPr>
      </w:pPr>
      <w:r>
        <w:rPr>
          <w:rFonts w:hint="eastAsia" w:ascii="宋体" w:hAnsi="宋体" w:cs="仿宋_GB2312"/>
          <w:kern w:val="0"/>
        </w:rPr>
        <w:t>19.2使用“政采云电子交易客户端”需要提前申领CA数字证书，申领流程见该项目采购公告附件。</w:t>
      </w:r>
    </w:p>
    <w:p>
      <w:pPr>
        <w:pStyle w:val="17"/>
        <w:widowControl/>
        <w:spacing w:line="360" w:lineRule="auto"/>
        <w:ind w:firstLine="420" w:firstLineChars="200"/>
        <w:rPr>
          <w:rFonts w:hint="eastAsia" w:hAnsi="宋体" w:cs="仿宋_GB2312"/>
          <w:sz w:val="21"/>
        </w:rPr>
      </w:pPr>
      <w:r>
        <w:rPr>
          <w:rFonts w:hint="eastAsia" w:hAnsi="宋体" w:cs="仿宋_GB2312"/>
          <w:sz w:val="21"/>
        </w:rPr>
        <w:t>19.3为确保网上操作合法、有效和安全，供应商应当在响应文件提交截止时间前完成在“政府采购云平台”的身份认证，确保在电子交易过程中能够对相关数据电文进行加密和使用电子签名。</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20.响应文件的提交</w:t>
      </w:r>
    </w:p>
    <w:p>
      <w:pPr>
        <w:spacing w:line="360" w:lineRule="auto"/>
        <w:ind w:firstLine="420" w:firstLineChars="200"/>
        <w:rPr>
          <w:rFonts w:hint="eastAsia" w:ascii="宋体" w:hAnsi="宋体"/>
          <w:szCs w:val="21"/>
        </w:rPr>
      </w:pPr>
      <w:r>
        <w:rPr>
          <w:rFonts w:hint="eastAsia" w:ascii="宋体" w:hAnsi="宋体"/>
        </w:rPr>
        <w:t>20.1供应商必须在“供应商须知前附表”规定的时间和地点提交响应文件。</w:t>
      </w:r>
    </w:p>
    <w:p>
      <w:pPr>
        <w:spacing w:line="360" w:lineRule="auto"/>
        <w:ind w:firstLine="420" w:firstLineChars="200"/>
        <w:rPr>
          <w:rFonts w:hint="eastAsia" w:ascii="宋体" w:hAnsi="宋体"/>
        </w:rPr>
      </w:pPr>
      <w:r>
        <w:rPr>
          <w:rFonts w:hint="eastAsia" w:ascii="宋体" w:hAnsi="宋体"/>
        </w:rPr>
        <w:t>20.2 在响应文件提交截止时间以后，不能补充、修改响应文件。</w:t>
      </w:r>
    </w:p>
    <w:p>
      <w:pPr>
        <w:spacing w:line="360" w:lineRule="auto"/>
        <w:ind w:firstLine="420" w:firstLineChars="200"/>
        <w:rPr>
          <w:rFonts w:hint="eastAsia" w:ascii="宋体" w:hAnsi="宋体"/>
        </w:rPr>
      </w:pPr>
      <w:r>
        <w:rPr>
          <w:rFonts w:hint="eastAsia" w:ascii="宋体" w:hAnsi="宋体"/>
        </w:rPr>
        <w:t>20.3 在提交“最后报价”后，供应商不能退出谈判。</w:t>
      </w:r>
    </w:p>
    <w:p>
      <w:pPr>
        <w:spacing w:line="360" w:lineRule="auto"/>
        <w:ind w:firstLine="420" w:firstLineChars="200"/>
        <w:rPr>
          <w:rFonts w:hint="eastAsia" w:ascii="宋体" w:hAnsi="宋体"/>
        </w:rPr>
      </w:pPr>
      <w:r>
        <w:rPr>
          <w:rFonts w:hint="eastAsia" w:ascii="宋体" w:hAnsi="宋体"/>
        </w:rPr>
        <w:t>20.4 电子交易平台收到响应文件，将妥善保存并即时向供应商发出确认回执通知。在响应文件提交截止时间前，除供应商补充、修改或者撤回响应文件外，任何单位和个人不得解密或提取响应文件。</w:t>
      </w:r>
    </w:p>
    <w:p>
      <w:pPr>
        <w:spacing w:line="360" w:lineRule="auto"/>
        <w:ind w:firstLine="420" w:firstLineChars="200"/>
        <w:rPr>
          <w:rFonts w:hint="eastAsia" w:ascii="宋体" w:hAnsi="宋体"/>
        </w:rPr>
      </w:pPr>
      <w:r>
        <w:rPr>
          <w:rFonts w:hint="eastAsia" w:ascii="宋体" w:hAnsi="宋体"/>
        </w:rPr>
        <w:t>20.5 采购机构不可视情况延长提交响应文件的截止时间。</w:t>
      </w:r>
    </w:p>
    <w:p>
      <w:pPr>
        <w:spacing w:line="360" w:lineRule="auto"/>
        <w:ind w:firstLine="420" w:firstLineChars="200"/>
        <w:rPr>
          <w:rFonts w:hint="eastAsia" w:ascii="黑体" w:hAnsi="宋体" w:eastAsia="黑体"/>
          <w:sz w:val="24"/>
        </w:rPr>
      </w:pPr>
      <w:r>
        <w:rPr>
          <w:rFonts w:hint="eastAsia" w:ascii="宋体" w:hAnsi="宋体"/>
        </w:rPr>
        <w:t>20.6备份响应文件。</w:t>
      </w:r>
      <w:r>
        <w:rPr>
          <w:rFonts w:hint="eastAsia" w:ascii="宋体" w:hAnsi="宋体"/>
          <w:bCs/>
        </w:rPr>
        <w:t>详见在“供应商须知前附表”。</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21.首次响应文件的补充、修改与撤回</w:t>
      </w:r>
    </w:p>
    <w:p>
      <w:pPr>
        <w:spacing w:line="360" w:lineRule="auto"/>
        <w:ind w:firstLine="420" w:firstLineChars="200"/>
        <w:rPr>
          <w:rFonts w:hint="eastAsia" w:ascii="宋体" w:hAnsi="宋体"/>
          <w:szCs w:val="21"/>
        </w:rPr>
      </w:pPr>
      <w:r>
        <w:rPr>
          <w:rFonts w:hint="eastAsia" w:ascii="宋体" w:hAnsi="宋体"/>
        </w:rPr>
        <w:t>详见“供应商须知前附表”。</w:t>
      </w:r>
    </w:p>
    <w:p>
      <w:pPr>
        <w:spacing w:line="360" w:lineRule="auto"/>
        <w:ind w:firstLine="482" w:firstLineChars="200"/>
        <w:rPr>
          <w:rFonts w:hint="eastAsia" w:ascii="黑体" w:hAnsi="宋体" w:eastAsia="黑体" w:cs="宋体"/>
          <w:b/>
          <w:bCs/>
          <w:sz w:val="24"/>
        </w:rPr>
      </w:pPr>
      <w:bookmarkStart w:id="144" w:name="_Hlk45702405"/>
      <w:bookmarkEnd w:id="144"/>
      <w:r>
        <w:rPr>
          <w:rFonts w:hint="eastAsia" w:ascii="黑体" w:hAnsi="黑体" w:eastAsia="黑体" w:cs="宋体"/>
          <w:b/>
          <w:bCs/>
          <w:sz w:val="24"/>
        </w:rPr>
        <w:t>22. 首次响应文件的退回</w:t>
      </w:r>
    </w:p>
    <w:p>
      <w:pPr>
        <w:spacing w:line="360" w:lineRule="auto"/>
        <w:ind w:firstLine="420" w:firstLineChars="200"/>
        <w:rPr>
          <w:rFonts w:hint="eastAsia" w:ascii="宋体" w:hAnsi="宋体"/>
          <w:szCs w:val="21"/>
        </w:rPr>
      </w:pPr>
      <w:r>
        <w:rPr>
          <w:rFonts w:hint="eastAsia" w:ascii="宋体" w:hAnsi="宋体"/>
        </w:rPr>
        <w:t>在首次响应文件提交截止时间止提交响应文件的供应商不足3家时电子响应文件由代理机构在“政采云”平台操作退回，除此之外采购人和采购代理机构对已提交的电子响应文件概不退回。</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23. 截止时间后的撤回</w:t>
      </w:r>
    </w:p>
    <w:p>
      <w:pPr>
        <w:spacing w:line="360" w:lineRule="auto"/>
        <w:ind w:firstLine="420" w:firstLineChars="200"/>
        <w:rPr>
          <w:rFonts w:hint="eastAsia" w:ascii="宋体" w:hAnsi="宋体"/>
          <w:szCs w:val="21"/>
        </w:rPr>
      </w:pPr>
      <w:r>
        <w:rPr>
          <w:rFonts w:hint="eastAsia" w:ascii="宋体" w:hAnsi="宋体"/>
        </w:rPr>
        <w:t>供应商在首次响应文件提交截止时间后可向采购人、采购代理机构书面申请撤回电子响应文件。</w:t>
      </w:r>
    </w:p>
    <w:p>
      <w:pPr>
        <w:pStyle w:val="4"/>
        <w:keepLines w:val="0"/>
        <w:widowControl/>
        <w:spacing w:before="0" w:after="0" w:line="360" w:lineRule="auto"/>
        <w:ind w:firstLine="640" w:firstLineChars="200"/>
        <w:rPr>
          <w:rFonts w:hint="eastAsia" w:ascii="宋体" w:hAnsi="宋体"/>
          <w:b w:val="0"/>
          <w:bCs w:val="0"/>
        </w:rPr>
      </w:pPr>
      <w:r>
        <w:rPr>
          <w:rFonts w:hint="eastAsia" w:ascii="宋体" w:hAnsi="宋体"/>
          <w:b w:val="0"/>
          <w:bCs w:val="0"/>
        </w:rPr>
        <w:t xml:space="preserve">  </w:t>
      </w:r>
      <w:bookmarkStart w:id="145" w:name="_Toc80886933"/>
      <w:r>
        <w:rPr>
          <w:rFonts w:hint="eastAsia" w:ascii="宋体" w:hAnsi="宋体"/>
          <w:b w:val="0"/>
          <w:bCs w:val="0"/>
        </w:rPr>
        <w:t>四、评审及磋商</w:t>
      </w:r>
      <w:bookmarkEnd w:id="145"/>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24.磋商小组成立</w:t>
      </w:r>
    </w:p>
    <w:p>
      <w:pPr>
        <w:spacing w:line="360" w:lineRule="auto"/>
        <w:ind w:firstLine="420" w:firstLineChars="200"/>
        <w:rPr>
          <w:rFonts w:hint="eastAsia" w:ascii="宋体" w:hAnsi="宋体"/>
          <w:szCs w:val="21"/>
        </w:rPr>
      </w:pPr>
      <w:r>
        <w:rPr>
          <w:rFonts w:hint="eastAsia" w:ascii="宋体" w:hAnsi="宋体"/>
        </w:rPr>
        <w:t>24.1磋商小组由采购人代表和评审专家共3人以上单数组成，其中评审专家人数不得少于磋商小组成员总数的2/3。采购人代表不得以评审专家身份参加本部门或者本单位采购项目的评审。采购代理机构人员不得参加本机构代理的采购项目的评审。达到公开招标数额标准的货物或者服务采购项目，或者达到公开招标规模标准的政府采购工程，经批准采用竞争性磋商方式采购的，磋商小组由5人以上单数组成。</w:t>
      </w:r>
    </w:p>
    <w:p>
      <w:pPr>
        <w:spacing w:line="360" w:lineRule="auto"/>
        <w:ind w:firstLine="420" w:firstLineChars="200"/>
        <w:rPr>
          <w:rFonts w:hint="eastAsia" w:ascii="宋体" w:hAnsi="宋体"/>
        </w:rPr>
      </w:pPr>
      <w:r>
        <w:rPr>
          <w:rFonts w:hint="eastAsia" w:ascii="宋体" w:hAnsi="宋体"/>
        </w:rPr>
        <w:t>24.2评审专家应当从政府采购评审专家库内相关专业的专家名单中随机抽取。市场竞争不充分的科研项目，以及需要扶持的科技成果转化项目，以及情况特殊、通过随机方式难以确定合适的评审专家的项目，经主管预算单位同意，可以自行选定评审专家。技术复杂、专业性强的采购项目，评审专家中应当包含1名法律专家。</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25.首次响应文件的开启</w:t>
      </w:r>
    </w:p>
    <w:p>
      <w:pPr>
        <w:spacing w:line="360" w:lineRule="auto"/>
        <w:ind w:firstLine="420" w:firstLineChars="200"/>
        <w:rPr>
          <w:rFonts w:hint="eastAsia" w:ascii="宋体" w:hAnsi="宋体"/>
          <w:szCs w:val="21"/>
        </w:rPr>
      </w:pPr>
      <w:r>
        <w:rPr>
          <w:rFonts w:hint="eastAsia" w:ascii="宋体" w:hAnsi="宋体"/>
        </w:rPr>
        <w:t>25.1首次响应文件由磋商小组或者采购代理机构在“供应商须知前附表”规定的时间开启。</w:t>
      </w:r>
    </w:p>
    <w:p>
      <w:pPr>
        <w:pStyle w:val="17"/>
        <w:widowControl/>
        <w:spacing w:line="360" w:lineRule="auto"/>
        <w:ind w:firstLine="420" w:firstLineChars="200"/>
        <w:rPr>
          <w:rFonts w:hint="eastAsia" w:hAnsi="宋体"/>
          <w:bCs/>
          <w:sz w:val="21"/>
        </w:rPr>
      </w:pPr>
      <w:r>
        <w:rPr>
          <w:rFonts w:hint="eastAsia" w:hAnsi="宋体"/>
          <w:sz w:val="21"/>
        </w:rPr>
        <w:t xml:space="preserve">25.2 </w:t>
      </w:r>
      <w:r>
        <w:rPr>
          <w:rFonts w:hint="eastAsia" w:hAnsi="宋体"/>
          <w:bCs/>
          <w:sz w:val="21"/>
        </w:rPr>
        <w:t>响应文件解密</w:t>
      </w:r>
    </w:p>
    <w:p>
      <w:pPr>
        <w:pStyle w:val="17"/>
        <w:widowControl/>
        <w:snapToGrid w:val="0"/>
        <w:spacing w:line="360" w:lineRule="auto"/>
        <w:ind w:firstLine="420" w:firstLineChars="200"/>
        <w:rPr>
          <w:rFonts w:hint="eastAsia" w:hAnsi="宋体"/>
          <w:sz w:val="21"/>
        </w:rPr>
      </w:pPr>
      <w:r>
        <w:rPr>
          <w:rFonts w:hint="eastAsia" w:hAnsi="宋体"/>
          <w:bCs/>
          <w:sz w:val="21"/>
        </w:rPr>
        <w:t>采购代理机构将在“供应商须知前附表”规定的时</w:t>
      </w:r>
      <w:r>
        <w:rPr>
          <w:rFonts w:hint="eastAsia" w:hAnsi="宋体"/>
          <w:sz w:val="21"/>
        </w:rPr>
        <w:t>间通过电子交易平台组织响应文件开启，采购机构依托电子交易平台发起开始解密指令，供应商的法定代表人或其委托代理人</w:t>
      </w:r>
      <w:r>
        <w:rPr>
          <w:rFonts w:hint="eastAsia" w:hAnsi="宋体"/>
          <w:b/>
          <w:sz w:val="21"/>
        </w:rPr>
        <w:t>须携带加密时所用的CA锁按平台提示和采购文件的规定登录到“政采云”平台电子开标大厅签到并在发起解密指令之时起30分钟内完成对电子响应文件在线解密</w:t>
      </w:r>
      <w:r>
        <w:rPr>
          <w:rFonts w:hint="eastAsia" w:hAnsi="宋体"/>
          <w:sz w:val="21"/>
        </w:rPr>
        <w:t>。发起解密指令之时起5分钟内供应商还未进行解密的，代理机构要通知供应商，供应商没预留联系方式或预留联系方式无效，导致代理机构无法联系到供应商进行解密的，</w:t>
      </w:r>
      <w:r>
        <w:rPr>
          <w:rFonts w:hint="eastAsia" w:hAnsi="宋体"/>
          <w:b/>
          <w:sz w:val="21"/>
        </w:rPr>
        <w:t>视为响应文件无效。</w:t>
      </w:r>
      <w:r>
        <w:rPr>
          <w:rFonts w:hint="eastAsia" w:hAnsi="宋体"/>
          <w:sz w:val="21"/>
        </w:rPr>
        <w:t>（解密</w:t>
      </w:r>
      <w:r>
        <w:rPr>
          <w:rFonts w:hint="eastAsia" w:hAnsi="宋体"/>
          <w:bCs/>
          <w:sz w:val="21"/>
        </w:rPr>
        <w:t>异常情况处理：详见本章</w:t>
      </w:r>
      <w:r>
        <w:rPr>
          <w:rFonts w:hint="eastAsia" w:hAnsi="宋体"/>
          <w:sz w:val="21"/>
        </w:rPr>
        <w:t>26.3 电子交易活动的中止。）</w:t>
      </w:r>
    </w:p>
    <w:p>
      <w:pPr>
        <w:pStyle w:val="17"/>
        <w:widowControl/>
        <w:spacing w:line="360" w:lineRule="auto"/>
        <w:ind w:firstLine="420" w:firstLineChars="200"/>
        <w:rPr>
          <w:rFonts w:hint="eastAsia"/>
          <w:sz w:val="21"/>
        </w:rPr>
      </w:pPr>
      <w:r>
        <w:rPr>
          <w:rFonts w:hint="eastAsia" w:hAnsi="宋体"/>
          <w:sz w:val="21"/>
        </w:rPr>
        <w:t>如</w:t>
      </w:r>
      <w:r>
        <w:rPr>
          <w:rFonts w:hint="eastAsia" w:hAnsi="宋体"/>
          <w:bCs/>
          <w:sz w:val="21"/>
        </w:rPr>
        <w:t>供应商成功解密响应文件，但未在“政采云”电子开标大厅参加磋商的，视同认可磋商过程和结果，</w:t>
      </w:r>
      <w:r>
        <w:rPr>
          <w:rFonts w:hint="eastAsia" w:hAnsi="宋体"/>
          <w:sz w:val="21"/>
        </w:rPr>
        <w:t>由此产生的后果由供应商自行负责。参与磋商的供应商不足3家的，不得磋商。</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26.评审程序、评审方法和评审标准</w:t>
      </w:r>
    </w:p>
    <w:p>
      <w:pPr>
        <w:spacing w:line="360" w:lineRule="auto"/>
        <w:ind w:firstLine="420" w:firstLineChars="200"/>
        <w:rPr>
          <w:rFonts w:hint="eastAsia" w:ascii="宋体" w:hAnsi="宋体"/>
          <w:szCs w:val="21"/>
        </w:rPr>
      </w:pPr>
      <w:r>
        <w:rPr>
          <w:rFonts w:hint="eastAsia" w:ascii="宋体" w:hAnsi="宋体"/>
        </w:rPr>
        <w:t>26.1磋商小组按照“第四章 评审程序、评审方法和评审标准”规定的方法、评审因素、标准和程序对响应文件进行评审。</w:t>
      </w:r>
    </w:p>
    <w:p>
      <w:pPr>
        <w:spacing w:line="360" w:lineRule="auto"/>
        <w:ind w:firstLine="420" w:firstLineChars="200"/>
        <w:rPr>
          <w:rFonts w:hint="eastAsia" w:ascii="宋体" w:hAnsi="宋体"/>
        </w:rPr>
      </w:pPr>
      <w:r>
        <w:rPr>
          <w:rFonts w:hint="eastAsia" w:ascii="宋体" w:hAnsi="宋体"/>
        </w:rPr>
        <w:t>26.2 磋商文件内容违反国家有关强制性规定的，磋商小组应当停止评审并向采购人或者采购代理机构说明情况，并在评审报告中书面体现。</w:t>
      </w:r>
    </w:p>
    <w:p>
      <w:pPr>
        <w:spacing w:line="360" w:lineRule="auto"/>
        <w:ind w:firstLine="420" w:firstLineChars="200"/>
        <w:rPr>
          <w:rFonts w:hint="eastAsia" w:ascii="宋体" w:hAnsi="宋体"/>
        </w:rPr>
      </w:pPr>
      <w:r>
        <w:rPr>
          <w:rFonts w:hint="eastAsia" w:ascii="宋体" w:hAnsi="宋体"/>
        </w:rPr>
        <w:t>26.3 采购需求负偏离要求及磋商顺序详见 “ 供应商须知前附表”。</w:t>
      </w:r>
    </w:p>
    <w:p>
      <w:pPr>
        <w:spacing w:line="360" w:lineRule="auto"/>
        <w:ind w:firstLine="420" w:firstLineChars="200"/>
        <w:rPr>
          <w:rFonts w:hint="eastAsia" w:ascii="宋体" w:hAnsi="宋体"/>
        </w:rPr>
      </w:pPr>
      <w:r>
        <w:rPr>
          <w:rFonts w:hint="eastAsia" w:ascii="宋体" w:hAnsi="宋体"/>
        </w:rPr>
        <w:t>26.4电子交易活动的中止。采购过程中出现以下情形，导致电子交易平台无法正常运行，或者无法保证电子交易的公平、公正和安全时，采购机构可中止电子交易活动：</w:t>
      </w:r>
    </w:p>
    <w:p>
      <w:pPr>
        <w:spacing w:line="360" w:lineRule="auto"/>
        <w:ind w:firstLine="420" w:firstLineChars="200"/>
        <w:rPr>
          <w:rFonts w:hint="eastAsia" w:ascii="宋体" w:hAnsi="宋体"/>
        </w:rPr>
      </w:pPr>
      <w:r>
        <w:rPr>
          <w:rFonts w:hint="eastAsia" w:ascii="宋体" w:hAnsi="宋体"/>
        </w:rPr>
        <w:t xml:space="preserve">（1）电子交易平台发生故障而无法登录访问的； </w:t>
      </w:r>
    </w:p>
    <w:p>
      <w:pPr>
        <w:spacing w:line="360" w:lineRule="auto"/>
        <w:ind w:firstLine="420" w:firstLineChars="200"/>
        <w:rPr>
          <w:rFonts w:hint="eastAsia" w:ascii="宋体" w:hAnsi="宋体"/>
        </w:rPr>
      </w:pPr>
      <w:r>
        <w:rPr>
          <w:rFonts w:hint="eastAsia" w:ascii="宋体" w:hAnsi="宋体"/>
        </w:rPr>
        <w:t>（2）电子交易平台应用或数据库出现错误，不能进行正常操作的；</w:t>
      </w:r>
    </w:p>
    <w:p>
      <w:pPr>
        <w:spacing w:line="360" w:lineRule="auto"/>
        <w:ind w:firstLine="420" w:firstLineChars="200"/>
        <w:rPr>
          <w:rFonts w:hint="eastAsia" w:ascii="宋体" w:hAnsi="宋体"/>
        </w:rPr>
      </w:pPr>
      <w:r>
        <w:rPr>
          <w:rFonts w:hint="eastAsia" w:ascii="宋体" w:hAnsi="宋体"/>
        </w:rPr>
        <w:t>（3）电子交易平台发现严重安全漏洞，有潜在泄密危险的；</w:t>
      </w:r>
    </w:p>
    <w:p>
      <w:pPr>
        <w:spacing w:line="360" w:lineRule="auto"/>
        <w:ind w:firstLine="420" w:firstLineChars="200"/>
        <w:rPr>
          <w:rFonts w:hint="eastAsia" w:ascii="宋体" w:hAnsi="宋体"/>
        </w:rPr>
      </w:pPr>
      <w:r>
        <w:rPr>
          <w:rFonts w:hint="eastAsia" w:ascii="宋体" w:hAnsi="宋体"/>
        </w:rPr>
        <w:t xml:space="preserve">（4）病毒发作导致不能进行正常操作的； </w:t>
      </w:r>
    </w:p>
    <w:p>
      <w:pPr>
        <w:spacing w:line="360" w:lineRule="auto"/>
        <w:ind w:firstLine="420" w:firstLineChars="200"/>
        <w:rPr>
          <w:rFonts w:hint="eastAsia" w:ascii="宋体" w:hAnsi="宋体"/>
        </w:rPr>
      </w:pPr>
      <w:r>
        <w:rPr>
          <w:rFonts w:hint="eastAsia" w:ascii="宋体" w:hAnsi="宋体"/>
        </w:rPr>
        <w:t>（5）其他无法保证电子交易的公平、公正和安全的情况。</w:t>
      </w:r>
    </w:p>
    <w:p>
      <w:pPr>
        <w:spacing w:line="360" w:lineRule="auto"/>
        <w:ind w:firstLine="420" w:firstLineChars="200"/>
        <w:rPr>
          <w:rFonts w:hint="eastAsia" w:ascii="宋体" w:hAnsi="宋体"/>
        </w:rPr>
      </w:pPr>
      <w:r>
        <w:rPr>
          <w:rFonts w:hint="eastAsia" w:ascii="宋体" w:hAnsi="宋体"/>
        </w:rPr>
        <w:t>26.5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pPr>
        <w:pStyle w:val="4"/>
        <w:keepLines w:val="0"/>
        <w:widowControl/>
        <w:spacing w:before="0" w:after="0" w:line="360" w:lineRule="auto"/>
        <w:ind w:firstLine="480" w:firstLineChars="150"/>
        <w:rPr>
          <w:rFonts w:hint="eastAsia" w:ascii="宋体" w:hAnsi="宋体"/>
          <w:b w:val="0"/>
          <w:bCs w:val="0"/>
        </w:rPr>
      </w:pPr>
      <w:bookmarkStart w:id="146" w:name="_Toc80886934"/>
      <w:bookmarkEnd w:id="146"/>
      <w:r>
        <w:rPr>
          <w:rFonts w:hint="eastAsia" w:ascii="宋体" w:hAnsi="宋体"/>
          <w:b w:val="0"/>
          <w:bCs w:val="0"/>
        </w:rPr>
        <w:t>五、成交及合同</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27.确定成交供应商及结果公告</w:t>
      </w:r>
    </w:p>
    <w:p>
      <w:pPr>
        <w:spacing w:line="360" w:lineRule="auto"/>
        <w:ind w:firstLine="420" w:firstLineChars="200"/>
        <w:rPr>
          <w:rFonts w:hint="eastAsia" w:ascii="宋体" w:hAnsi="宋体"/>
          <w:szCs w:val="21"/>
        </w:rPr>
      </w:pPr>
      <w:r>
        <w:rPr>
          <w:rFonts w:hint="eastAsia" w:ascii="宋体" w:hAnsi="宋体"/>
        </w:rPr>
        <w:t>27.1确定成交供应商。</w:t>
      </w:r>
      <w:r>
        <w:rPr>
          <w:rFonts w:hint="eastAsia" w:ascii="宋体" w:hAnsi="宋体" w:cs="宋体"/>
          <w:kern w:val="0"/>
          <w:szCs w:val="21"/>
          <w:u w:val="single"/>
        </w:rPr>
        <w:t>由采购人直接委托磋商小组确定</w:t>
      </w:r>
      <w:r>
        <w:rPr>
          <w:rFonts w:hint="eastAsia" w:ascii="宋体" w:hAnsi="宋体" w:cs="宋体"/>
          <w:szCs w:val="21"/>
          <w:u w:val="single"/>
        </w:rPr>
        <w:t>，评审报告提出的排序第一的供应商为成交供应商。</w:t>
      </w:r>
    </w:p>
    <w:p>
      <w:pPr>
        <w:spacing w:line="360" w:lineRule="auto"/>
        <w:ind w:firstLine="420" w:firstLineChars="200"/>
        <w:rPr>
          <w:rFonts w:hint="eastAsia" w:ascii="宋体" w:hAnsi="宋体"/>
        </w:rPr>
      </w:pPr>
      <w:r>
        <w:rPr>
          <w:rFonts w:hint="eastAsia" w:ascii="宋体" w:hAnsi="宋体"/>
        </w:rPr>
        <w:t>27.2成交通知及成交结果公告。</w:t>
      </w:r>
      <w:r>
        <w:rPr>
          <w:rFonts w:hint="eastAsia" w:ascii="宋体" w:hAnsi="宋体"/>
          <w:kern w:val="0"/>
        </w:rPr>
        <w:t>成交</w:t>
      </w:r>
      <w:r>
        <w:rPr>
          <w:rFonts w:hint="eastAsia" w:ascii="宋体" w:hAnsi="宋体"/>
        </w:rPr>
        <w:t>供应商确定后2个工作日内，在省级以上财政部门指定的媒体上公</w:t>
      </w:r>
      <w:r>
        <w:rPr>
          <w:rFonts w:hint="eastAsia" w:ascii="宋体" w:hAnsi="宋体"/>
          <w:kern w:val="0"/>
        </w:rPr>
        <w:t>告成交结果，</w:t>
      </w:r>
      <w:r>
        <w:rPr>
          <w:rFonts w:hint="eastAsia" w:ascii="宋体" w:hAnsi="宋体"/>
        </w:rPr>
        <w:t>同时向成交供应商发出成交通知书，成交通知书规定签订合同的时间不得超过25日。</w:t>
      </w:r>
    </w:p>
    <w:p>
      <w:pPr>
        <w:spacing w:line="360" w:lineRule="auto"/>
        <w:ind w:firstLine="420" w:firstLineChars="200"/>
        <w:rPr>
          <w:rFonts w:hint="eastAsia" w:ascii="宋体" w:hAnsi="宋体" w:cs="Courier New"/>
        </w:rPr>
      </w:pPr>
      <w:r>
        <w:rPr>
          <w:rFonts w:hint="eastAsia" w:ascii="宋体" w:hAnsi="宋体"/>
        </w:rPr>
        <w:t>27.3采购人或者采购代理机构发出成交通知书前，应当对成交供应商信用进行查询核实，对列入失信被执行人、重大税收违法案件当事人名单、政府采购严重违法失信行为记录名单及其他不符合《中华人民共和国政府采购法》第二十二条规定条件的供应商，取消其成交资格，并确定排名第二的成交候选人为成交供应商。排名第二的成交候选人因上述规定的同样原因被取消成交资格的，采购人可以确定排名第三的成交候选人为成交供应商，以此类推。以上信息查询记录及相关证据与竞磋文件一并保存。</w:t>
      </w:r>
      <w:r>
        <w:rPr>
          <w:rFonts w:hint="eastAsia" w:ascii="宋体" w:hAnsi="宋体" w:cs="Courier New"/>
        </w:rPr>
        <w:t>成交供应商享受</w:t>
      </w:r>
      <w:r>
        <w:rPr>
          <w:rFonts w:hint="eastAsia" w:ascii="宋体" w:hAnsi="宋体"/>
        </w:rPr>
        <w:t>《政府采购促进中小企业发展管理办法》（财库〔2020〕46号）规定的中小企业扶持</w:t>
      </w:r>
      <w:r>
        <w:rPr>
          <w:rFonts w:hint="eastAsia" w:ascii="宋体" w:hAnsi="宋体" w:cs="Courier New"/>
        </w:rPr>
        <w:t>政策的，采购人、采购代理机构应当随成交结果公开成交供应商的《中小企业声明函》。</w:t>
      </w:r>
    </w:p>
    <w:p>
      <w:pPr>
        <w:spacing w:line="360" w:lineRule="auto"/>
        <w:ind w:firstLine="420" w:firstLineChars="200"/>
        <w:rPr>
          <w:rFonts w:hint="eastAsia" w:ascii="宋体" w:hAnsi="宋体"/>
        </w:rPr>
      </w:pPr>
      <w:r>
        <w:rPr>
          <w:rFonts w:hint="eastAsia" w:ascii="宋体" w:hAnsi="宋体"/>
        </w:rPr>
        <w:t>27.4采购人、采购代理机构认为供应商对采购过程、成交结果提出的质疑成立且影响或者可能影响成交结果的，合格供应商符合法定数量时，可以从合格的成交候选人中另行确定成交供应商的，应当依法另行确定成交供应商；否则应当重新开展采购活动。</w:t>
      </w:r>
    </w:p>
    <w:p>
      <w:pPr>
        <w:spacing w:line="360" w:lineRule="auto"/>
        <w:ind w:firstLine="420" w:firstLineChars="200"/>
        <w:rPr>
          <w:rFonts w:hint="eastAsia" w:ascii="宋体" w:hAnsi="宋体"/>
        </w:rPr>
      </w:pPr>
      <w:r>
        <w:rPr>
          <w:rFonts w:hint="eastAsia" w:ascii="宋体" w:hAnsi="宋体"/>
          <w:bCs/>
        </w:rPr>
        <w:t>27.5</w:t>
      </w:r>
      <w:r>
        <w:rPr>
          <w:rFonts w:hint="eastAsia" w:ascii="宋体" w:hAnsi="宋体"/>
        </w:rPr>
        <w:t>排名第一的成交候选人放弃成交、因不可抗力提出不能履行合同，采购人可以确定排名第二的成交候选人为成交供应商。排名第二的成交候选人因前款规定的同样原因不能签订合同的，采购人可以确定排名第三的成交候选人为成交供应商。</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28.履约保证金</w:t>
      </w:r>
    </w:p>
    <w:p>
      <w:pPr>
        <w:spacing w:line="360" w:lineRule="auto"/>
        <w:ind w:firstLine="420" w:firstLineChars="200"/>
        <w:rPr>
          <w:rFonts w:hint="eastAsia" w:ascii="黑体" w:hAnsi="宋体" w:eastAsia="黑体" w:cs="宋体"/>
          <w:b/>
          <w:bCs/>
          <w:sz w:val="24"/>
        </w:rPr>
      </w:pPr>
      <w:r>
        <w:rPr>
          <w:rFonts w:hint="eastAsia" w:ascii="宋体" w:hAnsi="宋体"/>
        </w:rPr>
        <w:t>详见 “供应商须知前附表”</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29.签订合同</w:t>
      </w:r>
    </w:p>
    <w:p>
      <w:pPr>
        <w:pStyle w:val="78"/>
        <w:widowControl/>
        <w:snapToGrid w:val="0"/>
        <w:spacing w:before="0"/>
        <w:ind w:firstLine="420"/>
        <w:rPr>
          <w:rFonts w:hint="eastAsia" w:ascii="宋体" w:hAnsi="宋体"/>
          <w:sz w:val="21"/>
          <w:szCs w:val="21"/>
        </w:rPr>
      </w:pPr>
      <w:r>
        <w:rPr>
          <w:rFonts w:hint="eastAsia" w:ascii="宋体" w:hAnsi="宋体"/>
          <w:sz w:val="21"/>
          <w:szCs w:val="21"/>
        </w:rPr>
        <w:t>29.1采购人与成交供应商应当在成交通知书规定的时间内，按照磋商文件确定的合同文本以及采购标的、服务技术、采购金额、采购数量、技术和服务要求等事项签订政府采购合同。如成交供应商为联合体的，由联合体成员各方法定代表人或其授权代表与采购人代表签订合同。</w:t>
      </w:r>
    </w:p>
    <w:p>
      <w:pPr>
        <w:spacing w:line="360" w:lineRule="auto"/>
        <w:ind w:firstLine="420" w:firstLineChars="200"/>
        <w:rPr>
          <w:rFonts w:hint="eastAsia" w:ascii="宋体" w:hAnsi="宋体"/>
          <w:szCs w:val="21"/>
        </w:rPr>
      </w:pPr>
      <w:r>
        <w:rPr>
          <w:rFonts w:hint="eastAsia" w:ascii="宋体" w:hAnsi="宋体"/>
        </w:rPr>
        <w:t>29.2采购人不得向成交供应商提出超出磋商文件以外的任何要求作为签订合同的条件，不得与成交供应商订立背离磋商文件确定的合同文本以及采购标的、服务技术、采购金额、采购数量、技术和服务要求等实质性内容的协议。</w:t>
      </w:r>
    </w:p>
    <w:p>
      <w:pPr>
        <w:spacing w:line="360" w:lineRule="auto"/>
        <w:ind w:firstLine="420" w:firstLineChars="200"/>
        <w:rPr>
          <w:rFonts w:hint="eastAsia" w:ascii="宋体" w:hAnsi="宋体"/>
        </w:rPr>
      </w:pPr>
      <w:r>
        <w:rPr>
          <w:rFonts w:hint="eastAsia" w:ascii="宋体" w:hAnsi="宋体"/>
        </w:rPr>
        <w:t>29.3成交供应商拒绝签订政府采购合同的，采购人可以按照评审报告推荐的成交候选人名单排序，确定下一候选人为成交供应商，也可以重新开展采购活动。拒绝签订政府采购合同的成交供应商不得参加对该项目重新开展的采购活动。</w:t>
      </w:r>
    </w:p>
    <w:p>
      <w:pPr>
        <w:spacing w:line="360" w:lineRule="auto"/>
        <w:ind w:firstLine="420" w:firstLineChars="200"/>
        <w:rPr>
          <w:rFonts w:hint="eastAsia" w:ascii="宋体" w:hAnsi="宋体"/>
        </w:rPr>
      </w:pPr>
      <w:r>
        <w:rPr>
          <w:rFonts w:hint="eastAsia" w:ascii="宋体" w:hAnsi="宋体"/>
        </w:rPr>
        <w:t>29.4如签订合同并生效后，供应商无故拒绝或延期，除按照合同条款处理外，列入不良行为记录，并给予通报。</w:t>
      </w:r>
    </w:p>
    <w:p>
      <w:pPr>
        <w:pStyle w:val="78"/>
        <w:widowControl/>
        <w:spacing w:before="0"/>
        <w:ind w:firstLine="420"/>
        <w:rPr>
          <w:rFonts w:hint="eastAsia" w:ascii="宋体" w:hAnsi="宋体"/>
        </w:rPr>
      </w:pPr>
      <w:r>
        <w:rPr>
          <w:rFonts w:hint="eastAsia" w:ascii="宋体" w:hAnsi="宋体" w:cs="仿宋_GB2312"/>
          <w:sz w:val="21"/>
          <w:szCs w:val="21"/>
        </w:rPr>
        <w:t>29.5采购合同由采购人与成交供应商根据</w:t>
      </w:r>
      <w:r>
        <w:rPr>
          <w:rFonts w:hint="eastAsia" w:ascii="宋体" w:hAnsi="宋体"/>
          <w:sz w:val="21"/>
          <w:szCs w:val="21"/>
        </w:rPr>
        <w:t>磋商文件</w:t>
      </w:r>
      <w:r>
        <w:rPr>
          <w:rFonts w:hint="eastAsia" w:ascii="宋体" w:hAnsi="宋体" w:cs="仿宋_GB2312"/>
          <w:sz w:val="21"/>
          <w:szCs w:val="21"/>
        </w:rPr>
        <w:t>、响应文件等内容通过政府采购电子交易平台在线签订，自动备案，在线签订须携带的材料见“</w:t>
      </w:r>
      <w:r>
        <w:t xml:space="preserve"> </w:t>
      </w:r>
      <w:r>
        <w:rPr>
          <w:rFonts w:hint="eastAsia" w:ascii="宋体" w:hAnsi="宋体" w:cs="仿宋_GB2312"/>
          <w:sz w:val="21"/>
          <w:szCs w:val="21"/>
        </w:rPr>
        <w:t>供应商须</w:t>
      </w:r>
      <w:r>
        <w:rPr>
          <w:rFonts w:hint="eastAsia" w:ascii="宋体" w:hAnsi="宋体"/>
          <w:sz w:val="21"/>
          <w:szCs w:val="21"/>
        </w:rPr>
        <w:t>知前附表</w:t>
      </w:r>
      <w:r>
        <w:rPr>
          <w:rFonts w:hint="eastAsia" w:ascii="宋体" w:hAnsi="宋体" w:cs="仿宋_GB2312"/>
          <w:sz w:val="21"/>
          <w:szCs w:val="21"/>
        </w:rPr>
        <w:t>”。</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30.政府采购合同公告</w:t>
      </w:r>
    </w:p>
    <w:p>
      <w:pPr>
        <w:spacing w:line="360" w:lineRule="auto"/>
        <w:ind w:firstLine="420" w:firstLineChars="200"/>
        <w:rPr>
          <w:rFonts w:hint="eastAsia" w:ascii="Calibri" w:hAnsi="宋体"/>
          <w:szCs w:val="21"/>
        </w:rPr>
      </w:pPr>
      <w:r>
        <w:rPr>
          <w:rFonts w:hint="eastAsia" w:ascii="宋体" w:hAnsi="宋体"/>
        </w:rPr>
        <w:t>采购人或者受托采购代理机构应当自政府采购合同签订之日起</w:t>
      </w:r>
      <w:r>
        <w:rPr>
          <w:rFonts w:hAnsi="宋体"/>
        </w:rPr>
        <w:t>2</w:t>
      </w:r>
      <w:r>
        <w:rPr>
          <w:rFonts w:hint="eastAsia" w:ascii="宋体" w:hAnsi="宋体"/>
        </w:rPr>
        <w:t>个工作日内，将政府采购合同</w:t>
      </w:r>
      <w:r>
        <w:rPr>
          <w:rFonts w:hint="eastAsia" w:ascii="宋体" w:hAnsi="宋体"/>
          <w:bCs/>
        </w:rPr>
        <w:t>在以下媒体上发布</w:t>
      </w:r>
      <w:r>
        <w:rPr>
          <w:rFonts w:hint="eastAsia" w:ascii="宋体" w:hAnsi="宋体"/>
          <w:kern w:val="0"/>
        </w:rPr>
        <w:t xml:space="preserve"> “广西政府采购网”（http://zfcg.gxzf.gov.cn）</w:t>
      </w:r>
      <w:r>
        <w:rPr>
          <w:rFonts w:hint="eastAsia" w:ascii="宋体" w:hAnsi="宋体"/>
        </w:rPr>
        <w:t>上公告，但政府采购合同中涉及国家秘密、商业秘密的内容除外。</w:t>
      </w:r>
    </w:p>
    <w:p>
      <w:pPr>
        <w:spacing w:line="360" w:lineRule="auto"/>
        <w:ind w:firstLine="482" w:firstLineChars="200"/>
        <w:rPr>
          <w:rFonts w:ascii="黑体" w:hAnsi="宋体" w:eastAsia="黑体" w:cs="宋体"/>
          <w:b/>
          <w:bCs/>
          <w:sz w:val="24"/>
        </w:rPr>
      </w:pPr>
      <w:r>
        <w:rPr>
          <w:rFonts w:hint="eastAsia" w:ascii="黑体" w:hAnsi="黑体" w:eastAsia="黑体" w:cs="宋体"/>
          <w:b/>
          <w:bCs/>
          <w:sz w:val="24"/>
        </w:rPr>
        <w:t>31. 询问、质疑和投诉</w:t>
      </w:r>
    </w:p>
    <w:p>
      <w:pPr>
        <w:spacing w:line="360" w:lineRule="auto"/>
        <w:ind w:firstLine="420" w:firstLineChars="200"/>
        <w:rPr>
          <w:rFonts w:hint="eastAsia" w:ascii="宋体" w:hAnsi="宋体"/>
          <w:szCs w:val="21"/>
        </w:rPr>
      </w:pPr>
      <w:r>
        <w:rPr>
          <w:rFonts w:hint="eastAsia" w:ascii="宋体" w:hAnsi="宋体"/>
        </w:rPr>
        <w:t>31.1供应商对政府采购活动事项有疑问的，可以向采购人、采购代理机构提出询问，采购人或者采购代理机构应当在3个工作日内对供应商依法提出的询问作出答复。</w:t>
      </w:r>
    </w:p>
    <w:p>
      <w:pPr>
        <w:spacing w:line="360" w:lineRule="auto"/>
        <w:ind w:firstLine="420" w:firstLineChars="200"/>
        <w:rPr>
          <w:rFonts w:hint="eastAsia" w:ascii="宋体" w:hAnsi="宋体"/>
          <w:b/>
        </w:rPr>
      </w:pPr>
      <w:r>
        <w:rPr>
          <w:rFonts w:hint="eastAsia" w:ascii="宋体" w:hAnsi="宋体"/>
        </w:rPr>
        <w:t>31.2供应商认为磋商文件、采购过程或者成交结果使自己的合法权益受到损害的，应当在知道或者应知其权益受到损害之日起7个工作日内，以书面形式向采购人、采购代理机构提出质疑，</w:t>
      </w:r>
      <w:r>
        <w:rPr>
          <w:rFonts w:hint="eastAsia" w:ascii="宋体" w:hAnsi="宋体" w:cs="Arial"/>
          <w:shd w:val="clear" w:color="auto" w:fill="FFFFFF"/>
        </w:rPr>
        <w:t>接收质疑函的方式、联系部门、联系电话和通讯地址等信息详见</w:t>
      </w:r>
      <w:r>
        <w:rPr>
          <w:rFonts w:hint="eastAsia" w:ascii="宋体" w:hAnsi="宋体"/>
        </w:rPr>
        <w:t>“供应商须知前附表”。</w:t>
      </w:r>
      <w:r>
        <w:rPr>
          <w:rFonts w:hint="eastAsia" w:ascii="宋体" w:hAnsi="宋体"/>
          <w:b/>
        </w:rPr>
        <w:t xml:space="preserve">具体质疑起算时间及处理方式如下： </w:t>
      </w:r>
    </w:p>
    <w:p>
      <w:pPr>
        <w:spacing w:line="360" w:lineRule="auto"/>
        <w:ind w:firstLine="420" w:firstLineChars="200"/>
        <w:rPr>
          <w:rFonts w:hint="eastAsia" w:ascii="Calibri" w:hAnsi="宋体"/>
          <w:bCs/>
        </w:rPr>
      </w:pPr>
      <w:r>
        <w:rPr>
          <w:rFonts w:hint="eastAsia" w:ascii="宋体" w:hAnsi="宋体"/>
          <w:bCs/>
        </w:rPr>
        <w:t>（</w:t>
      </w:r>
      <w:r>
        <w:rPr>
          <w:rFonts w:hAnsi="宋体"/>
          <w:bCs/>
        </w:rPr>
        <w:t>1</w:t>
      </w:r>
      <w:r>
        <w:rPr>
          <w:rFonts w:hint="eastAsia" w:ascii="宋体" w:hAnsi="宋体"/>
          <w:bCs/>
        </w:rPr>
        <w:t>）潜在供应商依法获取采购文件后，认为采购文件使自己的权益受到损害的，应当在竞争性磋商采购文件公告期限届满之日起</w:t>
      </w:r>
      <w:r>
        <w:rPr>
          <w:rFonts w:hAnsi="宋体"/>
          <w:bCs/>
        </w:rPr>
        <w:t>7</w:t>
      </w:r>
      <w:r>
        <w:rPr>
          <w:rFonts w:hint="eastAsia" w:ascii="宋体" w:hAnsi="宋体"/>
          <w:bCs/>
        </w:rPr>
        <w:t>个工作日内提出质疑。</w:t>
      </w:r>
      <w:r>
        <w:rPr>
          <w:rFonts w:hint="eastAsia" w:ascii="宋体" w:hAnsi="宋体"/>
        </w:rPr>
        <w:t>委托代理协议无特殊约定的，</w:t>
      </w:r>
      <w:r>
        <w:rPr>
          <w:rFonts w:hint="eastAsia" w:ascii="宋体" w:hAnsi="宋体"/>
          <w:bCs/>
        </w:rPr>
        <w:t>对竞争性磋商文件中采购需求（含资格要求、采购预算和评分办法）的质疑由采购人受理并负责答复；对竞争性磋商文件中的采购执行程序的质疑由采购代理机构受理并负责答复。</w:t>
      </w:r>
    </w:p>
    <w:p>
      <w:pPr>
        <w:spacing w:line="360" w:lineRule="auto"/>
        <w:ind w:firstLine="420" w:firstLineChars="200"/>
        <w:rPr>
          <w:rFonts w:hAnsi="宋体"/>
          <w:bCs/>
        </w:rPr>
      </w:pPr>
      <w:r>
        <w:rPr>
          <w:rFonts w:hint="eastAsia" w:ascii="宋体" w:hAnsi="宋体"/>
          <w:bCs/>
        </w:rPr>
        <w:t>（</w:t>
      </w:r>
      <w:r>
        <w:rPr>
          <w:rFonts w:hAnsi="宋体"/>
          <w:bCs/>
        </w:rPr>
        <w:t>2</w:t>
      </w:r>
      <w:r>
        <w:rPr>
          <w:rFonts w:hint="eastAsia" w:ascii="宋体" w:hAnsi="宋体"/>
          <w:bCs/>
        </w:rPr>
        <w:t>）供应商认为采购过程使自己的权益受到损害的，应当在各采购程序环节结束之日起</w:t>
      </w:r>
      <w:r>
        <w:rPr>
          <w:rFonts w:hAnsi="宋体"/>
          <w:bCs/>
        </w:rPr>
        <w:t>7</w:t>
      </w:r>
      <w:r>
        <w:rPr>
          <w:rFonts w:hint="eastAsia" w:ascii="宋体" w:hAnsi="宋体"/>
          <w:bCs/>
        </w:rPr>
        <w:t>个工作日内提出质疑。对采购过程中资格审查、符合性审查等具体评审情况的质疑应向采购人或代理机构提出，由采购人或代理机构受理并负责答复；对采购过程中采购执行程序的质疑由采购代理机构受理并负责答复。</w:t>
      </w:r>
    </w:p>
    <w:p>
      <w:pPr>
        <w:spacing w:line="360" w:lineRule="auto"/>
        <w:ind w:firstLine="420" w:firstLineChars="200"/>
        <w:rPr>
          <w:rFonts w:hAnsi="宋体"/>
          <w:bCs/>
        </w:rPr>
      </w:pPr>
      <w:r>
        <w:rPr>
          <w:rFonts w:hint="eastAsia" w:ascii="宋体" w:hAnsi="宋体"/>
          <w:bCs/>
        </w:rPr>
        <w:t>（</w:t>
      </w:r>
      <w:r>
        <w:rPr>
          <w:rFonts w:hAnsi="宋体"/>
          <w:bCs/>
        </w:rPr>
        <w:t>3</w:t>
      </w:r>
      <w:r>
        <w:rPr>
          <w:rFonts w:hint="eastAsia" w:ascii="宋体" w:hAnsi="宋体"/>
          <w:bCs/>
        </w:rPr>
        <w:t>）供应商认为成交结果使自己的权益受到损害的，应当在成交结果公告期限届满之日起</w:t>
      </w:r>
      <w:r>
        <w:rPr>
          <w:rFonts w:hAnsi="宋体"/>
          <w:bCs/>
        </w:rPr>
        <w:t>7</w:t>
      </w:r>
      <w:r>
        <w:rPr>
          <w:rFonts w:hint="eastAsia" w:ascii="宋体" w:hAnsi="宋体"/>
          <w:bCs/>
        </w:rPr>
        <w:t>个工作日内提出质疑，由采购人受理并负责答复。</w:t>
      </w:r>
    </w:p>
    <w:p>
      <w:pPr>
        <w:spacing w:line="360" w:lineRule="auto"/>
        <w:ind w:firstLine="420" w:firstLineChars="200"/>
        <w:rPr>
          <w:rFonts w:ascii="宋体" w:hAnsi="宋体"/>
        </w:rPr>
      </w:pPr>
      <w:r>
        <w:rPr>
          <w:rFonts w:hint="eastAsia" w:ascii="宋体" w:hAnsi="宋体"/>
        </w:rPr>
        <w:t>31.3供应商提出的询问或者质疑超出采购人对采购代理机构委托授权范围的，采购代理机构应当告知供应商向采购人提出。政府采购评审专家应当配合采购人或者采购代理机构答复供应商的询问和质疑。</w:t>
      </w:r>
    </w:p>
    <w:p>
      <w:pPr>
        <w:spacing w:line="360" w:lineRule="auto"/>
        <w:ind w:firstLine="420" w:firstLineChars="200"/>
        <w:rPr>
          <w:rFonts w:hint="eastAsia" w:ascii="宋体" w:hAnsi="宋体"/>
        </w:rPr>
      </w:pPr>
      <w:r>
        <w:rPr>
          <w:rFonts w:hint="eastAsia" w:ascii="宋体" w:hAnsi="宋体"/>
        </w:rPr>
        <w:t>31.4 供应商提出质疑应当提交质疑函和必要的证明材料，针对同一采购程序环节的质疑必须在法定质疑期内一次性提出。质疑函应当包括下列内容</w:t>
      </w:r>
      <w:r>
        <w:rPr>
          <w:rFonts w:hint="eastAsia" w:ascii="宋体" w:hAnsi="宋体"/>
          <w:bCs/>
        </w:rPr>
        <w:t>（质疑函格式后附）</w:t>
      </w:r>
      <w:r>
        <w:rPr>
          <w:rFonts w:hint="eastAsia" w:ascii="宋体" w:hAnsi="宋体"/>
        </w:rPr>
        <w:t>：</w:t>
      </w:r>
    </w:p>
    <w:p>
      <w:pPr>
        <w:spacing w:line="360" w:lineRule="auto"/>
        <w:ind w:firstLine="420" w:firstLineChars="200"/>
        <w:rPr>
          <w:rFonts w:hint="eastAsia" w:ascii="宋体" w:hAnsi="宋体"/>
        </w:rPr>
      </w:pPr>
      <w:r>
        <w:rPr>
          <w:rFonts w:hint="eastAsia" w:ascii="宋体" w:hAnsi="宋体"/>
        </w:rPr>
        <w:t>（1）供应商的姓名或者名称、地址、邮编、联系人及联系电话；</w:t>
      </w:r>
    </w:p>
    <w:p>
      <w:pPr>
        <w:spacing w:line="360" w:lineRule="auto"/>
        <w:ind w:firstLine="420" w:firstLineChars="200"/>
        <w:rPr>
          <w:rFonts w:hint="eastAsia" w:ascii="宋体" w:hAnsi="宋体"/>
        </w:rPr>
      </w:pPr>
      <w:r>
        <w:rPr>
          <w:rFonts w:hint="eastAsia" w:ascii="宋体" w:hAnsi="宋体"/>
        </w:rPr>
        <w:t>（2）质疑项目的名称、编号；</w:t>
      </w:r>
    </w:p>
    <w:p>
      <w:pPr>
        <w:spacing w:line="360" w:lineRule="auto"/>
        <w:ind w:firstLine="420" w:firstLineChars="200"/>
        <w:rPr>
          <w:rFonts w:hint="eastAsia" w:ascii="宋体" w:hAnsi="宋体"/>
        </w:rPr>
      </w:pPr>
      <w:r>
        <w:rPr>
          <w:rFonts w:hint="eastAsia" w:ascii="宋体" w:hAnsi="宋体"/>
        </w:rPr>
        <w:t>（3）具体、明确的质疑事项和与质疑事项相关的请求；</w:t>
      </w:r>
    </w:p>
    <w:p>
      <w:pPr>
        <w:spacing w:line="360" w:lineRule="auto"/>
        <w:ind w:firstLine="420" w:firstLineChars="200"/>
        <w:rPr>
          <w:rFonts w:hint="eastAsia" w:ascii="宋体" w:hAnsi="宋体"/>
        </w:rPr>
      </w:pPr>
      <w:r>
        <w:rPr>
          <w:rFonts w:hint="eastAsia" w:ascii="宋体" w:hAnsi="宋体"/>
        </w:rPr>
        <w:t>（4）事实依据；</w:t>
      </w:r>
    </w:p>
    <w:p>
      <w:pPr>
        <w:spacing w:line="360" w:lineRule="auto"/>
        <w:ind w:firstLine="420" w:firstLineChars="200"/>
        <w:rPr>
          <w:rFonts w:hint="eastAsia" w:ascii="宋体" w:hAnsi="宋体"/>
        </w:rPr>
      </w:pPr>
      <w:r>
        <w:rPr>
          <w:rFonts w:hint="eastAsia" w:ascii="宋体" w:hAnsi="宋体"/>
        </w:rPr>
        <w:t>（5）必要的法律依据；</w:t>
      </w:r>
    </w:p>
    <w:p>
      <w:pPr>
        <w:spacing w:line="360" w:lineRule="auto"/>
        <w:ind w:firstLine="420" w:firstLineChars="200"/>
        <w:rPr>
          <w:rFonts w:hint="eastAsia" w:ascii="宋体" w:hAnsi="宋体"/>
        </w:rPr>
      </w:pPr>
      <w:r>
        <w:rPr>
          <w:rFonts w:hint="eastAsia" w:ascii="宋体" w:hAnsi="宋体"/>
        </w:rPr>
        <w:t>（6）提出质疑的日期。</w:t>
      </w:r>
    </w:p>
    <w:p>
      <w:pPr>
        <w:spacing w:line="360" w:lineRule="auto"/>
        <w:ind w:firstLine="420" w:firstLineChars="200"/>
        <w:rPr>
          <w:rFonts w:hint="eastAsia" w:ascii="宋体" w:hAnsi="宋体"/>
        </w:rPr>
      </w:pPr>
      <w:r>
        <w:rPr>
          <w:rFonts w:hint="eastAsia" w:ascii="宋体" w:hAnsi="宋体"/>
        </w:rPr>
        <w:t>供应商为自然人的，应当由本人签字；供应商为法人或者其他组织的，应当由法定代表人、主要负责人，或者其委托代理人签字或者盖章，并加盖公章。</w:t>
      </w:r>
    </w:p>
    <w:p>
      <w:pPr>
        <w:spacing w:line="360" w:lineRule="auto"/>
        <w:ind w:firstLine="420" w:firstLineChars="200"/>
        <w:rPr>
          <w:rFonts w:hint="eastAsia" w:ascii="宋体" w:hAnsi="宋体"/>
        </w:rPr>
      </w:pPr>
      <w:r>
        <w:rPr>
          <w:rFonts w:hint="eastAsia" w:ascii="宋体" w:hAnsi="宋体"/>
        </w:rPr>
        <w:t>31.5采购人、采购代理机构认为供应商质疑不成立，或者成立但未对成交结果构成影响的，继续开展采购活动；认为供应商质疑成立且影响或者可能影响成交结果的，按照下列情况处理：</w:t>
      </w:r>
    </w:p>
    <w:p>
      <w:pPr>
        <w:spacing w:line="360" w:lineRule="auto"/>
        <w:ind w:firstLine="420" w:firstLineChars="200"/>
        <w:rPr>
          <w:rFonts w:hint="eastAsia" w:ascii="宋体" w:hAnsi="宋体"/>
        </w:rPr>
      </w:pPr>
      <w:r>
        <w:rPr>
          <w:rFonts w:hint="eastAsia" w:ascii="宋体" w:hAnsi="宋体"/>
        </w:rPr>
        <w:t>（一）对采购文件提出的质疑，依法通过澄清或者修改可以继续开展采购活动的，澄清或者修改采购文件后继续开展采购活动；否则应当修改采购文件后重新开展采购活动。</w:t>
      </w:r>
    </w:p>
    <w:p>
      <w:pPr>
        <w:spacing w:line="360" w:lineRule="auto"/>
        <w:ind w:firstLine="420" w:firstLineChars="200"/>
        <w:rPr>
          <w:rFonts w:hint="eastAsia" w:ascii="宋体" w:hAnsi="宋体"/>
        </w:rPr>
      </w:pPr>
      <w:r>
        <w:rPr>
          <w:rFonts w:hint="eastAsia" w:ascii="宋体" w:hAnsi="宋体"/>
        </w:rPr>
        <w:t>（二）对采购过程或者成交结果提出的质疑，合格供应商符合法定数量时，可以从合格的成交候选人中另行确定成交供应商的，应当依法另行确定成交供应商；否则应当重新开展采购活动。</w:t>
      </w:r>
    </w:p>
    <w:p>
      <w:pPr>
        <w:spacing w:line="360" w:lineRule="auto"/>
        <w:ind w:firstLine="420" w:firstLineChars="200"/>
        <w:rPr>
          <w:rFonts w:hint="eastAsia" w:ascii="宋体" w:hAnsi="宋体"/>
        </w:rPr>
      </w:pPr>
      <w:r>
        <w:rPr>
          <w:rFonts w:hint="eastAsia" w:ascii="宋体" w:hAnsi="宋体"/>
        </w:rPr>
        <w:t>质疑答复导致成交结果改变的，采购人或者采购代理机构应当将有关情况书面报告本级财政部门。</w:t>
      </w:r>
    </w:p>
    <w:p>
      <w:pPr>
        <w:spacing w:line="360" w:lineRule="auto"/>
        <w:ind w:firstLine="420" w:firstLineChars="200"/>
        <w:rPr>
          <w:rFonts w:hint="eastAsia" w:ascii="宋体" w:hAnsi="宋体"/>
        </w:rPr>
      </w:pPr>
      <w:r>
        <w:rPr>
          <w:rFonts w:hint="eastAsia" w:ascii="宋体" w:hAnsi="宋体"/>
        </w:rPr>
        <w:t>31.6投诉的权利。质疑供应商对采购人、采购代理机构的答复不满意，或者采购人、采购代理机构未在规定时间内作出答复的，可以在答复期满后15个工作日内向《政府采购质疑和投诉办法》（财政部令第94号）第六条规定的财政部门提起投诉（投诉书格式后附），受理投诉方式见“供应商须知前附表”。</w:t>
      </w:r>
      <w:bookmarkStart w:id="147" w:name="_Toc80205930"/>
      <w:bookmarkEnd w:id="147"/>
    </w:p>
    <w:p>
      <w:pPr>
        <w:pStyle w:val="4"/>
        <w:keepLines w:val="0"/>
        <w:widowControl/>
        <w:spacing w:before="0" w:after="0" w:line="360" w:lineRule="auto"/>
        <w:ind w:firstLine="315" w:firstLineChars="98"/>
        <w:rPr>
          <w:rFonts w:hint="eastAsia" w:ascii="宋体" w:hAnsi="宋体"/>
          <w:b w:val="0"/>
        </w:rPr>
      </w:pPr>
      <w:bookmarkStart w:id="148" w:name="_Toc80886935"/>
      <w:bookmarkEnd w:id="148"/>
      <w:r>
        <w:rPr>
          <w:rFonts w:hint="eastAsia" w:ascii="宋体" w:hAnsi="宋体"/>
        </w:rPr>
        <w:t>六</w:t>
      </w:r>
      <w:r>
        <w:rPr>
          <w:rFonts w:hint="eastAsia" w:ascii="宋体" w:hAnsi="宋体"/>
          <w:b w:val="0"/>
        </w:rPr>
        <w:t>、验收</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32.验收</w:t>
      </w:r>
    </w:p>
    <w:p>
      <w:pPr>
        <w:spacing w:line="360" w:lineRule="auto"/>
        <w:ind w:firstLine="420" w:firstLineChars="200"/>
        <w:rPr>
          <w:rFonts w:hint="eastAsia" w:ascii="宋体" w:hAnsi="宋体" w:cs="Helvetica"/>
          <w:kern w:val="0"/>
          <w:szCs w:val="21"/>
        </w:rPr>
      </w:pPr>
      <w:r>
        <w:rPr>
          <w:rFonts w:hint="eastAsia" w:ascii="宋体" w:hAnsi="宋体" w:cs="Helvetica"/>
          <w:kern w:val="0"/>
        </w:rPr>
        <w:t>32.1采购人会同实际使用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spacing w:line="360" w:lineRule="auto"/>
        <w:ind w:firstLine="420" w:firstLineChars="200"/>
        <w:rPr>
          <w:rFonts w:hint="eastAsia" w:ascii="宋体" w:hAnsi="宋体" w:cs="Helvetica"/>
          <w:kern w:val="0"/>
        </w:rPr>
      </w:pPr>
      <w:r>
        <w:rPr>
          <w:rFonts w:hint="eastAsia" w:ascii="宋体" w:hAnsi="宋体" w:cs="Helvetica"/>
          <w:kern w:val="0"/>
        </w:rPr>
        <w:t>32.2采购人可以邀请参加本项目的其他供应商或者第三方机构参与验收。参与验收的供应商或者第三方机构的意见作为验收书的参考资料一并存档。</w:t>
      </w:r>
    </w:p>
    <w:p>
      <w:pPr>
        <w:spacing w:line="360" w:lineRule="auto"/>
        <w:ind w:firstLine="420" w:firstLineChars="200"/>
        <w:rPr>
          <w:rFonts w:hint="eastAsia" w:ascii="宋体" w:hAnsi="宋体" w:cs="Helvetica"/>
          <w:kern w:val="0"/>
        </w:rPr>
      </w:pPr>
      <w:r>
        <w:rPr>
          <w:rFonts w:hint="eastAsia" w:ascii="宋体" w:hAnsi="宋体" w:cs="Helvetica"/>
          <w:kern w:val="0"/>
        </w:rPr>
        <w:t>32.3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spacing w:line="360" w:lineRule="auto"/>
        <w:ind w:firstLine="420" w:firstLineChars="200"/>
        <w:rPr>
          <w:rFonts w:hint="eastAsia" w:ascii="宋体" w:hAnsi="宋体"/>
        </w:rPr>
      </w:pPr>
      <w:r>
        <w:rPr>
          <w:rFonts w:hint="eastAsia" w:ascii="宋体" w:hAnsi="宋体" w:cs="Helvetica"/>
          <w:kern w:val="0"/>
        </w:rPr>
        <w:t>32.4验收合格的项目，实际使用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pStyle w:val="4"/>
        <w:keepLines w:val="0"/>
        <w:widowControl/>
        <w:spacing w:before="0" w:after="0" w:line="360" w:lineRule="auto"/>
        <w:ind w:firstLine="320" w:firstLineChars="100"/>
        <w:rPr>
          <w:rFonts w:hint="eastAsia" w:ascii="宋体" w:hAnsi="宋体"/>
          <w:b w:val="0"/>
          <w:bCs w:val="0"/>
        </w:rPr>
      </w:pPr>
      <w:bookmarkStart w:id="149" w:name="_Toc80886936"/>
      <w:bookmarkEnd w:id="149"/>
      <w:r>
        <w:rPr>
          <w:rFonts w:hint="eastAsia" w:ascii="宋体" w:hAnsi="宋体"/>
          <w:b w:val="0"/>
          <w:bCs w:val="0"/>
        </w:rPr>
        <w:t>七、其他事项</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33.代理服务费</w:t>
      </w:r>
    </w:p>
    <w:p>
      <w:pPr>
        <w:spacing w:line="360" w:lineRule="auto"/>
        <w:ind w:firstLine="420" w:firstLineChars="200"/>
        <w:rPr>
          <w:rFonts w:hint="eastAsia" w:ascii="宋体" w:hAnsi="宋体"/>
          <w:szCs w:val="21"/>
        </w:rPr>
      </w:pPr>
      <w:r>
        <w:rPr>
          <w:rFonts w:hint="eastAsia" w:ascii="宋体" w:hAnsi="宋体"/>
        </w:rPr>
        <w:t>代理服务收费标准及缴费账户详见“供应商须知前附表”，供应商为联合体的，可以由联合体中的一方或者多方共同交纳代理服务费。</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34.需要补充的其他内容</w:t>
      </w:r>
    </w:p>
    <w:p>
      <w:pPr>
        <w:pStyle w:val="17"/>
        <w:widowControl/>
        <w:spacing w:line="360" w:lineRule="auto"/>
        <w:ind w:firstLine="420" w:firstLineChars="200"/>
        <w:textAlignment w:val="center"/>
        <w:rPr>
          <w:rFonts w:hint="eastAsia" w:hAnsi="宋体"/>
          <w:kern w:val="2"/>
          <w:sz w:val="21"/>
        </w:rPr>
      </w:pPr>
      <w:r>
        <w:rPr>
          <w:rFonts w:hint="eastAsia" w:hAnsi="宋体"/>
          <w:kern w:val="2"/>
          <w:sz w:val="21"/>
        </w:rPr>
        <w:t>34.1本磋商文件解释规则详见“供应商须知前附表”。</w:t>
      </w:r>
    </w:p>
    <w:p>
      <w:pPr>
        <w:pStyle w:val="17"/>
        <w:widowControl/>
        <w:spacing w:line="360" w:lineRule="auto"/>
        <w:ind w:firstLine="420" w:firstLineChars="200"/>
        <w:textAlignment w:val="center"/>
        <w:rPr>
          <w:rFonts w:hint="eastAsia" w:hAnsi="宋体"/>
          <w:kern w:val="2"/>
          <w:sz w:val="21"/>
        </w:rPr>
      </w:pPr>
      <w:r>
        <w:rPr>
          <w:rFonts w:hint="eastAsia" w:hAnsi="宋体"/>
          <w:kern w:val="2"/>
          <w:sz w:val="21"/>
        </w:rPr>
        <w:t>34.2 其他事项详见“供应商须知前附表”。</w:t>
      </w:r>
    </w:p>
    <w:p>
      <w:pPr>
        <w:pStyle w:val="17"/>
        <w:widowControl/>
        <w:spacing w:line="360" w:lineRule="auto"/>
        <w:ind w:firstLine="420" w:firstLineChars="200"/>
        <w:textAlignment w:val="center"/>
        <w:rPr>
          <w:rFonts w:hint="eastAsia" w:hAnsi="宋体"/>
          <w:kern w:val="2"/>
          <w:sz w:val="21"/>
        </w:rPr>
      </w:pPr>
      <w:r>
        <w:rPr>
          <w:rFonts w:hint="eastAsia" w:hAnsi="宋体"/>
          <w:kern w:val="2"/>
          <w:sz w:val="21"/>
        </w:rPr>
        <w:t>34.3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w:t>
      </w:r>
      <w:r>
        <w:rPr>
          <w:rFonts w:hint="eastAsia" w:hAnsi="宋体"/>
          <w:sz w:val="21"/>
        </w:rPr>
        <w:t>服务由中小企业承接，即提供服务的人员为中小企业依照《中华人民共和国劳动合同法》订立劳动合同的从业人员，不对其中涉及的货物的制造商和工程承建商作出要求的</w:t>
      </w:r>
      <w:r>
        <w:rPr>
          <w:rFonts w:hint="eastAsia" w:hAnsi="宋体"/>
          <w:kern w:val="2"/>
          <w:sz w:val="21"/>
        </w:rPr>
        <w:t>，享受本文件规定的中小企业扶持政策。</w:t>
      </w:r>
    </w:p>
    <w:p>
      <w:pPr>
        <w:pStyle w:val="17"/>
        <w:widowControl/>
        <w:spacing w:line="360" w:lineRule="auto"/>
        <w:ind w:firstLine="420" w:firstLineChars="200"/>
        <w:textAlignment w:val="center"/>
        <w:rPr>
          <w:rFonts w:hint="eastAsia" w:hAnsi="宋体"/>
          <w:kern w:val="2"/>
          <w:sz w:val="21"/>
        </w:rPr>
      </w:pPr>
      <w:r>
        <w:rPr>
          <w:rFonts w:hint="eastAsia" w:hAnsi="宋体"/>
          <w:kern w:val="2"/>
          <w:sz w:val="21"/>
        </w:rPr>
        <w:t>以联合体形式参加政府采购活动，联合体各方均为中小企业的，联合体视同中小企业。其中，联合体各方均为小微企业的，联合体视同小微企业。</w:t>
      </w:r>
    </w:p>
    <w:p>
      <w:pPr>
        <w:pStyle w:val="17"/>
        <w:widowControl/>
        <w:spacing w:line="360" w:lineRule="auto"/>
        <w:ind w:firstLine="420" w:firstLineChars="200"/>
        <w:textAlignment w:val="center"/>
        <w:rPr>
          <w:rFonts w:hint="eastAsia" w:hAnsi="宋体"/>
          <w:kern w:val="2"/>
          <w:sz w:val="21"/>
        </w:rPr>
      </w:pPr>
      <w:r>
        <w:rPr>
          <w:rFonts w:hint="eastAsia" w:hAnsi="宋体"/>
          <w:kern w:val="2"/>
          <w:sz w:val="21"/>
        </w:rPr>
        <w:t>依据本文件规定享受扶持政策获得政府采购合同的，小微企业不得将合同分包给大中型企业，中型企业不得将合同分包给大型企业。</w:t>
      </w:r>
    </w:p>
    <w:p>
      <w:pPr>
        <w:pStyle w:val="17"/>
        <w:widowControl/>
        <w:spacing w:line="360" w:lineRule="auto"/>
        <w:textAlignment w:val="center"/>
        <w:rPr>
          <w:rFonts w:hint="eastAsia"/>
          <w:szCs w:val="20"/>
        </w:rPr>
      </w:pPr>
      <w:r>
        <w:rPr>
          <w:rFonts w:hint="eastAsia" w:hAnsi="宋体"/>
          <w:b/>
        </w:rPr>
        <w:br w:type="page"/>
      </w:r>
    </w:p>
    <w:p>
      <w:pPr>
        <w:pStyle w:val="2"/>
        <w:keepLines w:val="0"/>
        <w:widowControl/>
        <w:jc w:val="center"/>
        <w:rPr>
          <w:rFonts w:hint="eastAsia"/>
        </w:rPr>
      </w:pPr>
      <w:bookmarkStart w:id="150" w:name="_Toc80886937"/>
      <w:bookmarkEnd w:id="150"/>
      <w:bookmarkStart w:id="151" w:name="_Toc122512758"/>
      <w:r>
        <w:rPr>
          <w:rFonts w:hint="eastAsia" w:ascii="宋体" w:hAnsi="宋体"/>
        </w:rPr>
        <w:t>第四章</w:t>
      </w:r>
      <w:r>
        <w:t xml:space="preserve">  </w:t>
      </w:r>
      <w:r>
        <w:rPr>
          <w:rFonts w:hint="eastAsia" w:ascii="宋体" w:hAnsi="宋体"/>
        </w:rPr>
        <w:t>评审程序、评审方法和评审标准</w:t>
      </w:r>
      <w:bookmarkEnd w:id="151"/>
    </w:p>
    <w:p>
      <w:pPr>
        <w:pStyle w:val="3"/>
        <w:keepLines w:val="0"/>
        <w:widowControl/>
        <w:jc w:val="center"/>
        <w:rPr>
          <w:rFonts w:ascii="宋体" w:hAnsi="宋体"/>
          <w:b w:val="0"/>
        </w:rPr>
      </w:pPr>
      <w:bookmarkStart w:id="152" w:name="_Toc80886938"/>
      <w:bookmarkEnd w:id="152"/>
      <w:r>
        <w:rPr>
          <w:rFonts w:hint="eastAsia" w:ascii="宋体" w:hAnsi="宋体"/>
          <w:b w:val="0"/>
          <w:bCs w:val="0"/>
        </w:rPr>
        <w:t>第一节 评审程序和评审方法</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1.确认磋商文件</w:t>
      </w:r>
    </w:p>
    <w:p>
      <w:pPr>
        <w:spacing w:line="360" w:lineRule="auto"/>
        <w:ind w:firstLine="420" w:firstLineChars="200"/>
        <w:rPr>
          <w:rFonts w:hint="eastAsia" w:ascii="宋体" w:hAnsi="宋体"/>
          <w:szCs w:val="21"/>
        </w:rPr>
      </w:pPr>
      <w:r>
        <w:rPr>
          <w:rFonts w:hint="eastAsia" w:ascii="宋体" w:hAnsi="宋体"/>
        </w:rPr>
        <w:t>由磋商小组确认磋商文件。</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2.资格审查</w:t>
      </w:r>
    </w:p>
    <w:p>
      <w:pPr>
        <w:snapToGrid w:val="0"/>
        <w:spacing w:line="360" w:lineRule="auto"/>
        <w:ind w:firstLine="420" w:firstLineChars="200"/>
        <w:rPr>
          <w:rFonts w:hint="eastAsia" w:ascii="宋体" w:hAnsi="宋体"/>
          <w:szCs w:val="21"/>
        </w:rPr>
      </w:pPr>
      <w:r>
        <w:rPr>
          <w:rFonts w:hint="eastAsia" w:ascii="宋体" w:hAnsi="宋体"/>
        </w:rPr>
        <w:t>2.1响应文件开启后，磋商小组依法对供应商的资格证明文件进行审查。</w:t>
      </w:r>
    </w:p>
    <w:p>
      <w:pPr>
        <w:snapToGrid w:val="0"/>
        <w:spacing w:line="360" w:lineRule="auto"/>
        <w:ind w:firstLine="420" w:firstLineChars="200"/>
        <w:rPr>
          <w:rFonts w:hint="eastAsia" w:ascii="宋体" w:hAnsi="宋体"/>
        </w:rPr>
      </w:pPr>
      <w:r>
        <w:rPr>
          <w:rFonts w:hint="eastAsia" w:ascii="宋体" w:hAnsi="宋体"/>
        </w:rPr>
        <w:t>注：采购人代表或者采购代理机构在资格审查结束前，对供应商进行信用查询。</w:t>
      </w:r>
    </w:p>
    <w:p>
      <w:pPr>
        <w:snapToGrid w:val="0"/>
        <w:spacing w:line="360" w:lineRule="auto"/>
        <w:ind w:firstLine="420" w:firstLineChars="200"/>
        <w:jc w:val="left"/>
        <w:rPr>
          <w:rFonts w:hint="eastAsia" w:ascii="宋体" w:hAnsi="宋体"/>
        </w:rPr>
      </w:pPr>
      <w:r>
        <w:rPr>
          <w:rFonts w:hint="eastAsia" w:ascii="宋体" w:hAnsi="宋体"/>
        </w:rPr>
        <w:t>（1）查询渠道：“政采云”平台“信用中国”网站(</w:t>
      </w:r>
      <w:r>
        <w:fldChar w:fldCharType="begin"/>
      </w:r>
      <w:r>
        <w:instrText xml:space="preserve"> HYPERLINK "http://www.creditchina.gov.cn" </w:instrText>
      </w:r>
      <w:r>
        <w:fldChar w:fldCharType="separate"/>
      </w:r>
      <w:r>
        <w:rPr>
          <w:rStyle w:val="107"/>
          <w:rFonts w:hAnsi="宋体" w:cs="宋体"/>
        </w:rPr>
        <w:t>www.creditchina.gov.cn</w:t>
      </w:r>
      <w:r>
        <w:fldChar w:fldCharType="end"/>
      </w:r>
      <w:r>
        <w:rPr>
          <w:rFonts w:hint="eastAsia" w:ascii="宋体" w:hAnsi="宋体"/>
        </w:rPr>
        <w:t>)、中国政府采购网(</w:t>
      </w:r>
      <w:r>
        <w:fldChar w:fldCharType="begin"/>
      </w:r>
      <w:r>
        <w:instrText xml:space="preserve"> HYPERLINK "http://www.ccgp.gov.cn" </w:instrText>
      </w:r>
      <w:r>
        <w:fldChar w:fldCharType="separate"/>
      </w:r>
      <w:r>
        <w:rPr>
          <w:rStyle w:val="107"/>
          <w:rFonts w:hAnsi="宋体" w:cs="宋体"/>
        </w:rPr>
        <w:t>www.ccgp.gov.cn</w:t>
      </w:r>
      <w:r>
        <w:fldChar w:fldCharType="end"/>
      </w:r>
      <w:r>
        <w:rPr>
          <w:rFonts w:hint="eastAsia" w:ascii="宋体" w:hAnsi="宋体"/>
        </w:rPr>
        <w:t>)链接入口。</w:t>
      </w:r>
    </w:p>
    <w:p>
      <w:pPr>
        <w:snapToGrid w:val="0"/>
        <w:spacing w:line="360" w:lineRule="auto"/>
        <w:ind w:firstLine="420" w:firstLineChars="200"/>
        <w:rPr>
          <w:rFonts w:hint="eastAsia" w:ascii="宋体" w:hAnsi="宋体"/>
        </w:rPr>
      </w:pPr>
      <w:r>
        <w:rPr>
          <w:rFonts w:hint="eastAsia" w:ascii="宋体" w:hAnsi="宋体"/>
        </w:rPr>
        <w:t>（2）信用查询截止时点：资格审查结束前。</w:t>
      </w:r>
    </w:p>
    <w:p>
      <w:pPr>
        <w:snapToGrid w:val="0"/>
        <w:spacing w:line="360" w:lineRule="auto"/>
        <w:ind w:firstLine="420" w:firstLineChars="200"/>
        <w:rPr>
          <w:rFonts w:hint="eastAsia" w:ascii="宋体" w:hAnsi="宋体"/>
        </w:rPr>
      </w:pPr>
      <w:r>
        <w:rPr>
          <w:rFonts w:hint="eastAsia" w:ascii="宋体" w:hAnsi="宋体"/>
        </w:rPr>
        <w:t>查询记录和证据留存方式：在查询网站中直接打印查询记录，截图另存为电子文档作为评审资料保存。</w:t>
      </w:r>
    </w:p>
    <w:p>
      <w:pPr>
        <w:spacing w:line="360" w:lineRule="auto"/>
        <w:ind w:firstLine="420" w:firstLineChars="200"/>
        <w:rPr>
          <w:rFonts w:hint="eastAsia" w:ascii="宋体" w:hAnsi="宋体"/>
        </w:rPr>
      </w:pPr>
      <w:r>
        <w:rPr>
          <w:rFonts w:hint="eastAsia" w:ascii="宋体" w:hAnsi="宋体"/>
        </w:rPr>
        <w:t>（3）信用信息使用规则：对在“信用中国”网站(www.creditchina.gov.cn) 、中国政府采购网(www.ccgp.gov.cn)被列入失信被执行人、重大税收违法案件当事人名单、政府采购严重违法失信行为记录名单及其他不符合《中华人民共和国政府采购法》第二十二条规定条件的供应商，资格审查不通过，不得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spacing w:line="360" w:lineRule="auto"/>
        <w:ind w:firstLine="420" w:firstLineChars="200"/>
        <w:rPr>
          <w:rFonts w:hint="eastAsia" w:ascii="宋体" w:hAnsi="宋体"/>
        </w:rPr>
      </w:pPr>
      <w:r>
        <w:rPr>
          <w:rFonts w:hint="eastAsia" w:ascii="宋体" w:hAnsi="宋体"/>
        </w:rPr>
        <w:t>2.2资格审查标准为本磋商文件中载明对供应商资格要求的条件。资格审查采用合格制，凡符合磋商文件规定的供应商资格要求的响应文件均通过资格审查。</w:t>
      </w:r>
    </w:p>
    <w:p>
      <w:pPr>
        <w:spacing w:line="360" w:lineRule="auto"/>
        <w:ind w:firstLine="420" w:firstLineChars="200"/>
        <w:rPr>
          <w:rFonts w:hint="eastAsia" w:ascii="宋体" w:hAnsi="宋体"/>
        </w:rPr>
      </w:pPr>
      <w:r>
        <w:rPr>
          <w:rFonts w:hint="eastAsia" w:ascii="宋体" w:hAnsi="宋体"/>
        </w:rPr>
        <w:t>2.3供应商有下列情形之一的，资格审查不通过，其响应文件按无效响应处理：</w:t>
      </w:r>
    </w:p>
    <w:p>
      <w:pPr>
        <w:snapToGrid w:val="0"/>
        <w:spacing w:line="360" w:lineRule="auto"/>
        <w:ind w:firstLine="420" w:firstLineChars="200"/>
        <w:rPr>
          <w:rFonts w:hint="eastAsia" w:ascii="宋体" w:hAnsi="宋体"/>
        </w:rPr>
      </w:pPr>
      <w:r>
        <w:rPr>
          <w:rFonts w:hint="eastAsia" w:ascii="宋体" w:hAnsi="宋体"/>
        </w:rPr>
        <w:t>（1）不具备磋商文件中规定的资格要求的；</w:t>
      </w:r>
    </w:p>
    <w:p>
      <w:pPr>
        <w:spacing w:line="360" w:lineRule="auto"/>
        <w:ind w:firstLine="420" w:firstLineChars="200"/>
        <w:rPr>
          <w:rFonts w:hint="eastAsia" w:ascii="宋体" w:hAnsi="宋体"/>
        </w:rPr>
      </w:pPr>
      <w:r>
        <w:rPr>
          <w:rFonts w:hint="eastAsia" w:ascii="宋体" w:hAnsi="宋体"/>
        </w:rPr>
        <w:t>（2）响应文件未提供任一项“供应商须知前附表”资格证明文件规定的“必须提供”的文件资料的；</w:t>
      </w:r>
    </w:p>
    <w:p>
      <w:pPr>
        <w:spacing w:line="360" w:lineRule="auto"/>
        <w:ind w:firstLine="420" w:firstLineChars="200"/>
        <w:rPr>
          <w:rFonts w:hint="eastAsia" w:ascii="宋体" w:hAnsi="宋体"/>
        </w:rPr>
      </w:pPr>
      <w:r>
        <w:rPr>
          <w:rFonts w:hint="eastAsia" w:ascii="宋体" w:hAnsi="宋体"/>
        </w:rPr>
        <w:t>（3）响应文件提供的资格证明文件出现任一项不符合“供应商须知前附表”资格证明文件规定的“必须提供”的文件资料要求或者无效的。</w:t>
      </w:r>
    </w:p>
    <w:p>
      <w:pPr>
        <w:spacing w:line="360" w:lineRule="auto"/>
        <w:ind w:firstLine="420" w:firstLineChars="200"/>
        <w:rPr>
          <w:rFonts w:hint="eastAsia" w:ascii="宋体" w:hAnsi="宋体"/>
        </w:rPr>
      </w:pPr>
      <w:bookmarkStart w:id="153" w:name="_Hlk68601553"/>
      <w:bookmarkEnd w:id="153"/>
      <w:r>
        <w:rPr>
          <w:rFonts w:hint="eastAsia" w:ascii="宋体" w:hAnsi="宋体"/>
        </w:rPr>
        <w:t>（4）同一合同项下的不同供应商，单位负责人为同一人或者存在直接控股、管理关系的；为本项目提供过整体设计、规范编制或者项目管理、监理、检测等服务的。</w:t>
      </w:r>
    </w:p>
    <w:p>
      <w:pPr>
        <w:spacing w:line="360" w:lineRule="auto"/>
        <w:ind w:firstLine="420" w:firstLineChars="200"/>
        <w:rPr>
          <w:rFonts w:hint="eastAsia" w:ascii="宋体" w:hAnsi="宋体"/>
        </w:rPr>
      </w:pPr>
      <w:r>
        <w:rPr>
          <w:rFonts w:hint="eastAsia" w:ascii="宋体" w:hAnsi="宋体"/>
        </w:rPr>
        <w:t>2.4通过资格审查的合格供应商不足3家的，不得进入符合性审查环节，采购人或者采购代理机构应当重新开展采购活动。</w:t>
      </w:r>
    </w:p>
    <w:p>
      <w:pPr>
        <w:spacing w:line="360" w:lineRule="auto"/>
        <w:ind w:firstLine="482" w:firstLineChars="200"/>
        <w:rPr>
          <w:rFonts w:hint="eastAsia" w:ascii="黑体" w:hAnsi="宋体" w:eastAsia="黑体" w:cs="宋体"/>
          <w:b/>
          <w:bCs/>
          <w:sz w:val="24"/>
        </w:rPr>
      </w:pPr>
      <w:r>
        <w:rPr>
          <w:rFonts w:hint="eastAsia" w:ascii="黑体" w:hAnsi="黑体" w:eastAsia="黑体" w:cs="宋体"/>
          <w:b/>
          <w:bCs/>
          <w:sz w:val="24"/>
        </w:rPr>
        <w:t>3.符合性审查</w:t>
      </w:r>
    </w:p>
    <w:p>
      <w:pPr>
        <w:spacing w:line="360" w:lineRule="auto"/>
        <w:ind w:firstLine="420" w:firstLineChars="200"/>
        <w:rPr>
          <w:rFonts w:hint="eastAsia" w:ascii="宋体" w:hAnsi="宋体"/>
          <w:szCs w:val="21"/>
        </w:rPr>
      </w:pPr>
      <w:r>
        <w:rPr>
          <w:rFonts w:hint="eastAsia" w:ascii="宋体" w:hAnsi="宋体"/>
        </w:rPr>
        <w:t>3.1由磋商小组对通过资格审查的合格供应商的响应文件的响应报价、商务、技术等实质性要求进行符合性审查，以确定其是否满足磋商文件的实质性要求。</w:t>
      </w:r>
    </w:p>
    <w:p>
      <w:pPr>
        <w:spacing w:line="360" w:lineRule="auto"/>
        <w:ind w:firstLine="420" w:firstLineChars="200"/>
        <w:rPr>
          <w:rFonts w:hint="eastAsia" w:ascii="宋体" w:hAnsi="宋体"/>
        </w:rPr>
      </w:pPr>
      <w:r>
        <w:rPr>
          <w:rFonts w:hint="eastAsia" w:ascii="宋体" w:hAnsi="宋体"/>
        </w:rPr>
        <w:t>3.2磋商小组在对响应文件进行符合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20" w:firstLineChars="200"/>
        <w:rPr>
          <w:rFonts w:hint="eastAsia" w:ascii="宋体" w:hAnsi="宋体"/>
          <w:spacing w:val="-6"/>
        </w:rPr>
      </w:pPr>
      <w:r>
        <w:rPr>
          <w:rFonts w:hint="eastAsia" w:ascii="宋体" w:hAnsi="宋体"/>
        </w:rPr>
        <w:t>3.3磋商小组要求供应商澄清、说明或者更正响应文件应当以电子澄清函形式作出。供应商的澄清、说明或者更正应当以电子回函形式按照磋商小组的要求作出明确的澄清、说明或者更正，未按磋商小组的要求作出明确澄清、说明或者更正的供应商的响应文件将按照有利于采购人的原则由磋商小组进行判定。供应商的澄清、说明或者更正必须加盖电子公章</w:t>
      </w:r>
      <w:r>
        <w:rPr>
          <w:rFonts w:hint="eastAsia" w:ascii="宋体" w:hAnsi="宋体"/>
          <w:spacing w:val="-6"/>
        </w:rPr>
        <w:t>。供应商为自然人的，必须由本人签字并附身份证明。</w:t>
      </w:r>
    </w:p>
    <w:p>
      <w:pPr>
        <w:spacing w:line="360" w:lineRule="auto"/>
        <w:ind w:firstLine="396" w:firstLineChars="200"/>
        <w:rPr>
          <w:rFonts w:hint="eastAsia" w:ascii="宋体" w:hAnsi="宋体"/>
        </w:rPr>
      </w:pPr>
      <w:r>
        <w:rPr>
          <w:rFonts w:hint="eastAsia" w:ascii="宋体" w:hAnsi="宋体"/>
          <w:spacing w:val="-6"/>
        </w:rPr>
        <w:t>3.4</w:t>
      </w:r>
      <w:r>
        <w:rPr>
          <w:rFonts w:hint="eastAsia" w:ascii="宋体" w:hAnsi="宋体"/>
        </w:rPr>
        <w:t xml:space="preserve">首次响应文件报价出现前后不一致的，按照下列规定修正： </w:t>
      </w:r>
    </w:p>
    <w:p>
      <w:pPr>
        <w:spacing w:line="360" w:lineRule="auto"/>
        <w:ind w:firstLine="420" w:firstLineChars="200"/>
        <w:rPr>
          <w:rFonts w:hint="eastAsia" w:ascii="宋体" w:hAnsi="宋体"/>
        </w:rPr>
      </w:pPr>
      <w:r>
        <w:rPr>
          <w:rFonts w:hint="eastAsia" w:ascii="宋体" w:hAnsi="宋体"/>
        </w:rPr>
        <w:t>（1）响应文件中报价表内容与响应文件中相应内容不一致的，以报价表为准；</w:t>
      </w:r>
    </w:p>
    <w:p>
      <w:pPr>
        <w:spacing w:line="360" w:lineRule="auto"/>
        <w:ind w:firstLine="420" w:firstLineChars="200"/>
        <w:rPr>
          <w:rFonts w:hint="eastAsia" w:ascii="宋体" w:hAnsi="宋体"/>
        </w:rPr>
      </w:pPr>
      <w:r>
        <w:rPr>
          <w:rFonts w:hint="eastAsia" w:ascii="宋体" w:hAnsi="宋体"/>
        </w:rPr>
        <w:t>（2）大写金额和小写金额不一致的，以大写金额为准；</w:t>
      </w:r>
    </w:p>
    <w:p>
      <w:pPr>
        <w:spacing w:line="360" w:lineRule="auto"/>
        <w:ind w:firstLine="420" w:firstLineChars="200"/>
        <w:rPr>
          <w:rFonts w:hint="eastAsia" w:ascii="宋体" w:hAnsi="宋体"/>
        </w:rPr>
      </w:pPr>
      <w:r>
        <w:rPr>
          <w:rFonts w:hint="eastAsia" w:ascii="宋体" w:hAnsi="宋体"/>
        </w:rPr>
        <w:t>（3）单价金额小数点或者百分比有明显错位的，以报价表的总价为准，并修改单价；</w:t>
      </w:r>
    </w:p>
    <w:p>
      <w:pPr>
        <w:spacing w:line="360" w:lineRule="auto"/>
        <w:ind w:firstLine="420" w:firstLineChars="200"/>
        <w:rPr>
          <w:rFonts w:hint="eastAsia" w:ascii="宋体" w:hAnsi="宋体"/>
        </w:rPr>
      </w:pPr>
      <w:r>
        <w:rPr>
          <w:rFonts w:hint="eastAsia" w:ascii="宋体" w:hAnsi="宋体"/>
        </w:rPr>
        <w:t>（4）总价金额与按单价汇总金额不一致的，以单价金额计算结果为准。</w:t>
      </w:r>
    </w:p>
    <w:p>
      <w:pPr>
        <w:spacing w:line="360" w:lineRule="auto"/>
        <w:ind w:firstLine="420" w:firstLineChars="200"/>
        <w:rPr>
          <w:rFonts w:hint="eastAsia" w:ascii="宋体" w:hAnsi="宋体"/>
        </w:rPr>
      </w:pPr>
      <w:r>
        <w:rPr>
          <w:rFonts w:hint="eastAsia" w:ascii="宋体" w:hAnsi="宋体"/>
        </w:rPr>
        <w:t>同时出现两种以上不一致的，按照以上（1）-（4）规定的顺序逐条进行修正。修正后的报价经供应商确认后产生约束力，供应商不确认的，其响应文件按无效响应处理。</w:t>
      </w:r>
    </w:p>
    <w:p>
      <w:pPr>
        <w:spacing w:line="360" w:lineRule="auto"/>
        <w:ind w:firstLine="420" w:firstLineChars="200"/>
        <w:rPr>
          <w:rFonts w:hint="eastAsia" w:ascii="宋体" w:hAnsi="宋体"/>
        </w:rPr>
      </w:pPr>
      <w:r>
        <w:rPr>
          <w:rFonts w:hint="eastAsia" w:ascii="宋体" w:hAnsi="宋体"/>
        </w:rPr>
        <w:t>3.5商务技术、报价评审</w:t>
      </w:r>
    </w:p>
    <w:p>
      <w:pPr>
        <w:spacing w:line="360" w:lineRule="auto"/>
        <w:ind w:firstLine="420" w:firstLineChars="200"/>
        <w:rPr>
          <w:rFonts w:hint="eastAsia" w:ascii="宋体" w:hAnsi="宋体"/>
        </w:rPr>
      </w:pPr>
      <w:r>
        <w:rPr>
          <w:rFonts w:hint="eastAsia" w:ascii="宋体" w:hAnsi="宋体"/>
        </w:rPr>
        <w:t>在评审时，如发现下列情形之一的，将被视为响应文件无效处理：</w:t>
      </w:r>
    </w:p>
    <w:p>
      <w:pPr>
        <w:spacing w:line="360" w:lineRule="auto"/>
        <w:ind w:firstLine="420" w:firstLineChars="200"/>
        <w:rPr>
          <w:rFonts w:hint="eastAsia" w:ascii="宋体" w:hAnsi="宋体"/>
        </w:rPr>
      </w:pPr>
      <w:r>
        <w:rPr>
          <w:rFonts w:hint="eastAsia" w:ascii="宋体" w:hAnsi="宋体"/>
        </w:rPr>
        <w:t>（1）商务技术评审</w:t>
      </w:r>
    </w:p>
    <w:p>
      <w:pPr>
        <w:spacing w:line="360" w:lineRule="auto"/>
        <w:ind w:firstLine="420" w:firstLineChars="200"/>
        <w:rPr>
          <w:rFonts w:hint="eastAsia" w:ascii="宋体" w:hAnsi="宋体"/>
        </w:rPr>
      </w:pPr>
      <w:r>
        <w:rPr>
          <w:rFonts w:hint="eastAsia" w:ascii="宋体" w:hAnsi="宋体"/>
        </w:rPr>
        <w:t>1）响应文件未按磋商文件要求签署、盖章；</w:t>
      </w:r>
    </w:p>
    <w:p>
      <w:pPr>
        <w:spacing w:line="360" w:lineRule="auto"/>
        <w:ind w:firstLine="420" w:firstLineChars="200"/>
        <w:rPr>
          <w:rFonts w:hint="eastAsia" w:ascii="宋体" w:hAnsi="宋体"/>
        </w:rPr>
      </w:pPr>
      <w:r>
        <w:rPr>
          <w:rFonts w:hint="eastAsia" w:ascii="宋体" w:hAnsi="宋体"/>
        </w:rPr>
        <w:t xml:space="preserve">2）委托代理人未能出具有效身份证明或者出具的身份证明与授权委托书中的信息不符； </w:t>
      </w:r>
    </w:p>
    <w:p>
      <w:pPr>
        <w:spacing w:line="360" w:lineRule="auto"/>
        <w:ind w:firstLine="420" w:firstLineChars="200"/>
        <w:rPr>
          <w:rFonts w:hint="eastAsia" w:ascii="宋体" w:hAnsi="宋体"/>
        </w:rPr>
      </w:pPr>
      <w:r>
        <w:rPr>
          <w:rFonts w:hint="eastAsia" w:ascii="宋体" w:hAnsi="宋体"/>
        </w:rPr>
        <w:t>3）响应文件未提供任一项“供应商须知前附表” 商务技术文件中 “必须提供”或者“委托时必须提供”的文件资料；响应文件提供的商务技术文件出现任一项不符合“供应商须知前附表”商务技术文件中 “必须提供”或者“委托时必须提供”文件资料要求的规定或者提供的商务技术文件无效。</w:t>
      </w:r>
    </w:p>
    <w:p>
      <w:pPr>
        <w:spacing w:line="360" w:lineRule="auto"/>
        <w:ind w:firstLine="420" w:firstLineChars="200"/>
        <w:rPr>
          <w:rFonts w:hint="eastAsia" w:ascii="宋体" w:hAnsi="宋体"/>
        </w:rPr>
      </w:pPr>
      <w:r>
        <w:rPr>
          <w:rFonts w:hint="eastAsia" w:ascii="宋体" w:hAnsi="宋体"/>
        </w:rPr>
        <w:t>4）商务条款中标“▲”的条款发生负偏离的或者允许负偏离的条款数超过“供应商须知前附表”规定项数的或者标明实质性的要求发生负偏离；</w:t>
      </w:r>
    </w:p>
    <w:p>
      <w:pPr>
        <w:spacing w:line="360" w:lineRule="auto"/>
        <w:ind w:firstLine="420" w:firstLineChars="200"/>
        <w:rPr>
          <w:rFonts w:hint="eastAsia" w:ascii="宋体" w:hAnsi="宋体"/>
        </w:rPr>
      </w:pPr>
      <w:r>
        <w:rPr>
          <w:rFonts w:hint="eastAsia" w:ascii="宋体" w:hAnsi="宋体"/>
        </w:rPr>
        <w:t>5）未对竞标有效期作出响应或者响应文件承诺的竞标有效期不满足磋商文件要求；</w:t>
      </w:r>
    </w:p>
    <w:p>
      <w:pPr>
        <w:spacing w:line="360" w:lineRule="auto"/>
        <w:ind w:firstLine="420" w:firstLineChars="200"/>
        <w:rPr>
          <w:rFonts w:hint="eastAsia" w:ascii="宋体" w:hAnsi="宋体"/>
        </w:rPr>
      </w:pPr>
      <w:r>
        <w:rPr>
          <w:rFonts w:hint="eastAsia" w:ascii="宋体" w:hAnsi="宋体"/>
        </w:rPr>
        <w:t>6）响应文件的实质性内容未使用中文表述、使用计量单位不符合磋商文件要求；</w:t>
      </w:r>
    </w:p>
    <w:p>
      <w:pPr>
        <w:spacing w:line="360" w:lineRule="auto"/>
        <w:ind w:firstLine="420" w:firstLineChars="200"/>
        <w:rPr>
          <w:rFonts w:hint="eastAsia" w:ascii="宋体" w:hAnsi="宋体"/>
        </w:rPr>
      </w:pPr>
      <w:r>
        <w:rPr>
          <w:rFonts w:hint="eastAsia" w:ascii="宋体" w:hAnsi="宋体"/>
        </w:rPr>
        <w:t>7）响应文件中的文件资料因填写不齐全或者内容虚假或者出现其他情形而导致被磋商小组认定无效；</w:t>
      </w:r>
    </w:p>
    <w:p>
      <w:pPr>
        <w:spacing w:line="360" w:lineRule="auto"/>
        <w:ind w:firstLine="420" w:firstLineChars="200"/>
        <w:rPr>
          <w:rFonts w:hint="eastAsia" w:ascii="宋体" w:hAnsi="宋体"/>
        </w:rPr>
      </w:pPr>
      <w:r>
        <w:rPr>
          <w:rFonts w:hint="eastAsia" w:ascii="宋体" w:hAnsi="宋体"/>
        </w:rPr>
        <w:t>8）响应文件含有采购人不能接受的附加条件；</w:t>
      </w:r>
    </w:p>
    <w:p>
      <w:pPr>
        <w:spacing w:line="360" w:lineRule="auto"/>
        <w:ind w:firstLine="420" w:firstLineChars="200"/>
        <w:rPr>
          <w:rFonts w:hint="eastAsia" w:ascii="宋体" w:hAnsi="宋体"/>
        </w:rPr>
      </w:pPr>
      <w:r>
        <w:rPr>
          <w:rFonts w:hint="eastAsia" w:ascii="宋体" w:hAnsi="宋体"/>
        </w:rPr>
        <w:t>9）属于“供应商须知正文”第7.5条情形；</w:t>
      </w:r>
    </w:p>
    <w:p>
      <w:pPr>
        <w:spacing w:line="360" w:lineRule="auto"/>
        <w:ind w:firstLine="420" w:firstLineChars="200"/>
        <w:rPr>
          <w:rFonts w:hint="eastAsia" w:ascii="宋体" w:hAnsi="宋体"/>
        </w:rPr>
      </w:pPr>
      <w:r>
        <w:rPr>
          <w:rFonts w:hint="eastAsia" w:ascii="宋体" w:hAnsi="宋体"/>
        </w:rPr>
        <w:t>10）技术需求允许负偏离的条款数超过“供应商须知前附表”规定项数；</w:t>
      </w:r>
    </w:p>
    <w:p>
      <w:pPr>
        <w:spacing w:line="360" w:lineRule="auto"/>
        <w:ind w:firstLine="420" w:firstLineChars="200"/>
        <w:rPr>
          <w:rFonts w:hint="eastAsia" w:ascii="宋体" w:hAnsi="宋体"/>
        </w:rPr>
      </w:pPr>
      <w:r>
        <w:rPr>
          <w:rFonts w:hint="eastAsia" w:ascii="宋体" w:hAnsi="宋体"/>
        </w:rPr>
        <w:t>11）虚假竞标，或者出现其他情形而导致被磋商小组认定无效；</w:t>
      </w:r>
    </w:p>
    <w:p>
      <w:pPr>
        <w:spacing w:line="360" w:lineRule="auto"/>
        <w:ind w:firstLine="420" w:firstLineChars="200"/>
        <w:rPr>
          <w:rFonts w:hint="eastAsia" w:ascii="宋体" w:hAnsi="宋体"/>
        </w:rPr>
      </w:pPr>
      <w:r>
        <w:rPr>
          <w:rFonts w:hint="eastAsia" w:ascii="宋体" w:hAnsi="宋体"/>
        </w:rPr>
        <w:t>12）竞标技术方案不明确，磋商文件未允许但响应文件中存在一个或者一个以上备选（替代）竞标方案；</w:t>
      </w:r>
    </w:p>
    <w:p>
      <w:pPr>
        <w:spacing w:line="360" w:lineRule="auto"/>
        <w:ind w:firstLine="420" w:firstLineChars="200"/>
        <w:rPr>
          <w:rFonts w:hint="eastAsia" w:ascii="宋体" w:hAnsi="宋体"/>
        </w:rPr>
      </w:pPr>
      <w:r>
        <w:rPr>
          <w:rFonts w:hint="eastAsia" w:ascii="宋体" w:hAnsi="宋体"/>
        </w:rPr>
        <w:t>13）响应文件标注的项目名称或者项目编号与竞争性磋商文件标注的项目名称或者项目编号不一致的；</w:t>
      </w:r>
    </w:p>
    <w:p>
      <w:pPr>
        <w:spacing w:line="360" w:lineRule="auto"/>
        <w:ind w:firstLine="420" w:firstLineChars="200"/>
        <w:rPr>
          <w:rFonts w:hint="eastAsia" w:ascii="宋体" w:hAnsi="宋体"/>
        </w:rPr>
      </w:pPr>
      <w:r>
        <w:rPr>
          <w:rFonts w:hint="eastAsia" w:ascii="宋体" w:hAnsi="宋体"/>
        </w:rPr>
        <w:t>14）未响应磋商文件实质性要求；</w:t>
      </w:r>
    </w:p>
    <w:p>
      <w:pPr>
        <w:spacing w:line="360" w:lineRule="auto"/>
        <w:ind w:firstLine="420" w:firstLineChars="200"/>
        <w:rPr>
          <w:rFonts w:hint="eastAsia" w:ascii="宋体" w:hAnsi="宋体"/>
        </w:rPr>
      </w:pPr>
      <w:r>
        <w:rPr>
          <w:rFonts w:hint="eastAsia" w:ascii="宋体" w:hAnsi="宋体"/>
        </w:rPr>
        <w:t>15）法律、法规和磋商文件规定的其他无效情形。</w:t>
      </w:r>
    </w:p>
    <w:p>
      <w:pPr>
        <w:spacing w:line="360" w:lineRule="auto"/>
        <w:ind w:firstLine="420" w:firstLineChars="200"/>
        <w:rPr>
          <w:rFonts w:hint="eastAsia" w:ascii="宋体" w:hAnsi="宋体"/>
        </w:rPr>
      </w:pPr>
      <w:r>
        <w:rPr>
          <w:rFonts w:hint="eastAsia" w:ascii="宋体" w:hAnsi="宋体"/>
        </w:rPr>
        <w:t>（2）报价评审</w:t>
      </w:r>
    </w:p>
    <w:p>
      <w:pPr>
        <w:spacing w:line="360" w:lineRule="auto"/>
        <w:ind w:firstLine="420" w:firstLineChars="200"/>
        <w:rPr>
          <w:rFonts w:hint="eastAsia" w:ascii="宋体" w:hAnsi="宋体"/>
        </w:rPr>
      </w:pPr>
      <w:r>
        <w:rPr>
          <w:rFonts w:hint="eastAsia" w:ascii="宋体" w:hAnsi="宋体"/>
        </w:rPr>
        <w:t>1) 响应文件未提供“供应商须知前附表” 报价文件中规定的“响应报价表”；</w:t>
      </w:r>
    </w:p>
    <w:p>
      <w:pPr>
        <w:spacing w:line="360" w:lineRule="auto"/>
        <w:ind w:firstLine="420" w:firstLineChars="200"/>
        <w:rPr>
          <w:rFonts w:hint="eastAsia" w:ascii="宋体" w:hAnsi="宋体"/>
        </w:rPr>
      </w:pPr>
      <w:r>
        <w:rPr>
          <w:rFonts w:hint="eastAsia" w:ascii="宋体" w:hAnsi="宋体"/>
        </w:rPr>
        <w:t>2）未采用人民币报价或者未按照磋商文件标明的币种报价；</w:t>
      </w:r>
    </w:p>
    <w:p>
      <w:pPr>
        <w:spacing w:line="360" w:lineRule="auto"/>
        <w:ind w:firstLine="420" w:firstLineChars="200"/>
        <w:rPr>
          <w:rFonts w:hint="eastAsia" w:ascii="宋体" w:hAnsi="宋体"/>
        </w:rPr>
      </w:pPr>
      <w:r>
        <w:rPr>
          <w:rFonts w:hint="eastAsia" w:ascii="宋体" w:hAnsi="宋体"/>
        </w:rPr>
        <w:t>3）供应商未就所竞标分标进行报价或者存在漏项报价；供应商未就所竞标分标的单项内容作唯一报价；供应商未就所竞标分标的全部内容作唯一总价报价；供应商响应文件中存在有选择、有条件报价的（磋商文件允许有备选方案或者其他约定的除外）；</w:t>
      </w:r>
    </w:p>
    <w:p>
      <w:pPr>
        <w:spacing w:line="360" w:lineRule="auto"/>
        <w:ind w:firstLine="420" w:firstLineChars="200"/>
        <w:rPr>
          <w:rFonts w:hint="eastAsia" w:ascii="宋体" w:hAnsi="宋体"/>
        </w:rPr>
      </w:pPr>
      <w:r>
        <w:rPr>
          <w:rFonts w:hint="eastAsia" w:ascii="宋体" w:hAnsi="宋体"/>
        </w:rPr>
        <w:t>4）响应报价（包含首次报价、最后报价）超过所竞标分标规定的采购预算金额或者最高限价的（如本项目公布了最高限价）；响应报价（包含首次报价、最后报价）超过磋商文件分项采购预算金额或者最高限价的（如本项目公布了最高限价）；</w:t>
      </w:r>
    </w:p>
    <w:p>
      <w:pPr>
        <w:spacing w:line="360" w:lineRule="auto"/>
        <w:ind w:firstLine="420" w:firstLineChars="200"/>
        <w:rPr>
          <w:rFonts w:hint="eastAsia" w:ascii="宋体" w:hAnsi="宋体"/>
        </w:rPr>
      </w:pPr>
      <w:r>
        <w:rPr>
          <w:rFonts w:hint="eastAsia" w:ascii="宋体" w:hAnsi="宋体"/>
        </w:rPr>
        <w:t>5）修正后的报价，供应商不确认的；或者经供应商确认修正后的响应报价（包含首次报价、最后报价）超过所竞标分标规定的采购预算金额或者最高限价（如本项目公布了最高限价）；或者经供应商确认修正后响应报价（包含首次报价、最后报价）超过磋商文件分项采购预算金额或者最高限价的（如本项目公布了最高限价）。</w:t>
      </w:r>
    </w:p>
    <w:p>
      <w:pPr>
        <w:spacing w:line="360" w:lineRule="auto"/>
        <w:ind w:firstLine="420" w:firstLineChars="200"/>
        <w:rPr>
          <w:rFonts w:hint="eastAsia" w:ascii="宋体" w:hAnsi="宋体"/>
        </w:rPr>
      </w:pPr>
      <w:r>
        <w:rPr>
          <w:rFonts w:hint="eastAsia" w:ascii="宋体" w:hAnsi="宋体"/>
        </w:rPr>
        <w:t>6）响应文件响应的标的数量及单位与竞争性磋商采购文件要求实质性不一致的。</w:t>
      </w:r>
    </w:p>
    <w:p>
      <w:pPr>
        <w:spacing w:line="360" w:lineRule="auto"/>
        <w:ind w:firstLine="420" w:firstLineChars="200"/>
        <w:rPr>
          <w:rFonts w:hint="eastAsia" w:ascii="宋体" w:hAnsi="宋体"/>
        </w:rPr>
      </w:pPr>
      <w:r>
        <w:rPr>
          <w:rFonts w:hint="eastAsia" w:ascii="宋体" w:hAnsi="宋体"/>
        </w:rPr>
        <w:t>3.6磋商小组对响应文件进行评审，未实质性响应磋商文件的响应文件按无效处理，磋商小组应当将资格和符合性不通过的情况告知有关供应商。磋商小组从符合磋商文件规定的相应资格条件的供应商名单中确定不少于3家的供应商参加磋商。</w:t>
      </w:r>
    </w:p>
    <w:p>
      <w:pPr>
        <w:spacing w:line="360" w:lineRule="auto"/>
        <w:ind w:firstLine="420" w:firstLineChars="200"/>
        <w:rPr>
          <w:rFonts w:hint="eastAsia" w:ascii="宋体" w:hAnsi="宋体"/>
        </w:rPr>
      </w:pPr>
      <w:r>
        <w:rPr>
          <w:rFonts w:hint="eastAsia" w:ascii="宋体" w:hAnsi="宋体"/>
        </w:rPr>
        <w:t>3.7非政府购买服务项目，通过符合性审查的合格供应商不足3家的，不得进入磋商环节，采购人或者采购代理机构应当重新开展采购活动。政府购买服务项目，按《财政部关于政府采购竞争性磋商采购方式管理暂行办法有关问题的补充通知》（财库〔2015〕124号）规定，采购过程中通过符合性审查的供应商（社会资本）只有2家的，磋商采购活动可以继续进行。</w:t>
      </w:r>
    </w:p>
    <w:p>
      <w:pPr>
        <w:ind w:firstLine="482" w:firstLineChars="200"/>
        <w:rPr>
          <w:rFonts w:hint="eastAsia" w:ascii="黑体" w:hAnsi="宋体" w:eastAsia="黑体" w:cs="宋体"/>
          <w:b/>
          <w:bCs/>
          <w:sz w:val="24"/>
        </w:rPr>
      </w:pPr>
      <w:r>
        <w:rPr>
          <w:rFonts w:hint="eastAsia" w:ascii="黑体" w:hAnsi="黑体" w:eastAsia="黑体" w:cs="宋体"/>
          <w:b/>
          <w:bCs/>
          <w:sz w:val="24"/>
        </w:rPr>
        <w:t>4.磋商程序</w:t>
      </w:r>
    </w:p>
    <w:p>
      <w:pPr>
        <w:spacing w:line="360" w:lineRule="auto"/>
        <w:ind w:firstLine="420" w:firstLineChars="200"/>
        <w:rPr>
          <w:rFonts w:hint="eastAsia" w:ascii="宋体" w:hAnsi="宋体"/>
          <w:kern w:val="0"/>
          <w:szCs w:val="21"/>
        </w:rPr>
      </w:pPr>
      <w:r>
        <w:rPr>
          <w:rFonts w:hint="eastAsia" w:ascii="宋体" w:hAnsi="宋体"/>
          <w:kern w:val="0"/>
        </w:rPr>
        <w:t>4.1磋商小组按照“供应商须知前附表”</w:t>
      </w:r>
      <w:r>
        <w:rPr>
          <w:rFonts w:hint="eastAsia" w:ascii="宋体" w:hAnsi="宋体"/>
        </w:rPr>
        <w:t xml:space="preserve"> </w:t>
      </w:r>
      <w:r>
        <w:rPr>
          <w:rFonts w:hint="eastAsia" w:ascii="宋体" w:hAnsi="宋体"/>
          <w:kern w:val="0"/>
        </w:rPr>
        <w:t>确定的</w:t>
      </w:r>
      <w:r>
        <w:rPr>
          <w:rFonts w:hint="eastAsia" w:ascii="宋体" w:hAnsi="宋体"/>
        </w:rPr>
        <w:t>顺序，集中与单一供应商分别进行磋商，并给予所有参加磋商的供应商平等的磋商机会。符合磋商资格的供应商必须在接到磋商通知后规定时间内参加磋商，未在规定时间内参加磋商的视同放弃参加磋商权利，其响应文件按无效响应处理。</w:t>
      </w:r>
    </w:p>
    <w:p>
      <w:pPr>
        <w:spacing w:line="360" w:lineRule="auto"/>
        <w:ind w:firstLine="420" w:firstLineChars="200"/>
        <w:rPr>
          <w:rFonts w:hint="eastAsia" w:ascii="宋体" w:hAnsi="宋体"/>
        </w:rPr>
      </w:pPr>
      <w:r>
        <w:rPr>
          <w:rFonts w:hint="eastAsia" w:ascii="宋体" w:hAnsi="宋体"/>
        </w:rPr>
        <w:t>4.2在磋商过程中，磋商小组可以根据磋商文件和磋商情况实质性变动采购需求中的技术、服务要求以及合同草案条款，但不得变动磋商文件中的其他内容。实质性变动的内容，须经采购人代表确认。可能实质性变动的内容为采购需求中的技术、服务要求以及合同草案条款。</w:t>
      </w:r>
    </w:p>
    <w:p>
      <w:pPr>
        <w:spacing w:line="360" w:lineRule="auto"/>
        <w:ind w:firstLine="420" w:firstLineChars="200"/>
        <w:rPr>
          <w:rFonts w:hint="eastAsia" w:ascii="宋体" w:hAnsi="宋体"/>
        </w:rPr>
      </w:pPr>
      <w:r>
        <w:rPr>
          <w:rFonts w:hint="eastAsia" w:ascii="宋体" w:hAnsi="宋体"/>
        </w:rPr>
        <w:t>4.3对磋商文件作出的实质性变动是磋商文件的有效组成部分，由磋商小组及时以电子澄清函形式同时通知所有参加磋商的供应商。</w:t>
      </w:r>
    </w:p>
    <w:p>
      <w:pPr>
        <w:spacing w:line="360" w:lineRule="auto"/>
        <w:ind w:firstLine="420" w:firstLineChars="200"/>
        <w:rPr>
          <w:rFonts w:hint="eastAsia" w:ascii="宋体" w:hAnsi="宋体"/>
        </w:rPr>
      </w:pPr>
      <w:r>
        <w:rPr>
          <w:rFonts w:hint="eastAsia" w:ascii="宋体" w:hAnsi="宋体"/>
        </w:rPr>
        <w:t>4.4供应商必须按照磋商文件的变动情况和磋商小组的要求以回函的形式重新提交响应文件，并加盖电子公章。供应商为自然人的，必须由本人签字并附身份证明。参加磋商的供应商未在规定时间内重新提交响应文件的，视同退出磋商。</w:t>
      </w:r>
    </w:p>
    <w:p>
      <w:pPr>
        <w:spacing w:line="360" w:lineRule="auto"/>
        <w:ind w:firstLine="420" w:firstLineChars="200"/>
        <w:rPr>
          <w:rFonts w:hint="eastAsia" w:ascii="宋体" w:hAnsi="宋体"/>
        </w:rPr>
      </w:pPr>
      <w:r>
        <w:rPr>
          <w:rFonts w:hint="eastAsia" w:ascii="宋体" w:hAnsi="宋体"/>
        </w:rPr>
        <w:t>4.5磋商中，</w:t>
      </w:r>
      <w:r>
        <w:rPr>
          <w:rFonts w:hint="eastAsia" w:ascii="宋体" w:hAnsi="宋体"/>
          <w:spacing w:val="-6"/>
        </w:rPr>
        <w:t>磋商的任何一方不得透露与磋商有关的其他供应商的技术资料、价格和其他信息。</w:t>
      </w:r>
    </w:p>
    <w:p>
      <w:pPr>
        <w:widowControl/>
        <w:spacing w:line="360" w:lineRule="auto"/>
        <w:ind w:firstLine="420" w:firstLineChars="200"/>
        <w:jc w:val="left"/>
        <w:rPr>
          <w:rFonts w:hint="eastAsia" w:ascii="仿宋" w:hAnsi="仿宋" w:eastAsia="仿宋" w:cs="仿宋_GB2312"/>
          <w:b/>
        </w:rPr>
      </w:pPr>
      <w:r>
        <w:rPr>
          <w:rFonts w:hint="eastAsia" w:ascii="宋体" w:hAnsi="宋体"/>
        </w:rPr>
        <w:t>4.6磋商小组应对磋商过程和重要磋商内容进行记录，作为评标报告一部分，磋商小组在记录上签字确认。</w:t>
      </w:r>
      <w:r>
        <w:rPr>
          <w:rFonts w:hint="eastAsia" w:ascii="仿宋" w:hAnsi="仿宋" w:eastAsia="仿宋" w:cs="仿宋_GB2312"/>
          <w:b/>
        </w:rPr>
        <w:t>主要内容包括：</w:t>
      </w:r>
    </w:p>
    <w:p>
      <w:pPr>
        <w:pStyle w:val="78"/>
        <w:widowControl/>
        <w:spacing w:before="0"/>
        <w:ind w:firstLine="396"/>
        <w:rPr>
          <w:rFonts w:hint="eastAsia" w:ascii="宋体" w:hAnsi="宋体"/>
          <w:spacing w:val="-6"/>
          <w:kern w:val="2"/>
          <w:sz w:val="21"/>
          <w:szCs w:val="21"/>
        </w:rPr>
      </w:pPr>
      <w:r>
        <w:rPr>
          <w:rFonts w:hint="eastAsia" w:ascii="宋体" w:hAnsi="宋体"/>
          <w:spacing w:val="-6"/>
          <w:kern w:val="2"/>
          <w:sz w:val="21"/>
          <w:szCs w:val="21"/>
        </w:rPr>
        <w:t>（1）按照相关规定进行公示的，公示情况说明；</w:t>
      </w:r>
    </w:p>
    <w:p>
      <w:pPr>
        <w:pStyle w:val="78"/>
        <w:widowControl/>
        <w:spacing w:before="0"/>
        <w:ind w:firstLine="396"/>
        <w:rPr>
          <w:rFonts w:hint="eastAsia" w:ascii="宋体" w:hAnsi="宋体"/>
          <w:spacing w:val="-6"/>
          <w:kern w:val="2"/>
          <w:sz w:val="21"/>
          <w:szCs w:val="21"/>
        </w:rPr>
      </w:pPr>
      <w:r>
        <w:rPr>
          <w:rFonts w:hint="eastAsia" w:ascii="宋体" w:hAnsi="宋体"/>
          <w:spacing w:val="-6"/>
          <w:kern w:val="2"/>
          <w:sz w:val="21"/>
          <w:szCs w:val="21"/>
        </w:rPr>
        <w:t>（2）磋商日期和地点，磋商人员名单；</w:t>
      </w:r>
    </w:p>
    <w:p>
      <w:pPr>
        <w:pStyle w:val="78"/>
        <w:widowControl/>
        <w:spacing w:before="0"/>
        <w:ind w:firstLine="396"/>
        <w:rPr>
          <w:rFonts w:hint="eastAsia" w:ascii="宋体" w:hAnsi="宋体"/>
          <w:spacing w:val="-6"/>
          <w:kern w:val="2"/>
          <w:sz w:val="21"/>
          <w:szCs w:val="21"/>
        </w:rPr>
      </w:pPr>
      <w:r>
        <w:rPr>
          <w:rFonts w:hint="eastAsia" w:ascii="宋体" w:hAnsi="宋体"/>
          <w:spacing w:val="-6"/>
          <w:kern w:val="2"/>
          <w:sz w:val="21"/>
          <w:szCs w:val="21"/>
        </w:rPr>
        <w:t>（3）合同主要条款及价格商定情况。</w:t>
      </w:r>
    </w:p>
    <w:p>
      <w:pPr>
        <w:widowControl/>
        <w:spacing w:line="360" w:lineRule="auto"/>
        <w:ind w:firstLine="420" w:firstLineChars="200"/>
        <w:jc w:val="left"/>
        <w:rPr>
          <w:rFonts w:hint="eastAsia" w:ascii="宋体" w:hAnsi="宋体"/>
          <w:szCs w:val="21"/>
        </w:rPr>
      </w:pPr>
      <w:r>
        <w:rPr>
          <w:rFonts w:hint="eastAsia" w:ascii="宋体" w:hAnsi="宋体"/>
        </w:rPr>
        <w:t>4.7磋商过程中重新提交的响应文件，供应商可以在开启前补充、修改。</w:t>
      </w:r>
    </w:p>
    <w:p>
      <w:pPr>
        <w:spacing w:line="360" w:lineRule="auto"/>
        <w:ind w:firstLine="420" w:firstLineChars="200"/>
        <w:rPr>
          <w:rFonts w:hint="eastAsia" w:ascii="宋体" w:hAnsi="宋体"/>
        </w:rPr>
      </w:pPr>
      <w:r>
        <w:rPr>
          <w:rFonts w:hint="eastAsia" w:ascii="宋体" w:hAnsi="宋体"/>
        </w:rPr>
        <w:t>4.8对磋商过程提交的响应文件进行有效性、完整性和响应程度审查，通过审查的合格供应商不足3家的，采购人或者采购代理机构应当重新开展采购活动。</w:t>
      </w:r>
    </w:p>
    <w:p>
      <w:pPr>
        <w:ind w:firstLine="200"/>
        <w:rPr>
          <w:rFonts w:hint="eastAsia" w:ascii="宋体" w:hAnsi="宋体"/>
        </w:rPr>
      </w:pPr>
      <w:r>
        <w:rPr>
          <w:rFonts w:hint="eastAsia" w:ascii="黑体" w:hAnsi="黑体" w:eastAsia="黑体" w:cs="宋体"/>
          <w:b/>
          <w:bCs/>
          <w:sz w:val="24"/>
        </w:rPr>
        <w:t>5.最后报价</w:t>
      </w:r>
    </w:p>
    <w:p>
      <w:pPr>
        <w:spacing w:line="360" w:lineRule="auto"/>
        <w:ind w:firstLine="420" w:firstLineChars="200"/>
        <w:rPr>
          <w:rFonts w:hint="eastAsia" w:ascii="宋体" w:hAnsi="宋体"/>
        </w:rPr>
      </w:pPr>
      <w:r>
        <w:rPr>
          <w:rFonts w:hint="eastAsia" w:ascii="宋体" w:hAnsi="宋体"/>
        </w:rPr>
        <w:t>5.1磋商文件能够详细列明采购标的的技术、服务要求的，磋商结束后，由磋商小组要求所有继续参加磋商的供应商在规定时间内密封提交最后报价，除本章第5.3条外，提交最后报价的供应商不得少于3家，否则必须重新采购。</w:t>
      </w:r>
    </w:p>
    <w:p>
      <w:pPr>
        <w:spacing w:line="360" w:lineRule="auto"/>
        <w:ind w:firstLine="420" w:firstLineChars="200"/>
        <w:rPr>
          <w:rFonts w:hint="eastAsia" w:ascii="宋体" w:hAnsi="宋体"/>
        </w:rPr>
      </w:pPr>
      <w:r>
        <w:rPr>
          <w:rFonts w:hint="eastAsia" w:ascii="宋体" w:hAnsi="宋体"/>
        </w:rPr>
        <w:t>5.2磋商文件不能详细列明采购标的的技术、服务要求，需经磋商由供应商提供最后设计方案或者解决方案的，磋商结束后，由磋商小组按照少数服从多数的原则投票推荐3家以上供应商的设计方案或者解决方案，并要求其在规定时间内密封提交最后报价。</w:t>
      </w:r>
    </w:p>
    <w:p>
      <w:pPr>
        <w:spacing w:line="360" w:lineRule="auto"/>
        <w:ind w:firstLine="420" w:firstLineChars="200"/>
        <w:rPr>
          <w:rFonts w:hint="eastAsia" w:ascii="宋体" w:hAnsi="宋体"/>
        </w:rPr>
      </w:pPr>
      <w:r>
        <w:rPr>
          <w:rFonts w:hint="eastAsia" w:ascii="宋体" w:hAnsi="宋体"/>
        </w:rPr>
        <w:t>5.3 最后报价是供应商响应文件的有效组成部分。符合《政府采购竞争性磋商采购方式管理暂行办法》（财库〔2014〕214号）第三条第四项“市场竞争不充分的科研项目，以及需要扶持的科技成果转化项目”的，提交最后报价的供应商可以为2家。</w:t>
      </w:r>
    </w:p>
    <w:p>
      <w:pPr>
        <w:spacing w:line="360" w:lineRule="auto"/>
        <w:ind w:firstLine="420" w:firstLineChars="200"/>
        <w:rPr>
          <w:rFonts w:hint="eastAsia" w:ascii="宋体" w:hAnsi="宋体"/>
        </w:rPr>
      </w:pPr>
      <w:r>
        <w:rPr>
          <w:rFonts w:hint="eastAsia" w:ascii="宋体" w:hAnsi="宋体"/>
        </w:rPr>
        <w:t>5.4已经提交响应文件的供应商，在提交最后报价之前，可以根据磋商情况退出磋商，退出磋商的供应商的响应文件按无效响应处理。</w:t>
      </w:r>
    </w:p>
    <w:p>
      <w:pPr>
        <w:spacing w:line="360" w:lineRule="auto"/>
        <w:ind w:firstLine="420" w:firstLineChars="200"/>
        <w:rPr>
          <w:rFonts w:hint="eastAsia" w:ascii="宋体" w:hAnsi="宋体"/>
        </w:rPr>
      </w:pPr>
      <w:r>
        <w:rPr>
          <w:rFonts w:hint="eastAsia" w:ascii="宋体" w:hAnsi="宋体"/>
        </w:rPr>
        <w:t>5.5供应商未在规定时间内提交最后报价的，视同退出磋商。</w:t>
      </w:r>
    </w:p>
    <w:p>
      <w:pPr>
        <w:spacing w:line="360" w:lineRule="auto"/>
        <w:ind w:firstLine="420" w:firstLineChars="200"/>
        <w:rPr>
          <w:rFonts w:hint="eastAsia" w:ascii="宋体" w:hAnsi="宋体"/>
        </w:rPr>
      </w:pPr>
      <w:r>
        <w:rPr>
          <w:rFonts w:hint="eastAsia" w:ascii="宋体" w:hAnsi="宋体"/>
        </w:rPr>
        <w:t>5.6磋商小组收齐某一分标最后报价后统一开启，磋商小组对最后报价进行有效性、完整性和响应程度的审查。</w:t>
      </w:r>
    </w:p>
    <w:p>
      <w:pPr>
        <w:spacing w:line="360" w:lineRule="auto"/>
        <w:ind w:firstLine="420" w:firstLineChars="200"/>
        <w:rPr>
          <w:rFonts w:hint="eastAsia" w:ascii="宋体" w:hAnsi="宋体"/>
        </w:rPr>
      </w:pPr>
      <w:r>
        <w:rPr>
          <w:rFonts w:hint="eastAsia" w:ascii="宋体" w:hAnsi="宋体"/>
        </w:rPr>
        <w:t xml:space="preserve">5.7最终响应文件的报价出现前后不一致的，按照本章第3.4条的规定修正。 </w:t>
      </w:r>
    </w:p>
    <w:p>
      <w:pPr>
        <w:spacing w:line="360" w:lineRule="auto"/>
        <w:ind w:firstLine="420" w:firstLineChars="200"/>
        <w:rPr>
          <w:rFonts w:hint="eastAsia" w:ascii="宋体" w:hAnsi="宋体"/>
        </w:rPr>
      </w:pPr>
      <w:r>
        <w:rPr>
          <w:rFonts w:hint="eastAsia" w:ascii="宋体" w:hAnsi="宋体"/>
        </w:rPr>
        <w:t>5.8修正后的最终报价出现下列情形的，按无效响应处理：</w:t>
      </w:r>
    </w:p>
    <w:p>
      <w:pPr>
        <w:spacing w:line="360" w:lineRule="auto"/>
        <w:ind w:firstLine="420" w:firstLineChars="200"/>
        <w:rPr>
          <w:rFonts w:hint="eastAsia" w:ascii="宋体" w:hAnsi="宋体"/>
        </w:rPr>
      </w:pPr>
      <w:r>
        <w:rPr>
          <w:rFonts w:hint="eastAsia" w:ascii="宋体" w:hAnsi="宋体"/>
        </w:rPr>
        <w:t>（1）供应商不确认的（全流程电子化评标采取在线确认）；</w:t>
      </w:r>
    </w:p>
    <w:p>
      <w:pPr>
        <w:spacing w:line="360" w:lineRule="auto"/>
        <w:ind w:firstLine="420" w:firstLineChars="200"/>
        <w:rPr>
          <w:rFonts w:hint="eastAsia" w:ascii="宋体" w:hAnsi="宋体"/>
        </w:rPr>
      </w:pPr>
      <w:r>
        <w:rPr>
          <w:rFonts w:hint="eastAsia" w:ascii="宋体" w:hAnsi="宋体"/>
        </w:rPr>
        <w:t>（2）经供应商确认修正后的响应报价（包含首次报价、最后报价）超过所竞标分标规定的采购预算金额或者最高限价的（如本项目公布了最高限价）；</w:t>
      </w:r>
    </w:p>
    <w:p>
      <w:pPr>
        <w:spacing w:line="360" w:lineRule="auto"/>
        <w:ind w:firstLine="420" w:firstLineChars="200"/>
        <w:rPr>
          <w:rFonts w:hint="eastAsia" w:ascii="宋体" w:hAnsi="宋体"/>
        </w:rPr>
      </w:pPr>
      <w:r>
        <w:rPr>
          <w:rFonts w:hint="eastAsia" w:ascii="宋体" w:hAnsi="宋体"/>
        </w:rPr>
        <w:t>（3）经供应商确认修正后的响应报价（包含首次报价、最后报价）超过分项采购预算金额或者最高限价的（如本项目公布了最高限价）。</w:t>
      </w:r>
    </w:p>
    <w:p>
      <w:pPr>
        <w:spacing w:line="360" w:lineRule="auto"/>
        <w:ind w:firstLine="420" w:firstLineChars="200"/>
        <w:rPr>
          <w:rFonts w:hint="eastAsia" w:ascii="宋体" w:hAnsi="宋体"/>
        </w:rPr>
      </w:pPr>
      <w:r>
        <w:rPr>
          <w:rFonts w:hint="eastAsia" w:ascii="宋体" w:hAnsi="宋体"/>
        </w:rPr>
        <w:t>5.9经供应商确认修正后的最后报价作为评审及签订合同的依据。</w:t>
      </w:r>
    </w:p>
    <w:p>
      <w:pPr>
        <w:spacing w:line="360" w:lineRule="auto"/>
        <w:ind w:firstLine="420" w:firstLineChars="200"/>
        <w:rPr>
          <w:rFonts w:hint="eastAsia" w:ascii="宋体" w:hAnsi="宋体"/>
        </w:rPr>
      </w:pPr>
      <w:r>
        <w:rPr>
          <w:rFonts w:hint="eastAsia" w:ascii="宋体" w:hAnsi="宋体"/>
        </w:rPr>
        <w:t>5.10供应商出现最后报价按无效响应处理或者响应文件按无效处理时</w:t>
      </w:r>
      <w:r>
        <w:rPr>
          <w:rFonts w:hint="eastAsia" w:ascii="宋体" w:hAnsi="宋体"/>
          <w:sz w:val="22"/>
          <w:szCs w:val="22"/>
        </w:rPr>
        <w:t>，磋商小组应当告知有关供应商</w:t>
      </w:r>
      <w:r>
        <w:rPr>
          <w:rFonts w:hint="eastAsia" w:ascii="宋体" w:hAnsi="宋体"/>
        </w:rPr>
        <w:t>。</w:t>
      </w:r>
    </w:p>
    <w:p>
      <w:pPr>
        <w:spacing w:line="360" w:lineRule="auto"/>
        <w:ind w:firstLine="420" w:firstLineChars="200"/>
        <w:rPr>
          <w:rFonts w:hint="eastAsia" w:ascii="宋体" w:hAnsi="宋体"/>
        </w:rPr>
      </w:pPr>
      <w:r>
        <w:rPr>
          <w:rFonts w:hint="eastAsia" w:ascii="宋体" w:hAnsi="宋体"/>
        </w:rPr>
        <w:t>5.11最后报价结束后，磋商小组不得再与供应商进行任何形式的商谈。</w:t>
      </w:r>
    </w:p>
    <w:p>
      <w:pPr>
        <w:ind w:firstLine="200"/>
        <w:rPr>
          <w:rFonts w:hint="eastAsia" w:ascii="黑体" w:hAnsi="宋体" w:eastAsia="黑体" w:cs="宋体"/>
          <w:b/>
          <w:bCs/>
          <w:sz w:val="24"/>
        </w:rPr>
      </w:pPr>
      <w:r>
        <w:rPr>
          <w:rFonts w:hint="eastAsia" w:ascii="黑体" w:hAnsi="黑体" w:eastAsia="黑体" w:cs="宋体"/>
          <w:b/>
          <w:bCs/>
          <w:sz w:val="24"/>
        </w:rPr>
        <w:t>6.比较与评价</w:t>
      </w:r>
    </w:p>
    <w:p>
      <w:pPr>
        <w:spacing w:line="360" w:lineRule="auto"/>
        <w:ind w:firstLine="420" w:firstLineChars="200"/>
        <w:rPr>
          <w:rFonts w:hint="eastAsia" w:ascii="宋体" w:hAnsi="宋体"/>
          <w:szCs w:val="21"/>
        </w:rPr>
      </w:pPr>
      <w:r>
        <w:rPr>
          <w:rFonts w:hint="eastAsia" w:ascii="宋体" w:hAnsi="宋体"/>
        </w:rPr>
        <w:t>6.1评审方法：综合评分法。</w:t>
      </w:r>
    </w:p>
    <w:p>
      <w:pPr>
        <w:spacing w:line="360" w:lineRule="auto"/>
        <w:ind w:firstLine="420" w:firstLineChars="200"/>
        <w:rPr>
          <w:rFonts w:hint="eastAsia" w:ascii="宋体" w:hAnsi="宋体"/>
        </w:rPr>
      </w:pPr>
      <w:r>
        <w:rPr>
          <w:rFonts w:hint="eastAsia" w:ascii="宋体" w:hAnsi="宋体"/>
        </w:rPr>
        <w:t>6.2经磋商确定最终采购需求和提交最后报价的供应商后，由磋商小组采用综合评分法对提交最后报价的供应商的响应文件和最后报价进行综合评分。</w:t>
      </w:r>
    </w:p>
    <w:p>
      <w:pPr>
        <w:spacing w:line="360" w:lineRule="auto"/>
        <w:ind w:firstLine="420" w:firstLineChars="200"/>
        <w:rPr>
          <w:rFonts w:hint="eastAsia" w:ascii="宋体" w:hAnsi="宋体"/>
        </w:rPr>
      </w:pPr>
      <w:r>
        <w:rPr>
          <w:rFonts w:hint="eastAsia" w:ascii="宋体" w:hAnsi="宋体"/>
        </w:rPr>
        <w:t>6.3评审时，磋商小组各成员应当独立对每个有效响应的文件进行评价、打分，然后汇总每个供应商每项评分因素的得分。</w:t>
      </w:r>
    </w:p>
    <w:p>
      <w:pPr>
        <w:spacing w:line="360" w:lineRule="auto"/>
        <w:ind w:firstLine="420" w:firstLineChars="200"/>
        <w:rPr>
          <w:rFonts w:hint="eastAsia" w:ascii="宋体" w:hAnsi="宋体"/>
        </w:rPr>
      </w:pPr>
      <w:r>
        <w:rPr>
          <w:rFonts w:hint="eastAsia" w:ascii="宋体" w:hAnsi="宋体"/>
        </w:rPr>
        <w:t>（1）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pPr>
        <w:spacing w:line="360" w:lineRule="auto"/>
        <w:ind w:firstLine="420" w:firstLineChars="200"/>
        <w:rPr>
          <w:rFonts w:hint="eastAsia" w:ascii="宋体" w:hAnsi="宋体"/>
        </w:rPr>
      </w:pPr>
      <w:r>
        <w:rPr>
          <w:rFonts w:hint="eastAsia" w:ascii="宋体" w:hAnsi="宋体"/>
        </w:rPr>
        <w:t>（2）磋商小组按照磋商文件中规定的评审标准计算各供应商的报价得分。项目评审过程中，不得去掉最后报价中的最高报价和最低报价。</w:t>
      </w:r>
    </w:p>
    <w:p>
      <w:pPr>
        <w:spacing w:line="360" w:lineRule="auto"/>
        <w:ind w:firstLine="420" w:firstLineChars="200"/>
        <w:rPr>
          <w:rFonts w:hint="eastAsia" w:ascii="宋体" w:hAnsi="宋体"/>
        </w:rPr>
      </w:pPr>
      <w:r>
        <w:rPr>
          <w:rFonts w:hint="eastAsia" w:ascii="宋体" w:hAnsi="宋体"/>
        </w:rPr>
        <w:t>（3）各供应商的得分为磋商小组所有成员的有效评分的算术平均数。</w:t>
      </w:r>
    </w:p>
    <w:p>
      <w:pPr>
        <w:spacing w:line="360" w:lineRule="auto"/>
        <w:ind w:firstLine="420" w:firstLineChars="200"/>
        <w:rPr>
          <w:rFonts w:hint="eastAsia" w:ascii="宋体" w:hAnsi="宋体"/>
        </w:rPr>
      </w:pPr>
      <w:r>
        <w:rPr>
          <w:rFonts w:hint="eastAsia" w:ascii="宋体" w:hAnsi="宋体"/>
        </w:rPr>
        <w:t>6.4评审价为供应商的最后报价进行政策性扣除后的价格，评审价只是作为评审时使用。最终成交供应商的成交金额等于最后报价（如有修正，以确认修正后的最后报价为准）。</w:t>
      </w:r>
    </w:p>
    <w:p>
      <w:pPr>
        <w:spacing w:line="360" w:lineRule="auto"/>
        <w:ind w:firstLine="420" w:firstLineChars="200"/>
        <w:rPr>
          <w:rFonts w:hint="eastAsia" w:ascii="宋体" w:hAnsi="宋体"/>
          <w:kern w:val="0"/>
        </w:rPr>
      </w:pPr>
      <w:r>
        <w:rPr>
          <w:rFonts w:hint="eastAsia" w:ascii="宋体" w:hAnsi="宋体"/>
        </w:rPr>
        <w:t>6.5由磋商小组根据综合评分情况，按照评审得分由高到低顺序推荐3名以上成交候选供应商，并编写评</w:t>
      </w:r>
      <w:r>
        <w:rPr>
          <w:rFonts w:hint="eastAsia" w:ascii="宋体" w:hAnsi="宋体"/>
          <w:kern w:val="0"/>
        </w:rPr>
        <w:t>审报告。符合本章第4.3条情形的，可以推荐2家成交候选供应商。评审得分相同的，按照最后报价由低到高的顺序推荐。评审得分且最后报价相同的，按照技术指标优劣顺序推荐。</w:t>
      </w:r>
    </w:p>
    <w:p>
      <w:pPr>
        <w:spacing w:line="360" w:lineRule="auto"/>
        <w:ind w:firstLine="420" w:firstLineChars="200"/>
        <w:rPr>
          <w:rFonts w:hint="eastAsia" w:ascii="宋体" w:hAnsi="宋体"/>
          <w:kern w:val="0"/>
        </w:rPr>
      </w:pPr>
      <w:r>
        <w:rPr>
          <w:rFonts w:hint="eastAsia" w:ascii="宋体" w:hAnsi="宋体"/>
          <w:kern w:val="0"/>
        </w:rPr>
        <w:t>6.6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spacing w:line="360" w:lineRule="auto"/>
        <w:ind w:firstLine="200"/>
        <w:rPr>
          <w:rFonts w:hint="eastAsia" w:ascii="黑体" w:hAnsi="宋体" w:eastAsia="黑体" w:cs="宋体"/>
          <w:b/>
          <w:bCs/>
          <w:sz w:val="24"/>
        </w:rPr>
      </w:pPr>
      <w:r>
        <w:rPr>
          <w:rFonts w:hint="eastAsia" w:ascii="黑体" w:hAnsi="黑体" w:eastAsia="黑体" w:cs="宋体"/>
          <w:b/>
          <w:bCs/>
          <w:sz w:val="24"/>
        </w:rPr>
        <w:t>7.评审复核</w:t>
      </w:r>
    </w:p>
    <w:p>
      <w:pPr>
        <w:spacing w:line="360" w:lineRule="auto"/>
        <w:ind w:firstLine="420" w:firstLineChars="200"/>
        <w:rPr>
          <w:rFonts w:hint="eastAsia" w:ascii="宋体" w:hAnsi="宋体"/>
          <w:szCs w:val="21"/>
        </w:rPr>
      </w:pPr>
      <w:r>
        <w:rPr>
          <w:rFonts w:hint="eastAsia" w:ascii="宋体" w:hAnsi="宋体"/>
        </w:rPr>
        <w:t>7.1评审报告签署前，评审委员会要对评审结果进行复核，复核意见要体现在评审报告中。</w:t>
      </w:r>
    </w:p>
    <w:p>
      <w:pPr>
        <w:widowControl/>
        <w:spacing w:line="360" w:lineRule="auto"/>
        <w:ind w:firstLine="420" w:firstLineChars="200"/>
        <w:jc w:val="left"/>
        <w:rPr>
          <w:rFonts w:hint="eastAsia" w:ascii="宋体" w:hAnsi="宋体"/>
          <w:kern w:val="0"/>
        </w:rPr>
      </w:pPr>
      <w:r>
        <w:rPr>
          <w:rFonts w:hint="eastAsia" w:ascii="宋体" w:hAnsi="宋体"/>
        </w:rPr>
        <w:t>7.2评审结果汇总完成后，采购人、采购代理机构和评审委员会均不得修改评审结果或者要求重新评审，但资格性检查认定错误、分值汇总计算错误、分项评分超出评分标准范围、客观分评分不一致、经评审委员会一致认定评分畸高、畸低的情形除外。出现上述除外情形的，评审委员会应当现场修改评审结果，并在评审报告中明确记载。</w:t>
      </w:r>
    </w:p>
    <w:p>
      <w:pPr>
        <w:ind w:firstLine="200"/>
        <w:rPr>
          <w:rFonts w:hint="eastAsia" w:ascii="黑体" w:hAnsi="宋体" w:eastAsia="黑体" w:cs="宋体"/>
          <w:b/>
          <w:bCs/>
          <w:sz w:val="24"/>
        </w:rPr>
      </w:pPr>
      <w:r>
        <w:rPr>
          <w:rFonts w:hint="eastAsia" w:ascii="黑体" w:hAnsi="黑体" w:eastAsia="黑体" w:cs="宋体"/>
          <w:b/>
          <w:bCs/>
          <w:sz w:val="24"/>
        </w:rPr>
        <w:t>8.评审标准</w:t>
      </w:r>
    </w:p>
    <w:p>
      <w:pPr>
        <w:spacing w:line="360" w:lineRule="auto"/>
        <w:ind w:firstLine="420" w:firstLineChars="200"/>
        <w:rPr>
          <w:rFonts w:hint="eastAsia" w:ascii="宋体" w:hAnsi="宋体"/>
          <w:bCs/>
          <w:szCs w:val="21"/>
        </w:rPr>
      </w:pPr>
      <w:r>
        <w:rPr>
          <w:rFonts w:hint="eastAsia" w:ascii="宋体" w:hAnsi="宋体"/>
        </w:rPr>
        <w:t>8.1</w:t>
      </w:r>
      <w:r>
        <w:rPr>
          <w:rFonts w:hint="eastAsia" w:ascii="宋体" w:hAnsi="宋体"/>
          <w:bCs/>
        </w:rPr>
        <w:t>评审依据：磋商小组将以磋商响应文件为评审依据，对供应商的</w:t>
      </w:r>
      <w:r>
        <w:rPr>
          <w:rFonts w:hint="eastAsia" w:ascii="宋体" w:hAnsi="宋体"/>
          <w:bCs/>
          <w:szCs w:val="21"/>
        </w:rPr>
        <w:t>报价、技术、商务、项目团队</w:t>
      </w:r>
      <w:r>
        <w:rPr>
          <w:rFonts w:hint="eastAsia" w:ascii="宋体" w:hAnsi="宋体"/>
          <w:bCs/>
        </w:rPr>
        <w:t>等方面内容按百分制打分。（计分方法按四舍五入取至百分位）</w:t>
      </w:r>
    </w:p>
    <w:p>
      <w:pPr>
        <w:spacing w:line="360" w:lineRule="auto"/>
        <w:ind w:firstLine="420" w:firstLineChars="200"/>
        <w:rPr>
          <w:rFonts w:hint="eastAsia" w:ascii="宋体" w:hAnsi="宋体"/>
        </w:rPr>
      </w:pPr>
    </w:p>
    <w:p>
      <w:pPr>
        <w:spacing w:line="360" w:lineRule="auto"/>
        <w:ind w:firstLine="420" w:firstLineChars="200"/>
        <w:rPr>
          <w:rFonts w:hint="eastAsia" w:ascii="宋体" w:hAnsi="宋体"/>
        </w:rPr>
      </w:pPr>
    </w:p>
    <w:p>
      <w:pPr>
        <w:spacing w:line="360" w:lineRule="auto"/>
        <w:ind w:firstLine="420" w:firstLineChars="200"/>
        <w:rPr>
          <w:rFonts w:hint="eastAsia" w:ascii="宋体" w:hAnsi="宋体"/>
        </w:rPr>
      </w:pPr>
    </w:p>
    <w:p>
      <w:pPr>
        <w:spacing w:line="360" w:lineRule="auto"/>
        <w:ind w:firstLine="420" w:firstLineChars="200"/>
        <w:rPr>
          <w:rFonts w:hint="eastAsia" w:ascii="宋体" w:hAnsi="宋体"/>
        </w:rPr>
      </w:pPr>
    </w:p>
    <w:p>
      <w:pPr>
        <w:spacing w:line="360" w:lineRule="auto"/>
        <w:ind w:firstLine="420" w:firstLineChars="200"/>
        <w:rPr>
          <w:rFonts w:hint="eastAsia" w:ascii="宋体" w:hAnsi="宋体"/>
        </w:rPr>
      </w:pP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134"/>
        <w:gridCol w:w="5812"/>
        <w:gridCol w:w="10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26" w:hRule="atLeast"/>
          <w:jc w:val="center"/>
        </w:trPr>
        <w:tc>
          <w:tcPr>
            <w:tcW w:w="708" w:type="dxa"/>
            <w:noWrap w:val="0"/>
            <w:vAlign w:val="center"/>
          </w:tcPr>
          <w:p>
            <w:pPr>
              <w:widowControl/>
              <w:spacing w:line="400" w:lineRule="exact"/>
              <w:jc w:val="center"/>
              <w:rPr>
                <w:rFonts w:hint="eastAsia" w:ascii="宋体" w:hAnsi="宋体" w:cs="宋体"/>
                <w:b/>
                <w:bCs/>
                <w:kern w:val="0"/>
                <w:szCs w:val="21"/>
              </w:rPr>
            </w:pPr>
            <w:r>
              <w:rPr>
                <w:rFonts w:hint="eastAsia" w:ascii="宋体" w:hAnsi="宋体" w:cs="宋体"/>
                <w:b/>
                <w:bCs/>
                <w:kern w:val="0"/>
                <w:szCs w:val="21"/>
              </w:rPr>
              <w:t>序号</w:t>
            </w:r>
          </w:p>
        </w:tc>
        <w:tc>
          <w:tcPr>
            <w:tcW w:w="1134" w:type="dxa"/>
            <w:noWrap w:val="0"/>
            <w:vAlign w:val="center"/>
          </w:tcPr>
          <w:p>
            <w:pPr>
              <w:widowControl/>
              <w:spacing w:line="400" w:lineRule="exact"/>
              <w:jc w:val="center"/>
              <w:rPr>
                <w:rFonts w:hint="eastAsia" w:ascii="宋体" w:hAnsi="宋体" w:cs="宋体"/>
                <w:b/>
                <w:bCs/>
                <w:kern w:val="0"/>
                <w:szCs w:val="21"/>
              </w:rPr>
            </w:pPr>
            <w:r>
              <w:rPr>
                <w:rFonts w:hint="eastAsia" w:ascii="宋体" w:hAnsi="宋体" w:cs="宋体"/>
                <w:b/>
                <w:bCs/>
                <w:kern w:val="0"/>
                <w:szCs w:val="21"/>
              </w:rPr>
              <w:t>评审因素</w:t>
            </w:r>
          </w:p>
        </w:tc>
        <w:tc>
          <w:tcPr>
            <w:tcW w:w="5812" w:type="dxa"/>
            <w:noWrap w:val="0"/>
            <w:vAlign w:val="center"/>
          </w:tcPr>
          <w:p>
            <w:pPr>
              <w:widowControl/>
              <w:spacing w:line="400" w:lineRule="exact"/>
              <w:jc w:val="center"/>
              <w:rPr>
                <w:rFonts w:hint="eastAsia" w:ascii="宋体" w:hAnsi="宋体" w:cs="宋体"/>
                <w:b/>
                <w:bCs/>
                <w:kern w:val="0"/>
                <w:szCs w:val="21"/>
              </w:rPr>
            </w:pPr>
            <w:r>
              <w:rPr>
                <w:rFonts w:hint="eastAsia" w:ascii="宋体" w:hAnsi="宋体" w:cs="宋体"/>
                <w:b/>
                <w:bCs/>
                <w:kern w:val="0"/>
                <w:szCs w:val="21"/>
              </w:rPr>
              <w:t>评审因素具体内容</w:t>
            </w:r>
          </w:p>
        </w:tc>
        <w:tc>
          <w:tcPr>
            <w:tcW w:w="1074" w:type="dxa"/>
            <w:noWrap w:val="0"/>
            <w:vAlign w:val="center"/>
          </w:tcPr>
          <w:p>
            <w:pPr>
              <w:widowControl/>
              <w:spacing w:line="400" w:lineRule="exact"/>
              <w:jc w:val="center"/>
              <w:rPr>
                <w:rFonts w:hint="eastAsia" w:ascii="宋体" w:hAnsi="宋体" w:cs="宋体"/>
                <w:b/>
                <w:bCs/>
                <w:kern w:val="0"/>
                <w:szCs w:val="21"/>
              </w:rPr>
            </w:pPr>
            <w:r>
              <w:rPr>
                <w:rFonts w:hint="eastAsia" w:ascii="宋体" w:hAnsi="宋体" w:cs="宋体"/>
                <w:b/>
                <w:bCs/>
                <w:kern w:val="0"/>
                <w:szCs w:val="21"/>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26" w:hRule="atLeast"/>
          <w:jc w:val="center"/>
        </w:trPr>
        <w:tc>
          <w:tcPr>
            <w:tcW w:w="708" w:type="dxa"/>
            <w:noWrap w:val="0"/>
            <w:vAlign w:val="center"/>
          </w:tcPr>
          <w:p>
            <w:pPr>
              <w:widowControl/>
              <w:spacing w:line="400" w:lineRule="exact"/>
              <w:jc w:val="center"/>
              <w:rPr>
                <w:rFonts w:hint="eastAsia" w:ascii="宋体" w:hAnsi="宋体" w:cs="宋体"/>
                <w:b/>
                <w:kern w:val="0"/>
                <w:szCs w:val="21"/>
              </w:rPr>
            </w:pPr>
            <w:r>
              <w:rPr>
                <w:rFonts w:hint="eastAsia" w:ascii="宋体" w:hAnsi="宋体" w:cs="宋体"/>
                <w:b/>
                <w:kern w:val="0"/>
                <w:szCs w:val="21"/>
              </w:rPr>
              <w:t>1</w:t>
            </w:r>
          </w:p>
        </w:tc>
        <w:tc>
          <w:tcPr>
            <w:tcW w:w="1134" w:type="dxa"/>
            <w:noWrap w:val="0"/>
            <w:vAlign w:val="center"/>
          </w:tcPr>
          <w:p>
            <w:pPr>
              <w:widowControl/>
              <w:spacing w:line="400" w:lineRule="exact"/>
              <w:jc w:val="center"/>
              <w:rPr>
                <w:rFonts w:hint="eastAsia" w:ascii="宋体" w:hAnsi="宋体" w:cs="宋体"/>
                <w:b/>
                <w:kern w:val="0"/>
                <w:szCs w:val="21"/>
              </w:rPr>
            </w:pPr>
            <w:r>
              <w:rPr>
                <w:rFonts w:hint="eastAsia" w:ascii="宋体" w:hAnsi="宋体" w:cs="宋体"/>
                <w:b/>
                <w:kern w:val="0"/>
                <w:szCs w:val="21"/>
              </w:rPr>
              <w:t>价格分</w:t>
            </w:r>
          </w:p>
        </w:tc>
        <w:tc>
          <w:tcPr>
            <w:tcW w:w="5812" w:type="dxa"/>
            <w:noWrap w:val="0"/>
            <w:vAlign w:val="top"/>
          </w:tcPr>
          <w:p>
            <w:pPr>
              <w:pStyle w:val="110"/>
              <w:spacing w:line="400" w:lineRule="exact"/>
              <w:ind w:firstLine="420" w:firstLineChars="200"/>
              <w:rPr>
                <w:rFonts w:hint="eastAsia" w:eastAsia="宋体"/>
                <w:color w:val="000000"/>
                <w:sz w:val="21"/>
              </w:rPr>
            </w:pPr>
          </w:p>
          <w:p>
            <w:pPr>
              <w:pStyle w:val="110"/>
              <w:spacing w:line="400" w:lineRule="exact"/>
              <w:ind w:firstLine="420" w:firstLineChars="200"/>
              <w:rPr>
                <w:rFonts w:hint="eastAsia" w:eastAsia="宋体"/>
                <w:color w:val="000000"/>
                <w:sz w:val="21"/>
              </w:rPr>
            </w:pPr>
            <w:r>
              <w:rPr>
                <w:rFonts w:hint="eastAsia" w:eastAsia="宋体"/>
                <w:color w:val="000000"/>
                <w:sz w:val="21"/>
              </w:rPr>
              <w:t>1.</w:t>
            </w:r>
            <w:r>
              <w:rPr>
                <w:rFonts w:hint="eastAsia" w:eastAsia="宋体"/>
                <w:bCs/>
                <w:sz w:val="21"/>
              </w:rPr>
              <w:t>本项目专门面向中小企业，不再执行价格评审优惠的扶持政策。</w:t>
            </w:r>
          </w:p>
          <w:p>
            <w:pPr>
              <w:pStyle w:val="110"/>
              <w:spacing w:line="400" w:lineRule="exact"/>
              <w:ind w:firstLine="420" w:firstLineChars="200"/>
              <w:rPr>
                <w:rFonts w:hint="eastAsia" w:eastAsia="宋体"/>
                <w:color w:val="000000"/>
                <w:sz w:val="21"/>
              </w:rPr>
            </w:pPr>
            <w:r>
              <w:rPr>
                <w:rFonts w:hint="eastAsia" w:eastAsia="宋体"/>
                <w:color w:val="000000"/>
                <w:sz w:val="21"/>
              </w:rPr>
              <w:t>2.以进入比较与评价环节的最低的评审报价为基准价，基准价得分为15分。</w:t>
            </w:r>
          </w:p>
          <w:p>
            <w:pPr>
              <w:pStyle w:val="110"/>
              <w:spacing w:line="400" w:lineRule="exact"/>
              <w:ind w:firstLine="420" w:firstLineChars="200"/>
              <w:rPr>
                <w:rFonts w:hint="eastAsia" w:eastAsia="宋体"/>
                <w:color w:val="000000"/>
                <w:sz w:val="21"/>
              </w:rPr>
            </w:pPr>
            <w:r>
              <w:rPr>
                <w:rFonts w:hint="eastAsia" w:eastAsia="宋体"/>
                <w:color w:val="000000"/>
                <w:sz w:val="21"/>
              </w:rPr>
              <w:t>3.价格分计算公式：</w:t>
            </w:r>
          </w:p>
          <w:p>
            <w:pPr>
              <w:spacing w:line="400" w:lineRule="exact"/>
              <w:ind w:firstLine="420"/>
              <w:jc w:val="left"/>
              <w:rPr>
                <w:rFonts w:hint="eastAsia" w:ascii="宋体" w:hAnsi="宋体" w:cs="宋体"/>
                <w:bCs/>
                <w:szCs w:val="21"/>
              </w:rPr>
            </w:pPr>
            <w:r>
              <w:rPr>
                <w:rFonts w:hint="eastAsia" w:ascii="宋体" w:hAnsi="宋体"/>
                <w:color w:val="000000"/>
                <w:szCs w:val="21"/>
              </w:rPr>
              <w:t>报价得分=（基准价/最后报价）×15分</w:t>
            </w:r>
          </w:p>
        </w:tc>
        <w:tc>
          <w:tcPr>
            <w:tcW w:w="1074" w:type="dxa"/>
            <w:noWrap w:val="0"/>
            <w:vAlign w:val="center"/>
          </w:tcPr>
          <w:p>
            <w:pPr>
              <w:widowControl/>
              <w:spacing w:line="400" w:lineRule="exact"/>
              <w:jc w:val="center"/>
              <w:rPr>
                <w:rFonts w:hint="eastAsia" w:ascii="宋体" w:hAnsi="宋体" w:cs="宋体"/>
                <w:color w:val="000000"/>
                <w:kern w:val="0"/>
                <w:szCs w:val="21"/>
              </w:rPr>
            </w:pPr>
            <w:r>
              <w:rPr>
                <w:rFonts w:hint="eastAsia" w:ascii="宋体" w:hAnsi="宋体" w:cs="宋体"/>
                <w:color w:val="000000"/>
                <w:kern w:val="0"/>
                <w:szCs w:val="21"/>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18" w:hRule="atLeast"/>
          <w:jc w:val="center"/>
        </w:trPr>
        <w:tc>
          <w:tcPr>
            <w:tcW w:w="708" w:type="dxa"/>
            <w:noWrap w:val="0"/>
            <w:vAlign w:val="center"/>
          </w:tcPr>
          <w:p>
            <w:pPr>
              <w:widowControl/>
              <w:spacing w:line="400" w:lineRule="exact"/>
              <w:jc w:val="center"/>
              <w:rPr>
                <w:rFonts w:hint="eastAsia" w:ascii="宋体" w:hAnsi="宋体" w:cs="宋体"/>
                <w:b/>
                <w:kern w:val="0"/>
                <w:szCs w:val="21"/>
              </w:rPr>
            </w:pPr>
            <w:r>
              <w:rPr>
                <w:rFonts w:hint="eastAsia" w:ascii="宋体" w:hAnsi="宋体" w:cs="宋体"/>
                <w:b/>
                <w:bCs/>
                <w:kern w:val="0"/>
                <w:szCs w:val="21"/>
              </w:rPr>
              <w:t>2</w:t>
            </w:r>
          </w:p>
        </w:tc>
        <w:tc>
          <w:tcPr>
            <w:tcW w:w="1134" w:type="dxa"/>
            <w:noWrap w:val="0"/>
            <w:vAlign w:val="center"/>
          </w:tcPr>
          <w:p>
            <w:pPr>
              <w:widowControl/>
              <w:spacing w:line="400" w:lineRule="exact"/>
              <w:jc w:val="center"/>
              <w:rPr>
                <w:rFonts w:hint="eastAsia" w:ascii="宋体" w:hAnsi="宋体" w:cs="宋体"/>
                <w:b/>
                <w:kern w:val="0"/>
                <w:szCs w:val="21"/>
              </w:rPr>
            </w:pPr>
            <w:r>
              <w:rPr>
                <w:rFonts w:hint="eastAsia" w:ascii="宋体" w:hAnsi="宋体" w:cs="宋体"/>
                <w:b/>
                <w:bCs/>
                <w:kern w:val="0"/>
                <w:szCs w:val="21"/>
              </w:rPr>
              <w:t>技术分</w:t>
            </w:r>
          </w:p>
        </w:tc>
        <w:tc>
          <w:tcPr>
            <w:tcW w:w="5812" w:type="dxa"/>
            <w:noWrap w:val="0"/>
            <w:vAlign w:val="center"/>
          </w:tcPr>
          <w:p>
            <w:pPr>
              <w:widowControl/>
              <w:spacing w:line="400" w:lineRule="exact"/>
              <w:jc w:val="center"/>
              <w:rPr>
                <w:rFonts w:hint="eastAsia" w:ascii="宋体" w:hAnsi="宋体" w:cs="宋体"/>
                <w:b/>
                <w:kern w:val="0"/>
                <w:szCs w:val="21"/>
              </w:rPr>
            </w:pPr>
            <w:r>
              <w:rPr>
                <w:rFonts w:hint="eastAsia" w:ascii="宋体" w:hAnsi="宋体" w:cs="宋体"/>
                <w:b/>
                <w:kern w:val="0"/>
                <w:szCs w:val="21"/>
              </w:rPr>
              <w:t>评审因素</w:t>
            </w:r>
          </w:p>
        </w:tc>
        <w:tc>
          <w:tcPr>
            <w:tcW w:w="1074" w:type="dxa"/>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65分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550" w:hRule="atLeast"/>
          <w:jc w:val="center"/>
        </w:trPr>
        <w:tc>
          <w:tcPr>
            <w:tcW w:w="708" w:type="dxa"/>
            <w:noWrap w:val="0"/>
            <w:vAlign w:val="center"/>
          </w:tcPr>
          <w:p>
            <w:pPr>
              <w:adjustRightInd w:val="0"/>
              <w:spacing w:line="400" w:lineRule="exact"/>
              <w:ind w:left="-105" w:leftChars="-50" w:right="-105" w:rightChars="-50"/>
              <w:jc w:val="center"/>
              <w:textAlignment w:val="baseline"/>
              <w:rPr>
                <w:rFonts w:hint="eastAsia" w:ascii="宋体" w:hAnsi="宋体" w:cs="宋体"/>
                <w:bCs/>
                <w:kern w:val="0"/>
                <w:szCs w:val="21"/>
              </w:rPr>
            </w:pPr>
            <w:r>
              <w:rPr>
                <w:rFonts w:hint="eastAsia" w:ascii="宋体" w:hAnsi="宋体" w:cs="宋体"/>
                <w:bCs/>
                <w:kern w:val="0"/>
                <w:szCs w:val="21"/>
              </w:rPr>
              <w:t>2.1</w:t>
            </w:r>
          </w:p>
        </w:tc>
        <w:tc>
          <w:tcPr>
            <w:tcW w:w="1134" w:type="dxa"/>
            <w:noWrap w:val="0"/>
            <w:vAlign w:val="center"/>
          </w:tcPr>
          <w:p>
            <w:pPr>
              <w:jc w:val="center"/>
              <w:rPr>
                <w:rFonts w:hint="eastAsia" w:ascii="宋体" w:hAnsi="宋体" w:cs="宋体"/>
                <w:bCs/>
                <w:kern w:val="0"/>
                <w:szCs w:val="21"/>
              </w:rPr>
            </w:pPr>
            <w:r>
              <w:rPr>
                <w:rFonts w:hint="eastAsia" w:ascii="宋体" w:hAnsi="宋体" w:cs="宋体"/>
                <w:bCs/>
                <w:szCs w:val="21"/>
              </w:rPr>
              <w:t>运维服务方案分</w:t>
            </w:r>
          </w:p>
        </w:tc>
        <w:tc>
          <w:tcPr>
            <w:tcW w:w="5812" w:type="dxa"/>
            <w:noWrap w:val="0"/>
            <w:vAlign w:val="center"/>
          </w:tcPr>
          <w:p>
            <w:pPr>
              <w:spacing w:line="400" w:lineRule="exact"/>
              <w:ind w:firstLine="420"/>
              <w:jc w:val="left"/>
              <w:rPr>
                <w:rFonts w:ascii="宋体" w:hAnsi="宋体" w:cs="宋体"/>
                <w:bCs/>
                <w:szCs w:val="21"/>
              </w:rPr>
            </w:pPr>
            <w:r>
              <w:rPr>
                <w:rFonts w:hint="eastAsia" w:ascii="宋体" w:hAnsi="宋体" w:cs="宋体"/>
                <w:bCs/>
                <w:szCs w:val="21"/>
              </w:rPr>
              <w:t>根据提供的运维服务方案中维护管理服务、运维管理平台服务、日常巡检服务、软件运行维护、数据库运维服务、系统安全保障、重大节假日保障、问题跟踪管理、系统运维结果输出等描述进行评分。</w:t>
            </w:r>
          </w:p>
          <w:p>
            <w:pPr>
              <w:spacing w:line="400" w:lineRule="exact"/>
              <w:ind w:firstLine="420"/>
              <w:jc w:val="left"/>
              <w:rPr>
                <w:rFonts w:ascii="宋体" w:hAnsi="宋体" w:cs="宋体"/>
                <w:bCs/>
                <w:szCs w:val="21"/>
              </w:rPr>
            </w:pPr>
            <w:r>
              <w:rPr>
                <w:rFonts w:hint="eastAsia" w:ascii="宋体" w:hAnsi="宋体" w:cs="宋体"/>
                <w:bCs/>
                <w:szCs w:val="21"/>
              </w:rPr>
              <w:t>一档（8分）：运维服务方案理解欠缺，日常巡检服务、软件运行维护、问题跟踪管理描述内容粗糙，基本满足项目需求的。</w:t>
            </w:r>
          </w:p>
          <w:p>
            <w:pPr>
              <w:spacing w:line="400" w:lineRule="exact"/>
              <w:ind w:firstLine="420"/>
              <w:jc w:val="left"/>
              <w:rPr>
                <w:rFonts w:ascii="宋体" w:hAnsi="宋体" w:cs="宋体"/>
                <w:bCs/>
                <w:szCs w:val="21"/>
              </w:rPr>
            </w:pPr>
            <w:r>
              <w:rPr>
                <w:rFonts w:hint="eastAsia" w:ascii="宋体" w:hAnsi="宋体" w:cs="宋体"/>
                <w:bCs/>
                <w:szCs w:val="21"/>
              </w:rPr>
              <w:t>二档（16分）：运维服务方案完备、操作性一般，日常巡检服务、软件运行维护、问题跟踪管理描述内容较为详细，符合项目实际情况的。</w:t>
            </w:r>
          </w:p>
          <w:p>
            <w:pPr>
              <w:spacing w:line="400" w:lineRule="exact"/>
              <w:ind w:firstLine="420"/>
              <w:jc w:val="left"/>
              <w:rPr>
                <w:rFonts w:ascii="宋体" w:hAnsi="宋体" w:cs="宋体"/>
                <w:bCs/>
                <w:szCs w:val="21"/>
              </w:rPr>
            </w:pPr>
            <w:r>
              <w:rPr>
                <w:rFonts w:hint="eastAsia" w:ascii="宋体" w:hAnsi="宋体" w:cs="宋体"/>
                <w:bCs/>
                <w:szCs w:val="21"/>
              </w:rPr>
              <w:t>三档（26分）：运维服务方案合理、完备、操作性强，日常巡检服务、软件运行维护、问题跟踪管理描述内容详细、完善，完全满足项目需求的。</w:t>
            </w:r>
          </w:p>
          <w:p>
            <w:pPr>
              <w:spacing w:line="400" w:lineRule="exact"/>
              <w:ind w:firstLine="420"/>
              <w:jc w:val="left"/>
              <w:rPr>
                <w:rFonts w:hint="eastAsia" w:ascii="宋体" w:hAnsi="宋体" w:cs="宋体"/>
                <w:bCs/>
                <w:szCs w:val="21"/>
              </w:rPr>
            </w:pPr>
            <w:r>
              <w:rPr>
                <w:rFonts w:hint="eastAsia" w:ascii="宋体" w:hAnsi="宋体" w:cs="宋体"/>
                <w:bCs/>
                <w:szCs w:val="21"/>
              </w:rPr>
              <w:t>以上各档次不重复计分，由磋商小组根据各磋商供应商提供的运维服务方案内容，在相应内容档次内打分。不满足进档要求的，不予进档，得0分。</w:t>
            </w:r>
          </w:p>
        </w:tc>
        <w:tc>
          <w:tcPr>
            <w:tcW w:w="1074" w:type="dxa"/>
            <w:noWrap w:val="0"/>
            <w:vAlign w:val="center"/>
          </w:tcPr>
          <w:p>
            <w:pPr>
              <w:spacing w:line="400" w:lineRule="exact"/>
              <w:jc w:val="center"/>
              <w:rPr>
                <w:rFonts w:hint="eastAsia" w:ascii="宋体" w:hAnsi="宋体" w:cs="宋体"/>
                <w:kern w:val="0"/>
                <w:szCs w:val="21"/>
              </w:rPr>
            </w:pPr>
            <w:r>
              <w:rPr>
                <w:rFonts w:hint="eastAsia" w:ascii="宋体" w:hAnsi="宋体" w:cs="宋体"/>
                <w:kern w:val="0"/>
                <w:szCs w:val="21"/>
              </w:rPr>
              <w:t>26分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550" w:hRule="atLeast"/>
          <w:jc w:val="center"/>
        </w:trPr>
        <w:tc>
          <w:tcPr>
            <w:tcW w:w="708" w:type="dxa"/>
            <w:noWrap w:val="0"/>
            <w:vAlign w:val="center"/>
          </w:tcPr>
          <w:p>
            <w:pPr>
              <w:adjustRightInd w:val="0"/>
              <w:spacing w:line="400" w:lineRule="exact"/>
              <w:ind w:left="-105" w:leftChars="-50" w:right="-105" w:rightChars="-50"/>
              <w:jc w:val="center"/>
              <w:textAlignment w:val="baseline"/>
              <w:rPr>
                <w:rFonts w:hint="eastAsia" w:ascii="宋体" w:hAnsi="宋体" w:cs="宋体"/>
                <w:bCs/>
                <w:kern w:val="0"/>
                <w:szCs w:val="21"/>
              </w:rPr>
            </w:pPr>
            <w:r>
              <w:rPr>
                <w:rFonts w:hint="eastAsia" w:ascii="宋体" w:hAnsi="宋体" w:cs="宋体"/>
                <w:bCs/>
                <w:kern w:val="0"/>
                <w:szCs w:val="21"/>
              </w:rPr>
              <w:t>2.</w:t>
            </w:r>
            <w:r>
              <w:rPr>
                <w:rFonts w:ascii="宋体" w:hAnsi="宋体" w:cs="宋体"/>
                <w:bCs/>
                <w:kern w:val="0"/>
                <w:szCs w:val="21"/>
              </w:rPr>
              <w:t>2</w:t>
            </w:r>
          </w:p>
        </w:tc>
        <w:tc>
          <w:tcPr>
            <w:tcW w:w="1134" w:type="dxa"/>
            <w:noWrap w:val="0"/>
            <w:vAlign w:val="center"/>
          </w:tcPr>
          <w:p>
            <w:pPr>
              <w:spacing w:line="400" w:lineRule="exact"/>
              <w:jc w:val="center"/>
              <w:rPr>
                <w:rFonts w:hint="eastAsia" w:ascii="宋体" w:hAnsi="宋体" w:cs="宋体"/>
                <w:bCs/>
                <w:kern w:val="0"/>
                <w:szCs w:val="21"/>
              </w:rPr>
            </w:pPr>
            <w:r>
              <w:rPr>
                <w:rFonts w:hint="eastAsia" w:ascii="宋体" w:hAnsi="宋体" w:cs="宋体"/>
                <w:bCs/>
                <w:szCs w:val="21"/>
              </w:rPr>
              <w:t>应急保障方案分</w:t>
            </w:r>
          </w:p>
        </w:tc>
        <w:tc>
          <w:tcPr>
            <w:tcW w:w="5812" w:type="dxa"/>
            <w:noWrap w:val="0"/>
            <w:vAlign w:val="center"/>
          </w:tcPr>
          <w:p>
            <w:pPr>
              <w:spacing w:line="400" w:lineRule="exact"/>
              <w:ind w:firstLine="420"/>
              <w:jc w:val="left"/>
              <w:rPr>
                <w:rFonts w:ascii="宋体" w:hAnsi="宋体" w:cs="宋体"/>
                <w:bCs/>
                <w:szCs w:val="21"/>
              </w:rPr>
            </w:pPr>
            <w:r>
              <w:rPr>
                <w:rFonts w:hint="eastAsia" w:ascii="宋体" w:hAnsi="宋体" w:cs="宋体"/>
                <w:bCs/>
                <w:szCs w:val="21"/>
              </w:rPr>
              <w:t>根据提供的应急保障方案中故障处理服务、重大故障应急预案及措施安排等内容是否详细、科学、合理等进行评分。</w:t>
            </w:r>
          </w:p>
          <w:p>
            <w:pPr>
              <w:spacing w:line="400" w:lineRule="exact"/>
              <w:ind w:firstLine="420"/>
              <w:jc w:val="left"/>
              <w:rPr>
                <w:rFonts w:ascii="宋体" w:hAnsi="宋体" w:cs="宋体"/>
                <w:bCs/>
                <w:szCs w:val="21"/>
              </w:rPr>
            </w:pPr>
            <w:r>
              <w:rPr>
                <w:rFonts w:hint="eastAsia" w:ascii="宋体" w:hAnsi="宋体" w:cs="宋体"/>
                <w:bCs/>
                <w:szCs w:val="21"/>
              </w:rPr>
              <w:t>一档（4分）：方案中包含故障处理服务、重大故障应急预案及措施安排等内容，但比较简单。</w:t>
            </w:r>
          </w:p>
          <w:p>
            <w:pPr>
              <w:spacing w:line="400" w:lineRule="exact"/>
              <w:ind w:firstLine="420"/>
              <w:jc w:val="left"/>
              <w:rPr>
                <w:rFonts w:ascii="宋体" w:hAnsi="宋体" w:cs="宋体"/>
                <w:bCs/>
                <w:szCs w:val="21"/>
              </w:rPr>
            </w:pPr>
            <w:r>
              <w:rPr>
                <w:rFonts w:hint="eastAsia" w:ascii="宋体" w:hAnsi="宋体" w:cs="宋体"/>
                <w:bCs/>
                <w:szCs w:val="21"/>
              </w:rPr>
              <w:t>二档（8分）：方案中包含故障处理服务、重大故障应急预案及措施安排等内容，方案内容基本全面，应急处置流程、措施完善、具体，保障措施较详尽科学，可行性较好。</w:t>
            </w:r>
          </w:p>
          <w:p>
            <w:pPr>
              <w:spacing w:line="400" w:lineRule="exact"/>
              <w:ind w:firstLine="420"/>
              <w:jc w:val="left"/>
              <w:rPr>
                <w:rFonts w:ascii="宋体" w:hAnsi="宋体" w:cs="宋体"/>
                <w:bCs/>
                <w:szCs w:val="21"/>
              </w:rPr>
            </w:pPr>
            <w:r>
              <w:rPr>
                <w:rFonts w:hint="eastAsia" w:ascii="宋体" w:hAnsi="宋体" w:cs="宋体"/>
                <w:bCs/>
                <w:szCs w:val="21"/>
              </w:rPr>
              <w:t>三档（12分）：方案中包含故障处理服务、重大故障应急预案及措施安排等内容，方案内容全面、科学合理，应急处置流程、措施科学合理、完善、具体，保障措施详尽科学合理、内容完善，可行性强。</w:t>
            </w:r>
          </w:p>
          <w:p>
            <w:pPr>
              <w:spacing w:line="400" w:lineRule="exact"/>
              <w:ind w:firstLine="420"/>
              <w:jc w:val="left"/>
              <w:rPr>
                <w:rFonts w:hint="eastAsia" w:ascii="宋体" w:hAnsi="宋体" w:cs="宋体"/>
                <w:bCs/>
                <w:szCs w:val="21"/>
              </w:rPr>
            </w:pPr>
            <w:r>
              <w:rPr>
                <w:rFonts w:hint="eastAsia" w:ascii="宋体" w:hAnsi="宋体" w:cs="宋体"/>
                <w:bCs/>
                <w:szCs w:val="21"/>
              </w:rPr>
              <w:t>以上各档次不重复计分，由磋商小组根据各磋商供应商提供的应急保障方案内容，在相应内容档次内打分。不满足进档要求的，不予进档，得0分。</w:t>
            </w:r>
          </w:p>
        </w:tc>
        <w:tc>
          <w:tcPr>
            <w:tcW w:w="1074" w:type="dxa"/>
            <w:noWrap w:val="0"/>
            <w:vAlign w:val="center"/>
          </w:tcPr>
          <w:p>
            <w:pPr>
              <w:spacing w:line="400" w:lineRule="exact"/>
              <w:jc w:val="center"/>
              <w:rPr>
                <w:rFonts w:hint="eastAsia" w:ascii="宋体" w:hAnsi="宋体" w:cs="宋体"/>
                <w:kern w:val="0"/>
                <w:szCs w:val="21"/>
              </w:rPr>
            </w:pPr>
            <w:r>
              <w:rPr>
                <w:rFonts w:hint="eastAsia" w:ascii="宋体" w:hAnsi="宋体" w:cs="宋体"/>
                <w:kern w:val="0"/>
                <w:szCs w:val="21"/>
              </w:rPr>
              <w:t>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550" w:hRule="atLeast"/>
          <w:jc w:val="center"/>
        </w:trPr>
        <w:tc>
          <w:tcPr>
            <w:tcW w:w="708" w:type="dxa"/>
            <w:noWrap w:val="0"/>
            <w:vAlign w:val="center"/>
          </w:tcPr>
          <w:p>
            <w:pPr>
              <w:adjustRightInd w:val="0"/>
              <w:spacing w:line="400" w:lineRule="exact"/>
              <w:ind w:left="-105" w:leftChars="-50" w:right="-105" w:rightChars="-50"/>
              <w:jc w:val="center"/>
              <w:textAlignment w:val="baseline"/>
              <w:rPr>
                <w:rFonts w:hint="eastAsia" w:ascii="宋体" w:hAnsi="宋体" w:cs="宋体"/>
                <w:bCs/>
                <w:kern w:val="0"/>
                <w:szCs w:val="21"/>
              </w:rPr>
            </w:pPr>
            <w:r>
              <w:rPr>
                <w:rFonts w:hint="eastAsia" w:ascii="宋体" w:hAnsi="宋体" w:cs="宋体"/>
                <w:bCs/>
                <w:kern w:val="0"/>
                <w:szCs w:val="21"/>
              </w:rPr>
              <w:t>2.3</w:t>
            </w:r>
          </w:p>
        </w:tc>
        <w:tc>
          <w:tcPr>
            <w:tcW w:w="1134" w:type="dxa"/>
            <w:noWrap w:val="0"/>
            <w:vAlign w:val="center"/>
          </w:tcPr>
          <w:p>
            <w:pPr>
              <w:pStyle w:val="111"/>
              <w:spacing w:line="300" w:lineRule="exact"/>
              <w:ind w:firstLine="0" w:firstLineChars="0"/>
              <w:jc w:val="center"/>
              <w:rPr>
                <w:rFonts w:hint="eastAsia" w:ascii="仿宋" w:hAnsi="仿宋" w:eastAsia="仿宋"/>
                <w:sz w:val="24"/>
              </w:rPr>
            </w:pPr>
            <w:r>
              <w:rPr>
                <w:rFonts w:hint="eastAsia" w:ascii="宋体" w:hAnsi="宋体" w:cs="宋体"/>
                <w:sz w:val="21"/>
                <w:szCs w:val="21"/>
              </w:rPr>
              <w:t>项目培训方案分</w:t>
            </w:r>
          </w:p>
        </w:tc>
        <w:tc>
          <w:tcPr>
            <w:tcW w:w="5812" w:type="dxa"/>
            <w:noWrap w:val="0"/>
            <w:vAlign w:val="center"/>
          </w:tcPr>
          <w:p>
            <w:pPr>
              <w:pStyle w:val="111"/>
              <w:spacing w:line="300" w:lineRule="exact"/>
              <w:ind w:firstLine="420"/>
              <w:rPr>
                <w:rFonts w:ascii="宋体" w:hAnsi="宋体" w:cs="宋体"/>
                <w:bCs/>
                <w:sz w:val="21"/>
                <w:szCs w:val="21"/>
              </w:rPr>
            </w:pPr>
            <w:r>
              <w:rPr>
                <w:rFonts w:hint="eastAsia" w:ascii="宋体" w:hAnsi="宋体" w:cs="宋体"/>
                <w:bCs/>
                <w:sz w:val="21"/>
                <w:szCs w:val="21"/>
              </w:rPr>
              <w:t>根据提供的项目培训方案中培训意义、质量保证、培训策略等内容是否详细、合理、清晰等进行评分。</w:t>
            </w:r>
          </w:p>
          <w:p>
            <w:pPr>
              <w:pStyle w:val="111"/>
              <w:spacing w:line="300" w:lineRule="exact"/>
              <w:ind w:firstLine="420"/>
              <w:rPr>
                <w:rFonts w:ascii="宋体" w:hAnsi="宋体" w:cs="宋体"/>
                <w:bCs/>
                <w:sz w:val="21"/>
                <w:szCs w:val="21"/>
              </w:rPr>
            </w:pPr>
            <w:r>
              <w:rPr>
                <w:rFonts w:hint="eastAsia" w:ascii="宋体" w:hAnsi="宋体" w:cs="宋体"/>
                <w:bCs/>
                <w:sz w:val="21"/>
                <w:szCs w:val="21"/>
              </w:rPr>
              <w:t>一档（4分）：培训工作方案包含培训意义、质量保证、培训策略等内容，但论述比较简单。</w:t>
            </w:r>
          </w:p>
          <w:p>
            <w:pPr>
              <w:pStyle w:val="111"/>
              <w:spacing w:line="300" w:lineRule="exact"/>
              <w:ind w:firstLine="420"/>
              <w:rPr>
                <w:rFonts w:ascii="宋体" w:hAnsi="宋体" w:cs="宋体"/>
                <w:bCs/>
                <w:sz w:val="21"/>
                <w:szCs w:val="21"/>
              </w:rPr>
            </w:pPr>
            <w:r>
              <w:rPr>
                <w:rFonts w:hint="eastAsia" w:ascii="宋体" w:hAnsi="宋体" w:cs="宋体"/>
                <w:bCs/>
                <w:sz w:val="21"/>
                <w:szCs w:val="21"/>
              </w:rPr>
              <w:t>二档（8分）：培训工作方案包含培训意义、质量保证、培训策略等内容，内容有细化描述，内容覆盖完善。</w:t>
            </w:r>
          </w:p>
          <w:p>
            <w:pPr>
              <w:pStyle w:val="111"/>
              <w:spacing w:line="300" w:lineRule="exact"/>
              <w:ind w:firstLine="420"/>
              <w:rPr>
                <w:rFonts w:ascii="宋体" w:hAnsi="宋体" w:cs="宋体"/>
                <w:bCs/>
                <w:sz w:val="21"/>
                <w:szCs w:val="21"/>
              </w:rPr>
            </w:pPr>
            <w:r>
              <w:rPr>
                <w:rFonts w:hint="eastAsia" w:ascii="宋体" w:hAnsi="宋体" w:cs="宋体"/>
                <w:bCs/>
                <w:sz w:val="21"/>
                <w:szCs w:val="21"/>
              </w:rPr>
              <w:t>三档（12分）：培训工作方案包含培训意义、质量保证、培训策略等内容，内容条理清晰、内容覆盖完全、培训安排合理。</w:t>
            </w:r>
          </w:p>
          <w:p>
            <w:pPr>
              <w:spacing w:line="400" w:lineRule="exact"/>
              <w:ind w:firstLine="420"/>
              <w:jc w:val="left"/>
              <w:rPr>
                <w:rFonts w:hint="eastAsia" w:ascii="宋体" w:hAnsi="宋体" w:cs="宋体"/>
                <w:bCs/>
                <w:szCs w:val="21"/>
              </w:rPr>
            </w:pPr>
            <w:r>
              <w:rPr>
                <w:rFonts w:hint="eastAsia" w:ascii="宋体" w:hAnsi="宋体" w:cs="宋体"/>
                <w:bCs/>
                <w:szCs w:val="21"/>
              </w:rPr>
              <w:t>以上各档次不重复计分，由磋商小组根据各磋商供应商提供的项目培训方案内容，在相应内容档次内打分。不满足进档要求的，不予进档，得0分。</w:t>
            </w:r>
          </w:p>
        </w:tc>
        <w:tc>
          <w:tcPr>
            <w:tcW w:w="1074" w:type="dxa"/>
            <w:noWrap w:val="0"/>
            <w:vAlign w:val="center"/>
          </w:tcPr>
          <w:p>
            <w:pPr>
              <w:spacing w:line="400" w:lineRule="exact"/>
              <w:jc w:val="center"/>
              <w:rPr>
                <w:rFonts w:hint="eastAsia" w:ascii="宋体" w:hAnsi="宋体" w:cs="宋体"/>
                <w:kern w:val="0"/>
                <w:szCs w:val="21"/>
              </w:rPr>
            </w:pPr>
            <w:r>
              <w:rPr>
                <w:rFonts w:hint="eastAsia" w:ascii="宋体" w:hAnsi="宋体" w:cs="宋体"/>
                <w:kern w:val="0"/>
                <w:szCs w:val="21"/>
              </w:rPr>
              <w:t>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550" w:hRule="atLeast"/>
          <w:jc w:val="center"/>
        </w:trPr>
        <w:tc>
          <w:tcPr>
            <w:tcW w:w="708" w:type="dxa"/>
            <w:noWrap w:val="0"/>
            <w:vAlign w:val="center"/>
          </w:tcPr>
          <w:p>
            <w:pPr>
              <w:adjustRightInd w:val="0"/>
              <w:spacing w:line="400" w:lineRule="exact"/>
              <w:ind w:left="-105" w:leftChars="-50" w:right="-105" w:rightChars="-50"/>
              <w:jc w:val="center"/>
              <w:textAlignment w:val="baseline"/>
              <w:rPr>
                <w:rFonts w:hint="eastAsia" w:ascii="宋体" w:hAnsi="宋体" w:cs="宋体"/>
                <w:bCs/>
                <w:kern w:val="0"/>
                <w:szCs w:val="21"/>
              </w:rPr>
            </w:pPr>
            <w:r>
              <w:rPr>
                <w:rFonts w:hint="eastAsia" w:ascii="宋体" w:hAnsi="宋体" w:cs="宋体"/>
                <w:bCs/>
                <w:kern w:val="0"/>
                <w:szCs w:val="21"/>
              </w:rPr>
              <w:t>2.4</w:t>
            </w:r>
          </w:p>
        </w:tc>
        <w:tc>
          <w:tcPr>
            <w:tcW w:w="1134" w:type="dxa"/>
            <w:noWrap w:val="0"/>
            <w:vAlign w:val="center"/>
          </w:tcPr>
          <w:p>
            <w:pPr>
              <w:jc w:val="center"/>
              <w:rPr>
                <w:rFonts w:hint="eastAsia" w:ascii="仿宋" w:hAnsi="仿宋" w:eastAsia="仿宋" w:cs="宋体"/>
                <w:sz w:val="24"/>
              </w:rPr>
            </w:pPr>
            <w:r>
              <w:rPr>
                <w:rFonts w:hint="eastAsia" w:ascii="宋体" w:hAnsi="宋体" w:cs="宋体"/>
                <w:szCs w:val="21"/>
              </w:rPr>
              <w:t>运维管理方案分</w:t>
            </w:r>
          </w:p>
        </w:tc>
        <w:tc>
          <w:tcPr>
            <w:tcW w:w="5812" w:type="dxa"/>
            <w:noWrap w:val="0"/>
            <w:vAlign w:val="center"/>
          </w:tcPr>
          <w:p>
            <w:pPr>
              <w:pStyle w:val="111"/>
              <w:spacing w:line="300" w:lineRule="exact"/>
              <w:ind w:firstLine="420"/>
              <w:rPr>
                <w:rFonts w:ascii="宋体" w:hAnsi="宋体" w:cs="宋体"/>
                <w:bCs/>
                <w:sz w:val="21"/>
                <w:szCs w:val="21"/>
              </w:rPr>
            </w:pPr>
            <w:r>
              <w:rPr>
                <w:rFonts w:hint="eastAsia" w:ascii="宋体" w:hAnsi="宋体" w:cs="宋体"/>
                <w:bCs/>
                <w:sz w:val="21"/>
                <w:szCs w:val="21"/>
              </w:rPr>
              <w:t>根据提供的运维管理方案中运维组织体系、运维管理制度规范、运维工作流程等内容的详细性、合理性等进行评分。</w:t>
            </w:r>
          </w:p>
          <w:p>
            <w:pPr>
              <w:pStyle w:val="111"/>
              <w:spacing w:line="300" w:lineRule="exact"/>
              <w:ind w:firstLine="420"/>
              <w:rPr>
                <w:rFonts w:ascii="宋体" w:hAnsi="宋体" w:cs="宋体"/>
                <w:bCs/>
                <w:sz w:val="21"/>
                <w:szCs w:val="21"/>
              </w:rPr>
            </w:pPr>
            <w:r>
              <w:rPr>
                <w:rFonts w:hint="eastAsia" w:ascii="宋体" w:hAnsi="宋体" w:cs="宋体"/>
                <w:bCs/>
                <w:sz w:val="21"/>
                <w:szCs w:val="21"/>
              </w:rPr>
              <w:t>一档（5分）：方案中包含运维管理方案中运维组织体系、运维管理制度规范、运维工作流程等内容，但内容简单。</w:t>
            </w:r>
          </w:p>
          <w:p>
            <w:pPr>
              <w:pStyle w:val="111"/>
              <w:spacing w:line="300" w:lineRule="exact"/>
              <w:ind w:firstLine="420"/>
              <w:rPr>
                <w:rFonts w:ascii="宋体" w:hAnsi="宋体" w:cs="宋体"/>
                <w:bCs/>
                <w:sz w:val="21"/>
                <w:szCs w:val="21"/>
              </w:rPr>
            </w:pPr>
            <w:r>
              <w:rPr>
                <w:rFonts w:hint="eastAsia" w:ascii="宋体" w:hAnsi="宋体" w:cs="宋体"/>
                <w:bCs/>
                <w:sz w:val="21"/>
                <w:szCs w:val="21"/>
              </w:rPr>
              <w:t>二档（10分）：方案中包含运维管理方案中运维组织体系、运维管理制度规范、运维工作流程等内容，内容有细化描述，内容覆盖完善。</w:t>
            </w:r>
          </w:p>
          <w:p>
            <w:pPr>
              <w:pStyle w:val="111"/>
              <w:spacing w:line="300" w:lineRule="exact"/>
              <w:ind w:firstLine="420"/>
              <w:rPr>
                <w:rFonts w:ascii="宋体" w:hAnsi="宋体" w:cs="宋体"/>
                <w:bCs/>
                <w:sz w:val="21"/>
                <w:szCs w:val="21"/>
              </w:rPr>
            </w:pPr>
            <w:r>
              <w:rPr>
                <w:rFonts w:hint="eastAsia" w:ascii="宋体" w:hAnsi="宋体" w:cs="宋体"/>
                <w:bCs/>
                <w:sz w:val="21"/>
                <w:szCs w:val="21"/>
              </w:rPr>
              <w:t>三档（15分）：方案中包含运维管理方案中运维组织体系、运维管理制度规范、运维工作流程等内容，内容详细具体、合理、操作性强。</w:t>
            </w:r>
          </w:p>
          <w:p>
            <w:pPr>
              <w:pStyle w:val="111"/>
              <w:spacing w:line="300" w:lineRule="exact"/>
              <w:ind w:firstLine="420"/>
              <w:rPr>
                <w:rFonts w:hint="eastAsia" w:ascii="仿宋" w:hAnsi="仿宋" w:eastAsia="仿宋" w:cs="宋体"/>
                <w:sz w:val="24"/>
              </w:rPr>
            </w:pPr>
            <w:r>
              <w:rPr>
                <w:rFonts w:hint="eastAsia" w:ascii="宋体" w:hAnsi="宋体" w:cs="宋体"/>
                <w:bCs/>
                <w:sz w:val="21"/>
                <w:szCs w:val="21"/>
              </w:rPr>
              <w:t>以上各档次不重复计分，由磋商小组根据各磋商供应商提供的运维管理方案内容，在相应内容档次内打分。不满足进档要求的，不予进档，得0分。</w:t>
            </w:r>
          </w:p>
        </w:tc>
        <w:tc>
          <w:tcPr>
            <w:tcW w:w="1074" w:type="dxa"/>
            <w:noWrap w:val="0"/>
            <w:vAlign w:val="center"/>
          </w:tcPr>
          <w:p>
            <w:pPr>
              <w:spacing w:line="400" w:lineRule="exact"/>
              <w:jc w:val="center"/>
              <w:rPr>
                <w:rFonts w:hint="eastAsia" w:ascii="宋体" w:hAnsi="宋体" w:cs="宋体"/>
                <w:kern w:val="0"/>
                <w:szCs w:val="21"/>
              </w:rPr>
            </w:pPr>
            <w:r>
              <w:rPr>
                <w:rFonts w:hint="eastAsia" w:ascii="宋体" w:hAnsi="宋体" w:cs="宋体"/>
                <w:kern w:val="0"/>
                <w:szCs w:val="21"/>
              </w:rPr>
              <w:t>15分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539" w:hRule="atLeast"/>
          <w:jc w:val="center"/>
        </w:trPr>
        <w:tc>
          <w:tcPr>
            <w:tcW w:w="708" w:type="dxa"/>
            <w:noWrap w:val="0"/>
            <w:vAlign w:val="center"/>
          </w:tcPr>
          <w:p>
            <w:pPr>
              <w:adjustRightInd w:val="0"/>
              <w:spacing w:line="400" w:lineRule="exact"/>
              <w:ind w:left="-105" w:leftChars="-50" w:right="-105" w:rightChars="-50"/>
              <w:jc w:val="center"/>
              <w:textAlignment w:val="baseline"/>
              <w:rPr>
                <w:rFonts w:hint="eastAsia" w:ascii="宋体" w:hAnsi="宋体" w:cs="宋体"/>
                <w:b/>
                <w:bCs/>
                <w:szCs w:val="21"/>
              </w:rPr>
            </w:pPr>
            <w:r>
              <w:rPr>
                <w:rFonts w:hint="eastAsia" w:ascii="宋体" w:hAnsi="宋体" w:cs="宋体"/>
                <w:b/>
                <w:bCs/>
                <w:szCs w:val="21"/>
              </w:rPr>
              <w:t>3</w:t>
            </w:r>
          </w:p>
        </w:tc>
        <w:tc>
          <w:tcPr>
            <w:tcW w:w="1134" w:type="dxa"/>
            <w:noWrap w:val="0"/>
            <w:vAlign w:val="center"/>
          </w:tcPr>
          <w:p>
            <w:pPr>
              <w:jc w:val="center"/>
              <w:rPr>
                <w:rFonts w:hint="eastAsia" w:ascii="宋体" w:hAnsi="宋体" w:cs="宋体"/>
                <w:b/>
                <w:bCs/>
                <w:szCs w:val="21"/>
              </w:rPr>
            </w:pPr>
            <w:r>
              <w:rPr>
                <w:rFonts w:hint="eastAsia" w:ascii="宋体" w:hAnsi="宋体" w:cs="宋体"/>
                <w:b/>
                <w:bCs/>
                <w:szCs w:val="21"/>
              </w:rPr>
              <w:t>商务分</w:t>
            </w:r>
          </w:p>
        </w:tc>
        <w:tc>
          <w:tcPr>
            <w:tcW w:w="5812" w:type="dxa"/>
            <w:noWrap w:val="0"/>
            <w:vAlign w:val="center"/>
          </w:tcPr>
          <w:p>
            <w:pPr>
              <w:pStyle w:val="111"/>
              <w:spacing w:line="300" w:lineRule="exact"/>
              <w:ind w:firstLine="0" w:firstLineChars="0"/>
              <w:jc w:val="center"/>
              <w:rPr>
                <w:rFonts w:hint="eastAsia" w:ascii="宋体" w:hAnsi="宋体" w:cs="宋体"/>
                <w:bCs/>
                <w:sz w:val="21"/>
                <w:szCs w:val="21"/>
              </w:rPr>
            </w:pPr>
            <w:r>
              <w:rPr>
                <w:rFonts w:hint="eastAsia" w:ascii="宋体" w:hAnsi="宋体" w:cs="宋体"/>
                <w:b/>
                <w:bCs/>
                <w:sz w:val="21"/>
                <w:szCs w:val="21"/>
              </w:rPr>
              <w:t>评审因素</w:t>
            </w:r>
          </w:p>
        </w:tc>
        <w:tc>
          <w:tcPr>
            <w:tcW w:w="1074" w:type="dxa"/>
            <w:noWrap w:val="0"/>
            <w:vAlign w:val="center"/>
          </w:tcPr>
          <w:p>
            <w:pPr>
              <w:spacing w:line="400" w:lineRule="exact"/>
              <w:jc w:val="center"/>
              <w:rPr>
                <w:rFonts w:hint="eastAsia" w:ascii="宋体" w:hAnsi="宋体" w:cs="宋体"/>
                <w:kern w:val="0"/>
                <w:szCs w:val="21"/>
              </w:rPr>
            </w:pPr>
            <w:r>
              <w:rPr>
                <w:rFonts w:hint="eastAsia" w:ascii="宋体" w:hAnsi="宋体" w:cs="宋体"/>
                <w:bCs/>
                <w:szCs w:val="21"/>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1128" w:hRule="atLeast"/>
          <w:jc w:val="center"/>
        </w:trPr>
        <w:tc>
          <w:tcPr>
            <w:tcW w:w="708" w:type="dxa"/>
            <w:noWrap w:val="0"/>
            <w:vAlign w:val="center"/>
          </w:tcPr>
          <w:p>
            <w:pPr>
              <w:adjustRightInd w:val="0"/>
              <w:spacing w:line="400" w:lineRule="exact"/>
              <w:ind w:left="-105" w:leftChars="-50" w:right="-105" w:rightChars="-50"/>
              <w:jc w:val="center"/>
              <w:textAlignment w:val="baseline"/>
              <w:rPr>
                <w:rFonts w:hint="eastAsia" w:ascii="宋体" w:hAnsi="宋体" w:cs="宋体"/>
                <w:bCs/>
                <w:kern w:val="0"/>
                <w:szCs w:val="21"/>
              </w:rPr>
            </w:pPr>
            <w:r>
              <w:rPr>
                <w:rFonts w:hint="eastAsia" w:ascii="宋体" w:hAnsi="宋体" w:cs="宋体"/>
                <w:bCs/>
                <w:kern w:val="0"/>
                <w:szCs w:val="21"/>
              </w:rPr>
              <w:t>3.1</w:t>
            </w:r>
          </w:p>
        </w:tc>
        <w:tc>
          <w:tcPr>
            <w:tcW w:w="1134" w:type="dxa"/>
            <w:noWrap w:val="0"/>
            <w:vAlign w:val="center"/>
          </w:tcPr>
          <w:p>
            <w:pPr>
              <w:jc w:val="center"/>
              <w:rPr>
                <w:rFonts w:hint="eastAsia" w:ascii="宋体" w:hAnsi="宋体" w:cs="宋体"/>
                <w:szCs w:val="21"/>
              </w:rPr>
            </w:pPr>
            <w:r>
              <w:rPr>
                <w:rFonts w:hint="eastAsia" w:ascii="宋体" w:hAnsi="宋体" w:cs="宋体"/>
                <w:kern w:val="0"/>
                <w:szCs w:val="21"/>
              </w:rPr>
              <w:t>业绩分</w:t>
            </w:r>
          </w:p>
        </w:tc>
        <w:tc>
          <w:tcPr>
            <w:tcW w:w="5812" w:type="dxa"/>
            <w:noWrap w:val="0"/>
            <w:vAlign w:val="center"/>
          </w:tcPr>
          <w:p>
            <w:pPr>
              <w:pStyle w:val="111"/>
              <w:spacing w:line="300" w:lineRule="exact"/>
              <w:ind w:firstLine="420"/>
              <w:rPr>
                <w:rFonts w:hint="eastAsia" w:ascii="宋体" w:hAnsi="宋体" w:cs="宋体"/>
                <w:bCs/>
                <w:sz w:val="21"/>
                <w:szCs w:val="21"/>
              </w:rPr>
            </w:pPr>
            <w:r>
              <w:rPr>
                <w:rFonts w:hint="eastAsia" w:ascii="宋体" w:hAnsi="宋体" w:cs="宋体"/>
                <w:bCs/>
                <w:sz w:val="21"/>
                <w:szCs w:val="21"/>
              </w:rPr>
              <w:t>供应商自2019年1月1日以来，具有类似项目案例的，每提供1个得1分，最多得5分，没有或者未提供得0分。（提供合同复印件，并加盖供应商公章）。</w:t>
            </w:r>
          </w:p>
        </w:tc>
        <w:tc>
          <w:tcPr>
            <w:tcW w:w="1074" w:type="dxa"/>
            <w:noWrap w:val="0"/>
            <w:vAlign w:val="center"/>
          </w:tcPr>
          <w:p>
            <w:pPr>
              <w:spacing w:line="400" w:lineRule="exact"/>
              <w:jc w:val="center"/>
              <w:rPr>
                <w:rFonts w:hint="eastAsia" w:ascii="宋体" w:hAnsi="宋体" w:cs="宋体"/>
                <w:kern w:val="0"/>
                <w:szCs w:val="21"/>
              </w:rPr>
            </w:pPr>
            <w:r>
              <w:rPr>
                <w:rFonts w:hint="eastAsia" w:ascii="宋体" w:hAnsi="宋体" w:cs="宋体"/>
                <w:kern w:val="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20" w:hRule="atLeast"/>
          <w:jc w:val="center"/>
        </w:trPr>
        <w:tc>
          <w:tcPr>
            <w:tcW w:w="708" w:type="dxa"/>
            <w:noWrap w:val="0"/>
            <w:vAlign w:val="center"/>
          </w:tcPr>
          <w:p>
            <w:pPr>
              <w:adjustRightInd w:val="0"/>
              <w:spacing w:line="400" w:lineRule="exact"/>
              <w:ind w:left="-105" w:leftChars="-50" w:right="-105" w:rightChars="-50"/>
              <w:jc w:val="center"/>
              <w:textAlignment w:val="baseline"/>
              <w:rPr>
                <w:rFonts w:hint="eastAsia" w:ascii="宋体" w:hAnsi="宋体" w:cs="宋体"/>
                <w:bCs/>
                <w:kern w:val="0"/>
                <w:szCs w:val="21"/>
              </w:rPr>
            </w:pPr>
            <w:r>
              <w:rPr>
                <w:rFonts w:hint="eastAsia" w:ascii="宋体" w:hAnsi="宋体" w:cs="宋体"/>
                <w:bCs/>
                <w:kern w:val="0"/>
                <w:szCs w:val="21"/>
              </w:rPr>
              <w:t>3.2</w:t>
            </w:r>
          </w:p>
        </w:tc>
        <w:tc>
          <w:tcPr>
            <w:tcW w:w="1134" w:type="dxa"/>
            <w:noWrap w:val="0"/>
            <w:vAlign w:val="center"/>
          </w:tcPr>
          <w:p>
            <w:pPr>
              <w:jc w:val="center"/>
              <w:rPr>
                <w:rFonts w:hint="eastAsia" w:ascii="宋体" w:hAnsi="宋体" w:cs="宋体"/>
                <w:kern w:val="0"/>
                <w:szCs w:val="21"/>
              </w:rPr>
            </w:pPr>
            <w:r>
              <w:rPr>
                <w:rFonts w:hint="eastAsia" w:ascii="宋体" w:hAnsi="宋体" w:cs="宋体"/>
                <w:kern w:val="0"/>
                <w:szCs w:val="21"/>
              </w:rPr>
              <w:t>信誉分</w:t>
            </w:r>
          </w:p>
        </w:tc>
        <w:tc>
          <w:tcPr>
            <w:tcW w:w="5812" w:type="dxa"/>
            <w:noWrap w:val="0"/>
            <w:vAlign w:val="center"/>
          </w:tcPr>
          <w:p>
            <w:pPr>
              <w:pStyle w:val="111"/>
              <w:spacing w:line="300" w:lineRule="exact"/>
              <w:ind w:firstLine="420"/>
              <w:rPr>
                <w:rFonts w:hint="eastAsia" w:ascii="宋体" w:hAnsi="宋体" w:cs="宋体"/>
                <w:bCs/>
                <w:sz w:val="21"/>
                <w:szCs w:val="21"/>
              </w:rPr>
            </w:pPr>
            <w:r>
              <w:rPr>
                <w:rFonts w:hint="eastAsia" w:ascii="宋体" w:hAnsi="宋体" w:cs="宋体"/>
                <w:bCs/>
                <w:sz w:val="21"/>
                <w:szCs w:val="21"/>
              </w:rPr>
              <w:t>供应商具有ISO45001职业健康安全管理体系认证证书、ISO14001环境管理体系认证证书、ISO9001质量管理体系认证证书、ISO20000服务管理体系认证证书、ISO27001信息安全管理体系认证证书、GB/T 29490-2013 知识产权管理体系认证证书的，每有一个得0.6分，满分3分；（需提供有效期内的证书复印件并加盖供应商公章）。</w:t>
            </w:r>
          </w:p>
        </w:tc>
        <w:tc>
          <w:tcPr>
            <w:tcW w:w="1074" w:type="dxa"/>
            <w:noWrap w:val="0"/>
            <w:vAlign w:val="center"/>
          </w:tcPr>
          <w:p>
            <w:pPr>
              <w:spacing w:line="400" w:lineRule="exact"/>
              <w:jc w:val="center"/>
              <w:rPr>
                <w:rFonts w:hint="eastAsia" w:ascii="宋体" w:hAnsi="宋体" w:cs="宋体"/>
                <w:kern w:val="0"/>
                <w:szCs w:val="21"/>
              </w:rPr>
            </w:pPr>
            <w:r>
              <w:rPr>
                <w:rFonts w:hint="eastAsia" w:ascii="宋体" w:hAnsi="宋体" w:cs="宋体"/>
                <w:kern w:val="0"/>
                <w:szCs w:val="21"/>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634" w:hRule="atLeast"/>
          <w:jc w:val="center"/>
        </w:trPr>
        <w:tc>
          <w:tcPr>
            <w:tcW w:w="708" w:type="dxa"/>
            <w:noWrap w:val="0"/>
            <w:vAlign w:val="center"/>
          </w:tcPr>
          <w:p>
            <w:pPr>
              <w:widowControl/>
              <w:spacing w:line="400" w:lineRule="exact"/>
              <w:jc w:val="center"/>
              <w:rPr>
                <w:rFonts w:hint="eastAsia" w:ascii="宋体" w:hAnsi="宋体" w:cs="宋体"/>
                <w:b/>
                <w:kern w:val="0"/>
                <w:szCs w:val="21"/>
              </w:rPr>
            </w:pPr>
            <w:r>
              <w:rPr>
                <w:rFonts w:ascii="宋体" w:hAnsi="宋体" w:cs="宋体"/>
                <w:b/>
                <w:kern w:val="0"/>
                <w:szCs w:val="21"/>
              </w:rPr>
              <w:t>4</w:t>
            </w:r>
          </w:p>
        </w:tc>
        <w:tc>
          <w:tcPr>
            <w:tcW w:w="1134" w:type="dxa"/>
            <w:noWrap w:val="0"/>
            <w:vAlign w:val="center"/>
          </w:tcPr>
          <w:p>
            <w:pPr>
              <w:widowControl/>
              <w:spacing w:line="400" w:lineRule="exact"/>
              <w:jc w:val="center"/>
              <w:rPr>
                <w:rFonts w:hint="eastAsia" w:ascii="宋体" w:hAnsi="宋体" w:cs="宋体"/>
                <w:b/>
                <w:bCs/>
                <w:szCs w:val="21"/>
              </w:rPr>
            </w:pPr>
            <w:r>
              <w:rPr>
                <w:rFonts w:hint="eastAsia" w:ascii="宋体" w:hAnsi="宋体" w:cs="宋体"/>
                <w:b/>
                <w:bCs/>
                <w:szCs w:val="21"/>
              </w:rPr>
              <w:t>项目团队分</w:t>
            </w:r>
          </w:p>
        </w:tc>
        <w:tc>
          <w:tcPr>
            <w:tcW w:w="5812" w:type="dxa"/>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评审因素</w:t>
            </w:r>
          </w:p>
        </w:tc>
        <w:tc>
          <w:tcPr>
            <w:tcW w:w="1074" w:type="dxa"/>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634" w:hRule="atLeast"/>
          <w:jc w:val="center"/>
        </w:trPr>
        <w:tc>
          <w:tcPr>
            <w:tcW w:w="708" w:type="dxa"/>
            <w:noWrap w:val="0"/>
            <w:vAlign w:val="center"/>
          </w:tcPr>
          <w:p>
            <w:pPr>
              <w:widowControl/>
              <w:spacing w:line="400" w:lineRule="exact"/>
              <w:jc w:val="center"/>
              <w:rPr>
                <w:rFonts w:hint="eastAsia" w:ascii="宋体" w:hAnsi="宋体" w:cs="宋体"/>
                <w:kern w:val="0"/>
                <w:szCs w:val="21"/>
              </w:rPr>
            </w:pPr>
            <w:r>
              <w:rPr>
                <w:rFonts w:ascii="宋体" w:hAnsi="宋体" w:cs="宋体"/>
                <w:kern w:val="0"/>
                <w:szCs w:val="21"/>
              </w:rPr>
              <w:t>4</w:t>
            </w:r>
            <w:r>
              <w:rPr>
                <w:rFonts w:hint="eastAsia" w:ascii="宋体" w:hAnsi="宋体" w:cs="宋体"/>
                <w:kern w:val="0"/>
                <w:szCs w:val="21"/>
              </w:rPr>
              <w:t>.1</w:t>
            </w:r>
          </w:p>
        </w:tc>
        <w:tc>
          <w:tcPr>
            <w:tcW w:w="1134" w:type="dxa"/>
            <w:noWrap w:val="0"/>
            <w:vAlign w:val="center"/>
          </w:tcPr>
          <w:p>
            <w:pPr>
              <w:widowControl/>
              <w:spacing w:line="400" w:lineRule="exact"/>
              <w:jc w:val="center"/>
              <w:rPr>
                <w:rFonts w:hint="eastAsia" w:ascii="宋体" w:hAnsi="宋体" w:cs="宋体"/>
                <w:bCs/>
                <w:szCs w:val="21"/>
              </w:rPr>
            </w:pPr>
            <w:r>
              <w:rPr>
                <w:rFonts w:hint="eastAsia" w:ascii="宋体" w:hAnsi="宋体" w:cs="宋体"/>
                <w:bCs/>
                <w:szCs w:val="21"/>
              </w:rPr>
              <w:t>拟投入项目团队分</w:t>
            </w:r>
          </w:p>
        </w:tc>
        <w:tc>
          <w:tcPr>
            <w:tcW w:w="5812" w:type="dxa"/>
            <w:noWrap w:val="0"/>
            <w:vAlign w:val="center"/>
          </w:tcPr>
          <w:p>
            <w:pPr>
              <w:spacing w:line="400" w:lineRule="exact"/>
              <w:ind w:firstLine="420"/>
              <w:jc w:val="left"/>
              <w:rPr>
                <w:rFonts w:ascii="宋体" w:hAnsi="宋体" w:cs="宋体"/>
                <w:bCs/>
                <w:szCs w:val="21"/>
              </w:rPr>
            </w:pPr>
            <w:r>
              <w:rPr>
                <w:rFonts w:hint="eastAsia" w:ascii="宋体" w:hAnsi="宋体" w:cs="宋体"/>
                <w:bCs/>
                <w:szCs w:val="21"/>
              </w:rPr>
              <w:t>1、项目经理同时具备系统集成项目管理工程师证书或系统分析师高级证书的得6分。（须提供证书复印件，不是同一人具备两项证书不得分）</w:t>
            </w:r>
          </w:p>
          <w:p>
            <w:pPr>
              <w:spacing w:line="400" w:lineRule="exact"/>
              <w:ind w:firstLine="420"/>
              <w:jc w:val="left"/>
              <w:rPr>
                <w:rFonts w:hint="eastAsia" w:ascii="宋体" w:hAnsi="宋体" w:cs="宋体"/>
                <w:kern w:val="0"/>
                <w:szCs w:val="21"/>
              </w:rPr>
            </w:pPr>
            <w:r>
              <w:rPr>
                <w:rFonts w:hint="eastAsia" w:ascii="宋体" w:hAnsi="宋体" w:cs="宋体"/>
                <w:bCs/>
                <w:szCs w:val="21"/>
              </w:rPr>
              <w:t>2、项目技术负责人通过国家计算机技术与软件专业技术资格(水平)考试，同时具备软件设计师和系统架构设计师的得6分。（须提供证书复印件，不是同一人具备两项证书不得分）</w:t>
            </w:r>
          </w:p>
        </w:tc>
        <w:tc>
          <w:tcPr>
            <w:tcW w:w="1074" w:type="dxa"/>
            <w:noWrap w:val="0"/>
            <w:vAlign w:val="center"/>
          </w:tcPr>
          <w:p>
            <w:pPr>
              <w:widowControl/>
              <w:spacing w:line="400" w:lineRule="exact"/>
              <w:jc w:val="center"/>
              <w:rPr>
                <w:rFonts w:hint="eastAsia" w:ascii="宋体" w:hAnsi="宋体" w:cs="宋体"/>
                <w:kern w:val="0"/>
                <w:szCs w:val="21"/>
              </w:rPr>
            </w:pPr>
            <w:r>
              <w:rPr>
                <w:rFonts w:hint="eastAsia" w:ascii="宋体" w:hAnsi="宋体" w:cs="宋体"/>
                <w:kern w:val="0"/>
                <w:szCs w:val="21"/>
              </w:rPr>
              <w:t>12分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478" w:hRule="atLeast"/>
          <w:jc w:val="center"/>
        </w:trPr>
        <w:tc>
          <w:tcPr>
            <w:tcW w:w="8728" w:type="dxa"/>
            <w:gridSpan w:val="4"/>
            <w:noWrap w:val="0"/>
            <w:vAlign w:val="top"/>
          </w:tcPr>
          <w:p>
            <w:pPr>
              <w:widowControl/>
              <w:spacing w:line="400" w:lineRule="exact"/>
              <w:jc w:val="left"/>
              <w:rPr>
                <w:rFonts w:hint="eastAsia" w:ascii="宋体" w:hAnsi="宋体" w:cs="宋体"/>
                <w:kern w:val="0"/>
                <w:szCs w:val="21"/>
              </w:rPr>
            </w:pPr>
            <w:r>
              <w:rPr>
                <w:rFonts w:hint="eastAsia" w:hAnsi="宋体" w:cs="宋体"/>
                <w:bCs/>
              </w:rPr>
              <w:t>总得分＝1＋2＋3</w:t>
            </w:r>
            <w:r>
              <w:rPr>
                <w:rFonts w:hAnsi="宋体" w:cs="宋体"/>
                <w:bCs/>
              </w:rPr>
              <w:t>+4</w:t>
            </w:r>
            <w:r>
              <w:rPr>
                <w:rFonts w:hint="eastAsia" w:hAnsi="宋体" w:cs="宋体"/>
                <w:bCs/>
              </w:rPr>
              <w:t xml:space="preserve"> </w:t>
            </w:r>
          </w:p>
        </w:tc>
      </w:tr>
    </w:tbl>
    <w:p>
      <w:pPr>
        <w:pStyle w:val="21"/>
        <w:rPr>
          <w:rFonts w:hint="eastAsia"/>
          <w:lang w:val="en-US" w:eastAsia="zh-CN"/>
        </w:rPr>
      </w:pPr>
    </w:p>
    <w:p>
      <w:pPr>
        <w:spacing w:line="360" w:lineRule="auto"/>
        <w:ind w:firstLine="420" w:firstLineChars="200"/>
        <w:rPr>
          <w:rFonts w:hint="eastAsia" w:ascii="宋体" w:hAnsi="宋体" w:cs="宋体"/>
          <w:color w:val="000000"/>
        </w:rPr>
      </w:pPr>
      <w:r>
        <w:rPr>
          <w:rFonts w:hint="eastAsia" w:ascii="宋体" w:hAnsi="宋体" w:cs="宋体"/>
          <w:color w:val="000000"/>
        </w:rPr>
        <w:t>8.2.终止竞争性磋商采购活动</w:t>
      </w:r>
    </w:p>
    <w:p>
      <w:pPr>
        <w:pStyle w:val="3"/>
        <w:keepLines w:val="0"/>
        <w:widowControl/>
        <w:spacing w:before="0" w:after="0" w:line="360" w:lineRule="auto"/>
        <w:ind w:firstLine="420" w:firstLineChars="200"/>
        <w:jc w:val="left"/>
        <w:rPr>
          <w:rFonts w:hint="eastAsia" w:ascii="宋体" w:hAnsi="宋体"/>
          <w:b w:val="0"/>
        </w:rPr>
      </w:pPr>
      <w:r>
        <w:rPr>
          <w:rFonts w:hint="eastAsia" w:ascii="宋体" w:hAnsi="宋体" w:cs="宋体"/>
          <w:b w:val="0"/>
          <w:bCs w:val="0"/>
          <w:color w:val="000000"/>
          <w:sz w:val="21"/>
          <w:szCs w:val="24"/>
          <w:lang w:val="en-US" w:eastAsia="zh-CN"/>
        </w:rPr>
        <w:t>磋商小组发现竞争性磋商文件存在歧义、重大缺陷导致评审工作无法进行，或者竞争性磋商文件内容违反国家有关规定的，要停止评审工作并向采购人或采购代理机构书面说明情况，采购人或采购代理机构应当修改竞争性磋商文件后重新组织采购活动；发现供应商提供虚假材料、串通等违法违规行为的，要及时向采购人或采购代理机构报告。</w:t>
      </w:r>
      <w:r>
        <w:rPr>
          <w:rFonts w:hint="eastAsia" w:ascii="宋体" w:hAnsi="宋体"/>
          <w:b w:val="0"/>
          <w:bCs w:val="0"/>
        </w:rPr>
        <w:t xml:space="preserve"> </w:t>
      </w:r>
    </w:p>
    <w:p>
      <w:pPr>
        <w:pStyle w:val="3"/>
        <w:keepLines w:val="0"/>
        <w:widowControl/>
        <w:spacing w:before="0" w:after="0" w:line="360" w:lineRule="auto"/>
        <w:ind w:firstLine="640" w:firstLineChars="200"/>
        <w:jc w:val="center"/>
        <w:rPr>
          <w:rFonts w:hint="eastAsia" w:ascii="宋体" w:hAnsi="宋体"/>
          <w:b w:val="0"/>
          <w:bCs w:val="0"/>
        </w:rPr>
      </w:pPr>
      <w:bookmarkStart w:id="154" w:name="_Toc80886939"/>
      <w:bookmarkEnd w:id="154"/>
      <w:r>
        <w:rPr>
          <w:rFonts w:hint="eastAsia" w:ascii="宋体" w:hAnsi="宋体"/>
          <w:b w:val="0"/>
          <w:bCs w:val="0"/>
        </w:rPr>
        <w:t>第二节 评标报告</w:t>
      </w:r>
    </w:p>
    <w:p>
      <w:pPr>
        <w:spacing w:line="360" w:lineRule="auto"/>
        <w:ind w:firstLine="480" w:firstLineChars="200"/>
        <w:rPr>
          <w:rFonts w:hint="eastAsia" w:ascii="黑体" w:hAnsi="宋体" w:eastAsia="黑体" w:cs="宋体"/>
          <w:sz w:val="24"/>
        </w:rPr>
      </w:pPr>
      <w:r>
        <w:rPr>
          <w:rFonts w:hint="eastAsia" w:ascii="黑体" w:hAnsi="黑体" w:eastAsia="黑体" w:cs="宋体"/>
          <w:sz w:val="24"/>
        </w:rPr>
        <w:t>1.成交标准</w:t>
      </w:r>
    </w:p>
    <w:p>
      <w:pPr>
        <w:spacing w:line="400" w:lineRule="exact"/>
        <w:ind w:firstLine="420" w:firstLineChars="200"/>
        <w:jc w:val="left"/>
        <w:rPr>
          <w:rFonts w:hint="eastAsia" w:ascii="宋体" w:hAnsi="宋体"/>
          <w:bCs/>
          <w:szCs w:val="21"/>
        </w:rPr>
      </w:pPr>
      <w:r>
        <w:rPr>
          <w:rFonts w:hint="eastAsia" w:ascii="宋体" w:hAnsi="宋体"/>
          <w:bCs/>
          <w:szCs w:val="21"/>
        </w:rPr>
        <w:t>由磋商小组根据综合评分情况，按照评审得分由高到低顺序推荐3名以上成交候选供应商</w:t>
      </w:r>
      <w:r>
        <w:rPr>
          <w:rFonts w:hint="eastAsia" w:ascii="宋体" w:hAnsi="宋体" w:cs="宋体"/>
          <w:color w:val="000000"/>
          <w:szCs w:val="21"/>
        </w:rPr>
        <w:t>,并在线编写电子评审报告</w:t>
      </w:r>
      <w:r>
        <w:rPr>
          <w:rFonts w:hint="eastAsia" w:ascii="宋体" w:hAnsi="宋体"/>
          <w:bCs/>
          <w:szCs w:val="21"/>
        </w:rPr>
        <w:t>。符合本章第一节第5</w:t>
      </w:r>
      <w:r>
        <w:rPr>
          <w:rFonts w:ascii="宋体" w:hAnsi="宋体"/>
          <w:bCs/>
          <w:szCs w:val="21"/>
        </w:rPr>
        <w:t>.3</w:t>
      </w:r>
      <w:r>
        <w:rPr>
          <w:rFonts w:hint="eastAsia" w:ascii="宋体" w:hAnsi="宋体"/>
          <w:bCs/>
          <w:szCs w:val="21"/>
        </w:rPr>
        <w:t>条情形的，可以推荐2家成交候选供应商。评审得分相同的，按照最后报价由低到高的顺序推荐。评审得分且最后报价相同的，按照技术指标优劣顺序推荐（按技术得分由高到低排序，技术得分相同的按照服务需求偏离分由高到低排序）。评审得分、最后报价、技术得分、服务需求偏离分均相同的，由磋商小组随机抽取推荐。</w:t>
      </w:r>
    </w:p>
    <w:p>
      <w:pPr>
        <w:spacing w:line="360" w:lineRule="auto"/>
        <w:ind w:firstLine="480" w:firstLineChars="200"/>
        <w:rPr>
          <w:rFonts w:hint="eastAsia" w:ascii="黑体" w:hAnsi="宋体" w:eastAsia="黑体" w:cs="宋体"/>
          <w:sz w:val="24"/>
        </w:rPr>
      </w:pPr>
      <w:r>
        <w:rPr>
          <w:rFonts w:hint="eastAsia" w:ascii="黑体" w:hAnsi="黑体" w:eastAsia="黑体" w:cs="宋体"/>
          <w:sz w:val="24"/>
        </w:rPr>
        <w:t>2.评标争议事项处理</w:t>
      </w:r>
    </w:p>
    <w:p>
      <w:pPr>
        <w:pStyle w:val="78"/>
        <w:widowControl/>
        <w:spacing w:before="0"/>
        <w:ind w:firstLine="420"/>
        <w:rPr>
          <w:rFonts w:hint="eastAsia" w:ascii="宋体" w:hAnsi="宋体"/>
          <w:kern w:val="2"/>
          <w:sz w:val="21"/>
          <w:szCs w:val="21"/>
        </w:rPr>
      </w:pPr>
      <w:r>
        <w:rPr>
          <w:rFonts w:hint="eastAsia" w:ascii="宋体" w:hAnsi="宋体"/>
          <w:kern w:val="2"/>
          <w:sz w:val="21"/>
          <w:szCs w:val="21"/>
        </w:rPr>
        <w:t>磋商小组成员对需要共同认定的事项存在争议的，应当按照少数服从多数的原则作出结论。持不同意见的磋商小组成员应当在评标报告上签署不同意见及理由，否则视为同意评标报告。</w:t>
      </w:r>
    </w:p>
    <w:p>
      <w:pPr>
        <w:pStyle w:val="3"/>
        <w:keepLines w:val="0"/>
        <w:widowControl/>
        <w:spacing w:before="0" w:after="0" w:line="360" w:lineRule="auto"/>
        <w:ind w:firstLine="640" w:firstLineChars="200"/>
        <w:jc w:val="center"/>
        <w:rPr>
          <w:rFonts w:hint="eastAsia" w:ascii="宋体" w:hAnsi="宋体"/>
          <w:b w:val="0"/>
          <w:kern w:val="0"/>
          <w:sz w:val="30"/>
          <w:szCs w:val="30"/>
        </w:rPr>
      </w:pPr>
      <w:bookmarkStart w:id="155" w:name="_Toc80886940"/>
      <w:bookmarkEnd w:id="155"/>
      <w:bookmarkStart w:id="156" w:name="_Toc80205936"/>
      <w:r>
        <w:rPr>
          <w:rFonts w:hint="eastAsia" w:ascii="宋体" w:hAnsi="宋体"/>
          <w:b w:val="0"/>
          <w:bCs w:val="0"/>
        </w:rPr>
        <w:t>第三节 评审过程的保密与录像</w:t>
      </w:r>
      <w:bookmarkEnd w:id="156"/>
    </w:p>
    <w:p>
      <w:pPr>
        <w:spacing w:line="360" w:lineRule="auto"/>
        <w:ind w:firstLine="480" w:firstLineChars="200"/>
        <w:rPr>
          <w:rFonts w:hint="eastAsia" w:ascii="黑体" w:hAnsi="宋体" w:eastAsia="黑体" w:cs="宋体"/>
          <w:sz w:val="24"/>
        </w:rPr>
      </w:pPr>
      <w:r>
        <w:rPr>
          <w:rFonts w:hint="eastAsia" w:ascii="黑体" w:hAnsi="黑体" w:eastAsia="黑体" w:cs="宋体"/>
          <w:sz w:val="24"/>
        </w:rPr>
        <w:t>1.保密。</w:t>
      </w:r>
    </w:p>
    <w:p>
      <w:pPr>
        <w:widowControl/>
        <w:spacing w:line="360" w:lineRule="auto"/>
        <w:ind w:firstLine="420" w:firstLineChars="200"/>
        <w:rPr>
          <w:rFonts w:hint="eastAsia" w:ascii="宋体" w:hAnsi="宋体"/>
          <w:szCs w:val="21"/>
        </w:rPr>
      </w:pPr>
      <w:r>
        <w:rPr>
          <w:rFonts w:hint="eastAsia" w:ascii="宋体" w:hAnsi="宋体"/>
        </w:rPr>
        <w:t>评审活动在严格保密的情况下进行。评审过程中凡是与采购响应文件评审和比较、中标成交供应商推荐等评审有关的情况，以及涉及国家秘密和商业秘密等信息，评审委员会成员、采购人和采购机构工作人员、相关监督人员等与评审有关的人员应当予以保密。</w:t>
      </w:r>
    </w:p>
    <w:p>
      <w:pPr>
        <w:widowControl/>
        <w:spacing w:line="360" w:lineRule="auto"/>
        <w:ind w:firstLine="480" w:firstLineChars="200"/>
        <w:rPr>
          <w:rFonts w:hint="eastAsia" w:ascii="黑体" w:hAnsi="宋体" w:eastAsia="黑体" w:cs="宋体"/>
          <w:sz w:val="24"/>
        </w:rPr>
      </w:pPr>
      <w:r>
        <w:rPr>
          <w:rFonts w:hint="eastAsia" w:ascii="黑体" w:hAnsi="黑体" w:eastAsia="黑体" w:cs="宋体"/>
          <w:sz w:val="24"/>
        </w:rPr>
        <w:t>2.录音录像。</w:t>
      </w:r>
    </w:p>
    <w:p>
      <w:pPr>
        <w:spacing w:line="360" w:lineRule="auto"/>
        <w:ind w:firstLine="420" w:firstLineChars="200"/>
        <w:rPr>
          <w:rFonts w:hint="eastAsia" w:ascii="宋体" w:hAnsi="宋体"/>
          <w:szCs w:val="21"/>
        </w:rPr>
      </w:pPr>
      <w:r>
        <w:rPr>
          <w:rFonts w:hint="eastAsia" w:ascii="宋体" w:hAnsi="宋体"/>
        </w:rPr>
        <w:t>采购代理机构对评审工作现场及操作屏幕进行全过程录音录像，录音录像资料作为采购项目文件随其他文件一并存档。</w:t>
      </w:r>
    </w:p>
    <w:p>
      <w:pPr>
        <w:spacing w:line="400" w:lineRule="exact"/>
        <w:ind w:firstLine="420" w:firstLineChars="200"/>
        <w:rPr>
          <w:rFonts w:hint="eastAsia" w:ascii="宋体" w:hAnsi="宋体"/>
        </w:rPr>
      </w:pPr>
      <w:r>
        <w:rPr>
          <w:rFonts w:hint="eastAsia" w:ascii="宋体" w:hAnsi="宋体"/>
        </w:rPr>
        <w:t xml:space="preserve"> </w:t>
      </w:r>
    </w:p>
    <w:p>
      <w:pPr>
        <w:spacing w:line="400" w:lineRule="exact"/>
        <w:ind w:firstLine="420" w:firstLineChars="200"/>
        <w:rPr>
          <w:rFonts w:hint="eastAsia" w:ascii="宋体" w:hAnsi="宋体"/>
        </w:rPr>
      </w:pPr>
      <w:r>
        <w:rPr>
          <w:rFonts w:hint="eastAsia" w:ascii="宋体" w:hAnsi="宋体"/>
        </w:rPr>
        <w:t xml:space="preserve"> </w:t>
      </w:r>
    </w:p>
    <w:p>
      <w:pPr>
        <w:spacing w:line="400" w:lineRule="exact"/>
        <w:ind w:firstLine="420" w:firstLineChars="200"/>
        <w:rPr>
          <w:rFonts w:hint="eastAsia" w:ascii="宋体" w:hAnsi="宋体"/>
        </w:rPr>
      </w:pPr>
    </w:p>
    <w:p>
      <w:pPr>
        <w:spacing w:line="400" w:lineRule="exact"/>
        <w:ind w:firstLine="420" w:firstLineChars="200"/>
        <w:rPr>
          <w:rFonts w:hint="eastAsia" w:ascii="宋体" w:hAnsi="宋体"/>
        </w:rPr>
      </w:pPr>
    </w:p>
    <w:p>
      <w:pPr>
        <w:spacing w:line="400" w:lineRule="exact"/>
        <w:ind w:firstLine="420" w:firstLineChars="200"/>
        <w:rPr>
          <w:rFonts w:hint="eastAsia" w:ascii="宋体" w:hAnsi="宋体"/>
        </w:rPr>
      </w:pPr>
    </w:p>
    <w:p>
      <w:pPr>
        <w:spacing w:line="400" w:lineRule="exact"/>
        <w:ind w:firstLine="420" w:firstLineChars="200"/>
        <w:rPr>
          <w:rFonts w:hint="eastAsia" w:ascii="宋体" w:hAnsi="宋体"/>
        </w:rPr>
      </w:pPr>
    </w:p>
    <w:p>
      <w:pPr>
        <w:spacing w:line="400" w:lineRule="exact"/>
        <w:ind w:firstLine="420" w:firstLineChars="200"/>
        <w:rPr>
          <w:rFonts w:hint="eastAsia" w:ascii="宋体" w:hAnsi="宋体"/>
        </w:rPr>
      </w:pPr>
    </w:p>
    <w:p>
      <w:pPr>
        <w:spacing w:line="400" w:lineRule="exact"/>
        <w:ind w:firstLine="420" w:firstLineChars="200"/>
        <w:rPr>
          <w:rFonts w:hint="eastAsia" w:ascii="宋体" w:hAnsi="宋体"/>
        </w:rPr>
      </w:pPr>
    </w:p>
    <w:p>
      <w:pPr>
        <w:spacing w:line="400" w:lineRule="exact"/>
        <w:ind w:firstLine="420" w:firstLineChars="200"/>
        <w:rPr>
          <w:rFonts w:hint="eastAsia" w:ascii="宋体" w:hAnsi="宋体"/>
        </w:rPr>
      </w:pPr>
    </w:p>
    <w:p>
      <w:pPr>
        <w:spacing w:line="400" w:lineRule="exact"/>
        <w:ind w:firstLine="420" w:firstLineChars="200"/>
        <w:rPr>
          <w:rFonts w:hint="eastAsia" w:ascii="宋体" w:hAnsi="宋体"/>
        </w:rPr>
      </w:pPr>
    </w:p>
    <w:p>
      <w:pPr>
        <w:spacing w:line="400" w:lineRule="exact"/>
        <w:ind w:firstLine="420" w:firstLineChars="200"/>
        <w:rPr>
          <w:rFonts w:hint="eastAsia" w:ascii="宋体" w:hAnsi="宋体"/>
        </w:rPr>
      </w:pPr>
    </w:p>
    <w:p>
      <w:pPr>
        <w:spacing w:line="400" w:lineRule="exact"/>
        <w:ind w:firstLine="420" w:firstLineChars="200"/>
        <w:rPr>
          <w:rFonts w:hint="eastAsia" w:ascii="宋体" w:hAnsi="宋体"/>
        </w:rPr>
      </w:pPr>
    </w:p>
    <w:p>
      <w:pPr>
        <w:spacing w:line="400" w:lineRule="exact"/>
        <w:ind w:firstLine="420" w:firstLineChars="200"/>
        <w:rPr>
          <w:rFonts w:hint="eastAsia" w:ascii="宋体" w:hAnsi="宋体"/>
        </w:rPr>
      </w:pPr>
    </w:p>
    <w:p>
      <w:pPr>
        <w:spacing w:line="400" w:lineRule="exact"/>
        <w:ind w:firstLine="420" w:firstLineChars="200"/>
        <w:rPr>
          <w:rFonts w:hint="eastAsia" w:ascii="宋体" w:hAnsi="宋体"/>
        </w:rPr>
      </w:pPr>
    </w:p>
    <w:p>
      <w:pPr>
        <w:pStyle w:val="2"/>
        <w:keepLines w:val="0"/>
        <w:widowControl/>
        <w:jc w:val="center"/>
      </w:pPr>
      <w:bookmarkStart w:id="157" w:name="_Toc80886941"/>
      <w:bookmarkEnd w:id="157"/>
      <w:bookmarkStart w:id="158" w:name="_Toc122512760"/>
      <w:r>
        <w:rPr>
          <w:rFonts w:ascii="宋体" w:hAnsi="宋体"/>
        </w:rPr>
        <w:br w:type="page"/>
      </w:r>
      <w:r>
        <w:rPr>
          <w:rFonts w:hint="eastAsia" w:ascii="宋体" w:hAnsi="宋体"/>
        </w:rPr>
        <w:t>第五章</w:t>
      </w:r>
      <w:r>
        <w:t xml:space="preserve"> </w:t>
      </w:r>
      <w:r>
        <w:rPr>
          <w:rFonts w:hint="eastAsia" w:ascii="宋体" w:hAnsi="宋体"/>
        </w:rPr>
        <w:t>响应文件格式</w:t>
      </w:r>
      <w:bookmarkEnd w:id="158"/>
    </w:p>
    <w:p>
      <w:pPr>
        <w:widowControl/>
        <w:jc w:val="left"/>
        <w:rPr>
          <w:b/>
          <w:bCs/>
          <w:kern w:val="44"/>
          <w:sz w:val="44"/>
          <w:szCs w:val="44"/>
        </w:rPr>
        <w:sectPr>
          <w:pgSz w:w="11910" w:h="16840"/>
          <w:pgMar w:top="1338" w:right="1503" w:bottom="1338" w:left="1678" w:header="720" w:footer="720" w:gutter="0"/>
          <w:cols w:space="720" w:num="1"/>
          <w:docGrid w:type="lines" w:linePitch="312" w:charSpace="0"/>
        </w:sectPr>
      </w:pPr>
    </w:p>
    <w:p>
      <w:pPr>
        <w:pStyle w:val="3"/>
        <w:keepLines w:val="0"/>
        <w:widowControl/>
        <w:jc w:val="center"/>
        <w:rPr>
          <w:rFonts w:ascii="宋体" w:hAnsi="宋体"/>
        </w:rPr>
      </w:pPr>
      <w:bookmarkStart w:id="159" w:name="_Toc80205938"/>
      <w:bookmarkEnd w:id="159"/>
      <w:bookmarkStart w:id="160" w:name="_Toc80886942"/>
      <w:r>
        <w:rPr>
          <w:rFonts w:hint="eastAsia" w:ascii="宋体" w:hAnsi="宋体"/>
          <w:bCs w:val="0"/>
        </w:rPr>
        <w:t>第一节 封面格式</w:t>
      </w:r>
      <w:bookmarkEnd w:id="160"/>
    </w:p>
    <w:p>
      <w:pPr>
        <w:snapToGrid w:val="0"/>
        <w:spacing w:before="156" w:beforeLines="50" w:after="50"/>
        <w:rPr>
          <w:rFonts w:hint="eastAsia" w:ascii="宋体" w:hAnsi="宋体"/>
          <w:sz w:val="24"/>
        </w:rPr>
      </w:pPr>
      <w:r>
        <w:rPr>
          <w:rFonts w:hint="eastAsia" w:ascii="宋体" w:hAnsi="宋体"/>
          <w:sz w:val="24"/>
        </w:rPr>
        <w:t xml:space="preserve"> </w:t>
      </w:r>
    </w:p>
    <w:p>
      <w:pPr>
        <w:snapToGrid w:val="0"/>
        <w:spacing w:before="156" w:beforeLines="50" w:after="50"/>
        <w:jc w:val="center"/>
        <w:rPr>
          <w:rFonts w:hint="eastAsia" w:ascii="宋体" w:hAnsi="宋体"/>
          <w:bCs/>
          <w:sz w:val="24"/>
        </w:rPr>
      </w:pPr>
      <w:r>
        <w:rPr>
          <w:rFonts w:hint="eastAsia" w:ascii="宋体" w:hAnsi="宋体"/>
          <w:bCs/>
          <w:sz w:val="24"/>
        </w:rPr>
        <w:t xml:space="preserve"> </w:t>
      </w:r>
    </w:p>
    <w:p>
      <w:pPr>
        <w:snapToGrid w:val="0"/>
        <w:spacing w:before="156" w:beforeLines="50" w:after="50"/>
        <w:jc w:val="center"/>
        <w:rPr>
          <w:rFonts w:hint="eastAsia" w:ascii="方正小标宋简体" w:hAnsi="方正小标宋简体" w:eastAsia="方正小标宋简体"/>
          <w:bCs/>
          <w:sz w:val="44"/>
          <w:szCs w:val="44"/>
        </w:rPr>
      </w:pPr>
      <w:r>
        <w:rPr>
          <w:rFonts w:hint="eastAsia" w:ascii="方正小标宋简体" w:hAnsi="方正小标宋简体" w:eastAsia="方正小标宋简体"/>
          <w:bCs/>
          <w:sz w:val="44"/>
          <w:szCs w:val="44"/>
        </w:rPr>
        <w:t>响  应  文  件</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仿宋_GB2312" w:hAnsi="Calibri" w:eastAsia="仿宋_GB2312"/>
          <w:bCs/>
          <w:sz w:val="32"/>
          <w:szCs w:val="32"/>
        </w:rPr>
      </w:pPr>
      <w:r>
        <w:rPr>
          <w:rFonts w:hint="eastAsia" w:ascii="仿宋_GB2312" w:eastAsia="仿宋_GB2312"/>
          <w:bCs/>
          <w:sz w:val="32"/>
          <w:szCs w:val="32"/>
        </w:rPr>
        <w:t xml:space="preserve"> </w:t>
      </w:r>
    </w:p>
    <w:p>
      <w:pPr>
        <w:snapToGrid w:val="0"/>
        <w:spacing w:before="156" w:beforeLines="50" w:after="50"/>
        <w:ind w:firstLine="640" w:firstLineChars="200"/>
        <w:rPr>
          <w:rFonts w:hint="eastAsia" w:ascii="宋体" w:hAnsi="宋体" w:cs="仿宋_GB2312"/>
          <w:bCs/>
          <w:sz w:val="32"/>
          <w:szCs w:val="32"/>
        </w:rPr>
      </w:pPr>
      <w:r>
        <w:rPr>
          <w:rFonts w:hint="eastAsia" w:ascii="宋体" w:hAnsi="宋体" w:cs="仿宋_GB2312"/>
          <w:bCs/>
          <w:sz w:val="32"/>
          <w:szCs w:val="32"/>
        </w:rPr>
        <w:t>项目名称：环境监管执法系统运维服务项目</w:t>
      </w:r>
    </w:p>
    <w:p>
      <w:pPr>
        <w:snapToGrid w:val="0"/>
        <w:spacing w:before="156" w:beforeLines="50" w:after="50"/>
        <w:ind w:firstLine="480" w:firstLineChars="150"/>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ind w:firstLine="640" w:firstLineChars="200"/>
        <w:rPr>
          <w:rFonts w:hint="eastAsia" w:ascii="宋体" w:hAnsi="宋体" w:cs="仿宋_GB2312"/>
          <w:bCs/>
          <w:sz w:val="32"/>
          <w:szCs w:val="32"/>
        </w:rPr>
      </w:pPr>
      <w:r>
        <w:rPr>
          <w:rFonts w:hint="eastAsia" w:ascii="宋体" w:hAnsi="宋体" w:cs="仿宋_GB2312"/>
          <w:bCs/>
          <w:sz w:val="32"/>
          <w:szCs w:val="32"/>
        </w:rPr>
        <w:t>项目编号：</w:t>
      </w:r>
    </w:p>
    <w:p>
      <w:pPr>
        <w:snapToGrid w:val="0"/>
        <w:spacing w:before="156" w:beforeLines="50" w:after="50"/>
        <w:ind w:firstLine="480" w:firstLineChars="150"/>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ind w:firstLine="640" w:firstLineChars="200"/>
        <w:rPr>
          <w:rFonts w:hint="eastAsia" w:ascii="宋体" w:hAnsi="宋体" w:cs="仿宋_GB2312"/>
          <w:bCs/>
          <w:sz w:val="32"/>
          <w:szCs w:val="32"/>
        </w:rPr>
      </w:pPr>
      <w:r>
        <w:rPr>
          <w:rFonts w:hint="eastAsia" w:ascii="宋体" w:hAnsi="宋体" w:cs="仿宋_GB2312"/>
          <w:bCs/>
          <w:sz w:val="32"/>
          <w:szCs w:val="32"/>
        </w:rPr>
        <w:t>所竞分标（如有则填写，无分标时填写“无”或者留空）：</w:t>
      </w:r>
    </w:p>
    <w:p>
      <w:pPr>
        <w:snapToGrid w:val="0"/>
        <w:spacing w:before="156" w:beforeLines="50" w:after="50"/>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ind w:firstLine="640" w:firstLineChars="200"/>
        <w:rPr>
          <w:rFonts w:hint="eastAsia" w:ascii="宋体" w:hAnsi="宋体" w:cs="仿宋_GB2312"/>
          <w:bCs/>
          <w:sz w:val="32"/>
          <w:szCs w:val="32"/>
        </w:rPr>
      </w:pPr>
      <w:r>
        <w:rPr>
          <w:rFonts w:hint="eastAsia" w:ascii="宋体" w:hAnsi="宋体" w:cs="仿宋_GB2312"/>
          <w:bCs/>
          <w:sz w:val="32"/>
          <w:szCs w:val="32"/>
        </w:rPr>
        <w:t>供应商名称：</w:t>
      </w:r>
    </w:p>
    <w:p>
      <w:pPr>
        <w:snapToGrid w:val="0"/>
        <w:spacing w:before="156" w:beforeLines="50" w:after="50"/>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ind w:firstLine="480" w:firstLineChars="150"/>
        <w:jc w:val="center"/>
        <w:rPr>
          <w:rFonts w:hint="eastAsia" w:ascii="宋体" w:hAnsi="宋体" w:cs="仿宋_GB2312"/>
          <w:bCs/>
          <w:sz w:val="32"/>
          <w:szCs w:val="32"/>
        </w:rPr>
      </w:pPr>
      <w:r>
        <w:rPr>
          <w:rFonts w:hint="eastAsia" w:ascii="宋体" w:hAnsi="宋体" w:cs="仿宋_GB2312"/>
          <w:bCs/>
          <w:sz w:val="32"/>
          <w:szCs w:val="32"/>
        </w:rPr>
        <w:t>首次响应文件提交截止时间前不得解密</w:t>
      </w:r>
    </w:p>
    <w:p>
      <w:pPr>
        <w:snapToGrid w:val="0"/>
        <w:spacing w:before="156" w:beforeLines="50" w:after="50"/>
        <w:ind w:firstLine="5440" w:firstLineChars="1700"/>
        <w:jc w:val="center"/>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ind w:firstLine="645"/>
        <w:jc w:val="center"/>
        <w:rPr>
          <w:rFonts w:hint="eastAsia" w:ascii="宋体" w:hAnsi="宋体" w:cs="仿宋_GB2312"/>
          <w:bCs/>
          <w:sz w:val="32"/>
          <w:szCs w:val="32"/>
        </w:rPr>
      </w:pPr>
      <w:r>
        <w:rPr>
          <w:rFonts w:hint="eastAsia" w:ascii="宋体" w:hAnsi="宋体" w:cs="仿宋_GB2312"/>
          <w:bCs/>
          <w:sz w:val="32"/>
          <w:szCs w:val="32"/>
        </w:rPr>
        <w:t>年    月    日</w:t>
      </w:r>
    </w:p>
    <w:p>
      <w:pPr>
        <w:widowControl/>
        <w:jc w:val="left"/>
        <w:sectPr>
          <w:pgSz w:w="11910" w:h="16840"/>
          <w:pgMar w:top="1340" w:right="1500" w:bottom="280" w:left="1680" w:header="720" w:footer="720" w:gutter="0"/>
          <w:cols w:space="720" w:num="1"/>
          <w:docGrid w:type="lines" w:linePitch="312" w:charSpace="0"/>
        </w:sectPr>
      </w:pPr>
    </w:p>
    <w:p>
      <w:pPr>
        <w:pStyle w:val="3"/>
        <w:keepLines w:val="0"/>
        <w:widowControl/>
        <w:jc w:val="center"/>
        <w:rPr>
          <w:rFonts w:hint="eastAsia" w:ascii="宋体" w:hAnsi="宋体"/>
          <w:bCs w:val="0"/>
          <w:sz w:val="30"/>
          <w:szCs w:val="30"/>
        </w:rPr>
      </w:pPr>
      <w:bookmarkStart w:id="161" w:name="_Toc80205939"/>
      <w:bookmarkEnd w:id="161"/>
      <w:bookmarkStart w:id="162" w:name="_Toc80886943"/>
      <w:r>
        <w:rPr>
          <w:rFonts w:hint="eastAsia" w:ascii="宋体" w:hAnsi="宋体"/>
        </w:rPr>
        <w:t>第二节 资格证明文件格式</w:t>
      </w:r>
      <w:bookmarkEnd w:id="162"/>
    </w:p>
    <w:p>
      <w:pPr>
        <w:snapToGrid w:val="0"/>
        <w:spacing w:before="156" w:beforeLines="50" w:after="50"/>
        <w:rPr>
          <w:rFonts w:hint="eastAsia" w:ascii="宋体" w:hAnsi="宋体"/>
          <w:bCs/>
          <w:sz w:val="32"/>
          <w:szCs w:val="32"/>
        </w:rPr>
      </w:pPr>
      <w:r>
        <w:rPr>
          <w:rFonts w:hint="eastAsia" w:ascii="宋体" w:hAnsi="宋体"/>
          <w:sz w:val="24"/>
        </w:rPr>
        <w:t xml:space="preserve">                                                    </w:t>
      </w:r>
      <w:r>
        <w:rPr>
          <w:rFonts w:hint="eastAsia" w:ascii="宋体" w:hAnsi="宋体"/>
          <w:bCs/>
        </w:rPr>
        <w:t>全流程电子文件</w:t>
      </w:r>
    </w:p>
    <w:p>
      <w:pPr>
        <w:snapToGrid w:val="0"/>
        <w:spacing w:before="156" w:beforeLines="50" w:after="50"/>
        <w:rPr>
          <w:rFonts w:hint="eastAsia" w:ascii="宋体" w:hAnsi="宋体"/>
          <w:sz w:val="24"/>
        </w:rPr>
      </w:pPr>
      <w:r>
        <w:rPr>
          <w:rFonts w:hint="eastAsia" w:ascii="宋体" w:hAnsi="宋体"/>
          <w:sz w:val="24"/>
        </w:rPr>
        <w:t xml:space="preserve"> </w:t>
      </w:r>
    </w:p>
    <w:p>
      <w:pPr>
        <w:snapToGrid w:val="0"/>
        <w:spacing w:before="156" w:beforeLines="50" w:after="50"/>
        <w:rPr>
          <w:rFonts w:hint="eastAsia" w:ascii="宋体" w:hAnsi="宋体"/>
          <w:sz w:val="24"/>
        </w:rPr>
      </w:pPr>
      <w:r>
        <w:rPr>
          <w:rFonts w:hint="eastAsia" w:ascii="宋体" w:hAnsi="宋体"/>
          <w:sz w:val="24"/>
        </w:rPr>
        <w:t xml:space="preserve"> </w:t>
      </w:r>
    </w:p>
    <w:p>
      <w:pPr>
        <w:snapToGrid w:val="0"/>
        <w:spacing w:before="156" w:beforeLines="50" w:after="50"/>
        <w:jc w:val="center"/>
        <w:rPr>
          <w:rFonts w:hint="eastAsia" w:ascii="方正小标宋简体" w:hAnsi="方正小标宋简体" w:eastAsia="方正小标宋简体"/>
          <w:bCs/>
          <w:sz w:val="44"/>
          <w:szCs w:val="44"/>
        </w:rPr>
      </w:pPr>
      <w:r>
        <w:rPr>
          <w:rFonts w:hint="eastAsia" w:ascii="方正小标宋简体" w:hAnsi="方正小标宋简体" w:eastAsia="方正小标宋简体"/>
          <w:bCs/>
          <w:sz w:val="44"/>
          <w:szCs w:val="44"/>
        </w:rPr>
        <w:t>资  格  证  明  文  件（封面）</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ind w:firstLine="640" w:firstLineChars="200"/>
        <w:rPr>
          <w:rFonts w:hint="eastAsia" w:ascii="宋体" w:hAnsi="宋体" w:cs="仿宋_GB2312"/>
          <w:bCs/>
          <w:sz w:val="32"/>
          <w:szCs w:val="32"/>
        </w:rPr>
      </w:pPr>
      <w:r>
        <w:rPr>
          <w:rFonts w:hint="eastAsia" w:ascii="宋体" w:hAnsi="宋体" w:cs="仿宋_GB2312"/>
          <w:bCs/>
          <w:sz w:val="32"/>
          <w:szCs w:val="32"/>
        </w:rPr>
        <w:t>项目名称：环境监管执法系统运维服务项目</w:t>
      </w:r>
    </w:p>
    <w:p>
      <w:pPr>
        <w:snapToGrid w:val="0"/>
        <w:spacing w:before="156" w:beforeLines="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ind w:firstLine="720" w:firstLineChars="225"/>
        <w:rPr>
          <w:rFonts w:hint="eastAsia" w:ascii="宋体" w:hAnsi="宋体" w:cs="仿宋_GB2312"/>
          <w:bCs/>
          <w:sz w:val="32"/>
          <w:szCs w:val="32"/>
        </w:rPr>
      </w:pPr>
      <w:r>
        <w:rPr>
          <w:rFonts w:hint="eastAsia" w:ascii="宋体" w:hAnsi="宋体" w:cs="仿宋_GB2312"/>
          <w:bCs/>
          <w:sz w:val="32"/>
          <w:szCs w:val="32"/>
        </w:rPr>
        <w:t>项目编号：</w:t>
      </w:r>
    </w:p>
    <w:p>
      <w:pPr>
        <w:snapToGrid w:val="0"/>
        <w:spacing w:before="156" w:beforeLines="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ind w:firstLine="720" w:firstLineChars="225"/>
        <w:rPr>
          <w:rFonts w:hint="eastAsia" w:ascii="宋体" w:hAnsi="宋体" w:cs="仿宋_GB2312"/>
          <w:bCs/>
          <w:sz w:val="32"/>
          <w:szCs w:val="32"/>
        </w:rPr>
      </w:pPr>
      <w:r>
        <w:rPr>
          <w:rFonts w:hint="eastAsia" w:ascii="宋体" w:hAnsi="宋体" w:cs="仿宋_GB2312"/>
          <w:bCs/>
          <w:sz w:val="32"/>
          <w:szCs w:val="32"/>
        </w:rPr>
        <w:t>所竞分标（如有则填写，无分标时填写“无”或者留空）：</w:t>
      </w:r>
    </w:p>
    <w:p>
      <w:pPr>
        <w:snapToGrid w:val="0"/>
        <w:spacing w:before="156" w:beforeLines="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pStyle w:val="7"/>
        <w:widowControl/>
        <w:snapToGrid w:val="0"/>
        <w:spacing w:before="50" w:after="50"/>
        <w:ind w:firstLine="720" w:firstLineChars="225"/>
        <w:rPr>
          <w:rFonts w:hint="eastAsia" w:ascii="宋体" w:hAnsi="宋体" w:cs="仿宋_GB2312"/>
          <w:bCs/>
          <w:sz w:val="32"/>
          <w:szCs w:val="32"/>
        </w:rPr>
      </w:pPr>
      <w:r>
        <w:rPr>
          <w:rFonts w:hint="eastAsia" w:ascii="宋体" w:hAnsi="宋体" w:cs="仿宋_GB2312"/>
          <w:bCs/>
          <w:sz w:val="32"/>
          <w:szCs w:val="32"/>
        </w:rPr>
        <w:t>供应商名称：</w:t>
      </w:r>
    </w:p>
    <w:p>
      <w:pPr>
        <w:pStyle w:val="7"/>
        <w:widowControl/>
        <w:snapToGrid w:val="0"/>
        <w:spacing w:before="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pStyle w:val="7"/>
        <w:widowControl/>
        <w:snapToGrid w:val="0"/>
        <w:spacing w:before="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pStyle w:val="7"/>
        <w:widowControl/>
        <w:snapToGrid w:val="0"/>
        <w:spacing w:before="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pStyle w:val="7"/>
        <w:widowControl/>
        <w:snapToGrid w:val="0"/>
        <w:spacing w:before="50" w:after="50"/>
        <w:ind w:firstLine="1280" w:firstLineChars="400"/>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jc w:val="center"/>
        <w:rPr>
          <w:rFonts w:hint="eastAsia" w:ascii="宋体" w:hAnsi="宋体" w:cs="仿宋_GB2312"/>
          <w:sz w:val="32"/>
          <w:szCs w:val="32"/>
        </w:rPr>
      </w:pPr>
      <w:r>
        <w:rPr>
          <w:rFonts w:hint="eastAsia" w:ascii="宋体" w:hAnsi="宋体" w:cs="仿宋_GB2312"/>
          <w:sz w:val="32"/>
          <w:szCs w:val="32"/>
        </w:rPr>
        <w:t>年    月    日</w:t>
      </w:r>
    </w:p>
    <w:p>
      <w:pPr>
        <w:snapToGrid w:val="0"/>
        <w:spacing w:before="156" w:beforeLines="50" w:after="50" w:line="360" w:lineRule="auto"/>
        <w:jc w:val="left"/>
        <w:rPr>
          <w:rFonts w:hint="eastAsia" w:ascii="宋体" w:hAnsi="宋体"/>
          <w:b/>
          <w:bCs/>
          <w:sz w:val="32"/>
          <w:szCs w:val="32"/>
        </w:rPr>
      </w:pPr>
      <w:r>
        <w:rPr>
          <w:rFonts w:hint="eastAsia" w:ascii="宋体" w:hAnsi="宋体"/>
          <w:sz w:val="24"/>
        </w:rPr>
        <w:br w:type="page"/>
      </w:r>
      <w:r>
        <w:rPr>
          <w:rFonts w:hint="eastAsia" w:ascii="宋体" w:hAnsi="宋体"/>
          <w:b/>
          <w:bCs/>
          <w:sz w:val="32"/>
          <w:szCs w:val="32"/>
        </w:rPr>
        <w:t xml:space="preserve"> </w:t>
      </w:r>
    </w:p>
    <w:p>
      <w:pPr>
        <w:jc w:val="center"/>
        <w:rPr>
          <w:rFonts w:hint="eastAsia" w:ascii="仿宋_GB2312" w:hAnsi="仿宋" w:eastAsia="仿宋_GB2312"/>
          <w:b/>
          <w:kern w:val="0"/>
          <w:sz w:val="36"/>
          <w:szCs w:val="36"/>
        </w:rPr>
      </w:pPr>
      <w:r>
        <w:rPr>
          <w:rFonts w:hint="eastAsia" w:ascii="仿宋_GB2312" w:hAnsi="仿宋" w:eastAsia="仿宋_GB2312"/>
          <w:b/>
          <w:kern w:val="0"/>
          <w:sz w:val="36"/>
          <w:szCs w:val="36"/>
        </w:rPr>
        <w:t>资格证明文件目录</w:t>
      </w:r>
    </w:p>
    <w:p>
      <w:pPr>
        <w:snapToGrid w:val="0"/>
        <w:spacing w:line="360" w:lineRule="auto"/>
        <w:rPr>
          <w:rFonts w:hint="eastAsia" w:ascii="仿宋_GB2312" w:hAnsi="仿宋" w:eastAsia="仿宋_GB2312"/>
          <w:kern w:val="0"/>
          <w:sz w:val="24"/>
        </w:rPr>
      </w:pPr>
      <w:r>
        <w:rPr>
          <w:rFonts w:hint="eastAsia" w:ascii="仿宋_GB2312" w:hAnsi="仿宋" w:eastAsia="仿宋_GB2312"/>
          <w:kern w:val="0"/>
          <w:sz w:val="24"/>
        </w:rPr>
        <w:t xml:space="preserve"> </w:t>
      </w:r>
    </w:p>
    <w:p>
      <w:pPr>
        <w:snapToGrid w:val="0"/>
        <w:spacing w:line="360" w:lineRule="auto"/>
        <w:rPr>
          <w:rFonts w:hint="eastAsia" w:ascii="仿宋_GB2312" w:hAnsi="仿宋" w:eastAsia="仿宋_GB2312"/>
          <w:kern w:val="0"/>
          <w:sz w:val="24"/>
        </w:rPr>
      </w:pPr>
      <w:r>
        <w:rPr>
          <w:rFonts w:hint="eastAsia" w:ascii="仿宋_GB2312" w:hAnsi="仿宋" w:eastAsia="仿宋_GB2312"/>
          <w:kern w:val="0"/>
          <w:sz w:val="24"/>
        </w:rPr>
        <w:t>一、</w:t>
      </w:r>
      <w:r>
        <w:rPr>
          <w:rFonts w:hint="eastAsia" w:ascii="仿宋_GB2312" w:hAnsi="仿宋" w:eastAsia="仿宋_GB2312"/>
          <w:sz w:val="24"/>
        </w:rPr>
        <w:t>营业执照(或事业法人登记证或其他工商等登记证明材料)复印件（供应商为自然人的，须提供</w:t>
      </w:r>
      <w:r>
        <w:rPr>
          <w:rFonts w:hint="eastAsia" w:ascii="仿宋_GB2312" w:hAnsi="仿宋" w:eastAsia="仿宋_GB2312" w:cs="Helvetica"/>
          <w:kern w:val="0"/>
          <w:sz w:val="24"/>
        </w:rPr>
        <w:t>自然人的身份证明</w:t>
      </w:r>
      <w:r>
        <w:rPr>
          <w:rFonts w:hint="eastAsia" w:ascii="仿宋_GB2312" w:hAnsi="仿宋" w:eastAsia="仿宋_GB2312"/>
          <w:sz w:val="24"/>
        </w:rPr>
        <w:t>）</w:t>
      </w:r>
      <w:r>
        <w:rPr>
          <w:rFonts w:hint="eastAsia" w:ascii="仿宋_GB2312" w:hAnsi="仿宋" w:eastAsia="仿宋_GB2312"/>
          <w:kern w:val="0"/>
          <w:sz w:val="24"/>
        </w:rPr>
        <w:t>…………………………………………（页码）</w:t>
      </w:r>
    </w:p>
    <w:p>
      <w:pPr>
        <w:snapToGrid w:val="0"/>
        <w:spacing w:line="360" w:lineRule="auto"/>
        <w:rPr>
          <w:rFonts w:hint="eastAsia" w:ascii="仿宋_GB2312" w:hAnsi="仿宋" w:eastAsia="仿宋_GB2312"/>
          <w:kern w:val="0"/>
          <w:sz w:val="24"/>
        </w:rPr>
      </w:pPr>
      <w:r>
        <w:rPr>
          <w:rFonts w:hint="eastAsia" w:ascii="仿宋_GB2312" w:hAnsi="仿宋" w:eastAsia="仿宋_GB2312"/>
          <w:kern w:val="0"/>
          <w:sz w:val="24"/>
        </w:rPr>
        <w:t>二、符合参与政府采购活动的资格条件依法缴纳税收、社会保障资金等方面的材料…………………………………………………………………………………（页码）</w:t>
      </w:r>
    </w:p>
    <w:p>
      <w:pPr>
        <w:snapToGrid w:val="0"/>
        <w:spacing w:line="360" w:lineRule="auto"/>
        <w:rPr>
          <w:rFonts w:hint="eastAsia" w:ascii="仿宋_GB2312" w:hAnsi="仿宋" w:eastAsia="仿宋_GB2312"/>
          <w:kern w:val="0"/>
          <w:sz w:val="24"/>
        </w:rPr>
      </w:pPr>
      <w:r>
        <w:rPr>
          <w:rFonts w:hint="eastAsia" w:ascii="仿宋_GB2312" w:hAnsi="仿宋" w:eastAsia="仿宋_GB2312"/>
          <w:kern w:val="0"/>
          <w:sz w:val="24"/>
        </w:rPr>
        <w:t>三、财务状况报告方面的材料…………………………………………………（页码）</w:t>
      </w:r>
    </w:p>
    <w:p>
      <w:pPr>
        <w:snapToGrid w:val="0"/>
        <w:spacing w:line="360" w:lineRule="auto"/>
        <w:rPr>
          <w:rFonts w:hint="eastAsia" w:ascii="仿宋_GB2312" w:hAnsi="仿宋" w:eastAsia="仿宋_GB2312"/>
          <w:kern w:val="0"/>
          <w:sz w:val="24"/>
        </w:rPr>
      </w:pPr>
      <w:r>
        <w:rPr>
          <w:rFonts w:hint="eastAsia" w:ascii="仿宋_GB2312" w:hAnsi="仿宋" w:eastAsia="仿宋_GB2312"/>
          <w:sz w:val="24"/>
        </w:rPr>
        <w:t>四、供应商直接控股股东信息</w:t>
      </w:r>
      <w:r>
        <w:rPr>
          <w:rFonts w:hint="eastAsia" w:ascii="仿宋_GB2312" w:hAnsi="仿宋" w:eastAsia="仿宋_GB2312"/>
          <w:kern w:val="0"/>
          <w:sz w:val="24"/>
        </w:rPr>
        <w:t>…………………………………………………（页码）</w:t>
      </w:r>
    </w:p>
    <w:p>
      <w:pPr>
        <w:snapToGrid w:val="0"/>
        <w:spacing w:line="360" w:lineRule="auto"/>
        <w:rPr>
          <w:rFonts w:hint="eastAsia" w:ascii="仿宋_GB2312" w:hAnsi="仿宋" w:eastAsia="仿宋_GB2312"/>
          <w:kern w:val="0"/>
          <w:sz w:val="24"/>
        </w:rPr>
      </w:pPr>
      <w:r>
        <w:rPr>
          <w:rFonts w:hint="eastAsia" w:ascii="仿宋_GB2312" w:hAnsi="仿宋" w:eastAsia="仿宋_GB2312"/>
          <w:sz w:val="24"/>
        </w:rPr>
        <w:t>五、供应商直接关联关系信息表</w:t>
      </w:r>
      <w:r>
        <w:rPr>
          <w:rFonts w:hint="eastAsia" w:ascii="仿宋_GB2312" w:hAnsi="仿宋" w:eastAsia="仿宋_GB2312"/>
          <w:kern w:val="0"/>
          <w:sz w:val="24"/>
        </w:rPr>
        <w:t>………………………………………………（页码）</w:t>
      </w:r>
    </w:p>
    <w:p>
      <w:pPr>
        <w:snapToGrid w:val="0"/>
        <w:spacing w:line="360" w:lineRule="auto"/>
        <w:rPr>
          <w:rFonts w:hint="eastAsia" w:ascii="仿宋_GB2312" w:hAnsi="仿宋" w:eastAsia="仿宋_GB2312"/>
          <w:kern w:val="0"/>
          <w:sz w:val="24"/>
        </w:rPr>
      </w:pPr>
      <w:r>
        <w:rPr>
          <w:rFonts w:hint="eastAsia" w:ascii="仿宋_GB2312" w:hAnsi="仿宋" w:eastAsia="仿宋_GB2312"/>
          <w:kern w:val="0"/>
          <w:sz w:val="24"/>
        </w:rPr>
        <w:t>六、资格声明函…………………………………………………………………（页码）</w:t>
      </w:r>
    </w:p>
    <w:p>
      <w:pPr>
        <w:snapToGrid w:val="0"/>
        <w:spacing w:line="360" w:lineRule="auto"/>
        <w:rPr>
          <w:rFonts w:hint="eastAsia" w:ascii="仿宋_GB2312" w:hAnsi="仿宋" w:eastAsia="仿宋_GB2312"/>
          <w:kern w:val="0"/>
          <w:sz w:val="24"/>
        </w:rPr>
      </w:pPr>
      <w:r>
        <w:rPr>
          <w:rFonts w:hint="eastAsia" w:ascii="仿宋_GB2312" w:hAnsi="仿宋" w:eastAsia="仿宋_GB2312"/>
          <w:kern w:val="0"/>
          <w:sz w:val="24"/>
        </w:rPr>
        <w:t>七、联合体协议书（</w:t>
      </w:r>
      <w:r>
        <w:rPr>
          <w:rFonts w:hint="eastAsia" w:ascii="仿宋_GB2312" w:hAnsi="仿宋" w:eastAsia="仿宋_GB2312"/>
          <w:sz w:val="24"/>
        </w:rPr>
        <w:t>以联合体形式响应的，提供联合体协议；本项目不接受联合体响应或者供应商不以联合体形式响应的，则不需要提供</w:t>
      </w:r>
      <w:r>
        <w:rPr>
          <w:rFonts w:hint="eastAsia" w:ascii="仿宋_GB2312" w:hAnsi="仿宋" w:eastAsia="仿宋_GB2312"/>
          <w:kern w:val="0"/>
          <w:sz w:val="24"/>
        </w:rPr>
        <w:t>）…………………（页码）</w:t>
      </w:r>
    </w:p>
    <w:p>
      <w:pPr>
        <w:snapToGrid w:val="0"/>
        <w:spacing w:line="360" w:lineRule="auto"/>
        <w:rPr>
          <w:rFonts w:hint="eastAsia" w:ascii="仿宋_GB2312" w:hAnsi="仿宋" w:eastAsia="仿宋_GB2312"/>
          <w:kern w:val="0"/>
          <w:sz w:val="24"/>
        </w:rPr>
      </w:pPr>
      <w:r>
        <w:rPr>
          <w:rFonts w:hint="eastAsia" w:ascii="仿宋_GB2312" w:hAnsi="仿宋" w:eastAsia="仿宋_GB2312"/>
          <w:sz w:val="24"/>
        </w:rPr>
        <w:t>八、中小企业声明函(或监狱企业证明文件、残疾人福利企业声明函)</w:t>
      </w:r>
      <w:r>
        <w:rPr>
          <w:rFonts w:hint="eastAsia" w:ascii="仿宋_GB2312" w:hAnsi="仿宋" w:eastAsia="仿宋_GB2312"/>
          <w:kern w:val="0"/>
          <w:sz w:val="24"/>
        </w:rPr>
        <w:t xml:space="preserve"> ………（页码）</w:t>
      </w:r>
    </w:p>
    <w:p>
      <w:pPr>
        <w:snapToGrid w:val="0"/>
        <w:spacing w:line="360" w:lineRule="auto"/>
        <w:rPr>
          <w:rFonts w:hint="eastAsia" w:ascii="仿宋_GB2312" w:hAnsi="仿宋" w:eastAsia="仿宋_GB2312"/>
          <w:kern w:val="0"/>
          <w:sz w:val="24"/>
        </w:rPr>
      </w:pPr>
      <w:r>
        <w:rPr>
          <w:rFonts w:hint="eastAsia" w:ascii="仿宋_GB2312" w:hAnsi="仿宋" w:eastAsia="仿宋_GB2312"/>
          <w:sz w:val="24"/>
        </w:rPr>
        <w:t>九、除磋商文件规定必须提供以外，供应商认为需要提供的其他证明材料</w:t>
      </w:r>
      <w:r>
        <w:rPr>
          <w:rFonts w:hint="eastAsia" w:ascii="仿宋_GB2312" w:hAnsi="仿宋" w:eastAsia="仿宋_GB2312"/>
          <w:kern w:val="0"/>
          <w:sz w:val="24"/>
        </w:rPr>
        <w:t>…（页码）</w:t>
      </w:r>
    </w:p>
    <w:p>
      <w:pPr>
        <w:spacing w:line="360" w:lineRule="auto"/>
        <w:rPr>
          <w:rFonts w:hint="eastAsia" w:ascii="仿宋_GB2312" w:hAnsi="Calibri" w:eastAsia="仿宋_GB2312"/>
          <w:b/>
          <w:bCs/>
          <w:sz w:val="24"/>
        </w:rPr>
      </w:pPr>
    </w:p>
    <w:p>
      <w:pPr>
        <w:spacing w:line="360" w:lineRule="auto"/>
        <w:rPr>
          <w:rFonts w:hint="eastAsia" w:ascii="仿宋_GB2312" w:eastAsia="仿宋_GB2312"/>
          <w:b/>
          <w:bCs/>
          <w:sz w:val="24"/>
        </w:rPr>
      </w:pPr>
      <w:r>
        <w:rPr>
          <w:rFonts w:hint="eastAsia" w:ascii="仿宋_GB2312" w:eastAsia="仿宋_GB2312"/>
          <w:b/>
          <w:bCs/>
          <w:sz w:val="24"/>
        </w:rPr>
        <w:t>注：以上目录是编制供应商响应文件的基本格式要求，各供应商可根据自身情况进一步细化。</w:t>
      </w:r>
    </w:p>
    <w:p>
      <w:pPr>
        <w:snapToGrid w:val="0"/>
        <w:spacing w:before="156" w:beforeLines="50" w:after="50" w:line="360" w:lineRule="auto"/>
        <w:ind w:left="142" w:firstLine="420" w:firstLineChars="200"/>
        <w:jc w:val="left"/>
        <w:rPr>
          <w:rFonts w:hint="eastAsia" w:ascii="宋体" w:hAnsi="宋体"/>
          <w:szCs w:val="21"/>
        </w:rPr>
      </w:pPr>
      <w:r>
        <w:rPr>
          <w:rFonts w:hint="eastAsia" w:ascii="宋体" w:hAnsi="宋体"/>
        </w:rPr>
        <w:t xml:space="preserve"> </w:t>
      </w:r>
    </w:p>
    <w:p>
      <w:pPr>
        <w:spacing w:line="300" w:lineRule="auto"/>
        <w:rPr>
          <w:rFonts w:hint="eastAsia" w:ascii="宋体" w:hAnsi="宋体"/>
        </w:rPr>
      </w:pPr>
      <w:r>
        <w:rPr>
          <w:rFonts w:hint="eastAsia" w:ascii="宋体" w:hAnsi="宋体"/>
        </w:rPr>
        <w:t xml:space="preserve"> </w:t>
      </w:r>
    </w:p>
    <w:p>
      <w:pPr>
        <w:spacing w:line="300" w:lineRule="auto"/>
        <w:rPr>
          <w:rFonts w:hint="eastAsia" w:ascii="宋体" w:hAnsi="宋体"/>
        </w:rPr>
      </w:pPr>
      <w:r>
        <w:rPr>
          <w:rFonts w:hint="eastAsia" w:ascii="宋体" w:hAnsi="宋体"/>
        </w:rPr>
        <w:t xml:space="preserve"> </w:t>
      </w:r>
    </w:p>
    <w:p>
      <w:pPr>
        <w:spacing w:line="300" w:lineRule="auto"/>
        <w:rPr>
          <w:rFonts w:ascii="宋体" w:hAnsi="宋体"/>
        </w:rPr>
      </w:pPr>
      <w:r>
        <w:rPr>
          <w:rFonts w:hint="eastAsia" w:ascii="宋体" w:hAnsi="宋体"/>
        </w:rPr>
        <w:t xml:space="preserve"> </w:t>
      </w:r>
    </w:p>
    <w:p>
      <w:pPr>
        <w:spacing w:line="300" w:lineRule="auto"/>
        <w:rPr>
          <w:rFonts w:hint="eastAsia" w:ascii="宋体" w:hAnsi="宋体"/>
        </w:rPr>
      </w:pPr>
    </w:p>
    <w:p>
      <w:pPr>
        <w:spacing w:line="300" w:lineRule="auto"/>
        <w:rPr>
          <w:rFonts w:hint="eastAsia" w:ascii="仿宋" w:hAnsi="仿宋" w:eastAsia="仿宋" w:cs="仿宋_GB2312"/>
          <w:b/>
          <w:sz w:val="30"/>
          <w:szCs w:val="30"/>
        </w:rPr>
      </w:pPr>
      <w:r>
        <w:rPr>
          <w:rFonts w:ascii="宋体" w:hAnsi="宋体"/>
        </w:rPr>
        <w:br w:type="page"/>
      </w:r>
      <w:r>
        <w:rPr>
          <w:rFonts w:hint="eastAsia" w:ascii="宋体" w:hAnsi="宋体"/>
        </w:rPr>
        <w:t xml:space="preserve"> </w:t>
      </w:r>
      <w:r>
        <w:rPr>
          <w:rFonts w:hint="eastAsia" w:ascii="仿宋" w:hAnsi="仿宋" w:eastAsia="仿宋" w:cs="仿宋_GB2312"/>
          <w:b/>
          <w:sz w:val="30"/>
          <w:szCs w:val="30"/>
        </w:rPr>
        <w:t>一、营业执照(或事业法人登记证或其他工商等登记证明材料)复印件（供应商为自然人的，提供自然人的身份证明）</w:t>
      </w:r>
    </w:p>
    <w:p>
      <w:pPr>
        <w:pStyle w:val="17"/>
        <w:widowControl/>
        <w:spacing w:line="360" w:lineRule="auto"/>
        <w:ind w:firstLine="602" w:firstLineChars="200"/>
        <w:rPr>
          <w:rFonts w:hint="eastAsia" w:ascii="仿宋" w:hAnsi="仿宋" w:eastAsia="仿宋" w:cs="仿宋_GB2312"/>
          <w:b/>
          <w:sz w:val="30"/>
          <w:szCs w:val="30"/>
        </w:rPr>
      </w:pPr>
      <w:r>
        <w:rPr>
          <w:rFonts w:hint="eastAsia" w:ascii="仿宋" w:hAnsi="仿宋" w:eastAsia="仿宋" w:cs="仿宋_GB2312"/>
          <w:b/>
          <w:sz w:val="30"/>
          <w:szCs w:val="30"/>
        </w:rPr>
        <w:t xml:space="preserve"> </w:t>
      </w:r>
    </w:p>
    <w:p>
      <w:pPr>
        <w:autoSpaceDE w:val="0"/>
        <w:autoSpaceDN w:val="0"/>
        <w:spacing w:line="360" w:lineRule="auto"/>
        <w:ind w:left="4365" w:leftChars="1850" w:hanging="480" w:hangingChars="2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120" w:firstLineChars="2550"/>
        <w:rPr>
          <w:rFonts w:hint="eastAsia" w:ascii="仿宋_GB2312" w:hAnsi="仿宋" w:eastAsia="仿宋_GB2312"/>
          <w:b/>
          <w:bCs/>
          <w:sz w:val="24"/>
        </w:rPr>
      </w:pPr>
      <w:r>
        <w:rPr>
          <w:rFonts w:hint="eastAsia" w:ascii="仿宋_GB2312" w:hAnsi="仿宋" w:eastAsia="仿宋_GB2312"/>
          <w:kern w:val="0"/>
          <w:sz w:val="24"/>
        </w:rPr>
        <w:t>日期：  年  月   日</w:t>
      </w:r>
    </w:p>
    <w:p>
      <w:pPr>
        <w:snapToGrid w:val="0"/>
        <w:spacing w:before="156" w:beforeLines="50" w:after="50"/>
        <w:rPr>
          <w:rFonts w:hint="eastAsia" w:ascii="宋体" w:hAnsi="宋体"/>
          <w:sz w:val="24"/>
        </w:rPr>
      </w:pPr>
      <w:r>
        <w:rPr>
          <w:rFonts w:hint="eastAsia" w:ascii="宋体" w:hAnsi="宋体"/>
          <w:sz w:val="24"/>
        </w:rPr>
        <w:t xml:space="preserve"> </w:t>
      </w:r>
    </w:p>
    <w:p>
      <w:pPr>
        <w:pStyle w:val="17"/>
        <w:widowControl/>
        <w:spacing w:line="360" w:lineRule="auto"/>
        <w:ind w:firstLine="602" w:firstLineChars="200"/>
        <w:rPr>
          <w:rFonts w:hint="eastAsia" w:ascii="仿宋" w:hAnsi="仿宋" w:eastAsia="仿宋" w:cs="仿宋_GB2312"/>
          <w:b/>
          <w:sz w:val="30"/>
          <w:szCs w:val="30"/>
        </w:rPr>
      </w:pPr>
      <w:r>
        <w:rPr>
          <w:rFonts w:hint="eastAsia" w:ascii="仿宋" w:hAnsi="仿宋" w:eastAsia="仿宋" w:cs="仿宋_GB2312"/>
          <w:b/>
          <w:sz w:val="30"/>
          <w:szCs w:val="30"/>
        </w:rPr>
        <w:t>二、符合参与政府采购活动的资格条件依法缴纳税收、社会保障资金等方面的材料</w:t>
      </w:r>
    </w:p>
    <w:p>
      <w:pPr>
        <w:spacing w:line="300" w:lineRule="auto"/>
        <w:rPr>
          <w:rFonts w:hint="eastAsia" w:ascii="宋体" w:hAnsi="宋体"/>
          <w:szCs w:val="21"/>
        </w:rPr>
      </w:pPr>
      <w:r>
        <w:rPr>
          <w:rFonts w:hint="eastAsia" w:ascii="宋体" w:hAnsi="宋体"/>
        </w:rPr>
        <w:t xml:space="preserve"> </w:t>
      </w:r>
    </w:p>
    <w:p>
      <w:pPr>
        <w:autoSpaceDE w:val="0"/>
        <w:autoSpaceDN w:val="0"/>
        <w:spacing w:line="360" w:lineRule="auto"/>
        <w:ind w:left="4365" w:leftChars="1850" w:hanging="480" w:hangingChars="2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120" w:firstLineChars="2550"/>
        <w:rPr>
          <w:rFonts w:hint="eastAsia" w:ascii="仿宋_GB2312" w:hAnsi="仿宋" w:eastAsia="仿宋_GB2312"/>
          <w:b/>
          <w:bCs/>
          <w:sz w:val="24"/>
        </w:rPr>
      </w:pPr>
      <w:r>
        <w:rPr>
          <w:rFonts w:hint="eastAsia" w:ascii="仿宋_GB2312" w:hAnsi="仿宋" w:eastAsia="仿宋_GB2312"/>
          <w:kern w:val="0"/>
          <w:sz w:val="24"/>
        </w:rPr>
        <w:t>日期：  年  月   日</w:t>
      </w:r>
    </w:p>
    <w:p>
      <w:pPr>
        <w:spacing w:line="300" w:lineRule="auto"/>
        <w:rPr>
          <w:rFonts w:hint="eastAsia" w:ascii="宋体" w:hAnsi="宋体"/>
          <w:szCs w:val="21"/>
        </w:rPr>
      </w:pPr>
      <w:r>
        <w:rPr>
          <w:rFonts w:hint="eastAsia" w:ascii="宋体" w:hAnsi="宋体"/>
        </w:rPr>
        <w:t xml:space="preserve"> </w:t>
      </w:r>
    </w:p>
    <w:p>
      <w:pPr>
        <w:spacing w:line="300" w:lineRule="auto"/>
        <w:ind w:firstLine="596" w:firstLineChars="198"/>
        <w:rPr>
          <w:rFonts w:hint="eastAsia" w:ascii="仿宋" w:hAnsi="仿宋" w:eastAsia="仿宋" w:cs="仿宋_GB2312"/>
          <w:b/>
          <w:kern w:val="0"/>
          <w:sz w:val="30"/>
          <w:szCs w:val="30"/>
        </w:rPr>
      </w:pPr>
      <w:r>
        <w:rPr>
          <w:rFonts w:hint="eastAsia" w:ascii="仿宋" w:hAnsi="仿宋" w:eastAsia="仿宋" w:cs="仿宋_GB2312"/>
          <w:b/>
          <w:kern w:val="0"/>
          <w:sz w:val="30"/>
          <w:szCs w:val="30"/>
        </w:rPr>
        <w:t xml:space="preserve"> </w:t>
      </w:r>
    </w:p>
    <w:p>
      <w:pPr>
        <w:spacing w:line="300" w:lineRule="auto"/>
        <w:ind w:firstLine="596" w:firstLineChars="198"/>
        <w:rPr>
          <w:rFonts w:hint="eastAsia" w:ascii="仿宋" w:hAnsi="仿宋" w:eastAsia="仿宋" w:cs="仿宋_GB2312"/>
          <w:b/>
          <w:kern w:val="0"/>
          <w:sz w:val="30"/>
          <w:szCs w:val="30"/>
        </w:rPr>
      </w:pPr>
      <w:r>
        <w:rPr>
          <w:rFonts w:hint="eastAsia" w:ascii="仿宋" w:hAnsi="仿宋" w:eastAsia="仿宋" w:cs="仿宋_GB2312"/>
          <w:b/>
          <w:kern w:val="0"/>
          <w:sz w:val="30"/>
          <w:szCs w:val="30"/>
        </w:rPr>
        <w:t xml:space="preserve"> </w:t>
      </w:r>
    </w:p>
    <w:p>
      <w:pPr>
        <w:spacing w:line="300" w:lineRule="auto"/>
        <w:ind w:firstLine="596" w:firstLineChars="198"/>
        <w:rPr>
          <w:rFonts w:hint="eastAsia" w:ascii="仿宋" w:hAnsi="仿宋" w:eastAsia="仿宋" w:cs="仿宋_GB2312"/>
          <w:b/>
          <w:kern w:val="0"/>
          <w:sz w:val="30"/>
          <w:szCs w:val="30"/>
        </w:rPr>
      </w:pPr>
      <w:r>
        <w:rPr>
          <w:rFonts w:hint="eastAsia" w:ascii="仿宋" w:hAnsi="仿宋" w:eastAsia="仿宋" w:cs="仿宋_GB2312"/>
          <w:b/>
          <w:kern w:val="0"/>
          <w:sz w:val="30"/>
          <w:szCs w:val="30"/>
        </w:rPr>
        <w:t>三、财务状况报告方面的材料</w:t>
      </w:r>
    </w:p>
    <w:p>
      <w:pPr>
        <w:spacing w:line="300" w:lineRule="auto"/>
        <w:rPr>
          <w:rFonts w:hint="eastAsia" w:ascii="宋体" w:hAnsi="宋体"/>
          <w:szCs w:val="21"/>
        </w:rPr>
      </w:pPr>
      <w:r>
        <w:rPr>
          <w:rFonts w:hint="eastAsia" w:ascii="宋体" w:hAnsi="宋体"/>
        </w:rPr>
        <w:t xml:space="preserve"> </w:t>
      </w:r>
    </w:p>
    <w:p>
      <w:pPr>
        <w:autoSpaceDE w:val="0"/>
        <w:autoSpaceDN w:val="0"/>
        <w:spacing w:line="360" w:lineRule="auto"/>
        <w:ind w:left="4365" w:leftChars="1850" w:hanging="480" w:hangingChars="2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120" w:firstLineChars="2550"/>
        <w:rPr>
          <w:rFonts w:hint="eastAsia" w:ascii="仿宋_GB2312" w:hAnsi="仿宋" w:eastAsia="仿宋_GB2312"/>
          <w:b/>
          <w:bCs/>
          <w:sz w:val="24"/>
        </w:rPr>
      </w:pPr>
      <w:r>
        <w:rPr>
          <w:rFonts w:hint="eastAsia" w:ascii="仿宋_GB2312" w:hAnsi="仿宋" w:eastAsia="仿宋_GB2312"/>
          <w:kern w:val="0"/>
          <w:sz w:val="24"/>
        </w:rPr>
        <w:t>日期：  年  月   日</w:t>
      </w:r>
    </w:p>
    <w:p>
      <w:pPr>
        <w:spacing w:line="320" w:lineRule="exact"/>
        <w:jc w:val="left"/>
        <w:rPr>
          <w:rFonts w:hint="eastAsia" w:ascii="宋体" w:hAnsi="宋体"/>
          <w:szCs w:val="21"/>
        </w:rPr>
      </w:pPr>
      <w:r>
        <w:rPr>
          <w:rFonts w:hint="eastAsia" w:ascii="宋体" w:hAnsi="宋体"/>
        </w:rPr>
        <w:t xml:space="preserve"> </w:t>
      </w:r>
    </w:p>
    <w:p>
      <w:pPr>
        <w:snapToGrid w:val="0"/>
        <w:spacing w:before="156" w:beforeLines="50" w:after="50" w:line="360" w:lineRule="auto"/>
        <w:jc w:val="center"/>
        <w:rPr>
          <w:rFonts w:hint="eastAsia" w:ascii="宋体" w:hAnsi="宋体"/>
          <w:b/>
          <w:sz w:val="24"/>
        </w:rPr>
      </w:pPr>
      <w:r>
        <w:rPr>
          <w:rFonts w:hint="eastAsia" w:ascii="宋体" w:hAnsi="宋体"/>
          <w:b/>
          <w:sz w:val="24"/>
        </w:rPr>
        <w:t xml:space="preserve"> </w:t>
      </w:r>
    </w:p>
    <w:p>
      <w:pPr>
        <w:rPr>
          <w:rFonts w:hint="eastAsia" w:ascii="仿宋" w:hAnsi="仿宋" w:eastAsia="仿宋" w:cs="仿宋_GB2312"/>
          <w:b/>
          <w:kern w:val="0"/>
          <w:sz w:val="30"/>
          <w:szCs w:val="30"/>
        </w:rPr>
      </w:pPr>
      <w:r>
        <w:rPr>
          <w:rFonts w:hint="eastAsia" w:ascii="仿宋" w:hAnsi="仿宋" w:eastAsia="仿宋" w:cs="仿宋_GB2312"/>
          <w:b/>
          <w:kern w:val="0"/>
          <w:sz w:val="30"/>
          <w:szCs w:val="30"/>
        </w:rPr>
        <w:br w:type="page"/>
      </w:r>
    </w:p>
    <w:p>
      <w:pPr>
        <w:spacing w:line="360" w:lineRule="auto"/>
        <w:ind w:firstLine="596" w:firstLineChars="198"/>
        <w:rPr>
          <w:rFonts w:hint="eastAsia" w:ascii="仿宋" w:hAnsi="仿宋" w:eastAsia="仿宋" w:cs="仿宋_GB2312"/>
          <w:b/>
          <w:kern w:val="0"/>
          <w:sz w:val="30"/>
          <w:szCs w:val="30"/>
        </w:rPr>
      </w:pPr>
      <w:r>
        <w:rPr>
          <w:rFonts w:hint="eastAsia" w:ascii="仿宋" w:hAnsi="仿宋" w:eastAsia="仿宋" w:cs="仿宋_GB2312"/>
          <w:b/>
          <w:kern w:val="0"/>
          <w:sz w:val="30"/>
          <w:szCs w:val="30"/>
        </w:rPr>
        <w:t>四、供应商直接控股股东信息</w:t>
      </w:r>
    </w:p>
    <w:p>
      <w:pPr>
        <w:spacing w:line="360" w:lineRule="auto"/>
        <w:jc w:val="center"/>
        <w:rPr>
          <w:rFonts w:hint="eastAsia" w:ascii="宋体" w:hAnsi="宋体"/>
          <w:b/>
          <w:sz w:val="24"/>
        </w:rPr>
      </w:pPr>
      <w:r>
        <w:rPr>
          <w:rFonts w:hint="eastAsia" w:ascii="宋体" w:hAnsi="宋体"/>
          <w:b/>
          <w:sz w:val="24"/>
        </w:rPr>
        <w:t xml:space="preserve"> </w:t>
      </w:r>
    </w:p>
    <w:tbl>
      <w:tblPr>
        <w:tblStyle w:val="31"/>
        <w:tblW w:w="0" w:type="auto"/>
        <w:jc w:val="center"/>
        <w:tblLayout w:type="fixed"/>
        <w:tblCellMar>
          <w:top w:w="0" w:type="dxa"/>
          <w:left w:w="0" w:type="dxa"/>
          <w:bottom w:w="0" w:type="dxa"/>
          <w:right w:w="0" w:type="dxa"/>
        </w:tblCellMar>
      </w:tblPr>
      <w:tblGrid>
        <w:gridCol w:w="880"/>
        <w:gridCol w:w="2655"/>
        <w:gridCol w:w="1455"/>
        <w:gridCol w:w="4287"/>
        <w:gridCol w:w="870"/>
      </w:tblGrid>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b/>
                <w:bCs/>
                <w:kern w:val="0"/>
                <w:sz w:val="24"/>
              </w:rPr>
            </w:pPr>
            <w:r>
              <w:rPr>
                <w:rFonts w:hint="eastAsia" w:ascii="宋体" w:hAnsi="宋体"/>
                <w:b/>
                <w:bCs/>
                <w:kern w:val="0"/>
                <w:sz w:val="24"/>
              </w:rPr>
              <w:t>序号</w:t>
            </w:r>
          </w:p>
        </w:tc>
        <w:tc>
          <w:tcPr>
            <w:tcW w:w="26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b/>
                <w:bCs/>
                <w:kern w:val="0"/>
                <w:sz w:val="24"/>
              </w:rPr>
            </w:pPr>
            <w:r>
              <w:rPr>
                <w:rFonts w:hint="eastAsia" w:ascii="宋体" w:hAnsi="宋体"/>
                <w:b/>
                <w:bCs/>
                <w:kern w:val="0"/>
                <w:sz w:val="24"/>
              </w:rPr>
              <w:t>直接控股股东名称</w:t>
            </w:r>
          </w:p>
        </w:tc>
        <w:tc>
          <w:tcPr>
            <w:tcW w:w="14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b/>
                <w:bCs/>
                <w:kern w:val="0"/>
                <w:sz w:val="24"/>
              </w:rPr>
            </w:pPr>
            <w:r>
              <w:rPr>
                <w:rFonts w:hint="eastAsia" w:ascii="宋体" w:hAnsi="宋体"/>
                <w:b/>
                <w:bCs/>
                <w:kern w:val="0"/>
                <w:sz w:val="24"/>
              </w:rPr>
              <w:t>出资比例</w:t>
            </w:r>
          </w:p>
        </w:tc>
        <w:tc>
          <w:tcPr>
            <w:tcW w:w="4287"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b/>
                <w:bCs/>
                <w:kern w:val="0"/>
                <w:sz w:val="24"/>
              </w:rPr>
            </w:pPr>
            <w:r>
              <w:rPr>
                <w:rFonts w:hint="eastAsia" w:ascii="宋体" w:hAnsi="宋体"/>
                <w:b/>
                <w:bCs/>
                <w:kern w:val="0"/>
                <w:sz w:val="24"/>
              </w:rPr>
              <w:t>身份证号码或者统一社会信用代码</w:t>
            </w:r>
          </w:p>
        </w:tc>
        <w:tc>
          <w:tcPr>
            <w:tcW w:w="870"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b/>
                <w:bCs/>
                <w:kern w:val="0"/>
                <w:sz w:val="24"/>
              </w:rPr>
            </w:pPr>
            <w:r>
              <w:rPr>
                <w:rFonts w:hint="eastAsia" w:ascii="宋体" w:hAnsi="宋体"/>
                <w:b/>
                <w:bCs/>
                <w:kern w:val="0"/>
                <w:sz w:val="24"/>
              </w:rPr>
              <w:t>备注</w:t>
            </w: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r>
              <w:rPr>
                <w:rFonts w:hint="eastAsia" w:ascii="宋体" w:hAnsi="宋体"/>
                <w:kern w:val="0"/>
                <w:sz w:val="24"/>
              </w:rPr>
              <w:t>1</w:t>
            </w:r>
          </w:p>
        </w:tc>
        <w:tc>
          <w:tcPr>
            <w:tcW w:w="26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14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4287"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870"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r>
              <w:rPr>
                <w:rFonts w:hint="eastAsia" w:ascii="宋体" w:hAnsi="宋体"/>
                <w:kern w:val="0"/>
                <w:sz w:val="24"/>
              </w:rPr>
              <w:t>2</w:t>
            </w:r>
          </w:p>
        </w:tc>
        <w:tc>
          <w:tcPr>
            <w:tcW w:w="26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14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4287"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870"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r>
              <w:rPr>
                <w:rFonts w:hint="eastAsia" w:ascii="宋体" w:hAnsi="宋体"/>
                <w:kern w:val="0"/>
                <w:sz w:val="24"/>
              </w:rPr>
              <w:t>3</w:t>
            </w:r>
          </w:p>
        </w:tc>
        <w:tc>
          <w:tcPr>
            <w:tcW w:w="26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14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4287"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870"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r>
      <w:tr>
        <w:tblPrEx>
          <w:tblCellMar>
            <w:top w:w="0" w:type="dxa"/>
            <w:left w:w="0" w:type="dxa"/>
            <w:bottom w:w="0" w:type="dxa"/>
            <w:right w:w="0" w:type="dxa"/>
          </w:tblCellMar>
        </w:tblPrEx>
        <w:trPr>
          <w:jc w:val="center"/>
        </w:trPr>
        <w:tc>
          <w:tcPr>
            <w:tcW w:w="880" w:type="dxa"/>
            <w:tcBorders>
              <w:top w:val="single" w:color="auto" w:sz="4" w:space="0"/>
              <w:left w:val="single" w:color="auto" w:sz="4" w:space="0"/>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r>
              <w:rPr>
                <w:rFonts w:hint="eastAsia" w:ascii="宋体" w:hAnsi="宋体"/>
                <w:kern w:val="0"/>
                <w:sz w:val="24"/>
              </w:rPr>
              <w:t>……</w:t>
            </w:r>
          </w:p>
        </w:tc>
        <w:tc>
          <w:tcPr>
            <w:tcW w:w="26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14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4287"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870"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r>
    </w:tbl>
    <w:p>
      <w:pPr>
        <w:spacing w:line="360" w:lineRule="auto"/>
        <w:jc w:val="left"/>
        <w:rPr>
          <w:rFonts w:hint="eastAsia" w:ascii="仿宋_GB2312" w:hAnsi="仿宋" w:eastAsia="仿宋_GB2312"/>
          <w:kern w:val="0"/>
          <w:sz w:val="24"/>
        </w:rPr>
      </w:pPr>
      <w:r>
        <w:rPr>
          <w:rFonts w:hint="eastAsia" w:ascii="仿宋_GB2312" w:hAnsi="仿宋" w:eastAsia="仿宋_GB2312"/>
          <w:kern w:val="0"/>
          <w:sz w:val="24"/>
        </w:rPr>
        <w:t>注：</w:t>
      </w:r>
    </w:p>
    <w:p>
      <w:pPr>
        <w:spacing w:line="360" w:lineRule="auto"/>
        <w:ind w:firstLine="480" w:firstLineChars="200"/>
        <w:jc w:val="left"/>
        <w:rPr>
          <w:rFonts w:hint="eastAsia" w:ascii="仿宋_GB2312" w:hAnsi="仿宋" w:eastAsia="仿宋_GB2312"/>
          <w:kern w:val="0"/>
          <w:sz w:val="24"/>
        </w:rPr>
      </w:pPr>
      <w:r>
        <w:rPr>
          <w:rFonts w:hint="eastAsia" w:ascii="仿宋_GB2312" w:hAnsi="仿宋" w:eastAsia="仿宋_GB2312"/>
          <w:kern w:val="0"/>
          <w:sz w:val="24"/>
        </w:rPr>
        <w:t>1.直接控股股东：是指其出资额占有限责任公司资本总额百分之五十以上或者其持有的股份占股份有限公司股份总额百分之五十以上的股东；出资额或者持有股份的比例虽然不足百分之五十，但依其出资额或者持有的股份所享有的表决权已足以对股东会、股东大会的决议产生重大影响的股东。</w:t>
      </w:r>
    </w:p>
    <w:p>
      <w:pPr>
        <w:spacing w:line="360" w:lineRule="auto"/>
        <w:ind w:firstLine="480" w:firstLineChars="200"/>
        <w:jc w:val="left"/>
        <w:rPr>
          <w:rFonts w:hint="eastAsia" w:ascii="仿宋_GB2312" w:hAnsi="仿宋" w:eastAsia="仿宋_GB2312"/>
          <w:kern w:val="0"/>
          <w:sz w:val="24"/>
        </w:rPr>
      </w:pPr>
      <w:r>
        <w:rPr>
          <w:rFonts w:hint="eastAsia" w:ascii="仿宋_GB2312" w:hAnsi="仿宋" w:eastAsia="仿宋_GB2312"/>
          <w:kern w:val="0"/>
          <w:sz w:val="24"/>
        </w:rPr>
        <w:t>2.本表所指的控股关系仅限于直接控股关系，不包括间接的控股关系。公司实际控制人与公司之间的关系不属于本表所指的直接控股关系。</w:t>
      </w:r>
    </w:p>
    <w:p>
      <w:pPr>
        <w:spacing w:line="360" w:lineRule="auto"/>
        <w:ind w:firstLine="480" w:firstLineChars="200"/>
        <w:jc w:val="left"/>
        <w:rPr>
          <w:rFonts w:hint="eastAsia" w:ascii="仿宋_GB2312" w:hAnsi="仿宋" w:eastAsia="仿宋_GB2312"/>
          <w:kern w:val="0"/>
          <w:sz w:val="24"/>
        </w:rPr>
      </w:pPr>
      <w:r>
        <w:rPr>
          <w:rFonts w:hint="eastAsia" w:ascii="仿宋_GB2312" w:hAnsi="仿宋" w:eastAsia="仿宋_GB2312"/>
          <w:kern w:val="0"/>
          <w:sz w:val="24"/>
        </w:rPr>
        <w:t>3.供应商不存在直接控股股东的，则填“无”。</w:t>
      </w:r>
    </w:p>
    <w:p>
      <w:pPr>
        <w:snapToGrid w:val="0"/>
        <w:spacing w:line="360" w:lineRule="auto"/>
        <w:jc w:val="left"/>
        <w:rPr>
          <w:rFonts w:hint="eastAsia" w:ascii="宋体" w:hAnsi="宋体"/>
          <w:sz w:val="24"/>
        </w:rPr>
      </w:pPr>
      <w:r>
        <w:rPr>
          <w:rFonts w:hint="eastAsia" w:ascii="宋体" w:hAnsi="宋体"/>
          <w:sz w:val="24"/>
        </w:rPr>
        <w:t xml:space="preserve"> </w:t>
      </w:r>
    </w:p>
    <w:p>
      <w:pPr>
        <w:snapToGrid w:val="0"/>
        <w:spacing w:line="360" w:lineRule="auto"/>
        <w:jc w:val="left"/>
        <w:rPr>
          <w:rFonts w:hint="eastAsia" w:ascii="宋体" w:hAnsi="宋体"/>
          <w:sz w:val="24"/>
        </w:rPr>
      </w:pPr>
      <w:r>
        <w:rPr>
          <w:rFonts w:hint="eastAsia" w:ascii="宋体" w:hAnsi="宋体"/>
          <w:sz w:val="24"/>
        </w:rPr>
        <w:t xml:space="preserve"> </w:t>
      </w:r>
    </w:p>
    <w:p>
      <w:pPr>
        <w:snapToGrid w:val="0"/>
        <w:spacing w:line="360" w:lineRule="auto"/>
        <w:jc w:val="left"/>
        <w:rPr>
          <w:rFonts w:hint="eastAsia" w:ascii="宋体" w:hAnsi="宋体"/>
          <w:sz w:val="24"/>
        </w:rPr>
      </w:pPr>
      <w:r>
        <w:rPr>
          <w:rFonts w:hint="eastAsia" w:ascii="宋体" w:hAnsi="宋体"/>
          <w:sz w:val="24"/>
        </w:rPr>
        <w:t xml:space="preserve"> </w:t>
      </w:r>
    </w:p>
    <w:p>
      <w:pPr>
        <w:autoSpaceDE w:val="0"/>
        <w:autoSpaceDN w:val="0"/>
        <w:spacing w:line="360" w:lineRule="auto"/>
        <w:ind w:left="4365" w:leftChars="1850" w:hanging="480" w:hangingChars="2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120" w:firstLineChars="2550"/>
        <w:rPr>
          <w:rFonts w:hint="eastAsia" w:ascii="仿宋_GB2312" w:hAnsi="仿宋" w:eastAsia="仿宋_GB2312"/>
          <w:b/>
          <w:bCs/>
          <w:sz w:val="24"/>
        </w:rPr>
      </w:pPr>
      <w:r>
        <w:rPr>
          <w:rFonts w:hint="eastAsia" w:ascii="仿宋_GB2312" w:hAnsi="仿宋" w:eastAsia="仿宋_GB2312"/>
          <w:kern w:val="0"/>
          <w:sz w:val="24"/>
        </w:rPr>
        <w:t>日期：  年  月   日</w:t>
      </w:r>
    </w:p>
    <w:p>
      <w:pPr>
        <w:snapToGrid w:val="0"/>
        <w:rPr>
          <w:rFonts w:hint="eastAsia" w:ascii="仿宋" w:hAnsi="仿宋" w:eastAsia="仿宋" w:cs="仿宋_GB2312"/>
          <w:b/>
          <w:kern w:val="0"/>
          <w:sz w:val="30"/>
          <w:szCs w:val="30"/>
        </w:rPr>
      </w:pPr>
      <w:r>
        <w:rPr>
          <w:rFonts w:hint="eastAsia" w:ascii="仿宋" w:hAnsi="仿宋" w:eastAsia="仿宋" w:cs="仿宋_GB2312"/>
          <w:b/>
          <w:kern w:val="0"/>
          <w:sz w:val="30"/>
          <w:szCs w:val="30"/>
        </w:rPr>
        <w:t xml:space="preserve"> </w:t>
      </w:r>
    </w:p>
    <w:p>
      <w:pPr>
        <w:rPr>
          <w:rFonts w:hint="eastAsia" w:ascii="仿宋" w:hAnsi="仿宋" w:eastAsia="仿宋" w:cs="仿宋_GB2312"/>
          <w:b/>
          <w:kern w:val="0"/>
          <w:sz w:val="30"/>
          <w:szCs w:val="30"/>
        </w:rPr>
      </w:pPr>
      <w:r>
        <w:rPr>
          <w:rFonts w:hint="eastAsia" w:ascii="仿宋" w:hAnsi="仿宋" w:eastAsia="仿宋" w:cs="仿宋_GB2312"/>
          <w:b/>
          <w:kern w:val="0"/>
          <w:sz w:val="30"/>
          <w:szCs w:val="30"/>
        </w:rPr>
        <w:br w:type="page"/>
      </w:r>
    </w:p>
    <w:p>
      <w:pPr>
        <w:snapToGrid w:val="0"/>
        <w:ind w:firstLine="596" w:firstLineChars="198"/>
        <w:rPr>
          <w:rFonts w:hint="eastAsia" w:ascii="仿宋" w:hAnsi="仿宋" w:eastAsia="仿宋" w:cs="仿宋_GB2312"/>
          <w:b/>
          <w:kern w:val="0"/>
          <w:sz w:val="30"/>
          <w:szCs w:val="30"/>
        </w:rPr>
      </w:pPr>
      <w:r>
        <w:rPr>
          <w:rFonts w:hint="eastAsia" w:ascii="仿宋" w:hAnsi="仿宋" w:eastAsia="仿宋" w:cs="仿宋_GB2312"/>
          <w:b/>
          <w:kern w:val="0"/>
          <w:sz w:val="30"/>
          <w:szCs w:val="30"/>
        </w:rPr>
        <w:t>五、供应商直接管理关系信息表</w:t>
      </w:r>
    </w:p>
    <w:p>
      <w:pPr>
        <w:snapToGrid w:val="0"/>
        <w:spacing w:line="360" w:lineRule="auto"/>
        <w:jc w:val="center"/>
        <w:rPr>
          <w:rFonts w:hint="eastAsia" w:ascii="宋体" w:hAnsi="宋体"/>
          <w:b/>
          <w:sz w:val="24"/>
        </w:rPr>
      </w:pPr>
      <w:r>
        <w:rPr>
          <w:rFonts w:hint="eastAsia" w:ascii="宋体" w:hAnsi="宋体"/>
          <w:b/>
          <w:sz w:val="24"/>
        </w:rPr>
        <w:t xml:space="preserve"> </w:t>
      </w:r>
    </w:p>
    <w:tbl>
      <w:tblPr>
        <w:tblStyle w:val="31"/>
        <w:tblW w:w="0" w:type="auto"/>
        <w:jc w:val="center"/>
        <w:tblLayout w:type="fixed"/>
        <w:tblCellMar>
          <w:top w:w="0" w:type="dxa"/>
          <w:left w:w="0" w:type="dxa"/>
          <w:bottom w:w="0" w:type="dxa"/>
          <w:right w:w="0" w:type="dxa"/>
        </w:tblCellMar>
      </w:tblPr>
      <w:tblGrid>
        <w:gridCol w:w="808"/>
        <w:gridCol w:w="3600"/>
        <w:gridCol w:w="3555"/>
        <w:gridCol w:w="1689"/>
      </w:tblGrid>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b/>
                <w:bCs/>
                <w:kern w:val="0"/>
                <w:sz w:val="24"/>
              </w:rPr>
            </w:pPr>
            <w:r>
              <w:rPr>
                <w:rFonts w:hint="eastAsia" w:ascii="宋体" w:hAnsi="宋体"/>
                <w:b/>
                <w:bCs/>
                <w:kern w:val="0"/>
                <w:sz w:val="24"/>
              </w:rPr>
              <w:t>序号</w:t>
            </w:r>
          </w:p>
        </w:tc>
        <w:tc>
          <w:tcPr>
            <w:tcW w:w="3600"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b/>
                <w:bCs/>
                <w:kern w:val="0"/>
                <w:sz w:val="24"/>
              </w:rPr>
            </w:pPr>
            <w:r>
              <w:rPr>
                <w:rFonts w:hint="eastAsia" w:ascii="宋体" w:hAnsi="宋体"/>
                <w:b/>
                <w:bCs/>
                <w:kern w:val="0"/>
                <w:sz w:val="24"/>
              </w:rPr>
              <w:t>直接管理关系单位名称</w:t>
            </w:r>
          </w:p>
        </w:tc>
        <w:tc>
          <w:tcPr>
            <w:tcW w:w="35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b/>
                <w:bCs/>
                <w:kern w:val="0"/>
                <w:sz w:val="24"/>
              </w:rPr>
            </w:pPr>
            <w:r>
              <w:rPr>
                <w:rFonts w:hint="eastAsia" w:ascii="宋体" w:hAnsi="宋体"/>
                <w:b/>
                <w:bCs/>
                <w:kern w:val="0"/>
                <w:sz w:val="24"/>
              </w:rPr>
              <w:t>统一社会信用代码</w:t>
            </w:r>
          </w:p>
        </w:tc>
        <w:tc>
          <w:tcPr>
            <w:tcW w:w="1689"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b/>
                <w:bCs/>
                <w:kern w:val="0"/>
                <w:sz w:val="24"/>
              </w:rPr>
            </w:pPr>
            <w:r>
              <w:rPr>
                <w:rFonts w:hint="eastAsia" w:ascii="宋体" w:hAnsi="宋体"/>
                <w:b/>
                <w:bCs/>
                <w:kern w:val="0"/>
                <w:sz w:val="24"/>
              </w:rPr>
              <w:t>备注</w:t>
            </w: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r>
              <w:rPr>
                <w:rFonts w:hint="eastAsia" w:ascii="宋体" w:hAnsi="宋体"/>
                <w:kern w:val="0"/>
                <w:sz w:val="24"/>
              </w:rPr>
              <w:t>1</w:t>
            </w:r>
          </w:p>
        </w:tc>
        <w:tc>
          <w:tcPr>
            <w:tcW w:w="3600"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35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1689"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r>
              <w:rPr>
                <w:rFonts w:hint="eastAsia" w:ascii="宋体" w:hAnsi="宋体"/>
                <w:kern w:val="0"/>
                <w:sz w:val="24"/>
              </w:rPr>
              <w:t>2</w:t>
            </w:r>
          </w:p>
        </w:tc>
        <w:tc>
          <w:tcPr>
            <w:tcW w:w="3600"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35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1689"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r>
              <w:rPr>
                <w:rFonts w:hint="eastAsia" w:ascii="宋体" w:hAnsi="宋体"/>
                <w:kern w:val="0"/>
                <w:sz w:val="24"/>
              </w:rPr>
              <w:t>3</w:t>
            </w:r>
          </w:p>
        </w:tc>
        <w:tc>
          <w:tcPr>
            <w:tcW w:w="3600"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35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1689"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r>
      <w:tr>
        <w:tblPrEx>
          <w:tblCellMar>
            <w:top w:w="0" w:type="dxa"/>
            <w:left w:w="0" w:type="dxa"/>
            <w:bottom w:w="0" w:type="dxa"/>
            <w:right w:w="0" w:type="dxa"/>
          </w:tblCellMar>
        </w:tblPrEx>
        <w:trPr>
          <w:jc w:val="center"/>
        </w:trPr>
        <w:tc>
          <w:tcPr>
            <w:tcW w:w="808" w:type="dxa"/>
            <w:tcBorders>
              <w:top w:val="single" w:color="auto" w:sz="4" w:space="0"/>
              <w:left w:val="single" w:color="auto" w:sz="4" w:space="0"/>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r>
              <w:rPr>
                <w:rFonts w:hint="eastAsia" w:ascii="宋体" w:hAnsi="宋体"/>
                <w:kern w:val="0"/>
                <w:sz w:val="24"/>
              </w:rPr>
              <w:t>……</w:t>
            </w:r>
          </w:p>
        </w:tc>
        <w:tc>
          <w:tcPr>
            <w:tcW w:w="3600"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3555"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c>
          <w:tcPr>
            <w:tcW w:w="1689" w:type="dxa"/>
            <w:tcBorders>
              <w:top w:val="single" w:color="auto" w:sz="4" w:space="0"/>
              <w:left w:val="nil"/>
              <w:bottom w:val="single" w:color="auto" w:sz="4" w:space="0"/>
              <w:right w:val="single" w:color="auto" w:sz="4" w:space="0"/>
            </w:tcBorders>
            <w:shd w:val="clear" w:color="auto" w:fill="FBFBFB"/>
            <w:noWrap w:val="0"/>
            <w:tcMar>
              <w:top w:w="120" w:type="dxa"/>
              <w:left w:w="120" w:type="dxa"/>
              <w:bottom w:w="120" w:type="dxa"/>
              <w:right w:w="120" w:type="dxa"/>
            </w:tcMar>
            <w:vAlign w:val="center"/>
          </w:tcPr>
          <w:p>
            <w:pPr>
              <w:widowControl/>
              <w:spacing w:line="360" w:lineRule="auto"/>
              <w:jc w:val="center"/>
              <w:rPr>
                <w:rFonts w:ascii="宋体" w:hAnsi="宋体"/>
                <w:kern w:val="0"/>
                <w:sz w:val="24"/>
              </w:rPr>
            </w:pPr>
          </w:p>
        </w:tc>
      </w:tr>
    </w:tbl>
    <w:p>
      <w:pPr>
        <w:spacing w:line="360" w:lineRule="auto"/>
        <w:ind w:firstLine="480" w:firstLineChars="200"/>
        <w:jc w:val="left"/>
        <w:rPr>
          <w:rFonts w:hint="eastAsia" w:ascii="仿宋_GB2312" w:hAnsi="仿宋" w:eastAsia="仿宋_GB2312"/>
          <w:kern w:val="0"/>
          <w:sz w:val="24"/>
        </w:rPr>
      </w:pPr>
      <w:r>
        <w:rPr>
          <w:rFonts w:hint="eastAsia" w:ascii="仿宋_GB2312" w:hAnsi="仿宋" w:eastAsia="仿宋_GB2312"/>
          <w:kern w:val="0"/>
          <w:sz w:val="24"/>
        </w:rPr>
        <w:t>注：</w:t>
      </w:r>
    </w:p>
    <w:p>
      <w:pPr>
        <w:spacing w:line="360" w:lineRule="auto"/>
        <w:ind w:firstLine="480" w:firstLineChars="200"/>
        <w:jc w:val="left"/>
        <w:rPr>
          <w:rFonts w:hint="eastAsia" w:ascii="仿宋_GB2312" w:hAnsi="仿宋" w:eastAsia="仿宋_GB2312"/>
          <w:kern w:val="0"/>
          <w:sz w:val="24"/>
        </w:rPr>
      </w:pPr>
      <w:r>
        <w:rPr>
          <w:rFonts w:hint="eastAsia" w:ascii="仿宋_GB2312" w:hAnsi="仿宋" w:eastAsia="仿宋_GB2312"/>
          <w:kern w:val="0"/>
          <w:sz w:val="24"/>
        </w:rPr>
        <w:t>1.管理关系：是指不具有出资持股关系的其他单位之间存在的管理与被管理关系，如一些上下级关系的事业单位和团体组织。</w:t>
      </w:r>
    </w:p>
    <w:p>
      <w:pPr>
        <w:spacing w:line="360" w:lineRule="auto"/>
        <w:ind w:firstLine="480" w:firstLineChars="200"/>
        <w:jc w:val="left"/>
        <w:rPr>
          <w:rFonts w:hint="eastAsia" w:ascii="仿宋_GB2312" w:hAnsi="仿宋" w:eastAsia="仿宋_GB2312"/>
          <w:kern w:val="0"/>
          <w:sz w:val="24"/>
        </w:rPr>
      </w:pPr>
      <w:r>
        <w:rPr>
          <w:rFonts w:hint="eastAsia" w:ascii="仿宋_GB2312" w:hAnsi="仿宋" w:eastAsia="仿宋_GB2312"/>
          <w:kern w:val="0"/>
          <w:sz w:val="24"/>
        </w:rPr>
        <w:t>2.本表所指的管理关系仅限于直接管理关系，不包括间接的管理关系。</w:t>
      </w:r>
    </w:p>
    <w:p>
      <w:pPr>
        <w:spacing w:line="360" w:lineRule="auto"/>
        <w:ind w:firstLine="480" w:firstLineChars="200"/>
        <w:jc w:val="left"/>
        <w:rPr>
          <w:rFonts w:hint="eastAsia" w:ascii="仿宋_GB2312" w:hAnsi="仿宋" w:eastAsia="仿宋_GB2312"/>
          <w:kern w:val="0"/>
          <w:sz w:val="24"/>
        </w:rPr>
      </w:pPr>
      <w:r>
        <w:rPr>
          <w:rFonts w:hint="eastAsia" w:ascii="仿宋_GB2312" w:hAnsi="仿宋" w:eastAsia="仿宋_GB2312"/>
          <w:kern w:val="0"/>
          <w:sz w:val="24"/>
        </w:rPr>
        <w:t>3.供应商不存在直接管理关系的，则填“无”。</w:t>
      </w:r>
    </w:p>
    <w:p>
      <w:pPr>
        <w:spacing w:line="360" w:lineRule="auto"/>
        <w:jc w:val="left"/>
        <w:rPr>
          <w:rFonts w:hint="eastAsia" w:ascii="Calibri" w:hAnsi="Calibri"/>
          <w:sz w:val="24"/>
        </w:rPr>
      </w:pPr>
      <w:r>
        <w:rPr>
          <w:sz w:val="24"/>
        </w:rPr>
        <w:t xml:space="preserve"> </w:t>
      </w:r>
    </w:p>
    <w:p>
      <w:pPr>
        <w:autoSpaceDE w:val="0"/>
        <w:autoSpaceDN w:val="0"/>
        <w:spacing w:line="360" w:lineRule="auto"/>
        <w:ind w:left="4365" w:leftChars="1850" w:hanging="480" w:hangingChars="200"/>
        <w:rPr>
          <w:rFonts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120" w:firstLineChars="2550"/>
        <w:rPr>
          <w:rFonts w:hint="eastAsia" w:ascii="仿宋_GB2312" w:hAnsi="仿宋" w:eastAsia="仿宋_GB2312"/>
          <w:b/>
          <w:bCs/>
          <w:sz w:val="24"/>
        </w:rPr>
      </w:pPr>
      <w:r>
        <w:rPr>
          <w:rFonts w:hint="eastAsia" w:ascii="仿宋_GB2312" w:hAnsi="仿宋" w:eastAsia="仿宋_GB2312"/>
          <w:kern w:val="0"/>
          <w:sz w:val="24"/>
        </w:rPr>
        <w:t>日期：  年  月   日</w:t>
      </w:r>
    </w:p>
    <w:p>
      <w:pPr>
        <w:rPr>
          <w:rFonts w:hint="eastAsia" w:ascii="仿宋" w:hAnsi="仿宋" w:eastAsia="仿宋" w:cs="仿宋_GB2312"/>
          <w:b/>
          <w:kern w:val="0"/>
          <w:sz w:val="30"/>
          <w:szCs w:val="30"/>
        </w:rPr>
      </w:pPr>
      <w:r>
        <w:rPr>
          <w:rFonts w:hint="eastAsia" w:ascii="仿宋" w:hAnsi="仿宋" w:eastAsia="仿宋" w:cs="仿宋_GB2312"/>
          <w:b/>
          <w:kern w:val="0"/>
          <w:sz w:val="30"/>
          <w:szCs w:val="30"/>
        </w:rPr>
        <w:br w:type="page"/>
      </w:r>
    </w:p>
    <w:p>
      <w:pPr>
        <w:pStyle w:val="27"/>
        <w:spacing w:line="360" w:lineRule="auto"/>
        <w:ind w:right="480" w:firstLine="301" w:firstLineChars="100"/>
        <w:contextualSpacing/>
        <w:jc w:val="center"/>
        <w:rPr>
          <w:rFonts w:hint="eastAsia" w:ascii="宋体" w:hAnsi="宋体"/>
          <w:sz w:val="28"/>
          <w:szCs w:val="28"/>
        </w:rPr>
      </w:pPr>
      <w:r>
        <w:rPr>
          <w:rFonts w:hint="eastAsia" w:ascii="仿宋" w:hAnsi="仿宋" w:eastAsia="仿宋" w:cs="仿宋_GB2312"/>
          <w:b/>
          <w:sz w:val="30"/>
          <w:szCs w:val="30"/>
        </w:rPr>
        <w:t>六、资格声明函</w:t>
      </w:r>
    </w:p>
    <w:p>
      <w:pPr>
        <w:spacing w:line="320" w:lineRule="exact"/>
        <w:jc w:val="center"/>
        <w:rPr>
          <w:rFonts w:hint="eastAsia" w:ascii="宋体" w:hAnsi="宋体"/>
          <w:b/>
          <w:sz w:val="32"/>
          <w:szCs w:val="32"/>
        </w:rPr>
      </w:pPr>
      <w:r>
        <w:rPr>
          <w:rFonts w:hint="eastAsia" w:ascii="宋体" w:hAnsi="宋体"/>
          <w:b/>
          <w:sz w:val="32"/>
          <w:szCs w:val="32"/>
        </w:rPr>
        <w:t xml:space="preserve"> </w:t>
      </w:r>
    </w:p>
    <w:p>
      <w:pPr>
        <w:spacing w:line="320" w:lineRule="exact"/>
        <w:jc w:val="center"/>
        <w:rPr>
          <w:rFonts w:hint="eastAsia" w:ascii="宋体" w:hAnsi="宋体"/>
          <w:b/>
          <w:sz w:val="32"/>
          <w:szCs w:val="32"/>
        </w:rPr>
      </w:pPr>
      <w:r>
        <w:rPr>
          <w:rFonts w:hint="eastAsia" w:ascii="宋体" w:hAnsi="宋体"/>
          <w:b/>
          <w:sz w:val="32"/>
          <w:szCs w:val="32"/>
        </w:rPr>
        <w:t>资格声明函</w:t>
      </w:r>
    </w:p>
    <w:p>
      <w:pPr>
        <w:spacing w:line="320" w:lineRule="exact"/>
        <w:jc w:val="center"/>
        <w:rPr>
          <w:rFonts w:hint="eastAsia" w:ascii="宋体" w:hAnsi="宋体"/>
          <w:sz w:val="24"/>
        </w:rPr>
      </w:pPr>
      <w:r>
        <w:rPr>
          <w:rFonts w:hint="eastAsia" w:ascii="宋体" w:hAnsi="宋体"/>
          <w:sz w:val="24"/>
        </w:rPr>
        <w:t xml:space="preserve"> </w:t>
      </w:r>
    </w:p>
    <w:p>
      <w:pPr>
        <w:spacing w:line="360" w:lineRule="auto"/>
        <w:rPr>
          <w:rFonts w:hint="eastAsia" w:ascii="仿宋_GB2312" w:hAnsi="宋体" w:eastAsia="仿宋_GB2312" w:cs="宋体"/>
          <w:sz w:val="24"/>
        </w:rPr>
      </w:pPr>
      <w:r>
        <w:rPr>
          <w:rFonts w:hint="eastAsia" w:ascii="仿宋_GB2312" w:hAnsi="宋体" w:eastAsia="仿宋_GB2312" w:cs="宋体"/>
          <w:sz w:val="24"/>
        </w:rPr>
        <w:t>致：</w:t>
      </w:r>
      <w:bookmarkStart w:id="163" w:name="PO_3000001868_PM031_6"/>
      <w:bookmarkEnd w:id="163"/>
      <w:r>
        <w:rPr>
          <w:rFonts w:hint="eastAsia" w:ascii="仿宋_GB2312" w:hAnsi="宋体" w:eastAsia="仿宋_GB2312" w:cs="宋体"/>
          <w:sz w:val="24"/>
          <w:u w:val="single"/>
        </w:rPr>
        <w:t>广西城建咨询有限公司</w:t>
      </w:r>
      <w:r>
        <w:rPr>
          <w:rFonts w:hint="eastAsia" w:ascii="仿宋_GB2312" w:hAnsi="宋体" w:eastAsia="仿宋_GB2312" w:cs="宋体"/>
          <w:sz w:val="24"/>
        </w:rPr>
        <w:t>：</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u w:val="single"/>
        </w:rPr>
        <w:t>（供应商名称）</w:t>
      </w:r>
      <w:r>
        <w:rPr>
          <w:rFonts w:hint="eastAsia" w:ascii="仿宋_GB2312" w:hAnsi="宋体" w:eastAsia="仿宋_GB2312" w:cs="宋体"/>
          <w:sz w:val="24"/>
        </w:rPr>
        <w:t>系中华人民共和国合法供应商，经营地址</w:t>
      </w:r>
      <w:r>
        <w:rPr>
          <w:rFonts w:hint="eastAsia" w:ascii="仿宋_GB2312" w:hAnsi="宋体" w:eastAsia="仿宋_GB2312" w:cs="宋体"/>
          <w:sz w:val="24"/>
          <w:u w:val="single"/>
        </w:rPr>
        <w:t xml:space="preserve">                </w:t>
      </w:r>
      <w:r>
        <w:rPr>
          <w:rFonts w:hint="eastAsia" w:ascii="仿宋_GB2312" w:hAnsi="宋体" w:eastAsia="仿宋_GB2312" w:cs="宋体"/>
          <w:sz w:val="24"/>
        </w:rPr>
        <w:t>。</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我方愿意参加贵方组织的</w:t>
      </w:r>
      <w:bookmarkStart w:id="164" w:name="PO_3000001868_PM002_4"/>
      <w:bookmarkEnd w:id="164"/>
      <w:r>
        <w:rPr>
          <w:rFonts w:hint="eastAsia" w:ascii="仿宋_GB2312" w:hAnsi="宋体" w:eastAsia="仿宋_GB2312" w:cs="宋体"/>
          <w:sz w:val="24"/>
          <w:u w:val="single"/>
        </w:rPr>
        <w:t>环境监管执法系统运维服务项目</w:t>
      </w:r>
      <w:r>
        <w:rPr>
          <w:rFonts w:hint="eastAsia" w:ascii="仿宋_GB2312" w:hAnsi="宋体" w:eastAsia="仿宋_GB2312" w:cs="宋体"/>
          <w:sz w:val="24"/>
        </w:rPr>
        <w:t>项目的竞标，为便于贵方公正、择优地确定成交供应商及其竞标产品和服务，我方就本次竞标有关事项郑重声明如下：</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1.我方向贵方提交的所有响应文件、资料都是准确的和真实的。</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2.我方不是采购人的附属机构；不是为本次采购项目提供整体设计、规范编制或者项目管理、监理、检测等服务的供应商；在获知本项目采购信息后，与采购人聘请的为此项目提供咨询服务的公司及其附属机构没有任何联系。</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3.在此，我方宣布同意如下：</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（1）将按磋商文件的约定履行合同责任和义务；</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（2）已详细审查全部磋商文件，包括澄清或者更正公告（如有）；</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（3）同意提供按照贵方可能要求的与谈判有关的一切数据或者资料；</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（4）响应磋商文件规定的竞标有效期。</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4.我方承诺已经具备《中华人民共和国政府采购法》第二十二条中规定的参加政府采购活动的供应商应当具备的条件并按本项目响应文件“第三章”“第二节供应商须知前附表”中“资格证明文件组成”完整提供证明材料。</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5.我方在此声明，我方在参加本项目的政府采购活动前三年内，在经营活动中没有重大违法记录（重大违法记录是指供应商因违法经营受到刑事处罚或者责令停产停业、吊销许可证或者执照、较大数额罚款等行政处罚），未被列入失信被执行人、重大税收违法案件当事人名单、政府采购严重违法失信行为记录名单，完全符合《中华人民共和国政府采购法》第二十二条规定的供应商资格条件，我方对此声明负全部法律责任。</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6.根据《中华人民共和国政府采购法实施条例》第五十条要求对政府采购合同进行公告，但政府采购合同中涉及国家秘密、商业秘密的内容除外。我方就对本次响应文件进行注明如下：（两项内容中必须选择一项）</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□我方本次响应文件</w:t>
      </w:r>
      <w:r>
        <w:rPr>
          <w:rFonts w:hint="eastAsia" w:ascii="仿宋_GB2312" w:hAnsi="宋体" w:eastAsia="仿宋_GB2312" w:cs="宋体"/>
          <w:kern w:val="0"/>
          <w:sz w:val="24"/>
        </w:rPr>
        <w:t>内容中</w:t>
      </w:r>
      <w:r>
        <w:rPr>
          <w:rFonts w:hint="eastAsia" w:ascii="仿宋_GB2312" w:hAnsi="宋体" w:eastAsia="仿宋_GB2312" w:cs="宋体"/>
          <w:sz w:val="24"/>
        </w:rPr>
        <w:t>未</w:t>
      </w:r>
      <w:r>
        <w:rPr>
          <w:rFonts w:hint="eastAsia" w:ascii="仿宋_GB2312" w:hAnsi="宋体" w:eastAsia="仿宋_GB2312" w:cs="宋体"/>
          <w:kern w:val="0"/>
          <w:sz w:val="24"/>
        </w:rPr>
        <w:t>涉及商业秘密；</w:t>
      </w:r>
    </w:p>
    <w:p>
      <w:pPr>
        <w:spacing w:line="360" w:lineRule="auto"/>
        <w:ind w:firstLine="480" w:firstLineChars="200"/>
        <w:rPr>
          <w:rFonts w:hint="eastAsia" w:ascii="仿宋_GB2312" w:hAnsi="宋体" w:eastAsia="仿宋_GB2312" w:cs="宋体"/>
          <w:sz w:val="24"/>
        </w:rPr>
      </w:pPr>
      <w:r>
        <w:rPr>
          <w:rFonts w:hint="eastAsia" w:ascii="仿宋_GB2312" w:hAnsi="宋体" w:eastAsia="仿宋_GB2312" w:cs="宋体"/>
          <w:sz w:val="24"/>
        </w:rPr>
        <w:t>□我方本次响应文件</w:t>
      </w:r>
      <w:r>
        <w:rPr>
          <w:rFonts w:hint="eastAsia" w:ascii="仿宋_GB2312" w:hAnsi="宋体" w:eastAsia="仿宋_GB2312" w:cs="宋体"/>
          <w:kern w:val="0"/>
          <w:sz w:val="24"/>
        </w:rPr>
        <w:t>涉及商业秘密的内容有：</w:t>
      </w:r>
      <w:r>
        <w:rPr>
          <w:rFonts w:hint="eastAsia" w:ascii="仿宋_GB2312" w:hAnsi="宋体" w:eastAsia="仿宋_GB2312" w:cs="宋体"/>
          <w:kern w:val="0"/>
          <w:sz w:val="24"/>
          <w:u w:val="single"/>
        </w:rPr>
        <w:t xml:space="preserve">                         </w:t>
      </w:r>
      <w:r>
        <w:rPr>
          <w:rFonts w:hint="eastAsia" w:ascii="仿宋_GB2312" w:hAnsi="宋体" w:eastAsia="仿宋_GB2312" w:cs="宋体"/>
          <w:kern w:val="0"/>
          <w:sz w:val="24"/>
        </w:rPr>
        <w:t>；</w:t>
      </w:r>
    </w:p>
    <w:p>
      <w:pPr>
        <w:pStyle w:val="17"/>
        <w:widowControl/>
        <w:spacing w:line="360" w:lineRule="auto"/>
        <w:ind w:firstLine="480" w:firstLineChars="200"/>
        <w:rPr>
          <w:rFonts w:hint="eastAsia" w:ascii="仿宋_GB2312" w:hAnsi="宋体" w:eastAsia="仿宋_GB2312" w:cs="宋体"/>
          <w:sz w:val="24"/>
          <w:szCs w:val="24"/>
          <w:u w:val="single"/>
        </w:rPr>
      </w:pPr>
      <w:r>
        <w:rPr>
          <w:rFonts w:hint="eastAsia" w:ascii="仿宋_GB2312" w:hAnsi="宋体" w:eastAsia="仿宋_GB2312" w:cs="宋体"/>
          <w:sz w:val="24"/>
          <w:szCs w:val="24"/>
        </w:rPr>
        <w:t>7.与本磋商有关的一切正式往来信函请寄：</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邮政编号：</w:t>
      </w:r>
      <w:r>
        <w:rPr>
          <w:rFonts w:hint="eastAsia" w:ascii="仿宋_GB2312" w:hAnsi="宋体" w:eastAsia="仿宋_GB2312" w:cs="宋体"/>
          <w:sz w:val="24"/>
          <w:szCs w:val="24"/>
          <w:u w:val="single"/>
        </w:rPr>
        <w:t xml:space="preserve">        </w:t>
      </w:r>
    </w:p>
    <w:p>
      <w:pPr>
        <w:pStyle w:val="17"/>
        <w:widowControl/>
        <w:spacing w:line="360" w:lineRule="auto"/>
        <w:ind w:firstLine="480" w:firstLineChars="200"/>
        <w:rPr>
          <w:rFonts w:hint="eastAsia" w:ascii="仿宋_GB2312" w:hAnsi="宋体" w:eastAsia="仿宋_GB2312" w:cs="宋体"/>
          <w:sz w:val="24"/>
          <w:szCs w:val="24"/>
        </w:rPr>
      </w:pPr>
      <w:r>
        <w:rPr>
          <w:rFonts w:hint="eastAsia" w:ascii="仿宋_GB2312" w:hAnsi="宋体" w:eastAsia="仿宋_GB2312" w:cs="宋体"/>
          <w:sz w:val="24"/>
          <w:szCs w:val="24"/>
        </w:rPr>
        <w:t>电话/传真：</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电子函件：</w:t>
      </w:r>
      <w:r>
        <w:rPr>
          <w:rFonts w:hint="eastAsia" w:ascii="仿宋_GB2312" w:hAnsi="宋体" w:eastAsia="仿宋_GB2312" w:cs="宋体"/>
          <w:sz w:val="24"/>
          <w:szCs w:val="24"/>
          <w:u w:val="single"/>
        </w:rPr>
        <w:t xml:space="preserve">                            </w:t>
      </w:r>
      <w:r>
        <w:rPr>
          <w:rFonts w:hint="eastAsia" w:ascii="仿宋_GB2312" w:hAnsi="宋体" w:eastAsia="仿宋_GB2312" w:cs="宋体"/>
          <w:sz w:val="24"/>
          <w:szCs w:val="24"/>
        </w:rPr>
        <w:t xml:space="preserve">    </w:t>
      </w:r>
    </w:p>
    <w:p>
      <w:pPr>
        <w:pStyle w:val="27"/>
        <w:widowControl/>
        <w:spacing w:line="360" w:lineRule="auto"/>
        <w:ind w:left="141" w:leftChars="67" w:firstLine="360" w:firstLineChars="150"/>
        <w:contextualSpacing/>
        <w:rPr>
          <w:rFonts w:hint="eastAsia" w:ascii="仿宋_GB2312" w:hAnsi="宋体" w:eastAsia="仿宋_GB2312" w:cs="宋体"/>
        </w:rPr>
      </w:pPr>
      <w:r>
        <w:rPr>
          <w:rFonts w:hint="eastAsia" w:ascii="仿宋_GB2312" w:hAnsi="宋体" w:eastAsia="仿宋_GB2312" w:cs="宋体"/>
        </w:rPr>
        <w:t>开户银行：</w:t>
      </w:r>
      <w:r>
        <w:rPr>
          <w:rFonts w:hint="eastAsia" w:ascii="仿宋_GB2312" w:hAnsi="宋体" w:eastAsia="仿宋_GB2312" w:cs="宋体"/>
          <w:u w:val="single"/>
        </w:rPr>
        <w:t xml:space="preserve">                         </w:t>
      </w:r>
      <w:r>
        <w:rPr>
          <w:rFonts w:hint="eastAsia" w:ascii="仿宋_GB2312" w:hAnsi="宋体" w:eastAsia="仿宋_GB2312" w:cs="宋体"/>
        </w:rPr>
        <w:t xml:space="preserve">  帐号：</w:t>
      </w:r>
      <w:r>
        <w:rPr>
          <w:rFonts w:hint="eastAsia" w:ascii="仿宋_GB2312" w:hAnsi="宋体" w:eastAsia="仿宋_GB2312" w:cs="宋体"/>
          <w:u w:val="single"/>
        </w:rPr>
        <w:t xml:space="preserve">                               </w:t>
      </w:r>
    </w:p>
    <w:p>
      <w:pPr>
        <w:pStyle w:val="27"/>
        <w:widowControl/>
        <w:spacing w:line="360" w:lineRule="auto"/>
        <w:ind w:firstLine="480" w:firstLineChars="200"/>
        <w:contextualSpacing/>
        <w:rPr>
          <w:rFonts w:hint="eastAsia" w:ascii="仿宋_GB2312" w:hAnsi="宋体" w:eastAsia="仿宋_GB2312" w:cs="宋体"/>
        </w:rPr>
      </w:pPr>
      <w:r>
        <w:rPr>
          <w:rFonts w:hint="eastAsia" w:ascii="仿宋_GB2312" w:hAnsi="宋体" w:eastAsia="仿宋_GB2312" w:cs="宋体"/>
        </w:rPr>
        <w:t>8.以上事项如有虚假或者隐瞒，我方愿意承担一切后果，并不再寻求任何旨在减轻或者免除法律责任的辩解。</w:t>
      </w:r>
    </w:p>
    <w:p>
      <w:pPr>
        <w:pStyle w:val="27"/>
        <w:widowControl/>
        <w:spacing w:line="360" w:lineRule="auto"/>
        <w:ind w:left="141" w:leftChars="67" w:firstLine="360" w:firstLineChars="150"/>
        <w:contextualSpacing/>
        <w:rPr>
          <w:rFonts w:hint="eastAsia" w:ascii="仿宋_GB2312" w:hAnsi="宋体" w:eastAsia="仿宋_GB2312" w:cs="宋体"/>
        </w:rPr>
      </w:pPr>
      <w:r>
        <w:rPr>
          <w:rFonts w:hint="eastAsia" w:ascii="仿宋_GB2312" w:hAnsi="宋体" w:eastAsia="仿宋_GB2312" w:cs="宋体"/>
        </w:rPr>
        <w:t>特此承诺。</w:t>
      </w:r>
    </w:p>
    <w:p>
      <w:pPr>
        <w:pStyle w:val="27"/>
        <w:widowControl/>
        <w:spacing w:line="360" w:lineRule="auto"/>
        <w:ind w:firstLine="480" w:firstLineChars="200"/>
        <w:contextualSpacing/>
        <w:rPr>
          <w:rFonts w:hint="eastAsia" w:ascii="宋体" w:hAnsi="宋体"/>
        </w:rPr>
      </w:pPr>
      <w:r>
        <w:rPr>
          <w:rFonts w:hint="eastAsia" w:ascii="仿宋_GB2312" w:hAnsi="宋体" w:eastAsia="仿宋_GB2312" w:cs="宋体"/>
        </w:rPr>
        <w:t>注：如为联合体竞标，盖章处须加盖联合体各方公章并由联合体各方法定代表人签署，否则其响应文件按无效响应处理。</w:t>
      </w:r>
    </w:p>
    <w:p>
      <w:pPr>
        <w:pStyle w:val="27"/>
        <w:widowControl/>
        <w:spacing w:line="360" w:lineRule="auto"/>
        <w:ind w:firstLine="480" w:firstLineChars="200"/>
        <w:contextualSpacing/>
        <w:rPr>
          <w:rFonts w:hint="eastAsia" w:ascii="宋体" w:hAnsi="宋体"/>
        </w:rPr>
      </w:pPr>
      <w:r>
        <w:rPr>
          <w:rFonts w:hint="eastAsia" w:ascii="宋体" w:hAnsi="宋体"/>
        </w:rPr>
        <w:t xml:space="preserve"> </w:t>
      </w:r>
    </w:p>
    <w:p>
      <w:pPr>
        <w:autoSpaceDE w:val="0"/>
        <w:autoSpaceDN w:val="0"/>
        <w:spacing w:line="360" w:lineRule="auto"/>
        <w:ind w:left="4365" w:leftChars="1850" w:hanging="480" w:hangingChars="2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120" w:firstLineChars="2550"/>
        <w:rPr>
          <w:rFonts w:hint="eastAsia" w:ascii="仿宋_GB2312" w:hAnsi="仿宋" w:eastAsia="仿宋_GB2312"/>
          <w:kern w:val="0"/>
          <w:sz w:val="24"/>
        </w:rPr>
      </w:pPr>
      <w:r>
        <w:rPr>
          <w:rFonts w:hint="eastAsia" w:ascii="仿宋_GB2312" w:hAnsi="仿宋" w:eastAsia="仿宋_GB2312"/>
          <w:kern w:val="0"/>
          <w:sz w:val="24"/>
        </w:rPr>
        <w:t>日期：  年  月   日</w:t>
      </w:r>
    </w:p>
    <w:p>
      <w:pPr>
        <w:widowControl/>
        <w:spacing w:line="360" w:lineRule="auto"/>
        <w:jc w:val="left"/>
        <w:rPr>
          <w:rFonts w:ascii="仿宋_GB2312" w:hAnsi="仿宋" w:eastAsia="仿宋_GB2312" w:cs="宋体"/>
          <w:sz w:val="24"/>
        </w:rPr>
        <w:sectPr>
          <w:pgSz w:w="11910" w:h="16840"/>
          <w:pgMar w:top="1340" w:right="1500" w:bottom="280" w:left="1680" w:header="720" w:footer="720" w:gutter="0"/>
          <w:cols w:space="720" w:num="1"/>
          <w:docGrid w:type="lines" w:linePitch="312" w:charSpace="0"/>
        </w:sectPr>
      </w:pPr>
    </w:p>
    <w:p>
      <w:pPr>
        <w:pStyle w:val="7"/>
        <w:widowControl/>
        <w:overflowPunct w:val="0"/>
        <w:spacing w:line="520" w:lineRule="exact"/>
        <w:ind w:firstLine="0"/>
        <w:rPr>
          <w:rFonts w:hint="eastAsia" w:ascii="宋体" w:hAnsi="宋体"/>
          <w:b/>
          <w:bCs/>
          <w:sz w:val="32"/>
          <w:szCs w:val="32"/>
        </w:rPr>
      </w:pPr>
      <w:r>
        <w:rPr>
          <w:rFonts w:hint="eastAsia" w:ascii="仿宋" w:hAnsi="仿宋" w:eastAsia="仿宋" w:cs="仿宋_GB2312"/>
          <w:b/>
          <w:kern w:val="0"/>
          <w:sz w:val="30"/>
          <w:szCs w:val="30"/>
        </w:rPr>
        <w:t>七、联合体协议书（如有）</w:t>
      </w:r>
    </w:p>
    <w:p>
      <w:pPr>
        <w:pStyle w:val="17"/>
        <w:widowControl/>
        <w:spacing w:line="600" w:lineRule="exact"/>
        <w:jc w:val="center"/>
        <w:rPr>
          <w:rFonts w:hint="eastAsia" w:ascii="方正小标宋简体" w:hAnsi="方正小标宋简体" w:eastAsia="方正小标宋简体"/>
          <w:kern w:val="2"/>
          <w:sz w:val="44"/>
          <w:szCs w:val="44"/>
        </w:rPr>
      </w:pPr>
      <w:r>
        <w:rPr>
          <w:rFonts w:hint="eastAsia" w:ascii="方正小标宋简体" w:hAnsi="方正小标宋简体" w:eastAsia="方正小标宋简体"/>
          <w:kern w:val="2"/>
          <w:sz w:val="44"/>
          <w:szCs w:val="44"/>
        </w:rPr>
        <w:t>联合体竞标协议书（格式）</w:t>
      </w:r>
    </w:p>
    <w:p>
      <w:pPr>
        <w:autoSpaceDE w:val="0"/>
        <w:autoSpaceDN w:val="0"/>
        <w:adjustRightInd w:val="0"/>
        <w:spacing w:line="360" w:lineRule="auto"/>
        <w:jc w:val="left"/>
        <w:rPr>
          <w:rFonts w:hint="eastAsia" w:ascii="仿宋_GB2312" w:hAnsi="Calibri" w:eastAsia="仿宋_GB2312" w:cs="宋体"/>
          <w:kern w:val="0"/>
          <w:sz w:val="24"/>
        </w:rPr>
      </w:pPr>
      <w:r>
        <w:rPr>
          <w:rFonts w:hint="eastAsia" w:ascii="仿宋_GB2312" w:eastAsia="仿宋_GB2312" w:cs="宋体"/>
          <w:kern w:val="0"/>
          <w:sz w:val="24"/>
          <w:u w:val="single"/>
        </w:rPr>
        <w:t xml:space="preserve"> （所有成员单位名称）</w:t>
      </w:r>
      <w:r>
        <w:rPr>
          <w:rFonts w:hint="eastAsia" w:ascii="仿宋_GB2312" w:eastAsia="仿宋_GB2312" w:cs="宋体"/>
          <w:kern w:val="0"/>
          <w:sz w:val="24"/>
        </w:rPr>
        <w:t>自愿组成联合体，共同参加</w:t>
      </w:r>
      <w:bookmarkStart w:id="165" w:name="PO_3000001868_PM031"/>
      <w:r>
        <w:rPr>
          <w:rFonts w:hint="eastAsia" w:ascii="仿宋_GB2312" w:eastAsia="仿宋_GB2312" w:cs="宋体"/>
          <w:kern w:val="0"/>
          <w:sz w:val="24"/>
          <w:u w:val="single"/>
        </w:rPr>
        <w:t>广西城建咨询有限公司</w:t>
      </w:r>
      <w:bookmarkEnd w:id="165"/>
      <w:r>
        <w:rPr>
          <w:rFonts w:hint="eastAsia" w:ascii="仿宋_GB2312" w:eastAsia="仿宋_GB2312" w:cs="宋体"/>
          <w:kern w:val="0"/>
          <w:sz w:val="24"/>
        </w:rPr>
        <w:t>组织的</w:t>
      </w:r>
      <w:r>
        <w:rPr>
          <w:rFonts w:hint="eastAsia" w:ascii="仿宋_GB2312" w:eastAsia="仿宋_GB2312" w:cs="宋体"/>
          <w:kern w:val="0"/>
          <w:sz w:val="24"/>
          <w:u w:val="single"/>
        </w:rPr>
        <w:t>环境监管执法系统运维服务项目</w:t>
      </w:r>
      <w:r>
        <w:rPr>
          <w:rFonts w:hint="eastAsia" w:ascii="仿宋_GB2312" w:eastAsia="仿宋_GB2312" w:cs="宋体"/>
          <w:kern w:val="0"/>
          <w:sz w:val="24"/>
        </w:rPr>
        <w:t>（项目编号：</w:t>
      </w:r>
      <w:r>
        <w:rPr>
          <w:rFonts w:hint="eastAsia" w:ascii="仿宋_GB2312" w:eastAsia="仿宋_GB2312" w:cs="宋体"/>
          <w:kern w:val="0"/>
          <w:sz w:val="24"/>
          <w:u w:val="single"/>
        </w:rPr>
        <w:t xml:space="preserve">    </w:t>
      </w:r>
      <w:r>
        <w:rPr>
          <w:rFonts w:hint="eastAsia" w:ascii="仿宋_GB2312" w:eastAsia="仿宋_GB2312" w:cs="宋体"/>
          <w:kern w:val="0"/>
          <w:sz w:val="24"/>
        </w:rPr>
        <w:t>）竞争性磋商采购。现就联合体竞标事宜订立如下协议：</w:t>
      </w:r>
    </w:p>
    <w:p>
      <w:pPr>
        <w:autoSpaceDE w:val="0"/>
        <w:autoSpaceDN w:val="0"/>
        <w:adjustRightInd w:val="0"/>
        <w:spacing w:line="360" w:lineRule="auto"/>
        <w:ind w:firstLine="420"/>
        <w:jc w:val="left"/>
        <w:rPr>
          <w:rFonts w:hint="eastAsia" w:ascii="仿宋_GB2312" w:hAnsi="宋体" w:eastAsia="仿宋_GB2312" w:cs="宋体"/>
          <w:kern w:val="0"/>
          <w:sz w:val="24"/>
        </w:rPr>
      </w:pPr>
      <w:r>
        <w:rPr>
          <w:rFonts w:hint="eastAsia" w:ascii="仿宋_GB2312" w:hAnsi="宋体" w:eastAsia="仿宋_GB2312" w:cs="TimesNewRomanPSMT"/>
          <w:kern w:val="0"/>
          <w:sz w:val="24"/>
        </w:rPr>
        <w:t>1</w:t>
      </w:r>
      <w:r>
        <w:rPr>
          <w:rFonts w:hint="eastAsia" w:ascii="仿宋_GB2312" w:hAnsi="宋体" w:eastAsia="仿宋_GB2312" w:cs="宋体"/>
          <w:kern w:val="0"/>
          <w:sz w:val="24"/>
        </w:rPr>
        <w:t>、</w:t>
      </w:r>
      <w:r>
        <w:rPr>
          <w:rFonts w:hint="eastAsia" w:ascii="仿宋_GB2312" w:eastAsia="仿宋_GB2312"/>
          <w:sz w:val="24"/>
        </w:rPr>
        <w:t>________________________</w:t>
      </w:r>
      <w:r>
        <w:rPr>
          <w:rFonts w:hint="eastAsia" w:ascii="仿宋_GB2312" w:hAnsi="宋体" w:eastAsia="仿宋_GB2312" w:cs="宋体"/>
          <w:kern w:val="0"/>
          <w:sz w:val="24"/>
        </w:rPr>
        <w:t>（某成员单位名称）为联合体名称牵头人。</w:t>
      </w:r>
    </w:p>
    <w:p>
      <w:pPr>
        <w:autoSpaceDE w:val="0"/>
        <w:autoSpaceDN w:val="0"/>
        <w:adjustRightInd w:val="0"/>
        <w:spacing w:line="360" w:lineRule="auto"/>
        <w:ind w:firstLine="420"/>
        <w:jc w:val="left"/>
        <w:rPr>
          <w:rFonts w:hint="eastAsia" w:ascii="仿宋_GB2312" w:hAnsi="宋体" w:eastAsia="仿宋_GB2312" w:cs="宋体"/>
          <w:kern w:val="0"/>
          <w:sz w:val="24"/>
        </w:rPr>
      </w:pPr>
      <w:r>
        <w:rPr>
          <w:rFonts w:hint="eastAsia" w:ascii="仿宋_GB2312" w:hAnsi="宋体" w:eastAsia="仿宋_GB2312" w:cs="TimesNewRomanPSMT"/>
          <w:kern w:val="0"/>
          <w:sz w:val="24"/>
        </w:rPr>
        <w:t>2</w:t>
      </w:r>
      <w:r>
        <w:rPr>
          <w:rFonts w:hint="eastAsia" w:ascii="仿宋_GB2312" w:hAnsi="宋体" w:eastAsia="仿宋_GB2312" w:cs="宋体"/>
          <w:kern w:val="0"/>
          <w:sz w:val="24"/>
        </w:rPr>
        <w:t>、联合体牵头人合法代表联合体各成员负责本磋商项目响应文件编制和合同谈判活动，并代表联合体提交和接收相关的资料、信息及指示，并处理与之有关的一切事务，负责合同实施阶段的主办、组织和协调工作。</w:t>
      </w:r>
    </w:p>
    <w:p>
      <w:pPr>
        <w:autoSpaceDE w:val="0"/>
        <w:autoSpaceDN w:val="0"/>
        <w:adjustRightInd w:val="0"/>
        <w:spacing w:line="360" w:lineRule="auto"/>
        <w:ind w:firstLine="420"/>
        <w:jc w:val="left"/>
        <w:rPr>
          <w:rFonts w:hint="eastAsia" w:ascii="仿宋_GB2312" w:hAnsi="宋体" w:eastAsia="仿宋_GB2312" w:cs="宋体"/>
          <w:kern w:val="0"/>
          <w:sz w:val="24"/>
        </w:rPr>
      </w:pPr>
      <w:r>
        <w:rPr>
          <w:rFonts w:hint="eastAsia" w:ascii="仿宋_GB2312" w:hAnsi="宋体" w:eastAsia="仿宋_GB2312" w:cs="宋体"/>
          <w:kern w:val="0"/>
          <w:sz w:val="24"/>
        </w:rPr>
        <w:t>3、联合体牵头人在本项目中签署和盖章的一切文件和处理的一切事宜，联合体各成员均予以承认。 联合体各成员将严格按照磋商文件、响应文件和合同的要求全面履行义务，并向采购人承担连带责任。</w:t>
      </w:r>
    </w:p>
    <w:p>
      <w:pPr>
        <w:autoSpaceDE w:val="0"/>
        <w:autoSpaceDN w:val="0"/>
        <w:adjustRightInd w:val="0"/>
        <w:spacing w:line="360" w:lineRule="auto"/>
        <w:ind w:firstLine="420"/>
        <w:jc w:val="left"/>
        <w:rPr>
          <w:rFonts w:hint="eastAsia" w:ascii="仿宋_GB2312" w:hAnsi="宋体" w:eastAsia="仿宋_GB2312" w:cs="宋体"/>
          <w:kern w:val="0"/>
          <w:sz w:val="24"/>
        </w:rPr>
      </w:pPr>
      <w:r>
        <w:rPr>
          <w:rFonts w:hint="eastAsia" w:ascii="仿宋_GB2312" w:hAnsi="宋体" w:eastAsia="仿宋_GB2312" w:cs="TimesNewRomanPSMT"/>
          <w:kern w:val="0"/>
          <w:sz w:val="24"/>
        </w:rPr>
        <w:t>4</w:t>
      </w:r>
      <w:r>
        <w:rPr>
          <w:rFonts w:hint="eastAsia" w:ascii="仿宋_GB2312" w:hAnsi="宋体" w:eastAsia="仿宋_GB2312" w:cs="宋体"/>
          <w:kern w:val="0"/>
          <w:sz w:val="24"/>
        </w:rPr>
        <w:t>、联合体各成员单位内部的职责分工如下</w:t>
      </w:r>
      <w:r>
        <w:rPr>
          <w:rFonts w:hint="eastAsia" w:ascii="仿宋_GB2312" w:hAnsi="宋体" w:eastAsia="仿宋_GB2312" w:cs="宋体"/>
          <w:kern w:val="0"/>
          <w:sz w:val="24"/>
          <w:u w:val="single"/>
        </w:rPr>
        <w:t>：</w:t>
      </w:r>
      <w:r>
        <w:rPr>
          <w:rFonts w:hint="eastAsia" w:ascii="仿宋_GB2312" w:eastAsia="仿宋_GB2312"/>
          <w:sz w:val="24"/>
          <w:u w:val="single"/>
        </w:rPr>
        <w:t>_____________________________</w:t>
      </w:r>
      <w:r>
        <w:rPr>
          <w:rFonts w:hint="eastAsia" w:ascii="仿宋_GB2312" w:hAnsi="宋体" w:eastAsia="仿宋_GB2312" w:cs="宋体"/>
          <w:kern w:val="0"/>
          <w:sz w:val="24"/>
        </w:rPr>
        <w:t>。</w:t>
      </w:r>
    </w:p>
    <w:p>
      <w:pPr>
        <w:pStyle w:val="17"/>
        <w:widowControl/>
        <w:spacing w:line="360" w:lineRule="auto"/>
        <w:ind w:firstLine="480" w:firstLineChars="200"/>
        <w:rPr>
          <w:rFonts w:hint="eastAsia" w:ascii="仿宋_GB2312" w:hAnsi="Times New Roman" w:eastAsia="仿宋_GB2312"/>
          <w:sz w:val="24"/>
          <w:szCs w:val="24"/>
        </w:rPr>
      </w:pPr>
      <w:r>
        <w:rPr>
          <w:rFonts w:hint="eastAsia" w:ascii="仿宋_GB2312" w:hAnsi="宋体" w:eastAsia="仿宋_GB2312" w:cs="宋体"/>
          <w:sz w:val="24"/>
          <w:szCs w:val="24"/>
        </w:rPr>
        <w:t>5、本联合体中</w:t>
      </w:r>
      <w:r>
        <w:rPr>
          <w:rFonts w:hint="eastAsia" w:ascii="仿宋_GB2312" w:hAnsi="宋体" w:eastAsia="仿宋_GB2312" w:cs="宋体"/>
          <w:sz w:val="24"/>
          <w:szCs w:val="24"/>
          <w:u w:val="single"/>
        </w:rPr>
        <w:t>，</w:t>
      </w:r>
      <w:r>
        <w:rPr>
          <w:rFonts w:hint="eastAsia" w:ascii="仿宋_GB2312" w:eastAsia="仿宋_GB2312"/>
          <w:sz w:val="24"/>
          <w:szCs w:val="24"/>
          <w:u w:val="single"/>
        </w:rPr>
        <w:t>__</w:t>
      </w:r>
      <w:r>
        <w:rPr>
          <w:rFonts w:hint="eastAsia" w:ascii="仿宋_GB2312" w:hAnsi="宋体" w:eastAsia="仿宋_GB2312" w:cs="宋体"/>
          <w:sz w:val="24"/>
          <w:szCs w:val="24"/>
          <w:u w:val="single"/>
        </w:rPr>
        <w:t>（某成员单位名称）为</w:t>
      </w:r>
      <w:r>
        <w:rPr>
          <w:rFonts w:hint="eastAsia" w:ascii="仿宋_GB2312" w:eastAsia="仿宋_GB2312"/>
          <w:sz w:val="24"/>
          <w:szCs w:val="24"/>
          <w:u w:val="single"/>
        </w:rPr>
        <w:t>______</w:t>
      </w:r>
      <w:r>
        <w:rPr>
          <w:rFonts w:hint="eastAsia" w:ascii="仿宋_GB2312" w:eastAsia="仿宋_GB2312"/>
          <w:sz w:val="24"/>
          <w:szCs w:val="24"/>
        </w:rPr>
        <w:t>（请填写：中型、小型、微型）企业，其协议合同金额占联合体协议合同总金额的</w:t>
      </w:r>
      <w:r>
        <w:rPr>
          <w:rFonts w:hint="eastAsia" w:ascii="仿宋_GB2312" w:eastAsia="仿宋_GB2312"/>
          <w:sz w:val="24"/>
          <w:szCs w:val="24"/>
          <w:u w:val="single"/>
        </w:rPr>
        <w:t>______</w:t>
      </w:r>
      <w:r>
        <w:rPr>
          <w:rFonts w:hint="eastAsia" w:ascii="仿宋_GB2312" w:eastAsia="仿宋_GB2312"/>
          <w:sz w:val="24"/>
          <w:szCs w:val="24"/>
        </w:rPr>
        <w:t>%。【如联合体成员中有小型、微型企业的，请填写此条，否则无需填写；如联合体成员中有多个小型、微型企业的，请逐一列出。】</w:t>
      </w:r>
    </w:p>
    <w:p>
      <w:pPr>
        <w:autoSpaceDE w:val="0"/>
        <w:autoSpaceDN w:val="0"/>
        <w:adjustRightInd w:val="0"/>
        <w:spacing w:line="360" w:lineRule="auto"/>
        <w:ind w:firstLine="420"/>
        <w:jc w:val="left"/>
        <w:rPr>
          <w:rFonts w:hint="eastAsia" w:ascii="仿宋_GB2312" w:hAnsi="宋体" w:eastAsia="仿宋_GB2312" w:cs="宋体"/>
          <w:kern w:val="0"/>
          <w:sz w:val="24"/>
        </w:rPr>
      </w:pPr>
      <w:r>
        <w:rPr>
          <w:rFonts w:hint="eastAsia" w:ascii="仿宋_GB2312" w:hAnsi="宋体" w:eastAsia="仿宋_GB2312" w:cs="TimesNewRomanPSMT"/>
          <w:kern w:val="0"/>
          <w:sz w:val="24"/>
        </w:rPr>
        <w:t>6</w:t>
      </w:r>
      <w:r>
        <w:rPr>
          <w:rFonts w:hint="eastAsia" w:ascii="仿宋_GB2312" w:hAnsi="宋体" w:eastAsia="仿宋_GB2312" w:cs="宋体"/>
          <w:kern w:val="0"/>
          <w:sz w:val="24"/>
        </w:rPr>
        <w:t>、本协议书自签署之日起生效，合同履行完毕后自动失效。</w:t>
      </w:r>
    </w:p>
    <w:p>
      <w:pPr>
        <w:autoSpaceDE w:val="0"/>
        <w:autoSpaceDN w:val="0"/>
        <w:adjustRightInd w:val="0"/>
        <w:spacing w:line="360" w:lineRule="auto"/>
        <w:ind w:firstLine="420"/>
        <w:jc w:val="left"/>
        <w:rPr>
          <w:rFonts w:hint="eastAsia" w:ascii="仿宋_GB2312" w:hAnsi="宋体" w:eastAsia="仿宋_GB2312" w:cs="宋体"/>
          <w:kern w:val="0"/>
          <w:sz w:val="24"/>
        </w:rPr>
      </w:pPr>
      <w:r>
        <w:rPr>
          <w:rFonts w:hint="eastAsia" w:ascii="仿宋_GB2312" w:hAnsi="宋体" w:eastAsia="仿宋_GB2312" w:cs="TimesNewRomanPSMT"/>
          <w:kern w:val="0"/>
          <w:sz w:val="24"/>
        </w:rPr>
        <w:t>7</w:t>
      </w:r>
      <w:r>
        <w:rPr>
          <w:rFonts w:hint="eastAsia" w:ascii="仿宋_GB2312" w:hAnsi="宋体" w:eastAsia="仿宋_GB2312" w:cs="宋体"/>
          <w:kern w:val="0"/>
          <w:sz w:val="24"/>
        </w:rPr>
        <w:t>、本协议书一式</w:t>
      </w:r>
      <w:r>
        <w:rPr>
          <w:rFonts w:hint="eastAsia" w:ascii="仿宋_GB2312" w:hAnsi="宋体" w:eastAsia="仿宋_GB2312" w:cs="宋体"/>
          <w:kern w:val="0"/>
          <w:sz w:val="24"/>
          <w:u w:val="single"/>
        </w:rPr>
        <w:t xml:space="preserve">    </w:t>
      </w:r>
      <w:r>
        <w:rPr>
          <w:rFonts w:hint="eastAsia" w:ascii="仿宋_GB2312" w:hAnsi="宋体" w:eastAsia="仿宋_GB2312" w:cs="宋体"/>
          <w:kern w:val="0"/>
          <w:sz w:val="24"/>
        </w:rPr>
        <w:t>份，联合体成员和采购代理机构各执一份。</w:t>
      </w:r>
    </w:p>
    <w:p>
      <w:pPr>
        <w:autoSpaceDE w:val="0"/>
        <w:autoSpaceDN w:val="0"/>
        <w:adjustRightInd w:val="0"/>
        <w:spacing w:line="360" w:lineRule="auto"/>
        <w:ind w:firstLine="420"/>
        <w:jc w:val="left"/>
        <w:rPr>
          <w:rFonts w:hint="eastAsia" w:ascii="仿宋_GB2312" w:hAnsi="Calibri" w:eastAsia="仿宋_GB2312" w:cs="宋体"/>
          <w:kern w:val="0"/>
          <w:sz w:val="24"/>
        </w:rPr>
      </w:pPr>
      <w:r>
        <w:rPr>
          <w:rFonts w:hint="eastAsia" w:ascii="仿宋_GB2312" w:eastAsia="仿宋_GB2312" w:cs="宋体"/>
          <w:kern w:val="0"/>
          <w:sz w:val="24"/>
        </w:rPr>
        <w:t>注：本协议书由法定代表人签字的，应附法定代表人身份证明；本协议书由委托代理人签字的，应附法定代表人授权委托书。</w:t>
      </w:r>
    </w:p>
    <w:p>
      <w:pPr>
        <w:autoSpaceDE w:val="0"/>
        <w:autoSpaceDN w:val="0"/>
        <w:adjustRightInd w:val="0"/>
        <w:jc w:val="left"/>
        <w:rPr>
          <w:rFonts w:hint="eastAsia" w:ascii="仿宋_GB2312" w:eastAsia="仿宋_GB2312" w:cs="宋体"/>
          <w:kern w:val="0"/>
          <w:sz w:val="24"/>
        </w:rPr>
      </w:pPr>
      <w:r>
        <w:rPr>
          <w:rFonts w:hint="eastAsia" w:ascii="仿宋_GB2312" w:eastAsia="仿宋_GB2312" w:cs="宋体"/>
          <w:kern w:val="0"/>
          <w:sz w:val="24"/>
        </w:rPr>
        <w:t>牵头人名称：</w:t>
      </w:r>
      <w:r>
        <w:rPr>
          <w:rFonts w:hint="eastAsia" w:ascii="仿宋_GB2312" w:eastAsia="仿宋_GB2312" w:cs="宋体"/>
          <w:kern w:val="0"/>
          <w:sz w:val="24"/>
          <w:u w:val="single"/>
        </w:rPr>
        <w:t xml:space="preserve">                                       </w:t>
      </w:r>
      <w:r>
        <w:rPr>
          <w:rFonts w:hint="eastAsia" w:ascii="仿宋_GB2312" w:eastAsia="仿宋_GB2312" w:cs="宋体"/>
          <w:kern w:val="0"/>
          <w:sz w:val="24"/>
        </w:rPr>
        <w:t>（盖单位公章）</w:t>
      </w:r>
    </w:p>
    <w:p>
      <w:pPr>
        <w:autoSpaceDE w:val="0"/>
        <w:autoSpaceDN w:val="0"/>
        <w:adjustRightInd w:val="0"/>
        <w:jc w:val="left"/>
        <w:rPr>
          <w:rFonts w:hint="eastAsia" w:ascii="仿宋_GB2312" w:eastAsia="仿宋_GB2312" w:cs="宋体"/>
          <w:kern w:val="0"/>
          <w:sz w:val="24"/>
        </w:rPr>
      </w:pPr>
      <w:r>
        <w:rPr>
          <w:rFonts w:hint="eastAsia" w:ascii="仿宋_GB2312" w:eastAsia="仿宋_GB2312" w:cs="宋体"/>
          <w:kern w:val="0"/>
          <w:sz w:val="24"/>
        </w:rPr>
        <w:t>法定代表人或其委托代理人：</w:t>
      </w:r>
      <w:r>
        <w:rPr>
          <w:rFonts w:hint="eastAsia" w:ascii="仿宋_GB2312" w:eastAsia="仿宋_GB2312" w:cs="宋体"/>
          <w:kern w:val="0"/>
          <w:sz w:val="24"/>
          <w:u w:val="single"/>
        </w:rPr>
        <w:t xml:space="preserve">                         </w:t>
      </w:r>
      <w:r>
        <w:rPr>
          <w:rFonts w:hint="eastAsia" w:ascii="仿宋_GB2312" w:eastAsia="仿宋_GB2312" w:cs="宋体"/>
          <w:kern w:val="0"/>
          <w:sz w:val="24"/>
        </w:rPr>
        <w:t>（签字或盖章）</w:t>
      </w:r>
    </w:p>
    <w:p>
      <w:pPr>
        <w:autoSpaceDE w:val="0"/>
        <w:autoSpaceDN w:val="0"/>
        <w:adjustRightInd w:val="0"/>
        <w:jc w:val="left"/>
        <w:rPr>
          <w:rFonts w:hint="eastAsia" w:ascii="仿宋_GB2312" w:eastAsia="仿宋_GB2312" w:cs="宋体"/>
          <w:kern w:val="0"/>
          <w:sz w:val="24"/>
        </w:rPr>
      </w:pPr>
      <w:r>
        <w:rPr>
          <w:rFonts w:hint="eastAsia" w:ascii="仿宋_GB2312" w:eastAsia="仿宋_GB2312" w:cs="宋体"/>
          <w:kern w:val="0"/>
          <w:sz w:val="24"/>
        </w:rPr>
        <w:t xml:space="preserve"> </w:t>
      </w:r>
    </w:p>
    <w:p>
      <w:pPr>
        <w:autoSpaceDE w:val="0"/>
        <w:autoSpaceDN w:val="0"/>
        <w:adjustRightInd w:val="0"/>
        <w:jc w:val="left"/>
        <w:rPr>
          <w:rFonts w:hint="eastAsia" w:ascii="仿宋_GB2312" w:eastAsia="仿宋_GB2312" w:cs="宋体"/>
          <w:kern w:val="0"/>
          <w:sz w:val="24"/>
        </w:rPr>
      </w:pPr>
      <w:r>
        <w:rPr>
          <w:rFonts w:hint="eastAsia" w:ascii="仿宋_GB2312" w:eastAsia="仿宋_GB2312" w:cs="宋体"/>
          <w:kern w:val="0"/>
          <w:sz w:val="24"/>
        </w:rPr>
        <w:t>成员一名称：</w:t>
      </w:r>
      <w:r>
        <w:rPr>
          <w:rFonts w:hint="eastAsia" w:ascii="仿宋_GB2312" w:eastAsia="仿宋_GB2312" w:cs="宋体"/>
          <w:kern w:val="0"/>
          <w:sz w:val="24"/>
          <w:u w:val="single"/>
        </w:rPr>
        <w:t xml:space="preserve">                                       </w:t>
      </w:r>
      <w:r>
        <w:rPr>
          <w:rFonts w:hint="eastAsia" w:ascii="仿宋_GB2312" w:eastAsia="仿宋_GB2312" w:cs="宋体"/>
          <w:kern w:val="0"/>
          <w:sz w:val="24"/>
        </w:rPr>
        <w:t>（盖单位公章）</w:t>
      </w:r>
    </w:p>
    <w:p>
      <w:pPr>
        <w:autoSpaceDE w:val="0"/>
        <w:autoSpaceDN w:val="0"/>
        <w:adjustRightInd w:val="0"/>
        <w:jc w:val="left"/>
        <w:rPr>
          <w:rFonts w:hint="eastAsia" w:ascii="仿宋_GB2312" w:eastAsia="仿宋_GB2312" w:cs="宋体"/>
          <w:kern w:val="0"/>
          <w:sz w:val="24"/>
        </w:rPr>
      </w:pPr>
      <w:r>
        <w:rPr>
          <w:rFonts w:hint="eastAsia" w:ascii="仿宋_GB2312" w:eastAsia="仿宋_GB2312" w:cs="宋体"/>
          <w:kern w:val="0"/>
          <w:sz w:val="24"/>
        </w:rPr>
        <w:t>法定代表人或其委托代理人：</w:t>
      </w:r>
      <w:r>
        <w:rPr>
          <w:rFonts w:hint="eastAsia" w:ascii="仿宋_GB2312" w:eastAsia="仿宋_GB2312" w:cs="宋体"/>
          <w:kern w:val="0"/>
          <w:sz w:val="24"/>
          <w:u w:val="single"/>
        </w:rPr>
        <w:t xml:space="preserve">                         </w:t>
      </w:r>
      <w:r>
        <w:rPr>
          <w:rFonts w:hint="eastAsia" w:ascii="仿宋_GB2312" w:eastAsia="仿宋_GB2312" w:cs="宋体"/>
          <w:kern w:val="0"/>
          <w:sz w:val="24"/>
        </w:rPr>
        <w:t>（签字或盖章）</w:t>
      </w:r>
    </w:p>
    <w:p>
      <w:pPr>
        <w:autoSpaceDE w:val="0"/>
        <w:autoSpaceDN w:val="0"/>
        <w:adjustRightInd w:val="0"/>
        <w:jc w:val="left"/>
        <w:rPr>
          <w:rFonts w:hint="eastAsia" w:ascii="宋体"/>
          <w:kern w:val="0"/>
          <w:szCs w:val="21"/>
        </w:rPr>
      </w:pPr>
      <w:r>
        <w:rPr>
          <w:rFonts w:hint="eastAsia" w:ascii="宋体"/>
          <w:kern w:val="0"/>
        </w:rPr>
        <w:t xml:space="preserve"> </w:t>
      </w:r>
    </w:p>
    <w:p>
      <w:pPr>
        <w:autoSpaceDE w:val="0"/>
        <w:autoSpaceDN w:val="0"/>
        <w:adjustRightInd w:val="0"/>
        <w:jc w:val="left"/>
        <w:rPr>
          <w:rFonts w:hint="eastAsia" w:ascii="仿宋_GB2312" w:hAnsi="Calibri" w:eastAsia="仿宋_GB2312" w:cs="宋体"/>
          <w:kern w:val="0"/>
          <w:sz w:val="24"/>
        </w:rPr>
      </w:pPr>
      <w:r>
        <w:rPr>
          <w:rFonts w:hint="eastAsia" w:ascii="仿宋_GB2312" w:eastAsia="仿宋_GB2312" w:cs="宋体"/>
          <w:kern w:val="0"/>
          <w:sz w:val="24"/>
        </w:rPr>
        <w:t>成员二名称：</w:t>
      </w:r>
      <w:r>
        <w:rPr>
          <w:rFonts w:hint="eastAsia" w:ascii="仿宋_GB2312" w:eastAsia="仿宋_GB2312" w:cs="宋体"/>
          <w:kern w:val="0"/>
          <w:sz w:val="24"/>
          <w:u w:val="single"/>
        </w:rPr>
        <w:t xml:space="preserve">                                       </w:t>
      </w:r>
      <w:r>
        <w:rPr>
          <w:rFonts w:hint="eastAsia" w:ascii="仿宋_GB2312" w:eastAsia="仿宋_GB2312" w:cs="宋体"/>
          <w:kern w:val="0"/>
          <w:sz w:val="24"/>
        </w:rPr>
        <w:t>（盖单位公章）</w:t>
      </w:r>
    </w:p>
    <w:p>
      <w:pPr>
        <w:autoSpaceDE w:val="0"/>
        <w:autoSpaceDN w:val="0"/>
        <w:adjustRightInd w:val="0"/>
        <w:jc w:val="left"/>
        <w:rPr>
          <w:rFonts w:hint="eastAsia" w:ascii="仿宋_GB2312" w:eastAsia="仿宋_GB2312" w:cs="宋体"/>
          <w:kern w:val="0"/>
          <w:sz w:val="24"/>
        </w:rPr>
      </w:pPr>
      <w:r>
        <w:rPr>
          <w:rFonts w:hint="eastAsia" w:ascii="仿宋_GB2312" w:eastAsia="仿宋_GB2312" w:cs="宋体"/>
          <w:kern w:val="0"/>
          <w:sz w:val="24"/>
        </w:rPr>
        <w:t>法定代表人或其委托代理人：                         （签字或盖章）</w:t>
      </w:r>
    </w:p>
    <w:p>
      <w:pPr>
        <w:autoSpaceDE w:val="0"/>
        <w:autoSpaceDN w:val="0"/>
        <w:adjustRightInd w:val="0"/>
        <w:spacing w:line="360" w:lineRule="auto"/>
        <w:jc w:val="left"/>
        <w:rPr>
          <w:rFonts w:hint="eastAsia" w:ascii="仿宋_GB2312" w:eastAsia="仿宋_GB2312" w:cs="宋体"/>
          <w:kern w:val="0"/>
          <w:sz w:val="24"/>
        </w:rPr>
      </w:pPr>
      <w:r>
        <w:rPr>
          <w:rFonts w:hint="eastAsia" w:ascii="仿宋_GB2312" w:eastAsia="仿宋_GB2312" w:cs="宋体"/>
          <w:kern w:val="0"/>
          <w:sz w:val="24"/>
        </w:rPr>
        <w:t xml:space="preserve"> </w:t>
      </w:r>
    </w:p>
    <w:p>
      <w:pPr>
        <w:autoSpaceDE w:val="0"/>
        <w:autoSpaceDN w:val="0"/>
        <w:adjustRightInd w:val="0"/>
        <w:spacing w:line="360" w:lineRule="auto"/>
        <w:jc w:val="left"/>
        <w:rPr>
          <w:rFonts w:hint="eastAsia" w:ascii="仿宋_GB2312" w:eastAsia="仿宋_GB2312" w:cs="宋体"/>
          <w:kern w:val="0"/>
          <w:sz w:val="24"/>
        </w:rPr>
      </w:pPr>
      <w:r>
        <w:rPr>
          <w:rFonts w:hint="eastAsia" w:ascii="仿宋_GB2312" w:eastAsia="仿宋_GB2312" w:cs="宋体"/>
          <w:kern w:val="0"/>
          <w:sz w:val="24"/>
        </w:rPr>
        <w:t xml:space="preserve"> </w:t>
      </w:r>
    </w:p>
    <w:p>
      <w:pPr>
        <w:autoSpaceDE w:val="0"/>
        <w:autoSpaceDN w:val="0"/>
        <w:spacing w:line="360" w:lineRule="auto"/>
        <w:ind w:left="4365" w:leftChars="1850" w:hanging="480" w:hangingChars="2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120" w:firstLineChars="2550"/>
        <w:rPr>
          <w:rFonts w:hint="eastAsia" w:ascii="仿宋_GB2312" w:hAnsi="仿宋" w:eastAsia="仿宋_GB2312"/>
          <w:kern w:val="0"/>
          <w:sz w:val="24"/>
        </w:rPr>
      </w:pPr>
      <w:r>
        <w:rPr>
          <w:rFonts w:hint="eastAsia" w:ascii="仿宋_GB2312" w:hAnsi="仿宋" w:eastAsia="仿宋_GB2312"/>
          <w:kern w:val="0"/>
          <w:sz w:val="24"/>
        </w:rPr>
        <w:t>日期：  年  月   日</w:t>
      </w:r>
    </w:p>
    <w:p>
      <w:pPr>
        <w:autoSpaceDE w:val="0"/>
        <w:autoSpaceDN w:val="0"/>
        <w:spacing w:line="360" w:lineRule="auto"/>
        <w:ind w:firstLine="6120" w:firstLineChars="2550"/>
        <w:rPr>
          <w:rFonts w:hint="eastAsia" w:ascii="仿宋_GB2312" w:hAnsi="仿宋" w:eastAsia="仿宋_GB2312"/>
          <w:kern w:val="0"/>
          <w:sz w:val="24"/>
        </w:rPr>
      </w:pPr>
      <w:r>
        <w:rPr>
          <w:rFonts w:hint="eastAsia" w:ascii="仿宋_GB2312" w:hAnsi="仿宋" w:eastAsia="仿宋_GB2312"/>
          <w:kern w:val="0"/>
          <w:sz w:val="24"/>
        </w:rPr>
        <w:t xml:space="preserve"> </w:t>
      </w:r>
    </w:p>
    <w:p>
      <w:pPr>
        <w:snapToGrid w:val="0"/>
        <w:spacing w:line="360" w:lineRule="auto"/>
        <w:ind w:firstLine="602" w:firstLineChars="200"/>
        <w:rPr>
          <w:rFonts w:hint="eastAsia" w:ascii="仿宋" w:hAnsi="仿宋" w:eastAsia="仿宋" w:cs="仿宋_GB2312"/>
          <w:b/>
          <w:sz w:val="30"/>
          <w:szCs w:val="30"/>
        </w:rPr>
      </w:pPr>
    </w:p>
    <w:p>
      <w:pPr>
        <w:snapToGrid w:val="0"/>
        <w:spacing w:line="360" w:lineRule="auto"/>
        <w:rPr>
          <w:rFonts w:hint="eastAsia" w:ascii="仿宋" w:hAnsi="仿宋" w:eastAsia="仿宋" w:cs="仿宋_GB2312"/>
          <w:b/>
          <w:sz w:val="30"/>
          <w:szCs w:val="30"/>
        </w:rPr>
      </w:pPr>
      <w:r>
        <w:rPr>
          <w:rFonts w:ascii="仿宋" w:hAnsi="仿宋" w:eastAsia="仿宋" w:cs="仿宋_GB2312"/>
          <w:b/>
          <w:sz w:val="30"/>
          <w:szCs w:val="30"/>
        </w:rPr>
        <w:br w:type="page"/>
      </w:r>
      <w:r>
        <w:rPr>
          <w:rFonts w:ascii="仿宋" w:hAnsi="仿宋" w:eastAsia="仿宋" w:cs="仿宋_GB2312"/>
          <w:b/>
          <w:sz w:val="30"/>
          <w:szCs w:val="30"/>
        </w:rPr>
        <w:t>八、</w:t>
      </w:r>
      <w:r>
        <w:rPr>
          <w:rFonts w:hint="eastAsia" w:ascii="仿宋" w:hAnsi="仿宋" w:eastAsia="仿宋" w:cs="仿宋_GB2312"/>
          <w:b/>
          <w:sz w:val="30"/>
          <w:szCs w:val="30"/>
        </w:rPr>
        <w:t>中小企业声明函(或监狱企业证明文件、残疾人福利企业声明函)</w:t>
      </w:r>
    </w:p>
    <w:p>
      <w:pPr>
        <w:spacing w:line="300" w:lineRule="auto"/>
        <w:ind w:firstLine="2200" w:firstLineChars="500"/>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中小企业声明函（服务）</w:t>
      </w:r>
    </w:p>
    <w:p>
      <w:pPr>
        <w:widowControl/>
        <w:spacing w:line="540" w:lineRule="exact"/>
        <w:ind w:left="-426" w:right="142" w:firstLine="640"/>
        <w:contextualSpacing/>
        <w:rPr>
          <w:rFonts w:hint="eastAsia"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hint="eastAsia" w:ascii="宋体" w:hAnsi="宋体"/>
          <w:sz w:val="24"/>
        </w:rPr>
        <w:t>﹝</w:t>
      </w:r>
      <w:r>
        <w:rPr>
          <w:rFonts w:hint="eastAsia" w:ascii="仿宋_GB2312" w:hAnsi="宋体" w:eastAsia="仿宋_GB2312"/>
          <w:sz w:val="24"/>
        </w:rPr>
        <w:t>2020</w:t>
      </w:r>
      <w:r>
        <w:rPr>
          <w:rFonts w:hint="eastAsia" w:ascii="宋体" w:hAnsi="宋体"/>
          <w:sz w:val="24"/>
        </w:rPr>
        <w:t>﹞</w:t>
      </w:r>
      <w:r>
        <w:rPr>
          <w:rFonts w:hint="eastAsia" w:ascii="仿宋_GB2312" w:hAnsi="宋体" w:eastAsia="仿宋_GB2312"/>
          <w:sz w:val="24"/>
        </w:rPr>
        <w:t>46号）的规定，本公司（联合体）参加</w:t>
      </w:r>
      <w:r>
        <w:rPr>
          <w:rFonts w:hint="eastAsia" w:ascii="仿宋_GB2312" w:hAnsi="宋体" w:eastAsia="仿宋_GB2312"/>
          <w:sz w:val="24"/>
          <w:u w:val="single"/>
        </w:rPr>
        <w:t>广西壮族自治区生态环境厅生态环境保护综合行政执法局</w:t>
      </w:r>
      <w:r>
        <w:rPr>
          <w:rFonts w:hint="eastAsia" w:ascii="仿宋_GB2312" w:hAnsi="宋体" w:eastAsia="仿宋_GB2312"/>
          <w:sz w:val="24"/>
        </w:rPr>
        <w:t>的</w:t>
      </w:r>
      <w:r>
        <w:rPr>
          <w:rFonts w:hint="eastAsia" w:ascii="仿宋_GB2312" w:hAnsi="宋体" w:eastAsia="仿宋_GB2312"/>
          <w:sz w:val="24"/>
          <w:u w:val="single"/>
        </w:rPr>
        <w:t>环境监管执法系统运维服务项目</w:t>
      </w:r>
      <w:r>
        <w:rPr>
          <w:rFonts w:hint="eastAsia" w:ascii="仿宋_GB2312" w:hAnsi="宋体" w:eastAsia="仿宋_GB2312"/>
          <w:sz w:val="24"/>
        </w:rPr>
        <w:t>采购活动，提供的服务全部由符合政策要求的中小企业制造。相关企业（含联合体中的中小企业、签订分包意向协议的中小企业）的具体情况如下：</w:t>
      </w:r>
    </w:p>
    <w:p>
      <w:pPr>
        <w:spacing w:line="540" w:lineRule="exact"/>
        <w:ind w:left="-426" w:right="-58" w:firstLine="655"/>
        <w:contextualSpacing/>
        <w:rPr>
          <w:rFonts w:hint="eastAsia" w:ascii="仿宋_GB2312" w:hAnsi="宋体" w:eastAsia="仿宋_GB2312"/>
          <w:kern w:val="0"/>
          <w:sz w:val="24"/>
        </w:rPr>
      </w:pPr>
      <w:r>
        <w:rPr>
          <w:rFonts w:hint="eastAsia" w:ascii="仿宋_GB2312" w:hAnsi="宋体" w:eastAsia="仿宋_GB2312"/>
          <w:kern w:val="0"/>
          <w:sz w:val="24"/>
        </w:rPr>
        <w:t>1.</w:t>
      </w:r>
      <w:r>
        <w:rPr>
          <w:rFonts w:hint="eastAsia" w:ascii="仿宋_GB2312" w:hAnsi="宋体" w:eastAsia="仿宋_GB2312"/>
          <w:kern w:val="0"/>
          <w:sz w:val="24"/>
          <w:u w:val="single"/>
        </w:rPr>
        <w:t>（标的名称）</w:t>
      </w:r>
      <w:r>
        <w:rPr>
          <w:rFonts w:hint="eastAsia" w:ascii="仿宋_GB2312" w:hAnsi="宋体" w:eastAsia="仿宋_GB2312"/>
          <w:kern w:val="0"/>
          <w:sz w:val="24"/>
        </w:rPr>
        <w:t>，属于</w:t>
      </w:r>
      <w:r>
        <w:rPr>
          <w:rFonts w:hint="eastAsia" w:ascii="仿宋_GB2312" w:hAnsi="宋体" w:eastAsia="仿宋_GB2312"/>
          <w:kern w:val="0"/>
          <w:sz w:val="24"/>
          <w:u w:val="single"/>
        </w:rPr>
        <w:t>（采购文件中明确的所属行业）</w:t>
      </w:r>
      <w:r>
        <w:rPr>
          <w:rFonts w:hint="eastAsia" w:ascii="仿宋_GB2312" w:hAnsi="宋体" w:eastAsia="仿宋_GB2312"/>
          <w:kern w:val="0"/>
          <w:sz w:val="24"/>
        </w:rPr>
        <w:t>行业；制造商为</w:t>
      </w:r>
      <w:r>
        <w:rPr>
          <w:rFonts w:hint="eastAsia" w:ascii="仿宋_GB2312" w:hAnsi="宋体" w:eastAsia="仿宋_GB2312"/>
          <w:kern w:val="0"/>
          <w:sz w:val="24"/>
          <w:u w:val="single"/>
        </w:rPr>
        <w:t>（企业名称）</w:t>
      </w:r>
      <w:r>
        <w:rPr>
          <w:rFonts w:hint="eastAsia" w:ascii="仿宋_GB2312" w:hAnsi="宋体" w:eastAsia="仿宋_GB2312"/>
          <w:kern w:val="0"/>
          <w:sz w:val="24"/>
        </w:rPr>
        <w:t>，从业人员</w:t>
      </w:r>
      <w:r>
        <w:rPr>
          <w:rFonts w:hint="eastAsia" w:ascii="仿宋_GB2312" w:hAnsi="宋体" w:eastAsia="仿宋_GB2312"/>
          <w:kern w:val="0"/>
          <w:sz w:val="24"/>
          <w:u w:val="single"/>
        </w:rPr>
        <w:t xml:space="preserve">      </w:t>
      </w:r>
      <w:r>
        <w:rPr>
          <w:rFonts w:hint="eastAsia" w:ascii="仿宋_GB2312" w:hAnsi="宋体" w:eastAsia="仿宋_GB2312"/>
          <w:kern w:val="0"/>
          <w:sz w:val="24"/>
        </w:rPr>
        <w:t>人，营业收入为</w:t>
      </w:r>
      <w:r>
        <w:rPr>
          <w:rFonts w:hint="eastAsia" w:ascii="仿宋_GB2312" w:hAnsi="宋体" w:eastAsia="仿宋_GB2312"/>
          <w:kern w:val="0"/>
          <w:sz w:val="24"/>
          <w:u w:val="single"/>
        </w:rPr>
        <w:t xml:space="preserve">      </w:t>
      </w:r>
      <w:r>
        <w:rPr>
          <w:rFonts w:hint="eastAsia" w:ascii="仿宋_GB2312" w:hAnsi="宋体" w:eastAsia="仿宋_GB2312"/>
          <w:kern w:val="0"/>
          <w:sz w:val="24"/>
        </w:rPr>
        <w:t>万元，资产总额为</w:t>
      </w:r>
      <w:r>
        <w:rPr>
          <w:rFonts w:hint="eastAsia" w:ascii="仿宋_GB2312" w:hAnsi="宋体" w:eastAsia="仿宋_GB2312"/>
          <w:kern w:val="0"/>
          <w:sz w:val="24"/>
          <w:u w:val="single"/>
        </w:rPr>
        <w:t xml:space="preserve">      </w:t>
      </w:r>
      <w:r>
        <w:rPr>
          <w:rFonts w:hint="eastAsia" w:ascii="仿宋_GB2312" w:hAnsi="宋体" w:eastAsia="仿宋_GB2312"/>
          <w:kern w:val="0"/>
          <w:sz w:val="24"/>
        </w:rPr>
        <w:t>万元，属于</w:t>
      </w:r>
      <w:r>
        <w:rPr>
          <w:rFonts w:hint="eastAsia" w:ascii="仿宋_GB2312" w:hAnsi="宋体" w:eastAsia="仿宋_GB2312"/>
          <w:kern w:val="0"/>
          <w:sz w:val="24"/>
          <w:u w:val="single"/>
        </w:rPr>
        <w:t>（中型企业、小型企业、微型企业）</w:t>
      </w:r>
      <w:r>
        <w:rPr>
          <w:rFonts w:hint="eastAsia" w:ascii="仿宋_GB2312" w:hAnsi="宋体" w:eastAsia="仿宋_GB2312"/>
          <w:kern w:val="0"/>
          <w:sz w:val="24"/>
        </w:rPr>
        <w:t>；</w:t>
      </w:r>
    </w:p>
    <w:p>
      <w:pPr>
        <w:spacing w:line="540" w:lineRule="exact"/>
        <w:ind w:left="-426" w:right="-58" w:firstLine="655"/>
        <w:contextualSpacing/>
        <w:rPr>
          <w:rFonts w:hint="eastAsia" w:ascii="仿宋_GB2312" w:hAnsi="宋体" w:eastAsia="仿宋_GB2312"/>
          <w:kern w:val="0"/>
          <w:sz w:val="24"/>
        </w:rPr>
      </w:pPr>
      <w:r>
        <w:rPr>
          <w:rFonts w:hint="eastAsia" w:ascii="仿宋_GB2312" w:hAnsi="宋体" w:eastAsia="仿宋_GB2312"/>
          <w:kern w:val="0"/>
          <w:sz w:val="24"/>
        </w:rPr>
        <w:t>2.</w:t>
      </w:r>
      <w:r>
        <w:rPr>
          <w:rFonts w:hint="eastAsia" w:ascii="仿宋_GB2312" w:hAnsi="宋体" w:eastAsia="仿宋_GB2312"/>
          <w:kern w:val="0"/>
          <w:sz w:val="24"/>
          <w:u w:val="single"/>
        </w:rPr>
        <w:t>（标的名称）</w:t>
      </w:r>
      <w:r>
        <w:rPr>
          <w:rFonts w:hint="eastAsia" w:ascii="仿宋_GB2312" w:hAnsi="宋体" w:eastAsia="仿宋_GB2312"/>
          <w:kern w:val="0"/>
          <w:sz w:val="24"/>
        </w:rPr>
        <w:t>，属于</w:t>
      </w:r>
      <w:r>
        <w:rPr>
          <w:rFonts w:hint="eastAsia" w:ascii="仿宋_GB2312" w:hAnsi="宋体" w:eastAsia="仿宋_GB2312"/>
          <w:kern w:val="0"/>
          <w:sz w:val="24"/>
          <w:u w:val="single"/>
        </w:rPr>
        <w:t>（采购文件中明确的所属行业）</w:t>
      </w:r>
      <w:r>
        <w:rPr>
          <w:rFonts w:hint="eastAsia" w:ascii="仿宋_GB2312" w:hAnsi="宋体" w:eastAsia="仿宋_GB2312"/>
          <w:kern w:val="0"/>
          <w:sz w:val="24"/>
        </w:rPr>
        <w:t>行业；制造商为</w:t>
      </w:r>
      <w:r>
        <w:rPr>
          <w:rFonts w:hint="eastAsia" w:ascii="仿宋_GB2312" w:hAnsi="宋体" w:eastAsia="仿宋_GB2312"/>
          <w:kern w:val="0"/>
          <w:sz w:val="24"/>
          <w:u w:val="single"/>
        </w:rPr>
        <w:t>（企业名称）</w:t>
      </w:r>
      <w:r>
        <w:rPr>
          <w:rFonts w:hint="eastAsia" w:ascii="仿宋_GB2312" w:hAnsi="宋体" w:eastAsia="仿宋_GB2312"/>
          <w:kern w:val="0"/>
          <w:sz w:val="24"/>
        </w:rPr>
        <w:t>，从业人员</w:t>
      </w:r>
      <w:r>
        <w:rPr>
          <w:rFonts w:hint="eastAsia" w:ascii="仿宋_GB2312" w:hAnsi="宋体" w:eastAsia="仿宋_GB2312"/>
          <w:kern w:val="0"/>
          <w:sz w:val="24"/>
          <w:u w:val="single"/>
        </w:rPr>
        <w:t xml:space="preserve">      </w:t>
      </w:r>
      <w:r>
        <w:rPr>
          <w:rFonts w:hint="eastAsia" w:ascii="仿宋_GB2312" w:hAnsi="宋体" w:eastAsia="仿宋_GB2312"/>
          <w:kern w:val="0"/>
          <w:sz w:val="24"/>
        </w:rPr>
        <w:t>人，营业收入为</w:t>
      </w:r>
      <w:r>
        <w:rPr>
          <w:rFonts w:hint="eastAsia" w:ascii="仿宋_GB2312" w:hAnsi="宋体" w:eastAsia="仿宋_GB2312"/>
          <w:kern w:val="0"/>
          <w:sz w:val="24"/>
          <w:u w:val="single"/>
        </w:rPr>
        <w:t xml:space="preserve">      </w:t>
      </w:r>
      <w:r>
        <w:rPr>
          <w:rFonts w:hint="eastAsia" w:ascii="仿宋_GB2312" w:hAnsi="宋体" w:eastAsia="仿宋_GB2312"/>
          <w:kern w:val="0"/>
          <w:sz w:val="24"/>
        </w:rPr>
        <w:t>万元，资产总额为</w:t>
      </w:r>
      <w:r>
        <w:rPr>
          <w:rFonts w:hint="eastAsia" w:ascii="仿宋_GB2312" w:hAnsi="宋体" w:eastAsia="仿宋_GB2312"/>
          <w:kern w:val="0"/>
          <w:sz w:val="24"/>
          <w:u w:val="single"/>
        </w:rPr>
        <w:t xml:space="preserve">      </w:t>
      </w:r>
      <w:r>
        <w:rPr>
          <w:rFonts w:hint="eastAsia" w:ascii="仿宋_GB2312" w:hAnsi="宋体" w:eastAsia="仿宋_GB2312"/>
          <w:kern w:val="0"/>
          <w:sz w:val="24"/>
        </w:rPr>
        <w:t>万元，属于</w:t>
      </w:r>
      <w:r>
        <w:rPr>
          <w:rFonts w:hint="eastAsia" w:ascii="仿宋_GB2312" w:hAnsi="宋体" w:eastAsia="仿宋_GB2312"/>
          <w:kern w:val="0"/>
          <w:sz w:val="24"/>
          <w:u w:val="single"/>
        </w:rPr>
        <w:t>（中型企业、小型企业、微型企业）</w:t>
      </w:r>
      <w:r>
        <w:rPr>
          <w:rFonts w:hint="eastAsia" w:ascii="仿宋_GB2312" w:hAnsi="宋体" w:eastAsia="仿宋_GB2312"/>
          <w:kern w:val="0"/>
          <w:sz w:val="24"/>
        </w:rPr>
        <w:t>；</w:t>
      </w:r>
    </w:p>
    <w:p>
      <w:pPr>
        <w:spacing w:line="540" w:lineRule="exact"/>
        <w:ind w:left="142" w:right="142"/>
        <w:contextualSpacing/>
        <w:rPr>
          <w:rFonts w:hint="eastAsia" w:ascii="仿宋_GB2312" w:hAnsi="宋体" w:eastAsia="仿宋_GB2312"/>
          <w:kern w:val="0"/>
          <w:sz w:val="24"/>
        </w:rPr>
      </w:pPr>
      <w:r>
        <w:rPr>
          <w:rFonts w:hint="eastAsia" w:ascii="仿宋_GB2312" w:hAnsi="宋体" w:eastAsia="仿宋_GB2312"/>
          <w:kern w:val="0"/>
          <w:sz w:val="24"/>
        </w:rPr>
        <w:t xml:space="preserve">…… </w:t>
      </w:r>
    </w:p>
    <w:p>
      <w:pPr>
        <w:spacing w:line="540" w:lineRule="exact"/>
        <w:ind w:left="-405" w:leftChars="-193" w:right="142" w:firstLine="453" w:firstLineChars="189"/>
        <w:contextualSpacing/>
        <w:rPr>
          <w:rFonts w:hint="eastAsia" w:ascii="仿宋_GB2312" w:hAnsi="宋体" w:eastAsia="仿宋_GB2312"/>
          <w:kern w:val="0"/>
          <w:sz w:val="24"/>
        </w:rPr>
      </w:pPr>
      <w:r>
        <w:rPr>
          <w:rFonts w:hint="eastAsia" w:ascii="仿宋_GB2312" w:hAnsi="宋体" w:eastAsia="仿宋_GB2312"/>
          <w:kern w:val="0"/>
          <w:sz w:val="24"/>
        </w:rPr>
        <w:t>以上企业，不属于大企业的分支机构，不存在控股股东为大企业的情形，也不存在与大企业的负责人为同一人的情形。</w:t>
      </w:r>
    </w:p>
    <w:p>
      <w:pPr>
        <w:spacing w:line="540" w:lineRule="exact"/>
        <w:ind w:left="-426" w:right="142" w:firstLine="567"/>
        <w:contextualSpacing/>
        <w:rPr>
          <w:rFonts w:hint="eastAsia" w:ascii="仿宋_GB2312" w:hAnsi="宋体" w:eastAsia="仿宋_GB2312"/>
          <w:kern w:val="0"/>
          <w:sz w:val="24"/>
        </w:rPr>
      </w:pPr>
      <w:r>
        <w:rPr>
          <w:rFonts w:hint="eastAsia" w:ascii="仿宋_GB2312" w:hAnsi="宋体" w:eastAsia="仿宋_GB2312"/>
          <w:kern w:val="0"/>
          <w:sz w:val="24"/>
        </w:rPr>
        <w:t>本企业对上述声明内容的真实性负责。如有虚假，将依法承担相应责任。</w:t>
      </w:r>
    </w:p>
    <w:p>
      <w:pPr>
        <w:spacing w:line="540" w:lineRule="exact"/>
        <w:ind w:left="3960" w:right="1808"/>
        <w:contextualSpacing/>
        <w:rPr>
          <w:rFonts w:hint="eastAsia" w:ascii="宋体" w:hAnsi="宋体"/>
          <w:kern w:val="0"/>
          <w:sz w:val="24"/>
        </w:rPr>
      </w:pPr>
      <w:r>
        <w:rPr>
          <w:rFonts w:hint="eastAsia" w:ascii="宋体" w:hAnsi="宋体"/>
          <w:kern w:val="0"/>
          <w:sz w:val="24"/>
        </w:rPr>
        <w:t xml:space="preserve"> </w:t>
      </w:r>
    </w:p>
    <w:p>
      <w:pPr>
        <w:autoSpaceDE w:val="0"/>
        <w:autoSpaceDN w:val="0"/>
        <w:spacing w:line="540" w:lineRule="exact"/>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540" w:lineRule="exact"/>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日期：  年  月   日</w:t>
      </w:r>
    </w:p>
    <w:p>
      <w:pPr>
        <w:widowControl/>
        <w:spacing w:line="540" w:lineRule="exact"/>
        <w:ind w:left="3960" w:right="1808"/>
        <w:contextualSpacing/>
        <w:rPr>
          <w:rFonts w:hint="eastAsia"/>
          <w:szCs w:val="21"/>
        </w:rPr>
      </w:pPr>
      <w:r>
        <w:t xml:space="preserve"> </w:t>
      </w:r>
    </w:p>
    <w:p>
      <w:pPr>
        <w:spacing w:line="540" w:lineRule="exact"/>
        <w:jc w:val="left"/>
        <w:rPr>
          <w:rFonts w:ascii="仿宋_GB2312" w:hAnsi="仿宋" w:eastAsia="仿宋_GB2312"/>
          <w:kern w:val="0"/>
          <w:sz w:val="24"/>
        </w:rPr>
      </w:pPr>
      <w:r>
        <w:rPr>
          <w:rFonts w:hint="eastAsia" w:ascii="宋体" w:hAnsi="宋体" w:cs="仿宋_GB2312"/>
          <w:sz w:val="24"/>
        </w:rPr>
        <w:t>注：享受《政府采购促进中小企业发展管理办法》（财库〔2020〕46号）规定的中小企业扶持政策的，采购人、采购代理机构应当随成交结果公开成交供应商的《中小企业声明函》。从业人员、营业收入、资产总额填报上一年度数据，无上一年度数据的新成立企业可不填报。</w:t>
      </w:r>
    </w:p>
    <w:p>
      <w:pPr>
        <w:spacing w:after="120"/>
        <w:rPr>
          <w:rFonts w:hint="eastAsia"/>
        </w:rPr>
      </w:pPr>
    </w:p>
    <w:p>
      <w:pPr>
        <w:spacing w:after="120"/>
        <w:rPr>
          <w:rFonts w:hint="eastAsia"/>
        </w:rPr>
      </w:pPr>
    </w:p>
    <w:p>
      <w:pPr>
        <w:spacing w:line="520" w:lineRule="exact"/>
        <w:jc w:val="center"/>
        <w:rPr>
          <w:rFonts w:hint="eastAsia" w:ascii="仿宋_GB2312" w:hAnsi="Calibri" w:eastAsia="仿宋_GB2312"/>
          <w:sz w:val="32"/>
          <w:szCs w:val="32"/>
        </w:rPr>
      </w:pPr>
      <w:r>
        <w:rPr>
          <w:rFonts w:hint="eastAsia" w:ascii="方正小标宋简体" w:hAnsi="方正小标宋简体" w:eastAsia="方正小标宋简体"/>
          <w:sz w:val="44"/>
          <w:szCs w:val="44"/>
        </w:rPr>
        <w:t>残疾人福利性单位声明函</w:t>
      </w:r>
    </w:p>
    <w:p>
      <w:pPr>
        <w:spacing w:line="520" w:lineRule="exact"/>
        <w:rPr>
          <w:rFonts w:hint="eastAsia" w:ascii="仿宋_GB2312" w:eastAsia="仿宋_GB2312"/>
          <w:sz w:val="32"/>
          <w:szCs w:val="32"/>
        </w:rPr>
      </w:pPr>
      <w:r>
        <w:rPr>
          <w:rFonts w:hint="eastAsia" w:ascii="仿宋_GB2312" w:eastAsia="仿宋_GB2312"/>
          <w:sz w:val="32"/>
          <w:szCs w:val="32"/>
        </w:rPr>
        <w:t xml:space="preserve"> </w:t>
      </w:r>
    </w:p>
    <w:p>
      <w:pPr>
        <w:spacing w:line="360" w:lineRule="auto"/>
        <w:ind w:firstLine="480" w:firstLineChars="200"/>
        <w:rPr>
          <w:rFonts w:hint="eastAsia" w:ascii="仿宋_GB2312" w:hAnsi="宋体" w:eastAsia="仿宋_GB2312"/>
          <w:sz w:val="24"/>
        </w:rPr>
      </w:pPr>
      <w:r>
        <w:rPr>
          <w:rFonts w:hint="eastAsia" w:ascii="仿宋_GB2312" w:hAnsi="宋体" w:eastAsia="仿宋_GB2312"/>
          <w:sz w:val="24"/>
        </w:rPr>
        <w:t>本单位郑重声明，根据《财政部 民政部 中国残疾人联合会关于促进残疾人就业政府采购政策的通知》（财库〔2017〕141号）的规定，本单位为符合条件的残疾人福利性单位，且本单位参加</w:t>
      </w:r>
      <w:r>
        <w:rPr>
          <w:rFonts w:hint="eastAsia" w:ascii="仿宋_GB2312" w:hAnsi="宋体" w:eastAsia="仿宋_GB2312"/>
          <w:sz w:val="24"/>
          <w:u w:val="single"/>
        </w:rPr>
        <w:t>广西壮族自治区生态环境厅生态环境保护综合行政执法局</w:t>
      </w:r>
      <w:r>
        <w:rPr>
          <w:rFonts w:hint="eastAsia" w:ascii="仿宋_GB2312" w:hAnsi="宋体" w:eastAsia="仿宋_GB2312"/>
          <w:sz w:val="24"/>
        </w:rPr>
        <w:t>单位的</w:t>
      </w:r>
      <w:r>
        <w:rPr>
          <w:rFonts w:hint="eastAsia" w:ascii="仿宋_GB2312" w:hAnsi="宋体" w:eastAsia="仿宋_GB2312"/>
          <w:sz w:val="24"/>
          <w:u w:val="single"/>
        </w:rPr>
        <w:t xml:space="preserve"> 环境监管执法系统运维服务项目</w:t>
      </w:r>
      <w:r>
        <w:rPr>
          <w:rFonts w:hint="eastAsia" w:ascii="仿宋_GB2312" w:hAnsi="宋体" w:eastAsia="仿宋_GB2312"/>
          <w:sz w:val="24"/>
        </w:rPr>
        <w:t>项目采购活动由本单位提供服务。</w:t>
      </w:r>
    </w:p>
    <w:p>
      <w:pPr>
        <w:spacing w:line="360" w:lineRule="auto"/>
        <w:ind w:firstLine="480" w:firstLineChars="200"/>
        <w:rPr>
          <w:rFonts w:hint="eastAsia" w:ascii="仿宋_GB2312" w:hAnsi="宋体" w:eastAsia="仿宋_GB2312"/>
          <w:sz w:val="24"/>
        </w:rPr>
      </w:pPr>
      <w:r>
        <w:rPr>
          <w:rFonts w:hint="eastAsia" w:ascii="仿宋_GB2312" w:hAnsi="宋体" w:eastAsia="仿宋_GB2312"/>
          <w:sz w:val="24"/>
        </w:rPr>
        <w:t>本单位对上述声明的真实性负责。如有虚假，将依法承担相应责任。</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ind w:firstLine="3480" w:firstLineChars="1450"/>
        <w:rPr>
          <w:rFonts w:hint="eastAsia" w:ascii="仿宋_GB2312" w:hAnsi="仿宋" w:eastAsia="仿宋_GB2312"/>
          <w:kern w:val="0"/>
          <w:sz w:val="24"/>
        </w:rPr>
      </w:pPr>
      <w:r>
        <w:rPr>
          <w:rFonts w:hint="eastAsia" w:ascii="仿宋_GB2312" w:hAnsi="仿宋" w:eastAsia="仿宋_GB2312"/>
          <w:kern w:val="0"/>
          <w:sz w:val="24"/>
        </w:rPr>
        <w:t>供应商名称（电子签章）：</w:t>
      </w:r>
    </w:p>
    <w:p>
      <w:pPr>
        <w:spacing w:line="360" w:lineRule="auto"/>
        <w:ind w:firstLine="3480" w:firstLineChars="1450"/>
        <w:rPr>
          <w:rFonts w:hint="eastAsia" w:ascii="仿宋_GB2312" w:hAnsi="仿宋" w:eastAsia="仿宋_GB2312"/>
          <w:kern w:val="0"/>
          <w:sz w:val="24"/>
        </w:rPr>
      </w:pPr>
      <w:r>
        <w:rPr>
          <w:rFonts w:hint="eastAsia" w:ascii="仿宋_GB2312" w:hAnsi="仿宋" w:eastAsia="仿宋_GB2312"/>
          <w:kern w:val="0"/>
          <w:sz w:val="24"/>
        </w:rPr>
        <w:t>日  期：     年   月   日</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注：请根据自己的真实情况出具《残疾人福利性单位声明函》。依法享受中小企业优惠政策的，采购人或者采购代理机构在公告中标结果时，同时公告其《残疾人福利性单位声明函》，接受社会监督；根据《关于政府采购支持监狱企业发展有关问题的通知》（财库[2014]68号）的规定，供应商提供由省级以上监狱管理局、戒毒管理局（含新疆生产建设兵团）出具的属于监狱企业证明文件的，视同为小型和微型企业。</w:t>
      </w:r>
    </w:p>
    <w:p>
      <w:pPr>
        <w:snapToGrid w:val="0"/>
        <w:spacing w:line="360" w:lineRule="auto"/>
        <w:rPr>
          <w:rFonts w:hint="eastAsia" w:ascii="仿宋_GB2312" w:hAnsi="仿宋" w:eastAsia="仿宋_GB2312"/>
          <w:kern w:val="0"/>
          <w:sz w:val="24"/>
        </w:rPr>
      </w:pPr>
    </w:p>
    <w:p>
      <w:pPr>
        <w:snapToGrid w:val="0"/>
        <w:spacing w:line="360" w:lineRule="auto"/>
        <w:ind w:firstLine="602" w:firstLineChars="200"/>
        <w:rPr>
          <w:rFonts w:hint="eastAsia" w:ascii="仿宋" w:hAnsi="仿宋" w:eastAsia="仿宋" w:cs="仿宋_GB2312"/>
          <w:b/>
          <w:sz w:val="30"/>
          <w:szCs w:val="30"/>
        </w:rPr>
      </w:pPr>
      <w:r>
        <w:rPr>
          <w:rFonts w:ascii="仿宋" w:hAnsi="仿宋" w:eastAsia="仿宋" w:cs="仿宋_GB2312"/>
          <w:b/>
          <w:sz w:val="30"/>
          <w:szCs w:val="30"/>
        </w:rPr>
        <w:br w:type="page"/>
      </w:r>
      <w:r>
        <w:rPr>
          <w:rFonts w:hint="eastAsia" w:ascii="仿宋" w:hAnsi="仿宋" w:eastAsia="仿宋" w:cs="仿宋_GB2312"/>
          <w:b/>
          <w:sz w:val="30"/>
          <w:szCs w:val="30"/>
        </w:rPr>
        <w:t>九、除磋商文件规定必须提供以外，供应商认为需要提供的其他证明材料</w:t>
      </w:r>
    </w:p>
    <w:p>
      <w:pPr>
        <w:snapToGrid w:val="0"/>
        <w:spacing w:line="360" w:lineRule="auto"/>
        <w:ind w:firstLine="602" w:firstLineChars="200"/>
        <w:rPr>
          <w:rFonts w:hint="eastAsia" w:ascii="仿宋" w:hAnsi="仿宋" w:eastAsia="仿宋" w:cs="仿宋_GB2312"/>
          <w:b/>
          <w:sz w:val="30"/>
          <w:szCs w:val="30"/>
        </w:rPr>
      </w:pPr>
      <w:r>
        <w:rPr>
          <w:rFonts w:hint="eastAsia" w:ascii="仿宋" w:hAnsi="仿宋" w:eastAsia="仿宋" w:cs="仿宋_GB2312"/>
          <w:b/>
          <w:sz w:val="30"/>
          <w:szCs w:val="30"/>
        </w:rPr>
        <w:t xml:space="preserve"> </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480" w:firstLineChars="2700"/>
        <w:rPr>
          <w:rFonts w:hint="eastAsia" w:ascii="仿宋_GB2312" w:hAnsi="仿宋" w:eastAsia="仿宋_GB2312"/>
          <w:kern w:val="0"/>
          <w:sz w:val="24"/>
        </w:rPr>
      </w:pPr>
      <w:r>
        <w:rPr>
          <w:rFonts w:hint="eastAsia" w:ascii="仿宋_GB2312" w:hAnsi="仿宋" w:eastAsia="仿宋_GB2312"/>
          <w:kern w:val="0"/>
          <w:sz w:val="24"/>
        </w:rPr>
        <w:t>日期：  年  月   日</w:t>
      </w:r>
    </w:p>
    <w:p>
      <w:pPr>
        <w:autoSpaceDE w:val="0"/>
        <w:autoSpaceDN w:val="0"/>
        <w:spacing w:line="360" w:lineRule="auto"/>
        <w:ind w:firstLine="6480" w:firstLineChars="2700"/>
        <w:rPr>
          <w:rFonts w:hint="eastAsia" w:ascii="仿宋_GB2312" w:hAnsi="仿宋" w:eastAsia="仿宋_GB2312"/>
          <w:kern w:val="0"/>
          <w:sz w:val="24"/>
        </w:rPr>
      </w:pPr>
    </w:p>
    <w:p>
      <w:pPr>
        <w:autoSpaceDE w:val="0"/>
        <w:autoSpaceDN w:val="0"/>
        <w:spacing w:line="360" w:lineRule="auto"/>
        <w:jc w:val="left"/>
        <w:rPr>
          <w:rFonts w:hint="eastAsia" w:ascii="仿宋_GB2312" w:hAnsi="仿宋" w:eastAsia="仿宋_GB2312"/>
          <w:kern w:val="0"/>
          <w:sz w:val="24"/>
        </w:rPr>
      </w:pPr>
    </w:p>
    <w:p>
      <w:pPr>
        <w:pStyle w:val="3"/>
        <w:keepLines w:val="0"/>
        <w:widowControl/>
        <w:jc w:val="center"/>
        <w:rPr>
          <w:rFonts w:hint="eastAsia" w:ascii="宋体" w:hAnsi="宋体"/>
          <w:kern w:val="0"/>
          <w:sz w:val="30"/>
          <w:szCs w:val="30"/>
        </w:rPr>
      </w:pPr>
      <w:bookmarkStart w:id="166" w:name="_Toc80886944"/>
      <w:bookmarkEnd w:id="166"/>
      <w:bookmarkStart w:id="167" w:name="_Toc80205940"/>
      <w:r>
        <w:rPr>
          <w:rFonts w:ascii="宋体" w:hAnsi="宋体"/>
          <w:bCs w:val="0"/>
        </w:rPr>
        <w:br w:type="page"/>
      </w:r>
      <w:r>
        <w:rPr>
          <w:rFonts w:hint="eastAsia" w:ascii="宋体" w:hAnsi="宋体"/>
          <w:bCs w:val="0"/>
        </w:rPr>
        <w:t xml:space="preserve">第三节 </w:t>
      </w:r>
      <w:bookmarkEnd w:id="167"/>
      <w:r>
        <w:rPr>
          <w:rFonts w:hint="eastAsia" w:ascii="宋体" w:hAnsi="宋体"/>
          <w:bCs w:val="0"/>
        </w:rPr>
        <w:t>商务技术文件格式</w:t>
      </w:r>
    </w:p>
    <w:p>
      <w:pPr>
        <w:snapToGrid w:val="0"/>
        <w:spacing w:before="156" w:beforeLines="50" w:after="50"/>
        <w:rPr>
          <w:rFonts w:hint="eastAsia" w:ascii="宋体" w:hAnsi="宋体"/>
          <w:bCs/>
          <w:sz w:val="32"/>
          <w:szCs w:val="32"/>
        </w:rPr>
      </w:pPr>
      <w:r>
        <w:rPr>
          <w:rFonts w:hint="eastAsia" w:ascii="宋体" w:hAnsi="宋体"/>
          <w:sz w:val="24"/>
        </w:rPr>
        <w:t xml:space="preserve">                                                    </w:t>
      </w:r>
      <w:r>
        <w:rPr>
          <w:rFonts w:hint="eastAsia" w:ascii="宋体" w:hAnsi="宋体"/>
          <w:bCs/>
        </w:rPr>
        <w:t>全流程电子文件</w:t>
      </w:r>
    </w:p>
    <w:p>
      <w:pPr>
        <w:snapToGrid w:val="0"/>
        <w:spacing w:before="156" w:beforeLines="50" w:after="50"/>
        <w:rPr>
          <w:rFonts w:hint="eastAsia" w:ascii="宋体" w:hAnsi="宋体"/>
          <w:sz w:val="24"/>
        </w:rPr>
      </w:pPr>
      <w:r>
        <w:rPr>
          <w:rFonts w:hint="eastAsia" w:ascii="宋体" w:hAnsi="宋体"/>
          <w:sz w:val="24"/>
        </w:rPr>
        <w:t xml:space="preserve"> </w:t>
      </w:r>
    </w:p>
    <w:p>
      <w:pPr>
        <w:snapToGrid w:val="0"/>
        <w:spacing w:before="156" w:beforeLines="50" w:after="50"/>
        <w:rPr>
          <w:rFonts w:hint="eastAsia" w:ascii="宋体" w:hAnsi="宋体"/>
          <w:sz w:val="24"/>
        </w:rPr>
      </w:pPr>
      <w:r>
        <w:rPr>
          <w:rFonts w:hint="eastAsia" w:ascii="宋体" w:hAnsi="宋体"/>
          <w:sz w:val="24"/>
        </w:rPr>
        <w:t xml:space="preserve"> </w:t>
      </w:r>
    </w:p>
    <w:p>
      <w:pPr>
        <w:snapToGrid w:val="0"/>
        <w:spacing w:before="156" w:beforeLines="50" w:after="50"/>
        <w:rPr>
          <w:rFonts w:hint="eastAsia" w:ascii="宋体" w:hAnsi="宋体"/>
          <w:sz w:val="24"/>
        </w:rPr>
      </w:pPr>
      <w:r>
        <w:rPr>
          <w:rFonts w:hint="eastAsia" w:ascii="宋体" w:hAnsi="宋体"/>
          <w:sz w:val="24"/>
        </w:rPr>
        <w:t xml:space="preserve"> </w:t>
      </w:r>
    </w:p>
    <w:p>
      <w:pPr>
        <w:snapToGrid w:val="0"/>
        <w:spacing w:before="156" w:beforeLines="50" w:after="50"/>
        <w:jc w:val="center"/>
        <w:rPr>
          <w:rFonts w:hint="eastAsia" w:ascii="方正小标宋简体" w:hAnsi="方正小标宋简体" w:eastAsia="方正小标宋简体"/>
          <w:bCs/>
          <w:sz w:val="44"/>
          <w:szCs w:val="44"/>
        </w:rPr>
      </w:pPr>
      <w:r>
        <w:rPr>
          <w:rFonts w:hint="eastAsia" w:ascii="方正小标宋简体" w:hAnsi="方正小标宋简体" w:eastAsia="方正小标宋简体"/>
          <w:bCs/>
          <w:sz w:val="44"/>
          <w:szCs w:val="44"/>
        </w:rPr>
        <w:t>商  务  技  术  文  件（封面）</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ind w:firstLine="640" w:firstLineChars="200"/>
        <w:rPr>
          <w:rFonts w:hint="eastAsia" w:ascii="宋体" w:hAnsi="宋体" w:cs="仿宋_GB2312"/>
          <w:bCs/>
          <w:sz w:val="32"/>
          <w:szCs w:val="32"/>
        </w:rPr>
      </w:pPr>
      <w:r>
        <w:rPr>
          <w:rFonts w:hint="eastAsia" w:ascii="宋体" w:hAnsi="宋体" w:cs="仿宋_GB2312"/>
          <w:bCs/>
          <w:sz w:val="32"/>
          <w:szCs w:val="32"/>
        </w:rPr>
        <w:t>项目名称：环境监管执法系统运维服务项目</w:t>
      </w:r>
    </w:p>
    <w:p>
      <w:pPr>
        <w:snapToGrid w:val="0"/>
        <w:spacing w:before="156" w:beforeLines="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ind w:firstLine="640" w:firstLineChars="200"/>
        <w:rPr>
          <w:rFonts w:hint="eastAsia" w:ascii="宋体" w:hAnsi="宋体" w:cs="仿宋_GB2312"/>
          <w:bCs/>
          <w:sz w:val="32"/>
          <w:szCs w:val="32"/>
        </w:rPr>
      </w:pPr>
      <w:r>
        <w:rPr>
          <w:rFonts w:hint="eastAsia" w:ascii="宋体" w:hAnsi="宋体" w:cs="仿宋_GB2312"/>
          <w:bCs/>
          <w:sz w:val="32"/>
          <w:szCs w:val="32"/>
        </w:rPr>
        <w:t>项目编号：</w:t>
      </w:r>
    </w:p>
    <w:p>
      <w:pPr>
        <w:snapToGrid w:val="0"/>
        <w:spacing w:before="156" w:beforeLines="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ind w:firstLine="640" w:firstLineChars="200"/>
        <w:rPr>
          <w:rFonts w:hint="eastAsia" w:ascii="宋体" w:hAnsi="宋体" w:cs="仿宋_GB2312"/>
          <w:bCs/>
          <w:sz w:val="32"/>
          <w:szCs w:val="32"/>
        </w:rPr>
      </w:pPr>
      <w:r>
        <w:rPr>
          <w:rFonts w:hint="eastAsia" w:ascii="宋体" w:hAnsi="宋体" w:cs="仿宋_GB2312"/>
          <w:bCs/>
          <w:sz w:val="32"/>
          <w:szCs w:val="32"/>
        </w:rPr>
        <w:t>所竞分标（如有则填写，无分标时填写“无”或者留空）：</w:t>
      </w:r>
    </w:p>
    <w:p>
      <w:pPr>
        <w:snapToGrid w:val="0"/>
        <w:spacing w:before="156" w:beforeLines="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pStyle w:val="7"/>
        <w:widowControl/>
        <w:snapToGrid w:val="0"/>
        <w:spacing w:before="50" w:after="50"/>
        <w:ind w:firstLine="640" w:firstLineChars="200"/>
        <w:rPr>
          <w:rFonts w:hint="eastAsia" w:ascii="宋体" w:hAnsi="宋体" w:cs="仿宋_GB2312"/>
          <w:bCs/>
          <w:sz w:val="32"/>
          <w:szCs w:val="32"/>
        </w:rPr>
      </w:pPr>
      <w:r>
        <w:rPr>
          <w:rFonts w:hint="eastAsia" w:ascii="宋体" w:hAnsi="宋体" w:cs="仿宋_GB2312"/>
          <w:bCs/>
          <w:sz w:val="32"/>
          <w:szCs w:val="32"/>
        </w:rPr>
        <w:t>供应商名称：</w:t>
      </w:r>
    </w:p>
    <w:p>
      <w:pPr>
        <w:pStyle w:val="7"/>
        <w:widowControl/>
        <w:snapToGrid w:val="0"/>
        <w:spacing w:before="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pStyle w:val="7"/>
        <w:widowControl/>
        <w:snapToGrid w:val="0"/>
        <w:spacing w:before="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pStyle w:val="7"/>
        <w:widowControl/>
        <w:snapToGrid w:val="0"/>
        <w:spacing w:before="50" w:after="50"/>
        <w:ind w:firstLine="1280" w:firstLineChars="400"/>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jc w:val="center"/>
        <w:rPr>
          <w:rFonts w:hint="eastAsia" w:ascii="宋体" w:hAnsi="宋体" w:cs="仿宋_GB2312"/>
          <w:sz w:val="32"/>
          <w:szCs w:val="32"/>
        </w:rPr>
      </w:pPr>
      <w:r>
        <w:rPr>
          <w:rFonts w:hint="eastAsia" w:ascii="宋体" w:hAnsi="宋体" w:cs="仿宋_GB2312"/>
          <w:sz w:val="32"/>
          <w:szCs w:val="32"/>
        </w:rPr>
        <w:t>年    月    日</w:t>
      </w:r>
    </w:p>
    <w:p>
      <w:pPr>
        <w:widowControl/>
        <w:jc w:val="left"/>
        <w:rPr>
          <w:rFonts w:ascii="宋体" w:hAnsi="宋体"/>
          <w:b/>
          <w:bCs/>
          <w:sz w:val="32"/>
          <w:szCs w:val="32"/>
        </w:rPr>
        <w:sectPr>
          <w:pgSz w:w="11910" w:h="16840"/>
          <w:pgMar w:top="1340" w:right="1500" w:bottom="280" w:left="1680" w:header="720" w:footer="720" w:gutter="0"/>
          <w:cols w:space="720" w:num="1"/>
          <w:docGrid w:type="lines" w:linePitch="312" w:charSpace="0"/>
        </w:sectPr>
      </w:pPr>
    </w:p>
    <w:p>
      <w:pPr>
        <w:jc w:val="center"/>
        <w:rPr>
          <w:rFonts w:hint="eastAsia" w:ascii="仿宋_GB2312" w:hAnsi="仿宋" w:eastAsia="仿宋_GB2312"/>
          <w:b/>
          <w:kern w:val="0"/>
          <w:sz w:val="28"/>
          <w:szCs w:val="28"/>
        </w:rPr>
      </w:pPr>
      <w:r>
        <w:rPr>
          <w:rFonts w:hint="eastAsia" w:ascii="仿宋_GB2312" w:hAnsi="仿宋" w:eastAsia="仿宋_GB2312"/>
          <w:b/>
          <w:kern w:val="0"/>
          <w:sz w:val="28"/>
          <w:szCs w:val="28"/>
        </w:rPr>
        <w:t>商务技术文件目录</w:t>
      </w:r>
    </w:p>
    <w:p>
      <w:pPr>
        <w:jc w:val="center"/>
        <w:rPr>
          <w:rFonts w:hint="eastAsia" w:ascii="仿宋_GB2312" w:hAnsi="仿宋" w:eastAsia="仿宋_GB2312"/>
          <w:b/>
          <w:kern w:val="0"/>
          <w:sz w:val="28"/>
          <w:szCs w:val="28"/>
        </w:rPr>
      </w:pPr>
      <w:r>
        <w:rPr>
          <w:rFonts w:hint="eastAsia" w:ascii="仿宋_GB2312" w:hAnsi="仿宋" w:eastAsia="仿宋_GB2312"/>
          <w:b/>
          <w:kern w:val="0"/>
          <w:sz w:val="28"/>
          <w:szCs w:val="28"/>
        </w:rPr>
        <w:t xml:space="preserve"> </w:t>
      </w:r>
    </w:p>
    <w:p>
      <w:pPr>
        <w:pStyle w:val="79"/>
        <w:widowControl/>
        <w:spacing w:line="360" w:lineRule="auto"/>
        <w:rPr>
          <w:rFonts w:hint="eastAsia"/>
        </w:rPr>
      </w:pPr>
      <w:r>
        <w:rPr>
          <w:rFonts w:hint="eastAsia"/>
        </w:rPr>
        <w:t>一、无串标行为承诺函………………………………………………………（页码）</w:t>
      </w:r>
    </w:p>
    <w:p>
      <w:pPr>
        <w:pStyle w:val="79"/>
        <w:widowControl/>
        <w:spacing w:line="360" w:lineRule="auto"/>
        <w:rPr>
          <w:rFonts w:hint="eastAsia"/>
        </w:rPr>
      </w:pPr>
      <w:r>
        <w:rPr>
          <w:rFonts w:hint="eastAsia"/>
        </w:rPr>
        <w:t>二、法定代表人身份证明及法定代表人有效身份证正反面复印件………（页码）</w:t>
      </w:r>
    </w:p>
    <w:p>
      <w:pPr>
        <w:pStyle w:val="79"/>
        <w:widowControl/>
        <w:spacing w:line="360" w:lineRule="auto"/>
        <w:rPr>
          <w:rFonts w:hint="eastAsia"/>
        </w:rPr>
      </w:pPr>
      <w:r>
        <w:rPr>
          <w:rFonts w:hint="eastAsia"/>
        </w:rPr>
        <w:t>三、法定代表人授权委托书（如有委托时）………………………………（页码）</w:t>
      </w:r>
    </w:p>
    <w:p>
      <w:pPr>
        <w:pStyle w:val="79"/>
        <w:widowControl/>
        <w:spacing w:line="360" w:lineRule="auto"/>
        <w:rPr>
          <w:rFonts w:hint="eastAsia"/>
        </w:rPr>
      </w:pPr>
      <w:r>
        <w:rPr>
          <w:rFonts w:hint="eastAsia"/>
        </w:rPr>
        <w:t>四、商务条款偏离表…………………………………………………………（页码）</w:t>
      </w:r>
    </w:p>
    <w:p>
      <w:pPr>
        <w:pStyle w:val="79"/>
        <w:widowControl/>
        <w:spacing w:line="360" w:lineRule="auto"/>
        <w:rPr>
          <w:rFonts w:hint="eastAsia"/>
        </w:rPr>
      </w:pPr>
      <w:bookmarkStart w:id="168" w:name="OLE_LINK6"/>
      <w:bookmarkEnd w:id="168"/>
      <w:bookmarkStart w:id="169" w:name="OLE_LINK7"/>
      <w:bookmarkEnd w:id="169"/>
      <w:bookmarkStart w:id="170" w:name="OLE_LINK5"/>
      <w:r>
        <w:rPr>
          <w:rFonts w:hint="eastAsia"/>
        </w:rPr>
        <w:t>五、磋商保证金的相关证明复印件…………………………………………（页码）</w:t>
      </w:r>
    </w:p>
    <w:bookmarkEnd w:id="170"/>
    <w:p>
      <w:pPr>
        <w:pStyle w:val="79"/>
        <w:widowControl/>
        <w:spacing w:line="360" w:lineRule="auto"/>
        <w:rPr>
          <w:rFonts w:hint="eastAsia"/>
        </w:rPr>
      </w:pPr>
      <w:r>
        <w:rPr>
          <w:rFonts w:hint="eastAsia"/>
        </w:rPr>
        <w:t>六、竞标人情况介绍…………………………………………………………（页码）</w:t>
      </w:r>
    </w:p>
    <w:p>
      <w:pPr>
        <w:pStyle w:val="79"/>
        <w:widowControl/>
        <w:spacing w:line="360" w:lineRule="auto"/>
        <w:rPr>
          <w:rFonts w:hint="eastAsia"/>
        </w:rPr>
      </w:pPr>
      <w:r>
        <w:rPr>
          <w:rFonts w:hint="eastAsia"/>
        </w:rPr>
        <w:t>七、供应商类似业绩的证明文件（如有要求）……………………………（页码）</w:t>
      </w:r>
    </w:p>
    <w:p>
      <w:pPr>
        <w:pStyle w:val="79"/>
        <w:widowControl/>
        <w:spacing w:line="360" w:lineRule="auto"/>
        <w:rPr>
          <w:rFonts w:hint="eastAsia"/>
        </w:rPr>
      </w:pPr>
      <w:r>
        <w:rPr>
          <w:rFonts w:hint="eastAsia"/>
        </w:rPr>
        <w:t>八、服务需求偏离表…………………………………………………………（页码）</w:t>
      </w:r>
    </w:p>
    <w:p>
      <w:pPr>
        <w:pStyle w:val="79"/>
        <w:widowControl/>
        <w:spacing w:line="360" w:lineRule="auto"/>
        <w:rPr>
          <w:rFonts w:hint="eastAsia"/>
        </w:rPr>
      </w:pPr>
      <w:r>
        <w:rPr>
          <w:rFonts w:hint="eastAsia"/>
        </w:rPr>
        <w:t>九、技术服务方案……………………………………………………………（页码）</w:t>
      </w:r>
    </w:p>
    <w:p>
      <w:pPr>
        <w:pStyle w:val="79"/>
        <w:widowControl/>
        <w:spacing w:line="360" w:lineRule="auto"/>
        <w:rPr>
          <w:rFonts w:hint="eastAsia"/>
        </w:rPr>
      </w:pPr>
      <w:r>
        <w:rPr>
          <w:rFonts w:hint="eastAsia"/>
        </w:rPr>
        <w:t>十、项目实施人员一览表…………………………………………………（页码）</w:t>
      </w:r>
    </w:p>
    <w:p>
      <w:pPr>
        <w:pStyle w:val="79"/>
        <w:widowControl/>
        <w:spacing w:line="360" w:lineRule="auto"/>
        <w:rPr>
          <w:rFonts w:hint="eastAsia"/>
        </w:rPr>
      </w:pPr>
      <w:r>
        <w:rPr>
          <w:rFonts w:hint="eastAsia"/>
        </w:rPr>
        <w:t>十一、服务需求、商务条款要求提供的其他材料…………………………（页码）</w:t>
      </w:r>
    </w:p>
    <w:p>
      <w:pPr>
        <w:spacing w:line="360" w:lineRule="auto"/>
        <w:rPr>
          <w:rFonts w:hint="eastAsia" w:ascii="仿宋_GB2312" w:hAnsi="仿宋" w:eastAsia="仿宋_GB2312"/>
          <w:b/>
          <w:bCs/>
          <w:sz w:val="24"/>
        </w:rPr>
      </w:pPr>
      <w:r>
        <w:rPr>
          <w:rFonts w:hint="eastAsia" w:ascii="仿宋_GB2312" w:hAnsi="仿宋" w:eastAsia="仿宋_GB2312"/>
          <w:b/>
          <w:bCs/>
          <w:sz w:val="24"/>
        </w:rPr>
        <w:t>注：以上目录是基本格式要求，各供应商可根据自身情况进一步向下增加内容或细化。</w:t>
      </w:r>
    </w:p>
    <w:p>
      <w:pPr>
        <w:spacing w:line="400" w:lineRule="exact"/>
        <w:rPr>
          <w:rFonts w:hint="eastAsia" w:ascii="仿宋_GB2312" w:hAnsi="Calibri" w:eastAsia="仿宋_GB2312"/>
          <w:sz w:val="32"/>
          <w:szCs w:val="32"/>
        </w:rPr>
      </w:pPr>
      <w:r>
        <w:rPr>
          <w:rFonts w:hint="eastAsia" w:ascii="仿宋_GB2312" w:eastAsia="仿宋_GB2312"/>
          <w:sz w:val="32"/>
          <w:szCs w:val="32"/>
        </w:rPr>
        <w:t xml:space="preserve"> </w:t>
      </w:r>
    </w:p>
    <w:p>
      <w:pPr>
        <w:spacing w:line="520" w:lineRule="exact"/>
        <w:ind w:firstLine="880" w:firstLineChars="200"/>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br w:type="page"/>
      </w:r>
      <w:r>
        <w:rPr>
          <w:rFonts w:hint="eastAsia" w:ascii="仿宋" w:hAnsi="仿宋" w:eastAsia="仿宋" w:cs="仿宋_GB2312"/>
          <w:b/>
          <w:sz w:val="30"/>
          <w:szCs w:val="30"/>
        </w:rPr>
        <w:t>一、无串标行为承诺函</w:t>
      </w:r>
    </w:p>
    <w:p>
      <w:pPr>
        <w:spacing w:line="52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 xml:space="preserve"> </w:t>
      </w:r>
    </w:p>
    <w:p>
      <w:pPr>
        <w:spacing w:line="520" w:lineRule="exact"/>
        <w:jc w:val="center"/>
        <w:rPr>
          <w:rFonts w:hint="eastAsia" w:ascii="仿宋_GB2312" w:hAnsi="Calibri" w:eastAsia="仿宋_GB2312"/>
          <w:sz w:val="32"/>
          <w:szCs w:val="32"/>
        </w:rPr>
      </w:pPr>
      <w:r>
        <w:rPr>
          <w:rFonts w:hint="eastAsia" w:ascii="方正小标宋简体" w:hAnsi="方正小标宋简体" w:eastAsia="方正小标宋简体"/>
          <w:sz w:val="44"/>
          <w:szCs w:val="44"/>
        </w:rPr>
        <w:t>无串通竞标行为的承诺函</w:t>
      </w:r>
    </w:p>
    <w:p>
      <w:pPr>
        <w:spacing w:line="520" w:lineRule="exact"/>
        <w:ind w:firstLine="640" w:firstLineChars="200"/>
        <w:rPr>
          <w:rFonts w:hint="eastAsia" w:ascii="仿宋_GB2312" w:eastAsia="仿宋_GB2312"/>
          <w:sz w:val="32"/>
          <w:szCs w:val="32"/>
        </w:rPr>
      </w:pPr>
      <w:r>
        <w:rPr>
          <w:rFonts w:hint="eastAsia" w:ascii="仿宋_GB2312" w:eastAsia="仿宋_GB2312"/>
          <w:sz w:val="32"/>
          <w:szCs w:val="32"/>
        </w:rPr>
        <w:t xml:space="preserve"> </w:t>
      </w:r>
    </w:p>
    <w:p>
      <w:pPr>
        <w:spacing w:line="360" w:lineRule="auto"/>
        <w:ind w:firstLine="482" w:firstLineChars="200"/>
        <w:rPr>
          <w:rFonts w:hint="eastAsia" w:ascii="宋体" w:hAnsi="宋体" w:cs="仿宋_GB2312"/>
          <w:b/>
          <w:bCs/>
          <w:sz w:val="24"/>
        </w:rPr>
      </w:pPr>
      <w:r>
        <w:rPr>
          <w:rFonts w:hint="eastAsia" w:ascii="宋体" w:hAnsi="宋体" w:cs="仿宋_GB2312"/>
          <w:b/>
          <w:bCs/>
          <w:sz w:val="24"/>
        </w:rPr>
        <w:t>一、我方承诺无下列相互串通竞标的情形：</w:t>
      </w:r>
    </w:p>
    <w:p>
      <w:pPr>
        <w:spacing w:line="360" w:lineRule="auto"/>
        <w:ind w:firstLine="480" w:firstLineChars="200"/>
        <w:rPr>
          <w:rFonts w:hint="eastAsia" w:ascii="宋体" w:hAnsi="宋体" w:cs="仿宋_GB2312"/>
          <w:sz w:val="24"/>
        </w:rPr>
      </w:pPr>
      <w:r>
        <w:rPr>
          <w:rFonts w:hint="eastAsia" w:ascii="宋体" w:hAnsi="宋体" w:cs="仿宋_GB2312"/>
          <w:sz w:val="24"/>
        </w:rPr>
        <w:t>1.不同供应商的响应文件由同一单位或者个人编制；</w:t>
      </w:r>
      <w:r>
        <w:rPr>
          <w:rFonts w:hint="eastAsia" w:ascii="宋体" w:hAnsi="宋体"/>
          <w:sz w:val="24"/>
        </w:rPr>
        <w:t>或者不同供应商报名的IP地址一致的；或者编制响应文件硬件设备CPU编号、硬盘编号、网卡地址一致的情况。</w:t>
      </w:r>
      <w:r>
        <w:rPr>
          <w:rFonts w:hint="eastAsia" w:ascii="宋体" w:hAnsi="宋体" w:cs="仿宋_GB2312"/>
          <w:sz w:val="24"/>
        </w:rPr>
        <w:t xml:space="preserve">  </w:t>
      </w:r>
    </w:p>
    <w:p>
      <w:pPr>
        <w:spacing w:line="360" w:lineRule="auto"/>
        <w:ind w:firstLine="480" w:firstLineChars="200"/>
        <w:rPr>
          <w:rFonts w:hint="eastAsia" w:ascii="宋体" w:hAnsi="宋体" w:cs="仿宋_GB2312"/>
          <w:sz w:val="24"/>
        </w:rPr>
      </w:pPr>
      <w:r>
        <w:rPr>
          <w:rFonts w:hint="eastAsia" w:ascii="宋体" w:hAnsi="宋体" w:cs="仿宋_GB2312"/>
          <w:sz w:val="24"/>
        </w:rPr>
        <w:t>2.不同供应商委托同一单位或者个人办理竞标事宜；</w:t>
      </w:r>
    </w:p>
    <w:p>
      <w:pPr>
        <w:spacing w:line="360" w:lineRule="auto"/>
        <w:ind w:firstLine="480" w:firstLineChars="200"/>
        <w:rPr>
          <w:rFonts w:hint="eastAsia" w:ascii="宋体" w:hAnsi="宋体" w:cs="仿宋_GB2312"/>
          <w:sz w:val="24"/>
        </w:rPr>
      </w:pPr>
      <w:r>
        <w:rPr>
          <w:rFonts w:hint="eastAsia" w:ascii="宋体" w:hAnsi="宋体" w:cs="仿宋_GB2312"/>
          <w:sz w:val="24"/>
        </w:rPr>
        <w:t>3.不同供应商的响应文件载明的项目管理员为同一个人；</w:t>
      </w:r>
    </w:p>
    <w:p>
      <w:pPr>
        <w:spacing w:line="360" w:lineRule="auto"/>
        <w:ind w:firstLine="480" w:firstLineChars="200"/>
        <w:rPr>
          <w:rFonts w:hint="eastAsia" w:ascii="宋体" w:hAnsi="宋体" w:cs="仿宋_GB2312"/>
          <w:sz w:val="24"/>
        </w:rPr>
      </w:pPr>
      <w:r>
        <w:rPr>
          <w:rFonts w:hint="eastAsia" w:ascii="宋体" w:hAnsi="宋体" w:cs="仿宋_GB2312"/>
          <w:sz w:val="24"/>
        </w:rPr>
        <w:t>4.不</w:t>
      </w:r>
      <w:r>
        <w:rPr>
          <w:rFonts w:hint="eastAsia" w:ascii="宋体" w:hAnsi="宋体" w:cs="仿宋_GB2312"/>
          <w:spacing w:val="-6"/>
          <w:sz w:val="24"/>
        </w:rPr>
        <w:t>同供应商的响应文件异常一致或者响应报价呈规律性差异；</w:t>
      </w:r>
    </w:p>
    <w:p>
      <w:pPr>
        <w:spacing w:line="360" w:lineRule="auto"/>
        <w:ind w:firstLine="480" w:firstLineChars="200"/>
        <w:rPr>
          <w:rFonts w:hint="eastAsia" w:ascii="宋体" w:hAnsi="宋体" w:cs="仿宋_GB2312"/>
          <w:sz w:val="24"/>
        </w:rPr>
      </w:pPr>
      <w:r>
        <w:rPr>
          <w:rFonts w:hint="eastAsia" w:ascii="宋体" w:hAnsi="宋体" w:cs="仿宋_GB2312"/>
          <w:sz w:val="24"/>
        </w:rPr>
        <w:t>5.不同供应商的响应文件相互混装；</w:t>
      </w:r>
    </w:p>
    <w:p>
      <w:pPr>
        <w:spacing w:line="360" w:lineRule="auto"/>
        <w:ind w:firstLine="480" w:firstLineChars="200"/>
        <w:rPr>
          <w:rFonts w:hint="eastAsia" w:ascii="宋体" w:hAnsi="宋体" w:cs="仿宋_GB2312"/>
          <w:sz w:val="24"/>
        </w:rPr>
      </w:pPr>
      <w:r>
        <w:rPr>
          <w:rFonts w:hint="eastAsia" w:ascii="宋体" w:hAnsi="宋体" w:cs="仿宋_GB2312"/>
          <w:sz w:val="24"/>
        </w:rPr>
        <w:t>6.不同供应商的磋商保证金从同一单位或者个人账户转出。</w:t>
      </w:r>
    </w:p>
    <w:p>
      <w:pPr>
        <w:spacing w:line="360" w:lineRule="auto"/>
        <w:ind w:firstLine="482" w:firstLineChars="200"/>
        <w:rPr>
          <w:rFonts w:hint="eastAsia" w:ascii="宋体" w:hAnsi="宋体" w:cs="仿宋_GB2312"/>
          <w:b/>
          <w:bCs/>
          <w:sz w:val="24"/>
        </w:rPr>
      </w:pPr>
      <w:r>
        <w:rPr>
          <w:rFonts w:hint="eastAsia" w:ascii="宋体" w:hAnsi="宋体" w:cs="仿宋_GB2312"/>
          <w:b/>
          <w:bCs/>
          <w:sz w:val="24"/>
        </w:rPr>
        <w:t>二、我方承诺无下列恶意串通的情形：</w:t>
      </w:r>
    </w:p>
    <w:p>
      <w:pPr>
        <w:spacing w:line="360" w:lineRule="auto"/>
        <w:ind w:firstLine="480" w:firstLineChars="200"/>
        <w:rPr>
          <w:rFonts w:hint="eastAsia" w:ascii="宋体" w:hAnsi="宋体" w:cs="仿宋_GB2312"/>
          <w:sz w:val="24"/>
        </w:rPr>
      </w:pPr>
      <w:r>
        <w:rPr>
          <w:rFonts w:hint="eastAsia" w:ascii="宋体" w:hAnsi="宋体" w:cs="仿宋_GB2312"/>
          <w:sz w:val="24"/>
        </w:rPr>
        <w:t>1.供应商直接或者间接从采购人或者采购代理机构处获得其他供应商的相关信息并修改其响应文件；</w:t>
      </w:r>
    </w:p>
    <w:p>
      <w:pPr>
        <w:spacing w:line="360" w:lineRule="auto"/>
        <w:ind w:firstLine="480" w:firstLineChars="200"/>
        <w:rPr>
          <w:rFonts w:hint="eastAsia" w:ascii="宋体" w:hAnsi="宋体" w:cs="仿宋_GB2312"/>
          <w:sz w:val="24"/>
        </w:rPr>
      </w:pPr>
      <w:r>
        <w:rPr>
          <w:rFonts w:hint="eastAsia" w:ascii="宋体" w:hAnsi="宋体" w:cs="仿宋_GB2312"/>
          <w:sz w:val="24"/>
        </w:rPr>
        <w:t>2.供应商按照采购人或者采购代理机构的授意撤换、修改响应文件；</w:t>
      </w:r>
    </w:p>
    <w:p>
      <w:pPr>
        <w:spacing w:line="360" w:lineRule="auto"/>
        <w:ind w:firstLine="480" w:firstLineChars="200"/>
        <w:rPr>
          <w:rFonts w:hint="eastAsia" w:ascii="宋体" w:hAnsi="宋体" w:cs="仿宋_GB2312"/>
          <w:sz w:val="24"/>
        </w:rPr>
      </w:pPr>
      <w:r>
        <w:rPr>
          <w:rFonts w:hint="eastAsia" w:ascii="宋体" w:hAnsi="宋体" w:cs="仿宋_GB2312"/>
          <w:sz w:val="24"/>
        </w:rPr>
        <w:t>3.供</w:t>
      </w:r>
      <w:r>
        <w:rPr>
          <w:rFonts w:hint="eastAsia" w:ascii="宋体" w:hAnsi="宋体" w:cs="仿宋_GB2312"/>
          <w:spacing w:val="-6"/>
          <w:sz w:val="24"/>
        </w:rPr>
        <w:t>应商之间协商报价、技术方案等响应文件的实质性内容；</w:t>
      </w:r>
    </w:p>
    <w:p>
      <w:pPr>
        <w:spacing w:line="360" w:lineRule="auto"/>
        <w:ind w:firstLine="480" w:firstLineChars="200"/>
        <w:rPr>
          <w:rFonts w:hint="eastAsia" w:ascii="宋体" w:hAnsi="宋体" w:cs="仿宋_GB2312"/>
          <w:sz w:val="24"/>
        </w:rPr>
      </w:pPr>
      <w:r>
        <w:rPr>
          <w:rFonts w:hint="eastAsia" w:ascii="宋体" w:hAnsi="宋体" w:cs="仿宋_GB2312"/>
          <w:sz w:val="24"/>
        </w:rPr>
        <w:t>4.属于同一集团、协会、商会等组织成员的供应商按照该组织要求协同参加政府采购活动；</w:t>
      </w:r>
    </w:p>
    <w:p>
      <w:pPr>
        <w:spacing w:line="360" w:lineRule="auto"/>
        <w:ind w:firstLine="480" w:firstLineChars="200"/>
        <w:rPr>
          <w:rFonts w:hint="eastAsia" w:ascii="宋体" w:hAnsi="宋体" w:cs="仿宋_GB2312"/>
          <w:sz w:val="24"/>
        </w:rPr>
      </w:pPr>
      <w:r>
        <w:rPr>
          <w:rFonts w:hint="eastAsia" w:ascii="宋体" w:hAnsi="宋体" w:cs="仿宋_GB2312"/>
          <w:sz w:val="24"/>
        </w:rPr>
        <w:t>5.供应商之间事先约定一致抬高或者压低响应报价，或者在竞争性磋商项目中事先约定轮流以高价位或者低价位成交，或者事先约定由某一特定供应商成交，然后再参加竞标；</w:t>
      </w:r>
    </w:p>
    <w:p>
      <w:pPr>
        <w:spacing w:line="360" w:lineRule="auto"/>
        <w:ind w:firstLine="480" w:firstLineChars="200"/>
        <w:rPr>
          <w:rFonts w:hint="eastAsia" w:ascii="宋体" w:hAnsi="宋体" w:cs="仿宋_GB2312"/>
          <w:sz w:val="24"/>
        </w:rPr>
      </w:pPr>
      <w:r>
        <w:rPr>
          <w:rFonts w:hint="eastAsia" w:ascii="宋体" w:hAnsi="宋体" w:cs="仿宋_GB2312"/>
          <w:sz w:val="24"/>
        </w:rPr>
        <w:t>6.供应商之间商定部分供应商放弃参加政府采购活动或者放弃成交；</w:t>
      </w:r>
    </w:p>
    <w:p>
      <w:pPr>
        <w:spacing w:line="360" w:lineRule="auto"/>
        <w:ind w:firstLine="480" w:firstLineChars="200"/>
        <w:rPr>
          <w:rFonts w:hint="eastAsia" w:ascii="宋体" w:hAnsi="宋体" w:cs="仿宋_GB2312"/>
          <w:sz w:val="24"/>
        </w:rPr>
      </w:pPr>
      <w:r>
        <w:rPr>
          <w:rFonts w:hint="eastAsia" w:ascii="宋体" w:hAnsi="宋体" w:cs="仿宋_GB2312"/>
          <w:sz w:val="24"/>
        </w:rPr>
        <w:t>7.供应商与采购人或者采购代理机构之间、供应商相互之间，为</w:t>
      </w:r>
      <w:r>
        <w:rPr>
          <w:rFonts w:hint="eastAsia" w:ascii="宋体" w:hAnsi="宋体" w:cs="仿宋_GB2312"/>
          <w:spacing w:val="-6"/>
          <w:sz w:val="24"/>
        </w:rPr>
        <w:t>谋求特定供应商成交或者排斥其他供应商的其他串通行为。</w:t>
      </w:r>
    </w:p>
    <w:p>
      <w:pPr>
        <w:spacing w:line="360" w:lineRule="auto"/>
        <w:ind w:firstLine="482" w:firstLineChars="200"/>
        <w:rPr>
          <w:rFonts w:hint="eastAsia" w:ascii="宋体" w:hAnsi="宋体" w:cs="仿宋_GB2312"/>
          <w:b/>
          <w:bCs/>
          <w:sz w:val="24"/>
        </w:rPr>
      </w:pPr>
      <w:r>
        <w:rPr>
          <w:rFonts w:hint="eastAsia" w:ascii="宋体" w:hAnsi="宋体" w:cs="仿宋_GB2312"/>
          <w:b/>
          <w:bCs/>
          <w:sz w:val="24"/>
        </w:rPr>
        <w:t>以上情形一经核查属实，接受政府采购监管部门对我方认定存在围标串标行为，我方愿意承担一切后果，并不再寻求任何旨在减轻或者免除法律责任的辩解。</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spacing w:line="520" w:lineRule="exact"/>
        <w:ind w:left="237" w:leftChars="113" w:firstLine="6120" w:firstLineChars="2550"/>
        <w:jc w:val="left"/>
        <w:rPr>
          <w:rFonts w:hint="eastAsia" w:ascii="方正小标宋简体" w:hAnsi="方正小标宋简体" w:eastAsia="方正小标宋简体"/>
          <w:bCs/>
          <w:sz w:val="44"/>
          <w:szCs w:val="44"/>
        </w:rPr>
      </w:pPr>
      <w:r>
        <w:rPr>
          <w:rFonts w:hint="eastAsia" w:ascii="仿宋_GB2312" w:hAnsi="仿宋" w:eastAsia="仿宋_GB2312"/>
          <w:kern w:val="0"/>
          <w:sz w:val="24"/>
        </w:rPr>
        <w:t xml:space="preserve">日期：  年  月   日   </w:t>
      </w:r>
      <w:r>
        <w:rPr>
          <w:rFonts w:hint="eastAsia" w:ascii="宋体" w:hAnsi="宋体"/>
          <w:b/>
          <w:bCs/>
          <w:sz w:val="32"/>
          <w:szCs w:val="32"/>
        </w:rPr>
        <w:br w:type="page"/>
      </w:r>
      <w:r>
        <w:rPr>
          <w:rFonts w:hint="eastAsia" w:ascii="仿宋" w:hAnsi="仿宋" w:eastAsia="仿宋" w:cs="仿宋_GB2312"/>
          <w:b/>
          <w:sz w:val="30"/>
          <w:szCs w:val="30"/>
        </w:rPr>
        <w:t>二、法定代表人身份证明及法定代表人有效身份证正反面复印件</w:t>
      </w:r>
    </w:p>
    <w:p>
      <w:pPr>
        <w:spacing w:line="520" w:lineRule="exact"/>
        <w:jc w:val="center"/>
        <w:rPr>
          <w:rFonts w:hint="eastAsia" w:ascii="仿宋_GB2312" w:hAnsi="Calibri" w:eastAsia="仿宋_GB2312"/>
          <w:sz w:val="32"/>
          <w:szCs w:val="32"/>
        </w:rPr>
      </w:pPr>
      <w:r>
        <w:rPr>
          <w:rFonts w:hint="eastAsia" w:ascii="方正小标宋简体" w:hAnsi="方正小标宋简体" w:eastAsia="方正小标宋简体"/>
          <w:bCs/>
          <w:sz w:val="44"/>
          <w:szCs w:val="44"/>
        </w:rPr>
        <w:t>法定代表人证明书</w:t>
      </w:r>
    </w:p>
    <w:p>
      <w:pPr>
        <w:pStyle w:val="27"/>
        <w:spacing w:line="360" w:lineRule="auto"/>
        <w:ind w:left="540"/>
        <w:contextualSpacing/>
        <w:rPr>
          <w:rFonts w:hint="eastAsia" w:ascii="仿宋_GB2312" w:eastAsia="仿宋_GB2312"/>
          <w:sz w:val="32"/>
          <w:szCs w:val="32"/>
        </w:rPr>
      </w:pPr>
      <w:r>
        <w:rPr>
          <w:rFonts w:hint="eastAsia" w:ascii="仿宋_GB2312" w:eastAsia="仿宋_GB2312"/>
          <w:sz w:val="32"/>
          <w:szCs w:val="32"/>
        </w:rPr>
        <w:t xml:space="preserve"> </w:t>
      </w:r>
    </w:p>
    <w:p>
      <w:pPr>
        <w:pStyle w:val="27"/>
        <w:spacing w:line="360" w:lineRule="auto"/>
        <w:ind w:left="540"/>
        <w:contextualSpacing/>
        <w:rPr>
          <w:rFonts w:hint="eastAsia" w:ascii="宋体" w:hAnsi="宋体" w:cs="仿宋_GB2312"/>
        </w:rPr>
      </w:pPr>
      <w:r>
        <w:rPr>
          <w:rFonts w:hint="eastAsia" w:ascii="宋体" w:hAnsi="宋体" w:cs="仿宋_GB2312"/>
        </w:rPr>
        <w:t>供应商名称：</w:t>
      </w:r>
      <w:r>
        <w:rPr>
          <w:rFonts w:hint="eastAsia" w:ascii="宋体" w:hAnsi="宋体" w:cs="仿宋_GB2312"/>
          <w:u w:val="single"/>
        </w:rPr>
        <w:t xml:space="preserve">                                                        </w:t>
      </w:r>
    </w:p>
    <w:p>
      <w:pPr>
        <w:pStyle w:val="27"/>
        <w:spacing w:line="360" w:lineRule="auto"/>
        <w:ind w:left="540"/>
        <w:contextualSpacing/>
        <w:rPr>
          <w:rFonts w:hint="eastAsia" w:ascii="宋体" w:hAnsi="宋体" w:cs="仿宋_GB2312"/>
        </w:rPr>
      </w:pPr>
      <w:r>
        <w:rPr>
          <w:rFonts w:hint="eastAsia" w:ascii="宋体" w:hAnsi="宋体" w:cs="仿宋_GB2312"/>
        </w:rPr>
        <w:t>地    址：</w:t>
      </w:r>
      <w:r>
        <w:rPr>
          <w:rFonts w:hint="eastAsia" w:ascii="宋体" w:hAnsi="宋体" w:cs="仿宋_GB2312"/>
          <w:u w:val="single"/>
        </w:rPr>
        <w:t xml:space="preserve">                                                        </w:t>
      </w:r>
    </w:p>
    <w:p>
      <w:pPr>
        <w:pStyle w:val="27"/>
        <w:spacing w:line="360" w:lineRule="auto"/>
        <w:ind w:left="540"/>
        <w:contextualSpacing/>
        <w:rPr>
          <w:rFonts w:hint="eastAsia" w:ascii="宋体" w:hAnsi="宋体" w:cs="仿宋_GB2312"/>
        </w:rPr>
      </w:pPr>
      <w:r>
        <w:rPr>
          <w:rFonts w:hint="eastAsia" w:ascii="宋体" w:hAnsi="宋体" w:cs="仿宋_GB2312"/>
        </w:rPr>
        <w:t>姓    名：</w:t>
      </w:r>
      <w:r>
        <w:rPr>
          <w:rFonts w:hint="eastAsia" w:ascii="宋体" w:hAnsi="宋体" w:cs="仿宋_GB2312"/>
          <w:u w:val="single"/>
        </w:rPr>
        <w:t xml:space="preserve">                </w:t>
      </w:r>
      <w:r>
        <w:rPr>
          <w:rFonts w:hint="eastAsia" w:ascii="宋体" w:hAnsi="宋体" w:cs="仿宋_GB2312"/>
        </w:rPr>
        <w:t>性     别：</w:t>
      </w:r>
      <w:r>
        <w:rPr>
          <w:rFonts w:hint="eastAsia" w:ascii="宋体" w:hAnsi="宋体" w:cs="仿宋_GB2312"/>
          <w:u w:val="single"/>
        </w:rPr>
        <w:t xml:space="preserve">                </w:t>
      </w:r>
    </w:p>
    <w:p>
      <w:pPr>
        <w:pStyle w:val="27"/>
        <w:spacing w:line="360" w:lineRule="auto"/>
        <w:ind w:left="540"/>
        <w:contextualSpacing/>
        <w:rPr>
          <w:rFonts w:hint="eastAsia" w:ascii="宋体" w:hAnsi="宋体" w:cs="仿宋_GB2312"/>
          <w:u w:val="single"/>
        </w:rPr>
      </w:pPr>
      <w:r>
        <w:rPr>
          <w:rFonts w:hint="eastAsia" w:ascii="宋体" w:hAnsi="宋体" w:cs="仿宋_GB2312"/>
        </w:rPr>
        <w:t>年    龄：</w:t>
      </w:r>
      <w:r>
        <w:rPr>
          <w:rFonts w:hint="eastAsia" w:ascii="宋体" w:hAnsi="宋体" w:cs="仿宋_GB2312"/>
          <w:u w:val="single"/>
        </w:rPr>
        <w:t xml:space="preserve">                </w:t>
      </w:r>
      <w:r>
        <w:rPr>
          <w:rFonts w:hint="eastAsia" w:ascii="宋体" w:hAnsi="宋体" w:cs="仿宋_GB2312"/>
        </w:rPr>
        <w:t>职     务：</w:t>
      </w:r>
      <w:r>
        <w:rPr>
          <w:rFonts w:hint="eastAsia" w:ascii="宋体" w:hAnsi="宋体" w:cs="仿宋_GB2312"/>
          <w:u w:val="single"/>
        </w:rPr>
        <w:t xml:space="preserve">                </w:t>
      </w:r>
    </w:p>
    <w:p>
      <w:pPr>
        <w:pStyle w:val="27"/>
        <w:spacing w:line="360" w:lineRule="auto"/>
        <w:ind w:left="540"/>
        <w:contextualSpacing/>
        <w:rPr>
          <w:rFonts w:hint="eastAsia" w:ascii="宋体" w:hAnsi="宋体" w:cs="仿宋_GB2312"/>
        </w:rPr>
      </w:pPr>
      <w:r>
        <w:rPr>
          <w:rFonts w:hint="eastAsia" w:ascii="宋体" w:hAnsi="宋体" w:cs="仿宋_GB2312"/>
        </w:rPr>
        <w:t>身份证号码：</w:t>
      </w:r>
      <w:r>
        <w:rPr>
          <w:rFonts w:hint="eastAsia" w:ascii="宋体" w:hAnsi="宋体" w:cs="仿宋_GB2312"/>
          <w:u w:val="single"/>
        </w:rPr>
        <w:t xml:space="preserve">                                        </w:t>
      </w:r>
    </w:p>
    <w:p>
      <w:pPr>
        <w:spacing w:line="360" w:lineRule="auto"/>
        <w:ind w:firstLine="480" w:firstLineChars="200"/>
        <w:rPr>
          <w:rFonts w:hint="eastAsia" w:ascii="宋体" w:hAnsi="宋体" w:cs="仿宋_GB2312"/>
          <w:sz w:val="24"/>
        </w:rPr>
      </w:pPr>
      <w:r>
        <w:rPr>
          <w:rFonts w:hint="eastAsia" w:ascii="宋体" w:hAnsi="宋体" w:cs="仿宋_GB2312"/>
          <w:sz w:val="24"/>
        </w:rPr>
        <w:t>系</w:t>
      </w:r>
      <w:r>
        <w:rPr>
          <w:rFonts w:hint="eastAsia" w:ascii="宋体" w:hAnsi="宋体" w:cs="仿宋_GB2312"/>
          <w:sz w:val="24"/>
          <w:u w:val="single"/>
        </w:rPr>
        <w:t>（供应商名称）</w:t>
      </w:r>
      <w:r>
        <w:rPr>
          <w:rFonts w:hint="eastAsia" w:ascii="宋体" w:hAnsi="宋体" w:cs="仿宋_GB2312"/>
          <w:sz w:val="24"/>
        </w:rPr>
        <w:t>的法定代表人。</w:t>
      </w:r>
    </w:p>
    <w:p>
      <w:pPr>
        <w:pStyle w:val="27"/>
        <w:spacing w:line="360" w:lineRule="auto"/>
        <w:ind w:left="540"/>
        <w:contextualSpacing/>
        <w:rPr>
          <w:rFonts w:hint="eastAsia" w:ascii="宋体" w:hAnsi="宋体" w:cs="仿宋_GB2312"/>
        </w:rPr>
      </w:pPr>
      <w:r>
        <w:rPr>
          <w:rFonts w:hint="eastAsia" w:ascii="宋体" w:hAnsi="宋体" w:cs="仿宋_GB2312"/>
        </w:rPr>
        <w:t>特此证明。</w:t>
      </w:r>
    </w:p>
    <w:p>
      <w:pPr>
        <w:pStyle w:val="27"/>
        <w:spacing w:line="360" w:lineRule="auto"/>
        <w:ind w:left="540"/>
        <w:contextualSpacing/>
        <w:rPr>
          <w:rFonts w:hint="eastAsia" w:ascii="宋体" w:hAnsi="宋体" w:cs="仿宋_GB2312"/>
        </w:rPr>
      </w:pPr>
      <w:r>
        <w:rPr>
          <w:rFonts w:hint="eastAsia" w:ascii="宋体" w:hAnsi="宋体" w:cs="仿宋_GB2312"/>
        </w:rPr>
        <w:t xml:space="preserve"> </w:t>
      </w:r>
    </w:p>
    <w:p>
      <w:pPr>
        <w:pStyle w:val="27"/>
        <w:spacing w:line="360" w:lineRule="auto"/>
        <w:ind w:left="540"/>
        <w:contextualSpacing/>
        <w:rPr>
          <w:rFonts w:hint="eastAsia" w:ascii="宋体" w:hAnsi="宋体" w:cs="仿宋_GB2312"/>
        </w:rPr>
      </w:pPr>
      <w:r>
        <w:rPr>
          <w:rFonts w:hint="eastAsia" w:ascii="宋体" w:hAnsi="宋体" w:cs="仿宋_GB2312"/>
        </w:rPr>
        <w:t xml:space="preserve"> </w:t>
      </w:r>
    </w:p>
    <w:p>
      <w:pPr>
        <w:pStyle w:val="27"/>
        <w:spacing w:line="360" w:lineRule="auto"/>
        <w:ind w:left="540"/>
        <w:contextualSpacing/>
        <w:rPr>
          <w:rFonts w:hint="eastAsia" w:ascii="宋体" w:hAnsi="宋体" w:cs="仿宋_GB2312"/>
        </w:rPr>
      </w:pPr>
      <w:r>
        <w:rPr>
          <w:rFonts w:hint="eastAsia" w:ascii="宋体" w:hAnsi="宋体" w:cs="仿宋_GB2312"/>
        </w:rPr>
        <w:t xml:space="preserve"> </w:t>
      </w:r>
    </w:p>
    <w:p>
      <w:pPr>
        <w:pStyle w:val="27"/>
        <w:spacing w:line="360" w:lineRule="auto"/>
        <w:ind w:left="540"/>
        <w:contextualSpacing/>
        <w:rPr>
          <w:rFonts w:hint="eastAsia" w:ascii="宋体" w:hAnsi="宋体" w:cs="仿宋_GB2312"/>
        </w:rPr>
      </w:pPr>
      <w:r>
        <w:rPr>
          <w:rFonts w:hint="eastAsia" w:ascii="宋体" w:hAnsi="宋体" w:cs="仿宋_GB2312"/>
        </w:rPr>
        <w:t>附件：法定代表人有效身份证正反面复印件</w:t>
      </w:r>
    </w:p>
    <w:p>
      <w:pPr>
        <w:pStyle w:val="27"/>
        <w:spacing w:line="360" w:lineRule="auto"/>
        <w:ind w:left="540"/>
        <w:contextualSpacing/>
        <w:rPr>
          <w:rFonts w:hint="eastAsia" w:ascii="宋体" w:hAnsi="宋体" w:cs="仿宋_GB2312"/>
        </w:rPr>
      </w:pPr>
      <w:r>
        <w:rPr>
          <w:rFonts w:hint="eastAsia" w:ascii="宋体" w:hAnsi="宋体" w:cs="仿宋_GB2312"/>
        </w:rPr>
        <w:t xml:space="preserve"> </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spacing w:line="360" w:lineRule="auto"/>
        <w:jc w:val="center"/>
        <w:rPr>
          <w:rFonts w:hint="eastAsia" w:ascii="宋体" w:hAnsi="宋体" w:cs="仿宋_GB2312"/>
          <w:b/>
          <w:sz w:val="24"/>
        </w:rPr>
      </w:pPr>
      <w:r>
        <w:rPr>
          <w:rFonts w:hint="eastAsia" w:ascii="仿宋_GB2312" w:hAnsi="仿宋" w:eastAsia="仿宋_GB2312"/>
          <w:kern w:val="0"/>
          <w:sz w:val="24"/>
        </w:rPr>
        <w:t xml:space="preserve">                                                   日期：  年  月   日</w:t>
      </w:r>
    </w:p>
    <w:p>
      <w:pPr>
        <w:spacing w:line="360" w:lineRule="auto"/>
        <w:jc w:val="left"/>
        <w:rPr>
          <w:rFonts w:hint="eastAsia" w:ascii="宋体" w:hAnsi="宋体" w:cs="仿宋_GB2312"/>
          <w:sz w:val="24"/>
        </w:rPr>
      </w:pPr>
      <w:r>
        <w:rPr>
          <w:rFonts w:hint="eastAsia" w:ascii="宋体" w:hAnsi="宋体" w:cs="仿宋_GB2312"/>
          <w:sz w:val="24"/>
        </w:rPr>
        <w:t xml:space="preserve"> </w:t>
      </w:r>
    </w:p>
    <w:p>
      <w:pPr>
        <w:spacing w:line="360" w:lineRule="auto"/>
        <w:jc w:val="left"/>
        <w:rPr>
          <w:rFonts w:hint="eastAsia" w:ascii="宋体" w:hAnsi="宋体" w:cs="仿宋_GB2312"/>
          <w:sz w:val="24"/>
        </w:rPr>
      </w:pPr>
      <w:r>
        <w:rPr>
          <w:rFonts w:hint="eastAsia" w:ascii="宋体" w:hAnsi="宋体" w:cs="仿宋_GB2312"/>
          <w:sz w:val="24"/>
        </w:rPr>
        <w:t>注：1.自然人竞标的无需提供，联合体竞标的只需牵头人出具。</w:t>
      </w:r>
    </w:p>
    <w:p>
      <w:pPr>
        <w:spacing w:line="360" w:lineRule="auto"/>
        <w:ind w:firstLine="480" w:firstLineChars="200"/>
        <w:jc w:val="left"/>
        <w:rPr>
          <w:rFonts w:hint="eastAsia" w:ascii="宋体" w:hAnsi="宋体" w:cs="仿宋_GB2312"/>
          <w:sz w:val="24"/>
        </w:rPr>
      </w:pPr>
      <w:r>
        <w:rPr>
          <w:rFonts w:hint="eastAsia" w:ascii="宋体" w:hAnsi="宋体" w:cs="仿宋_GB2312"/>
          <w:sz w:val="24"/>
        </w:rPr>
        <w:t>2.供应商为其他组织或者自然人时，本磋商文件规定的法定代表人指负责人或者自然人。本磋商文件所称负责人是指参加竞标的其他组织营业执照上的负责人，本磋商文件所称自然人指参与竞标的自然人本人。</w:t>
      </w:r>
    </w:p>
    <w:p>
      <w:pPr>
        <w:widowControl/>
        <w:spacing w:line="360" w:lineRule="auto"/>
        <w:jc w:val="left"/>
        <w:rPr>
          <w:rFonts w:ascii="宋体" w:hAnsi="宋体" w:cs="仿宋_GB2312"/>
          <w:sz w:val="24"/>
        </w:rPr>
        <w:sectPr>
          <w:pgSz w:w="11910" w:h="16840"/>
          <w:pgMar w:top="1340" w:right="1500" w:bottom="280" w:left="1680" w:header="720" w:footer="720" w:gutter="0"/>
          <w:cols w:space="720" w:num="1"/>
          <w:docGrid w:type="lines" w:linePitch="312" w:charSpace="0"/>
        </w:sectPr>
      </w:pPr>
    </w:p>
    <w:p>
      <w:pPr>
        <w:spacing w:line="360" w:lineRule="auto"/>
        <w:ind w:firstLine="482" w:firstLineChars="200"/>
        <w:jc w:val="left"/>
        <w:rPr>
          <w:rFonts w:ascii="宋体" w:hAnsi="宋体" w:cs="宋体"/>
          <w:b/>
          <w:szCs w:val="21"/>
        </w:rPr>
      </w:pPr>
      <w:r>
        <w:rPr>
          <w:rFonts w:hint="eastAsia" w:hAnsi="宋体" w:cs="宋体"/>
          <w:b/>
          <w:sz w:val="24"/>
        </w:rPr>
        <w:t>附件：</w:t>
      </w:r>
    </w:p>
    <w:tbl>
      <w:tblPr>
        <w:tblStyle w:val="31"/>
        <w:tblpPr w:leftFromText="180" w:rightFromText="180" w:vertAnchor="text" w:horzAnchor="margin" w:tblpXSpec="center" w:tblpY="223"/>
        <w:tblW w:w="84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trHeight w:val="8705" w:hRule="atLeast"/>
        </w:trPr>
        <w:tc>
          <w:tcPr>
            <w:tcW w:w="846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cs="宋体"/>
                <w:b/>
                <w:sz w:val="24"/>
              </w:rPr>
            </w:pPr>
          </w:p>
          <w:p>
            <w:pPr>
              <w:spacing w:line="360" w:lineRule="auto"/>
              <w:rPr>
                <w:rFonts w:ascii="宋体" w:cs="宋体"/>
                <w:b/>
                <w:sz w:val="24"/>
              </w:rPr>
            </w:pPr>
            <w:r>
              <w:rPr>
                <w:rFonts w:hint="eastAsia" w:ascii="宋体" w:cs="宋体"/>
                <w:b/>
                <w:sz w:val="24"/>
              </w:rPr>
              <w:t>法定代表身份证复印件粘帖处（正、反面）</w:t>
            </w:r>
          </w:p>
        </w:tc>
      </w:tr>
    </w:tbl>
    <w:p>
      <w:pPr>
        <w:spacing w:line="520" w:lineRule="exact"/>
        <w:ind w:firstLine="880"/>
        <w:jc w:val="left"/>
        <w:rPr>
          <w:rFonts w:hint="eastAsia" w:ascii="方正小标宋简体" w:hAnsi="方正小标宋简体" w:eastAsia="方正小标宋简体"/>
          <w:bCs/>
          <w:sz w:val="44"/>
          <w:szCs w:val="44"/>
        </w:rPr>
      </w:pPr>
      <w:r>
        <w:rPr>
          <w:rFonts w:hint="eastAsia" w:ascii="方正小标宋简体" w:hAnsi="方正小标宋简体" w:eastAsia="方正小标宋简体"/>
          <w:sz w:val="44"/>
          <w:szCs w:val="44"/>
        </w:rPr>
        <w:br w:type="page"/>
      </w:r>
      <w:r>
        <w:rPr>
          <w:rFonts w:hint="eastAsia" w:ascii="仿宋" w:hAnsi="仿宋" w:eastAsia="仿宋" w:cs="仿宋_GB2312"/>
          <w:b/>
          <w:sz w:val="30"/>
          <w:szCs w:val="30"/>
        </w:rPr>
        <w:t>三、法定代表人授权委托书</w:t>
      </w:r>
    </w:p>
    <w:p>
      <w:pPr>
        <w:spacing w:line="50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 xml:space="preserve"> </w:t>
      </w:r>
    </w:p>
    <w:p>
      <w:pPr>
        <w:spacing w:line="52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授权委托书（非联合体竞标格式）</w:t>
      </w:r>
    </w:p>
    <w:p>
      <w:pPr>
        <w:spacing w:line="52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（如有委托时）</w:t>
      </w:r>
    </w:p>
    <w:p>
      <w:pPr>
        <w:spacing w:line="520" w:lineRule="exact"/>
        <w:rPr>
          <w:rFonts w:hint="eastAsia" w:ascii="仿宋_GB2312" w:hAnsi="Calibri" w:eastAsia="仿宋_GB2312"/>
          <w:sz w:val="32"/>
          <w:szCs w:val="32"/>
        </w:rPr>
      </w:pPr>
      <w:r>
        <w:rPr>
          <w:rFonts w:hint="eastAsia" w:ascii="仿宋_GB2312" w:eastAsia="仿宋_GB2312"/>
          <w:sz w:val="32"/>
          <w:szCs w:val="32"/>
        </w:rPr>
        <w:t xml:space="preserve"> </w:t>
      </w:r>
    </w:p>
    <w:p>
      <w:pPr>
        <w:spacing w:line="360" w:lineRule="auto"/>
        <w:rPr>
          <w:rFonts w:hint="eastAsia" w:ascii="宋体" w:hAnsi="宋体" w:cs="仿宋_GB2312"/>
          <w:sz w:val="24"/>
        </w:rPr>
      </w:pPr>
      <w:r>
        <w:rPr>
          <w:rFonts w:hint="eastAsia" w:ascii="宋体" w:hAnsi="宋体" w:cs="仿宋_GB2312"/>
          <w:sz w:val="24"/>
        </w:rPr>
        <w:t>致：</w:t>
      </w:r>
      <w:bookmarkStart w:id="171" w:name="PO_3000001868_PM031_7"/>
      <w:bookmarkEnd w:id="171"/>
      <w:r>
        <w:rPr>
          <w:rFonts w:hint="eastAsia" w:ascii="宋体" w:hAnsi="宋体" w:cs="仿宋_GB2312"/>
          <w:sz w:val="24"/>
          <w:u w:val="single"/>
        </w:rPr>
        <w:t>广西城建咨询有限公司</w:t>
      </w:r>
      <w:r>
        <w:rPr>
          <w:rFonts w:hint="eastAsia" w:ascii="宋体" w:hAnsi="宋体" w:cs="仿宋_GB2312"/>
          <w:sz w:val="24"/>
        </w:rPr>
        <w:t>：</w:t>
      </w:r>
    </w:p>
    <w:p>
      <w:pPr>
        <w:spacing w:line="360" w:lineRule="auto"/>
        <w:ind w:firstLine="480" w:firstLineChars="200"/>
        <w:rPr>
          <w:rFonts w:hint="eastAsia" w:ascii="宋体" w:hAnsi="宋体" w:cs="仿宋_GB2312"/>
          <w:sz w:val="24"/>
        </w:rPr>
      </w:pPr>
      <w:r>
        <w:rPr>
          <w:rFonts w:hint="eastAsia" w:ascii="宋体" w:hAnsi="宋体" w:cs="仿宋_GB2312"/>
          <w:sz w:val="24"/>
        </w:rPr>
        <w:t>我</w:t>
      </w:r>
      <w:r>
        <w:rPr>
          <w:rFonts w:hint="eastAsia" w:ascii="宋体" w:hAnsi="宋体" w:cs="仿宋_GB2312"/>
          <w:sz w:val="24"/>
          <w:u w:val="single"/>
        </w:rPr>
        <w:t xml:space="preserve">  （姓名）  </w:t>
      </w:r>
      <w:r>
        <w:rPr>
          <w:rFonts w:hint="eastAsia" w:ascii="宋体" w:hAnsi="宋体" w:cs="仿宋_GB2312"/>
          <w:sz w:val="24"/>
        </w:rPr>
        <w:t>系</w:t>
      </w:r>
      <w:r>
        <w:rPr>
          <w:rFonts w:hint="eastAsia" w:ascii="宋体" w:hAnsi="宋体" w:cs="仿宋_GB2312"/>
          <w:sz w:val="24"/>
          <w:u w:val="single"/>
        </w:rPr>
        <w:t xml:space="preserve">  （供应商名称）  </w:t>
      </w:r>
      <w:r>
        <w:rPr>
          <w:rFonts w:hint="eastAsia" w:ascii="宋体" w:hAnsi="宋体" w:cs="仿宋_GB2312"/>
          <w:sz w:val="24"/>
        </w:rPr>
        <w:t>的（</w:t>
      </w:r>
      <w:r>
        <w:rPr>
          <w:rFonts w:hint="eastAsia" w:ascii="宋体" w:hAnsi="宋体" w:cs="仿宋_GB2312"/>
          <w:sz w:val="24"/>
          <w:u w:val="single"/>
        </w:rPr>
        <w:t>□法定代表人/□负责人/□自然人本人</w:t>
      </w:r>
      <w:r>
        <w:rPr>
          <w:rFonts w:hint="eastAsia" w:ascii="宋体" w:hAnsi="宋体" w:cs="仿宋_GB2312"/>
          <w:sz w:val="24"/>
        </w:rPr>
        <w:t>），现授权</w:t>
      </w:r>
      <w:r>
        <w:rPr>
          <w:rFonts w:hint="eastAsia" w:ascii="宋体" w:hAnsi="宋体" w:cs="仿宋_GB2312"/>
          <w:sz w:val="24"/>
          <w:u w:val="single"/>
        </w:rPr>
        <w:t xml:space="preserve"> （姓名） </w:t>
      </w:r>
      <w:r>
        <w:rPr>
          <w:rFonts w:hint="eastAsia" w:ascii="宋体" w:hAnsi="宋体" w:cs="仿宋_GB2312"/>
          <w:sz w:val="24"/>
        </w:rPr>
        <w:t>以我方的名义参加</w:t>
      </w:r>
      <w:bookmarkStart w:id="172" w:name="PO_3000001868_PM002_7"/>
      <w:bookmarkEnd w:id="172"/>
      <w:r>
        <w:rPr>
          <w:rFonts w:hint="eastAsia" w:ascii="宋体" w:hAnsi="宋体" w:cs="仿宋_GB2312"/>
          <w:sz w:val="24"/>
          <w:u w:val="single"/>
        </w:rPr>
        <w:t>环境监管执法系统运维服务项目</w:t>
      </w:r>
      <w:r>
        <w:rPr>
          <w:rFonts w:hint="eastAsia" w:ascii="宋体" w:hAnsi="宋体" w:cs="仿宋_GB2312"/>
          <w:sz w:val="24"/>
        </w:rPr>
        <w:t>项目的竞标活动，并代表我方全权办理针对上述项目的所有采购程序和环节的具体事务和签署相关文件。</w:t>
      </w:r>
    </w:p>
    <w:p>
      <w:pPr>
        <w:spacing w:line="360" w:lineRule="auto"/>
        <w:rPr>
          <w:rFonts w:hint="eastAsia" w:ascii="宋体" w:hAnsi="宋体" w:cs="仿宋_GB2312"/>
          <w:sz w:val="24"/>
        </w:rPr>
      </w:pPr>
      <w:r>
        <w:rPr>
          <w:rFonts w:hint="eastAsia" w:ascii="宋体" w:hAnsi="宋体" w:cs="仿宋_GB2312"/>
          <w:sz w:val="24"/>
        </w:rPr>
        <w:t xml:space="preserve">    我方对委托代理人的签字事项负全部责任。</w:t>
      </w:r>
    </w:p>
    <w:p>
      <w:pPr>
        <w:spacing w:line="360" w:lineRule="auto"/>
        <w:ind w:firstLine="480" w:firstLineChars="200"/>
        <w:rPr>
          <w:rFonts w:hint="eastAsia" w:ascii="宋体" w:hAnsi="宋体" w:cs="仿宋_GB2312"/>
          <w:sz w:val="24"/>
        </w:rPr>
      </w:pPr>
      <w:r>
        <w:rPr>
          <w:rFonts w:hint="eastAsia" w:ascii="宋体" w:hAnsi="宋体" w:cs="仿宋_GB2312"/>
          <w:sz w:val="24"/>
        </w:rPr>
        <w:t>本授权书自签署之日起生效，在撤销授权的书面通知以前，本授权书一直有效。委托代理人在授权书有效期内签署的所有文件不因授权的撤销而失效。</w:t>
      </w:r>
    </w:p>
    <w:p>
      <w:pPr>
        <w:spacing w:line="360" w:lineRule="auto"/>
        <w:ind w:firstLine="480" w:firstLineChars="200"/>
        <w:rPr>
          <w:rFonts w:hint="eastAsia" w:ascii="宋体" w:hAnsi="宋体" w:cs="仿宋_GB2312"/>
          <w:sz w:val="24"/>
        </w:rPr>
      </w:pPr>
      <w:r>
        <w:rPr>
          <w:rFonts w:hint="eastAsia" w:ascii="宋体" w:hAnsi="宋体" w:cs="仿宋_GB2312"/>
          <w:sz w:val="24"/>
        </w:rPr>
        <w:t>委托代理人无转委托权，特此委托。</w:t>
      </w:r>
    </w:p>
    <w:p>
      <w:pPr>
        <w:spacing w:line="360" w:lineRule="auto"/>
        <w:ind w:firstLine="480" w:firstLineChars="200"/>
        <w:rPr>
          <w:rFonts w:hint="eastAsia" w:ascii="宋体" w:hAnsi="宋体" w:cs="仿宋_GB2312"/>
          <w:sz w:val="24"/>
        </w:rPr>
      </w:pPr>
      <w:r>
        <w:rPr>
          <w:rFonts w:hint="eastAsia" w:ascii="宋体" w:hAnsi="宋体" w:cs="仿宋_GB2312"/>
          <w:sz w:val="24"/>
        </w:rPr>
        <w:t>附：法定代表人身份证明书及委托代理人有效身份证正反面复印件</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 xml:space="preserve">委托代理人（签字）：         法定代表人（签字或盖章）：                    </w:t>
      </w:r>
    </w:p>
    <w:p>
      <w:pPr>
        <w:spacing w:line="360" w:lineRule="auto"/>
        <w:rPr>
          <w:rFonts w:hint="eastAsia" w:ascii="宋体" w:hAnsi="宋体" w:cs="仿宋_GB2312"/>
          <w:sz w:val="24"/>
        </w:rPr>
      </w:pPr>
      <w:r>
        <w:rPr>
          <w:rFonts w:hint="eastAsia" w:ascii="宋体" w:hAnsi="宋体" w:cs="仿宋_GB2312"/>
          <w:sz w:val="24"/>
        </w:rPr>
        <w:t xml:space="preserve">委托代理人身份证号码：                              </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 xml:space="preserve">                         </w:t>
      </w:r>
      <w:r>
        <w:rPr>
          <w:rFonts w:hint="eastAsia" w:ascii="仿宋_GB2312" w:hAnsi="仿宋" w:eastAsia="仿宋_GB2312"/>
          <w:kern w:val="0"/>
          <w:sz w:val="24"/>
        </w:rPr>
        <w:t>供应商名称（电子签章）：</w:t>
      </w:r>
    </w:p>
    <w:p>
      <w:pPr>
        <w:spacing w:line="360" w:lineRule="auto"/>
        <w:jc w:val="center"/>
        <w:rPr>
          <w:rFonts w:hint="eastAsia" w:ascii="宋体" w:hAnsi="宋体" w:cs="仿宋_GB2312"/>
          <w:b/>
          <w:sz w:val="24"/>
        </w:rPr>
      </w:pPr>
      <w:r>
        <w:rPr>
          <w:rFonts w:hint="eastAsia" w:ascii="仿宋_GB2312" w:hAnsi="仿宋" w:eastAsia="仿宋_GB2312"/>
          <w:kern w:val="0"/>
          <w:sz w:val="24"/>
        </w:rPr>
        <w:t xml:space="preserve">                                                   日期：  年  月   日</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注：1. 法定代表人必须在授权委托书上亲笔签字或盖章，委托代理人必须在授权委托书上亲笔签字，</w:t>
      </w:r>
      <w:r>
        <w:rPr>
          <w:rFonts w:hint="eastAsia" w:ascii="宋体" w:hAnsi="宋体" w:cs="仿宋_GB2312"/>
          <w:b/>
          <w:sz w:val="24"/>
        </w:rPr>
        <w:t>否则其响应文件按无效响应处理。</w:t>
      </w:r>
    </w:p>
    <w:p>
      <w:pPr>
        <w:spacing w:line="360" w:lineRule="auto"/>
        <w:ind w:firstLine="480" w:firstLineChars="200"/>
        <w:jc w:val="left"/>
        <w:rPr>
          <w:rFonts w:hint="eastAsia" w:ascii="宋体" w:hAnsi="宋体" w:cs="仿宋_GB2312"/>
          <w:sz w:val="24"/>
        </w:rPr>
      </w:pPr>
      <w:r>
        <w:rPr>
          <w:rFonts w:hint="eastAsia" w:ascii="宋体" w:hAnsi="宋体" w:cs="仿宋_GB2312"/>
          <w:sz w:val="24"/>
        </w:rPr>
        <w:t>2.供应商为其他组织或者自然人时，本磋商文件规定的法定代表人指负责人或者自然人。本磋商文件所称负责人是指参加竞标的其他组织营业执照上的负责人，本磋商文件所称自然人指参与竞标的自然人本人。</w:t>
      </w:r>
    </w:p>
    <w:p>
      <w:pPr>
        <w:spacing w:line="360" w:lineRule="auto"/>
        <w:ind w:firstLine="480" w:firstLineChars="200"/>
        <w:jc w:val="left"/>
        <w:rPr>
          <w:rFonts w:hint="eastAsia" w:ascii="仿宋_GB2312" w:hAnsi="Calibri" w:eastAsia="仿宋_GB2312"/>
          <w:szCs w:val="21"/>
        </w:rPr>
      </w:pPr>
      <w:r>
        <w:rPr>
          <w:rFonts w:hint="eastAsia" w:ascii="宋体" w:hAnsi="宋体" w:cs="仿宋_GB2312"/>
          <w:sz w:val="24"/>
        </w:rPr>
        <w:t>3. 法人、其他组织竞标时“我方”是指“我单位”，自然人竞标时“我方”是指“本人”。</w:t>
      </w:r>
    </w:p>
    <w:p>
      <w:pPr>
        <w:spacing w:line="500" w:lineRule="exact"/>
        <w:jc w:val="center"/>
        <w:rPr>
          <w:rFonts w:hint="eastAsia" w:ascii="方正小标宋简体" w:hAnsi="方正小标宋简体" w:eastAsia="方正小标宋简体"/>
          <w:sz w:val="44"/>
          <w:szCs w:val="44"/>
        </w:rPr>
      </w:pPr>
      <w:r>
        <w:rPr>
          <w:rFonts w:hint="eastAsia" w:ascii="仿宋_GB2312" w:eastAsia="仿宋_GB2312"/>
        </w:rPr>
        <w:br w:type="page"/>
      </w:r>
      <w:r>
        <w:rPr>
          <w:rFonts w:hint="eastAsia" w:ascii="方正小标宋简体" w:hAnsi="方正小标宋简体" w:eastAsia="方正小标宋简体"/>
          <w:sz w:val="44"/>
          <w:szCs w:val="44"/>
        </w:rPr>
        <w:t>授权委托书（联合体竞标格式）</w:t>
      </w:r>
    </w:p>
    <w:p>
      <w:pPr>
        <w:spacing w:line="50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（如有委托时）</w:t>
      </w:r>
    </w:p>
    <w:p>
      <w:pPr>
        <w:spacing w:line="500" w:lineRule="exact"/>
        <w:jc w:val="center"/>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 xml:space="preserve"> </w:t>
      </w:r>
    </w:p>
    <w:p>
      <w:pPr>
        <w:spacing w:line="500" w:lineRule="exact"/>
        <w:jc w:val="center"/>
        <w:rPr>
          <w:rFonts w:hint="eastAsia" w:ascii="仿宋_GB2312" w:hAnsi="Calibri" w:eastAsia="仿宋_GB2312"/>
          <w:sz w:val="32"/>
          <w:szCs w:val="32"/>
        </w:rPr>
      </w:pPr>
      <w:r>
        <w:rPr>
          <w:rFonts w:hint="eastAsia" w:ascii="仿宋_GB2312" w:eastAsia="仿宋_GB2312"/>
          <w:sz w:val="32"/>
          <w:szCs w:val="32"/>
        </w:rPr>
        <w:t xml:space="preserve"> </w:t>
      </w:r>
    </w:p>
    <w:p>
      <w:pPr>
        <w:spacing w:line="360" w:lineRule="auto"/>
        <w:ind w:firstLine="480" w:firstLineChars="200"/>
        <w:jc w:val="left"/>
        <w:rPr>
          <w:rFonts w:hint="eastAsia" w:ascii="宋体" w:hAnsi="宋体" w:cs="仿宋_GB2312"/>
          <w:sz w:val="24"/>
        </w:rPr>
      </w:pPr>
      <w:r>
        <w:rPr>
          <w:rFonts w:hint="eastAsia" w:ascii="宋体" w:hAnsi="宋体" w:cs="仿宋_GB2312"/>
          <w:sz w:val="24"/>
        </w:rPr>
        <w:t>本授权委托书声明：根据</w:t>
      </w:r>
      <w:r>
        <w:rPr>
          <w:rFonts w:hint="eastAsia" w:ascii="宋体" w:hAnsi="宋体" w:cs="仿宋_GB2312"/>
          <w:sz w:val="24"/>
          <w:u w:val="single"/>
        </w:rPr>
        <w:t xml:space="preserve">                </w:t>
      </w:r>
      <w:r>
        <w:rPr>
          <w:rFonts w:hint="eastAsia" w:ascii="宋体" w:hAnsi="宋体" w:cs="仿宋_GB2312"/>
          <w:sz w:val="24"/>
        </w:rPr>
        <w:t>（牵头人名称）与</w:t>
      </w:r>
      <w:r>
        <w:rPr>
          <w:rFonts w:hint="eastAsia" w:ascii="宋体" w:hAnsi="宋体" w:cs="仿宋_GB2312"/>
          <w:sz w:val="24"/>
          <w:u w:val="single"/>
        </w:rPr>
        <w:t xml:space="preserve">              </w:t>
      </w:r>
      <w:r>
        <w:rPr>
          <w:rFonts w:hint="eastAsia" w:ascii="宋体" w:hAnsi="宋体" w:cs="仿宋_GB2312"/>
          <w:sz w:val="24"/>
        </w:rPr>
        <w:t>（联合体其他成员名称）签订的《联合体竞标协议书》的内容，</w:t>
      </w:r>
      <w:r>
        <w:rPr>
          <w:rFonts w:hint="eastAsia" w:ascii="宋体" w:hAnsi="宋体" w:cs="仿宋_GB2312"/>
          <w:sz w:val="24"/>
          <w:u w:val="single"/>
        </w:rPr>
        <w:t xml:space="preserve">                       </w:t>
      </w:r>
      <w:r>
        <w:rPr>
          <w:rFonts w:hint="eastAsia" w:ascii="宋体" w:hAnsi="宋体" w:cs="仿宋_GB2312"/>
          <w:sz w:val="24"/>
        </w:rPr>
        <w:t>（牵头人名称）的法定代表人</w:t>
      </w:r>
      <w:r>
        <w:rPr>
          <w:rFonts w:hint="eastAsia" w:ascii="宋体" w:hAnsi="宋体" w:cs="仿宋_GB2312"/>
          <w:sz w:val="24"/>
          <w:u w:val="single"/>
        </w:rPr>
        <w:t xml:space="preserve">      </w:t>
      </w:r>
      <w:r>
        <w:rPr>
          <w:rFonts w:hint="eastAsia" w:ascii="宋体" w:hAnsi="宋体" w:cs="仿宋_GB2312"/>
          <w:sz w:val="24"/>
        </w:rPr>
        <w:t>（姓名）现授权</w:t>
      </w:r>
      <w:r>
        <w:rPr>
          <w:rFonts w:hint="eastAsia" w:ascii="宋体" w:hAnsi="宋体" w:cs="仿宋_GB2312"/>
          <w:sz w:val="24"/>
          <w:u w:val="single"/>
        </w:rPr>
        <w:t xml:space="preserve">      </w:t>
      </w:r>
      <w:r>
        <w:rPr>
          <w:rFonts w:hint="eastAsia" w:ascii="宋体" w:hAnsi="宋体" w:cs="仿宋_GB2312"/>
          <w:sz w:val="24"/>
        </w:rPr>
        <w:t>（姓名）为联合委托代理人，并代表我方全权办理针对上述项目的所有采购程序和环节的具体事务和签署相关文件。</w:t>
      </w:r>
    </w:p>
    <w:p>
      <w:pPr>
        <w:spacing w:line="360" w:lineRule="auto"/>
        <w:ind w:firstLine="480" w:firstLineChars="200"/>
        <w:rPr>
          <w:rFonts w:hint="eastAsia" w:ascii="宋体" w:hAnsi="宋体" w:cs="仿宋_GB2312"/>
          <w:sz w:val="24"/>
        </w:rPr>
      </w:pPr>
      <w:r>
        <w:rPr>
          <w:rFonts w:hint="eastAsia" w:ascii="宋体" w:hAnsi="宋体" w:cs="仿宋_GB2312"/>
          <w:sz w:val="24"/>
        </w:rPr>
        <w:t>我方对委托代理人的签字事项负全部责任。</w:t>
      </w:r>
    </w:p>
    <w:p>
      <w:pPr>
        <w:spacing w:line="360" w:lineRule="auto"/>
        <w:ind w:firstLine="480" w:firstLineChars="200"/>
        <w:rPr>
          <w:rFonts w:hint="eastAsia" w:ascii="宋体" w:hAnsi="宋体" w:cs="仿宋_GB2312"/>
          <w:sz w:val="24"/>
        </w:rPr>
      </w:pPr>
      <w:r>
        <w:rPr>
          <w:rFonts w:hint="eastAsia" w:ascii="宋体" w:hAnsi="宋体" w:cs="仿宋_GB2312"/>
          <w:sz w:val="24"/>
        </w:rPr>
        <w:t>本授权书自签署之日起生效，在撤销授权的书面通知以前，本授权书一直有效。委托代理人在授权书有效期内签署的所有文件不因授权的撤销而失效。</w:t>
      </w:r>
    </w:p>
    <w:p>
      <w:pPr>
        <w:spacing w:line="360" w:lineRule="auto"/>
        <w:ind w:firstLine="480" w:firstLineChars="200"/>
        <w:rPr>
          <w:rFonts w:hint="eastAsia" w:ascii="宋体" w:hAnsi="宋体" w:cs="仿宋_GB2312"/>
          <w:sz w:val="24"/>
        </w:rPr>
      </w:pPr>
      <w:r>
        <w:rPr>
          <w:rFonts w:hint="eastAsia" w:ascii="宋体" w:hAnsi="宋体" w:cs="仿宋_GB2312"/>
          <w:sz w:val="24"/>
        </w:rPr>
        <w:t>委托代理人无转委托权，特此委托。</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ind w:firstLine="1560" w:firstLineChars="650"/>
        <w:rPr>
          <w:rFonts w:hint="eastAsia" w:ascii="宋体" w:hAnsi="宋体" w:cs="仿宋_GB2312"/>
          <w:sz w:val="24"/>
        </w:rPr>
      </w:pPr>
      <w:r>
        <w:rPr>
          <w:rFonts w:hint="eastAsia" w:ascii="宋体" w:hAnsi="宋体" w:cs="仿宋_GB2312"/>
          <w:sz w:val="24"/>
        </w:rPr>
        <w:t>牵头人法定代表人（签字或盖章）：</w:t>
      </w:r>
    </w:p>
    <w:p>
      <w:pPr>
        <w:spacing w:line="360" w:lineRule="auto"/>
        <w:ind w:firstLine="3120" w:firstLineChars="1300"/>
        <w:rPr>
          <w:rFonts w:hint="eastAsia" w:ascii="宋体" w:hAnsi="宋体" w:cs="仿宋_GB2312"/>
          <w:sz w:val="24"/>
        </w:rPr>
      </w:pPr>
      <w:r>
        <w:rPr>
          <w:rFonts w:hint="eastAsia" w:ascii="宋体" w:hAnsi="宋体" w:cs="仿宋_GB2312"/>
          <w:sz w:val="24"/>
        </w:rPr>
        <w:t>牵头人（电子签章）：</w:t>
      </w:r>
    </w:p>
    <w:p>
      <w:pPr>
        <w:spacing w:line="360" w:lineRule="auto"/>
        <w:ind w:firstLine="3840" w:firstLineChars="1600"/>
        <w:rPr>
          <w:rFonts w:hint="eastAsia" w:ascii="宋体" w:hAnsi="宋体" w:cs="仿宋_GB2312"/>
          <w:sz w:val="24"/>
        </w:rPr>
      </w:pPr>
      <w:r>
        <w:rPr>
          <w:rFonts w:hint="eastAsia" w:ascii="宋体" w:hAnsi="宋体" w:cs="仿宋_GB2312"/>
          <w:sz w:val="24"/>
        </w:rPr>
        <w:t>日期：    年   月   日</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ind w:firstLine="3120" w:firstLineChars="1300"/>
        <w:rPr>
          <w:rFonts w:hint="eastAsia" w:ascii="宋体" w:hAnsi="宋体" w:cs="仿宋_GB2312"/>
          <w:sz w:val="24"/>
        </w:rPr>
      </w:pPr>
      <w:r>
        <w:rPr>
          <w:rFonts w:hint="eastAsia" w:ascii="宋体" w:hAnsi="宋体" w:cs="仿宋_GB2312"/>
          <w:sz w:val="24"/>
        </w:rPr>
        <w:t>被授权人（签字）：</w:t>
      </w:r>
    </w:p>
    <w:p>
      <w:pPr>
        <w:spacing w:line="360" w:lineRule="auto"/>
        <w:ind w:firstLine="3840" w:firstLineChars="1600"/>
        <w:rPr>
          <w:rFonts w:hint="eastAsia" w:ascii="宋体" w:hAnsi="宋体" w:cs="仿宋_GB2312"/>
          <w:sz w:val="24"/>
        </w:rPr>
      </w:pPr>
      <w:r>
        <w:rPr>
          <w:rFonts w:hint="eastAsia" w:ascii="宋体" w:hAnsi="宋体" w:cs="仿宋_GB2312"/>
          <w:sz w:val="24"/>
        </w:rPr>
        <w:t>日期：    年   月   日</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注：1. 法定代表人必须在授权委托书上亲笔签字或盖章，委托代理人必须在授权委托书上亲笔签字，</w:t>
      </w:r>
      <w:r>
        <w:rPr>
          <w:rFonts w:hint="eastAsia" w:ascii="宋体" w:hAnsi="宋体" w:cs="仿宋_GB2312"/>
          <w:b/>
          <w:sz w:val="24"/>
        </w:rPr>
        <w:t>否则其响应文件按无效响应处理。</w:t>
      </w:r>
    </w:p>
    <w:p>
      <w:pPr>
        <w:spacing w:line="360" w:lineRule="auto"/>
        <w:ind w:firstLine="480" w:firstLineChars="200"/>
        <w:jc w:val="left"/>
        <w:rPr>
          <w:rFonts w:hint="eastAsia" w:ascii="宋体" w:hAnsi="宋体" w:cs="仿宋_GB2312"/>
          <w:sz w:val="24"/>
        </w:rPr>
      </w:pPr>
      <w:r>
        <w:rPr>
          <w:rFonts w:hint="eastAsia" w:ascii="宋体" w:hAnsi="宋体" w:cs="仿宋_GB2312"/>
          <w:sz w:val="24"/>
        </w:rPr>
        <w:t>2.本授权委托书应由联合体牵头人的法定代表人按上述规定签署。</w:t>
      </w:r>
    </w:p>
    <w:p>
      <w:pPr>
        <w:spacing w:line="360" w:lineRule="auto"/>
        <w:ind w:firstLine="480" w:firstLineChars="200"/>
        <w:jc w:val="left"/>
        <w:rPr>
          <w:rFonts w:hint="eastAsia" w:ascii="宋体" w:hAnsi="宋体" w:cs="仿宋_GB2312"/>
          <w:sz w:val="24"/>
        </w:rPr>
      </w:pPr>
      <w:r>
        <w:rPr>
          <w:rFonts w:hint="eastAsia" w:ascii="宋体" w:hAnsi="宋体" w:cs="仿宋_GB2312"/>
          <w:sz w:val="24"/>
        </w:rPr>
        <w:t>3.供应商为其他组织或者自然人时，本磋商文件规定的法定代表人指负责人或者自然人。本磋商文件所称负责人是指参加竞标的其他组织营业执照上的负责人，本磋商文件所称自然人指参与竞标的自然人本人。</w:t>
      </w:r>
    </w:p>
    <w:p>
      <w:pPr>
        <w:spacing w:line="360" w:lineRule="auto"/>
        <w:ind w:firstLine="480" w:firstLineChars="200"/>
        <w:jc w:val="left"/>
        <w:rPr>
          <w:rFonts w:hint="eastAsia" w:ascii="宋体" w:hAnsi="宋体" w:cs="仿宋_GB2312"/>
          <w:sz w:val="24"/>
        </w:rPr>
      </w:pPr>
      <w:r>
        <w:rPr>
          <w:rFonts w:hint="eastAsia" w:ascii="宋体" w:hAnsi="宋体" w:cs="仿宋_GB2312"/>
          <w:sz w:val="24"/>
        </w:rPr>
        <w:t>4.法人、其他组织竞标时“我方”是指“我单位”，自然人竞标时“我方”是指“本人”。</w:t>
      </w:r>
    </w:p>
    <w:p>
      <w:pPr>
        <w:spacing w:line="360" w:lineRule="auto"/>
        <w:ind w:firstLine="420" w:firstLineChars="200"/>
        <w:jc w:val="left"/>
        <w:rPr>
          <w:rFonts w:hint="eastAsia" w:ascii="仿宋_GB2312" w:hAnsi="Calibri" w:eastAsia="仿宋_GB2312"/>
          <w:szCs w:val="21"/>
        </w:rPr>
      </w:pPr>
      <w:r>
        <w:rPr>
          <w:rFonts w:hint="eastAsia" w:ascii="仿宋_GB2312" w:eastAsia="仿宋_GB2312"/>
        </w:rPr>
        <w:t xml:space="preserve"> </w:t>
      </w:r>
    </w:p>
    <w:p>
      <w:pPr>
        <w:spacing w:line="520" w:lineRule="exact"/>
        <w:ind w:firstLine="640" w:firstLineChars="200"/>
        <w:jc w:val="left"/>
        <w:rPr>
          <w:rFonts w:hint="eastAsia" w:ascii="仿宋" w:hAnsi="仿宋" w:eastAsia="仿宋" w:cs="仿宋_GB2312"/>
          <w:b/>
          <w:sz w:val="30"/>
          <w:szCs w:val="30"/>
        </w:rPr>
      </w:pPr>
      <w:r>
        <w:rPr>
          <w:rFonts w:hint="eastAsia" w:ascii="仿宋_GB2312" w:eastAsia="仿宋_GB2312"/>
          <w:sz w:val="32"/>
          <w:szCs w:val="32"/>
        </w:rPr>
        <w:br w:type="page"/>
      </w:r>
      <w:r>
        <w:rPr>
          <w:rFonts w:hint="eastAsia" w:ascii="仿宋" w:hAnsi="仿宋" w:eastAsia="仿宋" w:cs="仿宋_GB2312"/>
          <w:b/>
          <w:sz w:val="30"/>
          <w:szCs w:val="30"/>
        </w:rPr>
        <w:t>四、商务条款偏离表</w:t>
      </w:r>
    </w:p>
    <w:p>
      <w:pPr>
        <w:spacing w:line="500" w:lineRule="exact"/>
        <w:jc w:val="center"/>
        <w:rPr>
          <w:rFonts w:hint="eastAsia" w:ascii="方正小标宋简体" w:hAnsi="方正小标宋简体" w:eastAsia="方正小标宋简体"/>
          <w:bCs/>
          <w:sz w:val="44"/>
          <w:szCs w:val="44"/>
        </w:rPr>
      </w:pPr>
      <w:r>
        <w:rPr>
          <w:rFonts w:hint="eastAsia" w:ascii="方正小标宋简体" w:hAnsi="方正小标宋简体" w:eastAsia="方正小标宋简体"/>
          <w:bCs/>
          <w:sz w:val="44"/>
          <w:szCs w:val="44"/>
        </w:rPr>
        <w:t>商务条款偏离表</w:t>
      </w:r>
    </w:p>
    <w:p>
      <w:pPr>
        <w:spacing w:line="520" w:lineRule="exact"/>
        <w:rPr>
          <w:rFonts w:hint="eastAsia" w:ascii="仿宋_GB2312" w:hAnsi="Calibri" w:eastAsia="仿宋_GB2312"/>
          <w:sz w:val="32"/>
          <w:szCs w:val="32"/>
        </w:rPr>
      </w:pPr>
      <w:r>
        <w:rPr>
          <w:rFonts w:hint="eastAsia" w:ascii="仿宋_GB2312" w:eastAsia="仿宋_GB2312"/>
          <w:sz w:val="32"/>
          <w:szCs w:val="32"/>
        </w:rPr>
        <w:t xml:space="preserve"> </w:t>
      </w:r>
    </w:p>
    <w:p>
      <w:pPr>
        <w:spacing w:line="360" w:lineRule="auto"/>
        <w:rPr>
          <w:rFonts w:hint="eastAsia" w:ascii="宋体" w:hAnsi="宋体" w:cs="仿宋_GB2312"/>
          <w:sz w:val="24"/>
          <w:u w:val="single"/>
        </w:rPr>
      </w:pPr>
      <w:r>
        <w:rPr>
          <w:rFonts w:hint="eastAsia" w:ascii="宋体" w:hAnsi="宋体" w:cs="仿宋_GB2312"/>
          <w:sz w:val="24"/>
        </w:rPr>
        <w:t>采购项目编号：</w:t>
      </w:r>
      <w:r>
        <w:rPr>
          <w:rFonts w:hint="eastAsia" w:ascii="宋体" w:hAnsi="宋体" w:cs="仿宋_GB2312"/>
          <w:sz w:val="24"/>
          <w:u w:val="single"/>
        </w:rPr>
        <w:t xml:space="preserve">                              </w:t>
      </w:r>
    </w:p>
    <w:p>
      <w:pPr>
        <w:spacing w:line="360" w:lineRule="auto"/>
        <w:rPr>
          <w:rFonts w:hint="eastAsia" w:ascii="宋体" w:hAnsi="宋体" w:cs="仿宋_GB2312"/>
          <w:sz w:val="24"/>
        </w:rPr>
      </w:pPr>
      <w:r>
        <w:rPr>
          <w:rFonts w:hint="eastAsia" w:ascii="宋体" w:hAnsi="宋体" w:cs="仿宋_GB2312"/>
          <w:sz w:val="24"/>
        </w:rPr>
        <w:t>采购项目名称：</w:t>
      </w:r>
      <w:r>
        <w:rPr>
          <w:rFonts w:hint="eastAsia" w:ascii="宋体" w:hAnsi="宋体" w:cs="仿宋_GB2312"/>
          <w:sz w:val="24"/>
          <w:u w:val="single"/>
        </w:rPr>
        <w:t>环境监管执法系统运维服务项目</w:t>
      </w:r>
    </w:p>
    <w:p>
      <w:pPr>
        <w:spacing w:line="360" w:lineRule="auto"/>
        <w:rPr>
          <w:rFonts w:hint="eastAsia" w:ascii="宋体" w:hAnsi="宋体" w:cs="仿宋_GB2312"/>
          <w:sz w:val="24"/>
          <w:u w:val="single"/>
        </w:rPr>
      </w:pPr>
      <w:r>
        <w:rPr>
          <w:rFonts w:hint="eastAsia" w:ascii="宋体" w:hAnsi="宋体" w:cs="仿宋_GB2312"/>
          <w:sz w:val="24"/>
        </w:rPr>
        <w:t>分标号</w:t>
      </w:r>
      <w:r>
        <w:rPr>
          <w:rFonts w:hint="eastAsia" w:ascii="宋体" w:hAnsi="宋体"/>
        </w:rPr>
        <w:t>（此处有分标时填写具体分标号，无分标时填写“无”）</w:t>
      </w:r>
      <w:r>
        <w:rPr>
          <w:rFonts w:hint="eastAsia" w:ascii="宋体" w:hAnsi="宋体" w:cs="仿宋_GB2312"/>
          <w:sz w:val="24"/>
        </w:rPr>
        <w:t>：</w:t>
      </w:r>
      <w:r>
        <w:rPr>
          <w:rFonts w:hint="eastAsia" w:ascii="宋体" w:hAnsi="宋体" w:cs="仿宋_GB2312"/>
          <w:sz w:val="24"/>
          <w:u w:val="single"/>
        </w:rPr>
        <w:t xml:space="preserve">                       </w:t>
      </w:r>
    </w:p>
    <w:tbl>
      <w:tblPr>
        <w:tblStyle w:val="31"/>
        <w:tblW w:w="9480" w:type="dxa"/>
        <w:tblInd w:w="1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3926"/>
        <w:gridCol w:w="3589"/>
        <w:gridCol w:w="12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691" w:type="dxa"/>
            <w:tcBorders>
              <w:top w:val="single" w:color="auto" w:sz="4" w:space="0"/>
              <w:left w:val="single" w:color="auto" w:sz="4" w:space="0"/>
              <w:bottom w:val="single" w:color="auto" w:sz="4" w:space="0"/>
              <w:right w:val="single" w:color="auto" w:sz="4" w:space="0"/>
            </w:tcBorders>
            <w:noWrap w:val="0"/>
            <w:vAlign w:val="center"/>
          </w:tcPr>
          <w:p>
            <w:pPr>
              <w:spacing w:line="340" w:lineRule="exact"/>
              <w:jc w:val="center"/>
              <w:rPr>
                <w:rFonts w:ascii="宋体" w:hAnsi="宋体"/>
                <w:szCs w:val="21"/>
              </w:rPr>
            </w:pPr>
            <w:r>
              <w:rPr>
                <w:rFonts w:hint="eastAsia" w:ascii="宋体" w:hAnsi="宋体"/>
              </w:rPr>
              <w:t>项号</w:t>
            </w:r>
          </w:p>
        </w:tc>
        <w:tc>
          <w:tcPr>
            <w:tcW w:w="3926" w:type="dxa"/>
            <w:tcBorders>
              <w:top w:val="single" w:color="auto" w:sz="4" w:space="0"/>
              <w:left w:val="nil"/>
              <w:bottom w:val="single" w:color="auto" w:sz="4" w:space="0"/>
              <w:right w:val="single" w:color="auto" w:sz="4" w:space="0"/>
            </w:tcBorders>
            <w:noWrap w:val="0"/>
            <w:vAlign w:val="center"/>
          </w:tcPr>
          <w:p>
            <w:pPr>
              <w:spacing w:line="340" w:lineRule="exact"/>
              <w:jc w:val="center"/>
              <w:rPr>
                <w:rFonts w:ascii="宋体" w:hAnsi="宋体"/>
                <w:szCs w:val="21"/>
              </w:rPr>
            </w:pPr>
            <w:r>
              <w:rPr>
                <w:rFonts w:hint="eastAsia" w:ascii="宋体" w:hAnsi="宋体"/>
              </w:rPr>
              <w:t>竞争性磋商采购文件的商务需求</w:t>
            </w:r>
          </w:p>
        </w:tc>
        <w:tc>
          <w:tcPr>
            <w:tcW w:w="3589" w:type="dxa"/>
            <w:tcBorders>
              <w:top w:val="single" w:color="auto" w:sz="4" w:space="0"/>
              <w:left w:val="nil"/>
              <w:bottom w:val="single" w:color="auto" w:sz="4" w:space="0"/>
              <w:right w:val="single" w:color="auto" w:sz="4" w:space="0"/>
            </w:tcBorders>
            <w:noWrap w:val="0"/>
            <w:vAlign w:val="center"/>
          </w:tcPr>
          <w:p>
            <w:pPr>
              <w:spacing w:line="340" w:lineRule="exact"/>
              <w:jc w:val="center"/>
              <w:rPr>
                <w:rFonts w:ascii="宋体" w:hAnsi="宋体"/>
                <w:szCs w:val="21"/>
              </w:rPr>
            </w:pPr>
            <w:r>
              <w:rPr>
                <w:rFonts w:hint="eastAsia" w:ascii="宋体" w:hAnsi="宋体"/>
              </w:rPr>
              <w:t>响应文件承诺的商务条款</w:t>
            </w:r>
          </w:p>
        </w:tc>
        <w:tc>
          <w:tcPr>
            <w:tcW w:w="1274" w:type="dxa"/>
            <w:tcBorders>
              <w:top w:val="single" w:color="auto" w:sz="4" w:space="0"/>
              <w:left w:val="nil"/>
              <w:bottom w:val="single" w:color="auto" w:sz="4" w:space="0"/>
              <w:right w:val="single" w:color="auto" w:sz="4" w:space="0"/>
            </w:tcBorders>
            <w:noWrap w:val="0"/>
            <w:vAlign w:val="center"/>
          </w:tcPr>
          <w:p>
            <w:pPr>
              <w:spacing w:line="340" w:lineRule="exact"/>
              <w:jc w:val="center"/>
              <w:rPr>
                <w:rFonts w:ascii="宋体" w:hAnsi="宋体"/>
                <w:szCs w:val="21"/>
              </w:rPr>
            </w:pPr>
            <w:r>
              <w:rPr>
                <w:rFonts w:hint="eastAsia" w:ascii="宋体" w:hAnsi="宋体"/>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91" w:type="dxa"/>
            <w:tcBorders>
              <w:top w:val="single" w:color="auto" w:sz="4" w:space="0"/>
              <w:left w:val="single" w:color="auto" w:sz="4" w:space="0"/>
              <w:bottom w:val="single" w:color="auto" w:sz="4" w:space="0"/>
              <w:right w:val="single" w:color="auto" w:sz="4" w:space="0"/>
            </w:tcBorders>
            <w:noWrap w:val="0"/>
            <w:vAlign w:val="top"/>
          </w:tcPr>
          <w:p>
            <w:pPr>
              <w:spacing w:line="340" w:lineRule="exact"/>
              <w:rPr>
                <w:rFonts w:ascii="宋体" w:hAnsi="宋体"/>
                <w:szCs w:val="21"/>
              </w:rPr>
            </w:pPr>
            <w:r>
              <w:rPr>
                <w:rFonts w:hint="eastAsia" w:ascii="宋体" w:hAnsi="宋体"/>
              </w:rPr>
              <w:t>一</w:t>
            </w:r>
          </w:p>
        </w:tc>
        <w:tc>
          <w:tcPr>
            <w:tcW w:w="3926" w:type="dxa"/>
            <w:tcBorders>
              <w:top w:val="single" w:color="auto" w:sz="4" w:space="0"/>
              <w:left w:val="nil"/>
              <w:bottom w:val="single" w:color="auto" w:sz="4" w:space="0"/>
              <w:right w:val="single" w:color="auto" w:sz="4" w:space="0"/>
            </w:tcBorders>
            <w:noWrap w:val="0"/>
            <w:vAlign w:val="top"/>
          </w:tcPr>
          <w:p>
            <w:pPr>
              <w:spacing w:line="340" w:lineRule="exact"/>
              <w:rPr>
                <w:rFonts w:ascii="宋体" w:hAnsi="宋体"/>
              </w:rPr>
            </w:pPr>
            <w:r>
              <w:rPr>
                <w:rFonts w:hint="eastAsia" w:ascii="宋体" w:hAnsi="宋体"/>
              </w:rPr>
              <w:t>1  ……</w:t>
            </w:r>
          </w:p>
          <w:p>
            <w:pPr>
              <w:spacing w:line="340" w:lineRule="exact"/>
              <w:rPr>
                <w:rFonts w:hint="eastAsia" w:ascii="宋体" w:hAnsi="宋体"/>
              </w:rPr>
            </w:pPr>
            <w:r>
              <w:rPr>
                <w:rFonts w:hint="eastAsia" w:ascii="宋体" w:hAnsi="宋体"/>
              </w:rPr>
              <w:t>2  ……</w:t>
            </w:r>
          </w:p>
          <w:p>
            <w:pPr>
              <w:spacing w:line="340" w:lineRule="exact"/>
              <w:rPr>
                <w:rFonts w:hint="eastAsia" w:ascii="宋体" w:hAnsi="宋体"/>
              </w:rPr>
            </w:pPr>
            <w:r>
              <w:rPr>
                <w:rFonts w:hint="eastAsia" w:ascii="宋体" w:hAnsi="宋体"/>
              </w:rPr>
              <w:t>3  ……</w:t>
            </w:r>
          </w:p>
          <w:p>
            <w:pPr>
              <w:spacing w:line="340" w:lineRule="exact"/>
              <w:rPr>
                <w:rFonts w:ascii="宋体" w:hAnsi="宋体"/>
                <w:szCs w:val="21"/>
              </w:rPr>
            </w:pPr>
            <w:r>
              <w:rPr>
                <w:rFonts w:hint="eastAsia" w:ascii="宋体" w:hAnsi="宋体"/>
              </w:rPr>
              <w:t>……</w:t>
            </w:r>
          </w:p>
        </w:tc>
        <w:tc>
          <w:tcPr>
            <w:tcW w:w="3589" w:type="dxa"/>
            <w:tcBorders>
              <w:top w:val="single" w:color="auto" w:sz="4" w:space="0"/>
              <w:left w:val="nil"/>
              <w:bottom w:val="single" w:color="auto" w:sz="4" w:space="0"/>
              <w:right w:val="single" w:color="auto" w:sz="4" w:space="0"/>
            </w:tcBorders>
            <w:noWrap w:val="0"/>
            <w:vAlign w:val="top"/>
          </w:tcPr>
          <w:p>
            <w:pPr>
              <w:spacing w:line="340" w:lineRule="exact"/>
              <w:rPr>
                <w:rFonts w:ascii="宋体" w:hAnsi="宋体"/>
              </w:rPr>
            </w:pPr>
            <w:r>
              <w:rPr>
                <w:rFonts w:hint="eastAsia" w:ascii="宋体" w:hAnsi="宋体"/>
              </w:rPr>
              <w:t>1  ……</w:t>
            </w:r>
          </w:p>
          <w:p>
            <w:pPr>
              <w:spacing w:line="340" w:lineRule="exact"/>
              <w:rPr>
                <w:rFonts w:hint="eastAsia" w:ascii="宋体" w:hAnsi="宋体"/>
              </w:rPr>
            </w:pPr>
            <w:r>
              <w:rPr>
                <w:rFonts w:hint="eastAsia" w:ascii="宋体" w:hAnsi="宋体"/>
              </w:rPr>
              <w:t>2  ……</w:t>
            </w:r>
          </w:p>
          <w:p>
            <w:pPr>
              <w:spacing w:line="340" w:lineRule="exact"/>
              <w:rPr>
                <w:rFonts w:hint="eastAsia" w:ascii="宋体" w:hAnsi="宋体"/>
              </w:rPr>
            </w:pPr>
            <w:r>
              <w:rPr>
                <w:rFonts w:hint="eastAsia" w:ascii="宋体" w:hAnsi="宋体"/>
              </w:rPr>
              <w:t>3  ……</w:t>
            </w:r>
          </w:p>
          <w:p>
            <w:pPr>
              <w:spacing w:line="340" w:lineRule="exact"/>
              <w:rPr>
                <w:rFonts w:ascii="宋体" w:hAnsi="宋体"/>
                <w:szCs w:val="21"/>
              </w:rPr>
            </w:pPr>
            <w:r>
              <w:rPr>
                <w:rFonts w:hint="eastAsia" w:ascii="宋体" w:hAnsi="宋体"/>
              </w:rPr>
              <w:t>……</w:t>
            </w:r>
          </w:p>
        </w:tc>
        <w:tc>
          <w:tcPr>
            <w:tcW w:w="1274" w:type="dxa"/>
            <w:tcBorders>
              <w:top w:val="single" w:color="auto" w:sz="4" w:space="0"/>
              <w:left w:val="nil"/>
              <w:bottom w:val="single" w:color="auto" w:sz="4" w:space="0"/>
              <w:right w:val="single" w:color="auto" w:sz="4" w:space="0"/>
            </w:tcBorders>
            <w:noWrap w:val="0"/>
            <w:vAlign w:val="top"/>
          </w:tcPr>
          <w:p>
            <w:pPr>
              <w:spacing w:line="300" w:lineRule="exact"/>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91" w:type="dxa"/>
            <w:tcBorders>
              <w:top w:val="single" w:color="auto" w:sz="4" w:space="0"/>
              <w:left w:val="single" w:color="auto" w:sz="4" w:space="0"/>
              <w:bottom w:val="single" w:color="auto" w:sz="4" w:space="0"/>
              <w:right w:val="single" w:color="auto" w:sz="4" w:space="0"/>
            </w:tcBorders>
            <w:noWrap w:val="0"/>
            <w:vAlign w:val="top"/>
          </w:tcPr>
          <w:p>
            <w:pPr>
              <w:spacing w:line="340" w:lineRule="exact"/>
              <w:rPr>
                <w:rFonts w:ascii="宋体" w:hAnsi="宋体"/>
                <w:szCs w:val="21"/>
              </w:rPr>
            </w:pPr>
            <w:r>
              <w:rPr>
                <w:rFonts w:hint="eastAsia" w:ascii="宋体" w:hAnsi="宋体"/>
              </w:rPr>
              <w:t>二</w:t>
            </w:r>
          </w:p>
        </w:tc>
        <w:tc>
          <w:tcPr>
            <w:tcW w:w="3926" w:type="dxa"/>
            <w:tcBorders>
              <w:top w:val="single" w:color="auto" w:sz="4" w:space="0"/>
              <w:left w:val="nil"/>
              <w:bottom w:val="single" w:color="auto" w:sz="4" w:space="0"/>
              <w:right w:val="single" w:color="auto" w:sz="4" w:space="0"/>
            </w:tcBorders>
            <w:noWrap w:val="0"/>
            <w:vAlign w:val="top"/>
          </w:tcPr>
          <w:p>
            <w:pPr>
              <w:spacing w:line="340" w:lineRule="exact"/>
              <w:rPr>
                <w:rFonts w:ascii="宋体" w:hAnsi="宋体"/>
              </w:rPr>
            </w:pPr>
            <w:r>
              <w:rPr>
                <w:rFonts w:hint="eastAsia" w:ascii="宋体" w:hAnsi="宋体"/>
              </w:rPr>
              <w:t>1  ……</w:t>
            </w:r>
          </w:p>
          <w:p>
            <w:pPr>
              <w:spacing w:line="340" w:lineRule="exact"/>
              <w:rPr>
                <w:rFonts w:hint="eastAsia" w:ascii="宋体" w:hAnsi="宋体"/>
              </w:rPr>
            </w:pPr>
            <w:r>
              <w:rPr>
                <w:rFonts w:hint="eastAsia" w:ascii="宋体" w:hAnsi="宋体"/>
              </w:rPr>
              <w:t>2  ……</w:t>
            </w:r>
          </w:p>
          <w:p>
            <w:pPr>
              <w:spacing w:line="340" w:lineRule="exact"/>
              <w:rPr>
                <w:rFonts w:hint="eastAsia" w:ascii="宋体" w:hAnsi="宋体"/>
              </w:rPr>
            </w:pPr>
            <w:r>
              <w:rPr>
                <w:rFonts w:hint="eastAsia" w:ascii="宋体" w:hAnsi="宋体"/>
              </w:rPr>
              <w:t>3  ……</w:t>
            </w:r>
          </w:p>
          <w:p>
            <w:pPr>
              <w:spacing w:line="340" w:lineRule="exact"/>
              <w:rPr>
                <w:rFonts w:ascii="宋体" w:hAnsi="宋体"/>
                <w:szCs w:val="21"/>
              </w:rPr>
            </w:pPr>
            <w:r>
              <w:rPr>
                <w:rFonts w:hint="eastAsia" w:ascii="宋体" w:hAnsi="宋体"/>
              </w:rPr>
              <w:t>……</w:t>
            </w:r>
          </w:p>
        </w:tc>
        <w:tc>
          <w:tcPr>
            <w:tcW w:w="3589" w:type="dxa"/>
            <w:tcBorders>
              <w:top w:val="single" w:color="auto" w:sz="4" w:space="0"/>
              <w:left w:val="nil"/>
              <w:bottom w:val="single" w:color="auto" w:sz="4" w:space="0"/>
              <w:right w:val="single" w:color="auto" w:sz="4" w:space="0"/>
            </w:tcBorders>
            <w:noWrap w:val="0"/>
            <w:vAlign w:val="top"/>
          </w:tcPr>
          <w:p>
            <w:pPr>
              <w:spacing w:line="340" w:lineRule="exact"/>
              <w:rPr>
                <w:rFonts w:ascii="宋体" w:hAnsi="宋体"/>
              </w:rPr>
            </w:pPr>
            <w:r>
              <w:rPr>
                <w:rFonts w:hint="eastAsia" w:ascii="宋体" w:hAnsi="宋体"/>
              </w:rPr>
              <w:t>1  ……</w:t>
            </w:r>
          </w:p>
          <w:p>
            <w:pPr>
              <w:spacing w:line="340" w:lineRule="exact"/>
              <w:rPr>
                <w:rFonts w:hint="eastAsia" w:ascii="宋体" w:hAnsi="宋体"/>
              </w:rPr>
            </w:pPr>
            <w:r>
              <w:rPr>
                <w:rFonts w:hint="eastAsia" w:ascii="宋体" w:hAnsi="宋体"/>
              </w:rPr>
              <w:t>2  ……</w:t>
            </w:r>
          </w:p>
          <w:p>
            <w:pPr>
              <w:spacing w:line="340" w:lineRule="exact"/>
              <w:rPr>
                <w:rFonts w:hint="eastAsia" w:ascii="宋体" w:hAnsi="宋体"/>
              </w:rPr>
            </w:pPr>
            <w:r>
              <w:rPr>
                <w:rFonts w:hint="eastAsia" w:ascii="宋体" w:hAnsi="宋体"/>
              </w:rPr>
              <w:t>3  ……</w:t>
            </w:r>
          </w:p>
          <w:p>
            <w:pPr>
              <w:spacing w:line="340" w:lineRule="exact"/>
              <w:rPr>
                <w:rFonts w:ascii="宋体" w:hAnsi="宋体"/>
                <w:szCs w:val="21"/>
              </w:rPr>
            </w:pPr>
            <w:r>
              <w:rPr>
                <w:rFonts w:hint="eastAsia" w:ascii="宋体" w:hAnsi="宋体"/>
              </w:rPr>
              <w:t>……</w:t>
            </w:r>
          </w:p>
        </w:tc>
        <w:tc>
          <w:tcPr>
            <w:tcW w:w="1274" w:type="dxa"/>
            <w:tcBorders>
              <w:top w:val="single" w:color="auto" w:sz="4" w:space="0"/>
              <w:left w:val="nil"/>
              <w:bottom w:val="single" w:color="auto" w:sz="4" w:space="0"/>
              <w:right w:val="single" w:color="auto" w:sz="4" w:space="0"/>
            </w:tcBorders>
            <w:noWrap w:val="0"/>
            <w:vAlign w:val="top"/>
          </w:tcPr>
          <w:p>
            <w:pPr>
              <w:spacing w:line="300" w:lineRule="exact"/>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9" w:hRule="atLeast"/>
        </w:trPr>
        <w:tc>
          <w:tcPr>
            <w:tcW w:w="691" w:type="dxa"/>
            <w:tcBorders>
              <w:top w:val="single" w:color="auto" w:sz="4" w:space="0"/>
              <w:left w:val="single" w:color="auto" w:sz="4" w:space="0"/>
              <w:bottom w:val="single" w:color="auto" w:sz="4" w:space="0"/>
              <w:right w:val="single" w:color="auto" w:sz="4" w:space="0"/>
            </w:tcBorders>
            <w:noWrap w:val="0"/>
            <w:vAlign w:val="top"/>
          </w:tcPr>
          <w:p>
            <w:pPr>
              <w:spacing w:line="340" w:lineRule="exact"/>
              <w:rPr>
                <w:rFonts w:ascii="宋体" w:hAnsi="宋体"/>
                <w:szCs w:val="21"/>
              </w:rPr>
            </w:pPr>
            <w:r>
              <w:rPr>
                <w:rFonts w:hint="eastAsia" w:ascii="宋体" w:hAnsi="宋体"/>
              </w:rPr>
              <w:t>...</w:t>
            </w:r>
          </w:p>
        </w:tc>
        <w:tc>
          <w:tcPr>
            <w:tcW w:w="3926" w:type="dxa"/>
            <w:tcBorders>
              <w:top w:val="single" w:color="auto" w:sz="4" w:space="0"/>
              <w:left w:val="nil"/>
              <w:bottom w:val="single" w:color="auto" w:sz="4" w:space="0"/>
              <w:right w:val="single" w:color="auto" w:sz="4" w:space="0"/>
            </w:tcBorders>
            <w:noWrap w:val="0"/>
            <w:vAlign w:val="top"/>
          </w:tcPr>
          <w:p>
            <w:pPr>
              <w:spacing w:line="340" w:lineRule="exact"/>
              <w:rPr>
                <w:rFonts w:ascii="宋体" w:hAnsi="宋体"/>
              </w:rPr>
            </w:pPr>
            <w:r>
              <w:rPr>
                <w:rFonts w:hint="eastAsia" w:ascii="宋体" w:hAnsi="宋体"/>
              </w:rPr>
              <w:t>1  ……</w:t>
            </w:r>
          </w:p>
          <w:p>
            <w:pPr>
              <w:spacing w:line="340" w:lineRule="exact"/>
              <w:rPr>
                <w:rFonts w:hint="eastAsia" w:ascii="宋体" w:hAnsi="宋体"/>
              </w:rPr>
            </w:pPr>
            <w:r>
              <w:rPr>
                <w:rFonts w:hint="eastAsia" w:ascii="宋体" w:hAnsi="宋体"/>
              </w:rPr>
              <w:t>2  ……</w:t>
            </w:r>
          </w:p>
          <w:p>
            <w:pPr>
              <w:spacing w:line="340" w:lineRule="exact"/>
              <w:rPr>
                <w:rFonts w:hint="eastAsia" w:ascii="宋体" w:hAnsi="宋体"/>
              </w:rPr>
            </w:pPr>
            <w:r>
              <w:rPr>
                <w:rFonts w:hint="eastAsia" w:ascii="宋体" w:hAnsi="宋体"/>
              </w:rPr>
              <w:t>3  ……</w:t>
            </w:r>
          </w:p>
          <w:p>
            <w:pPr>
              <w:spacing w:line="340" w:lineRule="exact"/>
              <w:rPr>
                <w:rFonts w:ascii="宋体" w:hAnsi="宋体"/>
                <w:szCs w:val="21"/>
              </w:rPr>
            </w:pPr>
            <w:r>
              <w:rPr>
                <w:rFonts w:hint="eastAsia" w:ascii="宋体" w:hAnsi="宋体"/>
              </w:rPr>
              <w:t>……</w:t>
            </w:r>
          </w:p>
        </w:tc>
        <w:tc>
          <w:tcPr>
            <w:tcW w:w="3589" w:type="dxa"/>
            <w:tcBorders>
              <w:top w:val="single" w:color="auto" w:sz="4" w:space="0"/>
              <w:left w:val="nil"/>
              <w:bottom w:val="single" w:color="auto" w:sz="4" w:space="0"/>
              <w:right w:val="single" w:color="auto" w:sz="4" w:space="0"/>
            </w:tcBorders>
            <w:noWrap w:val="0"/>
            <w:vAlign w:val="top"/>
          </w:tcPr>
          <w:p>
            <w:pPr>
              <w:spacing w:line="340" w:lineRule="exact"/>
              <w:rPr>
                <w:rFonts w:ascii="宋体" w:hAnsi="宋体"/>
              </w:rPr>
            </w:pPr>
            <w:r>
              <w:rPr>
                <w:rFonts w:hint="eastAsia" w:ascii="宋体" w:hAnsi="宋体"/>
              </w:rPr>
              <w:t>1  ……</w:t>
            </w:r>
          </w:p>
          <w:p>
            <w:pPr>
              <w:spacing w:line="340" w:lineRule="exact"/>
              <w:rPr>
                <w:rFonts w:hint="eastAsia" w:ascii="宋体" w:hAnsi="宋体"/>
              </w:rPr>
            </w:pPr>
            <w:r>
              <w:rPr>
                <w:rFonts w:hint="eastAsia" w:ascii="宋体" w:hAnsi="宋体"/>
              </w:rPr>
              <w:t>2  ……</w:t>
            </w:r>
          </w:p>
          <w:p>
            <w:pPr>
              <w:spacing w:line="340" w:lineRule="exact"/>
              <w:rPr>
                <w:rFonts w:hint="eastAsia" w:ascii="宋体" w:hAnsi="宋体"/>
              </w:rPr>
            </w:pPr>
            <w:r>
              <w:rPr>
                <w:rFonts w:hint="eastAsia" w:ascii="宋体" w:hAnsi="宋体"/>
              </w:rPr>
              <w:t>3  ……</w:t>
            </w:r>
          </w:p>
          <w:p>
            <w:pPr>
              <w:spacing w:line="340" w:lineRule="exact"/>
              <w:rPr>
                <w:rFonts w:ascii="宋体" w:hAnsi="宋体"/>
                <w:szCs w:val="21"/>
              </w:rPr>
            </w:pPr>
            <w:r>
              <w:rPr>
                <w:rFonts w:hint="eastAsia" w:ascii="宋体" w:hAnsi="宋体"/>
              </w:rPr>
              <w:t>……</w:t>
            </w:r>
          </w:p>
        </w:tc>
        <w:tc>
          <w:tcPr>
            <w:tcW w:w="1274" w:type="dxa"/>
            <w:tcBorders>
              <w:top w:val="single" w:color="auto" w:sz="4" w:space="0"/>
              <w:left w:val="nil"/>
              <w:bottom w:val="single" w:color="auto" w:sz="4" w:space="0"/>
              <w:right w:val="single" w:color="auto" w:sz="4" w:space="0"/>
            </w:tcBorders>
            <w:noWrap w:val="0"/>
            <w:vAlign w:val="top"/>
          </w:tcPr>
          <w:p>
            <w:pPr>
              <w:spacing w:line="300" w:lineRule="exact"/>
              <w:rPr>
                <w:rFonts w:ascii="宋体" w:hAnsi="宋体"/>
                <w:szCs w:val="21"/>
              </w:rPr>
            </w:pPr>
          </w:p>
        </w:tc>
      </w:tr>
    </w:tbl>
    <w:p>
      <w:pPr>
        <w:pStyle w:val="13"/>
        <w:widowControl/>
        <w:spacing w:line="400" w:lineRule="exact"/>
        <w:ind w:firstLine="0" w:firstLineChars="0"/>
        <w:rPr>
          <w:rFonts w:hint="eastAsia" w:ascii="宋体" w:hAnsi="宋体" w:eastAsia="宋体" w:cs="仿宋_GB2312"/>
          <w:sz w:val="24"/>
          <w:szCs w:val="24"/>
        </w:rPr>
      </w:pPr>
      <w:r>
        <w:rPr>
          <w:rFonts w:hint="eastAsia" w:ascii="宋体" w:hAnsi="宋体" w:eastAsia="宋体" w:cs="仿宋_GB2312"/>
          <w:sz w:val="24"/>
          <w:szCs w:val="24"/>
        </w:rPr>
        <w:t>注：</w:t>
      </w:r>
    </w:p>
    <w:p>
      <w:pPr>
        <w:pStyle w:val="13"/>
        <w:widowControl/>
        <w:spacing w:line="400" w:lineRule="exact"/>
        <w:ind w:firstLine="0" w:firstLineChars="0"/>
        <w:rPr>
          <w:rFonts w:hint="eastAsia" w:ascii="宋体" w:hAnsi="宋体" w:eastAsia="宋体" w:cs="仿宋_GB2312"/>
          <w:sz w:val="24"/>
          <w:szCs w:val="24"/>
        </w:rPr>
      </w:pPr>
      <w:r>
        <w:rPr>
          <w:rFonts w:hint="eastAsia" w:ascii="宋体" w:hAnsi="宋体" w:eastAsia="宋体" w:cs="仿宋_GB2312"/>
          <w:sz w:val="24"/>
          <w:szCs w:val="24"/>
        </w:rPr>
        <w:t>1.说明：应对照磋商文件“第二章 采购需求”中的商务条款逐条作出明确响应，并作出偏离说明。</w:t>
      </w:r>
    </w:p>
    <w:p>
      <w:pPr>
        <w:pStyle w:val="13"/>
        <w:widowControl/>
        <w:spacing w:line="400" w:lineRule="exact"/>
        <w:ind w:firstLine="0" w:firstLineChars="0"/>
        <w:rPr>
          <w:rFonts w:hint="eastAsia" w:ascii="宋体" w:hAnsi="宋体" w:eastAsia="宋体" w:cs="仿宋_GB2312"/>
          <w:sz w:val="24"/>
          <w:szCs w:val="24"/>
        </w:rPr>
      </w:pPr>
      <w:r>
        <w:rPr>
          <w:rFonts w:hint="eastAsia" w:ascii="宋体" w:hAnsi="宋体" w:eastAsia="宋体" w:cs="仿宋_GB2312"/>
          <w:sz w:val="24"/>
          <w:szCs w:val="24"/>
        </w:rPr>
        <w:t>2.供应商应根据自身的承诺，对照磋商文件要求，在“偏离说明”中注明“正偏离”、“负偏离”或者“无偏离”。既不属于“正偏离”也不属于“负偏离”即为“无偏离”。</w:t>
      </w:r>
      <w:r>
        <w:rPr>
          <w:rFonts w:hint="eastAsia" w:ascii="宋体" w:hAnsi="宋体"/>
          <w:sz w:val="24"/>
          <w:szCs w:val="24"/>
        </w:rPr>
        <w:t xml:space="preserve"> </w:t>
      </w:r>
      <w:r>
        <w:rPr>
          <w:rFonts w:hint="eastAsia" w:hAnsi="宋体"/>
          <w:sz w:val="24"/>
          <w:szCs w:val="24"/>
        </w:rPr>
        <w:t>当响应文件的</w:t>
      </w:r>
      <w:r>
        <w:rPr>
          <w:rFonts w:hint="eastAsia" w:ascii="宋体" w:hAnsi="宋体" w:eastAsia="宋体" w:cs="仿宋_GB2312"/>
          <w:sz w:val="24"/>
          <w:szCs w:val="24"/>
        </w:rPr>
        <w:t>商务内容低于竞争性磋商采购文件要求时，竞标人应当如实写明“负偏离”，否则视为虚假应标</w:t>
      </w:r>
    </w:p>
    <w:p>
      <w:pPr>
        <w:spacing w:line="400" w:lineRule="exact"/>
        <w:rPr>
          <w:rFonts w:hint="eastAsia" w:ascii="宋体" w:hAnsi="宋体" w:cs="仿宋_GB2312"/>
          <w:kern w:val="0"/>
          <w:sz w:val="24"/>
        </w:rPr>
      </w:pPr>
      <w:r>
        <w:rPr>
          <w:rFonts w:hint="eastAsia" w:ascii="宋体" w:hAnsi="宋体" w:cs="仿宋_GB2312"/>
          <w:kern w:val="0"/>
          <w:sz w:val="24"/>
        </w:rPr>
        <w:t>3.表格内容均需按要求填写，不得留空，否则按竞标无效处理。</w:t>
      </w:r>
    </w:p>
    <w:p>
      <w:pPr>
        <w:pStyle w:val="17"/>
        <w:widowControl/>
        <w:spacing w:line="400" w:lineRule="exact"/>
        <w:rPr>
          <w:rFonts w:hint="eastAsia" w:hAnsi="宋体" w:cs="仿宋_GB2312"/>
          <w:sz w:val="24"/>
          <w:szCs w:val="24"/>
        </w:rPr>
      </w:pPr>
      <w:r>
        <w:rPr>
          <w:rFonts w:hint="eastAsia" w:hAnsi="宋体" w:cs="仿宋_GB2312"/>
          <w:sz w:val="24"/>
          <w:szCs w:val="24"/>
        </w:rPr>
        <w:t>4.如果采购需求为小于、小于等于、大于或大于等于某个数值标准时，响应文件承诺不得直接复制采购需求，响应文件承诺内容应当写明竞标货物具体参数或商务响应承诺的具体数值，否则按竞标无效处理。如该采购需求属于不能明确具体数值的，采购人应在此采购需求的数值后标注◆号，对标注◆号的采购需求不适用上述“竞标无效”条款。</w:t>
      </w:r>
    </w:p>
    <w:p>
      <w:pPr>
        <w:spacing w:line="360" w:lineRule="auto"/>
        <w:ind w:firstLine="3840" w:firstLineChars="1600"/>
        <w:rPr>
          <w:rFonts w:hint="eastAsia" w:ascii="宋体" w:hAnsi="宋体" w:cs="仿宋_GB2312"/>
          <w:sz w:val="24"/>
        </w:rPr>
      </w:pPr>
      <w:r>
        <w:rPr>
          <w:rFonts w:hint="eastAsia" w:ascii="仿宋_GB2312" w:hAnsi="仿宋" w:eastAsia="仿宋_GB2312"/>
          <w:kern w:val="0"/>
          <w:sz w:val="24"/>
        </w:rPr>
        <w:t>供应商名称（电子签章）：</w:t>
      </w:r>
    </w:p>
    <w:p>
      <w:pPr>
        <w:spacing w:line="360" w:lineRule="auto"/>
        <w:jc w:val="center"/>
        <w:rPr>
          <w:rFonts w:hint="eastAsia" w:ascii="宋体" w:hAnsi="宋体" w:cs="仿宋_GB2312"/>
          <w:b/>
          <w:sz w:val="24"/>
        </w:rPr>
      </w:pPr>
      <w:r>
        <w:rPr>
          <w:rFonts w:hint="eastAsia" w:ascii="仿宋_GB2312" w:hAnsi="仿宋" w:eastAsia="仿宋_GB2312"/>
          <w:kern w:val="0"/>
          <w:sz w:val="24"/>
        </w:rPr>
        <w:t xml:space="preserve">                                                   日期：  年  月   日</w:t>
      </w:r>
    </w:p>
    <w:p>
      <w:pPr>
        <w:snapToGrid w:val="0"/>
        <w:spacing w:line="360" w:lineRule="auto"/>
        <w:rPr>
          <w:rFonts w:hint="eastAsia" w:ascii="仿宋" w:hAnsi="仿宋" w:eastAsia="仿宋" w:cs="仿宋_GB2312"/>
          <w:b/>
          <w:sz w:val="30"/>
          <w:szCs w:val="30"/>
        </w:rPr>
      </w:pPr>
      <w:r>
        <w:rPr>
          <w:rFonts w:hint="eastAsia" w:ascii="仿宋" w:hAnsi="仿宋" w:eastAsia="仿宋" w:cs="仿宋_GB2312"/>
          <w:b/>
          <w:sz w:val="30"/>
          <w:szCs w:val="30"/>
        </w:rPr>
        <w:br w:type="page"/>
      </w:r>
      <w:r>
        <w:rPr>
          <w:rFonts w:hint="eastAsia" w:ascii="仿宋" w:hAnsi="仿宋" w:eastAsia="仿宋" w:cs="仿宋_GB2312"/>
          <w:b/>
          <w:sz w:val="30"/>
          <w:szCs w:val="30"/>
        </w:rPr>
        <w:t xml:space="preserve">   五、磋商保证金的相关证明复印件</w:t>
      </w:r>
    </w:p>
    <w:p>
      <w:pPr>
        <w:snapToGrid w:val="0"/>
        <w:spacing w:line="360" w:lineRule="auto"/>
        <w:ind w:firstLine="480" w:firstLineChars="200"/>
        <w:rPr>
          <w:rFonts w:hint="eastAsia" w:ascii="仿宋" w:hAnsi="仿宋" w:eastAsia="仿宋" w:cs="仿宋_GB2312"/>
          <w:b/>
          <w:sz w:val="30"/>
          <w:szCs w:val="30"/>
        </w:rPr>
      </w:pPr>
      <w:r>
        <w:rPr>
          <w:rFonts w:hint="eastAsia" w:ascii="仿宋_GB2312" w:hAnsi="仿宋" w:eastAsia="仿宋_GB2312"/>
          <w:sz w:val="24"/>
        </w:rPr>
        <w:t>（由供应商根据采购文件要求提供）</w:t>
      </w:r>
    </w:p>
    <w:p>
      <w:pPr>
        <w:snapToGrid w:val="0"/>
        <w:spacing w:line="360" w:lineRule="auto"/>
        <w:rPr>
          <w:rFonts w:hint="eastAsia" w:ascii="仿宋" w:hAnsi="仿宋" w:eastAsia="仿宋" w:cs="仿宋_GB2312"/>
          <w:b/>
          <w:sz w:val="30"/>
          <w:szCs w:val="30"/>
        </w:rPr>
      </w:pPr>
    </w:p>
    <w:p>
      <w:pPr>
        <w:snapToGrid w:val="0"/>
        <w:spacing w:line="360" w:lineRule="auto"/>
        <w:ind w:firstLine="452" w:firstLineChars="150"/>
        <w:rPr>
          <w:rFonts w:hint="eastAsia" w:ascii="仿宋" w:hAnsi="仿宋" w:eastAsia="仿宋" w:cs="仿宋_GB2312"/>
          <w:b/>
          <w:sz w:val="30"/>
          <w:szCs w:val="30"/>
        </w:rPr>
      </w:pPr>
    </w:p>
    <w:p>
      <w:pPr>
        <w:snapToGrid w:val="0"/>
        <w:spacing w:line="360" w:lineRule="auto"/>
        <w:ind w:firstLine="452" w:firstLineChars="150"/>
        <w:rPr>
          <w:rFonts w:hint="eastAsia" w:ascii="仿宋" w:hAnsi="仿宋" w:eastAsia="仿宋" w:cs="仿宋_GB2312"/>
          <w:b/>
          <w:sz w:val="30"/>
          <w:szCs w:val="30"/>
        </w:rPr>
      </w:pPr>
    </w:p>
    <w:p>
      <w:pPr>
        <w:snapToGrid w:val="0"/>
        <w:spacing w:line="360" w:lineRule="auto"/>
        <w:ind w:firstLine="452" w:firstLineChars="150"/>
        <w:rPr>
          <w:rFonts w:hint="eastAsia" w:ascii="仿宋" w:hAnsi="仿宋" w:eastAsia="仿宋" w:cs="仿宋_GB2312"/>
          <w:b/>
          <w:sz w:val="30"/>
          <w:szCs w:val="30"/>
        </w:rPr>
      </w:pPr>
      <w:r>
        <w:rPr>
          <w:rFonts w:hint="eastAsia" w:ascii="仿宋" w:hAnsi="仿宋" w:eastAsia="仿宋" w:cs="仿宋_GB2312"/>
          <w:b/>
          <w:sz w:val="30"/>
          <w:szCs w:val="30"/>
        </w:rPr>
        <w:t>六、竞标人情况介绍</w:t>
      </w:r>
    </w:p>
    <w:p>
      <w:pPr>
        <w:snapToGrid w:val="0"/>
        <w:spacing w:line="360" w:lineRule="auto"/>
        <w:ind w:firstLine="602" w:firstLineChars="200"/>
        <w:rPr>
          <w:rFonts w:hint="eastAsia" w:ascii="仿宋" w:hAnsi="仿宋" w:eastAsia="仿宋" w:cs="仿宋_GB2312"/>
          <w:b/>
          <w:sz w:val="30"/>
          <w:szCs w:val="30"/>
        </w:rPr>
      </w:pPr>
      <w:r>
        <w:rPr>
          <w:rFonts w:hint="eastAsia" w:ascii="仿宋" w:hAnsi="仿宋" w:eastAsia="仿宋" w:cs="仿宋_GB2312"/>
          <w:b/>
          <w:sz w:val="30"/>
          <w:szCs w:val="30"/>
        </w:rPr>
        <w:t xml:space="preserve"> </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480" w:firstLineChars="2700"/>
        <w:rPr>
          <w:rFonts w:hint="eastAsia" w:ascii="仿宋_GB2312" w:hAnsi="仿宋" w:eastAsia="仿宋_GB2312"/>
          <w:b/>
          <w:bCs/>
          <w:sz w:val="24"/>
        </w:rPr>
      </w:pPr>
      <w:r>
        <w:rPr>
          <w:rFonts w:hint="eastAsia" w:ascii="仿宋_GB2312" w:hAnsi="仿宋" w:eastAsia="仿宋_GB2312"/>
          <w:kern w:val="0"/>
          <w:sz w:val="24"/>
        </w:rPr>
        <w:t>日期：  年  月   日</w:t>
      </w:r>
    </w:p>
    <w:p>
      <w:pPr>
        <w:rPr>
          <w:rFonts w:hint="eastAsia" w:ascii="仿宋" w:hAnsi="仿宋" w:eastAsia="仿宋" w:cs="仿宋_GB2312"/>
          <w:b/>
          <w:sz w:val="30"/>
          <w:szCs w:val="30"/>
        </w:rPr>
      </w:pPr>
    </w:p>
    <w:p>
      <w:pPr>
        <w:snapToGrid w:val="0"/>
        <w:spacing w:before="156" w:beforeLines="50" w:after="50"/>
        <w:ind w:firstLine="602" w:firstLineChars="200"/>
        <w:rPr>
          <w:rFonts w:hint="eastAsia" w:ascii="仿宋" w:hAnsi="仿宋" w:eastAsia="仿宋" w:cs="仿宋_GB2312"/>
          <w:b/>
          <w:sz w:val="30"/>
          <w:szCs w:val="30"/>
        </w:rPr>
      </w:pPr>
    </w:p>
    <w:p>
      <w:pPr>
        <w:snapToGrid w:val="0"/>
        <w:spacing w:before="156" w:beforeLines="50" w:after="50"/>
        <w:ind w:firstLine="602" w:firstLineChars="200"/>
        <w:rPr>
          <w:rFonts w:hint="eastAsia" w:ascii="仿宋" w:hAnsi="仿宋" w:eastAsia="仿宋" w:cs="仿宋_GB2312"/>
          <w:b/>
          <w:sz w:val="30"/>
          <w:szCs w:val="30"/>
        </w:rPr>
      </w:pPr>
    </w:p>
    <w:p>
      <w:pPr>
        <w:snapToGrid w:val="0"/>
        <w:spacing w:before="156" w:beforeLines="50" w:after="50"/>
        <w:ind w:firstLine="602" w:firstLineChars="200"/>
        <w:rPr>
          <w:rFonts w:hint="eastAsia" w:ascii="仿宋" w:hAnsi="仿宋" w:eastAsia="仿宋" w:cs="仿宋_GB2312"/>
          <w:b/>
          <w:sz w:val="30"/>
          <w:szCs w:val="30"/>
        </w:rPr>
      </w:pPr>
      <w:r>
        <w:rPr>
          <w:rFonts w:hint="eastAsia" w:ascii="仿宋" w:hAnsi="仿宋" w:eastAsia="仿宋" w:cs="仿宋_GB2312"/>
          <w:b/>
          <w:sz w:val="30"/>
          <w:szCs w:val="30"/>
        </w:rPr>
        <w:t>七、供应商类似的业绩证明文件</w:t>
      </w:r>
    </w:p>
    <w:p>
      <w:pPr>
        <w:pStyle w:val="24"/>
        <w:widowControl/>
        <w:snapToGrid w:val="0"/>
        <w:ind w:left="480" w:hanging="480"/>
        <w:rPr>
          <w:rFonts w:hint="eastAsia" w:ascii="宋体" w:hAnsi="宋体"/>
          <w:sz w:val="24"/>
        </w:rPr>
      </w:pPr>
      <w:r>
        <w:rPr>
          <w:rFonts w:hint="eastAsia" w:ascii="宋体" w:hAnsi="宋体"/>
          <w:sz w:val="24"/>
        </w:rPr>
        <w:t xml:space="preserve"> </w:t>
      </w:r>
    </w:p>
    <w:p>
      <w:pPr>
        <w:snapToGrid w:val="0"/>
        <w:spacing w:before="156" w:beforeLines="50" w:after="50"/>
        <w:rPr>
          <w:rFonts w:hint="eastAsia" w:ascii="仿宋" w:hAnsi="仿宋" w:eastAsia="仿宋" w:cs="仿宋_GB2312"/>
          <w:b/>
          <w:sz w:val="30"/>
          <w:szCs w:val="30"/>
        </w:rPr>
      </w:pPr>
      <w:r>
        <w:rPr>
          <w:rFonts w:hint="eastAsia"/>
        </w:rPr>
        <w:t>（供应商可自行编制业绩清单表，并按“评审标准”中的要求随表提交相应的业绩证明材料并注明所在供应商商务技术文件页码。）</w:t>
      </w:r>
    </w:p>
    <w:p>
      <w:pPr>
        <w:pStyle w:val="27"/>
        <w:widowControl/>
        <w:snapToGrid w:val="0"/>
        <w:ind w:left="480" w:hanging="480"/>
        <w:contextualSpacing/>
        <w:rPr>
          <w:rFonts w:hint="eastAsia" w:ascii="宋体" w:hAnsi="宋体"/>
        </w:rPr>
      </w:pPr>
      <w:r>
        <w:rPr>
          <w:rFonts w:hint="eastAsia" w:ascii="宋体" w:hAnsi="宋体"/>
        </w:rPr>
        <w:t xml:space="preserve"> </w:t>
      </w:r>
    </w:p>
    <w:p>
      <w:pPr>
        <w:pStyle w:val="27"/>
        <w:widowControl/>
        <w:snapToGrid w:val="0"/>
        <w:ind w:left="480" w:hanging="480"/>
        <w:contextualSpacing/>
        <w:rPr>
          <w:rFonts w:hint="eastAsia" w:ascii="宋体" w:hAnsi="宋体"/>
        </w:rPr>
      </w:pPr>
      <w:r>
        <w:rPr>
          <w:rFonts w:hint="eastAsia" w:ascii="宋体" w:hAnsi="宋体"/>
        </w:rPr>
        <w:t xml:space="preserve"> </w:t>
      </w:r>
    </w:p>
    <w:p>
      <w:pPr>
        <w:pStyle w:val="17"/>
        <w:widowControl/>
        <w:spacing w:line="360" w:lineRule="auto"/>
        <w:ind w:left="72"/>
        <w:rPr>
          <w:rFonts w:hint="eastAsia" w:ascii="Times New Roman" w:hAnsi="Times New Roman"/>
          <w:szCs w:val="20"/>
        </w:rPr>
      </w:pPr>
    </w:p>
    <w:p>
      <w:pPr>
        <w:snapToGrid w:val="0"/>
        <w:spacing w:line="360" w:lineRule="auto"/>
        <w:ind w:firstLine="4935" w:firstLineChars="2350"/>
        <w:rPr>
          <w:rFonts w:ascii="Calibri" w:hAnsi="宋体"/>
        </w:rPr>
      </w:pPr>
      <w:r>
        <w:rPr>
          <w:rFonts w:hAnsi="宋体"/>
        </w:rPr>
        <w:t xml:space="preserve"> </w:t>
      </w:r>
    </w:p>
    <w:p>
      <w:pPr>
        <w:snapToGrid w:val="0"/>
        <w:spacing w:line="360" w:lineRule="auto"/>
        <w:ind w:firstLine="4935" w:firstLineChars="2350"/>
        <w:rPr>
          <w:rFonts w:hAnsi="宋体"/>
        </w:rPr>
      </w:pPr>
      <w:r>
        <w:rPr>
          <w:rFonts w:hAnsi="宋体"/>
        </w:rPr>
        <w:t xml:space="preserve"> </w:t>
      </w:r>
    </w:p>
    <w:p>
      <w:pPr>
        <w:snapToGrid w:val="0"/>
        <w:spacing w:line="360" w:lineRule="auto"/>
        <w:ind w:left="4410" w:leftChars="2100" w:firstLine="5670" w:firstLineChars="2700"/>
        <w:rPr>
          <w:rFonts w:ascii="仿宋_GB2312" w:hAnsi="仿宋" w:eastAsia="仿宋_GB2312"/>
          <w:kern w:val="0"/>
          <w:sz w:val="24"/>
        </w:rPr>
      </w:pPr>
      <w:r>
        <w:rPr>
          <w:rFonts w:hAnsi="宋体"/>
        </w:rPr>
        <w:t xml:space="preserve"> </w:t>
      </w:r>
      <w:r>
        <w:rPr>
          <w:rFonts w:hint="eastAsia" w:ascii="仿宋_GB2312" w:hAnsi="仿宋" w:eastAsia="仿宋_GB2312"/>
          <w:kern w:val="0"/>
          <w:sz w:val="24"/>
        </w:rPr>
        <w:t>供应商名称(电子签章)：</w:t>
      </w:r>
    </w:p>
    <w:p>
      <w:pPr>
        <w:spacing w:line="500" w:lineRule="exact"/>
        <w:jc w:val="center"/>
        <w:rPr>
          <w:rFonts w:hint="eastAsia" w:ascii="仿宋_GB2312" w:hAnsi="Calibri" w:eastAsia="仿宋_GB2312"/>
          <w:sz w:val="32"/>
          <w:szCs w:val="32"/>
        </w:rPr>
      </w:pPr>
      <w:r>
        <w:rPr>
          <w:rFonts w:hint="eastAsia" w:ascii="仿宋_GB2312" w:hAnsi="仿宋" w:eastAsia="仿宋_GB2312"/>
          <w:kern w:val="0"/>
          <w:sz w:val="24"/>
        </w:rPr>
        <w:t xml:space="preserve">                                                     日期：  年  月   日</w:t>
      </w:r>
    </w:p>
    <w:p>
      <w:pPr>
        <w:widowControl/>
        <w:jc w:val="left"/>
        <w:rPr>
          <w:rFonts w:ascii="仿宋_GB2312" w:hAnsi="宋体" w:eastAsia="仿宋_GB2312" w:cs="宋体"/>
          <w:sz w:val="32"/>
          <w:szCs w:val="32"/>
        </w:rPr>
        <w:sectPr>
          <w:pgSz w:w="11910" w:h="16840"/>
          <w:pgMar w:top="1340" w:right="1500" w:bottom="280" w:left="1680" w:header="720" w:footer="720" w:gutter="0"/>
          <w:cols w:space="720" w:num="1"/>
          <w:docGrid w:type="lines" w:linePitch="312" w:charSpace="0"/>
        </w:sectPr>
      </w:pPr>
    </w:p>
    <w:p>
      <w:pPr>
        <w:snapToGrid w:val="0"/>
        <w:spacing w:line="360" w:lineRule="auto"/>
        <w:ind w:firstLine="602" w:firstLineChars="200"/>
        <w:rPr>
          <w:rFonts w:hint="eastAsia" w:ascii="仿宋_GB2312" w:eastAsia="仿宋_GB2312"/>
          <w:sz w:val="32"/>
          <w:szCs w:val="32"/>
        </w:rPr>
      </w:pPr>
      <w:r>
        <w:rPr>
          <w:rFonts w:hint="eastAsia" w:ascii="仿宋" w:hAnsi="仿宋" w:eastAsia="仿宋" w:cs="仿宋_GB2312"/>
          <w:b/>
          <w:sz w:val="30"/>
          <w:szCs w:val="30"/>
        </w:rPr>
        <w:t>八、服务需求偏离表</w:t>
      </w:r>
    </w:p>
    <w:p>
      <w:pPr>
        <w:spacing w:line="500" w:lineRule="exact"/>
        <w:jc w:val="center"/>
        <w:rPr>
          <w:rFonts w:hint="eastAsia" w:ascii="方正小标宋简体" w:hAnsi="方正小标宋简体" w:eastAsia="方正小标宋简体"/>
          <w:bCs/>
          <w:sz w:val="44"/>
          <w:szCs w:val="44"/>
        </w:rPr>
      </w:pPr>
      <w:r>
        <w:rPr>
          <w:rFonts w:hint="eastAsia" w:ascii="方正小标宋简体" w:hAnsi="方正小标宋简体" w:eastAsia="方正小标宋简体"/>
          <w:bCs/>
          <w:sz w:val="44"/>
          <w:szCs w:val="44"/>
        </w:rPr>
        <w:t>竞标产品服务需求偏离表</w:t>
      </w:r>
    </w:p>
    <w:p>
      <w:pPr>
        <w:spacing w:line="500" w:lineRule="exact"/>
        <w:jc w:val="center"/>
        <w:rPr>
          <w:rFonts w:hint="eastAsia" w:ascii="宋体" w:hAnsi="宋体"/>
          <w:b/>
          <w:sz w:val="32"/>
          <w:szCs w:val="32"/>
        </w:rPr>
      </w:pPr>
      <w:r>
        <w:rPr>
          <w:rFonts w:hint="eastAsia" w:ascii="方正小标宋简体" w:hAnsi="方正小标宋简体" w:eastAsia="方正小标宋简体"/>
          <w:bCs/>
          <w:sz w:val="44"/>
          <w:szCs w:val="44"/>
        </w:rPr>
        <w:t>(注：按采购需求具体条款修改)</w:t>
      </w:r>
    </w:p>
    <w:p>
      <w:pPr>
        <w:spacing w:line="360" w:lineRule="auto"/>
        <w:jc w:val="left"/>
        <w:rPr>
          <w:rFonts w:hint="eastAsia" w:ascii="宋体" w:hAnsi="宋体"/>
          <w:sz w:val="24"/>
        </w:rPr>
      </w:pPr>
      <w:r>
        <w:rPr>
          <w:rFonts w:hint="eastAsia" w:ascii="宋体" w:hAnsi="宋体"/>
          <w:sz w:val="24"/>
        </w:rPr>
        <w:t xml:space="preserve"> </w:t>
      </w:r>
    </w:p>
    <w:tbl>
      <w:tblPr>
        <w:tblStyle w:val="31"/>
        <w:tblW w:w="80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2"/>
        <w:gridCol w:w="1142"/>
        <w:gridCol w:w="736"/>
        <w:gridCol w:w="1576"/>
        <w:gridCol w:w="1140"/>
        <w:gridCol w:w="658"/>
        <w:gridCol w:w="1146"/>
        <w:gridCol w:w="10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8" w:hRule="atLeast"/>
          <w:jc w:val="center"/>
        </w:trPr>
        <w:tc>
          <w:tcPr>
            <w:tcW w:w="592" w:type="dxa"/>
            <w:vMerge w:val="restart"/>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rPr>
            </w:pPr>
            <w:r>
              <w:rPr>
                <w:rFonts w:hint="eastAsia" w:ascii="宋体" w:hAnsi="宋体"/>
              </w:rPr>
              <w:t>项号</w:t>
            </w:r>
          </w:p>
        </w:tc>
        <w:tc>
          <w:tcPr>
            <w:tcW w:w="3454" w:type="dxa"/>
            <w:gridSpan w:val="3"/>
            <w:tcBorders>
              <w:top w:val="single" w:color="auto" w:sz="4" w:space="0"/>
              <w:left w:val="nil"/>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竞争性磋商采购文件需求</w:t>
            </w:r>
          </w:p>
        </w:tc>
        <w:tc>
          <w:tcPr>
            <w:tcW w:w="2944" w:type="dxa"/>
            <w:gridSpan w:val="3"/>
            <w:tcBorders>
              <w:top w:val="single" w:color="auto" w:sz="4" w:space="0"/>
              <w:left w:val="nil"/>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响应文件承诺</w:t>
            </w:r>
          </w:p>
        </w:tc>
        <w:tc>
          <w:tcPr>
            <w:tcW w:w="1095" w:type="dxa"/>
            <w:vMerge w:val="restart"/>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592"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宋体" w:hAnsi="宋体"/>
                <w:szCs w:val="21"/>
              </w:rPr>
            </w:pPr>
          </w:p>
        </w:tc>
        <w:tc>
          <w:tcPr>
            <w:tcW w:w="1142"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服务名称</w:t>
            </w:r>
          </w:p>
        </w:tc>
        <w:tc>
          <w:tcPr>
            <w:tcW w:w="736"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数量</w:t>
            </w:r>
          </w:p>
        </w:tc>
        <w:tc>
          <w:tcPr>
            <w:tcW w:w="1576"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服务参数要求</w:t>
            </w:r>
          </w:p>
        </w:tc>
        <w:tc>
          <w:tcPr>
            <w:tcW w:w="1140"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服务名称</w:t>
            </w:r>
          </w:p>
        </w:tc>
        <w:tc>
          <w:tcPr>
            <w:tcW w:w="658"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数量</w:t>
            </w:r>
          </w:p>
        </w:tc>
        <w:tc>
          <w:tcPr>
            <w:tcW w:w="1146"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服务参数</w:t>
            </w:r>
          </w:p>
        </w:tc>
        <w:tc>
          <w:tcPr>
            <w:tcW w:w="1095" w:type="dxa"/>
            <w:vMerge w:val="continue"/>
            <w:tcBorders>
              <w:top w:val="single" w:color="auto" w:sz="4" w:space="0"/>
              <w:left w:val="nil"/>
              <w:bottom w:val="single" w:color="auto" w:sz="4" w:space="0"/>
              <w:right w:val="single" w:color="auto" w:sz="4" w:space="0"/>
            </w:tcBorders>
            <w:noWrap w:val="0"/>
            <w:vAlign w:val="center"/>
          </w:tcPr>
          <w:p>
            <w:pPr>
              <w:widowControl/>
              <w:jc w:val="left"/>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3" w:hRule="atLeast"/>
          <w:jc w:val="center"/>
        </w:trPr>
        <w:tc>
          <w:tcPr>
            <w:tcW w:w="59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rPr>
            </w:pPr>
            <w:r>
              <w:rPr>
                <w:rFonts w:hint="eastAsia" w:ascii="宋体" w:hAnsi="宋体"/>
              </w:rPr>
              <w:t>1</w:t>
            </w:r>
          </w:p>
        </w:tc>
        <w:tc>
          <w:tcPr>
            <w:tcW w:w="1142"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w:t>
            </w:r>
          </w:p>
        </w:tc>
        <w:tc>
          <w:tcPr>
            <w:tcW w:w="736"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w:t>
            </w:r>
          </w:p>
        </w:tc>
        <w:tc>
          <w:tcPr>
            <w:tcW w:w="1576" w:type="dxa"/>
            <w:tcBorders>
              <w:top w:val="single" w:color="auto" w:sz="4" w:space="0"/>
              <w:left w:val="nil"/>
              <w:bottom w:val="single" w:color="auto" w:sz="4" w:space="0"/>
              <w:right w:val="single" w:color="auto" w:sz="4" w:space="0"/>
            </w:tcBorders>
            <w:noWrap w:val="0"/>
            <w:vAlign w:val="center"/>
          </w:tcPr>
          <w:p>
            <w:pPr>
              <w:rPr>
                <w:rFonts w:ascii="宋体" w:hAnsi="宋体"/>
              </w:rPr>
            </w:pPr>
            <w:r>
              <w:rPr>
                <w:rFonts w:hint="eastAsia" w:ascii="宋体" w:hAnsi="宋体"/>
              </w:rPr>
              <w:t>1  ……</w:t>
            </w:r>
          </w:p>
          <w:p>
            <w:pPr>
              <w:rPr>
                <w:rFonts w:hint="eastAsia" w:ascii="宋体" w:hAnsi="宋体"/>
              </w:rPr>
            </w:pPr>
            <w:r>
              <w:rPr>
                <w:rFonts w:hint="eastAsia" w:ascii="宋体" w:hAnsi="宋体"/>
              </w:rPr>
              <w:t>2  ……</w:t>
            </w:r>
          </w:p>
          <w:p>
            <w:pPr>
              <w:rPr>
                <w:rFonts w:hint="eastAsia" w:ascii="宋体" w:hAnsi="宋体"/>
              </w:rPr>
            </w:pPr>
            <w:r>
              <w:rPr>
                <w:rFonts w:hint="eastAsia" w:ascii="宋体" w:hAnsi="宋体"/>
              </w:rPr>
              <w:t>3  ……</w:t>
            </w:r>
          </w:p>
          <w:p>
            <w:pPr>
              <w:rPr>
                <w:rFonts w:ascii="宋体" w:hAnsi="宋体"/>
                <w:szCs w:val="21"/>
              </w:rPr>
            </w:pPr>
            <w:r>
              <w:rPr>
                <w:rFonts w:hint="eastAsia" w:ascii="宋体" w:hAnsi="宋体"/>
              </w:rPr>
              <w:t>……</w:t>
            </w:r>
          </w:p>
        </w:tc>
        <w:tc>
          <w:tcPr>
            <w:tcW w:w="1140"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w:t>
            </w:r>
          </w:p>
        </w:tc>
        <w:tc>
          <w:tcPr>
            <w:tcW w:w="658"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w:t>
            </w:r>
          </w:p>
        </w:tc>
        <w:tc>
          <w:tcPr>
            <w:tcW w:w="1146" w:type="dxa"/>
            <w:tcBorders>
              <w:top w:val="single" w:color="auto" w:sz="4" w:space="0"/>
              <w:left w:val="nil"/>
              <w:bottom w:val="single" w:color="auto" w:sz="4" w:space="0"/>
              <w:right w:val="single" w:color="auto" w:sz="4" w:space="0"/>
            </w:tcBorders>
            <w:noWrap w:val="0"/>
            <w:vAlign w:val="center"/>
          </w:tcPr>
          <w:p>
            <w:pPr>
              <w:rPr>
                <w:rFonts w:ascii="宋体" w:hAnsi="宋体"/>
              </w:rPr>
            </w:pPr>
            <w:r>
              <w:rPr>
                <w:rFonts w:hint="eastAsia" w:ascii="宋体" w:hAnsi="宋体"/>
              </w:rPr>
              <w:t>1  ……</w:t>
            </w:r>
          </w:p>
          <w:p>
            <w:pPr>
              <w:rPr>
                <w:rFonts w:hint="eastAsia" w:ascii="宋体" w:hAnsi="宋体"/>
              </w:rPr>
            </w:pPr>
            <w:r>
              <w:rPr>
                <w:rFonts w:hint="eastAsia" w:ascii="宋体" w:hAnsi="宋体"/>
              </w:rPr>
              <w:t>2  ……</w:t>
            </w:r>
          </w:p>
          <w:p>
            <w:pPr>
              <w:rPr>
                <w:rFonts w:hint="eastAsia" w:ascii="宋体" w:hAnsi="宋体"/>
              </w:rPr>
            </w:pPr>
            <w:r>
              <w:rPr>
                <w:rFonts w:hint="eastAsia" w:ascii="宋体" w:hAnsi="宋体"/>
              </w:rPr>
              <w:t>3  ……</w:t>
            </w:r>
          </w:p>
          <w:p>
            <w:pPr>
              <w:rPr>
                <w:rFonts w:ascii="宋体" w:hAnsi="宋体"/>
                <w:szCs w:val="21"/>
              </w:rPr>
            </w:pPr>
            <w:r>
              <w:rPr>
                <w:rFonts w:hint="eastAsia" w:ascii="宋体" w:hAnsi="宋体"/>
              </w:rPr>
              <w:t>……</w:t>
            </w:r>
          </w:p>
        </w:tc>
        <w:tc>
          <w:tcPr>
            <w:tcW w:w="1095"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59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rPr>
            </w:pPr>
            <w:r>
              <w:rPr>
                <w:rFonts w:hint="eastAsia" w:ascii="宋体" w:hAnsi="宋体"/>
              </w:rPr>
              <w:t>2</w:t>
            </w:r>
          </w:p>
        </w:tc>
        <w:tc>
          <w:tcPr>
            <w:tcW w:w="1142"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w:t>
            </w:r>
          </w:p>
        </w:tc>
        <w:tc>
          <w:tcPr>
            <w:tcW w:w="736"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w:t>
            </w:r>
          </w:p>
        </w:tc>
        <w:tc>
          <w:tcPr>
            <w:tcW w:w="1576" w:type="dxa"/>
            <w:tcBorders>
              <w:top w:val="single" w:color="auto" w:sz="4" w:space="0"/>
              <w:left w:val="nil"/>
              <w:bottom w:val="single" w:color="auto" w:sz="4" w:space="0"/>
              <w:right w:val="single" w:color="auto" w:sz="4" w:space="0"/>
            </w:tcBorders>
            <w:noWrap w:val="0"/>
            <w:vAlign w:val="center"/>
          </w:tcPr>
          <w:p>
            <w:pPr>
              <w:rPr>
                <w:rFonts w:ascii="宋体" w:hAnsi="宋体"/>
              </w:rPr>
            </w:pPr>
            <w:r>
              <w:rPr>
                <w:rFonts w:hint="eastAsia" w:ascii="宋体" w:hAnsi="宋体"/>
              </w:rPr>
              <w:t>1  ……</w:t>
            </w:r>
          </w:p>
          <w:p>
            <w:pPr>
              <w:rPr>
                <w:rFonts w:hint="eastAsia" w:ascii="宋体" w:hAnsi="宋体"/>
              </w:rPr>
            </w:pPr>
            <w:r>
              <w:rPr>
                <w:rFonts w:hint="eastAsia" w:ascii="宋体" w:hAnsi="宋体"/>
              </w:rPr>
              <w:t>2  ……</w:t>
            </w:r>
          </w:p>
          <w:p>
            <w:pPr>
              <w:rPr>
                <w:rFonts w:hint="eastAsia" w:ascii="宋体" w:hAnsi="宋体"/>
              </w:rPr>
            </w:pPr>
            <w:r>
              <w:rPr>
                <w:rFonts w:hint="eastAsia" w:ascii="宋体" w:hAnsi="宋体"/>
              </w:rPr>
              <w:t>3  ……</w:t>
            </w:r>
          </w:p>
          <w:p>
            <w:pPr>
              <w:rPr>
                <w:rFonts w:ascii="宋体" w:hAnsi="宋体"/>
                <w:szCs w:val="21"/>
              </w:rPr>
            </w:pPr>
            <w:r>
              <w:rPr>
                <w:rFonts w:hint="eastAsia" w:ascii="宋体" w:hAnsi="宋体"/>
              </w:rPr>
              <w:t>……</w:t>
            </w:r>
          </w:p>
        </w:tc>
        <w:tc>
          <w:tcPr>
            <w:tcW w:w="1140"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w:t>
            </w:r>
          </w:p>
        </w:tc>
        <w:tc>
          <w:tcPr>
            <w:tcW w:w="658"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w:t>
            </w:r>
          </w:p>
        </w:tc>
        <w:tc>
          <w:tcPr>
            <w:tcW w:w="1146" w:type="dxa"/>
            <w:tcBorders>
              <w:top w:val="single" w:color="auto" w:sz="4" w:space="0"/>
              <w:left w:val="nil"/>
              <w:bottom w:val="single" w:color="auto" w:sz="4" w:space="0"/>
              <w:right w:val="single" w:color="auto" w:sz="4" w:space="0"/>
            </w:tcBorders>
            <w:noWrap w:val="0"/>
            <w:vAlign w:val="center"/>
          </w:tcPr>
          <w:p>
            <w:pPr>
              <w:rPr>
                <w:rFonts w:ascii="宋体" w:hAnsi="宋体"/>
              </w:rPr>
            </w:pPr>
            <w:r>
              <w:rPr>
                <w:rFonts w:hint="eastAsia" w:ascii="宋体" w:hAnsi="宋体"/>
              </w:rPr>
              <w:t>1  ……</w:t>
            </w:r>
          </w:p>
          <w:p>
            <w:pPr>
              <w:rPr>
                <w:rFonts w:hint="eastAsia" w:ascii="宋体" w:hAnsi="宋体"/>
              </w:rPr>
            </w:pPr>
            <w:r>
              <w:rPr>
                <w:rFonts w:hint="eastAsia" w:ascii="宋体" w:hAnsi="宋体"/>
              </w:rPr>
              <w:t>2  ……</w:t>
            </w:r>
          </w:p>
          <w:p>
            <w:pPr>
              <w:rPr>
                <w:rFonts w:hint="eastAsia" w:ascii="宋体" w:hAnsi="宋体"/>
              </w:rPr>
            </w:pPr>
            <w:r>
              <w:rPr>
                <w:rFonts w:hint="eastAsia" w:ascii="宋体" w:hAnsi="宋体"/>
              </w:rPr>
              <w:t>3  ……</w:t>
            </w:r>
          </w:p>
          <w:p>
            <w:pPr>
              <w:rPr>
                <w:rFonts w:ascii="宋体" w:hAnsi="宋体"/>
                <w:szCs w:val="21"/>
              </w:rPr>
            </w:pPr>
            <w:r>
              <w:rPr>
                <w:rFonts w:hint="eastAsia" w:ascii="宋体" w:hAnsi="宋体"/>
              </w:rPr>
              <w:t>……</w:t>
            </w:r>
          </w:p>
        </w:tc>
        <w:tc>
          <w:tcPr>
            <w:tcW w:w="1095"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jc w:val="center"/>
        </w:trPr>
        <w:tc>
          <w:tcPr>
            <w:tcW w:w="592"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rPr>
            </w:pPr>
            <w:r>
              <w:rPr>
                <w:rFonts w:hint="eastAsia" w:ascii="宋体" w:hAnsi="宋体"/>
              </w:rPr>
              <w:t>...</w:t>
            </w:r>
          </w:p>
        </w:tc>
        <w:tc>
          <w:tcPr>
            <w:tcW w:w="1142"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736"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1576"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1140"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658"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1146"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1095"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r>
    </w:tbl>
    <w:p>
      <w:pPr>
        <w:pStyle w:val="27"/>
        <w:spacing w:line="360" w:lineRule="auto"/>
        <w:contextualSpacing/>
        <w:rPr>
          <w:rFonts w:hint="eastAsia" w:ascii="宋体" w:hAnsi="宋体"/>
        </w:rPr>
      </w:pPr>
      <w:r>
        <w:rPr>
          <w:rFonts w:hint="eastAsia" w:ascii="宋体" w:hAnsi="宋体"/>
        </w:rPr>
        <w:t>注：</w:t>
      </w:r>
    </w:p>
    <w:p>
      <w:pPr>
        <w:pStyle w:val="27"/>
        <w:spacing w:line="360" w:lineRule="auto"/>
        <w:contextualSpacing/>
        <w:rPr>
          <w:rFonts w:hint="eastAsia" w:ascii="宋体" w:hAnsi="宋体"/>
          <w:sz w:val="21"/>
          <w:szCs w:val="21"/>
        </w:rPr>
      </w:pPr>
      <w:r>
        <w:rPr>
          <w:rFonts w:hint="eastAsia" w:ascii="宋体" w:hAnsi="宋体"/>
          <w:sz w:val="21"/>
          <w:szCs w:val="21"/>
        </w:rPr>
        <w:t>注：</w:t>
      </w:r>
    </w:p>
    <w:p>
      <w:pPr>
        <w:pStyle w:val="27"/>
        <w:spacing w:line="360" w:lineRule="auto"/>
        <w:contextualSpacing/>
        <w:rPr>
          <w:rFonts w:hint="eastAsia" w:ascii="宋体" w:hAnsi="宋体" w:cs="仿宋_GB2312"/>
          <w:sz w:val="21"/>
          <w:szCs w:val="21"/>
        </w:rPr>
      </w:pPr>
      <w:r>
        <w:rPr>
          <w:rFonts w:hint="eastAsia" w:ascii="宋体" w:hAnsi="宋体" w:cs="仿宋_GB2312"/>
          <w:sz w:val="21"/>
          <w:szCs w:val="21"/>
        </w:rPr>
        <w:t>1.说明：应对照磋商文件“第二章”中“服务需求一览表”的采购清单及技术参数条款逐条作出明确响应，并作出偏离说明。</w:t>
      </w:r>
    </w:p>
    <w:p>
      <w:pPr>
        <w:pStyle w:val="13"/>
        <w:widowControl/>
        <w:spacing w:line="400" w:lineRule="exact"/>
        <w:ind w:firstLine="0" w:firstLineChars="0"/>
        <w:rPr>
          <w:rFonts w:hint="eastAsia" w:ascii="宋体" w:hAnsi="宋体" w:eastAsia="宋体" w:cs="仿宋_GB2312"/>
          <w:sz w:val="21"/>
          <w:szCs w:val="21"/>
        </w:rPr>
      </w:pPr>
      <w:r>
        <w:rPr>
          <w:rFonts w:hint="eastAsia" w:ascii="宋体" w:hAnsi="宋体" w:eastAsia="宋体" w:cs="仿宋_GB2312"/>
          <w:sz w:val="21"/>
          <w:szCs w:val="21"/>
        </w:rPr>
        <w:t>2.供应商应根据自身的承诺，对照磋商文件要求，在“偏离说明”中注明“正偏离”、“负偏离”或者“无偏离”。既不属于“正偏离”也不属于“负偏离”即为“无偏离”。 当响应文件的商务内容低于竞争性磋商采购文件要求时，竞标人应当如实写明“负偏离”，否则视为虚假应标</w:t>
      </w:r>
    </w:p>
    <w:p>
      <w:pPr>
        <w:spacing w:line="400" w:lineRule="exact"/>
        <w:rPr>
          <w:rFonts w:hint="eastAsia" w:ascii="宋体" w:hAnsi="宋体" w:cs="仿宋_GB2312"/>
          <w:kern w:val="0"/>
          <w:szCs w:val="21"/>
        </w:rPr>
      </w:pPr>
      <w:r>
        <w:rPr>
          <w:rFonts w:hint="eastAsia" w:ascii="宋体" w:hAnsi="宋体" w:cs="仿宋_GB2312"/>
          <w:kern w:val="0"/>
        </w:rPr>
        <w:t>3.表格内容均需按要求填写并盖章，不得留空，否则按竞标无效处理。</w:t>
      </w:r>
    </w:p>
    <w:p>
      <w:pPr>
        <w:pStyle w:val="17"/>
        <w:widowControl/>
        <w:spacing w:line="400" w:lineRule="exact"/>
        <w:rPr>
          <w:rFonts w:hint="eastAsia" w:hAnsi="宋体" w:cs="仿宋_GB2312"/>
          <w:sz w:val="21"/>
        </w:rPr>
      </w:pPr>
      <w:r>
        <w:rPr>
          <w:rFonts w:hint="eastAsia" w:hAnsi="宋体" w:cs="仿宋_GB2312"/>
          <w:sz w:val="21"/>
        </w:rPr>
        <w:t>4.如果采购需求为小于、小于等于、大于或大于等于某个数值标准时，响应文件承诺不得直接复制采购需求，响应文件承诺内容应当写明竞标服务具体参数或商务响应承诺的具体数值，否则按竞标无效处理。如该采购需求属于不能明确具体数值的，采购人应在此采购需求的数值后标注◆号，对标注◆号的采购需求不适用上述“竞标无效”条款。</w:t>
      </w:r>
    </w:p>
    <w:p>
      <w:pPr>
        <w:pStyle w:val="13"/>
        <w:widowControl/>
        <w:spacing w:line="360" w:lineRule="auto"/>
        <w:ind w:firstLine="0" w:firstLineChars="0"/>
        <w:rPr>
          <w:rFonts w:hint="eastAsia" w:ascii="宋体" w:hAnsi="宋体" w:cs="仿宋_GB2312"/>
          <w:sz w:val="24"/>
          <w:szCs w:val="24"/>
        </w:rPr>
      </w:pPr>
      <w:r>
        <w:rPr>
          <w:rFonts w:hint="eastAsia" w:ascii="宋体" w:hAnsi="宋体" w:eastAsia="宋体" w:cs="仿宋_GB2312"/>
          <w:sz w:val="21"/>
          <w:szCs w:val="21"/>
        </w:rPr>
        <w:t>5. 如技术偏离表中的竞标响应与佐证材料不一致的，以佐证材料为准。</w:t>
      </w:r>
    </w:p>
    <w:p>
      <w:pPr>
        <w:snapToGrid w:val="0"/>
        <w:spacing w:line="360" w:lineRule="auto"/>
        <w:ind w:firstLine="602" w:firstLineChars="200"/>
        <w:rPr>
          <w:rFonts w:hint="eastAsia" w:ascii="仿宋" w:hAnsi="仿宋" w:eastAsia="仿宋" w:cs="仿宋_GB2312"/>
          <w:b/>
          <w:sz w:val="30"/>
          <w:szCs w:val="30"/>
        </w:rPr>
      </w:pPr>
      <w:r>
        <w:rPr>
          <w:rFonts w:hint="eastAsia" w:ascii="仿宋" w:hAnsi="仿宋" w:eastAsia="仿宋" w:cs="仿宋_GB2312"/>
          <w:b/>
          <w:sz w:val="30"/>
          <w:szCs w:val="30"/>
        </w:rPr>
        <w:t xml:space="preserve"> </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480" w:firstLineChars="2700"/>
        <w:rPr>
          <w:rFonts w:hint="eastAsia" w:ascii="仿宋_GB2312" w:hAnsi="仿宋" w:eastAsia="仿宋_GB2312"/>
          <w:b/>
          <w:bCs/>
          <w:sz w:val="24"/>
        </w:rPr>
      </w:pPr>
      <w:r>
        <w:rPr>
          <w:rFonts w:hint="eastAsia" w:ascii="仿宋_GB2312" w:hAnsi="仿宋" w:eastAsia="仿宋_GB2312"/>
          <w:kern w:val="0"/>
          <w:sz w:val="24"/>
        </w:rPr>
        <w:t>日期：  年  月   日</w:t>
      </w:r>
    </w:p>
    <w:p>
      <w:pPr>
        <w:adjustRightInd w:val="0"/>
        <w:snapToGrid w:val="0"/>
        <w:spacing w:line="520" w:lineRule="exact"/>
        <w:jc w:val="center"/>
        <w:rPr>
          <w:rFonts w:hint="eastAsia" w:ascii="方正小标宋简体" w:hAnsi="方正小标宋简体" w:eastAsia="方正小标宋简体"/>
          <w:bCs/>
          <w:sz w:val="44"/>
          <w:szCs w:val="44"/>
        </w:rPr>
      </w:pPr>
      <w:r>
        <w:rPr>
          <w:rFonts w:hint="eastAsia" w:ascii="方正小标宋简体" w:hAnsi="方正小标宋简体" w:eastAsia="方正小标宋简体"/>
          <w:bCs/>
          <w:sz w:val="44"/>
          <w:szCs w:val="44"/>
        </w:rPr>
        <w:t xml:space="preserve"> </w:t>
      </w:r>
    </w:p>
    <w:p>
      <w:pPr>
        <w:adjustRightInd w:val="0"/>
        <w:snapToGrid w:val="0"/>
        <w:spacing w:line="520" w:lineRule="exact"/>
        <w:jc w:val="center"/>
        <w:rPr>
          <w:rFonts w:hint="eastAsia" w:ascii="宋体" w:hAnsi="宋体"/>
          <w:b/>
          <w:sz w:val="32"/>
          <w:szCs w:val="32"/>
        </w:rPr>
      </w:pPr>
      <w:r>
        <w:rPr>
          <w:rFonts w:hint="eastAsia" w:ascii="方正小标宋简体" w:hAnsi="方正小标宋简体" w:eastAsia="方正小标宋简体"/>
          <w:bCs/>
          <w:sz w:val="44"/>
          <w:szCs w:val="44"/>
        </w:rPr>
        <w:br w:type="page"/>
      </w:r>
      <w:r>
        <w:rPr>
          <w:rFonts w:hint="eastAsia" w:ascii="方正小标宋简体" w:hAnsi="方正小标宋简体" w:eastAsia="方正小标宋简体"/>
          <w:bCs/>
          <w:sz w:val="44"/>
          <w:szCs w:val="44"/>
        </w:rPr>
        <w:t>服务配置清单（如有）</w:t>
      </w:r>
    </w:p>
    <w:p>
      <w:pPr>
        <w:spacing w:line="300" w:lineRule="auto"/>
        <w:rPr>
          <w:rFonts w:hint="eastAsia" w:ascii="宋体" w:hAnsi="宋体"/>
          <w:szCs w:val="21"/>
        </w:rPr>
      </w:pPr>
      <w:r>
        <w:rPr>
          <w:rFonts w:hint="eastAsia" w:ascii="宋体" w:hAnsi="宋体"/>
        </w:rPr>
        <w:t xml:space="preserve"> </w:t>
      </w:r>
    </w:p>
    <w:p>
      <w:pPr>
        <w:spacing w:line="360" w:lineRule="auto"/>
        <w:rPr>
          <w:rFonts w:hint="eastAsia" w:ascii="宋体" w:hAnsi="宋体" w:cs="仿宋_GB2312"/>
          <w:sz w:val="24"/>
          <w:u w:val="single"/>
        </w:rPr>
      </w:pPr>
    </w:p>
    <w:tbl>
      <w:tblPr>
        <w:tblStyle w:val="31"/>
        <w:tblW w:w="5000" w:type="pct"/>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738"/>
        <w:gridCol w:w="1246"/>
        <w:gridCol w:w="804"/>
        <w:gridCol w:w="896"/>
        <w:gridCol w:w="1786"/>
        <w:gridCol w:w="1245"/>
        <w:gridCol w:w="737"/>
        <w:gridCol w:w="1494"/>
      </w:tblGrid>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30" w:hRule="atLeast"/>
          <w:jc w:val="center"/>
        </w:trPr>
        <w:tc>
          <w:tcPr>
            <w:tcW w:w="412" w:type="pct"/>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sz w:val="24"/>
              </w:rPr>
            </w:pPr>
            <w:r>
              <w:rPr>
                <w:rFonts w:hint="eastAsia" w:ascii="宋体" w:hAnsi="宋体"/>
                <w:sz w:val="24"/>
              </w:rPr>
              <w:t>序号</w:t>
            </w:r>
          </w:p>
        </w:tc>
        <w:tc>
          <w:tcPr>
            <w:tcW w:w="696"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r>
              <w:rPr>
                <w:rFonts w:hint="eastAsia" w:ascii="宋体" w:hAnsi="宋体"/>
                <w:sz w:val="24"/>
              </w:rPr>
              <w:t>服务名称</w:t>
            </w:r>
          </w:p>
        </w:tc>
        <w:tc>
          <w:tcPr>
            <w:tcW w:w="449"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r>
              <w:rPr>
                <w:rFonts w:hint="eastAsia" w:ascii="宋体" w:hAnsi="宋体"/>
                <w:sz w:val="24"/>
              </w:rPr>
              <w:t>数量及单位</w:t>
            </w:r>
          </w:p>
        </w:tc>
        <w:tc>
          <w:tcPr>
            <w:tcW w:w="500"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r>
              <w:rPr>
                <w:rFonts w:hint="eastAsia" w:ascii="宋体" w:hAnsi="宋体"/>
                <w:sz w:val="24"/>
              </w:rPr>
              <w:t>品牌</w:t>
            </w:r>
          </w:p>
        </w:tc>
        <w:tc>
          <w:tcPr>
            <w:tcW w:w="998" w:type="pct"/>
            <w:tcBorders>
              <w:top w:val="single" w:color="auto" w:sz="4" w:space="0"/>
              <w:left w:val="nil"/>
              <w:bottom w:val="single" w:color="auto" w:sz="4" w:space="0"/>
              <w:right w:val="single" w:color="auto" w:sz="4" w:space="0"/>
            </w:tcBorders>
            <w:noWrap w:val="0"/>
            <w:vAlign w:val="top"/>
          </w:tcPr>
          <w:p>
            <w:pPr>
              <w:snapToGrid w:val="0"/>
              <w:spacing w:before="50" w:after="50"/>
              <w:jc w:val="center"/>
              <w:rPr>
                <w:rFonts w:ascii="宋体" w:hAnsi="宋体"/>
                <w:sz w:val="24"/>
              </w:rPr>
            </w:pPr>
          </w:p>
          <w:p>
            <w:pPr>
              <w:snapToGrid w:val="0"/>
              <w:spacing w:before="50" w:after="50"/>
              <w:jc w:val="center"/>
              <w:rPr>
                <w:rFonts w:ascii="宋体" w:hAnsi="宋体"/>
                <w:sz w:val="24"/>
              </w:rPr>
            </w:pPr>
            <w:r>
              <w:rPr>
                <w:rFonts w:hint="eastAsia" w:ascii="宋体" w:hAnsi="宋体"/>
                <w:sz w:val="24"/>
              </w:rPr>
              <w:t>规格型号</w:t>
            </w:r>
          </w:p>
        </w:tc>
        <w:tc>
          <w:tcPr>
            <w:tcW w:w="696"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r>
              <w:rPr>
                <w:rFonts w:hint="eastAsia" w:ascii="宋体" w:hAnsi="宋体"/>
                <w:sz w:val="24"/>
              </w:rPr>
              <w:t>制造商</w:t>
            </w:r>
          </w:p>
        </w:tc>
        <w:tc>
          <w:tcPr>
            <w:tcW w:w="412"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r>
              <w:rPr>
                <w:rFonts w:hint="eastAsia" w:ascii="宋体" w:hAnsi="宋体"/>
                <w:sz w:val="24"/>
              </w:rPr>
              <w:t>原产地</w:t>
            </w:r>
          </w:p>
        </w:tc>
        <w:tc>
          <w:tcPr>
            <w:tcW w:w="835"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r>
              <w:rPr>
                <w:rFonts w:hint="eastAsia" w:ascii="宋体" w:hAnsi="宋体"/>
                <w:sz w:val="24"/>
              </w:rPr>
              <w:t>参数性能、指标及配置</w:t>
            </w: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29" w:hRule="atLeast"/>
          <w:jc w:val="center"/>
        </w:trPr>
        <w:tc>
          <w:tcPr>
            <w:tcW w:w="412" w:type="pct"/>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696"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449"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500"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998" w:type="pct"/>
            <w:tcBorders>
              <w:top w:val="single" w:color="auto" w:sz="4" w:space="0"/>
              <w:left w:val="nil"/>
              <w:bottom w:val="single" w:color="auto" w:sz="4" w:space="0"/>
              <w:right w:val="single" w:color="auto" w:sz="4" w:space="0"/>
            </w:tcBorders>
            <w:noWrap w:val="0"/>
            <w:vAlign w:val="top"/>
          </w:tcPr>
          <w:p>
            <w:pPr>
              <w:snapToGrid w:val="0"/>
              <w:spacing w:before="50" w:after="50"/>
              <w:jc w:val="center"/>
              <w:rPr>
                <w:rFonts w:ascii="宋体" w:hAnsi="宋体"/>
                <w:sz w:val="24"/>
              </w:rPr>
            </w:pPr>
          </w:p>
        </w:tc>
        <w:tc>
          <w:tcPr>
            <w:tcW w:w="696"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412"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835"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62" w:hRule="atLeast"/>
          <w:jc w:val="center"/>
        </w:trPr>
        <w:tc>
          <w:tcPr>
            <w:tcW w:w="412" w:type="pct"/>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696"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449"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500"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998" w:type="pct"/>
            <w:tcBorders>
              <w:top w:val="single" w:color="auto" w:sz="4" w:space="0"/>
              <w:left w:val="nil"/>
              <w:bottom w:val="single" w:color="auto" w:sz="4" w:space="0"/>
              <w:right w:val="single" w:color="auto" w:sz="4" w:space="0"/>
            </w:tcBorders>
            <w:noWrap w:val="0"/>
            <w:vAlign w:val="top"/>
          </w:tcPr>
          <w:p>
            <w:pPr>
              <w:snapToGrid w:val="0"/>
              <w:spacing w:before="50" w:after="50"/>
              <w:jc w:val="center"/>
              <w:rPr>
                <w:rFonts w:ascii="宋体" w:hAnsi="宋体"/>
                <w:sz w:val="24"/>
              </w:rPr>
            </w:pPr>
          </w:p>
        </w:tc>
        <w:tc>
          <w:tcPr>
            <w:tcW w:w="696"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412"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835"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455" w:hRule="atLeast"/>
          <w:jc w:val="center"/>
        </w:trPr>
        <w:tc>
          <w:tcPr>
            <w:tcW w:w="412" w:type="pct"/>
            <w:tcBorders>
              <w:top w:val="single" w:color="auto" w:sz="4" w:space="0"/>
              <w:left w:val="single" w:color="auto" w:sz="4" w:space="0"/>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696"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449"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500"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998" w:type="pct"/>
            <w:tcBorders>
              <w:top w:val="single" w:color="auto" w:sz="4" w:space="0"/>
              <w:left w:val="nil"/>
              <w:bottom w:val="single" w:color="auto" w:sz="4" w:space="0"/>
              <w:right w:val="single" w:color="auto" w:sz="4" w:space="0"/>
            </w:tcBorders>
            <w:noWrap w:val="0"/>
            <w:vAlign w:val="top"/>
          </w:tcPr>
          <w:p>
            <w:pPr>
              <w:snapToGrid w:val="0"/>
              <w:spacing w:before="50" w:after="50"/>
              <w:jc w:val="center"/>
              <w:rPr>
                <w:rFonts w:ascii="宋体" w:hAnsi="宋体"/>
                <w:sz w:val="24"/>
              </w:rPr>
            </w:pPr>
          </w:p>
        </w:tc>
        <w:tc>
          <w:tcPr>
            <w:tcW w:w="696"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412"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c>
          <w:tcPr>
            <w:tcW w:w="835" w:type="pct"/>
            <w:tcBorders>
              <w:top w:val="single" w:color="auto" w:sz="4" w:space="0"/>
              <w:left w:val="nil"/>
              <w:bottom w:val="single" w:color="auto" w:sz="4" w:space="0"/>
              <w:right w:val="single" w:color="auto" w:sz="4" w:space="0"/>
            </w:tcBorders>
            <w:noWrap w:val="0"/>
            <w:vAlign w:val="center"/>
          </w:tcPr>
          <w:p>
            <w:pPr>
              <w:snapToGrid w:val="0"/>
              <w:spacing w:before="50" w:after="50"/>
              <w:jc w:val="center"/>
              <w:rPr>
                <w:rFonts w:ascii="宋体" w:hAnsi="宋体"/>
                <w:sz w:val="24"/>
              </w:rPr>
            </w:pPr>
          </w:p>
        </w:tc>
      </w:tr>
    </w:tbl>
    <w:p>
      <w:pPr>
        <w:spacing w:line="360" w:lineRule="auto"/>
        <w:rPr>
          <w:rFonts w:hint="eastAsia" w:ascii="宋体" w:hAnsi="宋体"/>
          <w:sz w:val="24"/>
        </w:rPr>
      </w:pPr>
      <w:r>
        <w:rPr>
          <w:rFonts w:hint="eastAsia" w:ascii="宋体" w:hAnsi="宋体"/>
          <w:sz w:val="24"/>
        </w:rPr>
        <w:t>备注：</w:t>
      </w:r>
    </w:p>
    <w:p>
      <w:pPr>
        <w:adjustRightInd w:val="0"/>
        <w:spacing w:line="360" w:lineRule="auto"/>
        <w:rPr>
          <w:rFonts w:hint="eastAsia" w:ascii="宋体" w:hAnsi="宋体" w:cs="仿宋_GB2312"/>
          <w:sz w:val="24"/>
        </w:rPr>
      </w:pPr>
      <w:r>
        <w:rPr>
          <w:rFonts w:hint="eastAsia" w:ascii="宋体" w:hAnsi="宋体"/>
          <w:b/>
          <w:bCs/>
          <w:sz w:val="24"/>
        </w:rPr>
        <w:t>以上性能配置清单中“服务名称、数量及单位、品牌、规格型号、制造商、原产地、参数性能、指标及配置”必须如实填写完整，品牌、规格型号没有则填无，填写有缺漏的，响应文件作无效处理</w:t>
      </w:r>
      <w:r>
        <w:rPr>
          <w:rFonts w:hint="eastAsia" w:ascii="宋体" w:hAnsi="宋体"/>
          <w:b/>
          <w:sz w:val="24"/>
        </w:rPr>
        <w:t>。</w:t>
      </w:r>
      <w:r>
        <w:rPr>
          <w:rFonts w:hint="eastAsia" w:ascii="宋体" w:hAnsi="宋体"/>
          <w:sz w:val="24"/>
        </w:rPr>
        <w:t>服务名称、数量及单位、品牌必须与“服务需求一览表”一致，</w:t>
      </w:r>
      <w:r>
        <w:rPr>
          <w:rFonts w:hint="eastAsia" w:ascii="宋体" w:hAnsi="宋体"/>
          <w:bCs/>
          <w:sz w:val="24"/>
        </w:rPr>
        <w:t>否则响应文件作无效处理</w:t>
      </w:r>
      <w:r>
        <w:rPr>
          <w:rFonts w:hint="eastAsia" w:ascii="宋体" w:hAnsi="宋体"/>
          <w:b/>
          <w:sz w:val="24"/>
        </w:rPr>
        <w:t>。</w:t>
      </w:r>
      <w:r>
        <w:rPr>
          <w:rFonts w:hint="eastAsia" w:ascii="宋体" w:hAnsi="宋体" w:cs="仿宋_GB2312"/>
          <w:sz w:val="24"/>
        </w:rPr>
        <w:tab/>
      </w:r>
    </w:p>
    <w:p>
      <w:pPr>
        <w:adjustRightInd w:val="0"/>
        <w:spacing w:line="360" w:lineRule="auto"/>
        <w:jc w:val="left"/>
        <w:rPr>
          <w:rFonts w:hint="eastAsia" w:ascii="宋体" w:hAnsi="宋体" w:cs="仿宋_GB2312"/>
          <w:sz w:val="24"/>
        </w:rPr>
      </w:pPr>
      <w:r>
        <w:rPr>
          <w:rFonts w:hint="eastAsia" w:ascii="宋体" w:hAnsi="宋体" w:cs="仿宋_GB2312"/>
          <w:sz w:val="24"/>
        </w:rPr>
        <w:t xml:space="preserve"> </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spacing w:line="500" w:lineRule="exact"/>
        <w:jc w:val="center"/>
        <w:rPr>
          <w:rFonts w:hint="eastAsia" w:ascii="仿宋_GB2312" w:hAnsi="仿宋" w:eastAsia="仿宋_GB2312"/>
          <w:kern w:val="0"/>
          <w:sz w:val="24"/>
        </w:rPr>
      </w:pPr>
      <w:r>
        <w:rPr>
          <w:rFonts w:hint="eastAsia" w:ascii="仿宋_GB2312" w:hAnsi="仿宋" w:eastAsia="仿宋_GB2312"/>
          <w:kern w:val="0"/>
          <w:sz w:val="24"/>
        </w:rPr>
        <w:t xml:space="preserve">                                              日期：  年  月   日</w:t>
      </w:r>
    </w:p>
    <w:p>
      <w:pPr>
        <w:pStyle w:val="30"/>
        <w:ind w:firstLine="602" w:firstLineChars="200"/>
        <w:rPr>
          <w:rFonts w:hint="eastAsia" w:ascii="仿宋" w:hAnsi="仿宋" w:eastAsia="仿宋" w:cs="仿宋_GB2312"/>
          <w:b/>
          <w:sz w:val="30"/>
          <w:szCs w:val="30"/>
        </w:rPr>
      </w:pPr>
      <w:r>
        <w:rPr>
          <w:rFonts w:hint="eastAsia" w:ascii="仿宋" w:hAnsi="仿宋" w:eastAsia="仿宋" w:cs="仿宋_GB2312"/>
          <w:b/>
          <w:sz w:val="30"/>
          <w:szCs w:val="30"/>
        </w:rPr>
        <w:t xml:space="preserve"> </w:t>
      </w:r>
    </w:p>
    <w:p>
      <w:pPr>
        <w:pStyle w:val="30"/>
        <w:ind w:firstLine="602" w:firstLineChars="200"/>
        <w:rPr>
          <w:rFonts w:hint="eastAsia" w:ascii="仿宋" w:hAnsi="仿宋" w:eastAsia="仿宋" w:cs="仿宋_GB2312"/>
          <w:b/>
          <w:sz w:val="30"/>
          <w:szCs w:val="30"/>
        </w:rPr>
      </w:pPr>
      <w:r>
        <w:rPr>
          <w:rFonts w:hint="eastAsia" w:ascii="仿宋" w:hAnsi="仿宋" w:eastAsia="仿宋" w:cs="仿宋_GB2312"/>
          <w:b/>
          <w:sz w:val="30"/>
          <w:szCs w:val="30"/>
        </w:rPr>
        <w:t xml:space="preserve"> </w:t>
      </w:r>
    </w:p>
    <w:p>
      <w:pPr>
        <w:pStyle w:val="30"/>
        <w:ind w:firstLine="602" w:firstLineChars="200"/>
        <w:rPr>
          <w:rFonts w:hint="eastAsia" w:ascii="仿宋" w:hAnsi="仿宋" w:eastAsia="仿宋" w:cs="仿宋_GB2312"/>
          <w:b/>
          <w:sz w:val="30"/>
          <w:szCs w:val="30"/>
        </w:rPr>
      </w:pPr>
      <w:r>
        <w:rPr>
          <w:rFonts w:hint="eastAsia" w:ascii="仿宋" w:hAnsi="仿宋" w:eastAsia="仿宋" w:cs="仿宋_GB2312"/>
          <w:b/>
          <w:sz w:val="30"/>
          <w:szCs w:val="30"/>
        </w:rPr>
        <w:t>九、技术服务方案</w:t>
      </w:r>
    </w:p>
    <w:p>
      <w:pPr>
        <w:autoSpaceDE w:val="0"/>
        <w:autoSpaceDN w:val="0"/>
        <w:spacing w:line="360" w:lineRule="auto"/>
        <w:jc w:val="center"/>
        <w:rPr>
          <w:rFonts w:hint="eastAsia" w:ascii="仿宋_GB2312" w:hAnsi="仿宋" w:eastAsia="仿宋_GB2312"/>
          <w:sz w:val="24"/>
        </w:rPr>
      </w:pPr>
      <w:r>
        <w:rPr>
          <w:rFonts w:hint="eastAsia" w:ascii="仿宋_GB2312" w:hAnsi="仿宋" w:eastAsia="仿宋_GB2312"/>
          <w:sz w:val="24"/>
        </w:rPr>
        <w:t>（由供应商根据采购需求及采购文件要求编制）</w:t>
      </w:r>
    </w:p>
    <w:p>
      <w:pPr>
        <w:snapToGrid w:val="0"/>
        <w:spacing w:before="156" w:beforeLines="50" w:after="50"/>
        <w:ind w:left="143" w:leftChars="68" w:firstLine="420" w:firstLineChars="200"/>
        <w:rPr>
          <w:rFonts w:hint="eastAsia" w:ascii="Calibri" w:hAnsi="宋体"/>
          <w:szCs w:val="21"/>
        </w:rPr>
      </w:pPr>
      <w:r>
        <w:rPr>
          <w:rFonts w:hAnsi="宋体"/>
        </w:rPr>
        <w:t xml:space="preserve"> </w:t>
      </w:r>
    </w:p>
    <w:p>
      <w:pPr>
        <w:pStyle w:val="17"/>
        <w:widowControl/>
        <w:spacing w:line="440" w:lineRule="exact"/>
        <w:ind w:firstLine="396" w:firstLineChars="198"/>
        <w:rPr>
          <w:rFonts w:hAnsi="宋体"/>
        </w:rPr>
      </w:pPr>
      <w:r>
        <w:rPr>
          <w:rFonts w:hint="eastAsia" w:hAnsi="宋体"/>
        </w:rPr>
        <w:t xml:space="preserve"> </w:t>
      </w:r>
    </w:p>
    <w:p>
      <w:pPr>
        <w:spacing w:line="500" w:lineRule="exact"/>
        <w:rPr>
          <w:rFonts w:hint="eastAsia" w:ascii="仿宋_GB2312" w:hAnsi="Calibri" w:eastAsia="仿宋_GB2312"/>
          <w:sz w:val="32"/>
          <w:szCs w:val="32"/>
        </w:rPr>
      </w:pPr>
      <w:r>
        <w:rPr>
          <w:rFonts w:hint="eastAsia" w:ascii="仿宋_GB2312" w:eastAsia="仿宋_GB2312"/>
          <w:sz w:val="32"/>
          <w:szCs w:val="32"/>
        </w:rPr>
        <w:t xml:space="preserve"> </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pStyle w:val="3"/>
        <w:ind w:firstLine="6000" w:firstLineChars="2500"/>
        <w:rPr>
          <w:rFonts w:hint="eastAsia" w:ascii="仿宋_GB2312" w:hAnsi="仿宋" w:eastAsia="仿宋_GB2312"/>
          <w:b w:val="0"/>
          <w:kern w:val="0"/>
          <w:sz w:val="24"/>
          <w:szCs w:val="24"/>
        </w:rPr>
      </w:pPr>
      <w:r>
        <w:rPr>
          <w:rFonts w:hint="eastAsia" w:ascii="仿宋_GB2312" w:hAnsi="仿宋" w:eastAsia="仿宋_GB2312"/>
          <w:b w:val="0"/>
          <w:bCs w:val="0"/>
          <w:sz w:val="24"/>
          <w:szCs w:val="24"/>
        </w:rPr>
        <w:t>日期：  年  月   日</w:t>
      </w:r>
    </w:p>
    <w:p>
      <w:pPr>
        <w:rPr>
          <w:rFonts w:hint="eastAsia" w:ascii="Calibri" w:hAnsi="Calibri"/>
          <w:szCs w:val="21"/>
        </w:rPr>
      </w:pPr>
      <w:r>
        <w:t xml:space="preserve"> </w:t>
      </w:r>
    </w:p>
    <w:p>
      <w:pPr>
        <w:pStyle w:val="3"/>
      </w:pPr>
      <w:r>
        <w:t xml:space="preserve"> </w:t>
      </w:r>
    </w:p>
    <w:p>
      <w:pPr>
        <w:snapToGrid w:val="0"/>
        <w:spacing w:line="360" w:lineRule="auto"/>
        <w:ind w:firstLine="602" w:firstLineChars="200"/>
        <w:rPr>
          <w:rFonts w:ascii="仿宋" w:hAnsi="仿宋" w:eastAsia="仿宋" w:cs="仿宋_GB2312"/>
          <w:b/>
          <w:sz w:val="30"/>
          <w:szCs w:val="30"/>
        </w:rPr>
      </w:pPr>
      <w:r>
        <w:rPr>
          <w:rFonts w:hint="eastAsia" w:ascii="仿宋" w:hAnsi="仿宋" w:eastAsia="仿宋" w:cs="仿宋_GB2312"/>
          <w:b/>
          <w:sz w:val="30"/>
          <w:szCs w:val="30"/>
        </w:rPr>
        <w:t>十、项目实施人员一览表</w:t>
      </w:r>
    </w:p>
    <w:p>
      <w:pPr>
        <w:spacing w:line="360" w:lineRule="auto"/>
        <w:jc w:val="center"/>
        <w:rPr>
          <w:rFonts w:hint="eastAsia" w:ascii="仿宋_GB2312" w:hAnsi="仿宋" w:eastAsia="仿宋_GB2312"/>
          <w:b/>
          <w:bCs/>
          <w:sz w:val="24"/>
        </w:rPr>
      </w:pPr>
      <w:r>
        <w:rPr>
          <w:rFonts w:hint="eastAsia" w:ascii="仿宋_GB2312" w:hAnsi="仿宋" w:eastAsia="仿宋_GB2312"/>
          <w:sz w:val="24"/>
        </w:rPr>
        <w:t>（由供应商根据采购需求及采购文件要求编制）</w:t>
      </w:r>
    </w:p>
    <w:p>
      <w:pPr>
        <w:pStyle w:val="17"/>
        <w:widowControl/>
        <w:rPr>
          <w:rFonts w:hint="eastAsia"/>
          <w:sz w:val="24"/>
          <w:szCs w:val="24"/>
        </w:rPr>
      </w:pPr>
    </w:p>
    <w:p>
      <w:pPr>
        <w:keepNext/>
        <w:autoSpaceDE w:val="0"/>
        <w:autoSpaceDN w:val="0"/>
        <w:spacing w:line="360" w:lineRule="auto"/>
        <w:ind w:firstLine="477"/>
        <w:rPr>
          <w:rFonts w:hint="eastAsia" w:ascii="仿宋_GB2312" w:hAnsi="仿宋" w:eastAsia="仿宋_GB2312"/>
          <w:b/>
          <w:sz w:val="24"/>
        </w:rPr>
      </w:pPr>
      <w:r>
        <w:rPr>
          <w:rFonts w:hint="eastAsia" w:ascii="仿宋_GB2312" w:hAnsi="仿宋" w:eastAsia="仿宋_GB2312"/>
          <w:b/>
          <w:sz w:val="24"/>
        </w:rPr>
        <w:t>附表A:本项目的项目经理情况表</w:t>
      </w:r>
    </w:p>
    <w:tbl>
      <w:tblPr>
        <w:tblStyle w:val="31"/>
        <w:tblW w:w="0" w:type="auto"/>
        <w:tblInd w:w="116"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姓名</w:t>
            </w:r>
          </w:p>
        </w:tc>
        <w:tc>
          <w:tcPr>
            <w:tcW w:w="1287" w:type="dxa"/>
            <w:tcBorders>
              <w:top w:val="single" w:color="auto" w:sz="6" w:space="0"/>
              <w:left w:val="nil"/>
              <w:bottom w:val="single" w:color="auto" w:sz="6" w:space="0"/>
              <w:right w:val="single" w:color="auto" w:sz="4" w:space="0"/>
            </w:tcBorders>
            <w:shd w:val="clear" w:color="auto" w:fill="B3B3B3"/>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页码</w:t>
            </w:r>
          </w:p>
        </w:tc>
        <w:tc>
          <w:tcPr>
            <w:tcW w:w="4147"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rPr>
                <w:rFonts w:ascii="仿宋_GB2312" w:hAnsi="仿宋" w:eastAsia="仿宋_GB2312"/>
                <w:sz w:val="24"/>
              </w:rPr>
            </w:pPr>
            <w:r>
              <w:rPr>
                <w:rFonts w:hint="eastAsia" w:ascii="仿宋_GB2312" w:hAnsi="仿宋" w:eastAsia="仿宋_GB2312"/>
                <w:sz w:val="24"/>
              </w:rPr>
              <w:t>响应截止时间前三年业绩及承担的主要工作情况，曾担任项目经理的项目应列明细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性别</w:t>
            </w:r>
          </w:p>
        </w:tc>
        <w:tc>
          <w:tcPr>
            <w:tcW w:w="1287" w:type="dxa"/>
            <w:tcBorders>
              <w:top w:val="single" w:color="auto" w:sz="6" w:space="0"/>
              <w:left w:val="nil"/>
              <w:bottom w:val="single" w:color="auto" w:sz="6" w:space="0"/>
              <w:right w:val="single" w:color="auto" w:sz="4" w:space="0"/>
            </w:tcBorders>
            <w:shd w:val="clear" w:color="auto" w:fill="auto"/>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shd w:val="clear" w:color="auto" w:fill="B3B3B3"/>
            <w:noWrap w:val="0"/>
            <w:vAlign w:val="center"/>
          </w:tcPr>
          <w:p>
            <w:pPr>
              <w:autoSpaceDE w:val="0"/>
              <w:autoSpaceDN w:val="0"/>
              <w:spacing w:line="360" w:lineRule="auto"/>
              <w:jc w:val="center"/>
              <w:rPr>
                <w:rFonts w:ascii="仿宋_GB2312" w:hAnsi="仿宋" w:eastAsia="仿宋_GB2312"/>
                <w:sz w:val="24"/>
              </w:rPr>
            </w:pPr>
          </w:p>
        </w:tc>
        <w:tc>
          <w:tcPr>
            <w:tcW w:w="4147" w:type="dxa"/>
            <w:vMerge w:val="restart"/>
            <w:tcBorders>
              <w:top w:val="nil"/>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年龄</w:t>
            </w:r>
          </w:p>
        </w:tc>
        <w:tc>
          <w:tcPr>
            <w:tcW w:w="1287" w:type="dxa"/>
            <w:tcBorders>
              <w:top w:val="single" w:color="auto" w:sz="6" w:space="0"/>
              <w:left w:val="nil"/>
              <w:bottom w:val="single" w:color="auto" w:sz="6" w:space="0"/>
              <w:right w:val="single" w:color="auto" w:sz="4" w:space="0"/>
            </w:tcBorders>
            <w:shd w:val="clear" w:color="auto" w:fill="auto"/>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shd w:val="clear" w:color="auto" w:fill="B3B3B3"/>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职称</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毕业时间</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所学专业</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学历</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资质证书编号</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其他资质情况</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联系电话</w:t>
            </w:r>
          </w:p>
        </w:tc>
        <w:tc>
          <w:tcPr>
            <w:tcW w:w="1287" w:type="dxa"/>
            <w:tcBorders>
              <w:top w:val="single" w:color="auto" w:sz="6" w:space="0"/>
              <w:left w:val="nil"/>
              <w:bottom w:val="single" w:color="auto" w:sz="6" w:space="0"/>
              <w:right w:val="single" w:color="auto" w:sz="4" w:space="0"/>
            </w:tcBorders>
            <w:shd w:val="clear" w:color="auto" w:fill="auto"/>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shd w:val="clear" w:color="auto" w:fill="B3B3B3"/>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bl>
    <w:p>
      <w:pPr>
        <w:autoSpaceDE w:val="0"/>
        <w:autoSpaceDN w:val="0"/>
        <w:spacing w:line="360" w:lineRule="auto"/>
        <w:rPr>
          <w:rFonts w:hint="eastAsia" w:ascii="仿宋_GB2312" w:hAnsi="仿宋" w:eastAsia="仿宋_GB2312"/>
          <w:b/>
          <w:sz w:val="24"/>
        </w:rPr>
      </w:pPr>
      <w:r>
        <w:rPr>
          <w:rFonts w:hint="eastAsia" w:ascii="仿宋_GB2312" w:hAnsi="仿宋" w:eastAsia="仿宋_GB2312"/>
          <w:b/>
          <w:sz w:val="24"/>
        </w:rPr>
        <w:t>注：须随表提交相应的证书复印件并注明所在响应技术文件页码。</w:t>
      </w:r>
    </w:p>
    <w:p>
      <w:pPr>
        <w:keepNext/>
        <w:autoSpaceDE w:val="0"/>
        <w:autoSpaceDN w:val="0"/>
        <w:spacing w:line="360" w:lineRule="auto"/>
        <w:ind w:firstLine="477"/>
        <w:rPr>
          <w:rFonts w:hint="eastAsia" w:ascii="仿宋_GB2312" w:hAnsi="仿宋" w:eastAsia="仿宋_GB2312"/>
          <w:b/>
          <w:sz w:val="24"/>
        </w:rPr>
      </w:pPr>
      <w:r>
        <w:rPr>
          <w:rFonts w:hint="eastAsia" w:ascii="仿宋_GB2312" w:hAnsi="仿宋" w:eastAsia="仿宋_GB2312"/>
          <w:b/>
          <w:sz w:val="24"/>
        </w:rPr>
        <w:t>附表B:本项目的项目技术负责人情况表</w:t>
      </w:r>
    </w:p>
    <w:tbl>
      <w:tblPr>
        <w:tblStyle w:val="31"/>
        <w:tblW w:w="0" w:type="auto"/>
        <w:tblInd w:w="116"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姓名</w:t>
            </w:r>
          </w:p>
        </w:tc>
        <w:tc>
          <w:tcPr>
            <w:tcW w:w="1287" w:type="dxa"/>
            <w:tcBorders>
              <w:top w:val="single" w:color="auto" w:sz="6" w:space="0"/>
              <w:left w:val="nil"/>
              <w:bottom w:val="single" w:color="auto" w:sz="6" w:space="0"/>
              <w:right w:val="single" w:color="auto" w:sz="4" w:space="0"/>
            </w:tcBorders>
            <w:shd w:val="clear" w:color="auto" w:fill="B3B3B3"/>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页码</w:t>
            </w:r>
          </w:p>
        </w:tc>
        <w:tc>
          <w:tcPr>
            <w:tcW w:w="4147"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rPr>
                <w:rFonts w:ascii="仿宋_GB2312" w:hAnsi="仿宋" w:eastAsia="仿宋_GB2312"/>
                <w:sz w:val="24"/>
              </w:rPr>
            </w:pPr>
            <w:r>
              <w:rPr>
                <w:rFonts w:hint="eastAsia" w:ascii="仿宋_GB2312" w:hAnsi="仿宋" w:eastAsia="仿宋_GB2312"/>
                <w:sz w:val="24"/>
              </w:rPr>
              <w:t>响应截止时间前三年业绩及承担的主要工作情况，曾担任项目技术负责人的项目应列明细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性别</w:t>
            </w:r>
          </w:p>
        </w:tc>
        <w:tc>
          <w:tcPr>
            <w:tcW w:w="1287" w:type="dxa"/>
            <w:tcBorders>
              <w:top w:val="single" w:color="auto" w:sz="6" w:space="0"/>
              <w:left w:val="nil"/>
              <w:bottom w:val="single" w:color="auto" w:sz="6" w:space="0"/>
              <w:right w:val="single" w:color="auto" w:sz="4" w:space="0"/>
            </w:tcBorders>
            <w:shd w:val="clear" w:color="auto" w:fill="auto"/>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shd w:val="clear" w:color="auto" w:fill="B3B3B3"/>
            <w:noWrap w:val="0"/>
            <w:vAlign w:val="center"/>
          </w:tcPr>
          <w:p>
            <w:pPr>
              <w:autoSpaceDE w:val="0"/>
              <w:autoSpaceDN w:val="0"/>
              <w:spacing w:line="360" w:lineRule="auto"/>
              <w:jc w:val="center"/>
              <w:rPr>
                <w:rFonts w:ascii="仿宋_GB2312" w:hAnsi="仿宋" w:eastAsia="仿宋_GB2312"/>
                <w:sz w:val="24"/>
              </w:rPr>
            </w:pPr>
          </w:p>
        </w:tc>
        <w:tc>
          <w:tcPr>
            <w:tcW w:w="4147" w:type="dxa"/>
            <w:vMerge w:val="restart"/>
            <w:tcBorders>
              <w:top w:val="nil"/>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年龄</w:t>
            </w:r>
          </w:p>
        </w:tc>
        <w:tc>
          <w:tcPr>
            <w:tcW w:w="1287" w:type="dxa"/>
            <w:tcBorders>
              <w:top w:val="single" w:color="auto" w:sz="6" w:space="0"/>
              <w:left w:val="nil"/>
              <w:bottom w:val="single" w:color="auto" w:sz="6" w:space="0"/>
              <w:right w:val="single" w:color="auto" w:sz="4" w:space="0"/>
            </w:tcBorders>
            <w:shd w:val="clear" w:color="auto" w:fill="auto"/>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shd w:val="clear" w:color="auto" w:fill="B3B3B3"/>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职称</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毕业时间</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所学专业</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学历</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资质证书编号</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其他资质情况</w:t>
            </w:r>
          </w:p>
        </w:tc>
        <w:tc>
          <w:tcPr>
            <w:tcW w:w="1287" w:type="dxa"/>
            <w:tcBorders>
              <w:top w:val="single" w:color="auto" w:sz="6" w:space="0"/>
              <w:left w:val="nil"/>
              <w:bottom w:val="single" w:color="auto" w:sz="6" w:space="0"/>
              <w:right w:val="single" w:color="auto" w:sz="4" w:space="0"/>
            </w:tcBorders>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联系电话</w:t>
            </w:r>
          </w:p>
        </w:tc>
        <w:tc>
          <w:tcPr>
            <w:tcW w:w="1287" w:type="dxa"/>
            <w:tcBorders>
              <w:top w:val="single" w:color="auto" w:sz="6" w:space="0"/>
              <w:left w:val="nil"/>
              <w:bottom w:val="single" w:color="auto" w:sz="6" w:space="0"/>
              <w:right w:val="single" w:color="auto" w:sz="4" w:space="0"/>
            </w:tcBorders>
            <w:shd w:val="clear" w:color="auto" w:fill="auto"/>
            <w:noWrap w:val="0"/>
            <w:vAlign w:val="center"/>
          </w:tcPr>
          <w:p>
            <w:pPr>
              <w:autoSpaceDE w:val="0"/>
              <w:autoSpaceDN w:val="0"/>
              <w:spacing w:line="360" w:lineRule="auto"/>
              <w:jc w:val="center"/>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shd w:val="clear" w:color="auto" w:fill="B3B3B3"/>
            <w:noWrap w:val="0"/>
            <w:vAlign w:val="center"/>
          </w:tcPr>
          <w:p>
            <w:pPr>
              <w:autoSpaceDE w:val="0"/>
              <w:autoSpaceDN w:val="0"/>
              <w:spacing w:line="360" w:lineRule="auto"/>
              <w:jc w:val="center"/>
              <w:rPr>
                <w:rFonts w:ascii="仿宋_GB2312" w:hAnsi="仿宋" w:eastAsia="仿宋_GB2312"/>
                <w:sz w:val="24"/>
              </w:rPr>
            </w:pPr>
          </w:p>
        </w:tc>
        <w:tc>
          <w:tcPr>
            <w:tcW w:w="4147" w:type="dxa"/>
            <w:vMerge w:val="continue"/>
            <w:tcBorders>
              <w:top w:val="nil"/>
              <w:left w:val="nil"/>
              <w:bottom w:val="single" w:color="auto" w:sz="6" w:space="0"/>
              <w:right w:val="single" w:color="auto" w:sz="6" w:space="0"/>
            </w:tcBorders>
            <w:noWrap w:val="0"/>
            <w:vAlign w:val="center"/>
          </w:tcPr>
          <w:p>
            <w:pPr>
              <w:widowControl/>
              <w:jc w:val="left"/>
              <w:rPr>
                <w:rFonts w:ascii="仿宋_GB2312" w:hAnsi="仿宋" w:eastAsia="仿宋_GB2312"/>
                <w:sz w:val="24"/>
              </w:rPr>
            </w:pPr>
          </w:p>
        </w:tc>
      </w:tr>
    </w:tbl>
    <w:p>
      <w:pPr>
        <w:autoSpaceDE w:val="0"/>
        <w:autoSpaceDN w:val="0"/>
        <w:spacing w:line="360" w:lineRule="auto"/>
        <w:rPr>
          <w:rFonts w:hint="eastAsia" w:ascii="仿宋_GB2312" w:hAnsi="仿宋" w:eastAsia="仿宋_GB2312"/>
          <w:b/>
          <w:sz w:val="24"/>
        </w:rPr>
      </w:pPr>
      <w:r>
        <w:rPr>
          <w:rFonts w:hint="eastAsia" w:ascii="仿宋_GB2312" w:hAnsi="仿宋" w:eastAsia="仿宋_GB2312"/>
          <w:b/>
          <w:sz w:val="24"/>
        </w:rPr>
        <w:t>注：须随表提交相应的证书复印件并注明所在响应技术文件页码。</w:t>
      </w:r>
    </w:p>
    <w:p>
      <w:pPr>
        <w:autoSpaceDE w:val="0"/>
        <w:autoSpaceDN w:val="0"/>
        <w:spacing w:line="360" w:lineRule="auto"/>
        <w:rPr>
          <w:rFonts w:hint="eastAsia" w:ascii="仿宋_GB2312" w:hAnsi="仿宋" w:eastAsia="仿宋_GB2312"/>
          <w:b/>
          <w:sz w:val="24"/>
        </w:rPr>
      </w:pPr>
      <w:r>
        <w:rPr>
          <w:rFonts w:ascii="仿宋_GB2312" w:hAnsi="仿宋" w:eastAsia="仿宋_GB2312"/>
          <w:b/>
          <w:sz w:val="24"/>
        </w:rPr>
        <w:br w:type="page"/>
      </w:r>
      <w:r>
        <w:rPr>
          <w:rFonts w:hint="eastAsia" w:ascii="仿宋_GB2312" w:hAnsi="仿宋" w:eastAsia="仿宋_GB2312"/>
          <w:b/>
          <w:sz w:val="24"/>
        </w:rPr>
        <w:t>附表C:本项目的项目小组人员情况表</w:t>
      </w:r>
      <w:r>
        <w:rPr>
          <w:rFonts w:hint="eastAsia" w:ascii="仿宋_GB2312" w:hAnsi="仿宋" w:eastAsia="仿宋_GB2312"/>
          <w:sz w:val="24"/>
        </w:rPr>
        <w:t>（按此格式自制）</w:t>
      </w:r>
    </w:p>
    <w:tbl>
      <w:tblPr>
        <w:tblStyle w:val="31"/>
        <w:tblW w:w="0" w:type="auto"/>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序号</w:t>
            </w:r>
          </w:p>
        </w:tc>
        <w:tc>
          <w:tcPr>
            <w:tcW w:w="787"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姓名</w:t>
            </w:r>
          </w:p>
        </w:tc>
        <w:tc>
          <w:tcPr>
            <w:tcW w:w="412"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性别</w:t>
            </w:r>
          </w:p>
        </w:tc>
        <w:tc>
          <w:tcPr>
            <w:tcW w:w="586"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年龄</w:t>
            </w:r>
          </w:p>
        </w:tc>
        <w:tc>
          <w:tcPr>
            <w:tcW w:w="1035"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学历</w:t>
            </w:r>
          </w:p>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(页码)</w:t>
            </w:r>
          </w:p>
        </w:tc>
        <w:tc>
          <w:tcPr>
            <w:tcW w:w="108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专业</w:t>
            </w:r>
          </w:p>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(页码)</w:t>
            </w:r>
          </w:p>
        </w:tc>
        <w:tc>
          <w:tcPr>
            <w:tcW w:w="108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职称</w:t>
            </w:r>
          </w:p>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(页码)</w:t>
            </w:r>
          </w:p>
        </w:tc>
        <w:tc>
          <w:tcPr>
            <w:tcW w:w="126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本项目中的职责</w:t>
            </w:r>
          </w:p>
        </w:tc>
        <w:tc>
          <w:tcPr>
            <w:tcW w:w="90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项目经历</w:t>
            </w:r>
          </w:p>
        </w:tc>
        <w:tc>
          <w:tcPr>
            <w:tcW w:w="1470" w:type="dxa"/>
            <w:tcBorders>
              <w:top w:val="single" w:color="auto" w:sz="6" w:space="0"/>
              <w:left w:val="nil"/>
              <w:bottom w:val="single" w:color="auto" w:sz="6" w:space="0"/>
              <w:right w:val="single" w:color="auto" w:sz="6" w:space="0"/>
            </w:tcBorders>
            <w:noWrap w:val="0"/>
            <w:vAlign w:val="center"/>
          </w:tcPr>
          <w:p>
            <w:pPr>
              <w:autoSpaceDE w:val="0"/>
              <w:autoSpaceDN w:val="0"/>
              <w:spacing w:line="360" w:lineRule="auto"/>
              <w:jc w:val="center"/>
              <w:rPr>
                <w:rFonts w:ascii="仿宋_GB2312" w:hAnsi="仿宋" w:eastAsia="仿宋_GB2312"/>
                <w:sz w:val="24"/>
              </w:rPr>
            </w:pPr>
            <w:r>
              <w:rPr>
                <w:rFonts w:hint="eastAsia" w:ascii="仿宋_GB2312" w:hAnsi="仿宋" w:eastAsia="仿宋_GB2312"/>
                <w:sz w:val="24"/>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ascii="仿宋_GB2312" w:hAnsi="仿宋" w:eastAsia="仿宋_GB2312"/>
                <w:sz w:val="24"/>
              </w:rPr>
            </w:pPr>
          </w:p>
        </w:tc>
        <w:tc>
          <w:tcPr>
            <w:tcW w:w="787"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412"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586"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1035"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1080"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1080"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900"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1470"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noWrap w:val="0"/>
            <w:vAlign w:val="top"/>
          </w:tcPr>
          <w:p>
            <w:pPr>
              <w:autoSpaceDE w:val="0"/>
              <w:autoSpaceDN w:val="0"/>
              <w:spacing w:line="360" w:lineRule="auto"/>
              <w:jc w:val="center"/>
              <w:rPr>
                <w:rFonts w:ascii="仿宋_GB2312" w:hAnsi="仿宋" w:eastAsia="仿宋_GB2312"/>
                <w:sz w:val="24"/>
              </w:rPr>
            </w:pPr>
          </w:p>
        </w:tc>
        <w:tc>
          <w:tcPr>
            <w:tcW w:w="787"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412"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586"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1035"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1080"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1080"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1260"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900"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c>
          <w:tcPr>
            <w:tcW w:w="1470" w:type="dxa"/>
            <w:tcBorders>
              <w:top w:val="single" w:color="auto" w:sz="6" w:space="0"/>
              <w:left w:val="nil"/>
              <w:bottom w:val="single" w:color="auto" w:sz="6" w:space="0"/>
              <w:right w:val="single" w:color="auto" w:sz="6" w:space="0"/>
            </w:tcBorders>
            <w:noWrap w:val="0"/>
            <w:vAlign w:val="top"/>
          </w:tcPr>
          <w:p>
            <w:pPr>
              <w:autoSpaceDE w:val="0"/>
              <w:autoSpaceDN w:val="0"/>
              <w:spacing w:line="360" w:lineRule="auto"/>
              <w:rPr>
                <w:rFonts w:ascii="仿宋_GB2312" w:hAnsi="仿宋" w:eastAsia="仿宋_GB2312"/>
                <w:sz w:val="24"/>
              </w:rPr>
            </w:pPr>
          </w:p>
        </w:tc>
      </w:tr>
    </w:tbl>
    <w:p>
      <w:pPr>
        <w:spacing w:line="360" w:lineRule="auto"/>
        <w:rPr>
          <w:rFonts w:hint="eastAsia" w:ascii="仿宋_GB2312" w:hAnsi="仿宋" w:eastAsia="仿宋_GB2312"/>
          <w:b/>
          <w:bCs/>
          <w:sz w:val="24"/>
        </w:rPr>
      </w:pPr>
      <w:r>
        <w:rPr>
          <w:rFonts w:hint="eastAsia" w:ascii="仿宋_GB2312" w:hAnsi="仿宋" w:eastAsia="仿宋_GB2312"/>
          <w:b/>
          <w:sz w:val="24"/>
        </w:rPr>
        <w:t>注：供应商可按上述的格式自行编制，须随表提交相应的证书复印件并注明所在响应技术文件页码。</w:t>
      </w:r>
    </w:p>
    <w:p>
      <w:pPr>
        <w:snapToGrid w:val="0"/>
        <w:spacing w:line="360" w:lineRule="auto"/>
        <w:ind w:firstLine="602" w:firstLineChars="200"/>
        <w:rPr>
          <w:rFonts w:hint="eastAsia" w:ascii="仿宋" w:hAnsi="仿宋" w:eastAsia="仿宋" w:cs="仿宋_GB2312"/>
          <w:b/>
          <w:sz w:val="30"/>
          <w:szCs w:val="30"/>
        </w:rPr>
      </w:pPr>
      <w:r>
        <w:rPr>
          <w:rFonts w:hint="eastAsia" w:ascii="仿宋" w:hAnsi="仿宋" w:eastAsia="仿宋" w:cs="仿宋_GB2312"/>
          <w:b/>
          <w:sz w:val="30"/>
          <w:szCs w:val="30"/>
        </w:rPr>
        <w:t xml:space="preserve"> </w:t>
      </w:r>
    </w:p>
    <w:p>
      <w:pPr>
        <w:autoSpaceDE w:val="0"/>
        <w:autoSpaceDN w:val="0"/>
        <w:spacing w:line="360" w:lineRule="auto"/>
        <w:ind w:firstLine="6505" w:firstLineChars="2700"/>
        <w:rPr>
          <w:rFonts w:hint="eastAsia" w:ascii="仿宋_GB2312" w:hAnsi="仿宋" w:eastAsia="仿宋_GB2312"/>
          <w:b/>
          <w:bCs/>
          <w:sz w:val="24"/>
        </w:rPr>
      </w:pPr>
      <w:r>
        <w:rPr>
          <w:rFonts w:hint="eastAsia" w:ascii="仿宋_GB2312" w:hAnsi="仿宋" w:eastAsia="仿宋_GB2312"/>
          <w:b/>
          <w:bCs/>
          <w:sz w:val="24"/>
        </w:rPr>
        <w:t xml:space="preserve"> </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480" w:firstLineChars="2700"/>
        <w:rPr>
          <w:rFonts w:hint="eastAsia" w:ascii="仿宋_GB2312" w:hAnsi="仿宋" w:eastAsia="仿宋_GB2312"/>
          <w:kern w:val="0"/>
          <w:sz w:val="24"/>
        </w:rPr>
      </w:pPr>
      <w:r>
        <w:rPr>
          <w:rFonts w:hint="eastAsia" w:ascii="仿宋_GB2312" w:hAnsi="仿宋" w:eastAsia="仿宋_GB2312"/>
          <w:kern w:val="0"/>
          <w:sz w:val="24"/>
        </w:rPr>
        <w:t>日期：  年  月   日</w:t>
      </w:r>
    </w:p>
    <w:p>
      <w:pPr>
        <w:snapToGrid w:val="0"/>
        <w:spacing w:line="360" w:lineRule="auto"/>
        <w:ind w:firstLine="602" w:firstLineChars="200"/>
        <w:rPr>
          <w:rFonts w:hint="eastAsia" w:ascii="仿宋" w:hAnsi="仿宋" w:eastAsia="仿宋" w:cs="仿宋_GB2312"/>
          <w:b/>
          <w:sz w:val="30"/>
          <w:szCs w:val="30"/>
        </w:rPr>
      </w:pPr>
      <w:r>
        <w:rPr>
          <w:rFonts w:ascii="仿宋" w:hAnsi="仿宋" w:eastAsia="仿宋" w:cs="仿宋_GB2312"/>
          <w:b/>
          <w:sz w:val="30"/>
          <w:szCs w:val="30"/>
        </w:rPr>
        <w:br w:type="page"/>
      </w:r>
      <w:r>
        <w:rPr>
          <w:rFonts w:hint="eastAsia" w:ascii="仿宋" w:hAnsi="仿宋" w:eastAsia="仿宋" w:cs="仿宋_GB2312"/>
          <w:b/>
          <w:sz w:val="30"/>
          <w:szCs w:val="30"/>
        </w:rPr>
        <w:t>十一、服务需求、商务条款要求提供的其他材料</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 xml:space="preserve"> </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480" w:firstLineChars="2700"/>
        <w:rPr>
          <w:rFonts w:hint="eastAsia" w:ascii="仿宋_GB2312" w:hAnsi="仿宋" w:eastAsia="仿宋_GB2312"/>
          <w:kern w:val="0"/>
          <w:sz w:val="24"/>
        </w:rPr>
      </w:pPr>
      <w:r>
        <w:rPr>
          <w:rFonts w:hint="eastAsia" w:ascii="仿宋_GB2312" w:hAnsi="仿宋" w:eastAsia="仿宋_GB2312"/>
          <w:kern w:val="0"/>
          <w:sz w:val="24"/>
        </w:rPr>
        <w:t>日期：  年  月   日</w:t>
      </w:r>
    </w:p>
    <w:p>
      <w:pPr>
        <w:widowControl/>
        <w:spacing w:line="360" w:lineRule="auto"/>
        <w:jc w:val="left"/>
        <w:rPr>
          <w:rFonts w:ascii="仿宋_GB2312" w:hAnsi="仿宋" w:eastAsia="仿宋_GB2312" w:cs="宋体"/>
          <w:b/>
          <w:bCs/>
          <w:sz w:val="24"/>
        </w:rPr>
        <w:sectPr>
          <w:pgSz w:w="11910" w:h="16840"/>
          <w:pgMar w:top="1340" w:right="1500" w:bottom="280" w:left="1680" w:header="720" w:footer="720" w:gutter="0"/>
          <w:cols w:space="720" w:num="1"/>
          <w:docGrid w:type="lines" w:linePitch="312" w:charSpace="0"/>
        </w:sectPr>
      </w:pPr>
    </w:p>
    <w:p>
      <w:pPr>
        <w:autoSpaceDE w:val="0"/>
        <w:autoSpaceDN w:val="0"/>
        <w:spacing w:line="360" w:lineRule="auto"/>
        <w:ind w:firstLine="6505" w:firstLineChars="2700"/>
        <w:rPr>
          <w:rFonts w:hint="eastAsia" w:ascii="仿宋_GB2312" w:hAnsi="仿宋" w:eastAsia="仿宋_GB2312"/>
          <w:b/>
          <w:bCs/>
          <w:sz w:val="24"/>
        </w:rPr>
      </w:pPr>
      <w:r>
        <w:rPr>
          <w:rFonts w:hint="eastAsia" w:ascii="仿宋_GB2312" w:hAnsi="仿宋" w:eastAsia="仿宋_GB2312"/>
          <w:b/>
          <w:bCs/>
          <w:sz w:val="24"/>
        </w:rPr>
        <w:t xml:space="preserve"> </w:t>
      </w:r>
    </w:p>
    <w:p>
      <w:pPr>
        <w:pStyle w:val="3"/>
        <w:keepLines w:val="0"/>
        <w:widowControl/>
        <w:jc w:val="center"/>
        <w:rPr>
          <w:rFonts w:hint="eastAsia" w:ascii="宋体" w:hAnsi="宋体"/>
          <w:bCs w:val="0"/>
          <w:sz w:val="30"/>
          <w:szCs w:val="30"/>
        </w:rPr>
      </w:pPr>
      <w:bookmarkStart w:id="173" w:name="_Toc80205941"/>
      <w:bookmarkEnd w:id="173"/>
      <w:bookmarkStart w:id="174" w:name="_Toc80886945"/>
      <w:r>
        <w:rPr>
          <w:rFonts w:hint="eastAsia" w:ascii="宋体" w:hAnsi="宋体"/>
        </w:rPr>
        <w:t>第四节 报价文件格式</w:t>
      </w:r>
      <w:bookmarkEnd w:id="174"/>
    </w:p>
    <w:p>
      <w:pPr>
        <w:snapToGrid w:val="0"/>
        <w:spacing w:before="156" w:beforeLines="50" w:after="50"/>
        <w:rPr>
          <w:rFonts w:hint="eastAsia" w:ascii="宋体" w:hAnsi="宋体"/>
          <w:bCs/>
          <w:sz w:val="32"/>
          <w:szCs w:val="32"/>
        </w:rPr>
      </w:pPr>
      <w:r>
        <w:rPr>
          <w:rFonts w:hint="eastAsia" w:ascii="宋体" w:hAnsi="宋体"/>
          <w:sz w:val="24"/>
        </w:rPr>
        <w:t xml:space="preserve">                                                    </w:t>
      </w:r>
      <w:r>
        <w:rPr>
          <w:rFonts w:hint="eastAsia" w:ascii="宋体" w:hAnsi="宋体"/>
          <w:bCs/>
        </w:rPr>
        <w:t>全流程电子文件</w:t>
      </w:r>
    </w:p>
    <w:p>
      <w:pPr>
        <w:snapToGrid w:val="0"/>
        <w:spacing w:before="156" w:beforeLines="50" w:after="50"/>
        <w:rPr>
          <w:rFonts w:hint="eastAsia" w:ascii="宋体" w:hAnsi="宋体"/>
          <w:sz w:val="24"/>
        </w:rPr>
      </w:pPr>
      <w:r>
        <w:rPr>
          <w:rFonts w:hint="eastAsia" w:ascii="宋体" w:hAnsi="宋体"/>
          <w:sz w:val="24"/>
        </w:rPr>
        <w:t xml:space="preserve"> </w:t>
      </w:r>
    </w:p>
    <w:p>
      <w:pPr>
        <w:snapToGrid w:val="0"/>
        <w:spacing w:before="156" w:beforeLines="50" w:after="50"/>
        <w:rPr>
          <w:rFonts w:hint="eastAsia" w:ascii="宋体" w:hAnsi="宋体"/>
          <w:sz w:val="24"/>
        </w:rPr>
      </w:pPr>
      <w:r>
        <w:rPr>
          <w:rFonts w:hint="eastAsia" w:ascii="宋体" w:hAnsi="宋体"/>
          <w:sz w:val="24"/>
        </w:rPr>
        <w:t xml:space="preserve"> </w:t>
      </w:r>
    </w:p>
    <w:p>
      <w:pPr>
        <w:snapToGrid w:val="0"/>
        <w:spacing w:before="156" w:beforeLines="50" w:after="50"/>
        <w:rPr>
          <w:rFonts w:hint="eastAsia" w:ascii="宋体" w:hAnsi="宋体"/>
          <w:sz w:val="24"/>
        </w:rPr>
      </w:pPr>
      <w:r>
        <w:rPr>
          <w:rFonts w:hint="eastAsia" w:ascii="宋体" w:hAnsi="宋体"/>
          <w:sz w:val="24"/>
        </w:rPr>
        <w:t xml:space="preserve"> </w:t>
      </w:r>
    </w:p>
    <w:p>
      <w:pPr>
        <w:snapToGrid w:val="0"/>
        <w:spacing w:before="156" w:beforeLines="50" w:after="50"/>
        <w:jc w:val="center"/>
        <w:rPr>
          <w:rFonts w:hint="eastAsia" w:ascii="方正小标宋简体" w:hAnsi="方正小标宋简体" w:eastAsia="方正小标宋简体"/>
          <w:bCs/>
          <w:sz w:val="44"/>
          <w:szCs w:val="44"/>
        </w:rPr>
      </w:pPr>
      <w:r>
        <w:rPr>
          <w:rFonts w:hint="eastAsia" w:ascii="方正小标宋简体" w:hAnsi="方正小标宋简体" w:eastAsia="方正小标宋简体"/>
          <w:bCs/>
          <w:sz w:val="44"/>
          <w:szCs w:val="44"/>
        </w:rPr>
        <w:t>报  价  文  件（封面）</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rPr>
          <w:rFonts w:hint="eastAsia" w:ascii="宋体" w:hAnsi="宋体"/>
          <w:bCs/>
          <w:sz w:val="24"/>
        </w:rPr>
      </w:pPr>
      <w:r>
        <w:rPr>
          <w:rFonts w:hint="eastAsia" w:ascii="宋体" w:hAnsi="宋体"/>
          <w:bCs/>
          <w:sz w:val="24"/>
        </w:rPr>
        <w:t xml:space="preserve"> </w:t>
      </w:r>
    </w:p>
    <w:p>
      <w:pPr>
        <w:snapToGrid w:val="0"/>
        <w:spacing w:before="156" w:beforeLines="50" w:after="50"/>
        <w:ind w:firstLine="640" w:firstLineChars="200"/>
        <w:rPr>
          <w:rFonts w:hint="eastAsia" w:ascii="宋体" w:hAnsi="宋体" w:cs="仿宋_GB2312"/>
          <w:bCs/>
          <w:sz w:val="32"/>
          <w:szCs w:val="32"/>
        </w:rPr>
      </w:pPr>
      <w:r>
        <w:rPr>
          <w:rFonts w:hint="eastAsia" w:ascii="宋体" w:hAnsi="宋体" w:cs="仿宋_GB2312"/>
          <w:bCs/>
          <w:sz w:val="32"/>
          <w:szCs w:val="32"/>
        </w:rPr>
        <w:t>项目名称：环境监管执法系统运维服务项目</w:t>
      </w:r>
    </w:p>
    <w:p>
      <w:pPr>
        <w:snapToGrid w:val="0"/>
        <w:spacing w:before="156" w:beforeLines="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ind w:firstLine="640" w:firstLineChars="200"/>
        <w:rPr>
          <w:rFonts w:hint="eastAsia" w:ascii="宋体" w:hAnsi="宋体" w:cs="仿宋_GB2312"/>
          <w:bCs/>
          <w:sz w:val="32"/>
          <w:szCs w:val="32"/>
        </w:rPr>
      </w:pPr>
      <w:r>
        <w:rPr>
          <w:rFonts w:hint="eastAsia" w:ascii="宋体" w:hAnsi="宋体" w:cs="仿宋_GB2312"/>
          <w:bCs/>
          <w:sz w:val="32"/>
          <w:szCs w:val="32"/>
        </w:rPr>
        <w:t>项目编号：</w:t>
      </w:r>
    </w:p>
    <w:p>
      <w:pPr>
        <w:snapToGrid w:val="0"/>
        <w:spacing w:before="156" w:beforeLines="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ind w:firstLine="640" w:firstLineChars="200"/>
        <w:rPr>
          <w:rFonts w:hint="eastAsia" w:ascii="宋体" w:hAnsi="宋体" w:cs="仿宋_GB2312"/>
          <w:bCs/>
          <w:sz w:val="32"/>
          <w:szCs w:val="32"/>
        </w:rPr>
      </w:pPr>
      <w:r>
        <w:rPr>
          <w:rFonts w:hint="eastAsia" w:ascii="宋体" w:hAnsi="宋体" w:cs="仿宋_GB2312"/>
          <w:bCs/>
          <w:sz w:val="32"/>
          <w:szCs w:val="32"/>
        </w:rPr>
        <w:t>所竞分标（如有则填写，无分标时填写“无”或者留空）：</w:t>
      </w:r>
    </w:p>
    <w:p>
      <w:pPr>
        <w:snapToGrid w:val="0"/>
        <w:spacing w:before="156" w:beforeLines="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pStyle w:val="7"/>
        <w:widowControl/>
        <w:snapToGrid w:val="0"/>
        <w:spacing w:before="50" w:after="50"/>
        <w:ind w:firstLine="640" w:firstLineChars="200"/>
        <w:rPr>
          <w:rFonts w:hint="eastAsia" w:ascii="宋体" w:hAnsi="宋体" w:cs="仿宋_GB2312"/>
          <w:bCs/>
          <w:sz w:val="32"/>
          <w:szCs w:val="32"/>
        </w:rPr>
      </w:pPr>
      <w:r>
        <w:rPr>
          <w:rFonts w:hint="eastAsia" w:ascii="宋体" w:hAnsi="宋体" w:cs="仿宋_GB2312"/>
          <w:bCs/>
          <w:sz w:val="32"/>
          <w:szCs w:val="32"/>
        </w:rPr>
        <w:t>供应商名称：</w:t>
      </w:r>
    </w:p>
    <w:p>
      <w:pPr>
        <w:pStyle w:val="7"/>
        <w:widowControl/>
        <w:snapToGrid w:val="0"/>
        <w:spacing w:before="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pStyle w:val="7"/>
        <w:widowControl/>
        <w:snapToGrid w:val="0"/>
        <w:spacing w:before="50" w:after="50"/>
        <w:ind w:firstLine="720" w:firstLineChars="225"/>
        <w:rPr>
          <w:rFonts w:hint="eastAsia" w:ascii="宋体" w:hAnsi="宋体" w:cs="仿宋_GB2312"/>
          <w:bCs/>
          <w:sz w:val="32"/>
          <w:szCs w:val="32"/>
        </w:rPr>
      </w:pPr>
      <w:r>
        <w:rPr>
          <w:rFonts w:hint="eastAsia" w:ascii="宋体" w:hAnsi="宋体" w:cs="仿宋_GB2312"/>
          <w:bCs/>
          <w:sz w:val="32"/>
          <w:szCs w:val="32"/>
        </w:rPr>
        <w:t xml:space="preserve"> </w:t>
      </w:r>
    </w:p>
    <w:p>
      <w:pPr>
        <w:pStyle w:val="7"/>
        <w:widowControl/>
        <w:snapToGrid w:val="0"/>
        <w:spacing w:before="50" w:after="50"/>
        <w:ind w:firstLine="1280" w:firstLineChars="400"/>
        <w:rPr>
          <w:rFonts w:hint="eastAsia" w:ascii="宋体" w:hAnsi="宋体" w:cs="仿宋_GB2312"/>
          <w:bCs/>
          <w:sz w:val="32"/>
          <w:szCs w:val="32"/>
        </w:rPr>
      </w:pPr>
      <w:r>
        <w:rPr>
          <w:rFonts w:hint="eastAsia" w:ascii="宋体" w:hAnsi="宋体" w:cs="仿宋_GB2312"/>
          <w:bCs/>
          <w:sz w:val="32"/>
          <w:szCs w:val="32"/>
        </w:rPr>
        <w:t xml:space="preserve"> </w:t>
      </w:r>
    </w:p>
    <w:p>
      <w:pPr>
        <w:snapToGrid w:val="0"/>
        <w:spacing w:before="156" w:beforeLines="50" w:after="50"/>
        <w:jc w:val="center"/>
        <w:rPr>
          <w:rFonts w:hint="eastAsia" w:ascii="宋体" w:hAnsi="宋体" w:cs="仿宋_GB2312"/>
          <w:sz w:val="32"/>
          <w:szCs w:val="32"/>
        </w:rPr>
      </w:pPr>
      <w:r>
        <w:rPr>
          <w:rFonts w:hint="eastAsia" w:ascii="宋体" w:hAnsi="宋体" w:cs="仿宋_GB2312"/>
          <w:sz w:val="32"/>
          <w:szCs w:val="32"/>
        </w:rPr>
        <w:t>年    月    日</w:t>
      </w:r>
    </w:p>
    <w:p>
      <w:pPr>
        <w:snapToGrid w:val="0"/>
        <w:spacing w:before="156" w:beforeLines="50" w:after="50" w:line="400" w:lineRule="exact"/>
        <w:jc w:val="center"/>
        <w:rPr>
          <w:rFonts w:hint="eastAsia" w:ascii="宋体" w:hAnsi="宋体"/>
          <w:b/>
          <w:bCs/>
          <w:sz w:val="32"/>
          <w:szCs w:val="32"/>
        </w:rPr>
      </w:pPr>
      <w:r>
        <w:rPr>
          <w:rFonts w:hint="eastAsia" w:ascii="宋体" w:hAnsi="宋体"/>
          <w:sz w:val="24"/>
        </w:rPr>
        <w:br w:type="page"/>
      </w:r>
      <w:r>
        <w:rPr>
          <w:rFonts w:hint="eastAsia" w:ascii="宋体" w:hAnsi="宋体"/>
          <w:b/>
          <w:bCs/>
          <w:sz w:val="32"/>
          <w:szCs w:val="32"/>
        </w:rPr>
        <w:t>报价文件目录</w:t>
      </w:r>
    </w:p>
    <w:p>
      <w:pPr>
        <w:rPr>
          <w:rFonts w:hint="eastAsia" w:ascii="宋体" w:hAnsi="宋体"/>
          <w:szCs w:val="21"/>
        </w:rPr>
      </w:pPr>
      <w:r>
        <w:rPr>
          <w:rFonts w:hint="eastAsia" w:ascii="宋体" w:hAnsi="宋体"/>
        </w:rPr>
        <w:t xml:space="preserve"> </w:t>
      </w:r>
    </w:p>
    <w:p>
      <w:pPr>
        <w:rPr>
          <w:rFonts w:hint="eastAsia" w:ascii="仿宋_GB2312" w:hAnsi="仿宋" w:eastAsia="仿宋_GB2312"/>
          <w:kern w:val="0"/>
          <w:sz w:val="24"/>
        </w:rPr>
      </w:pPr>
      <w:r>
        <w:rPr>
          <w:rFonts w:hint="eastAsia" w:ascii="仿宋_GB2312" w:hAnsi="仿宋" w:eastAsia="仿宋_GB2312"/>
          <w:kern w:val="0"/>
          <w:sz w:val="24"/>
        </w:rPr>
        <w:t>一、响应函………………………………………………………（页码）</w:t>
      </w:r>
    </w:p>
    <w:p>
      <w:pPr>
        <w:rPr>
          <w:rFonts w:hint="eastAsia" w:ascii="仿宋_GB2312" w:hAnsi="仿宋" w:eastAsia="仿宋_GB2312"/>
          <w:kern w:val="0"/>
          <w:sz w:val="24"/>
        </w:rPr>
      </w:pPr>
      <w:r>
        <w:rPr>
          <w:rFonts w:hint="eastAsia" w:ascii="仿宋_GB2312" w:hAnsi="仿宋" w:eastAsia="仿宋_GB2312"/>
          <w:kern w:val="0"/>
          <w:sz w:val="24"/>
        </w:rPr>
        <w:t>二、响应报价表…………………………………………………（页码）</w:t>
      </w:r>
    </w:p>
    <w:p>
      <w:pPr>
        <w:snapToGrid w:val="0"/>
        <w:spacing w:before="156" w:beforeLines="50" w:after="50" w:line="360" w:lineRule="auto"/>
        <w:ind w:left="142" w:firstLine="640" w:firstLineChars="200"/>
        <w:jc w:val="left"/>
        <w:rPr>
          <w:rFonts w:hint="eastAsia" w:ascii="仿宋_GB2312" w:hAnsi="Calibri" w:eastAsia="仿宋_GB2312"/>
          <w:sz w:val="32"/>
          <w:szCs w:val="32"/>
        </w:rPr>
      </w:pPr>
    </w:p>
    <w:p>
      <w:pPr>
        <w:snapToGrid w:val="0"/>
        <w:spacing w:before="156" w:beforeLines="50" w:after="50" w:line="360" w:lineRule="auto"/>
        <w:jc w:val="left"/>
        <w:rPr>
          <w:rFonts w:hint="eastAsia" w:ascii="Calibri" w:hAnsi="宋体" w:cs="仿宋_GB2312"/>
          <w:sz w:val="24"/>
        </w:rPr>
      </w:pPr>
      <w:r>
        <w:rPr>
          <w:rFonts w:hAnsi="宋体" w:cs="仿宋_GB2312"/>
          <w:sz w:val="24"/>
        </w:rPr>
        <w:br w:type="page"/>
      </w:r>
      <w:r>
        <w:rPr>
          <w:rFonts w:hint="eastAsia" w:ascii="宋体" w:hAnsi="宋体"/>
          <w:b/>
          <w:bCs/>
          <w:sz w:val="32"/>
          <w:szCs w:val="32"/>
        </w:rPr>
        <w:t>一、响应函</w:t>
      </w:r>
    </w:p>
    <w:p>
      <w:pPr>
        <w:pStyle w:val="17"/>
        <w:widowControl/>
        <w:spacing w:line="500" w:lineRule="exact"/>
        <w:jc w:val="center"/>
        <w:rPr>
          <w:rFonts w:ascii="Times New Roman" w:hAnsi="Times New Roman"/>
          <w:b/>
          <w:bCs/>
          <w:sz w:val="30"/>
          <w:szCs w:val="30"/>
        </w:rPr>
      </w:pPr>
      <w:r>
        <w:rPr>
          <w:rFonts w:hint="eastAsia" w:hAnsi="宋体"/>
          <w:b/>
          <w:bCs/>
          <w:sz w:val="30"/>
          <w:szCs w:val="30"/>
        </w:rPr>
        <w:t>响应函</w:t>
      </w:r>
    </w:p>
    <w:p>
      <w:pPr>
        <w:pStyle w:val="17"/>
        <w:widowControl/>
        <w:spacing w:line="360" w:lineRule="auto"/>
        <w:rPr>
          <w:rFonts w:ascii="Times New Roman" w:hAnsi="Times New Roman"/>
          <w:szCs w:val="20"/>
        </w:rPr>
      </w:pPr>
      <w:r>
        <w:rPr>
          <w:rFonts w:hint="eastAsia" w:hAnsi="宋体"/>
        </w:rPr>
        <w:t>致：</w:t>
      </w:r>
      <w:r>
        <w:rPr>
          <w:rFonts w:ascii="Times New Roman" w:hAnsi="Times New Roman"/>
          <w:u w:val="single"/>
        </w:rPr>
        <w:t xml:space="preserve"> </w:t>
      </w:r>
      <w:bookmarkStart w:id="175" w:name="PO_3000001868_PM031_4"/>
      <w:bookmarkEnd w:id="175"/>
      <w:r>
        <w:rPr>
          <w:rFonts w:hint="eastAsia" w:hAnsi="宋体"/>
          <w:u w:val="single"/>
        </w:rPr>
        <w:t>广西城建咨询有限公司</w:t>
      </w:r>
      <w:r>
        <w:rPr>
          <w:rFonts w:ascii="Times New Roman" w:hAnsi="Times New Roman"/>
          <w:u w:val="single"/>
        </w:rPr>
        <w:t xml:space="preserve"> </w:t>
      </w:r>
    </w:p>
    <w:p>
      <w:pPr>
        <w:pStyle w:val="17"/>
        <w:widowControl/>
        <w:spacing w:line="360" w:lineRule="auto"/>
        <w:ind w:firstLine="400" w:firstLineChars="200"/>
        <w:rPr>
          <w:rFonts w:ascii="Times New Roman" w:hAnsi="Times New Roman"/>
        </w:rPr>
      </w:pPr>
      <w:r>
        <w:rPr>
          <w:rFonts w:hint="eastAsia" w:hAnsi="宋体"/>
        </w:rPr>
        <w:t>我方已仔细阅读了贵方组织的</w:t>
      </w:r>
      <w:r>
        <w:rPr>
          <w:rFonts w:hint="eastAsia"/>
          <w:u w:val="single"/>
          <w:lang w:val="en-US"/>
        </w:rPr>
        <w:t>环境监管执法系统运维服务项目</w:t>
      </w:r>
      <w:r>
        <w:rPr>
          <w:rFonts w:hint="eastAsia" w:hAnsi="宋体"/>
        </w:rPr>
        <w:t>项目（项目编号：</w:t>
      </w:r>
      <w:r>
        <w:rPr>
          <w:rFonts w:hint="eastAsia" w:hAnsi="宋体"/>
          <w:u w:val="single"/>
        </w:rPr>
        <w:t xml:space="preserve">  </w:t>
      </w:r>
      <w:r>
        <w:rPr>
          <w:rFonts w:hint="eastAsia" w:hAnsi="宋体"/>
          <w:u w:val="single"/>
          <w:lang w:eastAsia="zh-CN"/>
        </w:rPr>
        <w:t xml:space="preserve">               </w:t>
      </w:r>
      <w:r>
        <w:rPr>
          <w:rFonts w:hint="eastAsia" w:hAnsi="宋体"/>
        </w:rPr>
        <w:t>）的竞争性磋商采购文件的全部内容，现正式递交下述文件参加贵方组织的本次政府采购活动：</w:t>
      </w:r>
      <w:r>
        <w:rPr>
          <w:rFonts w:hint="eastAsia"/>
        </w:rPr>
        <w:t xml:space="preserve"> </w:t>
      </w:r>
    </w:p>
    <w:p>
      <w:pPr>
        <w:pStyle w:val="17"/>
        <w:widowControl/>
        <w:spacing w:line="360" w:lineRule="auto"/>
        <w:ind w:firstLine="400" w:firstLineChars="200"/>
        <w:rPr>
          <w:rFonts w:ascii="Times New Roman" w:hAnsi="Times New Roman"/>
        </w:rPr>
      </w:pPr>
      <w:r>
        <w:rPr>
          <w:rFonts w:hint="eastAsia" w:hAnsi="宋体"/>
        </w:rPr>
        <w:t>一、首次报价文件电子版</w:t>
      </w:r>
      <w:r>
        <w:rPr>
          <w:rFonts w:hint="eastAsia"/>
          <w:u w:val="single"/>
        </w:rPr>
        <w:t xml:space="preserve">   </w:t>
      </w:r>
      <w:r>
        <w:rPr>
          <w:rFonts w:hint="eastAsia" w:hAnsi="宋体"/>
        </w:rPr>
        <w:t>份（包含按“第三章 供应商须知”提交的全部文件）；</w:t>
      </w:r>
    </w:p>
    <w:p>
      <w:pPr>
        <w:pStyle w:val="17"/>
        <w:widowControl/>
        <w:spacing w:line="360" w:lineRule="auto"/>
        <w:ind w:firstLine="400" w:firstLineChars="200"/>
      </w:pPr>
      <w:r>
        <w:rPr>
          <w:rFonts w:hint="eastAsia" w:hAnsi="宋体"/>
        </w:rPr>
        <w:t>二、技术文件电子版</w:t>
      </w:r>
      <w:r>
        <w:rPr>
          <w:rFonts w:hint="eastAsia"/>
          <w:u w:val="single"/>
        </w:rPr>
        <w:t xml:space="preserve">   </w:t>
      </w:r>
      <w:r>
        <w:rPr>
          <w:rFonts w:hint="eastAsia" w:hAnsi="宋体"/>
        </w:rPr>
        <w:t>份（包含按“第三章 供应商须知”提交的全部文件）；商务文件电子版</w:t>
      </w:r>
      <w:r>
        <w:rPr>
          <w:rFonts w:hint="eastAsia"/>
          <w:u w:val="single"/>
        </w:rPr>
        <w:t xml:space="preserve">   </w:t>
      </w:r>
      <w:r>
        <w:rPr>
          <w:rFonts w:hint="eastAsia" w:hAnsi="宋体"/>
        </w:rPr>
        <w:t>份（包含按“第三章 供应商须知”提交的全部文件）；（商务技术文件已合并装订成册）；</w:t>
      </w:r>
    </w:p>
    <w:p>
      <w:pPr>
        <w:pStyle w:val="17"/>
        <w:widowControl/>
        <w:spacing w:line="360" w:lineRule="auto"/>
        <w:ind w:firstLine="400" w:firstLineChars="200"/>
        <w:rPr>
          <w:rFonts w:hint="eastAsia"/>
        </w:rPr>
      </w:pPr>
      <w:r>
        <w:rPr>
          <w:rFonts w:hint="eastAsia" w:hAnsi="宋体"/>
        </w:rPr>
        <w:t>三、资格证明文件电子版（包含按“第三章供应商须知”提交的全部文件）；</w:t>
      </w:r>
    </w:p>
    <w:p>
      <w:pPr>
        <w:pStyle w:val="17"/>
        <w:widowControl/>
        <w:spacing w:line="360" w:lineRule="auto"/>
        <w:ind w:firstLine="400" w:firstLineChars="200"/>
        <w:rPr>
          <w:rFonts w:hint="eastAsia" w:ascii="Times New Roman" w:hAnsi="Times New Roman"/>
        </w:rPr>
      </w:pPr>
      <w:r>
        <w:rPr>
          <w:rFonts w:hint="eastAsia" w:hAnsi="宋体"/>
        </w:rPr>
        <w:t>据此函，签字人兹宣布：</w:t>
      </w:r>
    </w:p>
    <w:p>
      <w:pPr>
        <w:pStyle w:val="17"/>
        <w:widowControl/>
        <w:spacing w:line="360" w:lineRule="auto"/>
        <w:ind w:firstLine="482"/>
        <w:rPr>
          <w:rFonts w:ascii="Times New Roman" w:hAnsi="Times New Roman"/>
        </w:rPr>
      </w:pPr>
      <w:r>
        <w:rPr>
          <w:rFonts w:hint="eastAsia" w:hAnsi="宋体"/>
        </w:rPr>
        <w:t>1、我方愿意以（大写）人民币</w:t>
      </w:r>
      <w:r>
        <w:rPr>
          <w:rFonts w:hint="eastAsia"/>
          <w:u w:val="single"/>
        </w:rPr>
        <w:t xml:space="preserve">              </w:t>
      </w:r>
      <w:r>
        <w:rPr>
          <w:rFonts w:hint="eastAsia" w:hAnsi="宋体"/>
        </w:rPr>
        <w:t>（￥</w:t>
      </w:r>
      <w:r>
        <w:rPr>
          <w:rFonts w:hint="eastAsia"/>
          <w:u w:val="single"/>
        </w:rPr>
        <w:t xml:space="preserve">          </w:t>
      </w:r>
      <w:r>
        <w:rPr>
          <w:rFonts w:hint="eastAsia" w:hAnsi="宋体"/>
        </w:rPr>
        <w:t>元)的竞标总报价，提供服务期（无分标时填写）：</w:t>
      </w:r>
      <w:r>
        <w:rPr>
          <w:rFonts w:hint="eastAsia"/>
          <w:u w:val="single"/>
        </w:rPr>
        <w:t xml:space="preserve">            </w:t>
      </w:r>
      <w:r>
        <w:rPr>
          <w:rFonts w:hint="eastAsia" w:hAnsi="宋体"/>
        </w:rPr>
        <w:t>，提供本项目竞争性磋商采购文件第二章“服务需求一览表”中相应的采购内容。</w:t>
      </w:r>
    </w:p>
    <w:p>
      <w:pPr>
        <w:pStyle w:val="17"/>
        <w:widowControl/>
        <w:spacing w:line="360" w:lineRule="auto"/>
        <w:ind w:firstLine="482"/>
        <w:rPr>
          <w:rFonts w:ascii="Times New Roman" w:hAnsi="Times New Roman"/>
        </w:rPr>
      </w:pPr>
      <w:r>
        <w:rPr>
          <w:rFonts w:hint="eastAsia" w:hAnsi="宋体"/>
        </w:rPr>
        <w:t>其中（有分标时填写）：</w:t>
      </w:r>
    </w:p>
    <w:p>
      <w:pPr>
        <w:pStyle w:val="17"/>
        <w:widowControl/>
        <w:spacing w:line="360" w:lineRule="auto"/>
        <w:ind w:firstLine="482"/>
        <w:rPr>
          <w:rFonts w:ascii="Times New Roman" w:hAnsi="Times New Roman"/>
        </w:rPr>
      </w:pPr>
      <w:r>
        <w:rPr>
          <w:rFonts w:hint="eastAsia"/>
          <w:u w:val="single"/>
        </w:rPr>
        <w:t xml:space="preserve">    </w:t>
      </w:r>
      <w:r>
        <w:rPr>
          <w:rFonts w:hint="eastAsia" w:hAnsi="宋体"/>
        </w:rPr>
        <w:t>分标报价为（大写）人民币</w:t>
      </w:r>
      <w:r>
        <w:rPr>
          <w:rFonts w:hint="eastAsia"/>
          <w:u w:val="single"/>
        </w:rPr>
        <w:t xml:space="preserve">               </w:t>
      </w:r>
      <w:r>
        <w:rPr>
          <w:rFonts w:hint="eastAsia"/>
        </w:rPr>
        <w:t xml:space="preserve"> </w:t>
      </w:r>
      <w:r>
        <w:rPr>
          <w:rFonts w:hint="eastAsia" w:hAnsi="宋体"/>
        </w:rPr>
        <w:t>(￥</w:t>
      </w:r>
      <w:r>
        <w:rPr>
          <w:rFonts w:hint="eastAsia"/>
          <w:u w:val="single"/>
        </w:rPr>
        <w:t xml:space="preserve">           </w:t>
      </w:r>
      <w:r>
        <w:rPr>
          <w:rFonts w:hint="eastAsia" w:hAnsi="宋体"/>
        </w:rPr>
        <w:t>元)，服务期：</w:t>
      </w:r>
      <w:r>
        <w:rPr>
          <w:rFonts w:hint="eastAsia"/>
          <w:u w:val="single"/>
        </w:rPr>
        <w:t xml:space="preserve">          </w:t>
      </w:r>
      <w:r>
        <w:rPr>
          <w:rFonts w:hint="eastAsia" w:hAnsi="宋体"/>
        </w:rPr>
        <w:t>；</w:t>
      </w:r>
    </w:p>
    <w:p>
      <w:pPr>
        <w:pStyle w:val="17"/>
        <w:widowControl/>
        <w:spacing w:line="360" w:lineRule="auto"/>
        <w:ind w:firstLine="482"/>
        <w:rPr>
          <w:rFonts w:ascii="Times New Roman" w:hAnsi="Times New Roman"/>
        </w:rPr>
      </w:pPr>
      <w:r>
        <w:rPr>
          <w:rFonts w:hint="eastAsia"/>
          <w:u w:val="single"/>
        </w:rPr>
        <w:t xml:space="preserve">    </w:t>
      </w:r>
      <w:r>
        <w:rPr>
          <w:rFonts w:hint="eastAsia" w:hAnsi="宋体"/>
        </w:rPr>
        <w:t>分标报价为（大写）人民币</w:t>
      </w:r>
      <w:r>
        <w:rPr>
          <w:rFonts w:hint="eastAsia"/>
          <w:u w:val="single"/>
        </w:rPr>
        <w:t xml:space="preserve">               </w:t>
      </w:r>
      <w:r>
        <w:rPr>
          <w:rFonts w:hint="eastAsia"/>
        </w:rPr>
        <w:t xml:space="preserve"> </w:t>
      </w:r>
      <w:r>
        <w:rPr>
          <w:rFonts w:hint="eastAsia" w:hAnsi="宋体"/>
        </w:rPr>
        <w:t>(￥</w:t>
      </w:r>
      <w:r>
        <w:rPr>
          <w:rFonts w:hint="eastAsia"/>
          <w:u w:val="single"/>
        </w:rPr>
        <w:t xml:space="preserve">           </w:t>
      </w:r>
      <w:r>
        <w:rPr>
          <w:rFonts w:hint="eastAsia" w:hAnsi="宋体"/>
        </w:rPr>
        <w:t>元)，服务期：</w:t>
      </w:r>
      <w:r>
        <w:rPr>
          <w:rFonts w:hint="eastAsia"/>
          <w:u w:val="single"/>
        </w:rPr>
        <w:t xml:space="preserve">          </w:t>
      </w:r>
      <w:r>
        <w:rPr>
          <w:rFonts w:hint="eastAsia" w:hAnsi="宋体"/>
        </w:rPr>
        <w:t>；</w:t>
      </w:r>
    </w:p>
    <w:p>
      <w:pPr>
        <w:pStyle w:val="17"/>
        <w:widowControl/>
        <w:spacing w:line="360" w:lineRule="auto"/>
        <w:ind w:firstLine="482"/>
        <w:rPr>
          <w:rFonts w:ascii="Times New Roman" w:hAnsi="Times New Roman"/>
        </w:rPr>
      </w:pPr>
      <w:r>
        <w:rPr>
          <w:rFonts w:hint="eastAsia" w:hAnsi="宋体"/>
        </w:rPr>
        <w:t>......</w:t>
      </w:r>
    </w:p>
    <w:p>
      <w:pPr>
        <w:pStyle w:val="17"/>
        <w:widowControl/>
        <w:spacing w:line="360" w:lineRule="auto"/>
        <w:ind w:firstLine="482"/>
      </w:pPr>
      <w:r>
        <w:rPr>
          <w:rFonts w:hint="eastAsia" w:hAnsi="宋体"/>
        </w:rPr>
        <w:t>2、我方同意自本项目竞争性磋商采购文件采购公告规定的递交响应文件截止时间起遵循本响应函，并承诺在“第三章 供应商须知”规定的响应有效期内不修改、撤销响应文件。</w:t>
      </w:r>
    </w:p>
    <w:p>
      <w:pPr>
        <w:pStyle w:val="17"/>
        <w:widowControl/>
        <w:spacing w:line="360" w:lineRule="auto"/>
        <w:ind w:firstLine="482"/>
        <w:rPr>
          <w:rFonts w:hint="eastAsia"/>
        </w:rPr>
      </w:pPr>
      <w:r>
        <w:rPr>
          <w:rFonts w:hint="eastAsia" w:hAnsi="宋体"/>
        </w:rPr>
        <w:t>3、我方在此声明，所递交的响应文件及有关资料内容完整、真实和准确。</w:t>
      </w:r>
    </w:p>
    <w:p>
      <w:pPr>
        <w:pStyle w:val="17"/>
        <w:widowControl/>
        <w:spacing w:line="360" w:lineRule="auto"/>
        <w:ind w:firstLine="482"/>
        <w:rPr>
          <w:rFonts w:hint="eastAsia"/>
        </w:rPr>
      </w:pPr>
      <w:r>
        <w:rPr>
          <w:rFonts w:hint="eastAsia" w:hAnsi="宋体"/>
        </w:rPr>
        <w:t>4、如本项目采购内容涉及须符合国家强制规定的，我方承诺我方本次竞标均符合国家有关强制规定。</w:t>
      </w:r>
    </w:p>
    <w:p>
      <w:pPr>
        <w:pStyle w:val="17"/>
        <w:widowControl/>
        <w:spacing w:line="360" w:lineRule="auto"/>
        <w:ind w:firstLine="482"/>
        <w:rPr>
          <w:rFonts w:hint="eastAsia"/>
        </w:rPr>
      </w:pPr>
      <w:r>
        <w:rPr>
          <w:rFonts w:hint="eastAsia" w:hAnsi="宋体"/>
        </w:rPr>
        <w:t>5、如我方成交，我方承诺在收到成交通知书后，在成交通知书规定的期限内，根据竞争性磋商采购文件、我方的响应文件及有关澄清承诺书的要求按第六章“合同文本”与采购人订立书面合同，并按照合同约定承担完成合同的责任和义务。</w:t>
      </w:r>
    </w:p>
    <w:p>
      <w:pPr>
        <w:pStyle w:val="17"/>
        <w:widowControl/>
        <w:spacing w:line="360" w:lineRule="auto"/>
        <w:ind w:firstLine="482"/>
        <w:rPr>
          <w:rFonts w:hint="eastAsia"/>
        </w:rPr>
      </w:pPr>
      <w:r>
        <w:rPr>
          <w:rFonts w:hint="eastAsia" w:hAnsi="宋体"/>
        </w:rPr>
        <w:t>6、我方已详细审核竞争性磋商采购文件，我方知道必须放弃提出含糊不清或误解问题的权利。</w:t>
      </w:r>
    </w:p>
    <w:p>
      <w:pPr>
        <w:pStyle w:val="17"/>
        <w:widowControl/>
        <w:spacing w:line="360" w:lineRule="auto"/>
        <w:ind w:firstLine="482"/>
        <w:rPr>
          <w:rFonts w:hint="eastAsia"/>
        </w:rPr>
      </w:pPr>
      <w:r>
        <w:rPr>
          <w:rFonts w:hint="eastAsia" w:hAnsi="宋体"/>
        </w:rPr>
        <w:t>7、我方承诺满足竞争性磋商采购文件第六章“合同文本”的条款，承担完成合同的责任和义务。</w:t>
      </w:r>
    </w:p>
    <w:p>
      <w:pPr>
        <w:pStyle w:val="17"/>
        <w:widowControl/>
        <w:spacing w:line="360" w:lineRule="auto"/>
        <w:ind w:firstLine="482"/>
        <w:rPr>
          <w:rFonts w:hint="eastAsia"/>
        </w:rPr>
      </w:pPr>
      <w:r>
        <w:rPr>
          <w:rFonts w:hint="eastAsia" w:hAnsi="宋体"/>
        </w:rPr>
        <w:t>8、我方同意应贵方要求提供与本竞标有关的任何数据或资料。若贵方需要，我方愿意提供我方作出的一切承诺的证明材料。</w:t>
      </w:r>
    </w:p>
    <w:p>
      <w:pPr>
        <w:pStyle w:val="17"/>
        <w:widowControl/>
        <w:spacing w:line="360" w:lineRule="auto"/>
        <w:ind w:firstLine="482"/>
        <w:rPr>
          <w:rFonts w:hint="eastAsia"/>
        </w:rPr>
      </w:pPr>
      <w:r>
        <w:rPr>
          <w:rFonts w:hint="eastAsia" w:hAnsi="宋体"/>
        </w:rPr>
        <w:t>9、我方完全理解贵方不一定接受响应报价最低的竞标人为成交供应商的行为。</w:t>
      </w:r>
    </w:p>
    <w:p>
      <w:pPr>
        <w:pStyle w:val="17"/>
        <w:widowControl/>
        <w:spacing w:line="360" w:lineRule="auto"/>
        <w:ind w:firstLine="482"/>
        <w:rPr>
          <w:rFonts w:hint="eastAsia"/>
        </w:rPr>
      </w:pPr>
      <w:r>
        <w:rPr>
          <w:rFonts w:hint="eastAsia" w:hAnsi="宋体"/>
        </w:rPr>
        <w:t>10、我方将严格遵守《中华人民共和国政府采购法》第七十七条的规定，即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17"/>
        <w:widowControl/>
        <w:numPr>
          <w:ilvl w:val="0"/>
          <w:numId w:val="1"/>
        </w:numPr>
        <w:spacing w:line="360" w:lineRule="auto"/>
        <w:rPr>
          <w:rFonts w:hint="eastAsia" w:hAnsi="宋体"/>
        </w:rPr>
      </w:pPr>
      <w:r>
        <w:rPr>
          <w:rFonts w:hint="eastAsia" w:hAnsi="宋体"/>
        </w:rPr>
        <w:t>提供虚假材料谋取中标、成交的；</w:t>
      </w:r>
    </w:p>
    <w:p>
      <w:pPr>
        <w:pStyle w:val="17"/>
        <w:widowControl/>
        <w:numPr>
          <w:ilvl w:val="0"/>
          <w:numId w:val="1"/>
        </w:numPr>
        <w:spacing w:line="360" w:lineRule="auto"/>
        <w:rPr>
          <w:rFonts w:hint="eastAsia" w:hAnsi="宋体"/>
        </w:rPr>
      </w:pPr>
      <w:r>
        <w:rPr>
          <w:rFonts w:hint="eastAsia" w:hAnsi="宋体"/>
        </w:rPr>
        <w:t>采取不正当手段诋毁、排挤其他供应商的；</w:t>
      </w:r>
    </w:p>
    <w:p>
      <w:pPr>
        <w:pStyle w:val="17"/>
        <w:widowControl/>
        <w:numPr>
          <w:ilvl w:val="0"/>
          <w:numId w:val="1"/>
        </w:numPr>
        <w:spacing w:line="360" w:lineRule="auto"/>
        <w:rPr>
          <w:rFonts w:hint="eastAsia"/>
        </w:rPr>
      </w:pPr>
      <w:r>
        <w:rPr>
          <w:rFonts w:hint="eastAsia" w:hAnsi="宋体"/>
        </w:rPr>
        <w:t>与采购人、其他供应商或者采购代理机构恶意串通的；</w:t>
      </w:r>
    </w:p>
    <w:p>
      <w:pPr>
        <w:pStyle w:val="17"/>
        <w:widowControl/>
        <w:numPr>
          <w:ilvl w:val="0"/>
          <w:numId w:val="1"/>
        </w:numPr>
        <w:spacing w:line="360" w:lineRule="auto"/>
        <w:rPr>
          <w:rFonts w:hint="eastAsia"/>
        </w:rPr>
      </w:pPr>
      <w:r>
        <w:rPr>
          <w:rFonts w:hint="eastAsia" w:hAnsi="宋体"/>
        </w:rPr>
        <w:t>向采购人、采购代理机构行贿或者提供其他不正当利益的；</w:t>
      </w:r>
    </w:p>
    <w:p>
      <w:pPr>
        <w:pStyle w:val="17"/>
        <w:widowControl/>
        <w:numPr>
          <w:ilvl w:val="0"/>
          <w:numId w:val="1"/>
        </w:numPr>
        <w:spacing w:line="360" w:lineRule="auto"/>
        <w:rPr>
          <w:rFonts w:hint="eastAsia"/>
        </w:rPr>
      </w:pPr>
      <w:r>
        <w:rPr>
          <w:rFonts w:hint="eastAsia" w:hAnsi="宋体"/>
        </w:rPr>
        <w:t>在采购过程中与采购人进行协商谈判的；</w:t>
      </w:r>
    </w:p>
    <w:p>
      <w:pPr>
        <w:pStyle w:val="17"/>
        <w:widowControl/>
        <w:numPr>
          <w:ilvl w:val="0"/>
          <w:numId w:val="1"/>
        </w:numPr>
        <w:spacing w:line="360" w:lineRule="auto"/>
        <w:rPr>
          <w:rFonts w:hint="eastAsia"/>
        </w:rPr>
      </w:pPr>
      <w:r>
        <w:rPr>
          <w:rFonts w:hint="eastAsia" w:hAnsi="宋体"/>
        </w:rPr>
        <w:t>拒绝有关部门监督检查或提供虚假情况的。</w:t>
      </w:r>
    </w:p>
    <w:p>
      <w:pPr>
        <w:pStyle w:val="17"/>
        <w:widowControl/>
        <w:spacing w:line="360" w:lineRule="auto"/>
        <w:ind w:firstLine="420"/>
        <w:rPr>
          <w:rFonts w:hint="eastAsia"/>
        </w:rPr>
      </w:pPr>
      <w:r>
        <w:rPr>
          <w:rFonts w:hint="eastAsia" w:hAnsi="宋体"/>
        </w:rPr>
        <w:t>11.与本磋商有关的一切正式往来信函请寄：</w:t>
      </w:r>
      <w:r>
        <w:rPr>
          <w:rFonts w:hint="eastAsia"/>
          <w:u w:val="single"/>
        </w:rPr>
        <w:t xml:space="preserve"> </w:t>
      </w:r>
    </w:p>
    <w:p>
      <w:pPr>
        <w:pStyle w:val="17"/>
        <w:widowControl/>
        <w:spacing w:line="360" w:lineRule="auto"/>
        <w:ind w:firstLine="420"/>
        <w:rPr>
          <w:rFonts w:hint="eastAsia"/>
        </w:rPr>
      </w:pPr>
      <w:r>
        <w:rPr>
          <w:rFonts w:hint="eastAsia" w:hAnsi="宋体"/>
        </w:rPr>
        <w:t>地址：</w:t>
      </w:r>
      <w:r>
        <w:rPr>
          <w:rFonts w:hint="eastAsia"/>
          <w:u w:val="single"/>
        </w:rPr>
        <w:t xml:space="preserve">                                                        </w:t>
      </w:r>
      <w:r>
        <w:rPr>
          <w:rFonts w:hint="eastAsia"/>
        </w:rPr>
        <w:t xml:space="preserve"> </w:t>
      </w:r>
    </w:p>
    <w:p>
      <w:pPr>
        <w:pStyle w:val="17"/>
        <w:widowControl/>
        <w:spacing w:line="360" w:lineRule="auto"/>
        <w:ind w:firstLine="420"/>
        <w:rPr>
          <w:rFonts w:hint="eastAsia"/>
          <w:u w:val="single"/>
        </w:rPr>
      </w:pPr>
      <w:r>
        <w:rPr>
          <w:rFonts w:hint="eastAsia" w:hAnsi="宋体"/>
        </w:rPr>
        <w:t>电话：</w:t>
      </w:r>
      <w:r>
        <w:rPr>
          <w:rFonts w:hint="eastAsia"/>
          <w:u w:val="single"/>
        </w:rPr>
        <w:t xml:space="preserve">                                      </w:t>
      </w:r>
      <w:r>
        <w:rPr>
          <w:rFonts w:hint="eastAsia" w:hAnsi="宋体"/>
          <w:u w:val="single"/>
        </w:rPr>
        <w:t xml:space="preserve">         </w:t>
      </w:r>
    </w:p>
    <w:p>
      <w:pPr>
        <w:pStyle w:val="17"/>
        <w:widowControl/>
        <w:spacing w:line="360" w:lineRule="auto"/>
        <w:ind w:firstLine="420"/>
        <w:rPr>
          <w:rFonts w:hint="eastAsia"/>
        </w:rPr>
      </w:pPr>
      <w:r>
        <w:rPr>
          <w:rFonts w:hint="eastAsia" w:hAnsi="宋体"/>
        </w:rPr>
        <w:t>传真：</w:t>
      </w:r>
      <w:r>
        <w:rPr>
          <w:rFonts w:hint="eastAsia" w:hAnsi="宋体"/>
          <w:u w:val="single"/>
        </w:rPr>
        <w:t xml:space="preserve">                            </w:t>
      </w:r>
    </w:p>
    <w:p>
      <w:pPr>
        <w:pStyle w:val="17"/>
        <w:widowControl/>
        <w:spacing w:line="360" w:lineRule="auto"/>
        <w:ind w:firstLine="420"/>
        <w:rPr>
          <w:rFonts w:hint="eastAsia"/>
          <w:u w:val="single"/>
        </w:rPr>
      </w:pPr>
      <w:r>
        <w:rPr>
          <w:rFonts w:hint="eastAsia" w:hAnsi="宋体"/>
        </w:rPr>
        <w:t>邮政编码：</w:t>
      </w:r>
      <w:r>
        <w:rPr>
          <w:rFonts w:hint="eastAsia"/>
          <w:u w:val="single"/>
        </w:rPr>
        <w:t xml:space="preserve">                                                    </w:t>
      </w:r>
    </w:p>
    <w:p>
      <w:pPr>
        <w:pStyle w:val="17"/>
        <w:widowControl/>
        <w:spacing w:line="360" w:lineRule="auto"/>
        <w:ind w:firstLine="420"/>
        <w:rPr>
          <w:rFonts w:hint="eastAsia"/>
          <w:u w:val="single"/>
        </w:rPr>
      </w:pPr>
      <w:r>
        <w:rPr>
          <w:rFonts w:hint="eastAsia" w:hAnsi="宋体"/>
        </w:rPr>
        <w:t>开户名称：</w:t>
      </w:r>
      <w:r>
        <w:rPr>
          <w:rFonts w:hint="eastAsia"/>
          <w:u w:val="single"/>
        </w:rPr>
        <w:t xml:space="preserve">                                                    </w:t>
      </w:r>
    </w:p>
    <w:p>
      <w:pPr>
        <w:pStyle w:val="17"/>
        <w:widowControl/>
        <w:spacing w:line="360" w:lineRule="auto"/>
        <w:ind w:firstLine="420"/>
        <w:rPr>
          <w:rFonts w:hint="eastAsia"/>
          <w:u w:val="single"/>
        </w:rPr>
      </w:pPr>
      <w:r>
        <w:rPr>
          <w:rFonts w:hint="eastAsia" w:hAnsi="宋体"/>
        </w:rPr>
        <w:t>开户银行：</w:t>
      </w:r>
      <w:r>
        <w:rPr>
          <w:rFonts w:hint="eastAsia"/>
          <w:u w:val="single"/>
        </w:rPr>
        <w:t xml:space="preserve">                                                    </w:t>
      </w:r>
    </w:p>
    <w:p>
      <w:pPr>
        <w:pStyle w:val="17"/>
        <w:widowControl/>
        <w:spacing w:line="360" w:lineRule="auto"/>
        <w:ind w:firstLine="420"/>
        <w:rPr>
          <w:rFonts w:hint="eastAsia"/>
          <w:u w:val="single"/>
        </w:rPr>
      </w:pPr>
      <w:r>
        <w:rPr>
          <w:rFonts w:hint="eastAsia" w:hAnsi="宋体"/>
        </w:rPr>
        <w:t>银行账号：</w:t>
      </w:r>
      <w:r>
        <w:rPr>
          <w:rFonts w:hint="eastAsia"/>
          <w:u w:val="single"/>
        </w:rPr>
        <w:t xml:space="preserve">                                                    </w:t>
      </w:r>
    </w:p>
    <w:p>
      <w:pPr>
        <w:pStyle w:val="14"/>
        <w:widowControl/>
        <w:spacing w:line="360" w:lineRule="auto"/>
        <w:ind w:left="141" w:leftChars="67" w:firstLine="300" w:firstLineChars="150"/>
        <w:rPr>
          <w:rFonts w:hint="eastAsia" w:ascii="宋体" w:hAnsi="宋体"/>
          <w:sz w:val="20"/>
          <w:szCs w:val="20"/>
        </w:rPr>
      </w:pPr>
      <w:r>
        <w:rPr>
          <w:rFonts w:hint="eastAsia" w:ascii="宋体" w:hAnsi="宋体"/>
          <w:sz w:val="20"/>
          <w:szCs w:val="20"/>
        </w:rPr>
        <w:t>特此承诺。</w:t>
      </w:r>
    </w:p>
    <w:p>
      <w:pPr>
        <w:spacing w:line="360" w:lineRule="auto"/>
        <w:jc w:val="left"/>
        <w:rPr>
          <w:rFonts w:hint="eastAsia" w:ascii="宋体" w:hAnsi="宋体"/>
          <w:szCs w:val="21"/>
        </w:rPr>
      </w:pPr>
      <w:r>
        <w:rPr>
          <w:rFonts w:hint="eastAsia" w:ascii="宋体" w:hAnsi="宋体"/>
        </w:rPr>
        <w:t xml:space="preserve"> </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firstLine="6480" w:firstLineChars="2700"/>
        <w:rPr>
          <w:rFonts w:hint="eastAsia" w:ascii="仿宋_GB2312" w:hAnsi="仿宋" w:eastAsia="仿宋_GB2312"/>
          <w:kern w:val="0"/>
          <w:sz w:val="24"/>
        </w:rPr>
      </w:pPr>
      <w:r>
        <w:rPr>
          <w:rFonts w:hint="eastAsia" w:ascii="仿宋_GB2312" w:hAnsi="仿宋" w:eastAsia="仿宋_GB2312"/>
          <w:kern w:val="0"/>
          <w:sz w:val="24"/>
        </w:rPr>
        <w:t>日期：  年  月   日</w:t>
      </w:r>
    </w:p>
    <w:p>
      <w:pPr>
        <w:widowControl/>
        <w:spacing w:line="360" w:lineRule="auto"/>
        <w:jc w:val="left"/>
        <w:rPr>
          <w:rFonts w:ascii="仿宋_GB2312" w:hAnsi="仿宋" w:eastAsia="仿宋_GB2312" w:cs="宋体"/>
          <w:sz w:val="24"/>
        </w:rPr>
        <w:sectPr>
          <w:pgSz w:w="11910" w:h="16840"/>
          <w:pgMar w:top="1340" w:right="1500" w:bottom="280" w:left="1680" w:header="720" w:footer="720" w:gutter="0"/>
          <w:cols w:space="720" w:num="1"/>
          <w:docGrid w:type="lines" w:linePitch="312" w:charSpace="0"/>
        </w:sectPr>
      </w:pPr>
    </w:p>
    <w:p>
      <w:pPr>
        <w:spacing w:line="520" w:lineRule="exact"/>
        <w:ind w:firstLine="420" w:firstLineChars="200"/>
        <w:rPr>
          <w:rFonts w:hint="eastAsia" w:ascii="宋体" w:hAnsi="宋体"/>
          <w:b/>
          <w:bCs/>
          <w:sz w:val="32"/>
          <w:szCs w:val="32"/>
        </w:rPr>
      </w:pPr>
      <w:r>
        <w:rPr>
          <w:rFonts w:hint="eastAsia" w:ascii="宋体" w:hAnsi="宋体"/>
        </w:rPr>
        <w:t>二</w:t>
      </w:r>
      <w:r>
        <w:rPr>
          <w:rFonts w:hint="eastAsia" w:ascii="宋体" w:hAnsi="宋体"/>
          <w:b/>
          <w:bCs/>
          <w:sz w:val="32"/>
          <w:szCs w:val="32"/>
        </w:rPr>
        <w:t>、响应报价表</w:t>
      </w:r>
    </w:p>
    <w:p>
      <w:pPr>
        <w:snapToGrid w:val="0"/>
        <w:spacing w:before="50" w:after="50" w:line="360" w:lineRule="auto"/>
        <w:rPr>
          <w:rFonts w:hint="eastAsia" w:ascii="宋体" w:hAnsi="宋体"/>
          <w:sz w:val="24"/>
        </w:rPr>
      </w:pPr>
      <w:r>
        <w:rPr>
          <w:rFonts w:hint="eastAsia" w:ascii="宋体" w:hAnsi="宋体"/>
          <w:sz w:val="24"/>
        </w:rPr>
        <w:t>项目名称：</w:t>
      </w:r>
      <w:r>
        <w:rPr>
          <w:rFonts w:hint="eastAsia" w:ascii="宋体" w:hAnsi="宋体"/>
          <w:sz w:val="24"/>
          <w:u w:val="single"/>
        </w:rPr>
        <w:t xml:space="preserve">环境监管执法系统运维服务项目 </w:t>
      </w:r>
      <w:r>
        <w:rPr>
          <w:rFonts w:hint="eastAsia" w:ascii="宋体" w:hAnsi="宋体"/>
          <w:sz w:val="24"/>
        </w:rPr>
        <w:t xml:space="preserve">     </w:t>
      </w:r>
    </w:p>
    <w:p>
      <w:pPr>
        <w:snapToGrid w:val="0"/>
        <w:spacing w:before="50" w:after="50" w:line="360" w:lineRule="auto"/>
        <w:rPr>
          <w:rFonts w:hint="eastAsia" w:ascii="宋体" w:hAnsi="宋体"/>
          <w:sz w:val="24"/>
          <w:u w:val="single"/>
        </w:rPr>
      </w:pPr>
      <w:r>
        <w:rPr>
          <w:rFonts w:hint="eastAsia" w:ascii="宋体" w:hAnsi="宋体"/>
          <w:sz w:val="24"/>
        </w:rPr>
        <w:t>项目编号：</w:t>
      </w:r>
      <w:r>
        <w:rPr>
          <w:rFonts w:hint="eastAsia" w:ascii="宋体" w:hAnsi="宋体"/>
          <w:sz w:val="24"/>
          <w:u w:val="single"/>
        </w:rPr>
        <w:t xml:space="preserve">                      </w:t>
      </w:r>
      <w:r>
        <w:rPr>
          <w:rFonts w:hint="eastAsia" w:ascii="宋体" w:hAnsi="宋体"/>
          <w:sz w:val="24"/>
        </w:rPr>
        <w:t xml:space="preserve">        分标：</w:t>
      </w:r>
      <w:r>
        <w:rPr>
          <w:rFonts w:hint="eastAsia" w:ascii="宋体" w:hAnsi="宋体"/>
          <w:sz w:val="24"/>
          <w:u w:val="single"/>
        </w:rPr>
        <w:t xml:space="preserve">           </w:t>
      </w:r>
    </w:p>
    <w:p>
      <w:pPr>
        <w:snapToGrid w:val="0"/>
        <w:spacing w:before="50" w:after="50" w:line="360" w:lineRule="auto"/>
        <w:rPr>
          <w:rFonts w:hint="eastAsia" w:ascii="宋体" w:hAnsi="宋体"/>
          <w:sz w:val="24"/>
          <w:u w:val="single"/>
        </w:rPr>
      </w:pPr>
      <w:r>
        <w:rPr>
          <w:rFonts w:hint="eastAsia" w:ascii="宋体" w:hAnsi="宋体"/>
          <w:sz w:val="24"/>
        </w:rPr>
        <w:t>供应商名称：</w:t>
      </w:r>
      <w:r>
        <w:rPr>
          <w:rFonts w:hAnsi="宋体"/>
          <w:sz w:val="24"/>
          <w:u w:val="single"/>
        </w:rPr>
        <w:t xml:space="preserve">                     </w:t>
      </w:r>
      <w:r>
        <w:rPr>
          <w:rFonts w:hAnsi="宋体"/>
          <w:sz w:val="24"/>
        </w:rPr>
        <w:t xml:space="preserve">  </w:t>
      </w:r>
      <w:r>
        <w:rPr>
          <w:rFonts w:hint="eastAsia" w:ascii="宋体" w:hAnsi="宋体" w:cs="仿宋_GB2312"/>
          <w:sz w:val="24"/>
        </w:rPr>
        <w:t xml:space="preserve">                    </w:t>
      </w:r>
    </w:p>
    <w:tbl>
      <w:tblPr>
        <w:tblStyle w:val="31"/>
        <w:tblW w:w="9810"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8"/>
        <w:gridCol w:w="1259"/>
        <w:gridCol w:w="2063"/>
        <w:gridCol w:w="1080"/>
        <w:gridCol w:w="1260"/>
        <w:gridCol w:w="1516"/>
        <w:gridCol w:w="957"/>
        <w:gridCol w:w="9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733" w:hRule="atLeast"/>
        </w:trPr>
        <w:tc>
          <w:tcPr>
            <w:tcW w:w="718"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rPr>
            </w:pPr>
            <w:r>
              <w:rPr>
                <w:rFonts w:hint="eastAsia" w:ascii="宋体" w:hAnsi="宋体"/>
              </w:rPr>
              <w:t>序号</w:t>
            </w:r>
          </w:p>
        </w:tc>
        <w:tc>
          <w:tcPr>
            <w:tcW w:w="1259"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服务名称</w:t>
            </w:r>
          </w:p>
        </w:tc>
        <w:tc>
          <w:tcPr>
            <w:tcW w:w="2063" w:type="dxa"/>
            <w:tcBorders>
              <w:top w:val="single" w:color="auto" w:sz="4" w:space="0"/>
              <w:left w:val="nil"/>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具体服务内容（含具体服务范围、服务时间、服务标准等内容）</w:t>
            </w:r>
          </w:p>
        </w:tc>
        <w:tc>
          <w:tcPr>
            <w:tcW w:w="1080" w:type="dxa"/>
            <w:tcBorders>
              <w:top w:val="single" w:color="auto" w:sz="4" w:space="0"/>
              <w:left w:val="nil"/>
              <w:bottom w:val="single" w:color="auto" w:sz="4" w:space="0"/>
              <w:right w:val="single" w:color="auto" w:sz="4" w:space="0"/>
            </w:tcBorders>
            <w:noWrap w:val="0"/>
            <w:vAlign w:val="center"/>
          </w:tcPr>
          <w:p>
            <w:pPr>
              <w:jc w:val="center"/>
              <w:rPr>
                <w:rFonts w:ascii="宋体" w:hAnsi="宋体"/>
                <w:szCs w:val="21"/>
              </w:rPr>
            </w:pPr>
            <w:r>
              <w:rPr>
                <w:rFonts w:hint="eastAsia" w:ascii="宋体" w:hAnsi="宋体"/>
              </w:rPr>
              <w:t>数量①</w:t>
            </w:r>
          </w:p>
        </w:tc>
        <w:tc>
          <w:tcPr>
            <w:tcW w:w="1260"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单价(元)②</w:t>
            </w:r>
          </w:p>
        </w:tc>
        <w:tc>
          <w:tcPr>
            <w:tcW w:w="1516" w:type="dxa"/>
            <w:tcBorders>
              <w:top w:val="single" w:color="auto" w:sz="4" w:space="0"/>
              <w:left w:val="nil"/>
              <w:bottom w:val="single" w:color="auto" w:sz="4" w:space="0"/>
              <w:right w:val="single" w:color="auto" w:sz="4" w:space="0"/>
            </w:tcBorders>
            <w:noWrap w:val="0"/>
            <w:vAlign w:val="center"/>
          </w:tcPr>
          <w:p>
            <w:pPr>
              <w:rPr>
                <w:rFonts w:ascii="宋体" w:hAnsi="宋体"/>
              </w:rPr>
            </w:pPr>
            <w:r>
              <w:rPr>
                <w:rFonts w:hint="eastAsia" w:ascii="宋体" w:hAnsi="宋体"/>
              </w:rPr>
              <w:t>单项合价（元）</w:t>
            </w:r>
          </w:p>
          <w:p>
            <w:pPr>
              <w:rPr>
                <w:rFonts w:ascii="宋体" w:hAnsi="宋体"/>
                <w:szCs w:val="21"/>
              </w:rPr>
            </w:pPr>
            <w:r>
              <w:rPr>
                <w:rFonts w:hint="eastAsia" w:ascii="宋体" w:hAnsi="宋体"/>
              </w:rPr>
              <w:t>③＝①×②/费率</w:t>
            </w:r>
          </w:p>
        </w:tc>
        <w:tc>
          <w:tcPr>
            <w:tcW w:w="957" w:type="dxa"/>
            <w:tcBorders>
              <w:top w:val="single" w:color="auto" w:sz="4" w:space="0"/>
              <w:left w:val="nil"/>
              <w:bottom w:val="single" w:color="auto" w:sz="4" w:space="0"/>
              <w:right w:val="single" w:color="auto" w:sz="4" w:space="0"/>
            </w:tcBorders>
            <w:noWrap w:val="0"/>
            <w:vAlign w:val="top"/>
          </w:tcPr>
          <w:p>
            <w:pPr>
              <w:spacing w:line="360" w:lineRule="auto"/>
              <w:jc w:val="center"/>
              <w:rPr>
                <w:rFonts w:ascii="宋体" w:hAnsi="宋体"/>
                <w:szCs w:val="21"/>
              </w:rPr>
            </w:pPr>
            <w:r>
              <w:rPr>
                <w:rFonts w:hint="eastAsia" w:ascii="宋体" w:hAnsi="宋体"/>
              </w:rPr>
              <w:t>服务要求（含服务期限）</w:t>
            </w:r>
          </w:p>
        </w:tc>
        <w:tc>
          <w:tcPr>
            <w:tcW w:w="957"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r>
              <w:rPr>
                <w:rFonts w:hint="eastAsia" w:ascii="宋体" w:hAnsi="宋体"/>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455" w:hRule="atLeast"/>
        </w:trPr>
        <w:tc>
          <w:tcPr>
            <w:tcW w:w="718"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rPr>
            </w:pPr>
            <w:r>
              <w:rPr>
                <w:rFonts w:hint="eastAsia" w:ascii="宋体" w:hAnsi="宋体"/>
              </w:rPr>
              <w:t>1</w:t>
            </w:r>
          </w:p>
        </w:tc>
        <w:tc>
          <w:tcPr>
            <w:tcW w:w="1259"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2063"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1080"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1260"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1516"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957" w:type="dxa"/>
            <w:tcBorders>
              <w:top w:val="single" w:color="auto" w:sz="4" w:space="0"/>
              <w:left w:val="nil"/>
              <w:bottom w:val="single" w:color="auto" w:sz="4" w:space="0"/>
              <w:right w:val="single" w:color="auto" w:sz="4" w:space="0"/>
            </w:tcBorders>
            <w:noWrap w:val="0"/>
            <w:vAlign w:val="top"/>
          </w:tcPr>
          <w:p>
            <w:pPr>
              <w:rPr>
                <w:rFonts w:ascii="宋体" w:hAnsi="宋体"/>
                <w:szCs w:val="21"/>
              </w:rPr>
            </w:pPr>
          </w:p>
        </w:tc>
        <w:tc>
          <w:tcPr>
            <w:tcW w:w="957"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298" w:hRule="atLeast"/>
        </w:trPr>
        <w:tc>
          <w:tcPr>
            <w:tcW w:w="718" w:type="dxa"/>
            <w:tcBorders>
              <w:top w:val="single" w:color="auto" w:sz="4" w:space="0"/>
              <w:left w:val="single" w:color="auto" w:sz="4" w:space="0"/>
              <w:bottom w:val="single" w:color="auto" w:sz="4" w:space="0"/>
              <w:right w:val="single" w:color="auto" w:sz="4" w:space="0"/>
            </w:tcBorders>
            <w:noWrap w:val="0"/>
            <w:vAlign w:val="center"/>
          </w:tcPr>
          <w:p>
            <w:pPr>
              <w:rPr>
                <w:rFonts w:ascii="宋体" w:hAnsi="宋体"/>
                <w:szCs w:val="21"/>
              </w:rPr>
            </w:pPr>
            <w:r>
              <w:rPr>
                <w:rFonts w:hint="eastAsia" w:ascii="宋体" w:hAnsi="宋体"/>
              </w:rPr>
              <w:t>...</w:t>
            </w:r>
          </w:p>
        </w:tc>
        <w:tc>
          <w:tcPr>
            <w:tcW w:w="1259"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2063"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1080"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1260"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1516"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c>
          <w:tcPr>
            <w:tcW w:w="957" w:type="dxa"/>
            <w:tcBorders>
              <w:top w:val="single" w:color="auto" w:sz="4" w:space="0"/>
              <w:left w:val="nil"/>
              <w:bottom w:val="single" w:color="auto" w:sz="4" w:space="0"/>
              <w:right w:val="single" w:color="auto" w:sz="4" w:space="0"/>
            </w:tcBorders>
            <w:noWrap w:val="0"/>
            <w:vAlign w:val="top"/>
          </w:tcPr>
          <w:p>
            <w:pPr>
              <w:rPr>
                <w:rFonts w:ascii="宋体" w:hAnsi="宋体"/>
                <w:szCs w:val="21"/>
              </w:rPr>
            </w:pPr>
          </w:p>
        </w:tc>
        <w:tc>
          <w:tcPr>
            <w:tcW w:w="957" w:type="dxa"/>
            <w:tcBorders>
              <w:top w:val="single" w:color="auto" w:sz="4" w:space="0"/>
              <w:left w:val="nil"/>
              <w:bottom w:val="single" w:color="auto" w:sz="4" w:space="0"/>
              <w:right w:val="single" w:color="auto" w:sz="4" w:space="0"/>
            </w:tcBorders>
            <w:noWrap w:val="0"/>
            <w:vAlign w:val="center"/>
          </w:tcPr>
          <w:p>
            <w:pP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624" w:hRule="atLeast"/>
        </w:trPr>
        <w:tc>
          <w:tcPr>
            <w:tcW w:w="9810" w:type="dxa"/>
            <w:gridSpan w:val="8"/>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rPr>
              <w:t>报价合计（包含税费等所有费用）：（大写）人民币                                       （￥                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624" w:hRule="atLeast"/>
        </w:trPr>
        <w:tc>
          <w:tcPr>
            <w:tcW w:w="9810" w:type="dxa"/>
            <w:gridSpan w:val="8"/>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u w:val="single"/>
              </w:rPr>
              <w:t>　　</w:t>
            </w:r>
            <w:r>
              <w:rPr>
                <w:rFonts w:hint="eastAsia" w:ascii="宋体" w:hAnsi="宋体"/>
              </w:rPr>
              <w:t>分标（此处有分标时填写具体分标号，无分标时填写“无”）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624" w:hRule="atLeast"/>
        </w:trPr>
        <w:tc>
          <w:tcPr>
            <w:tcW w:w="9810" w:type="dxa"/>
            <w:gridSpan w:val="8"/>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rPr>
              <w:t>验收标准：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624" w:hRule="atLeast"/>
        </w:trPr>
        <w:tc>
          <w:tcPr>
            <w:tcW w:w="9810" w:type="dxa"/>
            <w:gridSpan w:val="8"/>
            <w:tcBorders>
              <w:top w:val="single" w:color="auto" w:sz="4" w:space="0"/>
              <w:left w:val="single" w:color="auto" w:sz="4" w:space="0"/>
              <w:bottom w:val="single" w:color="auto" w:sz="4" w:space="0"/>
              <w:right w:val="single" w:color="auto" w:sz="4" w:space="0"/>
            </w:tcBorders>
            <w:noWrap w:val="0"/>
            <w:vAlign w:val="top"/>
          </w:tcPr>
          <w:p>
            <w:pPr>
              <w:rPr>
                <w:rFonts w:ascii="宋体" w:hAnsi="宋体"/>
                <w:szCs w:val="21"/>
              </w:rPr>
            </w:pPr>
            <w:r>
              <w:rPr>
                <w:rFonts w:hint="eastAsia" w:ascii="宋体" w:hAnsi="宋体"/>
              </w:rPr>
              <w:t>优惠及其它：</w:t>
            </w:r>
          </w:p>
        </w:tc>
      </w:tr>
    </w:tbl>
    <w:p>
      <w:pPr>
        <w:snapToGrid w:val="0"/>
        <w:spacing w:before="50" w:after="50"/>
        <w:ind w:firstLine="480" w:firstLineChars="200"/>
        <w:jc w:val="left"/>
        <w:rPr>
          <w:rFonts w:hint="eastAsia" w:ascii="仿宋_GB2312" w:hAnsi="仿宋" w:eastAsia="仿宋_GB2312"/>
          <w:kern w:val="0"/>
          <w:sz w:val="24"/>
        </w:rPr>
      </w:pPr>
      <w:r>
        <w:rPr>
          <w:rFonts w:hint="eastAsia" w:ascii="仿宋_GB2312" w:hAnsi="仿宋" w:eastAsia="仿宋_GB2312"/>
          <w:kern w:val="0"/>
          <w:sz w:val="24"/>
        </w:rPr>
        <w:t xml:space="preserve">注： </w:t>
      </w:r>
    </w:p>
    <w:p>
      <w:pPr>
        <w:snapToGrid w:val="0"/>
        <w:spacing w:before="50" w:after="50"/>
        <w:ind w:firstLine="480" w:firstLineChars="200"/>
        <w:jc w:val="left"/>
        <w:rPr>
          <w:rFonts w:hint="eastAsia" w:ascii="仿宋_GB2312" w:hAnsi="仿宋" w:eastAsia="仿宋_GB2312"/>
          <w:kern w:val="0"/>
          <w:sz w:val="24"/>
        </w:rPr>
      </w:pPr>
      <w:r>
        <w:rPr>
          <w:rFonts w:hint="eastAsia" w:ascii="仿宋_GB2312" w:hAnsi="仿宋" w:eastAsia="仿宋_GB2312"/>
          <w:kern w:val="0"/>
          <w:sz w:val="24"/>
        </w:rPr>
        <w:t>1、 供应商需按本表格式填写，不得自行更改，也不得留空, 如有多分标，按分标分别提供响应报价表</w:t>
      </w:r>
      <w:r>
        <w:rPr>
          <w:rFonts w:hint="eastAsia" w:ascii="仿宋_GB2312" w:hAnsi="仿宋" w:eastAsia="仿宋_GB2312"/>
          <w:b/>
          <w:kern w:val="0"/>
          <w:sz w:val="24"/>
        </w:rPr>
        <w:t>。</w:t>
      </w:r>
    </w:p>
    <w:p>
      <w:pPr>
        <w:snapToGrid w:val="0"/>
        <w:spacing w:before="50" w:after="50"/>
        <w:ind w:firstLine="480" w:firstLineChars="200"/>
        <w:jc w:val="left"/>
        <w:rPr>
          <w:rFonts w:hint="eastAsia" w:ascii="仿宋_GB2312" w:hAnsi="仿宋" w:eastAsia="仿宋_GB2312"/>
          <w:b/>
          <w:kern w:val="0"/>
          <w:sz w:val="24"/>
        </w:rPr>
      </w:pPr>
      <w:r>
        <w:rPr>
          <w:rFonts w:hint="eastAsia" w:ascii="仿宋_GB2312" w:hAnsi="仿宋" w:eastAsia="仿宋_GB2312"/>
          <w:kern w:val="0"/>
          <w:sz w:val="24"/>
        </w:rPr>
        <w:t>2、如为联合体响应的，“供应商名称”处必须列明联合体各方名称，并标注联合体牵头人名称，且盖章处须加盖联合体各方公章，</w:t>
      </w:r>
      <w:r>
        <w:rPr>
          <w:rFonts w:hint="eastAsia" w:ascii="仿宋_GB2312" w:hAnsi="仿宋" w:eastAsia="仿宋_GB2312"/>
          <w:b/>
          <w:kern w:val="0"/>
          <w:sz w:val="24"/>
        </w:rPr>
        <w:t>否则其响应作无效响应处理。</w:t>
      </w:r>
    </w:p>
    <w:p>
      <w:pPr>
        <w:snapToGrid w:val="0"/>
        <w:spacing w:before="50" w:after="50"/>
        <w:ind w:firstLine="480" w:firstLineChars="200"/>
        <w:jc w:val="left"/>
        <w:rPr>
          <w:rFonts w:hint="eastAsia" w:ascii="仿宋_GB2312" w:hAnsi="仿宋" w:eastAsia="仿宋_GB2312"/>
          <w:b/>
          <w:kern w:val="0"/>
          <w:sz w:val="24"/>
        </w:rPr>
      </w:pPr>
      <w:r>
        <w:rPr>
          <w:rFonts w:hint="eastAsia" w:ascii="仿宋_GB2312" w:hAnsi="仿宋" w:eastAsia="仿宋_GB2312"/>
          <w:kern w:val="0"/>
          <w:sz w:val="24"/>
        </w:rPr>
        <w:t>3、以上表格要求细分项目及报价，在“具体服务内容”一栏中，填写具体服务范围、服务时间、服务标准，</w:t>
      </w:r>
      <w:r>
        <w:rPr>
          <w:rFonts w:hint="eastAsia" w:ascii="仿宋_GB2312" w:hAnsi="仿宋" w:eastAsia="仿宋_GB2312"/>
          <w:b/>
          <w:kern w:val="0"/>
          <w:sz w:val="24"/>
        </w:rPr>
        <w:t>否则其响应作无效响应处理。</w:t>
      </w:r>
    </w:p>
    <w:p>
      <w:pPr>
        <w:snapToGrid w:val="0"/>
        <w:ind w:firstLine="480" w:firstLineChars="200"/>
        <w:jc w:val="left"/>
        <w:rPr>
          <w:rFonts w:hint="eastAsia" w:ascii="仿宋_GB2312" w:hAnsi="仿宋" w:eastAsia="仿宋_GB2312"/>
          <w:kern w:val="0"/>
          <w:sz w:val="24"/>
        </w:rPr>
      </w:pPr>
      <w:r>
        <w:rPr>
          <w:rFonts w:hint="eastAsia" w:ascii="仿宋_GB2312" w:hAnsi="仿宋" w:eastAsia="仿宋_GB2312"/>
          <w:kern w:val="0"/>
          <w:sz w:val="24"/>
        </w:rPr>
        <w:t>4、特别提示：采购机构将对项目名称和项目编号，成交供应商名称、地址和成交金额，主要成交标的的名称、服务范围、服务要求、服务时间、服务标准等予以公示。</w:t>
      </w:r>
    </w:p>
    <w:p>
      <w:pPr>
        <w:snapToGrid w:val="0"/>
        <w:ind w:firstLine="480" w:firstLineChars="200"/>
        <w:jc w:val="left"/>
        <w:rPr>
          <w:rFonts w:hint="eastAsia" w:ascii="仿宋_GB2312" w:hAnsi="仿宋" w:eastAsia="仿宋_GB2312"/>
          <w:kern w:val="0"/>
          <w:sz w:val="24"/>
        </w:rPr>
      </w:pPr>
      <w:r>
        <w:rPr>
          <w:rFonts w:hint="eastAsia" w:ascii="仿宋_GB2312" w:hAnsi="仿宋" w:eastAsia="仿宋_GB2312"/>
          <w:kern w:val="0"/>
          <w:sz w:val="24"/>
        </w:rPr>
        <w:t>5、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autoSpaceDE w:val="0"/>
        <w:autoSpaceDN w:val="0"/>
        <w:spacing w:line="360" w:lineRule="auto"/>
        <w:ind w:left="4335" w:leftChars="1950" w:hanging="240" w:hangingChars="100"/>
        <w:rPr>
          <w:rFonts w:hint="eastAsia" w:ascii="仿宋_GB2312" w:hAnsi="仿宋" w:eastAsia="仿宋_GB2312"/>
          <w:kern w:val="0"/>
          <w:sz w:val="24"/>
        </w:rPr>
      </w:pPr>
    </w:p>
    <w:p>
      <w:pPr>
        <w:autoSpaceDE w:val="0"/>
        <w:autoSpaceDN w:val="0"/>
        <w:spacing w:line="360" w:lineRule="auto"/>
        <w:ind w:left="4334" w:leftChars="2064" w:firstLine="240" w:firstLine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left="4334" w:leftChars="2064" w:firstLine="240" w:firstLineChars="100"/>
        <w:rPr>
          <w:rFonts w:hint="eastAsia" w:ascii="仿宋_GB2312" w:hAnsi="仿宋" w:eastAsia="仿宋_GB2312"/>
          <w:kern w:val="0"/>
          <w:sz w:val="24"/>
        </w:rPr>
      </w:pPr>
      <w:r>
        <w:rPr>
          <w:rFonts w:hint="eastAsia" w:ascii="仿宋_GB2312" w:hAnsi="仿宋" w:eastAsia="仿宋_GB2312"/>
          <w:sz w:val="24"/>
        </w:rPr>
        <w:t>日期：  年  月   日</w:t>
      </w:r>
    </w:p>
    <w:p>
      <w:pPr>
        <w:widowControl/>
        <w:jc w:val="left"/>
        <w:rPr>
          <w:rFonts w:ascii="仿宋_GB2312" w:hAnsi="仿宋" w:eastAsia="仿宋_GB2312" w:cs="宋体"/>
          <w:sz w:val="24"/>
        </w:rPr>
        <w:sectPr>
          <w:pgSz w:w="11910" w:h="16840"/>
          <w:pgMar w:top="1340" w:right="1500" w:bottom="280" w:left="1680" w:header="720" w:footer="720" w:gutter="0"/>
          <w:cols w:space="720" w:num="1"/>
          <w:docGrid w:type="lines" w:linePitch="312" w:charSpace="0"/>
        </w:sectPr>
      </w:pPr>
    </w:p>
    <w:p>
      <w:pPr>
        <w:pStyle w:val="17"/>
        <w:widowControl/>
        <w:spacing w:line="500" w:lineRule="exact"/>
        <w:ind w:firstLine="602" w:firstLineChars="200"/>
        <w:rPr>
          <w:rFonts w:hint="eastAsia" w:ascii="仿宋" w:hAnsi="仿宋" w:eastAsia="仿宋" w:cs="仿宋_GB2312"/>
          <w:b/>
          <w:kern w:val="2"/>
          <w:sz w:val="30"/>
          <w:szCs w:val="30"/>
        </w:rPr>
      </w:pPr>
      <w:r>
        <w:rPr>
          <w:rFonts w:hint="eastAsia" w:ascii="仿宋" w:hAnsi="仿宋" w:eastAsia="仿宋" w:cs="仿宋_GB2312"/>
          <w:b/>
          <w:kern w:val="2"/>
          <w:sz w:val="30"/>
          <w:szCs w:val="30"/>
        </w:rPr>
        <w:t>三、中小企业声明函</w:t>
      </w:r>
    </w:p>
    <w:p>
      <w:pPr>
        <w:spacing w:line="300" w:lineRule="auto"/>
        <w:ind w:firstLine="2200" w:firstLineChars="500"/>
        <w:rPr>
          <w:rFonts w:hint="eastAsia" w:ascii="方正小标宋简体" w:hAnsi="方正小标宋简体" w:eastAsia="方正小标宋简体"/>
          <w:sz w:val="44"/>
          <w:szCs w:val="44"/>
        </w:rPr>
      </w:pPr>
      <w:r>
        <w:rPr>
          <w:rFonts w:hint="eastAsia" w:ascii="方正小标宋简体" w:hAnsi="方正小标宋简体" w:eastAsia="方正小标宋简体"/>
          <w:sz w:val="44"/>
          <w:szCs w:val="44"/>
        </w:rPr>
        <w:t>中小企业声明函（服务）</w:t>
      </w:r>
    </w:p>
    <w:p>
      <w:pPr>
        <w:pStyle w:val="12"/>
        <w:widowControl/>
        <w:spacing w:after="0" w:line="360" w:lineRule="auto"/>
        <w:ind w:left="-426" w:right="142" w:firstLine="640"/>
        <w:contextualSpacing/>
        <w:rPr>
          <w:rFonts w:hint="eastAsia" w:ascii="仿宋_GB2312" w:hAnsi="宋体" w:eastAsia="仿宋_GB2312"/>
          <w:sz w:val="24"/>
        </w:rPr>
      </w:pPr>
      <w:r>
        <w:rPr>
          <w:rFonts w:hint="eastAsia" w:ascii="仿宋_GB2312" w:hAnsi="宋体" w:eastAsia="仿宋_GB2312"/>
          <w:sz w:val="24"/>
        </w:rPr>
        <w:t>本公司（联合体）郑重声明，根据《政府采购促进中小企业发展管理办法》（财库</w:t>
      </w:r>
      <w:r>
        <w:rPr>
          <w:rFonts w:hint="eastAsia" w:ascii="宋体" w:hAnsi="宋体"/>
          <w:sz w:val="24"/>
        </w:rPr>
        <w:t>﹝</w:t>
      </w:r>
      <w:r>
        <w:rPr>
          <w:rFonts w:hint="eastAsia" w:ascii="仿宋_GB2312" w:hAnsi="宋体" w:eastAsia="仿宋_GB2312"/>
          <w:sz w:val="24"/>
        </w:rPr>
        <w:t>2020</w:t>
      </w:r>
      <w:r>
        <w:rPr>
          <w:rFonts w:hint="eastAsia" w:ascii="宋体" w:hAnsi="宋体"/>
          <w:sz w:val="24"/>
        </w:rPr>
        <w:t>﹞</w:t>
      </w:r>
      <w:r>
        <w:rPr>
          <w:rFonts w:hint="eastAsia" w:ascii="仿宋_GB2312" w:hAnsi="宋体" w:eastAsia="仿宋_GB2312"/>
          <w:sz w:val="24"/>
        </w:rPr>
        <w:t>46号）的规定，本公司（联合体）参加</w:t>
      </w:r>
      <w:bookmarkStart w:id="176" w:name="PO_3000001868_PM026_9"/>
      <w:bookmarkEnd w:id="176"/>
      <w:r>
        <w:rPr>
          <w:rFonts w:hint="eastAsia" w:ascii="仿宋_GB2312" w:hAnsi="宋体" w:eastAsia="仿宋_GB2312"/>
          <w:sz w:val="24"/>
          <w:u w:val="single"/>
          <w:lang w:val="en-US"/>
        </w:rPr>
        <w:t>广西壮族自治区生态环境厅生态环境保护综合行政执法局</w:t>
      </w:r>
      <w:r>
        <w:rPr>
          <w:rFonts w:hint="eastAsia" w:ascii="仿宋_GB2312" w:hAnsi="宋体" w:eastAsia="仿宋_GB2312"/>
          <w:sz w:val="24"/>
        </w:rPr>
        <w:t>的</w:t>
      </w:r>
      <w:bookmarkStart w:id="177" w:name="PO_3000001868_PM002_12"/>
      <w:bookmarkEnd w:id="177"/>
      <w:r>
        <w:rPr>
          <w:rFonts w:hint="eastAsia" w:ascii="仿宋_GB2312" w:hAnsi="宋体" w:eastAsia="仿宋_GB2312"/>
          <w:sz w:val="24"/>
          <w:u w:val="single"/>
          <w:lang w:val="en-US"/>
        </w:rPr>
        <w:t>环境监管执法系统运维服务项目</w:t>
      </w:r>
      <w:r>
        <w:rPr>
          <w:rFonts w:hint="eastAsia" w:ascii="仿宋_GB2312" w:hAnsi="宋体" w:eastAsia="仿宋_GB2312"/>
          <w:sz w:val="24"/>
        </w:rPr>
        <w:t>采购活动，提供的服务全部由符合政策要求的中小企业制造。相关企业（含联合体中的中小企业、签订分包意向协议的中小企业）的具体情况如下：</w:t>
      </w:r>
    </w:p>
    <w:p>
      <w:pPr>
        <w:pStyle w:val="27"/>
        <w:spacing w:line="360" w:lineRule="auto"/>
        <w:ind w:left="-426" w:right="-58" w:firstLine="655"/>
        <w:contextualSpacing/>
        <w:rPr>
          <w:rFonts w:hint="eastAsia" w:ascii="仿宋_GB2312" w:hAnsi="宋体" w:eastAsia="仿宋_GB2312"/>
        </w:rPr>
      </w:pPr>
      <w:r>
        <w:rPr>
          <w:rFonts w:hint="eastAsia" w:ascii="仿宋_GB2312" w:hAnsi="宋体" w:eastAsia="仿宋_GB2312"/>
        </w:rPr>
        <w:t>1.</w:t>
      </w:r>
      <w:r>
        <w:rPr>
          <w:rFonts w:hint="eastAsia" w:ascii="仿宋_GB2312" w:hAnsi="宋体" w:eastAsia="仿宋_GB2312"/>
          <w:u w:val="single"/>
        </w:rPr>
        <w:t>（标的名称）</w:t>
      </w:r>
      <w:r>
        <w:rPr>
          <w:rFonts w:hint="eastAsia" w:ascii="仿宋_GB2312" w:hAnsi="宋体" w:eastAsia="仿宋_GB2312"/>
        </w:rPr>
        <w:t>，属于</w:t>
      </w:r>
      <w:r>
        <w:rPr>
          <w:rFonts w:hint="eastAsia" w:ascii="仿宋_GB2312" w:hAnsi="宋体" w:eastAsia="仿宋_GB2312"/>
          <w:u w:val="single"/>
        </w:rPr>
        <w:t>（采购文件中明确的所属行业）</w:t>
      </w:r>
      <w:r>
        <w:rPr>
          <w:rFonts w:hint="eastAsia" w:ascii="仿宋_GB2312" w:hAnsi="宋体" w:eastAsia="仿宋_GB2312"/>
        </w:rPr>
        <w:t>行业；制造商为</w:t>
      </w:r>
      <w:r>
        <w:rPr>
          <w:rFonts w:hint="eastAsia" w:ascii="仿宋_GB2312" w:hAnsi="宋体" w:eastAsia="仿宋_GB2312"/>
          <w:u w:val="single"/>
        </w:rPr>
        <w:t>（企业名称）</w:t>
      </w:r>
      <w:r>
        <w:rPr>
          <w:rFonts w:hint="eastAsia" w:ascii="仿宋_GB2312" w:hAnsi="宋体" w:eastAsia="仿宋_GB2312"/>
        </w:rPr>
        <w:t>，从业人员</w:t>
      </w:r>
      <w:r>
        <w:rPr>
          <w:rFonts w:hint="eastAsia" w:ascii="仿宋_GB2312" w:hAnsi="宋体" w:eastAsia="仿宋_GB2312"/>
          <w:u w:val="single"/>
        </w:rPr>
        <w:t xml:space="preserve">      </w:t>
      </w:r>
      <w:r>
        <w:rPr>
          <w:rFonts w:hint="eastAsia" w:ascii="仿宋_GB2312" w:hAnsi="宋体" w:eastAsia="仿宋_GB2312"/>
        </w:rPr>
        <w:t>人，营业收入为</w:t>
      </w:r>
      <w:r>
        <w:rPr>
          <w:rFonts w:hint="eastAsia" w:ascii="仿宋_GB2312" w:hAnsi="宋体" w:eastAsia="仿宋_GB2312"/>
          <w:u w:val="single"/>
        </w:rPr>
        <w:t xml:space="preserve">      </w:t>
      </w:r>
      <w:r>
        <w:rPr>
          <w:rFonts w:hint="eastAsia" w:ascii="仿宋_GB2312" w:hAnsi="宋体" w:eastAsia="仿宋_GB2312"/>
        </w:rPr>
        <w:t>万元，资产总额为</w:t>
      </w:r>
      <w:r>
        <w:rPr>
          <w:rFonts w:hint="eastAsia" w:ascii="仿宋_GB2312" w:hAnsi="宋体" w:eastAsia="仿宋_GB2312"/>
          <w:u w:val="single"/>
        </w:rPr>
        <w:t xml:space="preserve">      </w:t>
      </w:r>
      <w:r>
        <w:rPr>
          <w:rFonts w:hint="eastAsia" w:ascii="仿宋_GB2312" w:hAnsi="宋体" w:eastAsia="仿宋_GB2312"/>
        </w:rPr>
        <w:t>万元，属于</w:t>
      </w:r>
      <w:r>
        <w:rPr>
          <w:rFonts w:hint="eastAsia" w:ascii="仿宋_GB2312" w:hAnsi="宋体" w:eastAsia="仿宋_GB2312"/>
          <w:u w:val="single"/>
        </w:rPr>
        <w:t>（中型企业、小型企业、微型企业）</w:t>
      </w:r>
      <w:r>
        <w:rPr>
          <w:rFonts w:hint="eastAsia" w:ascii="仿宋_GB2312" w:hAnsi="宋体" w:eastAsia="仿宋_GB2312"/>
        </w:rPr>
        <w:t>；</w:t>
      </w:r>
    </w:p>
    <w:p>
      <w:pPr>
        <w:pStyle w:val="27"/>
        <w:spacing w:line="360" w:lineRule="auto"/>
        <w:ind w:left="-426" w:right="-58" w:firstLine="655"/>
        <w:contextualSpacing/>
        <w:rPr>
          <w:rFonts w:hint="eastAsia" w:ascii="仿宋_GB2312" w:hAnsi="宋体" w:eastAsia="仿宋_GB2312"/>
        </w:rPr>
      </w:pPr>
      <w:r>
        <w:rPr>
          <w:rFonts w:hint="eastAsia" w:ascii="仿宋_GB2312" w:hAnsi="宋体" w:eastAsia="仿宋_GB2312"/>
        </w:rPr>
        <w:t>2.</w:t>
      </w:r>
      <w:r>
        <w:rPr>
          <w:rFonts w:hint="eastAsia" w:ascii="仿宋_GB2312" w:hAnsi="宋体" w:eastAsia="仿宋_GB2312"/>
          <w:u w:val="single"/>
        </w:rPr>
        <w:t>（标的名称）</w:t>
      </w:r>
      <w:r>
        <w:rPr>
          <w:rFonts w:hint="eastAsia" w:ascii="仿宋_GB2312" w:hAnsi="宋体" w:eastAsia="仿宋_GB2312"/>
        </w:rPr>
        <w:t>，属于</w:t>
      </w:r>
      <w:r>
        <w:rPr>
          <w:rFonts w:hint="eastAsia" w:ascii="仿宋_GB2312" w:hAnsi="宋体" w:eastAsia="仿宋_GB2312"/>
          <w:u w:val="single"/>
        </w:rPr>
        <w:t>（采购文件中明确的所属行业）</w:t>
      </w:r>
      <w:r>
        <w:rPr>
          <w:rFonts w:hint="eastAsia" w:ascii="仿宋_GB2312" w:hAnsi="宋体" w:eastAsia="仿宋_GB2312"/>
        </w:rPr>
        <w:t>行业；制造商为</w:t>
      </w:r>
      <w:r>
        <w:rPr>
          <w:rFonts w:hint="eastAsia" w:ascii="仿宋_GB2312" w:hAnsi="宋体" w:eastAsia="仿宋_GB2312"/>
          <w:u w:val="single"/>
        </w:rPr>
        <w:t>（企业名称）</w:t>
      </w:r>
      <w:r>
        <w:rPr>
          <w:rFonts w:hint="eastAsia" w:ascii="仿宋_GB2312" w:hAnsi="宋体" w:eastAsia="仿宋_GB2312"/>
        </w:rPr>
        <w:t>，从业人员</w:t>
      </w:r>
      <w:r>
        <w:rPr>
          <w:rFonts w:hint="eastAsia" w:ascii="仿宋_GB2312" w:hAnsi="宋体" w:eastAsia="仿宋_GB2312"/>
          <w:u w:val="single"/>
        </w:rPr>
        <w:t xml:space="preserve">      </w:t>
      </w:r>
      <w:r>
        <w:rPr>
          <w:rFonts w:hint="eastAsia" w:ascii="仿宋_GB2312" w:hAnsi="宋体" w:eastAsia="仿宋_GB2312"/>
        </w:rPr>
        <w:t>人，营业收入为</w:t>
      </w:r>
      <w:r>
        <w:rPr>
          <w:rFonts w:hint="eastAsia" w:ascii="仿宋_GB2312" w:hAnsi="宋体" w:eastAsia="仿宋_GB2312"/>
          <w:u w:val="single"/>
        </w:rPr>
        <w:t xml:space="preserve">      </w:t>
      </w:r>
      <w:r>
        <w:rPr>
          <w:rFonts w:hint="eastAsia" w:ascii="仿宋_GB2312" w:hAnsi="宋体" w:eastAsia="仿宋_GB2312"/>
        </w:rPr>
        <w:t>万元，资产总额为</w:t>
      </w:r>
      <w:r>
        <w:rPr>
          <w:rFonts w:hint="eastAsia" w:ascii="仿宋_GB2312" w:hAnsi="宋体" w:eastAsia="仿宋_GB2312"/>
          <w:u w:val="single"/>
        </w:rPr>
        <w:t xml:space="preserve">      </w:t>
      </w:r>
      <w:r>
        <w:rPr>
          <w:rFonts w:hint="eastAsia" w:ascii="仿宋_GB2312" w:hAnsi="宋体" w:eastAsia="仿宋_GB2312"/>
        </w:rPr>
        <w:t>万元，属于</w:t>
      </w:r>
      <w:r>
        <w:rPr>
          <w:rFonts w:hint="eastAsia" w:ascii="仿宋_GB2312" w:hAnsi="宋体" w:eastAsia="仿宋_GB2312"/>
          <w:u w:val="single"/>
        </w:rPr>
        <w:t>（中型企业、小型企业、微型企业）</w:t>
      </w:r>
      <w:r>
        <w:rPr>
          <w:rFonts w:hint="eastAsia" w:ascii="仿宋_GB2312" w:hAnsi="宋体" w:eastAsia="仿宋_GB2312"/>
        </w:rPr>
        <w:t>；</w:t>
      </w:r>
    </w:p>
    <w:p>
      <w:pPr>
        <w:pStyle w:val="27"/>
        <w:spacing w:line="360" w:lineRule="auto"/>
        <w:ind w:left="142" w:right="142"/>
        <w:contextualSpacing/>
        <w:rPr>
          <w:rFonts w:hint="eastAsia" w:ascii="仿宋_GB2312" w:hAnsi="宋体" w:eastAsia="仿宋_GB2312"/>
        </w:rPr>
      </w:pPr>
      <w:r>
        <w:rPr>
          <w:rFonts w:hint="eastAsia" w:ascii="仿宋_GB2312" w:hAnsi="宋体" w:eastAsia="仿宋_GB2312"/>
        </w:rPr>
        <w:t xml:space="preserve">…… </w:t>
      </w:r>
    </w:p>
    <w:p>
      <w:pPr>
        <w:pStyle w:val="27"/>
        <w:spacing w:line="360" w:lineRule="auto"/>
        <w:ind w:left="-405" w:leftChars="-193" w:right="142" w:firstLine="453" w:firstLineChars="189"/>
        <w:contextualSpacing/>
        <w:rPr>
          <w:rFonts w:hint="eastAsia" w:ascii="仿宋_GB2312" w:hAnsi="宋体" w:eastAsia="仿宋_GB2312"/>
        </w:rPr>
      </w:pPr>
      <w:r>
        <w:rPr>
          <w:rFonts w:hint="eastAsia" w:ascii="仿宋_GB2312" w:hAnsi="宋体" w:eastAsia="仿宋_GB2312"/>
        </w:rPr>
        <w:t>以上企业，不属于大企业的分支机构，不存在控股股东为大企业的情形，也不存在与大企业的负责人为同一人的情形。</w:t>
      </w:r>
    </w:p>
    <w:p>
      <w:pPr>
        <w:pStyle w:val="27"/>
        <w:spacing w:line="360" w:lineRule="auto"/>
        <w:ind w:left="-426" w:right="142" w:firstLine="567"/>
        <w:contextualSpacing/>
        <w:rPr>
          <w:rFonts w:hint="eastAsia" w:ascii="仿宋_GB2312" w:hAnsi="宋体" w:eastAsia="仿宋_GB2312"/>
        </w:rPr>
      </w:pPr>
      <w:r>
        <w:rPr>
          <w:rFonts w:hint="eastAsia" w:ascii="仿宋_GB2312" w:hAnsi="宋体" w:eastAsia="仿宋_GB2312"/>
        </w:rPr>
        <w:t>本企业对上述声明内容的真实性负责。如有虚假，将依法承担相应责任。</w:t>
      </w:r>
    </w:p>
    <w:p>
      <w:pPr>
        <w:pStyle w:val="27"/>
        <w:spacing w:line="360" w:lineRule="auto"/>
        <w:ind w:left="3960" w:right="1808"/>
        <w:contextualSpacing/>
        <w:rPr>
          <w:rFonts w:hint="eastAsia" w:ascii="宋体" w:hAnsi="宋体"/>
        </w:rPr>
      </w:pPr>
      <w:r>
        <w:rPr>
          <w:rFonts w:hint="eastAsia" w:ascii="宋体" w:hAnsi="宋体"/>
        </w:rPr>
        <w:t xml:space="preserve"> </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供应商名称（电子签章）：</w:t>
      </w:r>
    </w:p>
    <w:p>
      <w:pPr>
        <w:autoSpaceDE w:val="0"/>
        <w:autoSpaceDN w:val="0"/>
        <w:spacing w:line="360" w:lineRule="auto"/>
        <w:ind w:left="4335" w:leftChars="1950" w:hanging="240" w:hangingChars="100"/>
        <w:rPr>
          <w:rFonts w:hint="eastAsia" w:ascii="仿宋_GB2312" w:hAnsi="仿宋" w:eastAsia="仿宋_GB2312"/>
          <w:kern w:val="0"/>
          <w:sz w:val="24"/>
        </w:rPr>
      </w:pPr>
      <w:r>
        <w:rPr>
          <w:rFonts w:hint="eastAsia" w:ascii="仿宋_GB2312" w:hAnsi="仿宋" w:eastAsia="仿宋_GB2312"/>
          <w:kern w:val="0"/>
          <w:sz w:val="24"/>
        </w:rPr>
        <w:t>日期：  年  月   日</w:t>
      </w:r>
    </w:p>
    <w:p>
      <w:pPr>
        <w:pStyle w:val="12"/>
        <w:widowControl/>
        <w:spacing w:after="0" w:line="360" w:lineRule="auto"/>
        <w:ind w:left="3960" w:right="1808"/>
        <w:contextualSpacing/>
        <w:rPr>
          <w:rFonts w:hint="eastAsia"/>
          <w:szCs w:val="21"/>
        </w:rPr>
      </w:pPr>
      <w:r>
        <w:t xml:space="preserve"> </w:t>
      </w:r>
    </w:p>
    <w:p>
      <w:pPr>
        <w:spacing w:line="360" w:lineRule="auto"/>
        <w:jc w:val="left"/>
        <w:rPr>
          <w:rFonts w:ascii="仿宋_GB2312" w:hAnsi="仿宋" w:eastAsia="仿宋_GB2312"/>
          <w:kern w:val="0"/>
          <w:sz w:val="24"/>
        </w:rPr>
      </w:pPr>
      <w:r>
        <w:rPr>
          <w:rFonts w:hint="eastAsia" w:ascii="宋体" w:hAnsi="宋体" w:cs="仿宋_GB2312"/>
          <w:sz w:val="24"/>
        </w:rPr>
        <w:t>注：享受《政府采购促进中小企业发展管理办法》（财库〔2020〕46号）规定的中小企业扶持政策的，采购人、采购代理机构应当随成交结果公开成交供应商的《中小企业声明函》。从业人员、营业收入、资产总额填报上一年度数据，无上一年度数据的新成立企业可不填报。</w:t>
      </w:r>
    </w:p>
    <w:p>
      <w:pPr>
        <w:widowControl/>
        <w:spacing w:line="360" w:lineRule="auto"/>
        <w:jc w:val="left"/>
        <w:rPr>
          <w:rFonts w:ascii="宋体" w:hAnsi="宋体"/>
          <w:b/>
          <w:bCs/>
          <w:sz w:val="32"/>
          <w:szCs w:val="32"/>
        </w:rPr>
        <w:sectPr>
          <w:pgSz w:w="11910" w:h="16840"/>
          <w:pgMar w:top="1340" w:right="1500" w:bottom="280" w:left="1680" w:header="720" w:footer="720" w:gutter="0"/>
          <w:cols w:space="720" w:num="1"/>
          <w:docGrid w:type="lines" w:linePitch="312" w:charSpace="0"/>
        </w:sectPr>
      </w:pPr>
    </w:p>
    <w:p>
      <w:pPr>
        <w:pStyle w:val="3"/>
        <w:keepLines w:val="0"/>
        <w:widowControl/>
        <w:jc w:val="center"/>
        <w:rPr>
          <w:rFonts w:hint="eastAsia" w:ascii="宋体" w:hAnsi="宋体"/>
          <w:b w:val="0"/>
          <w:kern w:val="0"/>
          <w:sz w:val="30"/>
          <w:szCs w:val="30"/>
        </w:rPr>
      </w:pPr>
      <w:bookmarkStart w:id="178" w:name="_Toc35611516"/>
      <w:bookmarkEnd w:id="178"/>
      <w:bookmarkStart w:id="179" w:name="_Toc80205942"/>
      <w:bookmarkEnd w:id="179"/>
      <w:bookmarkStart w:id="180" w:name="_Toc44229899"/>
      <w:bookmarkEnd w:id="180"/>
      <w:bookmarkStart w:id="181" w:name="_Toc31723070"/>
      <w:bookmarkEnd w:id="181"/>
      <w:bookmarkStart w:id="182" w:name="_Toc31728084"/>
      <w:bookmarkEnd w:id="182"/>
      <w:bookmarkStart w:id="183" w:name="_Toc35611438"/>
      <w:bookmarkEnd w:id="183"/>
      <w:bookmarkStart w:id="184" w:name="_Toc80886946"/>
      <w:r>
        <w:rPr>
          <w:rFonts w:hint="eastAsia" w:ascii="宋体" w:hAnsi="宋体"/>
        </w:rPr>
        <w:t>第五节 其他文书、文件格式</w:t>
      </w:r>
      <w:bookmarkEnd w:id="184"/>
    </w:p>
    <w:p>
      <w:pPr>
        <w:jc w:val="center"/>
        <w:rPr>
          <w:rFonts w:hint="eastAsia" w:ascii="宋体" w:hAnsi="宋体"/>
          <w:b/>
          <w:bCs/>
          <w:sz w:val="32"/>
          <w:szCs w:val="32"/>
        </w:rPr>
      </w:pPr>
      <w:r>
        <w:rPr>
          <w:rFonts w:hint="eastAsia" w:ascii="宋体" w:hAnsi="宋体"/>
          <w:b/>
          <w:bCs/>
          <w:sz w:val="32"/>
          <w:szCs w:val="32"/>
        </w:rPr>
        <w:t>知识产权合规性声明</w:t>
      </w:r>
    </w:p>
    <w:p>
      <w:pPr>
        <w:rPr>
          <w:rFonts w:hint="eastAsia" w:ascii="仿宋_GB2312" w:hAnsi="Calibri" w:eastAsia="仿宋_GB2312"/>
          <w:sz w:val="30"/>
          <w:szCs w:val="30"/>
        </w:rPr>
      </w:pPr>
      <w:r>
        <w:rPr>
          <w:rFonts w:hint="eastAsia" w:ascii="仿宋_GB2312" w:eastAsia="仿宋_GB2312"/>
          <w:sz w:val="30"/>
          <w:szCs w:val="30"/>
        </w:rPr>
        <w:t xml:space="preserve">    </w:t>
      </w:r>
    </w:p>
    <w:p>
      <w:pPr>
        <w:spacing w:line="360" w:lineRule="auto"/>
        <w:rPr>
          <w:rFonts w:hint="eastAsia" w:ascii="仿宋_GB2312" w:eastAsia="仿宋_GB2312"/>
          <w:sz w:val="24"/>
        </w:rPr>
      </w:pPr>
      <w:r>
        <w:rPr>
          <w:rFonts w:hint="eastAsia" w:ascii="仿宋_GB2312" w:eastAsia="仿宋_GB2312"/>
          <w:sz w:val="30"/>
          <w:szCs w:val="30"/>
        </w:rPr>
        <w:t xml:space="preserve">    </w:t>
      </w:r>
      <w:r>
        <w:rPr>
          <w:rFonts w:hint="eastAsia" w:ascii="仿宋_GB2312" w:eastAsia="仿宋_GB2312"/>
          <w:sz w:val="24"/>
        </w:rPr>
        <w:t>本企业（单位）自愿参与政府投资政府采购的</w:t>
      </w:r>
      <w:bookmarkStart w:id="185" w:name="PO_3000001868_PM002_14"/>
      <w:bookmarkEnd w:id="185"/>
      <w:r>
        <w:rPr>
          <w:rFonts w:hint="eastAsia" w:ascii="仿宋_GB2312" w:eastAsia="仿宋_GB2312"/>
          <w:sz w:val="24"/>
          <w:u w:val="single"/>
        </w:rPr>
        <w:t>环境监管执法系统运维服务项目</w:t>
      </w:r>
      <w:r>
        <w:rPr>
          <w:rFonts w:hint="eastAsia" w:ascii="仿宋_GB2312" w:eastAsia="仿宋_GB2312"/>
          <w:sz w:val="24"/>
        </w:rPr>
        <w:t>项目，</w:t>
      </w:r>
      <w:r>
        <w:rPr>
          <w:rFonts w:hint="eastAsia" w:ascii="仿宋_GB2312" w:eastAsia="仿宋_GB2312"/>
          <w:b/>
          <w:bCs/>
          <w:sz w:val="24"/>
        </w:rPr>
        <w:t>在此郑重承诺：</w:t>
      </w:r>
      <w:r>
        <w:rPr>
          <w:rFonts w:hint="eastAsia" w:ascii="仿宋_GB2312" w:eastAsia="仿宋_GB2312"/>
          <w:sz w:val="24"/>
        </w:rPr>
        <w:t>遵守中国知识产权法律、法规、规章、规范性文件及在中国适用的与知识产权有关的国际公约，所参与项目的知识产权明晰无争议，归属或技术来源正当合法。近三年在知识产权领域不存在违反法律、法规、规章及其他规范性文件的失信行为。所参与的项目不对其他单位及个人的知识产权构成侵权。如经核查确有违反上述承诺应遵守的行为，本企业（单位）将承担由此产生的全部责任。</w:t>
      </w:r>
    </w:p>
    <w:p>
      <w:pPr>
        <w:snapToGrid w:val="0"/>
        <w:spacing w:line="360" w:lineRule="auto"/>
        <w:ind w:left="5137" w:leftChars="1736" w:hanging="1491" w:hangingChars="825"/>
        <w:rPr>
          <w:rFonts w:hint="eastAsia" w:ascii="Calibri"/>
          <w:b/>
          <w:sz w:val="18"/>
          <w:szCs w:val="18"/>
        </w:rPr>
      </w:pPr>
      <w:r>
        <w:rPr>
          <w:b/>
          <w:sz w:val="18"/>
          <w:szCs w:val="18"/>
        </w:rPr>
        <w:t xml:space="preserve">           </w:t>
      </w:r>
    </w:p>
    <w:p>
      <w:pPr>
        <w:snapToGrid w:val="0"/>
        <w:spacing w:line="360" w:lineRule="auto"/>
        <w:ind w:left="5137" w:leftChars="1736" w:hanging="1491" w:hangingChars="825"/>
        <w:rPr>
          <w:b/>
          <w:sz w:val="18"/>
          <w:szCs w:val="18"/>
        </w:rPr>
      </w:pPr>
      <w:r>
        <w:rPr>
          <w:b/>
          <w:sz w:val="18"/>
          <w:szCs w:val="18"/>
        </w:rPr>
        <w:t xml:space="preserve"> </w:t>
      </w:r>
    </w:p>
    <w:p>
      <w:pPr>
        <w:snapToGrid w:val="0"/>
        <w:spacing w:line="360" w:lineRule="auto"/>
        <w:ind w:left="5137" w:leftChars="1736" w:hanging="1491" w:hangingChars="825"/>
        <w:rPr>
          <w:b/>
          <w:sz w:val="18"/>
          <w:szCs w:val="18"/>
        </w:rPr>
      </w:pPr>
      <w:r>
        <w:rPr>
          <w:b/>
          <w:sz w:val="18"/>
          <w:szCs w:val="18"/>
        </w:rPr>
        <w:t xml:space="preserve"> </w:t>
      </w:r>
    </w:p>
    <w:p>
      <w:pPr>
        <w:snapToGrid w:val="0"/>
        <w:spacing w:line="360" w:lineRule="auto"/>
        <w:ind w:left="5137" w:leftChars="1736" w:hanging="1491" w:hangingChars="825"/>
        <w:rPr>
          <w:b/>
          <w:sz w:val="18"/>
          <w:szCs w:val="18"/>
        </w:rPr>
      </w:pPr>
      <w:r>
        <w:rPr>
          <w:b/>
          <w:sz w:val="18"/>
          <w:szCs w:val="18"/>
        </w:rPr>
        <w:t xml:space="preserve"> </w:t>
      </w:r>
    </w:p>
    <w:p>
      <w:pPr>
        <w:snapToGrid w:val="0"/>
        <w:spacing w:line="360" w:lineRule="auto"/>
        <w:ind w:left="5137" w:leftChars="1736" w:hanging="1491" w:hangingChars="825"/>
        <w:rPr>
          <w:rFonts w:hint="eastAsia" w:ascii="仿宋_GB2312" w:hAnsi="仿宋" w:eastAsia="仿宋_GB2312"/>
          <w:kern w:val="0"/>
          <w:sz w:val="24"/>
        </w:rPr>
      </w:pPr>
      <w:r>
        <w:rPr>
          <w:b/>
          <w:sz w:val="18"/>
          <w:szCs w:val="18"/>
        </w:rPr>
        <w:t xml:space="preserve">      </w:t>
      </w:r>
      <w:r>
        <w:rPr>
          <w:rFonts w:hint="eastAsia" w:ascii="仿宋_GB2312" w:hAnsi="仿宋" w:eastAsia="仿宋_GB2312"/>
          <w:kern w:val="0"/>
          <w:sz w:val="24"/>
        </w:rPr>
        <w:t>供应商名称(电子签章)：</w:t>
      </w:r>
    </w:p>
    <w:p>
      <w:pPr>
        <w:snapToGrid w:val="0"/>
        <w:spacing w:line="360" w:lineRule="auto"/>
        <w:ind w:left="5624" w:leftChars="1964" w:hanging="1500" w:hangingChars="625"/>
        <w:rPr>
          <w:rFonts w:hint="eastAsia" w:ascii="仿宋_GB2312" w:hAnsi="仿宋" w:eastAsia="仿宋_GB2312"/>
          <w:kern w:val="0"/>
          <w:sz w:val="24"/>
        </w:rPr>
      </w:pPr>
      <w:r>
        <w:rPr>
          <w:rFonts w:hint="eastAsia" w:ascii="仿宋_GB2312" w:hAnsi="仿宋" w:eastAsia="仿宋_GB2312"/>
          <w:kern w:val="0"/>
          <w:sz w:val="24"/>
        </w:rPr>
        <w:t>日期：  年  月   日</w:t>
      </w:r>
    </w:p>
    <w:p>
      <w:pPr>
        <w:widowControl/>
        <w:spacing w:line="360" w:lineRule="auto"/>
        <w:jc w:val="left"/>
        <w:rPr>
          <w:rFonts w:ascii="宋体" w:hAnsi="宋体" w:cs="仿宋_GB2312"/>
          <w:sz w:val="24"/>
        </w:rPr>
        <w:sectPr>
          <w:pgSz w:w="11906" w:h="16838"/>
          <w:pgMar w:top="1135" w:right="1135" w:bottom="1135" w:left="1135" w:header="720" w:footer="720" w:gutter="0"/>
          <w:cols w:space="720" w:num="1"/>
          <w:docGrid w:type="lines" w:linePitch="331" w:charSpace="0"/>
        </w:sectPr>
      </w:pPr>
    </w:p>
    <w:p>
      <w:pPr>
        <w:spacing w:line="520" w:lineRule="exact"/>
        <w:rPr>
          <w:rFonts w:hint="eastAsia" w:ascii="宋体" w:hAnsi="宋体" w:cs="仿宋_GB2312"/>
          <w:sz w:val="24"/>
        </w:rPr>
      </w:pPr>
      <w:r>
        <w:rPr>
          <w:rFonts w:hint="eastAsia" w:ascii="宋体" w:hAnsi="宋体" w:cs="仿宋_GB2312"/>
          <w:sz w:val="24"/>
        </w:rPr>
        <w:t xml:space="preserve"> </w:t>
      </w:r>
    </w:p>
    <w:p>
      <w:pPr>
        <w:spacing w:line="520" w:lineRule="exact"/>
        <w:jc w:val="center"/>
        <w:rPr>
          <w:rFonts w:hint="eastAsia" w:ascii="仿宋_GB2312" w:hAnsi="Calibri" w:eastAsia="仿宋_GB2312"/>
          <w:sz w:val="32"/>
          <w:szCs w:val="32"/>
        </w:rPr>
      </w:pPr>
      <w:r>
        <w:rPr>
          <w:rFonts w:hint="eastAsia" w:ascii="方正小标宋简体" w:hAnsi="方正小标宋简体" w:eastAsia="方正小标宋简体"/>
          <w:sz w:val="44"/>
          <w:szCs w:val="44"/>
        </w:rPr>
        <w:t>残疾人福利性单位声明函</w:t>
      </w:r>
    </w:p>
    <w:p>
      <w:pPr>
        <w:spacing w:line="520" w:lineRule="exact"/>
        <w:rPr>
          <w:rFonts w:hint="eastAsia" w:ascii="仿宋_GB2312" w:eastAsia="仿宋_GB2312"/>
          <w:sz w:val="32"/>
          <w:szCs w:val="32"/>
        </w:rPr>
      </w:pPr>
      <w:r>
        <w:rPr>
          <w:rFonts w:hint="eastAsia" w:ascii="仿宋_GB2312" w:eastAsia="仿宋_GB2312"/>
          <w:sz w:val="32"/>
          <w:szCs w:val="32"/>
        </w:rPr>
        <w:t xml:space="preserve"> </w:t>
      </w:r>
    </w:p>
    <w:p>
      <w:pPr>
        <w:spacing w:line="360" w:lineRule="auto"/>
        <w:ind w:firstLine="480" w:firstLineChars="200"/>
        <w:rPr>
          <w:rFonts w:hint="eastAsia" w:ascii="仿宋_GB2312" w:hAnsi="宋体" w:eastAsia="仿宋_GB2312"/>
          <w:sz w:val="24"/>
        </w:rPr>
      </w:pPr>
      <w:r>
        <w:rPr>
          <w:rFonts w:hint="eastAsia" w:ascii="仿宋_GB2312" w:hAnsi="宋体" w:eastAsia="仿宋_GB2312"/>
          <w:sz w:val="24"/>
        </w:rPr>
        <w:t>本单位郑重声明，根据《财政部 民政部 中国残疾人联合会关于促进残疾人就业政府采购政策的通知》（财库〔2017〕141号）的规定，本单位为符合条件的残疾人福利性单位，且本单位参加</w:t>
      </w:r>
      <w:r>
        <w:rPr>
          <w:rFonts w:hint="eastAsia" w:ascii="仿宋_GB2312" w:hAnsi="宋体" w:eastAsia="仿宋_GB2312"/>
          <w:sz w:val="24"/>
          <w:u w:val="single"/>
        </w:rPr>
        <w:t>广西壮族自治区生态环境厅生态环境保护综合行政执法局</w:t>
      </w:r>
      <w:r>
        <w:rPr>
          <w:rFonts w:hint="eastAsia" w:ascii="仿宋_GB2312" w:hAnsi="宋体" w:eastAsia="仿宋_GB2312"/>
          <w:sz w:val="24"/>
        </w:rPr>
        <w:t>单位的</w:t>
      </w:r>
      <w:r>
        <w:rPr>
          <w:rFonts w:hint="eastAsia" w:ascii="仿宋_GB2312" w:hAnsi="宋体" w:eastAsia="仿宋_GB2312"/>
          <w:sz w:val="24"/>
          <w:u w:val="single"/>
        </w:rPr>
        <w:t xml:space="preserve"> 环境监管执法系统运维服务项目</w:t>
      </w:r>
      <w:r>
        <w:rPr>
          <w:rFonts w:hint="eastAsia" w:ascii="仿宋_GB2312" w:hAnsi="宋体" w:eastAsia="仿宋_GB2312"/>
          <w:sz w:val="24"/>
        </w:rPr>
        <w:t>项目采购活动由本单位提供服务。</w:t>
      </w:r>
    </w:p>
    <w:p>
      <w:pPr>
        <w:spacing w:line="360" w:lineRule="auto"/>
        <w:ind w:firstLine="480" w:firstLineChars="200"/>
        <w:rPr>
          <w:rFonts w:hint="eastAsia" w:ascii="仿宋_GB2312" w:hAnsi="宋体" w:eastAsia="仿宋_GB2312"/>
          <w:sz w:val="24"/>
        </w:rPr>
      </w:pPr>
      <w:r>
        <w:rPr>
          <w:rFonts w:hint="eastAsia" w:ascii="仿宋_GB2312" w:hAnsi="宋体" w:eastAsia="仿宋_GB2312"/>
          <w:sz w:val="24"/>
        </w:rPr>
        <w:t>本单位对上述声明的真实性负责。如有虚假，将依法承担相应责任。</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ind w:firstLine="3480" w:firstLineChars="1450"/>
        <w:rPr>
          <w:rFonts w:hint="eastAsia" w:ascii="仿宋_GB2312" w:hAnsi="仿宋" w:eastAsia="仿宋_GB2312"/>
          <w:kern w:val="0"/>
          <w:sz w:val="24"/>
        </w:rPr>
      </w:pPr>
      <w:r>
        <w:rPr>
          <w:rFonts w:hint="eastAsia" w:ascii="仿宋_GB2312" w:hAnsi="仿宋" w:eastAsia="仿宋_GB2312"/>
          <w:kern w:val="0"/>
          <w:sz w:val="24"/>
        </w:rPr>
        <w:t>供应商名称（电子签章）：</w:t>
      </w:r>
    </w:p>
    <w:p>
      <w:pPr>
        <w:spacing w:line="360" w:lineRule="auto"/>
        <w:ind w:firstLine="3480" w:firstLineChars="1450"/>
        <w:rPr>
          <w:rFonts w:hint="eastAsia" w:ascii="仿宋_GB2312" w:hAnsi="仿宋" w:eastAsia="仿宋_GB2312"/>
          <w:kern w:val="0"/>
          <w:sz w:val="24"/>
        </w:rPr>
      </w:pPr>
      <w:r>
        <w:rPr>
          <w:rFonts w:hint="eastAsia" w:ascii="仿宋_GB2312" w:hAnsi="仿宋" w:eastAsia="仿宋_GB2312"/>
          <w:kern w:val="0"/>
          <w:sz w:val="24"/>
        </w:rPr>
        <w:t>日  期：     年   月   日</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 xml:space="preserve"> </w:t>
      </w:r>
    </w:p>
    <w:p>
      <w:pPr>
        <w:spacing w:line="360" w:lineRule="auto"/>
        <w:rPr>
          <w:rFonts w:hint="eastAsia" w:ascii="宋体" w:hAnsi="宋体" w:cs="仿宋_GB2312"/>
          <w:sz w:val="24"/>
        </w:rPr>
      </w:pPr>
      <w:r>
        <w:rPr>
          <w:rFonts w:hint="eastAsia" w:ascii="宋体" w:hAnsi="宋体" w:cs="仿宋_GB2312"/>
          <w:sz w:val="24"/>
        </w:rPr>
        <w:t>注：请根据自己的真实情况出具《残疾人福利性单位声明函》。依法享受中小企业优惠政策的，采购人或者采购代理机构在公告中标结果时，同时公告其《残疾人福利性单位声明函》，接受社会监督；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spacing w:line="520" w:lineRule="exact"/>
        <w:jc w:val="center"/>
        <w:rPr>
          <w:rFonts w:hint="eastAsia" w:ascii="宋体" w:hAnsi="宋体"/>
          <w:sz w:val="24"/>
        </w:rPr>
      </w:pPr>
      <w:r>
        <w:rPr>
          <w:rFonts w:hint="eastAsia" w:ascii="宋体" w:hAnsi="宋体"/>
          <w:sz w:val="24"/>
        </w:rPr>
        <w:t xml:space="preserve"> </w:t>
      </w:r>
    </w:p>
    <w:p>
      <w:pPr>
        <w:pStyle w:val="2"/>
        <w:keepLines w:val="0"/>
        <w:widowControl/>
        <w:jc w:val="center"/>
        <w:rPr>
          <w:rFonts w:hint="eastAsia" w:ascii="宋体" w:hAnsi="宋体"/>
          <w:b w:val="0"/>
          <w:bCs w:val="0"/>
        </w:rPr>
      </w:pPr>
      <w:bookmarkStart w:id="186" w:name="_Toc80886947"/>
      <w:bookmarkEnd w:id="186"/>
      <w:bookmarkStart w:id="187" w:name="_Toc122512761"/>
      <w:r>
        <w:rPr>
          <w:rFonts w:hint="eastAsia" w:ascii="宋体" w:hAnsi="宋体"/>
          <w:b w:val="0"/>
          <w:bCs w:val="0"/>
        </w:rPr>
        <w:t>第六章  合同文本</w:t>
      </w:r>
      <w:bookmarkEnd w:id="187"/>
      <w:r>
        <w:rPr>
          <w:rFonts w:hint="eastAsia" w:ascii="宋体" w:hAnsi="宋体"/>
          <w:b w:val="0"/>
          <w:bCs w:val="0"/>
        </w:rPr>
        <w:br w:type="page"/>
      </w:r>
    </w:p>
    <w:p>
      <w:pPr>
        <w:pStyle w:val="2"/>
        <w:jc w:val="center"/>
        <w:rPr>
          <w:rFonts w:eastAsia="仿宋"/>
          <w:sz w:val="32"/>
          <w:szCs w:val="32"/>
        </w:rPr>
      </w:pPr>
      <w:r>
        <w:rPr>
          <w:rFonts w:eastAsia="仿宋"/>
          <w:sz w:val="32"/>
          <w:szCs w:val="32"/>
        </w:rPr>
        <w:t>合同编号：</w:t>
      </w:r>
    </w:p>
    <w:p>
      <w:pPr>
        <w:spacing w:line="600" w:lineRule="exact"/>
        <w:rPr>
          <w:sz w:val="28"/>
          <w:szCs w:val="28"/>
        </w:rPr>
      </w:pPr>
    </w:p>
    <w:p>
      <w:pPr>
        <w:spacing w:line="600" w:lineRule="exact"/>
        <w:jc w:val="center"/>
        <w:rPr>
          <w:rFonts w:eastAsia="方正小标宋_GBK"/>
          <w:kern w:val="0"/>
          <w:sz w:val="44"/>
          <w:szCs w:val="44"/>
        </w:rPr>
      </w:pPr>
      <w:r>
        <w:rPr>
          <w:rFonts w:eastAsia="方正小标宋_GBK"/>
          <w:kern w:val="0"/>
          <w:sz w:val="44"/>
          <w:szCs w:val="44"/>
        </w:rPr>
        <w:t>政府采购技术服务合同</w:t>
      </w:r>
    </w:p>
    <w:p>
      <w:pPr>
        <w:spacing w:line="600" w:lineRule="exact"/>
        <w:rPr>
          <w:rFonts w:eastAsia="方正小标宋_GBK"/>
          <w:kern w:val="0"/>
          <w:sz w:val="44"/>
          <w:szCs w:val="44"/>
        </w:rPr>
      </w:pPr>
    </w:p>
    <w:p>
      <w:pPr>
        <w:spacing w:line="600" w:lineRule="exact"/>
        <w:rPr>
          <w:rFonts w:eastAsia="仿宋"/>
          <w:kern w:val="0"/>
          <w:sz w:val="32"/>
          <w:szCs w:val="32"/>
        </w:rPr>
      </w:pPr>
      <w:r>
        <w:rPr>
          <w:rFonts w:eastAsia="仿宋"/>
          <w:kern w:val="0"/>
          <w:sz w:val="32"/>
          <w:szCs w:val="32"/>
        </w:rPr>
        <w:t>采购计划号：</w:t>
      </w:r>
      <w:r>
        <w:rPr>
          <w:rFonts w:hint="eastAsia" w:eastAsia="仿宋"/>
          <w:sz w:val="32"/>
          <w:szCs w:val="32"/>
          <w:u w:val="single"/>
        </w:rPr>
        <w:t xml:space="preserve">                         </w:t>
      </w:r>
    </w:p>
    <w:p>
      <w:pPr>
        <w:spacing w:line="600" w:lineRule="exact"/>
        <w:rPr>
          <w:rFonts w:eastAsia="仿宋"/>
          <w:kern w:val="0"/>
          <w:sz w:val="32"/>
          <w:szCs w:val="32"/>
        </w:rPr>
      </w:pPr>
      <w:r>
        <w:rPr>
          <w:rFonts w:eastAsia="仿宋"/>
          <w:kern w:val="0"/>
          <w:sz w:val="32"/>
          <w:szCs w:val="32"/>
        </w:rPr>
        <w:t>项目名称：</w:t>
      </w:r>
      <w:r>
        <w:rPr>
          <w:rFonts w:hint="eastAsia" w:eastAsia="仿宋"/>
          <w:kern w:val="0"/>
          <w:sz w:val="32"/>
          <w:szCs w:val="32"/>
          <w:u w:val="single"/>
        </w:rPr>
        <w:t xml:space="preserve"> </w:t>
      </w:r>
      <w:r>
        <w:rPr>
          <w:rFonts w:hint="eastAsia" w:eastAsia="仿宋"/>
          <w:sz w:val="32"/>
          <w:szCs w:val="32"/>
          <w:u w:val="single"/>
        </w:rPr>
        <w:t>环境监管执法系统运维服务项目</w:t>
      </w:r>
    </w:p>
    <w:p>
      <w:pPr>
        <w:spacing w:line="600" w:lineRule="exact"/>
        <w:rPr>
          <w:rFonts w:eastAsia="仿宋"/>
          <w:kern w:val="0"/>
          <w:sz w:val="32"/>
          <w:szCs w:val="32"/>
          <w:u w:val="single"/>
        </w:rPr>
      </w:pPr>
      <w:r>
        <w:rPr>
          <w:rFonts w:eastAsia="仿宋"/>
          <w:kern w:val="0"/>
          <w:sz w:val="32"/>
          <w:szCs w:val="32"/>
        </w:rPr>
        <w:t>项目编号：</w:t>
      </w:r>
      <w:r>
        <w:rPr>
          <w:rFonts w:hint="eastAsia" w:eastAsia="仿宋"/>
          <w:sz w:val="32"/>
          <w:szCs w:val="32"/>
          <w:u w:val="single"/>
        </w:rPr>
        <w:t xml:space="preserve">                                  </w:t>
      </w:r>
    </w:p>
    <w:p>
      <w:pPr>
        <w:spacing w:line="600" w:lineRule="exact"/>
        <w:rPr>
          <w:rFonts w:eastAsia="仿宋"/>
          <w:kern w:val="0"/>
          <w:sz w:val="32"/>
          <w:szCs w:val="32"/>
        </w:rPr>
      </w:pPr>
      <w:r>
        <w:rPr>
          <w:rFonts w:eastAsia="仿宋"/>
          <w:kern w:val="0"/>
          <w:sz w:val="32"/>
          <w:szCs w:val="32"/>
        </w:rPr>
        <w:t>签订地点：</w:t>
      </w:r>
      <w:r>
        <w:rPr>
          <w:rFonts w:hint="eastAsia" w:eastAsia="仿宋"/>
          <w:sz w:val="32"/>
          <w:szCs w:val="32"/>
          <w:u w:val="single"/>
        </w:rPr>
        <w:t xml:space="preserve">                                         </w:t>
      </w:r>
    </w:p>
    <w:p>
      <w:pPr>
        <w:spacing w:line="600" w:lineRule="exact"/>
        <w:rPr>
          <w:rFonts w:eastAsia="仿宋"/>
          <w:kern w:val="0"/>
          <w:sz w:val="32"/>
          <w:szCs w:val="32"/>
        </w:rPr>
      </w:pPr>
      <w:r>
        <w:rPr>
          <w:rFonts w:eastAsia="仿宋"/>
          <w:kern w:val="0"/>
          <w:sz w:val="32"/>
          <w:szCs w:val="32"/>
        </w:rPr>
        <w:t>签订时间：</w:t>
      </w:r>
      <w:r>
        <w:rPr>
          <w:rFonts w:hint="eastAsia" w:eastAsia="仿宋"/>
          <w:sz w:val="32"/>
          <w:szCs w:val="32"/>
          <w:u w:val="single"/>
        </w:rPr>
        <w:t xml:space="preserve">                                         </w:t>
      </w:r>
    </w:p>
    <w:p>
      <w:pPr>
        <w:spacing w:line="600" w:lineRule="exact"/>
        <w:ind w:left="160" w:hanging="160" w:hangingChars="50"/>
        <w:rPr>
          <w:rFonts w:eastAsia="仿宋"/>
          <w:kern w:val="0"/>
          <w:sz w:val="32"/>
          <w:szCs w:val="32"/>
        </w:rPr>
      </w:pPr>
      <w:r>
        <w:rPr>
          <w:rFonts w:eastAsia="仿宋"/>
          <w:kern w:val="0"/>
          <w:sz w:val="32"/>
          <w:szCs w:val="32"/>
        </w:rPr>
        <w:t>甲方（采购人）：</w:t>
      </w:r>
      <w:r>
        <w:rPr>
          <w:rFonts w:hint="eastAsia" w:eastAsia="仿宋"/>
          <w:kern w:val="0"/>
          <w:sz w:val="32"/>
          <w:szCs w:val="32"/>
          <w:u w:val="single"/>
        </w:rPr>
        <w:t>广西壮族自治区生态环境厅生态环境保护综合行政执法局</w:t>
      </w:r>
    </w:p>
    <w:p>
      <w:pPr>
        <w:spacing w:line="600" w:lineRule="exact"/>
        <w:rPr>
          <w:rFonts w:eastAsia="仿宋"/>
          <w:kern w:val="0"/>
          <w:sz w:val="32"/>
          <w:szCs w:val="32"/>
        </w:rPr>
      </w:pPr>
      <w:r>
        <w:rPr>
          <w:rFonts w:eastAsia="仿宋"/>
          <w:kern w:val="0"/>
          <w:sz w:val="32"/>
          <w:szCs w:val="32"/>
        </w:rPr>
        <w:t>住所地：</w:t>
      </w:r>
      <w:r>
        <w:rPr>
          <w:rFonts w:hint="eastAsia" w:eastAsia="仿宋"/>
          <w:kern w:val="0"/>
          <w:sz w:val="32"/>
          <w:szCs w:val="32"/>
          <w:u w:val="single"/>
        </w:rPr>
        <w:t>南宁市青秀区佛子岭路16号</w:t>
      </w:r>
    </w:p>
    <w:p>
      <w:pPr>
        <w:spacing w:line="600" w:lineRule="exact"/>
        <w:rPr>
          <w:rFonts w:eastAsia="仿宋"/>
          <w:kern w:val="0"/>
          <w:sz w:val="32"/>
          <w:szCs w:val="32"/>
          <w:u w:val="single"/>
        </w:rPr>
      </w:pPr>
      <w:r>
        <w:rPr>
          <w:rFonts w:eastAsia="仿宋"/>
          <w:kern w:val="0"/>
          <w:sz w:val="32"/>
          <w:szCs w:val="32"/>
        </w:rPr>
        <w:t>法定代表人：</w:t>
      </w:r>
      <w:r>
        <w:rPr>
          <w:rFonts w:hint="eastAsia" w:eastAsia="仿宋"/>
          <w:kern w:val="0"/>
          <w:sz w:val="32"/>
          <w:szCs w:val="32"/>
          <w:u w:val="single"/>
        </w:rPr>
        <w:t xml:space="preserve">                                         </w:t>
      </w:r>
    </w:p>
    <w:p>
      <w:pPr>
        <w:spacing w:line="600" w:lineRule="exact"/>
        <w:rPr>
          <w:rFonts w:eastAsia="仿宋"/>
          <w:kern w:val="0"/>
          <w:sz w:val="32"/>
          <w:szCs w:val="32"/>
        </w:rPr>
      </w:pPr>
      <w:r>
        <w:rPr>
          <w:rFonts w:eastAsia="仿宋"/>
          <w:kern w:val="0"/>
          <w:sz w:val="32"/>
          <w:szCs w:val="32"/>
        </w:rPr>
        <w:t>通讯地址</w:t>
      </w:r>
      <w:r>
        <w:rPr>
          <w:rFonts w:hint="eastAsia" w:eastAsia="仿宋"/>
          <w:kern w:val="0"/>
          <w:sz w:val="32"/>
          <w:szCs w:val="32"/>
        </w:rPr>
        <w:t>：</w:t>
      </w:r>
      <w:r>
        <w:rPr>
          <w:rFonts w:hint="eastAsia" w:eastAsia="仿宋"/>
          <w:kern w:val="0"/>
          <w:sz w:val="32"/>
          <w:szCs w:val="32"/>
          <w:u w:val="single"/>
        </w:rPr>
        <w:t>南宁市青秀区佛子岭路16号</w:t>
      </w:r>
    </w:p>
    <w:p>
      <w:pPr>
        <w:spacing w:line="600" w:lineRule="exact"/>
        <w:rPr>
          <w:rFonts w:eastAsia="仿宋"/>
          <w:kern w:val="0"/>
          <w:sz w:val="32"/>
          <w:szCs w:val="32"/>
          <w:u w:val="single"/>
        </w:rPr>
      </w:pPr>
      <w:r>
        <w:rPr>
          <w:rFonts w:hint="eastAsia" w:eastAsia="仿宋"/>
          <w:kern w:val="0"/>
          <w:sz w:val="32"/>
          <w:szCs w:val="32"/>
        </w:rPr>
        <w:t>联系</w:t>
      </w:r>
      <w:r>
        <w:rPr>
          <w:rFonts w:eastAsia="仿宋"/>
          <w:kern w:val="0"/>
          <w:sz w:val="32"/>
          <w:szCs w:val="32"/>
        </w:rPr>
        <w:t>电话：</w:t>
      </w:r>
      <w:r>
        <w:rPr>
          <w:rFonts w:hint="eastAsia" w:eastAsia="仿宋"/>
          <w:kern w:val="0"/>
          <w:sz w:val="32"/>
          <w:szCs w:val="32"/>
          <w:u w:val="single"/>
        </w:rPr>
        <w:t xml:space="preserve">                                         </w:t>
      </w:r>
    </w:p>
    <w:p>
      <w:pPr>
        <w:spacing w:line="600" w:lineRule="exact"/>
        <w:rPr>
          <w:rFonts w:eastAsia="仿宋"/>
          <w:kern w:val="0"/>
          <w:sz w:val="32"/>
          <w:szCs w:val="32"/>
        </w:rPr>
      </w:pPr>
      <w:r>
        <w:rPr>
          <w:rFonts w:eastAsia="仿宋"/>
          <w:kern w:val="0"/>
          <w:sz w:val="32"/>
          <w:szCs w:val="32"/>
        </w:rPr>
        <w:t>电子邮箱：</w:t>
      </w:r>
      <w:r>
        <w:rPr>
          <w:rFonts w:hint="eastAsia" w:eastAsia="仿宋"/>
          <w:kern w:val="0"/>
          <w:sz w:val="32"/>
          <w:szCs w:val="32"/>
          <w:u w:val="single"/>
        </w:rPr>
        <w:t xml:space="preserve">                                           </w:t>
      </w:r>
    </w:p>
    <w:p>
      <w:pPr>
        <w:spacing w:line="600" w:lineRule="exact"/>
        <w:rPr>
          <w:rFonts w:eastAsia="仿宋"/>
          <w:kern w:val="0"/>
          <w:sz w:val="32"/>
          <w:szCs w:val="32"/>
          <w:u w:val="single"/>
        </w:rPr>
      </w:pPr>
      <w:r>
        <w:rPr>
          <w:rFonts w:eastAsia="仿宋"/>
          <w:kern w:val="0"/>
          <w:sz w:val="32"/>
          <w:szCs w:val="32"/>
        </w:rPr>
        <w:t>乙方（供应商）：</w:t>
      </w:r>
      <w:r>
        <w:rPr>
          <w:rFonts w:hint="eastAsia" w:eastAsia="仿宋"/>
          <w:kern w:val="0"/>
          <w:sz w:val="32"/>
          <w:szCs w:val="32"/>
          <w:u w:val="single"/>
        </w:rPr>
        <w:t xml:space="preserve">                                     </w:t>
      </w:r>
    </w:p>
    <w:p>
      <w:pPr>
        <w:spacing w:line="600" w:lineRule="exact"/>
        <w:rPr>
          <w:rFonts w:eastAsia="仿宋"/>
          <w:kern w:val="0"/>
          <w:sz w:val="32"/>
          <w:szCs w:val="32"/>
          <w:u w:val="single"/>
        </w:rPr>
      </w:pPr>
      <w:r>
        <w:rPr>
          <w:rFonts w:eastAsia="仿宋"/>
          <w:kern w:val="0"/>
          <w:sz w:val="32"/>
          <w:szCs w:val="32"/>
        </w:rPr>
        <w:t>住所地：</w:t>
      </w:r>
      <w:r>
        <w:rPr>
          <w:rFonts w:hint="eastAsia" w:eastAsia="仿宋"/>
          <w:kern w:val="0"/>
          <w:sz w:val="32"/>
          <w:szCs w:val="32"/>
          <w:u w:val="single"/>
        </w:rPr>
        <w:t xml:space="preserve">                                             </w:t>
      </w:r>
    </w:p>
    <w:p>
      <w:pPr>
        <w:spacing w:line="600" w:lineRule="exact"/>
        <w:rPr>
          <w:rFonts w:eastAsia="仿宋"/>
          <w:kern w:val="0"/>
          <w:sz w:val="32"/>
          <w:szCs w:val="32"/>
          <w:u w:val="single"/>
        </w:rPr>
      </w:pPr>
      <w:r>
        <w:rPr>
          <w:rFonts w:eastAsia="仿宋"/>
          <w:kern w:val="0"/>
          <w:sz w:val="32"/>
          <w:szCs w:val="32"/>
        </w:rPr>
        <w:t>法定代表人：</w:t>
      </w:r>
      <w:r>
        <w:rPr>
          <w:rFonts w:hint="eastAsia" w:eastAsia="仿宋"/>
          <w:kern w:val="0"/>
          <w:sz w:val="32"/>
          <w:szCs w:val="32"/>
          <w:u w:val="single"/>
        </w:rPr>
        <w:t xml:space="preserve">                                         </w:t>
      </w:r>
    </w:p>
    <w:p>
      <w:pPr>
        <w:spacing w:line="600" w:lineRule="exact"/>
        <w:rPr>
          <w:rFonts w:eastAsia="仿宋"/>
          <w:kern w:val="0"/>
          <w:sz w:val="32"/>
          <w:szCs w:val="32"/>
        </w:rPr>
      </w:pPr>
      <w:r>
        <w:rPr>
          <w:rFonts w:eastAsia="仿宋"/>
          <w:kern w:val="0"/>
          <w:sz w:val="32"/>
          <w:szCs w:val="32"/>
        </w:rPr>
        <w:t>通讯地址：</w:t>
      </w:r>
      <w:r>
        <w:rPr>
          <w:rFonts w:hint="eastAsia" w:eastAsia="仿宋"/>
          <w:kern w:val="0"/>
          <w:sz w:val="32"/>
          <w:szCs w:val="32"/>
          <w:u w:val="single"/>
        </w:rPr>
        <w:t xml:space="preserve">                                           </w:t>
      </w:r>
    </w:p>
    <w:p>
      <w:pPr>
        <w:spacing w:line="600" w:lineRule="exact"/>
        <w:rPr>
          <w:rFonts w:eastAsia="仿宋"/>
          <w:kern w:val="0"/>
          <w:sz w:val="32"/>
          <w:szCs w:val="32"/>
        </w:rPr>
      </w:pPr>
      <w:r>
        <w:rPr>
          <w:rFonts w:hint="eastAsia" w:eastAsia="仿宋"/>
          <w:kern w:val="0"/>
          <w:sz w:val="32"/>
          <w:szCs w:val="32"/>
        </w:rPr>
        <w:t>联系</w:t>
      </w:r>
      <w:r>
        <w:rPr>
          <w:rFonts w:eastAsia="仿宋"/>
          <w:kern w:val="0"/>
          <w:sz w:val="32"/>
          <w:szCs w:val="32"/>
        </w:rPr>
        <w:t>电话：</w:t>
      </w:r>
      <w:r>
        <w:rPr>
          <w:rFonts w:hint="eastAsia" w:eastAsia="仿宋"/>
          <w:kern w:val="0"/>
          <w:sz w:val="32"/>
          <w:szCs w:val="32"/>
          <w:u w:val="single"/>
        </w:rPr>
        <w:t xml:space="preserve">                                           </w:t>
      </w:r>
    </w:p>
    <w:p>
      <w:pPr>
        <w:spacing w:line="600" w:lineRule="exact"/>
        <w:rPr>
          <w:rFonts w:eastAsia="仿宋"/>
          <w:kern w:val="0"/>
          <w:sz w:val="32"/>
          <w:szCs w:val="32"/>
          <w:u w:val="single"/>
        </w:rPr>
      </w:pPr>
      <w:r>
        <w:rPr>
          <w:rFonts w:eastAsia="仿宋"/>
          <w:kern w:val="0"/>
          <w:sz w:val="32"/>
          <w:szCs w:val="32"/>
        </w:rPr>
        <w:t>电子邮箱：</w:t>
      </w:r>
      <w:r>
        <w:rPr>
          <w:rFonts w:hint="eastAsia" w:eastAsia="仿宋"/>
          <w:kern w:val="0"/>
          <w:sz w:val="32"/>
          <w:szCs w:val="32"/>
          <w:u w:val="single"/>
        </w:rPr>
        <w:t xml:space="preserve">                                           </w:t>
      </w:r>
    </w:p>
    <w:p>
      <w:pPr>
        <w:spacing w:line="600" w:lineRule="exact"/>
        <w:jc w:val="left"/>
        <w:rPr>
          <w:rFonts w:eastAsia="仿宋"/>
          <w:sz w:val="32"/>
          <w:szCs w:val="32"/>
        </w:rPr>
      </w:pPr>
    </w:p>
    <w:p>
      <w:pPr>
        <w:spacing w:line="500" w:lineRule="exact"/>
        <w:ind w:firstLine="480" w:firstLineChars="200"/>
        <w:jc w:val="left"/>
        <w:rPr>
          <w:rFonts w:ascii="仿宋" w:hAnsi="仿宋" w:eastAsia="仿宋"/>
          <w:sz w:val="24"/>
        </w:rPr>
      </w:pPr>
      <w:r>
        <w:rPr>
          <w:rFonts w:ascii="仿宋" w:hAnsi="仿宋" w:eastAsia="仿宋"/>
          <w:sz w:val="24"/>
        </w:rPr>
        <w:t>根据《中华人民共和国政府采购法》《中华人民共和国民法典》等法律、法规规定，按照招标文件（采购文件）规定条款和投标文件及承诺，甲乙双方签订本合同。</w:t>
      </w:r>
    </w:p>
    <w:p>
      <w:pPr>
        <w:spacing w:line="500" w:lineRule="exact"/>
        <w:ind w:firstLine="480" w:firstLineChars="200"/>
        <w:rPr>
          <w:rFonts w:ascii="仿宋" w:hAnsi="仿宋" w:eastAsia="仿宋"/>
          <w:bCs/>
          <w:sz w:val="24"/>
        </w:rPr>
      </w:pPr>
      <w:r>
        <w:rPr>
          <w:rFonts w:ascii="仿宋" w:hAnsi="仿宋" w:eastAsia="仿宋"/>
          <w:bCs/>
          <w:sz w:val="24"/>
        </w:rPr>
        <w:t>第一条　合同标的</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服务一览表</w:t>
      </w:r>
    </w:p>
    <w:tbl>
      <w:tblPr>
        <w:tblStyle w:val="3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1634"/>
        <w:gridCol w:w="2411"/>
        <w:gridCol w:w="727"/>
        <w:gridCol w:w="894"/>
        <w:gridCol w:w="1276"/>
        <w:gridCol w:w="11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820" w:hRule="atLeast"/>
          <w:jc w:val="center"/>
        </w:trPr>
        <w:tc>
          <w:tcPr>
            <w:tcW w:w="817"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仿宋" w:hAnsi="仿宋" w:eastAsia="仿宋"/>
                <w:bCs/>
                <w:sz w:val="24"/>
              </w:rPr>
            </w:pPr>
            <w:r>
              <w:rPr>
                <w:rFonts w:hint="eastAsia" w:ascii="仿宋" w:hAnsi="仿宋" w:eastAsia="仿宋"/>
                <w:bCs/>
                <w:sz w:val="24"/>
              </w:rPr>
              <w:t>序</w:t>
            </w:r>
            <w:r>
              <w:rPr>
                <w:rFonts w:ascii="仿宋" w:hAnsi="仿宋" w:eastAsia="仿宋"/>
                <w:bCs/>
                <w:sz w:val="24"/>
              </w:rPr>
              <w:t>号</w:t>
            </w:r>
          </w:p>
        </w:tc>
        <w:tc>
          <w:tcPr>
            <w:tcW w:w="1634"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r>
              <w:rPr>
                <w:rFonts w:ascii="仿宋" w:hAnsi="仿宋" w:eastAsia="仿宋"/>
                <w:bCs/>
                <w:sz w:val="24"/>
              </w:rPr>
              <w:t>名称</w:t>
            </w:r>
          </w:p>
        </w:tc>
        <w:tc>
          <w:tcPr>
            <w:tcW w:w="2411"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r>
              <w:rPr>
                <w:rFonts w:ascii="仿宋" w:hAnsi="仿宋" w:eastAsia="仿宋"/>
                <w:bCs/>
                <w:sz w:val="24"/>
              </w:rPr>
              <w:t>服务内容</w:t>
            </w:r>
          </w:p>
        </w:tc>
        <w:tc>
          <w:tcPr>
            <w:tcW w:w="727"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仿宋" w:hAnsi="仿宋" w:eastAsia="仿宋"/>
                <w:bCs/>
                <w:sz w:val="24"/>
              </w:rPr>
            </w:pPr>
            <w:r>
              <w:rPr>
                <w:rFonts w:ascii="仿宋" w:hAnsi="仿宋" w:eastAsia="仿宋"/>
                <w:bCs/>
                <w:sz w:val="24"/>
              </w:rPr>
              <w:t>数量</w:t>
            </w:r>
          </w:p>
        </w:tc>
        <w:tc>
          <w:tcPr>
            <w:tcW w:w="894"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仿宋" w:hAnsi="仿宋" w:eastAsia="仿宋"/>
                <w:bCs/>
                <w:sz w:val="24"/>
              </w:rPr>
            </w:pPr>
            <w:r>
              <w:rPr>
                <w:rFonts w:ascii="仿宋" w:hAnsi="仿宋" w:eastAsia="仿宋"/>
                <w:bCs/>
                <w:sz w:val="24"/>
              </w:rPr>
              <w:t>单位</w:t>
            </w:r>
          </w:p>
        </w:tc>
        <w:tc>
          <w:tcPr>
            <w:tcW w:w="1276"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仿宋" w:hAnsi="仿宋" w:eastAsia="仿宋"/>
                <w:bCs/>
                <w:sz w:val="24"/>
              </w:rPr>
            </w:pPr>
            <w:r>
              <w:rPr>
                <w:rFonts w:ascii="仿宋" w:hAnsi="仿宋" w:eastAsia="仿宋"/>
                <w:bCs/>
                <w:sz w:val="24"/>
              </w:rPr>
              <w:t>单  价</w:t>
            </w:r>
          </w:p>
          <w:p>
            <w:pPr>
              <w:spacing w:line="500" w:lineRule="exact"/>
              <w:rPr>
                <w:rFonts w:ascii="仿宋" w:hAnsi="仿宋" w:eastAsia="仿宋"/>
                <w:bCs/>
                <w:sz w:val="24"/>
              </w:rPr>
            </w:pPr>
            <w:r>
              <w:rPr>
                <w:rFonts w:ascii="仿宋" w:hAnsi="仿宋" w:eastAsia="仿宋"/>
                <w:bCs/>
                <w:sz w:val="24"/>
              </w:rPr>
              <w:t>（元）</w:t>
            </w:r>
          </w:p>
        </w:tc>
        <w:tc>
          <w:tcPr>
            <w:tcW w:w="1187"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仿宋" w:hAnsi="仿宋" w:eastAsia="仿宋"/>
                <w:bCs/>
                <w:sz w:val="24"/>
              </w:rPr>
            </w:pPr>
            <w:r>
              <w:rPr>
                <w:rFonts w:ascii="仿宋" w:hAnsi="仿宋" w:eastAsia="仿宋"/>
                <w:bCs/>
                <w:sz w:val="24"/>
              </w:rPr>
              <w:t>总  价</w:t>
            </w:r>
          </w:p>
          <w:p>
            <w:pPr>
              <w:spacing w:line="500" w:lineRule="exact"/>
              <w:rPr>
                <w:rFonts w:ascii="仿宋" w:hAnsi="仿宋" w:eastAsia="仿宋"/>
                <w:bCs/>
                <w:sz w:val="24"/>
              </w:rPr>
            </w:pPr>
            <w:r>
              <w:rPr>
                <w:rFonts w:ascii="仿宋" w:hAnsi="仿宋" w:eastAsia="仿宋"/>
                <w:bCs/>
                <w:sz w:val="24"/>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820" w:hRule="atLeast"/>
          <w:jc w:val="center"/>
        </w:trPr>
        <w:tc>
          <w:tcPr>
            <w:tcW w:w="817"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仿宋" w:hAnsi="仿宋" w:eastAsia="仿宋"/>
                <w:bCs/>
                <w:sz w:val="24"/>
              </w:rPr>
            </w:pPr>
            <w:r>
              <w:rPr>
                <w:rFonts w:ascii="仿宋" w:hAnsi="仿宋" w:eastAsia="仿宋"/>
                <w:bCs/>
                <w:sz w:val="24"/>
              </w:rPr>
              <w:t>1</w:t>
            </w:r>
          </w:p>
        </w:tc>
        <w:tc>
          <w:tcPr>
            <w:tcW w:w="1634"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c>
          <w:tcPr>
            <w:tcW w:w="2411"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c>
          <w:tcPr>
            <w:tcW w:w="727"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仿宋" w:hAnsi="仿宋" w:eastAsia="仿宋"/>
                <w:bCs/>
                <w:sz w:val="24"/>
              </w:rPr>
            </w:pPr>
          </w:p>
        </w:tc>
        <w:tc>
          <w:tcPr>
            <w:tcW w:w="894"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c>
          <w:tcPr>
            <w:tcW w:w="1276"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lang w:val="en"/>
              </w:rPr>
            </w:pPr>
          </w:p>
        </w:tc>
        <w:tc>
          <w:tcPr>
            <w:tcW w:w="1187"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820" w:hRule="atLeast"/>
          <w:jc w:val="center"/>
        </w:trPr>
        <w:tc>
          <w:tcPr>
            <w:tcW w:w="817"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仿宋" w:hAnsi="仿宋" w:eastAsia="仿宋"/>
                <w:bCs/>
                <w:sz w:val="24"/>
              </w:rPr>
            </w:pPr>
            <w:r>
              <w:rPr>
                <w:rFonts w:ascii="仿宋" w:hAnsi="仿宋" w:eastAsia="仿宋"/>
                <w:bCs/>
                <w:sz w:val="24"/>
              </w:rPr>
              <w:t>2</w:t>
            </w:r>
          </w:p>
        </w:tc>
        <w:tc>
          <w:tcPr>
            <w:tcW w:w="1634"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c>
          <w:tcPr>
            <w:tcW w:w="2411"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c>
          <w:tcPr>
            <w:tcW w:w="727"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仿宋" w:hAnsi="仿宋" w:eastAsia="仿宋"/>
                <w:bCs/>
                <w:sz w:val="24"/>
              </w:rPr>
            </w:pPr>
          </w:p>
        </w:tc>
        <w:tc>
          <w:tcPr>
            <w:tcW w:w="894"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c>
          <w:tcPr>
            <w:tcW w:w="1276"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c>
          <w:tcPr>
            <w:tcW w:w="1187"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820" w:hRule="atLeast"/>
          <w:jc w:val="center"/>
        </w:trPr>
        <w:tc>
          <w:tcPr>
            <w:tcW w:w="817"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仿宋" w:hAnsi="仿宋" w:eastAsia="仿宋"/>
                <w:bCs/>
                <w:sz w:val="24"/>
              </w:rPr>
            </w:pPr>
            <w:r>
              <w:rPr>
                <w:rFonts w:ascii="仿宋" w:hAnsi="仿宋" w:eastAsia="仿宋"/>
                <w:bCs/>
                <w:sz w:val="24"/>
              </w:rPr>
              <w:t>…</w:t>
            </w:r>
          </w:p>
        </w:tc>
        <w:tc>
          <w:tcPr>
            <w:tcW w:w="1634"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c>
          <w:tcPr>
            <w:tcW w:w="2411"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c>
          <w:tcPr>
            <w:tcW w:w="727" w:type="dxa"/>
            <w:tcBorders>
              <w:top w:val="single" w:color="auto" w:sz="4" w:space="0"/>
              <w:left w:val="single" w:color="auto" w:sz="4" w:space="0"/>
              <w:bottom w:val="single" w:color="auto" w:sz="4" w:space="0"/>
              <w:right w:val="single" w:color="auto" w:sz="4" w:space="0"/>
            </w:tcBorders>
            <w:noWrap/>
            <w:vAlign w:val="center"/>
          </w:tcPr>
          <w:p>
            <w:pPr>
              <w:spacing w:line="500" w:lineRule="exact"/>
              <w:rPr>
                <w:rFonts w:ascii="仿宋" w:hAnsi="仿宋" w:eastAsia="仿宋"/>
                <w:bCs/>
                <w:sz w:val="24"/>
              </w:rPr>
            </w:pPr>
          </w:p>
        </w:tc>
        <w:tc>
          <w:tcPr>
            <w:tcW w:w="894"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c>
          <w:tcPr>
            <w:tcW w:w="1276"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c>
          <w:tcPr>
            <w:tcW w:w="1187"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Before w:w="0" w:type="dxa"/>
          <w:wAfter w:w="0" w:type="dxa"/>
          <w:cantSplit/>
          <w:trHeight w:val="531" w:hRule="atLeast"/>
          <w:jc w:val="center"/>
        </w:trPr>
        <w:tc>
          <w:tcPr>
            <w:tcW w:w="8946" w:type="dxa"/>
            <w:gridSpan w:val="7"/>
            <w:tcBorders>
              <w:top w:val="single" w:color="auto" w:sz="4" w:space="0"/>
              <w:left w:val="single" w:color="auto" w:sz="4" w:space="0"/>
              <w:bottom w:val="single" w:color="auto" w:sz="4" w:space="0"/>
              <w:right w:val="single" w:color="auto" w:sz="4" w:space="0"/>
            </w:tcBorders>
            <w:noWrap/>
            <w:vAlign w:val="center"/>
          </w:tcPr>
          <w:p>
            <w:pPr>
              <w:spacing w:line="500" w:lineRule="exact"/>
              <w:ind w:firstLine="480" w:firstLineChars="200"/>
              <w:rPr>
                <w:rFonts w:ascii="仿宋" w:hAnsi="仿宋" w:eastAsia="仿宋"/>
                <w:bCs/>
                <w:sz w:val="24"/>
              </w:rPr>
            </w:pPr>
            <w:r>
              <w:rPr>
                <w:rFonts w:ascii="仿宋" w:hAnsi="仿宋" w:eastAsia="仿宋"/>
                <w:bCs/>
                <w:sz w:val="24"/>
              </w:rPr>
              <w:t>合同合计金额（人民币，大写）：元整（</w:t>
            </w:r>
            <w:r>
              <w:rPr>
                <w:rFonts w:hint="eastAsia" w:ascii="仿宋" w:hAnsi="仿宋" w:eastAsia="仿宋"/>
                <w:bCs/>
                <w:sz w:val="24"/>
              </w:rPr>
              <w:t>￥</w:t>
            </w:r>
            <w:r>
              <w:rPr>
                <w:rFonts w:ascii="仿宋" w:hAnsi="仿宋" w:eastAsia="仿宋"/>
                <w:bCs/>
                <w:sz w:val="24"/>
              </w:rPr>
              <w:t>）</w:t>
            </w:r>
          </w:p>
        </w:tc>
      </w:tr>
    </w:tbl>
    <w:p>
      <w:pPr>
        <w:spacing w:line="500" w:lineRule="exact"/>
        <w:ind w:firstLine="480" w:firstLineChars="200"/>
        <w:rPr>
          <w:rFonts w:ascii="仿宋" w:hAnsi="仿宋" w:eastAsia="仿宋"/>
          <w:bCs/>
          <w:sz w:val="24"/>
          <w:u w:val="single"/>
        </w:rPr>
      </w:pPr>
      <w:r>
        <w:rPr>
          <w:rFonts w:ascii="仿宋" w:hAnsi="仿宋" w:eastAsia="仿宋"/>
          <w:bCs/>
          <w:sz w:val="24"/>
        </w:rPr>
        <w:t>2</w:t>
      </w:r>
      <w:r>
        <w:rPr>
          <w:rFonts w:ascii="仿宋" w:hAnsi="仿宋" w:eastAsia="仿宋"/>
          <w:bCs/>
          <w:sz w:val="24"/>
          <w:lang w:val="en"/>
        </w:rPr>
        <w:t>.</w:t>
      </w:r>
      <w:r>
        <w:rPr>
          <w:rFonts w:ascii="仿宋" w:hAnsi="仿宋" w:eastAsia="仿宋"/>
          <w:bCs/>
          <w:sz w:val="24"/>
        </w:rPr>
        <w:t>合同合计金额包括</w:t>
      </w:r>
      <w:r>
        <w:rPr>
          <w:rFonts w:hint="eastAsia" w:ascii="仿宋" w:hAnsi="仿宋" w:eastAsia="仿宋"/>
          <w:bCs/>
          <w:sz w:val="24"/>
          <w:u w:val="single"/>
        </w:rPr>
        <w:t>完成本项目的全部服务内容及其相关工作所需的全部费用：应包含（但不限于）日常运维技术服务、巡检、新功能升级与BUG调优开发、平台数据统计分析、培训、应急处理维护、技术支持、技术资料归档、培训、派出工作人员的交通费、住宿费、伙食补助费、临时场地租用费等各种费用和售后服务、税金及其它所有成本费用的总和。</w:t>
      </w:r>
    </w:p>
    <w:p>
      <w:pPr>
        <w:spacing w:line="500" w:lineRule="exact"/>
        <w:ind w:firstLine="480" w:firstLineChars="200"/>
        <w:rPr>
          <w:rFonts w:ascii="仿宋" w:hAnsi="仿宋" w:eastAsia="仿宋"/>
          <w:bCs/>
          <w:sz w:val="24"/>
        </w:rPr>
      </w:pPr>
      <w:r>
        <w:rPr>
          <w:rFonts w:hint="eastAsia" w:ascii="仿宋" w:hAnsi="仿宋" w:eastAsia="仿宋"/>
          <w:bCs/>
          <w:sz w:val="24"/>
          <w:u w:val="single"/>
        </w:rPr>
        <w:t>本次报价为固定总价，在合同执行过程及结算时均不允许变更；采购人不再支付任何费用。</w:t>
      </w:r>
    </w:p>
    <w:p>
      <w:pPr>
        <w:spacing w:line="500" w:lineRule="exact"/>
        <w:ind w:firstLine="480" w:firstLineChars="200"/>
        <w:rPr>
          <w:rFonts w:ascii="仿宋" w:hAnsi="仿宋" w:eastAsia="仿宋"/>
          <w:b/>
          <w:bCs/>
          <w:sz w:val="24"/>
        </w:rPr>
      </w:pPr>
      <w:r>
        <w:rPr>
          <w:rFonts w:ascii="仿宋" w:hAnsi="仿宋" w:eastAsia="仿宋"/>
          <w:bCs/>
          <w:sz w:val="24"/>
        </w:rPr>
        <w:t>第二条　质量保证</w:t>
      </w:r>
    </w:p>
    <w:p>
      <w:pPr>
        <w:spacing w:line="500" w:lineRule="exact"/>
        <w:ind w:firstLine="480" w:firstLineChars="200"/>
        <w:rPr>
          <w:rFonts w:ascii="仿宋" w:hAnsi="仿宋" w:eastAsia="仿宋"/>
          <w:bCs/>
          <w:sz w:val="24"/>
        </w:rPr>
      </w:pPr>
      <w:r>
        <w:rPr>
          <w:rFonts w:ascii="仿宋" w:hAnsi="仿宋" w:eastAsia="仿宋"/>
          <w:bCs/>
          <w:sz w:val="24"/>
        </w:rPr>
        <w:t>乙方所提供的服务、服务质量及服务内容必须与合同、招标文件、投标文件及承诺相一致，有国家强制性标准的，还必须符合国家强制性标准的规定，没有国家强制性标准但有其他标准的，必须符合其他标准的规定。</w:t>
      </w:r>
    </w:p>
    <w:p>
      <w:pPr>
        <w:spacing w:line="500" w:lineRule="exact"/>
        <w:ind w:firstLine="480" w:firstLineChars="200"/>
        <w:rPr>
          <w:rFonts w:ascii="仿宋" w:hAnsi="仿宋" w:eastAsia="仿宋"/>
          <w:bCs/>
          <w:sz w:val="24"/>
        </w:rPr>
      </w:pPr>
      <w:r>
        <w:rPr>
          <w:rFonts w:ascii="仿宋" w:hAnsi="仿宋" w:eastAsia="仿宋"/>
          <w:bCs/>
          <w:sz w:val="24"/>
        </w:rPr>
        <w:t>第三条　权利保证</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甲方有权随时向乙方了解服务进度和对服务资金使用情况进行监督、检查，并要求乙方提供相关资料。</w:t>
      </w:r>
    </w:p>
    <w:p>
      <w:pPr>
        <w:spacing w:line="500" w:lineRule="exact"/>
        <w:ind w:firstLine="480" w:firstLineChars="200"/>
        <w:rPr>
          <w:rFonts w:ascii="仿宋" w:hAnsi="仿宋" w:eastAsia="仿宋"/>
          <w:bCs/>
          <w:sz w:val="24"/>
        </w:rPr>
      </w:pPr>
      <w:r>
        <w:rPr>
          <w:rFonts w:ascii="仿宋" w:hAnsi="仿宋" w:eastAsia="仿宋"/>
          <w:bCs/>
          <w:sz w:val="24"/>
        </w:rPr>
        <w:t>2</w:t>
      </w:r>
      <w:r>
        <w:rPr>
          <w:rFonts w:ascii="仿宋" w:hAnsi="仿宋" w:eastAsia="仿宋"/>
          <w:bCs/>
          <w:sz w:val="24"/>
          <w:lang w:val="en"/>
        </w:rPr>
        <w:t>.</w:t>
      </w:r>
      <w:r>
        <w:rPr>
          <w:rFonts w:ascii="仿宋" w:hAnsi="仿宋" w:eastAsia="仿宋"/>
          <w:bCs/>
          <w:sz w:val="24"/>
        </w:rPr>
        <w:t>甲方有权按照合同约定或有关法律法规、政府管理的相关职能规定，对乙方服务进行监督和检查，有权要求乙方按照监督检查情况制定相应措施并加以整改。甲方不因行使该监督和检查权而承担任何责任，也不因此而减轻或免除乙方根据合同约定或相关法律法规规定应承担的任何义务或责任。</w:t>
      </w:r>
    </w:p>
    <w:p>
      <w:pPr>
        <w:spacing w:line="500" w:lineRule="exact"/>
        <w:ind w:firstLine="480" w:firstLineChars="200"/>
        <w:rPr>
          <w:rFonts w:ascii="仿宋" w:hAnsi="仿宋" w:eastAsia="仿宋"/>
          <w:bCs/>
          <w:sz w:val="24"/>
        </w:rPr>
      </w:pPr>
      <w:r>
        <w:rPr>
          <w:rFonts w:ascii="仿宋" w:hAnsi="仿宋" w:eastAsia="仿宋"/>
          <w:bCs/>
          <w:sz w:val="24"/>
        </w:rPr>
        <w:t>3</w:t>
      </w:r>
      <w:r>
        <w:rPr>
          <w:rFonts w:ascii="仿宋" w:hAnsi="仿宋" w:eastAsia="仿宋"/>
          <w:bCs/>
          <w:sz w:val="24"/>
          <w:lang w:val="en"/>
        </w:rPr>
        <w:t>.</w:t>
      </w:r>
      <w:r>
        <w:rPr>
          <w:rFonts w:ascii="仿宋" w:hAnsi="仿宋" w:eastAsia="仿宋"/>
          <w:bCs/>
          <w:sz w:val="24"/>
        </w:rPr>
        <w:t>乙方应保证所提供服务在使用时不会侵犯任何第三方的专利权、商标权、工业设计权等知识产权及其他合法权利，且所有权、处分权等没有受到任何限制。</w:t>
      </w:r>
    </w:p>
    <w:p>
      <w:pPr>
        <w:spacing w:line="500" w:lineRule="exact"/>
        <w:ind w:firstLine="480" w:firstLineChars="200"/>
        <w:rPr>
          <w:rFonts w:ascii="仿宋" w:hAnsi="仿宋" w:eastAsia="仿宋"/>
          <w:bCs/>
          <w:sz w:val="24"/>
        </w:rPr>
      </w:pPr>
      <w:r>
        <w:rPr>
          <w:rFonts w:ascii="仿宋" w:hAnsi="仿宋" w:eastAsia="仿宋"/>
          <w:bCs/>
          <w:sz w:val="24"/>
        </w:rPr>
        <w:t>4</w:t>
      </w:r>
      <w:r>
        <w:rPr>
          <w:rFonts w:ascii="仿宋" w:hAnsi="仿宋" w:eastAsia="仿宋"/>
          <w:bCs/>
          <w:sz w:val="24"/>
          <w:lang w:val="en"/>
        </w:rPr>
        <w:t>.</w:t>
      </w:r>
      <w:r>
        <w:rPr>
          <w:rFonts w:ascii="仿宋" w:hAnsi="仿宋" w:eastAsia="仿宋"/>
          <w:bCs/>
          <w:sz w:val="24"/>
        </w:rPr>
        <w:t>没有甲方事先书面同意，乙方不得将由甲方提供的有关合同或者任何合同条文、规格、计划、图纸、样品或者资料提供给与履行本合同无关的任何其他人。即使向履行合同有关的人员提供，也应注意保密并限于履行合同的必需范围。乙方的保密义务持续有效，不因为本合同履行终止、解除或者无效而解除。</w:t>
      </w:r>
    </w:p>
    <w:p>
      <w:pPr>
        <w:spacing w:line="500" w:lineRule="exact"/>
        <w:ind w:firstLine="480" w:firstLineChars="200"/>
        <w:rPr>
          <w:rFonts w:ascii="仿宋" w:hAnsi="仿宋" w:eastAsia="仿宋"/>
          <w:bCs/>
          <w:sz w:val="24"/>
        </w:rPr>
      </w:pPr>
      <w:r>
        <w:rPr>
          <w:rFonts w:ascii="仿宋" w:hAnsi="仿宋" w:eastAsia="仿宋"/>
          <w:bCs/>
          <w:sz w:val="24"/>
        </w:rPr>
        <w:t>5</w:t>
      </w:r>
      <w:r>
        <w:rPr>
          <w:rFonts w:ascii="仿宋" w:hAnsi="仿宋" w:eastAsia="仿宋"/>
          <w:bCs/>
          <w:sz w:val="24"/>
          <w:lang w:val="en"/>
        </w:rPr>
        <w:t>.</w:t>
      </w:r>
      <w:r>
        <w:rPr>
          <w:rFonts w:ascii="仿宋" w:hAnsi="仿宋" w:eastAsia="仿宋"/>
          <w:bCs/>
          <w:sz w:val="24"/>
        </w:rPr>
        <w:t>乙方保证所交付的服务成果的所有权完全属于乙方且无任何抵押、质押、查封等产权瑕疵。如乙方所交付服务成果有产权瑕疵的，视为乙方违约。但在已经全部支付完合同款后才发现有产权瑕疵的，乙方除了支付违约金，还应负担甲方由此产生的一切损失。</w:t>
      </w:r>
    </w:p>
    <w:p>
      <w:pPr>
        <w:spacing w:line="500" w:lineRule="exact"/>
        <w:ind w:firstLine="480" w:firstLineChars="200"/>
        <w:rPr>
          <w:rFonts w:ascii="仿宋" w:hAnsi="仿宋" w:eastAsia="仿宋"/>
          <w:bCs/>
          <w:sz w:val="24"/>
        </w:rPr>
      </w:pPr>
      <w:r>
        <w:rPr>
          <w:rFonts w:ascii="仿宋" w:hAnsi="仿宋" w:eastAsia="仿宋"/>
          <w:bCs/>
          <w:sz w:val="24"/>
        </w:rPr>
        <w:t>第四条　交付和验收</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服务时间：</w:t>
      </w:r>
      <w:r>
        <w:rPr>
          <w:rFonts w:ascii="仿宋" w:hAnsi="仿宋" w:eastAsia="仿宋"/>
          <w:bCs/>
          <w:sz w:val="24"/>
          <w:u w:val="single"/>
        </w:rPr>
        <w:t>　　　　　　　　</w:t>
      </w:r>
      <w:r>
        <w:rPr>
          <w:rFonts w:ascii="仿宋" w:hAnsi="仿宋" w:eastAsia="仿宋"/>
          <w:bCs/>
          <w:sz w:val="24"/>
        </w:rPr>
        <w:t>起至</w:t>
      </w:r>
      <w:r>
        <w:rPr>
          <w:rFonts w:ascii="仿宋" w:hAnsi="仿宋" w:eastAsia="仿宋"/>
          <w:bCs/>
          <w:sz w:val="24"/>
          <w:u w:val="single"/>
        </w:rPr>
        <w:t>　　　　　　　　</w:t>
      </w:r>
      <w:r>
        <w:rPr>
          <w:rFonts w:ascii="仿宋" w:hAnsi="仿宋" w:eastAsia="仿宋"/>
          <w:bCs/>
          <w:sz w:val="24"/>
        </w:rPr>
        <w:t>。</w:t>
      </w:r>
    </w:p>
    <w:p>
      <w:pPr>
        <w:spacing w:line="500" w:lineRule="exact"/>
        <w:ind w:firstLine="480" w:firstLineChars="200"/>
        <w:rPr>
          <w:rFonts w:ascii="仿宋" w:hAnsi="仿宋" w:eastAsia="仿宋"/>
          <w:bCs/>
          <w:sz w:val="24"/>
        </w:rPr>
      </w:pPr>
      <w:r>
        <w:rPr>
          <w:rFonts w:ascii="仿宋" w:hAnsi="仿宋" w:eastAsia="仿宋"/>
          <w:bCs/>
          <w:sz w:val="24"/>
        </w:rPr>
        <w:t>2</w:t>
      </w:r>
      <w:r>
        <w:rPr>
          <w:rFonts w:ascii="仿宋" w:hAnsi="仿宋" w:eastAsia="仿宋"/>
          <w:bCs/>
          <w:sz w:val="24"/>
          <w:lang w:val="en"/>
        </w:rPr>
        <w:t>.服务地点：</w:t>
      </w:r>
      <w:r>
        <w:rPr>
          <w:rFonts w:ascii="仿宋" w:hAnsi="仿宋" w:eastAsia="仿宋"/>
          <w:bCs/>
          <w:sz w:val="24"/>
          <w:u w:val="single"/>
          <w:lang w:val="en"/>
        </w:rPr>
        <w:t>　　　　　　　　　　　　　　　　　　</w:t>
      </w:r>
      <w:r>
        <w:rPr>
          <w:rFonts w:ascii="仿宋" w:hAnsi="仿宋" w:eastAsia="仿宋"/>
          <w:bCs/>
          <w:sz w:val="24"/>
          <w:lang w:val="en"/>
        </w:rPr>
        <w:t>。</w:t>
      </w:r>
    </w:p>
    <w:p>
      <w:pPr>
        <w:spacing w:line="500" w:lineRule="exact"/>
        <w:ind w:firstLine="480" w:firstLineChars="200"/>
        <w:rPr>
          <w:rFonts w:ascii="仿宋" w:hAnsi="仿宋" w:eastAsia="仿宋"/>
          <w:bCs/>
          <w:sz w:val="24"/>
        </w:rPr>
      </w:pPr>
      <w:r>
        <w:rPr>
          <w:rFonts w:ascii="仿宋" w:hAnsi="仿宋" w:eastAsia="仿宋"/>
          <w:bCs/>
          <w:sz w:val="24"/>
        </w:rPr>
        <w:t>3</w:t>
      </w:r>
      <w:r>
        <w:rPr>
          <w:rFonts w:ascii="仿宋" w:hAnsi="仿宋" w:eastAsia="仿宋"/>
          <w:bCs/>
          <w:sz w:val="24"/>
          <w:lang w:val="en"/>
        </w:rPr>
        <w:t>.</w:t>
      </w:r>
      <w:r>
        <w:rPr>
          <w:rFonts w:ascii="仿宋" w:hAnsi="仿宋" w:eastAsia="仿宋"/>
          <w:bCs/>
          <w:sz w:val="24"/>
        </w:rPr>
        <w:t>乙方应按合同、招标文件、投标文件及承诺向甲方提供相应的服务，并提供服务质量和服务内容的相关技术资料。</w:t>
      </w:r>
    </w:p>
    <w:p>
      <w:pPr>
        <w:spacing w:line="500" w:lineRule="exact"/>
        <w:ind w:firstLine="480" w:firstLineChars="200"/>
        <w:rPr>
          <w:rFonts w:ascii="仿宋" w:hAnsi="仿宋" w:eastAsia="仿宋"/>
          <w:bCs/>
          <w:sz w:val="24"/>
        </w:rPr>
      </w:pPr>
      <w:r>
        <w:rPr>
          <w:rFonts w:ascii="仿宋" w:hAnsi="仿宋" w:eastAsia="仿宋"/>
          <w:bCs/>
          <w:sz w:val="24"/>
        </w:rPr>
        <w:t>4</w:t>
      </w:r>
      <w:r>
        <w:rPr>
          <w:rFonts w:ascii="仿宋" w:hAnsi="仿宋" w:eastAsia="仿宋"/>
          <w:bCs/>
          <w:sz w:val="24"/>
          <w:lang w:val="en"/>
        </w:rPr>
        <w:t>.</w:t>
      </w:r>
      <w:r>
        <w:rPr>
          <w:rFonts w:ascii="仿宋" w:hAnsi="仿宋" w:eastAsia="仿宋"/>
          <w:bCs/>
          <w:sz w:val="24"/>
        </w:rPr>
        <w:t>乙方提供不符合合同、招标文件、投标文件规定的服务成果，甲方有权拒绝接受。</w:t>
      </w:r>
    </w:p>
    <w:p>
      <w:pPr>
        <w:spacing w:line="500" w:lineRule="exact"/>
        <w:ind w:firstLine="480" w:firstLineChars="200"/>
        <w:rPr>
          <w:rFonts w:ascii="仿宋" w:hAnsi="仿宋" w:eastAsia="仿宋"/>
          <w:bCs/>
          <w:sz w:val="24"/>
        </w:rPr>
      </w:pPr>
      <w:r>
        <w:rPr>
          <w:rFonts w:ascii="仿宋" w:hAnsi="仿宋" w:eastAsia="仿宋"/>
          <w:bCs/>
          <w:sz w:val="24"/>
        </w:rPr>
        <w:t>5</w:t>
      </w:r>
      <w:r>
        <w:rPr>
          <w:rFonts w:ascii="仿宋" w:hAnsi="仿宋" w:eastAsia="仿宋"/>
          <w:bCs/>
          <w:sz w:val="24"/>
          <w:lang w:val="en"/>
        </w:rPr>
        <w:t>.</w:t>
      </w:r>
      <w:r>
        <w:rPr>
          <w:rFonts w:ascii="仿宋" w:hAnsi="仿宋" w:eastAsia="仿宋"/>
          <w:bCs/>
          <w:sz w:val="24"/>
        </w:rPr>
        <w:t>乙方在完成服务前应对服务作出全面检查和对验收文件进行整理，并列出清单，作为甲方服务验收的技术依据，清单应随提交的服务成果交给甲方。</w:t>
      </w:r>
    </w:p>
    <w:p>
      <w:pPr>
        <w:spacing w:line="500" w:lineRule="exact"/>
        <w:ind w:firstLine="480" w:firstLineChars="200"/>
        <w:rPr>
          <w:rFonts w:ascii="仿宋" w:hAnsi="仿宋" w:eastAsia="仿宋"/>
          <w:bCs/>
          <w:sz w:val="24"/>
        </w:rPr>
      </w:pPr>
      <w:r>
        <w:rPr>
          <w:rFonts w:ascii="仿宋" w:hAnsi="仿宋" w:eastAsia="仿宋"/>
          <w:bCs/>
          <w:sz w:val="24"/>
        </w:rPr>
        <w:t>6</w:t>
      </w:r>
      <w:r>
        <w:rPr>
          <w:rFonts w:ascii="仿宋" w:hAnsi="仿宋" w:eastAsia="仿宋"/>
          <w:bCs/>
          <w:sz w:val="24"/>
          <w:lang w:val="en"/>
        </w:rPr>
        <w:t>.</w:t>
      </w:r>
      <w:r>
        <w:rPr>
          <w:rFonts w:ascii="仿宋" w:hAnsi="仿宋" w:eastAsia="仿宋"/>
          <w:bCs/>
          <w:sz w:val="24"/>
        </w:rPr>
        <w:t>乙方完成服务后应及时书面通知甲方进行验收，甲方应在收到通知后七个工作日内进行验收，逾期不开始验收的，乙方可视同验收合格。</w:t>
      </w:r>
    </w:p>
    <w:p>
      <w:pPr>
        <w:spacing w:line="500" w:lineRule="exact"/>
        <w:ind w:firstLine="480" w:firstLineChars="200"/>
        <w:rPr>
          <w:rFonts w:ascii="仿宋" w:hAnsi="仿宋" w:eastAsia="仿宋"/>
          <w:bCs/>
          <w:sz w:val="24"/>
        </w:rPr>
      </w:pPr>
      <w:r>
        <w:rPr>
          <w:rFonts w:ascii="仿宋" w:hAnsi="仿宋" w:eastAsia="仿宋"/>
          <w:bCs/>
          <w:sz w:val="24"/>
        </w:rPr>
        <w:t>7</w:t>
      </w:r>
      <w:r>
        <w:rPr>
          <w:rFonts w:ascii="仿宋" w:hAnsi="仿宋" w:eastAsia="仿宋"/>
          <w:bCs/>
          <w:sz w:val="24"/>
          <w:lang w:val="en"/>
        </w:rPr>
        <w:t>.</w:t>
      </w:r>
      <w:r>
        <w:rPr>
          <w:rFonts w:ascii="仿宋" w:hAnsi="仿宋" w:eastAsia="仿宋"/>
          <w:bCs/>
          <w:sz w:val="24"/>
        </w:rPr>
        <w:t>甲乙双方应按照《广西壮族自治区政府采购项目履约验收管理办法》、合同、招标文件、投标文件验收，验收时乙方必须在现场，验收费用</w:t>
      </w:r>
      <w:r>
        <w:rPr>
          <w:rFonts w:hint="eastAsia" w:ascii="仿宋" w:hAnsi="仿宋" w:eastAsia="仿宋"/>
          <w:bCs/>
          <w:sz w:val="24"/>
        </w:rPr>
        <w:t>（含验收评审专家劳务费）</w:t>
      </w:r>
      <w:r>
        <w:rPr>
          <w:rFonts w:ascii="仿宋" w:hAnsi="仿宋" w:eastAsia="仿宋"/>
          <w:bCs/>
          <w:sz w:val="24"/>
        </w:rPr>
        <w:t>由乙方负责。服务质量和服务内容符合合同、招标文件、投标文件规定的要求的，由甲乙双方签署验收合格单并加盖甲方公章，甲乙双方各执一份。</w:t>
      </w:r>
    </w:p>
    <w:p>
      <w:pPr>
        <w:spacing w:line="500" w:lineRule="exact"/>
        <w:ind w:firstLine="480" w:firstLineChars="200"/>
        <w:rPr>
          <w:rFonts w:ascii="仿宋" w:hAnsi="仿宋" w:eastAsia="仿宋"/>
          <w:bCs/>
          <w:sz w:val="24"/>
        </w:rPr>
      </w:pPr>
      <w:r>
        <w:rPr>
          <w:rFonts w:ascii="仿宋" w:hAnsi="仿宋" w:eastAsia="仿宋"/>
          <w:bCs/>
          <w:sz w:val="24"/>
        </w:rPr>
        <w:t>8</w:t>
      </w:r>
      <w:r>
        <w:rPr>
          <w:rFonts w:ascii="仿宋" w:hAnsi="仿宋" w:eastAsia="仿宋"/>
          <w:bCs/>
          <w:sz w:val="24"/>
          <w:lang w:val="en"/>
        </w:rPr>
        <w:t>.</w:t>
      </w:r>
      <w:r>
        <w:rPr>
          <w:rFonts w:ascii="仿宋" w:hAnsi="仿宋" w:eastAsia="仿宋"/>
          <w:bCs/>
          <w:sz w:val="24"/>
        </w:rPr>
        <w:t>甲方在初步验收或者最终验收过程中发现乙方提供的服务、服务质量或服务内容不满足合同、招标文件、投标文件规定的，可暂缓向乙方付款，直到乙方及时完善并提交相应的服务成果且经甲方验收合格后，方可办理付款。</w:t>
      </w:r>
    </w:p>
    <w:p>
      <w:pPr>
        <w:spacing w:line="500" w:lineRule="exact"/>
        <w:ind w:firstLine="480" w:firstLineChars="200"/>
        <w:rPr>
          <w:rFonts w:ascii="仿宋" w:hAnsi="仿宋" w:eastAsia="仿宋"/>
          <w:bCs/>
          <w:sz w:val="24"/>
        </w:rPr>
      </w:pPr>
      <w:r>
        <w:rPr>
          <w:rFonts w:ascii="仿宋" w:hAnsi="仿宋" w:eastAsia="仿宋"/>
          <w:bCs/>
          <w:sz w:val="24"/>
        </w:rPr>
        <w:t>9</w:t>
      </w:r>
      <w:r>
        <w:rPr>
          <w:rFonts w:ascii="仿宋" w:hAnsi="仿宋" w:eastAsia="仿宋"/>
          <w:bCs/>
          <w:sz w:val="24"/>
          <w:lang w:val="en"/>
        </w:rPr>
        <w:t>.</w:t>
      </w:r>
      <w:r>
        <w:rPr>
          <w:rFonts w:ascii="仿宋" w:hAnsi="仿宋" w:eastAsia="仿宋"/>
          <w:bCs/>
          <w:sz w:val="24"/>
        </w:rPr>
        <w:t>甲方验收时发现乙方提供的服务、服务质量或服务内容不满足合同、招标文件、投标文件规定并以书面形式提出异议的，乙方应自收到甲方书面异议后五个工作日内予以解决，否则甲方有权不出具验收合格单。乙方因解决异议问题而造成逾期的，按乙方逾期交付处理。</w:t>
      </w:r>
    </w:p>
    <w:p>
      <w:pPr>
        <w:spacing w:line="500" w:lineRule="exact"/>
        <w:ind w:firstLine="480" w:firstLineChars="200"/>
        <w:rPr>
          <w:rFonts w:ascii="仿宋" w:hAnsi="仿宋" w:eastAsia="仿宋"/>
          <w:bCs/>
          <w:sz w:val="24"/>
        </w:rPr>
      </w:pPr>
      <w:r>
        <w:rPr>
          <w:rFonts w:ascii="仿宋" w:hAnsi="仿宋" w:eastAsia="仿宋"/>
          <w:bCs/>
          <w:sz w:val="24"/>
        </w:rPr>
        <w:t>第五条　售后服务、服务质量保证期及培训</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乙方应按照国家有关法律法规、合同、招标文件、投标文件所附的《服务承诺》要求为甲方提供相应的服务。</w:t>
      </w:r>
    </w:p>
    <w:p>
      <w:pPr>
        <w:spacing w:line="500" w:lineRule="exact"/>
        <w:ind w:firstLine="480" w:firstLineChars="200"/>
        <w:rPr>
          <w:rFonts w:ascii="仿宋" w:hAnsi="仿宋" w:eastAsia="仿宋"/>
          <w:bCs/>
          <w:sz w:val="24"/>
        </w:rPr>
      </w:pPr>
      <w:r>
        <w:rPr>
          <w:rFonts w:ascii="仿宋" w:hAnsi="仿宋" w:eastAsia="仿宋"/>
          <w:bCs/>
          <w:sz w:val="24"/>
        </w:rPr>
        <w:t>2</w:t>
      </w:r>
      <w:r>
        <w:rPr>
          <w:rFonts w:ascii="仿宋" w:hAnsi="仿宋" w:eastAsia="仿宋"/>
          <w:bCs/>
          <w:sz w:val="24"/>
          <w:lang w:val="en"/>
        </w:rPr>
        <w:t>.</w:t>
      </w:r>
      <w:r>
        <w:rPr>
          <w:rFonts w:ascii="仿宋" w:hAnsi="仿宋" w:eastAsia="仿宋"/>
          <w:bCs/>
          <w:sz w:val="24"/>
        </w:rPr>
        <w:t>乙方提供服务的质量保证期按交付服务成果验收合格并签署验收合格单之日起计算，为</w:t>
      </w:r>
      <w:r>
        <w:rPr>
          <w:rFonts w:ascii="仿宋" w:hAnsi="仿宋" w:eastAsia="仿宋"/>
          <w:bCs/>
          <w:sz w:val="24"/>
          <w:u w:val="single"/>
        </w:rPr>
        <w:t>　　　　</w:t>
      </w:r>
      <w:r>
        <w:rPr>
          <w:rFonts w:ascii="仿宋" w:hAnsi="仿宋" w:eastAsia="仿宋"/>
          <w:bCs/>
          <w:sz w:val="24"/>
        </w:rPr>
        <w:t>日，在质量保证期内因服务成果本身的技术问题，乙方应对服务出现的问题负责处理解决并承担一切费用。</w:t>
      </w:r>
    </w:p>
    <w:p>
      <w:pPr>
        <w:spacing w:line="500" w:lineRule="exact"/>
        <w:ind w:firstLine="480" w:firstLineChars="200"/>
        <w:rPr>
          <w:rFonts w:ascii="仿宋" w:hAnsi="仿宋" w:eastAsia="仿宋"/>
          <w:bCs/>
          <w:sz w:val="24"/>
        </w:rPr>
      </w:pPr>
      <w:r>
        <w:rPr>
          <w:rFonts w:ascii="仿宋" w:hAnsi="仿宋" w:eastAsia="仿宋"/>
          <w:bCs/>
          <w:sz w:val="24"/>
        </w:rPr>
        <w:t>3</w:t>
      </w:r>
      <w:r>
        <w:rPr>
          <w:rFonts w:ascii="仿宋" w:hAnsi="仿宋" w:eastAsia="仿宋"/>
          <w:bCs/>
          <w:sz w:val="24"/>
          <w:lang w:val="en"/>
        </w:rPr>
        <w:t>.</w:t>
      </w:r>
      <w:r>
        <w:rPr>
          <w:rFonts w:ascii="仿宋" w:hAnsi="仿宋" w:eastAsia="仿宋"/>
          <w:bCs/>
          <w:sz w:val="24"/>
        </w:rPr>
        <w:t>在质量保证期内发生技术服务问题，乙方应在接到甲方通知后24小时内到达甲方现场在甲方指定的期限内解决问题。</w:t>
      </w:r>
    </w:p>
    <w:p>
      <w:pPr>
        <w:spacing w:line="500" w:lineRule="exact"/>
        <w:ind w:firstLine="480" w:firstLineChars="200"/>
        <w:rPr>
          <w:rFonts w:ascii="仿宋" w:hAnsi="仿宋" w:eastAsia="仿宋"/>
          <w:bCs/>
          <w:sz w:val="24"/>
        </w:rPr>
      </w:pPr>
      <w:r>
        <w:rPr>
          <w:rFonts w:ascii="仿宋" w:hAnsi="仿宋" w:eastAsia="仿宋"/>
          <w:bCs/>
          <w:sz w:val="24"/>
        </w:rPr>
        <w:t>4</w:t>
      </w:r>
      <w:r>
        <w:rPr>
          <w:rFonts w:ascii="仿宋" w:hAnsi="仿宋" w:eastAsia="仿宋"/>
          <w:bCs/>
          <w:sz w:val="24"/>
          <w:lang w:val="en"/>
        </w:rPr>
        <w:t>.</w:t>
      </w:r>
      <w:r>
        <w:rPr>
          <w:rFonts w:ascii="仿宋" w:hAnsi="仿宋" w:eastAsia="仿宋"/>
          <w:bCs/>
          <w:sz w:val="24"/>
        </w:rPr>
        <w:t>乙方负责甲方有关人员的培训。</w:t>
      </w:r>
    </w:p>
    <w:p>
      <w:pPr>
        <w:spacing w:line="500" w:lineRule="exact"/>
        <w:ind w:firstLine="480" w:firstLineChars="200"/>
        <w:rPr>
          <w:rFonts w:ascii="仿宋" w:hAnsi="仿宋" w:eastAsia="仿宋"/>
          <w:bCs/>
          <w:sz w:val="24"/>
        </w:rPr>
      </w:pPr>
      <w:r>
        <w:rPr>
          <w:rFonts w:ascii="仿宋" w:hAnsi="仿宋" w:eastAsia="仿宋"/>
          <w:bCs/>
          <w:sz w:val="24"/>
        </w:rPr>
        <w:t>培训时间：</w:t>
      </w:r>
      <w:r>
        <w:rPr>
          <w:rFonts w:ascii="仿宋" w:hAnsi="仿宋" w:eastAsia="仿宋"/>
          <w:bCs/>
          <w:sz w:val="24"/>
          <w:u w:val="single"/>
        </w:rPr>
        <w:t>　　　　　　　　　　　　　　　</w:t>
      </w:r>
      <w:r>
        <w:rPr>
          <w:rFonts w:ascii="仿宋" w:hAnsi="仿宋" w:eastAsia="仿宋"/>
          <w:bCs/>
          <w:sz w:val="24"/>
        </w:rPr>
        <w:t>。</w:t>
      </w:r>
    </w:p>
    <w:p>
      <w:pPr>
        <w:spacing w:line="500" w:lineRule="exact"/>
        <w:ind w:firstLine="480" w:firstLineChars="200"/>
        <w:rPr>
          <w:rFonts w:ascii="仿宋" w:hAnsi="仿宋" w:eastAsia="仿宋"/>
          <w:bCs/>
          <w:sz w:val="24"/>
          <w:u w:val="single"/>
        </w:rPr>
      </w:pPr>
      <w:r>
        <w:rPr>
          <w:rFonts w:ascii="仿宋" w:hAnsi="仿宋" w:eastAsia="仿宋"/>
          <w:bCs/>
          <w:sz w:val="24"/>
        </w:rPr>
        <w:t>培训地点：</w:t>
      </w:r>
      <w:r>
        <w:rPr>
          <w:rFonts w:ascii="仿宋" w:hAnsi="仿宋" w:eastAsia="仿宋"/>
          <w:bCs/>
          <w:sz w:val="24"/>
          <w:u w:val="single"/>
        </w:rPr>
        <w:t>　　　　　　　　　　　　　　　</w:t>
      </w:r>
      <w:r>
        <w:rPr>
          <w:rFonts w:ascii="仿宋" w:hAnsi="仿宋" w:eastAsia="仿宋"/>
          <w:bCs/>
          <w:sz w:val="24"/>
        </w:rPr>
        <w:t>。</w:t>
      </w:r>
    </w:p>
    <w:p>
      <w:pPr>
        <w:spacing w:line="500" w:lineRule="exact"/>
        <w:ind w:firstLine="480" w:firstLineChars="200"/>
        <w:rPr>
          <w:rFonts w:ascii="仿宋" w:hAnsi="仿宋" w:eastAsia="仿宋"/>
          <w:b/>
          <w:bCs/>
          <w:sz w:val="24"/>
          <w:u w:val="single"/>
        </w:rPr>
      </w:pPr>
      <w:r>
        <w:rPr>
          <w:rFonts w:ascii="仿宋" w:hAnsi="仿宋" w:eastAsia="仿宋"/>
          <w:bCs/>
          <w:sz w:val="24"/>
        </w:rPr>
        <w:t>第六条　付款方式</w:t>
      </w:r>
    </w:p>
    <w:p>
      <w:pPr>
        <w:spacing w:line="500" w:lineRule="exact"/>
        <w:ind w:firstLine="480" w:firstLineChars="200"/>
        <w:rPr>
          <w:rFonts w:ascii="仿宋" w:hAnsi="仿宋" w:eastAsia="仿宋"/>
          <w:bCs/>
          <w:sz w:val="24"/>
          <w:u w:val="single"/>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资金性质：</w:t>
      </w:r>
      <w:r>
        <w:rPr>
          <w:rFonts w:ascii="仿宋" w:hAnsi="仿宋" w:eastAsia="仿宋"/>
          <w:bCs/>
          <w:sz w:val="24"/>
          <w:u w:val="single"/>
        </w:rPr>
        <w:t>　　　　　　　　　　</w:t>
      </w:r>
      <w:r>
        <w:rPr>
          <w:rFonts w:ascii="仿宋" w:hAnsi="仿宋" w:eastAsia="仿宋"/>
          <w:bCs/>
          <w:sz w:val="24"/>
        </w:rPr>
        <w:t>。</w:t>
      </w:r>
    </w:p>
    <w:p>
      <w:pPr>
        <w:spacing w:line="500" w:lineRule="exact"/>
        <w:ind w:firstLine="480" w:firstLineChars="200"/>
        <w:rPr>
          <w:rFonts w:ascii="仿宋" w:hAnsi="仿宋" w:eastAsia="仿宋"/>
          <w:bCs/>
          <w:sz w:val="24"/>
        </w:rPr>
      </w:pPr>
      <w:r>
        <w:rPr>
          <w:rFonts w:ascii="仿宋" w:hAnsi="仿宋" w:eastAsia="仿宋"/>
          <w:bCs/>
          <w:sz w:val="24"/>
        </w:rPr>
        <w:t>2</w:t>
      </w:r>
      <w:r>
        <w:rPr>
          <w:rFonts w:ascii="仿宋" w:hAnsi="仿宋" w:eastAsia="仿宋"/>
          <w:bCs/>
          <w:sz w:val="24"/>
          <w:lang w:val="en"/>
        </w:rPr>
        <w:t>.</w:t>
      </w:r>
      <w:r>
        <w:rPr>
          <w:rFonts w:ascii="仿宋" w:hAnsi="仿宋" w:eastAsia="仿宋"/>
          <w:bCs/>
          <w:sz w:val="24"/>
        </w:rPr>
        <w:t>付款方式</w:t>
      </w:r>
    </w:p>
    <w:p>
      <w:pPr>
        <w:spacing w:line="500" w:lineRule="exact"/>
        <w:ind w:firstLine="480" w:firstLineChars="200"/>
        <w:rPr>
          <w:rFonts w:ascii="仿宋" w:hAnsi="仿宋" w:eastAsia="仿宋"/>
          <w:bCs/>
          <w:sz w:val="24"/>
        </w:rPr>
      </w:pPr>
      <w:r>
        <w:rPr>
          <w:rFonts w:ascii="仿宋" w:hAnsi="仿宋" w:eastAsia="仿宋"/>
          <w:bCs/>
          <w:sz w:val="24"/>
        </w:rPr>
        <w:t>甲乙双方同意</w:t>
      </w:r>
      <w:r>
        <w:rPr>
          <w:rFonts w:hint="eastAsia" w:ascii="仿宋" w:hAnsi="仿宋" w:eastAsia="仿宋"/>
          <w:bCs/>
          <w:sz w:val="24"/>
        </w:rPr>
        <w:t>按以下方式支付合同合计金额：</w:t>
      </w:r>
    </w:p>
    <w:p>
      <w:pPr>
        <w:spacing w:line="500" w:lineRule="exact"/>
        <w:ind w:firstLine="480" w:firstLineChars="200"/>
        <w:rPr>
          <w:rFonts w:ascii="仿宋" w:hAnsi="仿宋" w:eastAsia="仿宋"/>
          <w:bCs/>
          <w:sz w:val="24"/>
          <w:u w:val="single"/>
        </w:rPr>
      </w:pPr>
      <w:r>
        <w:rPr>
          <w:rFonts w:hint="eastAsia" w:ascii="仿宋" w:hAnsi="仿宋" w:eastAsia="仿宋"/>
          <w:bCs/>
          <w:sz w:val="24"/>
        </w:rPr>
        <w:t>合同签订之日起10日内支付合同款的</w:t>
      </w:r>
      <w:r>
        <w:rPr>
          <w:rFonts w:ascii="仿宋" w:hAnsi="仿宋" w:eastAsia="仿宋"/>
          <w:bCs/>
          <w:sz w:val="24"/>
        </w:rPr>
        <w:t>50</w:t>
      </w:r>
      <w:r>
        <w:rPr>
          <w:rFonts w:hint="eastAsia" w:ascii="仿宋" w:hAnsi="仿宋" w:eastAsia="仿宋"/>
          <w:bCs/>
          <w:sz w:val="24"/>
        </w:rPr>
        <w:t>%；运维通过1个周期考核支付合同款的40%；运维通过2个周期考核支付剩余的10%的合同款。供应商应在采购人付款前提出付款申请，并向采购人提供等额的合法有效发票，采购人在收到发票15个工作日内支付相应金额。供应商未及时向采购人开具发票的，采购人有权顺延付款时间，且不承担任何逾期付款违约责任。。</w:t>
      </w:r>
    </w:p>
    <w:p>
      <w:pPr>
        <w:spacing w:line="500" w:lineRule="exact"/>
        <w:ind w:firstLine="480" w:firstLineChars="200"/>
        <w:rPr>
          <w:rFonts w:ascii="仿宋" w:hAnsi="仿宋" w:eastAsia="仿宋"/>
          <w:bCs/>
          <w:sz w:val="24"/>
        </w:rPr>
      </w:pPr>
      <w:r>
        <w:rPr>
          <w:rFonts w:ascii="仿宋" w:hAnsi="仿宋" w:eastAsia="仿宋"/>
          <w:bCs/>
          <w:sz w:val="24"/>
        </w:rPr>
        <w:t>3</w:t>
      </w:r>
      <w:r>
        <w:rPr>
          <w:rFonts w:ascii="仿宋" w:hAnsi="仿宋" w:eastAsia="仿宋"/>
          <w:bCs/>
          <w:sz w:val="24"/>
          <w:lang w:val="en"/>
        </w:rPr>
        <w:t>.</w:t>
      </w:r>
      <w:r>
        <w:rPr>
          <w:rFonts w:ascii="仿宋" w:hAnsi="仿宋" w:eastAsia="仿宋"/>
          <w:bCs/>
          <w:sz w:val="24"/>
        </w:rPr>
        <w:t>乙方指定以下账户为接受本合同价款的账户，并对其指定的下列账户信息真实性、安全性、准确性负责。</w:t>
      </w:r>
    </w:p>
    <w:p>
      <w:pPr>
        <w:spacing w:line="500" w:lineRule="exact"/>
        <w:ind w:firstLine="480" w:firstLineChars="200"/>
        <w:rPr>
          <w:rFonts w:ascii="仿宋" w:hAnsi="仿宋" w:eastAsia="仿宋"/>
          <w:bCs/>
          <w:sz w:val="24"/>
        </w:rPr>
      </w:pPr>
      <w:r>
        <w:rPr>
          <w:rFonts w:ascii="仿宋" w:hAnsi="仿宋" w:eastAsia="仿宋"/>
          <w:bCs/>
          <w:sz w:val="24"/>
        </w:rPr>
        <w:t>账户名称：</w:t>
      </w:r>
      <w:r>
        <w:rPr>
          <w:rFonts w:ascii="仿宋" w:hAnsi="仿宋" w:eastAsia="仿宋"/>
          <w:bCs/>
          <w:sz w:val="24"/>
          <w:u w:val="single"/>
        </w:rPr>
        <w:t>　　　　　　　　　　　　　　　　　　</w:t>
      </w:r>
      <w:r>
        <w:rPr>
          <w:rFonts w:hint="eastAsia" w:ascii="仿宋" w:hAnsi="仿宋" w:eastAsia="仿宋"/>
          <w:bCs/>
          <w:sz w:val="24"/>
        </w:rPr>
        <w:t>；</w:t>
      </w:r>
    </w:p>
    <w:p>
      <w:pPr>
        <w:spacing w:line="500" w:lineRule="exact"/>
        <w:ind w:firstLine="480" w:firstLineChars="200"/>
        <w:rPr>
          <w:rFonts w:ascii="仿宋" w:hAnsi="仿宋" w:eastAsia="仿宋"/>
          <w:bCs/>
          <w:sz w:val="24"/>
          <w:u w:val="single"/>
        </w:rPr>
      </w:pPr>
      <w:r>
        <w:rPr>
          <w:rFonts w:ascii="仿宋" w:hAnsi="仿宋" w:eastAsia="仿宋"/>
          <w:bCs/>
          <w:sz w:val="24"/>
        </w:rPr>
        <w:t>开户银行：</w:t>
      </w:r>
      <w:r>
        <w:rPr>
          <w:rFonts w:ascii="仿宋" w:hAnsi="仿宋" w:eastAsia="仿宋"/>
          <w:bCs/>
          <w:sz w:val="24"/>
          <w:u w:val="single"/>
        </w:rPr>
        <w:t>　　　　　　　　　　　　　　　　　　</w:t>
      </w:r>
      <w:r>
        <w:rPr>
          <w:rFonts w:hint="eastAsia" w:ascii="仿宋" w:hAnsi="仿宋" w:eastAsia="仿宋"/>
          <w:bCs/>
          <w:sz w:val="24"/>
        </w:rPr>
        <w:t>；</w:t>
      </w:r>
    </w:p>
    <w:p>
      <w:pPr>
        <w:spacing w:line="500" w:lineRule="exact"/>
        <w:ind w:firstLine="480" w:firstLineChars="200"/>
        <w:rPr>
          <w:rFonts w:ascii="仿宋" w:hAnsi="仿宋" w:eastAsia="仿宋"/>
          <w:bCs/>
          <w:sz w:val="24"/>
          <w:u w:val="single"/>
        </w:rPr>
      </w:pPr>
      <w:r>
        <w:rPr>
          <w:rFonts w:ascii="仿宋" w:hAnsi="仿宋" w:eastAsia="仿宋"/>
          <w:bCs/>
          <w:sz w:val="24"/>
        </w:rPr>
        <w:t>银行账号：</w:t>
      </w:r>
      <w:r>
        <w:rPr>
          <w:rFonts w:ascii="仿宋" w:hAnsi="仿宋" w:eastAsia="仿宋"/>
          <w:bCs/>
          <w:sz w:val="24"/>
          <w:u w:val="single"/>
        </w:rPr>
        <w:t>　　　　　　　　　　　　　　　　　　</w:t>
      </w:r>
      <w:r>
        <w:rPr>
          <w:rFonts w:hint="eastAsia" w:ascii="仿宋" w:hAnsi="仿宋" w:eastAsia="仿宋"/>
          <w:bCs/>
          <w:sz w:val="24"/>
        </w:rPr>
        <w:t>；</w:t>
      </w:r>
    </w:p>
    <w:p>
      <w:pPr>
        <w:spacing w:line="500" w:lineRule="exact"/>
        <w:ind w:firstLine="480" w:firstLineChars="200"/>
        <w:rPr>
          <w:rFonts w:ascii="仿宋" w:hAnsi="仿宋" w:eastAsia="仿宋"/>
          <w:bCs/>
          <w:sz w:val="24"/>
          <w:u w:val="single"/>
        </w:rPr>
      </w:pPr>
      <w:r>
        <w:rPr>
          <w:rFonts w:ascii="仿宋" w:hAnsi="仿宋" w:eastAsia="仿宋"/>
          <w:bCs/>
          <w:sz w:val="24"/>
        </w:rPr>
        <w:t>联系人：</w:t>
      </w:r>
      <w:r>
        <w:rPr>
          <w:rFonts w:ascii="仿宋" w:hAnsi="仿宋" w:eastAsia="仿宋"/>
          <w:bCs/>
          <w:sz w:val="24"/>
          <w:u w:val="single"/>
        </w:rPr>
        <w:t>　　　　　　　　　　　　　　　　　　　</w:t>
      </w:r>
      <w:r>
        <w:rPr>
          <w:rFonts w:hint="eastAsia" w:ascii="仿宋" w:hAnsi="仿宋" w:eastAsia="仿宋"/>
          <w:bCs/>
          <w:sz w:val="24"/>
        </w:rPr>
        <w:t>；</w:t>
      </w:r>
    </w:p>
    <w:p>
      <w:pPr>
        <w:spacing w:line="500" w:lineRule="exact"/>
        <w:ind w:firstLine="480" w:firstLineChars="200"/>
        <w:rPr>
          <w:rFonts w:ascii="仿宋" w:hAnsi="仿宋" w:eastAsia="仿宋"/>
          <w:bCs/>
          <w:sz w:val="24"/>
        </w:rPr>
      </w:pPr>
      <w:r>
        <w:rPr>
          <w:rFonts w:ascii="仿宋" w:hAnsi="仿宋" w:eastAsia="仿宋"/>
          <w:bCs/>
          <w:sz w:val="24"/>
        </w:rPr>
        <w:t>联系电话：</w:t>
      </w:r>
      <w:r>
        <w:rPr>
          <w:rFonts w:ascii="仿宋" w:hAnsi="仿宋" w:eastAsia="仿宋"/>
          <w:bCs/>
          <w:sz w:val="24"/>
          <w:u w:val="single"/>
        </w:rPr>
        <w:t>　　　　　　　　　　　　　　　　　　</w:t>
      </w:r>
      <w:r>
        <w:rPr>
          <w:rFonts w:hint="eastAsia" w:ascii="仿宋" w:hAnsi="仿宋" w:eastAsia="仿宋"/>
          <w:bCs/>
          <w:sz w:val="24"/>
        </w:rPr>
        <w:t>。</w:t>
      </w:r>
    </w:p>
    <w:p>
      <w:pPr>
        <w:spacing w:line="500" w:lineRule="exact"/>
        <w:ind w:firstLine="480" w:firstLineChars="200"/>
        <w:rPr>
          <w:rFonts w:ascii="仿宋" w:hAnsi="仿宋" w:eastAsia="仿宋"/>
          <w:bCs/>
          <w:sz w:val="24"/>
        </w:rPr>
      </w:pPr>
      <w:r>
        <w:rPr>
          <w:rFonts w:ascii="仿宋" w:hAnsi="仿宋" w:eastAsia="仿宋"/>
          <w:bCs/>
          <w:sz w:val="24"/>
        </w:rPr>
        <w:t>如乙方上述账户信息发生变更，乙方应提前向甲方发送书面通知，未能提前书面通知而产生的不利后果由乙方自行承担。</w:t>
      </w:r>
    </w:p>
    <w:p>
      <w:pPr>
        <w:spacing w:line="500" w:lineRule="exact"/>
        <w:ind w:firstLine="480" w:firstLineChars="200"/>
        <w:rPr>
          <w:rFonts w:ascii="仿宋" w:hAnsi="仿宋" w:eastAsia="仿宋"/>
          <w:bCs/>
          <w:sz w:val="24"/>
        </w:rPr>
      </w:pPr>
      <w:r>
        <w:rPr>
          <w:rFonts w:ascii="仿宋" w:hAnsi="仿宋" w:eastAsia="仿宋"/>
          <w:bCs/>
          <w:sz w:val="24"/>
        </w:rPr>
        <w:t>4</w:t>
      </w:r>
      <w:r>
        <w:rPr>
          <w:rFonts w:ascii="仿宋" w:hAnsi="仿宋" w:eastAsia="仿宋"/>
          <w:bCs/>
          <w:sz w:val="24"/>
          <w:lang w:val="en"/>
        </w:rPr>
        <w:t>.</w:t>
      </w:r>
      <w:r>
        <w:rPr>
          <w:rFonts w:ascii="仿宋" w:hAnsi="仿宋" w:eastAsia="仿宋"/>
          <w:bCs/>
          <w:sz w:val="24"/>
        </w:rPr>
        <w:t>甲方在支付每笔款项前，乙方应当提供可供政府审计并且符合税务规定的正式发票，否则甲方有权拒付相应款项直至乙方能提供符合规定的发票为止。</w:t>
      </w:r>
    </w:p>
    <w:p>
      <w:pPr>
        <w:spacing w:line="500" w:lineRule="exact"/>
        <w:ind w:firstLine="480" w:firstLineChars="200"/>
        <w:rPr>
          <w:rFonts w:ascii="仿宋" w:hAnsi="仿宋" w:eastAsia="仿宋"/>
          <w:bCs/>
          <w:sz w:val="24"/>
        </w:rPr>
      </w:pPr>
      <w:r>
        <w:rPr>
          <w:rFonts w:ascii="仿宋" w:hAnsi="仿宋" w:eastAsia="仿宋"/>
          <w:bCs/>
          <w:sz w:val="24"/>
        </w:rPr>
        <w:t>第七条　履约保证金</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乙方提供的</w:t>
      </w:r>
      <w:r>
        <w:rPr>
          <w:rFonts w:hint="eastAsia" w:ascii="仿宋" w:hAnsi="仿宋" w:eastAsia="仿宋"/>
          <w:bCs/>
          <w:sz w:val="24"/>
        </w:rPr>
        <w:t>履约</w:t>
      </w:r>
      <w:r>
        <w:rPr>
          <w:rFonts w:ascii="仿宋" w:hAnsi="仿宋" w:eastAsia="仿宋"/>
          <w:bCs/>
          <w:sz w:val="24"/>
        </w:rPr>
        <w:t>保证金金额为：</w:t>
      </w:r>
      <w:r>
        <w:rPr>
          <w:rFonts w:ascii="仿宋" w:hAnsi="仿宋" w:eastAsia="仿宋"/>
          <w:bCs/>
          <w:sz w:val="24"/>
          <w:u w:val="single"/>
        </w:rPr>
        <w:t>　　　　　　　　　</w:t>
      </w:r>
      <w:r>
        <w:rPr>
          <w:rFonts w:ascii="仿宋" w:hAnsi="仿宋" w:eastAsia="仿宋"/>
          <w:bCs/>
          <w:sz w:val="24"/>
        </w:rPr>
        <w:t>。</w:t>
      </w:r>
    </w:p>
    <w:p>
      <w:pPr>
        <w:spacing w:line="500" w:lineRule="exact"/>
        <w:ind w:firstLine="480" w:firstLineChars="200"/>
        <w:rPr>
          <w:rFonts w:ascii="仿宋" w:hAnsi="仿宋" w:eastAsia="仿宋"/>
          <w:bCs/>
          <w:sz w:val="24"/>
        </w:rPr>
      </w:pPr>
      <w:r>
        <w:rPr>
          <w:rFonts w:ascii="仿宋" w:hAnsi="仿宋" w:eastAsia="仿宋"/>
          <w:bCs/>
          <w:sz w:val="24"/>
        </w:rPr>
        <w:t>2</w:t>
      </w:r>
      <w:r>
        <w:rPr>
          <w:rFonts w:ascii="仿宋" w:hAnsi="仿宋" w:eastAsia="仿宋"/>
          <w:bCs/>
          <w:sz w:val="24"/>
          <w:lang w:val="en"/>
        </w:rPr>
        <w:t>.</w:t>
      </w:r>
      <w:r>
        <w:rPr>
          <w:rFonts w:ascii="仿宋" w:hAnsi="仿宋" w:eastAsia="仿宋"/>
          <w:bCs/>
          <w:sz w:val="24"/>
        </w:rPr>
        <w:t>履约保证金递交方式：支票、汇票、本票或者金融、担保机构出具的保函等非现金方式。</w:t>
      </w:r>
    </w:p>
    <w:p>
      <w:pPr>
        <w:spacing w:line="500" w:lineRule="exact"/>
        <w:ind w:firstLine="480" w:firstLineChars="200"/>
        <w:rPr>
          <w:rFonts w:ascii="仿宋" w:hAnsi="仿宋" w:eastAsia="仿宋"/>
          <w:bCs/>
          <w:sz w:val="24"/>
        </w:rPr>
      </w:pPr>
      <w:r>
        <w:rPr>
          <w:rFonts w:ascii="仿宋" w:hAnsi="仿宋" w:eastAsia="仿宋"/>
          <w:bCs/>
          <w:sz w:val="24"/>
        </w:rPr>
        <w:t>3</w:t>
      </w:r>
      <w:r>
        <w:rPr>
          <w:rFonts w:ascii="仿宋" w:hAnsi="仿宋" w:eastAsia="仿宋"/>
          <w:bCs/>
          <w:sz w:val="24"/>
          <w:lang w:val="en"/>
        </w:rPr>
        <w:t>.</w:t>
      </w:r>
      <w:r>
        <w:rPr>
          <w:rFonts w:ascii="仿宋" w:hAnsi="仿宋" w:eastAsia="仿宋"/>
          <w:bCs/>
          <w:sz w:val="24"/>
        </w:rPr>
        <w:t>履约保证金退付方式、时间及条件：由乙方向甲方提供《广西壮族自治区政府采购项目合同验收书》及《政府采购项目履约保证金退付意见书》，甲方在收到合格材料后五个工作日内办理退还手续（不计利息）。</w:t>
      </w:r>
    </w:p>
    <w:p>
      <w:pPr>
        <w:spacing w:line="500" w:lineRule="exact"/>
        <w:ind w:firstLine="480" w:firstLineChars="200"/>
        <w:rPr>
          <w:rFonts w:ascii="仿宋" w:hAnsi="仿宋" w:eastAsia="仿宋"/>
          <w:bCs/>
          <w:sz w:val="24"/>
        </w:rPr>
      </w:pPr>
      <w:r>
        <w:rPr>
          <w:rFonts w:ascii="仿宋" w:hAnsi="仿宋" w:eastAsia="仿宋"/>
          <w:bCs/>
          <w:sz w:val="24"/>
        </w:rPr>
        <w:t>第八条　税费</w:t>
      </w:r>
    </w:p>
    <w:p>
      <w:pPr>
        <w:spacing w:line="500" w:lineRule="exact"/>
        <w:ind w:firstLine="480" w:firstLineChars="200"/>
        <w:rPr>
          <w:rFonts w:ascii="仿宋" w:hAnsi="仿宋" w:eastAsia="仿宋"/>
          <w:bCs/>
          <w:sz w:val="24"/>
        </w:rPr>
      </w:pPr>
      <w:r>
        <w:rPr>
          <w:rFonts w:ascii="仿宋" w:hAnsi="仿宋" w:eastAsia="仿宋"/>
          <w:bCs/>
          <w:sz w:val="24"/>
        </w:rPr>
        <w:t>合同执行中相关的一切税费均由乙方负担。</w:t>
      </w:r>
    </w:p>
    <w:p>
      <w:pPr>
        <w:spacing w:line="500" w:lineRule="exact"/>
        <w:ind w:firstLine="480" w:firstLineChars="200"/>
        <w:rPr>
          <w:rFonts w:ascii="仿宋" w:hAnsi="仿宋" w:eastAsia="仿宋"/>
          <w:bCs/>
          <w:sz w:val="24"/>
        </w:rPr>
      </w:pPr>
      <w:r>
        <w:rPr>
          <w:rFonts w:ascii="仿宋" w:hAnsi="仿宋" w:eastAsia="仿宋"/>
          <w:bCs/>
          <w:sz w:val="24"/>
        </w:rPr>
        <w:t>第九条　违约责任</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乙方没有按照合同、招标文件、投标文件规定的时间或期限提供服务的，每逾期一日，应按合同合计金额的3</w:t>
      </w:r>
      <w:r>
        <w:rPr>
          <w:rFonts w:hint="eastAsia" w:ascii="仿宋" w:hAnsi="仿宋" w:eastAsia="仿宋"/>
          <w:bCs/>
          <w:sz w:val="24"/>
        </w:rPr>
        <w:t>‰</w:t>
      </w:r>
      <w:r>
        <w:rPr>
          <w:rFonts w:ascii="仿宋" w:hAnsi="仿宋" w:eastAsia="仿宋"/>
          <w:bCs/>
          <w:sz w:val="24"/>
        </w:rPr>
        <w:t>向甲方支付逾期提供服务的违约金；逾期超过十日的，甲方有权单方解除合同，并要求乙方退还已收取的款项，同时乙方应按照合同合计金额的</w:t>
      </w:r>
      <w:r>
        <w:rPr>
          <w:rFonts w:hint="eastAsia" w:ascii="仿宋" w:hAnsi="仿宋" w:eastAsia="仿宋"/>
          <w:bCs/>
          <w:sz w:val="24"/>
        </w:rPr>
        <w:t>10</w:t>
      </w:r>
      <w:r>
        <w:rPr>
          <w:rFonts w:ascii="仿宋" w:hAnsi="仿宋" w:eastAsia="仿宋"/>
          <w:bCs/>
          <w:sz w:val="24"/>
        </w:rPr>
        <w:t>%向甲方支付违约金并承担因此给甲方造成的经济损失。</w:t>
      </w:r>
    </w:p>
    <w:p>
      <w:pPr>
        <w:spacing w:line="500" w:lineRule="exact"/>
        <w:ind w:firstLine="480" w:firstLineChars="200"/>
        <w:rPr>
          <w:rFonts w:ascii="仿宋" w:hAnsi="仿宋" w:eastAsia="仿宋"/>
          <w:bCs/>
          <w:sz w:val="24"/>
        </w:rPr>
      </w:pPr>
      <w:r>
        <w:rPr>
          <w:rFonts w:ascii="仿宋" w:hAnsi="仿宋" w:eastAsia="仿宋"/>
          <w:bCs/>
          <w:sz w:val="24"/>
        </w:rPr>
        <w:t>2</w:t>
      </w:r>
      <w:r>
        <w:rPr>
          <w:rFonts w:ascii="仿宋" w:hAnsi="仿宋" w:eastAsia="仿宋"/>
          <w:bCs/>
          <w:sz w:val="24"/>
          <w:lang w:val="en"/>
        </w:rPr>
        <w:t>.</w:t>
      </w:r>
      <w:r>
        <w:rPr>
          <w:rFonts w:ascii="仿宋" w:hAnsi="仿宋" w:eastAsia="仿宋"/>
          <w:bCs/>
          <w:sz w:val="24"/>
        </w:rPr>
        <w:t>乙方所提供的服务、服务质量、服务内容等不符合合同、招标文件、投标文件规定的要求的，应按甲方的要求、在甲方指定的期限内予以更换或改进，未在甲方指定的期限内更换或改进的，按乙方逾期提供服务承担违约责任。</w:t>
      </w:r>
    </w:p>
    <w:p>
      <w:pPr>
        <w:spacing w:line="500" w:lineRule="exact"/>
        <w:ind w:firstLine="480" w:firstLineChars="200"/>
        <w:rPr>
          <w:rFonts w:ascii="仿宋" w:hAnsi="仿宋" w:eastAsia="仿宋"/>
          <w:bCs/>
          <w:sz w:val="24"/>
        </w:rPr>
      </w:pPr>
      <w:r>
        <w:rPr>
          <w:rFonts w:ascii="仿宋" w:hAnsi="仿宋" w:eastAsia="仿宋"/>
          <w:bCs/>
          <w:sz w:val="24"/>
        </w:rPr>
        <w:t>3</w:t>
      </w:r>
      <w:r>
        <w:rPr>
          <w:rFonts w:ascii="仿宋" w:hAnsi="仿宋" w:eastAsia="仿宋"/>
          <w:bCs/>
          <w:sz w:val="24"/>
          <w:lang w:val="en"/>
        </w:rPr>
        <w:t>.</w:t>
      </w:r>
      <w:r>
        <w:rPr>
          <w:rFonts w:ascii="仿宋" w:hAnsi="仿宋" w:eastAsia="仿宋"/>
          <w:bCs/>
          <w:sz w:val="24"/>
        </w:rPr>
        <w:t>乙方提供的服务如侵犯了第三方合法权益而引发的任何纠纷或者诉讼，均由乙方负责交涉并承担全部责任，如甲方为解决纠纷矛盾先期支付了费用的，乙方应当自收到甲方要求偿还费用的函之日起五日内向甲方偿还完毕。</w:t>
      </w:r>
    </w:p>
    <w:p>
      <w:pPr>
        <w:spacing w:line="500" w:lineRule="exact"/>
        <w:ind w:firstLine="480" w:firstLineChars="200"/>
        <w:rPr>
          <w:rFonts w:ascii="仿宋" w:hAnsi="仿宋" w:eastAsia="仿宋"/>
          <w:bCs/>
          <w:sz w:val="24"/>
        </w:rPr>
      </w:pPr>
      <w:r>
        <w:rPr>
          <w:rFonts w:ascii="仿宋" w:hAnsi="仿宋" w:eastAsia="仿宋"/>
          <w:bCs/>
          <w:sz w:val="24"/>
        </w:rPr>
        <w:t>4</w:t>
      </w:r>
      <w:r>
        <w:rPr>
          <w:rFonts w:ascii="仿宋" w:hAnsi="仿宋" w:eastAsia="仿宋"/>
          <w:bCs/>
          <w:sz w:val="24"/>
          <w:lang w:val="en"/>
        </w:rPr>
        <w:t>.</w:t>
      </w:r>
      <w:r>
        <w:rPr>
          <w:rFonts w:ascii="仿宋" w:hAnsi="仿宋" w:eastAsia="仿宋"/>
          <w:bCs/>
          <w:sz w:val="24"/>
        </w:rPr>
        <w:t>乙方因履行合同所发生的其他违约行为，每违约一次，应按合同合计金额的</w:t>
      </w:r>
      <w:r>
        <w:rPr>
          <w:rFonts w:hint="eastAsia" w:ascii="仿宋" w:hAnsi="仿宋" w:eastAsia="仿宋"/>
          <w:bCs/>
          <w:sz w:val="24"/>
        </w:rPr>
        <w:t>5</w:t>
      </w:r>
      <w:r>
        <w:rPr>
          <w:rFonts w:ascii="仿宋" w:hAnsi="仿宋" w:eastAsia="仿宋"/>
          <w:bCs/>
          <w:sz w:val="24"/>
        </w:rPr>
        <w:t>%向甲方支付违约金，并赔偿甲方因此所造成全部损失。</w:t>
      </w:r>
    </w:p>
    <w:p>
      <w:pPr>
        <w:spacing w:line="500" w:lineRule="exact"/>
        <w:ind w:firstLine="480" w:firstLineChars="200"/>
        <w:rPr>
          <w:rFonts w:ascii="仿宋" w:hAnsi="仿宋" w:eastAsia="仿宋"/>
          <w:bCs/>
          <w:sz w:val="24"/>
        </w:rPr>
      </w:pPr>
      <w:r>
        <w:rPr>
          <w:rFonts w:ascii="仿宋" w:hAnsi="仿宋" w:eastAsia="仿宋"/>
          <w:bCs/>
          <w:sz w:val="24"/>
        </w:rPr>
        <w:t>5</w:t>
      </w:r>
      <w:r>
        <w:rPr>
          <w:rFonts w:ascii="仿宋" w:hAnsi="仿宋" w:eastAsia="仿宋"/>
          <w:bCs/>
          <w:sz w:val="24"/>
          <w:lang w:val="en"/>
        </w:rPr>
        <w:t>.</w:t>
      </w:r>
      <w:r>
        <w:rPr>
          <w:rFonts w:ascii="仿宋" w:hAnsi="仿宋" w:eastAsia="仿宋"/>
          <w:bCs/>
          <w:sz w:val="24"/>
        </w:rPr>
        <w:t>乙方支付的违约金不足以弥补甲方损失的，应承担赔偿责任，甲方有权继续向乙方追偿。乙方应支付给甲方的任何款项，甲方有权从任何应支付未支付给乙方的款项中直接抵扣。</w:t>
      </w:r>
    </w:p>
    <w:p>
      <w:pPr>
        <w:spacing w:line="500" w:lineRule="exact"/>
        <w:ind w:firstLine="480" w:firstLineChars="200"/>
        <w:rPr>
          <w:rFonts w:ascii="仿宋" w:hAnsi="仿宋" w:eastAsia="仿宋"/>
          <w:bCs/>
          <w:sz w:val="24"/>
        </w:rPr>
      </w:pPr>
      <w:r>
        <w:rPr>
          <w:rFonts w:ascii="仿宋" w:hAnsi="仿宋" w:eastAsia="仿宋"/>
          <w:bCs/>
          <w:sz w:val="24"/>
        </w:rPr>
        <w:t>6</w:t>
      </w:r>
      <w:r>
        <w:rPr>
          <w:rFonts w:ascii="仿宋" w:hAnsi="仿宋" w:eastAsia="仿宋"/>
          <w:bCs/>
          <w:sz w:val="24"/>
          <w:lang w:val="en"/>
        </w:rPr>
        <w:t>.</w:t>
      </w:r>
      <w:r>
        <w:rPr>
          <w:rFonts w:ascii="仿宋" w:hAnsi="仿宋" w:eastAsia="仿宋"/>
          <w:bCs/>
          <w:sz w:val="24"/>
        </w:rPr>
        <w:t>本合同所称的甲方经济损失或者甲方损失，包括甲方遭受的全部直接经济损失及为此支出的合理费用（包括但不限于为此支出的调查费、诉讼费、保全费、律师费、差旅费等）。</w:t>
      </w:r>
    </w:p>
    <w:p>
      <w:pPr>
        <w:spacing w:line="500" w:lineRule="exact"/>
        <w:ind w:firstLine="480" w:firstLineChars="200"/>
        <w:rPr>
          <w:rFonts w:ascii="仿宋" w:hAnsi="仿宋" w:eastAsia="仿宋"/>
          <w:bCs/>
          <w:sz w:val="24"/>
        </w:rPr>
      </w:pPr>
      <w:r>
        <w:rPr>
          <w:rFonts w:ascii="仿宋" w:hAnsi="仿宋" w:eastAsia="仿宋"/>
          <w:bCs/>
          <w:sz w:val="24"/>
        </w:rPr>
        <w:t>7</w:t>
      </w:r>
      <w:r>
        <w:rPr>
          <w:rFonts w:ascii="仿宋" w:hAnsi="仿宋" w:eastAsia="仿宋"/>
          <w:bCs/>
          <w:sz w:val="24"/>
          <w:lang w:val="en"/>
        </w:rPr>
        <w:t>.</w:t>
      </w:r>
      <w:r>
        <w:rPr>
          <w:rFonts w:ascii="仿宋" w:hAnsi="仿宋" w:eastAsia="仿宋"/>
          <w:bCs/>
          <w:sz w:val="24"/>
        </w:rPr>
        <w:t>甲方延期付款的，每天向乙方偿付延期款额3</w:t>
      </w:r>
      <w:r>
        <w:rPr>
          <w:rFonts w:hint="eastAsia" w:ascii="仿宋" w:hAnsi="仿宋" w:eastAsia="仿宋"/>
          <w:bCs/>
          <w:sz w:val="24"/>
        </w:rPr>
        <w:t>‰</w:t>
      </w:r>
      <w:r>
        <w:rPr>
          <w:rFonts w:ascii="仿宋" w:hAnsi="仿宋" w:eastAsia="仿宋"/>
          <w:bCs/>
          <w:sz w:val="24"/>
        </w:rPr>
        <w:t>的违约金，但违约金累计不得超过延期款额的5%。</w:t>
      </w:r>
    </w:p>
    <w:p>
      <w:pPr>
        <w:spacing w:line="500" w:lineRule="exact"/>
        <w:ind w:firstLine="480" w:firstLineChars="200"/>
        <w:rPr>
          <w:rFonts w:ascii="仿宋" w:hAnsi="仿宋" w:eastAsia="仿宋"/>
          <w:bCs/>
          <w:sz w:val="24"/>
        </w:rPr>
      </w:pPr>
      <w:r>
        <w:rPr>
          <w:rFonts w:ascii="仿宋" w:hAnsi="仿宋" w:eastAsia="仿宋"/>
          <w:bCs/>
          <w:sz w:val="24"/>
        </w:rPr>
        <w:t>第十条　知识产权归属</w:t>
      </w:r>
    </w:p>
    <w:p>
      <w:pPr>
        <w:spacing w:line="500" w:lineRule="exact"/>
        <w:ind w:firstLine="480" w:firstLineChars="200"/>
        <w:rPr>
          <w:rFonts w:ascii="仿宋" w:hAnsi="仿宋" w:eastAsia="仿宋"/>
          <w:bCs/>
          <w:sz w:val="24"/>
        </w:rPr>
      </w:pPr>
      <w:r>
        <w:rPr>
          <w:rFonts w:ascii="仿宋" w:hAnsi="仿宋" w:eastAsia="仿宋"/>
          <w:bCs/>
          <w:sz w:val="24"/>
        </w:rPr>
        <w:t>乙方保证，</w:t>
      </w:r>
      <w:r>
        <w:rPr>
          <w:rFonts w:hint="eastAsia" w:ascii="仿宋" w:hAnsi="仿宋" w:eastAsia="仿宋"/>
          <w:bCs/>
          <w:sz w:val="24"/>
        </w:rPr>
        <w:t>甲乙</w:t>
      </w:r>
      <w:r>
        <w:rPr>
          <w:rFonts w:ascii="仿宋" w:hAnsi="仿宋" w:eastAsia="仿宋"/>
          <w:bCs/>
          <w:sz w:val="24"/>
        </w:rPr>
        <w:t>双方在本合同执行中形成的任何成果或知识产权的所有权，归甲方所有，而且乙方应当完成甲方知识产权所有权确认所必需的全部行为、证书和文件等，并提供相应的支持和协助。</w:t>
      </w:r>
    </w:p>
    <w:p>
      <w:pPr>
        <w:spacing w:line="500" w:lineRule="exact"/>
        <w:ind w:firstLine="480" w:firstLineChars="200"/>
        <w:rPr>
          <w:rFonts w:ascii="仿宋" w:hAnsi="仿宋" w:eastAsia="仿宋"/>
          <w:bCs/>
          <w:sz w:val="24"/>
        </w:rPr>
      </w:pPr>
      <w:r>
        <w:rPr>
          <w:rFonts w:ascii="仿宋" w:hAnsi="仿宋" w:eastAsia="仿宋"/>
          <w:bCs/>
          <w:sz w:val="24"/>
        </w:rPr>
        <w:t>第十一条　保密条款</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甲乙双方都负有保守对方的单位机密或商业秘密的义务，保密范围包括但不限于技术情报、数据资料及其他公开后对对方造成影响或损失的秘密。</w:t>
      </w:r>
    </w:p>
    <w:p>
      <w:pPr>
        <w:spacing w:line="500" w:lineRule="exact"/>
        <w:ind w:firstLine="480" w:firstLineChars="200"/>
        <w:rPr>
          <w:rFonts w:ascii="仿宋" w:hAnsi="仿宋" w:eastAsia="仿宋"/>
          <w:bCs/>
          <w:sz w:val="24"/>
        </w:rPr>
      </w:pPr>
      <w:r>
        <w:rPr>
          <w:rFonts w:hint="eastAsia" w:ascii="仿宋" w:hAnsi="仿宋" w:eastAsia="仿宋"/>
          <w:bCs/>
          <w:sz w:val="24"/>
        </w:rPr>
        <w:t>2</w:t>
      </w:r>
      <w:r>
        <w:rPr>
          <w:rFonts w:ascii="仿宋" w:hAnsi="仿宋" w:eastAsia="仿宋"/>
          <w:bCs/>
          <w:sz w:val="24"/>
          <w:lang w:val="en"/>
        </w:rPr>
        <w:t>.</w:t>
      </w:r>
      <w:r>
        <w:rPr>
          <w:rFonts w:ascii="仿宋" w:hAnsi="仿宋" w:eastAsia="仿宋"/>
          <w:bCs/>
          <w:sz w:val="24"/>
        </w:rPr>
        <w:t>任何一方违反保密条款，给对方造成损失，应按对方的实际损失承担赔偿责任。</w:t>
      </w:r>
    </w:p>
    <w:p>
      <w:pPr>
        <w:spacing w:line="500" w:lineRule="exact"/>
        <w:ind w:firstLine="480" w:firstLineChars="200"/>
        <w:rPr>
          <w:rFonts w:ascii="仿宋" w:hAnsi="仿宋" w:eastAsia="仿宋"/>
          <w:bCs/>
          <w:sz w:val="24"/>
        </w:rPr>
      </w:pPr>
      <w:r>
        <w:rPr>
          <w:rFonts w:hint="eastAsia" w:ascii="仿宋" w:hAnsi="仿宋" w:eastAsia="仿宋"/>
          <w:bCs/>
          <w:sz w:val="24"/>
        </w:rPr>
        <w:t>3</w:t>
      </w:r>
      <w:r>
        <w:rPr>
          <w:rFonts w:ascii="仿宋" w:hAnsi="仿宋" w:eastAsia="仿宋"/>
          <w:bCs/>
          <w:sz w:val="24"/>
          <w:lang w:val="en"/>
        </w:rPr>
        <w:t>.</w:t>
      </w:r>
      <w:r>
        <w:rPr>
          <w:rFonts w:ascii="仿宋" w:hAnsi="仿宋" w:eastAsia="仿宋"/>
          <w:bCs/>
          <w:sz w:val="24"/>
        </w:rPr>
        <w:t>本条款不因合同的变更、解除和终止而失效。</w:t>
      </w:r>
    </w:p>
    <w:p>
      <w:pPr>
        <w:spacing w:line="500" w:lineRule="exact"/>
        <w:ind w:firstLine="480" w:firstLineChars="200"/>
        <w:rPr>
          <w:rFonts w:ascii="仿宋" w:hAnsi="仿宋" w:eastAsia="仿宋"/>
          <w:bCs/>
          <w:sz w:val="24"/>
        </w:rPr>
      </w:pPr>
      <w:r>
        <w:rPr>
          <w:rFonts w:ascii="仿宋" w:hAnsi="仿宋" w:eastAsia="仿宋"/>
          <w:bCs/>
          <w:sz w:val="24"/>
        </w:rPr>
        <w:t>第十二条　不可抗力事件处理</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在合同有效期内，任何一方因不可抗力事件导致不能履行合同，则合同履行期可延长，其延长期与不可抗力影响期相同。</w:t>
      </w:r>
    </w:p>
    <w:p>
      <w:pPr>
        <w:spacing w:line="500" w:lineRule="exact"/>
        <w:ind w:firstLine="480" w:firstLineChars="200"/>
        <w:rPr>
          <w:rFonts w:ascii="仿宋" w:hAnsi="仿宋" w:eastAsia="仿宋"/>
          <w:bCs/>
          <w:sz w:val="24"/>
        </w:rPr>
      </w:pPr>
      <w:r>
        <w:rPr>
          <w:rFonts w:ascii="仿宋" w:hAnsi="仿宋" w:eastAsia="仿宋"/>
          <w:bCs/>
          <w:sz w:val="24"/>
        </w:rPr>
        <w:t>2</w:t>
      </w:r>
      <w:r>
        <w:rPr>
          <w:rFonts w:ascii="仿宋" w:hAnsi="仿宋" w:eastAsia="仿宋"/>
          <w:bCs/>
          <w:sz w:val="24"/>
          <w:lang w:val="en"/>
        </w:rPr>
        <w:t>.</w:t>
      </w:r>
      <w:r>
        <w:rPr>
          <w:rFonts w:ascii="仿宋" w:hAnsi="仿宋" w:eastAsia="仿宋"/>
          <w:bCs/>
          <w:sz w:val="24"/>
        </w:rPr>
        <w:t>不可抗力事件发生后，应立即通知对方，并寄送有关权威机构出具的证明。</w:t>
      </w:r>
    </w:p>
    <w:p>
      <w:pPr>
        <w:spacing w:line="500" w:lineRule="exact"/>
        <w:ind w:firstLine="480" w:firstLineChars="200"/>
        <w:rPr>
          <w:rFonts w:ascii="仿宋" w:hAnsi="仿宋" w:eastAsia="仿宋"/>
          <w:bCs/>
          <w:sz w:val="24"/>
        </w:rPr>
      </w:pPr>
      <w:r>
        <w:rPr>
          <w:rFonts w:ascii="仿宋" w:hAnsi="仿宋" w:eastAsia="仿宋"/>
          <w:bCs/>
          <w:sz w:val="24"/>
        </w:rPr>
        <w:t>3</w:t>
      </w:r>
      <w:r>
        <w:rPr>
          <w:rFonts w:ascii="仿宋" w:hAnsi="仿宋" w:eastAsia="仿宋"/>
          <w:bCs/>
          <w:sz w:val="24"/>
          <w:lang w:val="en"/>
        </w:rPr>
        <w:t>.</w:t>
      </w:r>
      <w:r>
        <w:rPr>
          <w:rFonts w:ascii="仿宋" w:hAnsi="仿宋" w:eastAsia="仿宋"/>
          <w:bCs/>
          <w:sz w:val="24"/>
        </w:rPr>
        <w:t>不可抗力事件延续一百二十天以上，双方应通过友好协商，确定是否继续履行合同。</w:t>
      </w:r>
    </w:p>
    <w:p>
      <w:pPr>
        <w:spacing w:line="500" w:lineRule="exact"/>
        <w:ind w:firstLine="480" w:firstLineChars="200"/>
        <w:rPr>
          <w:rFonts w:ascii="仿宋" w:hAnsi="仿宋" w:eastAsia="仿宋"/>
          <w:bCs/>
          <w:sz w:val="24"/>
        </w:rPr>
      </w:pPr>
      <w:r>
        <w:rPr>
          <w:rFonts w:ascii="仿宋" w:hAnsi="仿宋" w:eastAsia="仿宋"/>
          <w:bCs/>
          <w:sz w:val="24"/>
        </w:rPr>
        <w:t>4</w:t>
      </w:r>
      <w:r>
        <w:rPr>
          <w:rFonts w:ascii="仿宋" w:hAnsi="仿宋" w:eastAsia="仿宋"/>
          <w:bCs/>
          <w:sz w:val="24"/>
          <w:lang w:val="en"/>
        </w:rPr>
        <w:t>.</w:t>
      </w:r>
      <w:r>
        <w:rPr>
          <w:rFonts w:ascii="仿宋" w:hAnsi="仿宋" w:eastAsia="仿宋"/>
          <w:bCs/>
          <w:sz w:val="24"/>
        </w:rPr>
        <w:t>合同履行过程中，因接受政府行政指令而无法履行的，接受政府行政指令的一方可以免除责任。</w:t>
      </w:r>
    </w:p>
    <w:p>
      <w:pPr>
        <w:spacing w:line="500" w:lineRule="exact"/>
        <w:ind w:firstLine="480" w:firstLineChars="200"/>
        <w:rPr>
          <w:rFonts w:ascii="仿宋" w:hAnsi="仿宋" w:eastAsia="仿宋"/>
          <w:bCs/>
          <w:sz w:val="24"/>
        </w:rPr>
      </w:pPr>
      <w:r>
        <w:rPr>
          <w:rFonts w:ascii="仿宋" w:hAnsi="仿宋" w:eastAsia="仿宋"/>
          <w:bCs/>
          <w:sz w:val="24"/>
        </w:rPr>
        <w:t>第十三条　合同争议解决</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因服务质量问题发生争议的，</w:t>
      </w:r>
      <w:r>
        <w:rPr>
          <w:rFonts w:hint="eastAsia" w:ascii="仿宋" w:hAnsi="仿宋" w:eastAsia="仿宋"/>
          <w:bCs/>
          <w:sz w:val="24"/>
        </w:rPr>
        <w:t>甲方</w:t>
      </w:r>
      <w:r>
        <w:rPr>
          <w:rFonts w:ascii="仿宋" w:hAnsi="仿宋" w:eastAsia="仿宋"/>
          <w:bCs/>
          <w:sz w:val="24"/>
        </w:rPr>
        <w:t>应</w:t>
      </w:r>
      <w:r>
        <w:rPr>
          <w:rFonts w:hint="eastAsia" w:ascii="仿宋" w:hAnsi="仿宋" w:eastAsia="仿宋"/>
          <w:bCs/>
          <w:sz w:val="24"/>
        </w:rPr>
        <w:t>提交具有相应资质的机构</w:t>
      </w:r>
      <w:r>
        <w:rPr>
          <w:rFonts w:ascii="仿宋" w:hAnsi="仿宋" w:eastAsia="仿宋"/>
          <w:bCs/>
          <w:sz w:val="24"/>
        </w:rPr>
        <w:t>进行鉴定。服务符合标准的，鉴定费由甲方承担；服务不符合标准的，鉴定费由乙方承担。</w:t>
      </w:r>
    </w:p>
    <w:p>
      <w:pPr>
        <w:spacing w:line="500" w:lineRule="exact"/>
        <w:ind w:firstLine="480" w:firstLineChars="200"/>
        <w:rPr>
          <w:rFonts w:ascii="仿宋" w:hAnsi="仿宋" w:eastAsia="仿宋"/>
          <w:bCs/>
          <w:sz w:val="24"/>
        </w:rPr>
      </w:pPr>
      <w:r>
        <w:rPr>
          <w:rFonts w:ascii="仿宋" w:hAnsi="仿宋" w:eastAsia="仿宋"/>
          <w:bCs/>
          <w:sz w:val="24"/>
        </w:rPr>
        <w:t>2</w:t>
      </w:r>
      <w:r>
        <w:rPr>
          <w:rFonts w:ascii="仿宋" w:hAnsi="仿宋" w:eastAsia="仿宋"/>
          <w:bCs/>
          <w:sz w:val="24"/>
          <w:lang w:val="en"/>
        </w:rPr>
        <w:t>.</w:t>
      </w:r>
      <w:r>
        <w:rPr>
          <w:rFonts w:ascii="仿宋" w:hAnsi="仿宋" w:eastAsia="仿宋"/>
          <w:bCs/>
          <w:sz w:val="24"/>
        </w:rPr>
        <w:t>因履行本合同引起的或者与本合同有关的争议，甲乙双方应首先通过友好协商解决，如果协商不能解决，可向甲方所在地有管辖权人民法院提起诉讼。</w:t>
      </w:r>
    </w:p>
    <w:p>
      <w:pPr>
        <w:spacing w:line="500" w:lineRule="exact"/>
        <w:ind w:firstLine="480" w:firstLineChars="200"/>
        <w:rPr>
          <w:rFonts w:ascii="仿宋" w:hAnsi="仿宋" w:eastAsia="仿宋"/>
          <w:bCs/>
          <w:sz w:val="24"/>
        </w:rPr>
      </w:pPr>
      <w:r>
        <w:rPr>
          <w:rFonts w:ascii="仿宋" w:hAnsi="仿宋" w:eastAsia="仿宋"/>
          <w:bCs/>
          <w:sz w:val="24"/>
        </w:rPr>
        <w:t>第十四条　合同生效及其他</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合同经甲乙双方法定代表人或者授权代表签字并加盖单位公章后生效。</w:t>
      </w:r>
    </w:p>
    <w:p>
      <w:pPr>
        <w:spacing w:line="500" w:lineRule="exact"/>
        <w:ind w:firstLine="480" w:firstLineChars="200"/>
        <w:rPr>
          <w:rFonts w:ascii="仿宋" w:hAnsi="仿宋" w:eastAsia="仿宋"/>
          <w:bCs/>
          <w:sz w:val="24"/>
        </w:rPr>
      </w:pPr>
      <w:r>
        <w:rPr>
          <w:rFonts w:ascii="仿宋" w:hAnsi="仿宋" w:eastAsia="仿宋"/>
          <w:bCs/>
          <w:sz w:val="24"/>
        </w:rPr>
        <w:t>2</w:t>
      </w:r>
      <w:r>
        <w:rPr>
          <w:rFonts w:ascii="仿宋" w:hAnsi="仿宋" w:eastAsia="仿宋"/>
          <w:bCs/>
          <w:sz w:val="24"/>
          <w:lang w:val="en"/>
        </w:rPr>
        <w:t>.</w:t>
      </w:r>
      <w:r>
        <w:rPr>
          <w:rFonts w:ascii="仿宋" w:hAnsi="仿宋" w:eastAsia="仿宋"/>
          <w:bCs/>
          <w:sz w:val="24"/>
        </w:rPr>
        <w:t>合同执行中涉及采购资金和采购内容修改或者补充的，须经政府采购监管部门审批，并签书面补充协议报政府采购监管部门备案，方可作为主合同不可分割的一部分。</w:t>
      </w:r>
    </w:p>
    <w:p>
      <w:pPr>
        <w:spacing w:line="500" w:lineRule="exact"/>
        <w:ind w:firstLine="480" w:firstLineChars="200"/>
        <w:rPr>
          <w:rFonts w:ascii="仿宋" w:hAnsi="仿宋" w:eastAsia="仿宋"/>
          <w:bCs/>
          <w:sz w:val="24"/>
        </w:rPr>
      </w:pPr>
      <w:r>
        <w:rPr>
          <w:rFonts w:ascii="仿宋" w:hAnsi="仿宋" w:eastAsia="仿宋"/>
          <w:bCs/>
          <w:sz w:val="24"/>
        </w:rPr>
        <w:t>3</w:t>
      </w:r>
      <w:r>
        <w:rPr>
          <w:rFonts w:ascii="仿宋" w:hAnsi="仿宋" w:eastAsia="仿宋"/>
          <w:bCs/>
          <w:sz w:val="24"/>
          <w:lang w:val="en"/>
        </w:rPr>
        <w:t>.</w:t>
      </w:r>
      <w:r>
        <w:rPr>
          <w:rFonts w:ascii="仿宋" w:hAnsi="仿宋" w:eastAsia="仿宋"/>
          <w:bCs/>
          <w:sz w:val="24"/>
        </w:rPr>
        <w:t>合同未尽事宜，遵照《中华人民共和国民法典》</w:t>
      </w:r>
      <w:r>
        <w:rPr>
          <w:rFonts w:hint="eastAsia" w:ascii="仿宋" w:hAnsi="仿宋" w:eastAsia="仿宋"/>
          <w:bCs/>
          <w:sz w:val="24"/>
        </w:rPr>
        <w:t>等相关法律、法规规定有关条文</w:t>
      </w:r>
      <w:r>
        <w:rPr>
          <w:rFonts w:ascii="仿宋" w:hAnsi="仿宋" w:eastAsia="仿宋"/>
          <w:bCs/>
          <w:sz w:val="24"/>
        </w:rPr>
        <w:t>执行。</w:t>
      </w:r>
    </w:p>
    <w:p>
      <w:pPr>
        <w:spacing w:line="500" w:lineRule="exact"/>
        <w:ind w:firstLine="480" w:firstLineChars="200"/>
        <w:rPr>
          <w:rFonts w:ascii="仿宋" w:hAnsi="仿宋" w:eastAsia="仿宋"/>
          <w:bCs/>
          <w:sz w:val="24"/>
        </w:rPr>
      </w:pPr>
      <w:r>
        <w:rPr>
          <w:rFonts w:ascii="仿宋" w:hAnsi="仿宋" w:eastAsia="仿宋"/>
          <w:bCs/>
          <w:sz w:val="24"/>
        </w:rPr>
        <w:t>第十五条　合同的变更、终止与转让</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除《中华人民共和国政府采购法》第五十条规定的情形外，本合同一经签订，甲乙双方不得擅自变更、中止或者终止。</w:t>
      </w:r>
    </w:p>
    <w:p>
      <w:pPr>
        <w:spacing w:line="500" w:lineRule="exact"/>
        <w:ind w:firstLine="480" w:firstLineChars="200"/>
        <w:rPr>
          <w:rFonts w:ascii="仿宋" w:hAnsi="仿宋" w:eastAsia="仿宋"/>
          <w:bCs/>
          <w:sz w:val="24"/>
        </w:rPr>
      </w:pPr>
      <w:r>
        <w:rPr>
          <w:rFonts w:ascii="仿宋" w:hAnsi="仿宋" w:eastAsia="仿宋"/>
          <w:bCs/>
          <w:sz w:val="24"/>
        </w:rPr>
        <w:t>2</w:t>
      </w:r>
      <w:r>
        <w:rPr>
          <w:rFonts w:ascii="仿宋" w:hAnsi="仿宋" w:eastAsia="仿宋"/>
          <w:bCs/>
          <w:sz w:val="24"/>
          <w:lang w:val="en"/>
        </w:rPr>
        <w:t>.</w:t>
      </w:r>
      <w:r>
        <w:rPr>
          <w:rFonts w:ascii="仿宋" w:hAnsi="仿宋" w:eastAsia="仿宋"/>
          <w:bCs/>
          <w:sz w:val="24"/>
        </w:rPr>
        <w:t>未经甲方书面同意，乙方不得擅自转让其应履行的合同义务。</w:t>
      </w:r>
    </w:p>
    <w:p>
      <w:pPr>
        <w:spacing w:line="500" w:lineRule="exact"/>
        <w:ind w:firstLine="480" w:firstLineChars="200"/>
        <w:rPr>
          <w:rFonts w:ascii="仿宋" w:hAnsi="仿宋" w:eastAsia="仿宋"/>
          <w:b/>
          <w:bCs/>
          <w:sz w:val="24"/>
        </w:rPr>
      </w:pPr>
      <w:r>
        <w:rPr>
          <w:rFonts w:ascii="仿宋" w:hAnsi="仿宋" w:eastAsia="仿宋"/>
          <w:bCs/>
          <w:sz w:val="24"/>
        </w:rPr>
        <w:t>第十六条</w:t>
      </w:r>
      <w:r>
        <w:rPr>
          <w:rFonts w:ascii="仿宋" w:hAnsi="仿宋" w:eastAsia="仿宋"/>
          <w:b/>
          <w:bCs/>
          <w:sz w:val="24"/>
        </w:rPr>
        <w:t>　</w:t>
      </w:r>
      <w:r>
        <w:rPr>
          <w:rFonts w:ascii="仿宋" w:hAnsi="仿宋" w:eastAsia="仿宋"/>
          <w:bCs/>
          <w:sz w:val="24"/>
        </w:rPr>
        <w:t>本合同与下列文件一起构成合同文件</w:t>
      </w:r>
    </w:p>
    <w:p>
      <w:pPr>
        <w:spacing w:line="500" w:lineRule="exact"/>
        <w:ind w:firstLine="480" w:firstLineChars="200"/>
        <w:rPr>
          <w:rFonts w:ascii="仿宋" w:hAnsi="仿宋" w:eastAsia="仿宋"/>
          <w:bCs/>
          <w:sz w:val="24"/>
        </w:rPr>
      </w:pPr>
      <w:r>
        <w:rPr>
          <w:rFonts w:ascii="仿宋" w:hAnsi="仿宋" w:eastAsia="仿宋"/>
          <w:bCs/>
          <w:sz w:val="24"/>
        </w:rPr>
        <w:t>1.采购文件；</w:t>
      </w:r>
    </w:p>
    <w:p>
      <w:pPr>
        <w:spacing w:line="500" w:lineRule="exact"/>
        <w:ind w:firstLine="480" w:firstLineChars="200"/>
        <w:rPr>
          <w:rFonts w:ascii="仿宋" w:hAnsi="仿宋" w:eastAsia="仿宋"/>
          <w:bCs/>
          <w:sz w:val="24"/>
        </w:rPr>
      </w:pPr>
      <w:r>
        <w:rPr>
          <w:rFonts w:ascii="仿宋" w:hAnsi="仿宋" w:eastAsia="仿宋"/>
          <w:bCs/>
          <w:sz w:val="24"/>
        </w:rPr>
        <w:t>2.乙方提供的应答文件；</w:t>
      </w:r>
    </w:p>
    <w:p>
      <w:pPr>
        <w:spacing w:line="500" w:lineRule="exact"/>
        <w:ind w:firstLine="480" w:firstLineChars="200"/>
        <w:rPr>
          <w:rFonts w:ascii="仿宋" w:hAnsi="仿宋" w:eastAsia="仿宋"/>
          <w:bCs/>
          <w:sz w:val="24"/>
        </w:rPr>
      </w:pPr>
      <w:r>
        <w:rPr>
          <w:rFonts w:ascii="仿宋" w:hAnsi="仿宋" w:eastAsia="仿宋"/>
          <w:bCs/>
          <w:sz w:val="24"/>
        </w:rPr>
        <w:t>3.磋商书；</w:t>
      </w:r>
    </w:p>
    <w:p>
      <w:pPr>
        <w:spacing w:line="500" w:lineRule="exact"/>
        <w:ind w:firstLine="480" w:firstLineChars="200"/>
        <w:rPr>
          <w:rFonts w:ascii="仿宋" w:hAnsi="仿宋" w:eastAsia="仿宋"/>
          <w:bCs/>
          <w:sz w:val="24"/>
        </w:rPr>
      </w:pPr>
      <w:r>
        <w:rPr>
          <w:rFonts w:ascii="仿宋" w:hAnsi="仿宋" w:eastAsia="仿宋"/>
          <w:bCs/>
          <w:sz w:val="24"/>
        </w:rPr>
        <w:t>4.成交通知书。</w:t>
      </w:r>
    </w:p>
    <w:p>
      <w:pPr>
        <w:spacing w:line="500" w:lineRule="exact"/>
        <w:ind w:firstLine="480" w:firstLineChars="200"/>
        <w:rPr>
          <w:rFonts w:ascii="仿宋" w:hAnsi="仿宋" w:eastAsia="仿宋"/>
          <w:bCs/>
          <w:sz w:val="24"/>
        </w:rPr>
      </w:pPr>
      <w:r>
        <w:rPr>
          <w:rFonts w:ascii="仿宋" w:hAnsi="仿宋" w:eastAsia="仿宋"/>
          <w:bCs/>
          <w:sz w:val="24"/>
        </w:rPr>
        <w:t>上述合同文件互相补充和解释。如果合同文件之间存在矛盾或者不一致之处，以本合同、上述文件的排列顺序在先者为准。</w:t>
      </w:r>
    </w:p>
    <w:p>
      <w:pPr>
        <w:spacing w:line="500" w:lineRule="exact"/>
        <w:ind w:firstLine="480" w:firstLineChars="200"/>
        <w:rPr>
          <w:rFonts w:ascii="仿宋" w:hAnsi="仿宋" w:eastAsia="仿宋"/>
          <w:bCs/>
          <w:sz w:val="24"/>
        </w:rPr>
      </w:pPr>
      <w:r>
        <w:rPr>
          <w:rFonts w:ascii="仿宋" w:hAnsi="仿宋" w:eastAsia="仿宋"/>
          <w:bCs/>
          <w:sz w:val="24"/>
        </w:rPr>
        <w:t>第十七条　其他约定事项</w:t>
      </w:r>
    </w:p>
    <w:p>
      <w:pPr>
        <w:spacing w:line="500" w:lineRule="exact"/>
        <w:ind w:firstLine="480" w:firstLineChars="200"/>
        <w:rPr>
          <w:rFonts w:ascii="仿宋" w:hAnsi="仿宋" w:eastAsia="仿宋"/>
          <w:bCs/>
          <w:sz w:val="24"/>
        </w:rPr>
      </w:pPr>
      <w:r>
        <w:rPr>
          <w:rFonts w:ascii="仿宋" w:hAnsi="仿宋" w:eastAsia="仿宋"/>
          <w:bCs/>
          <w:sz w:val="24"/>
        </w:rPr>
        <w:t>1</w:t>
      </w:r>
      <w:r>
        <w:rPr>
          <w:rFonts w:ascii="仿宋" w:hAnsi="仿宋" w:eastAsia="仿宋"/>
          <w:bCs/>
          <w:sz w:val="24"/>
          <w:lang w:val="en"/>
        </w:rPr>
        <w:t>.</w:t>
      </w:r>
      <w:r>
        <w:rPr>
          <w:rFonts w:ascii="仿宋" w:hAnsi="仿宋" w:eastAsia="仿宋"/>
          <w:bCs/>
          <w:sz w:val="24"/>
        </w:rPr>
        <w:t>本合同所有附件及相关文件均为本合同的有效组成部分，与本合同具有同等法律效力。若合同附件与本合同存在不一致的，则以本合同为准。</w:t>
      </w:r>
    </w:p>
    <w:p>
      <w:pPr>
        <w:spacing w:line="500" w:lineRule="exact"/>
        <w:ind w:firstLine="480" w:firstLineChars="200"/>
        <w:rPr>
          <w:rFonts w:ascii="仿宋" w:hAnsi="仿宋" w:eastAsia="仿宋"/>
          <w:bCs/>
          <w:sz w:val="24"/>
        </w:rPr>
      </w:pPr>
      <w:r>
        <w:rPr>
          <w:rFonts w:ascii="仿宋" w:hAnsi="仿宋" w:eastAsia="仿宋"/>
          <w:bCs/>
          <w:sz w:val="24"/>
        </w:rPr>
        <w:t>2</w:t>
      </w:r>
      <w:r>
        <w:rPr>
          <w:rFonts w:ascii="仿宋" w:hAnsi="仿宋" w:eastAsia="仿宋"/>
          <w:bCs/>
          <w:sz w:val="24"/>
          <w:lang w:val="en"/>
        </w:rPr>
        <w:t>.</w:t>
      </w:r>
      <w:r>
        <w:rPr>
          <w:rFonts w:ascii="仿宋" w:hAnsi="仿宋" w:eastAsia="仿宋"/>
          <w:bCs/>
          <w:sz w:val="24"/>
        </w:rPr>
        <w:t>在履行本合同过程中，所有经甲乙双方签署确认的文件（包括会议纪要、补充协议、往来信函、电子邮件等）即成为本合同的有效组成部分。</w:t>
      </w:r>
    </w:p>
    <w:p>
      <w:pPr>
        <w:spacing w:line="500" w:lineRule="exact"/>
        <w:ind w:firstLine="480" w:firstLineChars="200"/>
        <w:rPr>
          <w:rFonts w:ascii="仿宋" w:hAnsi="仿宋" w:eastAsia="仿宋"/>
          <w:bCs/>
          <w:sz w:val="24"/>
        </w:rPr>
      </w:pPr>
      <w:r>
        <w:rPr>
          <w:rFonts w:ascii="仿宋" w:hAnsi="仿宋" w:eastAsia="仿宋"/>
          <w:bCs/>
          <w:sz w:val="24"/>
        </w:rPr>
        <w:t>3</w:t>
      </w:r>
      <w:r>
        <w:rPr>
          <w:rFonts w:ascii="仿宋" w:hAnsi="仿宋" w:eastAsia="仿宋"/>
          <w:bCs/>
          <w:sz w:val="24"/>
          <w:lang w:val="en"/>
        </w:rPr>
        <w:t>.甲乙</w:t>
      </w:r>
      <w:r>
        <w:rPr>
          <w:rFonts w:ascii="仿宋" w:hAnsi="仿宋" w:eastAsia="仿宋"/>
          <w:bCs/>
          <w:sz w:val="24"/>
        </w:rPr>
        <w:t>双方确认，以下为各方真实有效通讯地址：</w:t>
      </w:r>
    </w:p>
    <w:p>
      <w:pPr>
        <w:spacing w:line="500" w:lineRule="exact"/>
        <w:ind w:firstLine="480" w:firstLineChars="200"/>
        <w:rPr>
          <w:rFonts w:ascii="仿宋" w:hAnsi="仿宋" w:eastAsia="仿宋"/>
          <w:bCs/>
          <w:sz w:val="24"/>
        </w:rPr>
      </w:pPr>
      <w:r>
        <w:rPr>
          <w:rFonts w:ascii="仿宋" w:hAnsi="仿宋" w:eastAsia="仿宋"/>
          <w:bCs/>
          <w:sz w:val="24"/>
        </w:rPr>
        <w:t>甲方：</w:t>
      </w:r>
      <w:r>
        <w:rPr>
          <w:rFonts w:ascii="仿宋" w:hAnsi="仿宋" w:eastAsia="仿宋"/>
          <w:bCs/>
          <w:sz w:val="24"/>
          <w:u w:val="single"/>
        </w:rPr>
        <w:t>　　　　　</w:t>
      </w:r>
      <w:r>
        <w:rPr>
          <w:rFonts w:ascii="仿宋" w:hAnsi="仿宋" w:eastAsia="仿宋"/>
          <w:bCs/>
          <w:sz w:val="24"/>
        </w:rPr>
        <w:t>，地址：</w:t>
      </w:r>
      <w:r>
        <w:rPr>
          <w:rFonts w:ascii="仿宋" w:hAnsi="仿宋" w:eastAsia="仿宋"/>
          <w:bCs/>
          <w:sz w:val="24"/>
          <w:u w:val="single"/>
        </w:rPr>
        <w:t>　　　　　　　　　　　　</w:t>
      </w:r>
      <w:r>
        <w:rPr>
          <w:rFonts w:ascii="仿宋" w:hAnsi="仿宋" w:eastAsia="仿宋"/>
          <w:bCs/>
          <w:sz w:val="24"/>
        </w:rPr>
        <w:t>，收件人：</w:t>
      </w:r>
      <w:r>
        <w:rPr>
          <w:rFonts w:ascii="仿宋" w:hAnsi="仿宋" w:eastAsia="仿宋"/>
          <w:bCs/>
          <w:sz w:val="24"/>
          <w:u w:val="single"/>
        </w:rPr>
        <w:t>　　　　　</w:t>
      </w:r>
      <w:r>
        <w:rPr>
          <w:rFonts w:ascii="仿宋" w:hAnsi="仿宋" w:eastAsia="仿宋"/>
          <w:bCs/>
          <w:sz w:val="24"/>
        </w:rPr>
        <w:t>，联系电话：</w:t>
      </w:r>
      <w:r>
        <w:rPr>
          <w:rFonts w:ascii="仿宋" w:hAnsi="仿宋" w:eastAsia="仿宋"/>
          <w:bCs/>
          <w:sz w:val="24"/>
          <w:u w:val="single"/>
        </w:rPr>
        <w:t>　　　　　　　　　　　</w:t>
      </w:r>
      <w:r>
        <w:rPr>
          <w:rFonts w:ascii="仿宋" w:hAnsi="仿宋" w:eastAsia="仿宋"/>
          <w:bCs/>
          <w:sz w:val="24"/>
        </w:rPr>
        <w:t>，电子邮箱：</w:t>
      </w:r>
      <w:r>
        <w:rPr>
          <w:rFonts w:ascii="仿宋" w:hAnsi="仿宋" w:eastAsia="仿宋"/>
          <w:bCs/>
          <w:sz w:val="24"/>
          <w:u w:val="single"/>
        </w:rPr>
        <w:t>　　　　　　　　　</w:t>
      </w:r>
      <w:r>
        <w:rPr>
          <w:rFonts w:ascii="仿宋" w:hAnsi="仿宋" w:eastAsia="仿宋"/>
          <w:bCs/>
          <w:sz w:val="24"/>
        </w:rPr>
        <w:t>。</w:t>
      </w:r>
    </w:p>
    <w:p>
      <w:pPr>
        <w:spacing w:line="500" w:lineRule="exact"/>
        <w:ind w:firstLine="480" w:firstLineChars="200"/>
        <w:rPr>
          <w:rFonts w:ascii="仿宋" w:hAnsi="仿宋" w:eastAsia="仿宋"/>
          <w:bCs/>
          <w:sz w:val="24"/>
        </w:rPr>
      </w:pPr>
      <w:r>
        <w:rPr>
          <w:rFonts w:ascii="仿宋" w:hAnsi="仿宋" w:eastAsia="仿宋"/>
          <w:bCs/>
          <w:sz w:val="24"/>
        </w:rPr>
        <w:t>乙方：</w:t>
      </w:r>
      <w:r>
        <w:rPr>
          <w:rFonts w:ascii="仿宋" w:hAnsi="仿宋" w:eastAsia="仿宋"/>
          <w:bCs/>
          <w:sz w:val="24"/>
          <w:u w:val="single"/>
        </w:rPr>
        <w:t>　　　　　</w:t>
      </w:r>
      <w:r>
        <w:rPr>
          <w:rFonts w:ascii="仿宋" w:hAnsi="仿宋" w:eastAsia="仿宋"/>
          <w:bCs/>
          <w:sz w:val="24"/>
        </w:rPr>
        <w:t>，地址：</w:t>
      </w:r>
      <w:r>
        <w:rPr>
          <w:rFonts w:ascii="仿宋" w:hAnsi="仿宋" w:eastAsia="仿宋"/>
          <w:bCs/>
          <w:sz w:val="24"/>
          <w:u w:val="single"/>
        </w:rPr>
        <w:t>　　　　　　　　　　　　</w:t>
      </w:r>
      <w:r>
        <w:rPr>
          <w:rFonts w:ascii="仿宋" w:hAnsi="仿宋" w:eastAsia="仿宋"/>
          <w:bCs/>
          <w:sz w:val="24"/>
        </w:rPr>
        <w:t>，收件人：</w:t>
      </w:r>
      <w:r>
        <w:rPr>
          <w:rFonts w:ascii="仿宋" w:hAnsi="仿宋" w:eastAsia="仿宋"/>
          <w:bCs/>
          <w:sz w:val="24"/>
          <w:u w:val="single"/>
        </w:rPr>
        <w:t>　　　　　</w:t>
      </w:r>
      <w:r>
        <w:rPr>
          <w:rFonts w:ascii="仿宋" w:hAnsi="仿宋" w:eastAsia="仿宋"/>
          <w:bCs/>
          <w:sz w:val="24"/>
        </w:rPr>
        <w:t>，联系电话：</w:t>
      </w:r>
      <w:r>
        <w:rPr>
          <w:rFonts w:ascii="仿宋" w:hAnsi="仿宋" w:eastAsia="仿宋"/>
          <w:bCs/>
          <w:sz w:val="24"/>
          <w:u w:val="single"/>
        </w:rPr>
        <w:t>　　　　　　　　　　　</w:t>
      </w:r>
      <w:r>
        <w:rPr>
          <w:rFonts w:ascii="仿宋" w:hAnsi="仿宋" w:eastAsia="仿宋"/>
          <w:bCs/>
          <w:sz w:val="24"/>
        </w:rPr>
        <w:t>，电子邮箱：</w:t>
      </w:r>
      <w:r>
        <w:rPr>
          <w:rFonts w:ascii="仿宋" w:hAnsi="仿宋" w:eastAsia="仿宋"/>
          <w:bCs/>
          <w:sz w:val="24"/>
          <w:u w:val="single"/>
        </w:rPr>
        <w:t>　　　　　　　　　</w:t>
      </w:r>
      <w:r>
        <w:rPr>
          <w:rFonts w:ascii="仿宋" w:hAnsi="仿宋" w:eastAsia="仿宋"/>
          <w:bCs/>
          <w:sz w:val="24"/>
        </w:rPr>
        <w:t>。</w:t>
      </w:r>
    </w:p>
    <w:p>
      <w:pPr>
        <w:spacing w:line="500" w:lineRule="exact"/>
        <w:ind w:firstLine="480" w:firstLineChars="200"/>
        <w:rPr>
          <w:rFonts w:ascii="仿宋" w:hAnsi="仿宋" w:eastAsia="仿宋"/>
          <w:bCs/>
          <w:sz w:val="24"/>
        </w:rPr>
      </w:pPr>
      <w:r>
        <w:rPr>
          <w:rFonts w:ascii="仿宋" w:hAnsi="仿宋" w:eastAsia="仿宋"/>
          <w:bCs/>
          <w:sz w:val="24"/>
        </w:rPr>
        <w:t>一方向对方发出的任何通知、信函和文件，以挂号信函或快递信函方式向对方地址邮寄有关通知、信函和文件的，自发出之日起第三日视为送达对方，挂号信函或快递信函的邮寄凭证即视为成功送达的有效凭证。一方地址变更的，应及时书面通知对方，否则上述地址仍为真实有效通讯地址。</w:t>
      </w:r>
    </w:p>
    <w:p>
      <w:pPr>
        <w:spacing w:line="500" w:lineRule="exact"/>
        <w:ind w:firstLine="480" w:firstLineChars="200"/>
        <w:rPr>
          <w:rFonts w:ascii="仿宋" w:hAnsi="仿宋" w:eastAsia="仿宋"/>
          <w:bCs/>
          <w:sz w:val="24"/>
        </w:rPr>
      </w:pPr>
      <w:r>
        <w:rPr>
          <w:rFonts w:ascii="仿宋" w:hAnsi="仿宋" w:eastAsia="仿宋"/>
          <w:bCs/>
          <w:sz w:val="24"/>
          <w:lang w:val="en"/>
        </w:rPr>
        <w:t>4.</w:t>
      </w:r>
      <w:r>
        <w:rPr>
          <w:rFonts w:ascii="仿宋" w:hAnsi="仿宋" w:eastAsia="仿宋"/>
          <w:bCs/>
          <w:sz w:val="24"/>
        </w:rPr>
        <w:t>本合同一式</w:t>
      </w:r>
      <w:r>
        <w:rPr>
          <w:rFonts w:ascii="仿宋" w:hAnsi="仿宋" w:eastAsia="仿宋"/>
          <w:bCs/>
          <w:sz w:val="24"/>
          <w:u w:val="single"/>
        </w:rPr>
        <w:t>　　</w:t>
      </w:r>
      <w:r>
        <w:rPr>
          <w:rFonts w:ascii="仿宋" w:hAnsi="仿宋" w:eastAsia="仿宋"/>
          <w:bCs/>
          <w:sz w:val="24"/>
        </w:rPr>
        <w:t>份，具有同等法律效力，政府采购监管部门、采购代理机构各一份，甲乙双方各</w:t>
      </w:r>
      <w:r>
        <w:rPr>
          <w:rFonts w:ascii="仿宋" w:hAnsi="仿宋" w:eastAsia="仿宋"/>
          <w:bCs/>
          <w:sz w:val="24"/>
          <w:u w:val="single"/>
        </w:rPr>
        <w:t>　　</w:t>
      </w:r>
      <w:r>
        <w:rPr>
          <w:rFonts w:ascii="仿宋" w:hAnsi="仿宋" w:eastAsia="仿宋"/>
          <w:bCs/>
          <w:sz w:val="24"/>
        </w:rPr>
        <w:t>份。</w:t>
      </w:r>
    </w:p>
    <w:p>
      <w:pPr>
        <w:spacing w:line="500" w:lineRule="exact"/>
        <w:ind w:firstLine="480" w:firstLineChars="200"/>
        <w:rPr>
          <w:rFonts w:ascii="仿宋" w:hAnsi="仿宋" w:eastAsia="仿宋"/>
          <w:bCs/>
          <w:sz w:val="24"/>
        </w:rPr>
      </w:pPr>
      <w:r>
        <w:rPr>
          <w:rFonts w:ascii="仿宋" w:hAnsi="仿宋" w:eastAsia="仿宋"/>
          <w:bCs/>
          <w:sz w:val="24"/>
        </w:rPr>
        <w:t>本条款不因合同的变更、解除和终止而失效。</w:t>
      </w:r>
    </w:p>
    <w:p>
      <w:pPr>
        <w:spacing w:line="500" w:lineRule="exact"/>
        <w:ind w:firstLine="480" w:firstLineChars="200"/>
        <w:rPr>
          <w:rFonts w:ascii="仿宋" w:hAnsi="仿宋" w:eastAsia="仿宋"/>
          <w:bCs/>
          <w:sz w:val="24"/>
        </w:rPr>
      </w:pPr>
      <w:r>
        <w:rPr>
          <w:rFonts w:ascii="仿宋" w:hAnsi="仿宋" w:eastAsia="仿宋"/>
          <w:bCs/>
          <w:sz w:val="24"/>
        </w:rPr>
        <w:t>第十八条　合同附件</w:t>
      </w:r>
    </w:p>
    <w:p>
      <w:pPr>
        <w:spacing w:line="500" w:lineRule="exact"/>
        <w:ind w:firstLine="480" w:firstLineChars="200"/>
        <w:rPr>
          <w:rFonts w:ascii="仿宋" w:hAnsi="仿宋" w:eastAsia="仿宋"/>
          <w:bCs/>
          <w:sz w:val="24"/>
        </w:rPr>
      </w:pPr>
      <w:r>
        <w:rPr>
          <w:rFonts w:ascii="仿宋" w:hAnsi="仿宋" w:eastAsia="仿宋"/>
          <w:bCs/>
          <w:sz w:val="24"/>
        </w:rPr>
        <w:t>附件一：</w:t>
      </w:r>
    </w:p>
    <w:p>
      <w:pPr>
        <w:spacing w:line="500" w:lineRule="exact"/>
        <w:ind w:firstLine="480" w:firstLineChars="200"/>
        <w:rPr>
          <w:rFonts w:ascii="仿宋" w:hAnsi="仿宋" w:eastAsia="仿宋"/>
          <w:bCs/>
          <w:sz w:val="24"/>
        </w:rPr>
      </w:pPr>
      <w:r>
        <w:rPr>
          <w:rFonts w:ascii="仿宋" w:hAnsi="仿宋" w:eastAsia="仿宋"/>
          <w:bCs/>
          <w:sz w:val="24"/>
        </w:rPr>
        <w:t>附件二：</w:t>
      </w:r>
    </w:p>
    <w:p>
      <w:pPr>
        <w:spacing w:line="500" w:lineRule="exact"/>
        <w:ind w:firstLine="480" w:firstLineChars="200"/>
        <w:rPr>
          <w:rFonts w:ascii="仿宋" w:hAnsi="仿宋" w:eastAsia="仿宋"/>
          <w:bCs/>
          <w:sz w:val="24"/>
        </w:rPr>
      </w:pPr>
    </w:p>
    <w:p>
      <w:pPr>
        <w:spacing w:line="500" w:lineRule="exact"/>
        <w:ind w:firstLine="482" w:firstLineChars="200"/>
        <w:rPr>
          <w:rFonts w:ascii="仿宋" w:hAnsi="仿宋" w:eastAsia="仿宋"/>
          <w:b/>
          <w:bCs/>
          <w:sz w:val="24"/>
        </w:rPr>
      </w:pPr>
      <w:r>
        <w:rPr>
          <w:rFonts w:ascii="仿宋" w:hAnsi="仿宋" w:eastAsia="仿宋"/>
          <w:b/>
          <w:bCs/>
          <w:sz w:val="24"/>
        </w:rPr>
        <w:t>甲方：                             乙方：</w:t>
      </w:r>
    </w:p>
    <w:p>
      <w:pPr>
        <w:spacing w:line="500" w:lineRule="exact"/>
        <w:ind w:firstLine="482" w:firstLineChars="200"/>
        <w:rPr>
          <w:rFonts w:ascii="仿宋" w:hAnsi="仿宋" w:eastAsia="仿宋"/>
          <w:b/>
          <w:bCs/>
          <w:sz w:val="24"/>
        </w:rPr>
      </w:pPr>
    </w:p>
    <w:p>
      <w:pPr>
        <w:spacing w:line="500" w:lineRule="exact"/>
        <w:ind w:firstLine="482" w:firstLineChars="200"/>
        <w:rPr>
          <w:rFonts w:ascii="仿宋" w:hAnsi="仿宋" w:eastAsia="仿宋"/>
          <w:b/>
          <w:bCs/>
          <w:sz w:val="24"/>
        </w:rPr>
      </w:pPr>
      <w:r>
        <w:rPr>
          <w:rFonts w:ascii="仿宋" w:hAnsi="仿宋" w:eastAsia="仿宋"/>
          <w:b/>
          <w:bCs/>
          <w:sz w:val="24"/>
        </w:rPr>
        <w:t>法定代表人（负责人）：             法定代表人（负责人）：</w:t>
      </w:r>
    </w:p>
    <w:p>
      <w:pPr>
        <w:spacing w:line="500" w:lineRule="exact"/>
        <w:ind w:firstLine="482" w:firstLineChars="200"/>
        <w:rPr>
          <w:rFonts w:ascii="仿宋" w:hAnsi="仿宋" w:eastAsia="仿宋"/>
          <w:b/>
          <w:bCs/>
          <w:sz w:val="24"/>
        </w:rPr>
      </w:pPr>
    </w:p>
    <w:p>
      <w:pPr>
        <w:spacing w:line="500" w:lineRule="exact"/>
        <w:ind w:firstLine="482" w:firstLineChars="200"/>
        <w:rPr>
          <w:rFonts w:ascii="仿宋" w:hAnsi="仿宋" w:eastAsia="仿宋"/>
          <w:b/>
          <w:bCs/>
          <w:sz w:val="24"/>
        </w:rPr>
      </w:pPr>
      <w:r>
        <w:rPr>
          <w:rFonts w:ascii="仿宋" w:hAnsi="仿宋" w:eastAsia="仿宋"/>
          <w:b/>
          <w:bCs/>
          <w:sz w:val="24"/>
        </w:rPr>
        <w:t>授权代表：                       授权代表：</w:t>
      </w:r>
    </w:p>
    <w:p>
      <w:pPr>
        <w:spacing w:line="500" w:lineRule="exact"/>
        <w:ind w:firstLine="482" w:firstLineChars="200"/>
        <w:rPr>
          <w:rFonts w:ascii="仿宋" w:hAnsi="仿宋" w:eastAsia="仿宋"/>
          <w:b/>
          <w:bCs/>
          <w:sz w:val="24"/>
        </w:rPr>
      </w:pPr>
    </w:p>
    <w:p>
      <w:pPr>
        <w:spacing w:line="500" w:lineRule="exact"/>
        <w:ind w:firstLine="482" w:firstLineChars="200"/>
        <w:rPr>
          <w:rFonts w:eastAsia="仿宋"/>
          <w:b/>
          <w:bCs/>
          <w:sz w:val="24"/>
        </w:rPr>
      </w:pPr>
      <w:r>
        <w:rPr>
          <w:rFonts w:ascii="仿宋" w:hAnsi="仿宋" w:eastAsia="仿宋"/>
          <w:b/>
          <w:bCs/>
          <w:sz w:val="24"/>
        </w:rPr>
        <w:t>年  月  日                        年  月  日</w:t>
      </w:r>
    </w:p>
    <w:p>
      <w:pPr>
        <w:spacing w:line="360" w:lineRule="exact"/>
        <w:rPr>
          <w:rFonts w:hint="eastAsia" w:ascii="宋体" w:hAnsi="宋体" w:cs="宋体"/>
          <w:kern w:val="1"/>
          <w:szCs w:val="21"/>
        </w:rPr>
      </w:pPr>
    </w:p>
    <w:p>
      <w:pPr>
        <w:pageBreakBefore/>
        <w:jc w:val="left"/>
        <w:rPr>
          <w:rFonts w:ascii="黑体" w:hAnsi="黑体" w:eastAsia="黑体" w:cs="黑体"/>
          <w:bCs/>
        </w:rPr>
      </w:pPr>
      <w:r>
        <w:rPr>
          <w:rFonts w:hint="eastAsia" w:hAnsi="宋体" w:cs="宋体"/>
          <w:b/>
        </w:rPr>
        <w:br w:type="page"/>
      </w:r>
      <w:r>
        <w:rPr>
          <w:rFonts w:hint="eastAsia" w:ascii="黑体" w:hAnsi="黑体" w:eastAsia="黑体" w:cs="黑体"/>
          <w:bCs/>
        </w:rPr>
        <w:t>附件一</w:t>
      </w:r>
    </w:p>
    <w:p>
      <w:pPr>
        <w:keepNext/>
        <w:adjustRightInd w:val="0"/>
        <w:snapToGrid w:val="0"/>
        <w:spacing w:line="360" w:lineRule="auto"/>
        <w:jc w:val="center"/>
        <w:outlineLvl w:val="2"/>
        <w:rPr>
          <w:rFonts w:ascii="方正小标宋_GBK" w:hAnsi="方正小标宋_GBK" w:eastAsia="方正小标宋_GBK" w:cs="方正小标宋_GBK"/>
          <w:bCs/>
          <w:sz w:val="32"/>
        </w:rPr>
      </w:pPr>
      <w:bookmarkStart w:id="188" w:name="_Toc132707357"/>
      <w:r>
        <w:rPr>
          <w:rFonts w:hint="eastAsia" w:ascii="方正小标宋_GBK" w:hAnsi="方正小标宋_GBK" w:eastAsia="方正小标宋_GBK" w:cs="方正小标宋_GBK"/>
          <w:bCs/>
          <w:sz w:val="32"/>
        </w:rPr>
        <w:t>保密协议</w:t>
      </w:r>
      <w:bookmarkEnd w:id="188"/>
    </w:p>
    <w:p>
      <w:pPr>
        <w:adjustRightInd w:val="0"/>
        <w:snapToGrid w:val="0"/>
        <w:spacing w:line="360" w:lineRule="auto"/>
        <w:rPr>
          <w:rFonts w:eastAsia="仿宋" w:cs="宋体"/>
          <w:b/>
          <w:sz w:val="24"/>
        </w:rPr>
      </w:pPr>
      <w:r>
        <w:rPr>
          <w:rFonts w:hint="eastAsia" w:eastAsia="仿宋" w:cs="宋体"/>
          <w:b/>
          <w:sz w:val="24"/>
        </w:rPr>
        <w:t>甲方：</w:t>
      </w:r>
    </w:p>
    <w:p>
      <w:pPr>
        <w:adjustRightInd w:val="0"/>
        <w:snapToGrid w:val="0"/>
        <w:spacing w:line="360" w:lineRule="auto"/>
        <w:rPr>
          <w:rFonts w:eastAsia="仿宋" w:cs="宋体"/>
          <w:sz w:val="24"/>
        </w:rPr>
      </w:pPr>
      <w:r>
        <w:rPr>
          <w:rFonts w:hint="eastAsia" w:eastAsia="仿宋" w:cs="宋体"/>
          <w:sz w:val="24"/>
        </w:rPr>
        <w:t>负责人：</w:t>
      </w:r>
    </w:p>
    <w:p>
      <w:pPr>
        <w:adjustRightInd w:val="0"/>
        <w:snapToGrid w:val="0"/>
        <w:spacing w:line="360" w:lineRule="auto"/>
        <w:rPr>
          <w:rFonts w:eastAsia="仿宋" w:cs="宋体"/>
          <w:sz w:val="24"/>
        </w:rPr>
      </w:pPr>
      <w:r>
        <w:rPr>
          <w:rFonts w:hint="eastAsia" w:eastAsia="仿宋" w:cs="宋体"/>
          <w:sz w:val="24"/>
        </w:rPr>
        <w:t>地址：</w:t>
      </w:r>
    </w:p>
    <w:p>
      <w:pPr>
        <w:adjustRightInd w:val="0"/>
        <w:snapToGrid w:val="0"/>
        <w:spacing w:line="360" w:lineRule="auto"/>
        <w:rPr>
          <w:rFonts w:eastAsia="仿宋" w:cs="宋体"/>
          <w:b/>
          <w:sz w:val="24"/>
        </w:rPr>
      </w:pPr>
      <w:r>
        <w:rPr>
          <w:rFonts w:hint="eastAsia" w:eastAsia="仿宋" w:cs="宋体"/>
          <w:b/>
          <w:sz w:val="24"/>
        </w:rPr>
        <w:t xml:space="preserve">乙方： </w:t>
      </w:r>
    </w:p>
    <w:p>
      <w:pPr>
        <w:adjustRightInd w:val="0"/>
        <w:snapToGrid w:val="0"/>
        <w:spacing w:line="360" w:lineRule="auto"/>
        <w:rPr>
          <w:rFonts w:eastAsia="仿宋" w:cs="宋体"/>
          <w:sz w:val="24"/>
        </w:rPr>
      </w:pPr>
      <w:r>
        <w:rPr>
          <w:rFonts w:hint="eastAsia" w:eastAsia="仿宋" w:cs="宋体"/>
          <w:sz w:val="24"/>
        </w:rPr>
        <w:t xml:space="preserve">法定代表人： </w:t>
      </w:r>
    </w:p>
    <w:p>
      <w:pPr>
        <w:adjustRightInd w:val="0"/>
        <w:snapToGrid w:val="0"/>
        <w:spacing w:line="360" w:lineRule="auto"/>
        <w:rPr>
          <w:rFonts w:eastAsia="仿宋" w:cs="宋体"/>
          <w:sz w:val="24"/>
        </w:rPr>
      </w:pPr>
      <w:r>
        <w:rPr>
          <w:rFonts w:hint="eastAsia" w:eastAsia="仿宋" w:cs="宋体"/>
          <w:sz w:val="24"/>
        </w:rPr>
        <w:t xml:space="preserve">地址： </w:t>
      </w:r>
    </w:p>
    <w:p>
      <w:pPr>
        <w:adjustRightInd w:val="0"/>
        <w:snapToGrid w:val="0"/>
        <w:spacing w:line="360" w:lineRule="auto"/>
        <w:rPr>
          <w:rFonts w:eastAsia="仿宋" w:cs="宋体"/>
          <w:sz w:val="24"/>
        </w:rPr>
      </w:pPr>
      <w:r>
        <w:rPr>
          <w:rFonts w:hint="eastAsia" w:eastAsia="仿宋" w:cs="宋体"/>
          <w:sz w:val="24"/>
        </w:rPr>
        <w:t>鉴于：</w:t>
      </w:r>
    </w:p>
    <w:p>
      <w:pPr>
        <w:adjustRightInd w:val="0"/>
        <w:snapToGrid w:val="0"/>
        <w:spacing w:line="360" w:lineRule="auto"/>
        <w:ind w:firstLine="480" w:firstLineChars="200"/>
        <w:rPr>
          <w:rFonts w:eastAsia="仿宋" w:cs="宋体"/>
          <w:sz w:val="24"/>
        </w:rPr>
      </w:pPr>
      <w:r>
        <w:rPr>
          <w:rFonts w:hint="eastAsia" w:eastAsia="仿宋" w:cs="宋体"/>
          <w:sz w:val="24"/>
        </w:rPr>
        <w:t>本协议甲乙双方就双方签订的编号为的《》及其等开展业务/合作；在开展业务/合作的合过程中，预计甲方将为上述之目的向乙方披露甲方的专有信息且此等信息均被视为保密信息；因此，双方在此达成如下保密协议：</w:t>
      </w:r>
    </w:p>
    <w:p>
      <w:pPr>
        <w:tabs>
          <w:tab w:val="left" w:pos="709"/>
        </w:tabs>
        <w:adjustRightInd w:val="0"/>
        <w:snapToGrid w:val="0"/>
        <w:spacing w:line="360" w:lineRule="auto"/>
        <w:ind w:firstLine="482" w:firstLineChars="200"/>
        <w:jc w:val="left"/>
        <w:rPr>
          <w:rFonts w:eastAsia="仿宋" w:cs="宋体"/>
          <w:b/>
          <w:kern w:val="0"/>
          <w:sz w:val="24"/>
        </w:rPr>
      </w:pPr>
      <w:bookmarkStart w:id="189" w:name="_Toc132707358"/>
      <w:bookmarkStart w:id="190" w:name="_Toc1584680693"/>
      <w:r>
        <w:rPr>
          <w:rFonts w:hint="eastAsia" w:eastAsia="仿宋" w:cs="宋体"/>
          <w:b/>
          <w:kern w:val="0"/>
          <w:sz w:val="24"/>
        </w:rPr>
        <w:t>一、本协议保密信息的界定</w:t>
      </w:r>
      <w:bookmarkEnd w:id="189"/>
      <w:bookmarkEnd w:id="190"/>
    </w:p>
    <w:p>
      <w:pPr>
        <w:tabs>
          <w:tab w:val="left" w:pos="709"/>
        </w:tabs>
        <w:adjustRightInd w:val="0"/>
        <w:snapToGrid w:val="0"/>
        <w:spacing w:line="360" w:lineRule="auto"/>
        <w:ind w:firstLine="480" w:firstLineChars="200"/>
        <w:jc w:val="left"/>
        <w:rPr>
          <w:rFonts w:eastAsia="仿宋" w:cs="宋体"/>
          <w:sz w:val="24"/>
        </w:rPr>
      </w:pPr>
      <w:bookmarkStart w:id="191" w:name="_Toc132707359"/>
      <w:bookmarkStart w:id="192" w:name="_Toc1710318546"/>
      <w:r>
        <w:rPr>
          <w:rFonts w:hint="eastAsia" w:eastAsia="仿宋" w:cs="宋体"/>
          <w:kern w:val="0"/>
          <w:sz w:val="24"/>
        </w:rPr>
        <w:t>1.为本协议之目的，“保密信息”是指为实现前述业务/合作目的,甲方向乙方提供或披露的任何甲方不欲公开的机密信息，或者任何其它非公开或专有的信息、数据、设想或概念、标准，和/或其中的任何知识产权，无论该等信息或数据的载体形式、也不论披露是在本协议生效之前或之后。</w:t>
      </w:r>
      <w:r>
        <w:rPr>
          <w:rFonts w:hint="eastAsia" w:eastAsia="仿宋" w:cs="宋体"/>
          <w:sz w:val="24"/>
        </w:rPr>
        <w:t>本协议所指保密信息包括但不限于以下内容：</w:t>
      </w:r>
      <w:bookmarkEnd w:id="191"/>
      <w:bookmarkEnd w:id="192"/>
    </w:p>
    <w:p>
      <w:pPr>
        <w:tabs>
          <w:tab w:val="left" w:pos="709"/>
        </w:tabs>
        <w:adjustRightInd w:val="0"/>
        <w:snapToGrid w:val="0"/>
        <w:spacing w:line="360" w:lineRule="auto"/>
        <w:ind w:firstLine="482" w:firstLineChars="200"/>
        <w:jc w:val="left"/>
        <w:rPr>
          <w:rFonts w:eastAsia="仿宋" w:cs="宋体"/>
          <w:sz w:val="24"/>
        </w:rPr>
      </w:pPr>
      <w:bookmarkStart w:id="193" w:name="_Toc132707360"/>
      <w:bookmarkStart w:id="194" w:name="_Toc1676583173"/>
      <w:r>
        <w:rPr>
          <w:rFonts w:hint="eastAsia" w:eastAsia="仿宋" w:cs="宋体"/>
          <w:b/>
          <w:bCs/>
          <w:sz w:val="24"/>
        </w:rPr>
        <w:t>技术信息</w:t>
      </w:r>
      <w:r>
        <w:rPr>
          <w:rFonts w:hint="eastAsia" w:eastAsia="仿宋" w:cs="宋体"/>
          <w:sz w:val="24"/>
        </w:rPr>
        <w:t>：包括甲方专有的技术方案、网络组织、系统及应用软件、数据库、未公开的具有国内先进水平以上的科技成果、技术文档、商务合同、招标方案、评标结果、涉及商业秘密的业务函电等。</w:t>
      </w:r>
      <w:bookmarkEnd w:id="193"/>
      <w:bookmarkEnd w:id="194"/>
    </w:p>
    <w:p>
      <w:pPr>
        <w:tabs>
          <w:tab w:val="left" w:pos="709"/>
        </w:tabs>
        <w:adjustRightInd w:val="0"/>
        <w:snapToGrid w:val="0"/>
        <w:spacing w:line="360" w:lineRule="auto"/>
        <w:ind w:firstLine="482" w:firstLineChars="200"/>
        <w:jc w:val="left"/>
        <w:rPr>
          <w:rFonts w:eastAsia="仿宋" w:cs="宋体"/>
          <w:sz w:val="24"/>
        </w:rPr>
      </w:pPr>
      <w:bookmarkStart w:id="195" w:name="_Toc132707361"/>
      <w:bookmarkStart w:id="196" w:name="_Toc1177140318"/>
      <w:r>
        <w:rPr>
          <w:rFonts w:hint="eastAsia" w:eastAsia="仿宋" w:cs="宋体"/>
          <w:b/>
          <w:bCs/>
          <w:sz w:val="24"/>
        </w:rPr>
        <w:t>经营信息：</w:t>
      </w:r>
      <w:r>
        <w:rPr>
          <w:rFonts w:hint="eastAsia" w:eastAsia="仿宋" w:cs="宋体"/>
          <w:sz w:val="24"/>
        </w:rPr>
        <w:t>包括甲方发展战略规划、投资计划及年度计划；甲方策略、资料、重大活动计划及安排、暂不公开或不公开的对接单位、合作伙伴相关信息；甲方重要会议内容及记录、以及管理相关文件。</w:t>
      </w:r>
      <w:bookmarkEnd w:id="195"/>
      <w:bookmarkEnd w:id="196"/>
    </w:p>
    <w:p>
      <w:pPr>
        <w:tabs>
          <w:tab w:val="left" w:pos="709"/>
        </w:tabs>
        <w:adjustRightInd w:val="0"/>
        <w:snapToGrid w:val="0"/>
        <w:spacing w:line="360" w:lineRule="auto"/>
        <w:ind w:firstLine="482" w:firstLineChars="200"/>
        <w:jc w:val="left"/>
        <w:rPr>
          <w:rFonts w:eastAsia="仿宋" w:cs="宋体"/>
          <w:sz w:val="24"/>
        </w:rPr>
      </w:pPr>
      <w:bookmarkStart w:id="197" w:name="_Toc2119817172"/>
      <w:bookmarkStart w:id="198" w:name="_Toc132707362"/>
      <w:r>
        <w:rPr>
          <w:rFonts w:hint="eastAsia" w:eastAsia="仿宋" w:cs="宋体"/>
          <w:b/>
          <w:bCs/>
          <w:sz w:val="24"/>
        </w:rPr>
        <w:t>其他：</w:t>
      </w:r>
      <w:r>
        <w:rPr>
          <w:rFonts w:hint="eastAsia" w:eastAsia="仿宋" w:cs="宋体"/>
          <w:sz w:val="24"/>
        </w:rPr>
        <w:t>针对</w:t>
      </w:r>
      <w:r>
        <w:rPr>
          <w:rFonts w:hint="eastAsia" w:eastAsia="仿宋" w:cs="宋体"/>
          <w:kern w:val="0"/>
          <w:sz w:val="24"/>
        </w:rPr>
        <w:t>业务/合作</w:t>
      </w:r>
      <w:r>
        <w:rPr>
          <w:rFonts w:hint="eastAsia" w:eastAsia="仿宋" w:cs="宋体"/>
          <w:sz w:val="24"/>
        </w:rPr>
        <w:t>需要，甲方向乙方提供的所有相关资料和数据。</w:t>
      </w:r>
      <w:bookmarkEnd w:id="197"/>
      <w:bookmarkEnd w:id="198"/>
    </w:p>
    <w:p>
      <w:pPr>
        <w:adjustRightInd w:val="0"/>
        <w:snapToGrid w:val="0"/>
        <w:spacing w:line="360" w:lineRule="auto"/>
        <w:ind w:firstLine="482" w:firstLineChars="200"/>
        <w:rPr>
          <w:rFonts w:eastAsia="仿宋" w:cs="宋体"/>
          <w:sz w:val="24"/>
        </w:rPr>
      </w:pPr>
      <w:r>
        <w:rPr>
          <w:rFonts w:hint="eastAsia" w:eastAsia="仿宋" w:cs="宋体"/>
          <w:b/>
          <w:bCs/>
          <w:sz w:val="24"/>
        </w:rPr>
        <w:t>2.</w:t>
      </w:r>
      <w:r>
        <w:rPr>
          <w:rFonts w:hint="eastAsia" w:eastAsia="仿宋" w:cs="宋体"/>
          <w:sz w:val="24"/>
        </w:rPr>
        <w:t>上述保密信息的披露，包括但不限于以数据、文字、录音及记载上述内容的文档、光盘、软件、图书等有形介质体现，也可通过口头等视听方式传递。</w:t>
      </w:r>
    </w:p>
    <w:p>
      <w:pPr>
        <w:tabs>
          <w:tab w:val="left" w:pos="709"/>
        </w:tabs>
        <w:adjustRightInd w:val="0"/>
        <w:snapToGrid w:val="0"/>
        <w:spacing w:line="360" w:lineRule="auto"/>
        <w:ind w:firstLine="482" w:firstLineChars="200"/>
        <w:jc w:val="left"/>
        <w:rPr>
          <w:rFonts w:eastAsia="仿宋" w:cs="宋体"/>
          <w:b/>
          <w:sz w:val="24"/>
        </w:rPr>
      </w:pPr>
      <w:bookmarkStart w:id="199" w:name="_Toc1121355855"/>
      <w:bookmarkStart w:id="200" w:name="_Toc132707363"/>
      <w:r>
        <w:rPr>
          <w:rFonts w:hint="eastAsia" w:eastAsia="仿宋" w:cs="宋体"/>
          <w:b/>
          <w:sz w:val="24"/>
        </w:rPr>
        <w:t>二、以下信息不属于本协议所定义的保密信息，不受本协议的约束：</w:t>
      </w:r>
      <w:bookmarkEnd w:id="199"/>
      <w:bookmarkEnd w:id="200"/>
    </w:p>
    <w:p>
      <w:pPr>
        <w:widowControl/>
        <w:tabs>
          <w:tab w:val="left" w:pos="709"/>
        </w:tabs>
        <w:adjustRightInd w:val="0"/>
        <w:snapToGrid w:val="0"/>
        <w:spacing w:line="360" w:lineRule="auto"/>
        <w:ind w:firstLine="480" w:firstLineChars="200"/>
        <w:jc w:val="left"/>
        <w:rPr>
          <w:rFonts w:eastAsia="仿宋" w:cs="宋体"/>
          <w:sz w:val="24"/>
        </w:rPr>
      </w:pPr>
      <w:bookmarkStart w:id="201" w:name="_Toc132707364"/>
      <w:bookmarkStart w:id="202" w:name="_Toc1638646153"/>
      <w:r>
        <w:rPr>
          <w:rFonts w:hint="eastAsia" w:eastAsia="仿宋" w:cs="宋体"/>
          <w:sz w:val="24"/>
        </w:rPr>
        <w:t>1.乙方能够证明已处于公开状态或并不违反本协议即可获得的任何信息；</w:t>
      </w:r>
      <w:bookmarkEnd w:id="201"/>
      <w:bookmarkEnd w:id="202"/>
    </w:p>
    <w:p>
      <w:pPr>
        <w:widowControl/>
        <w:tabs>
          <w:tab w:val="left" w:pos="709"/>
        </w:tabs>
        <w:adjustRightInd w:val="0"/>
        <w:snapToGrid w:val="0"/>
        <w:spacing w:line="360" w:lineRule="auto"/>
        <w:ind w:firstLine="480" w:firstLineChars="200"/>
        <w:jc w:val="left"/>
        <w:rPr>
          <w:rFonts w:eastAsia="仿宋" w:cs="宋体"/>
          <w:kern w:val="0"/>
          <w:sz w:val="24"/>
        </w:rPr>
      </w:pPr>
      <w:bookmarkStart w:id="203" w:name="_Toc132707365"/>
      <w:bookmarkStart w:id="204" w:name="_Toc1676986016"/>
      <w:r>
        <w:rPr>
          <w:rFonts w:hint="eastAsia" w:eastAsia="仿宋" w:cs="宋体"/>
          <w:kern w:val="0"/>
          <w:sz w:val="24"/>
        </w:rPr>
        <w:t>2.书面记录能够证明从甲方收到前乙方已经掌握的信息；</w:t>
      </w:r>
      <w:bookmarkEnd w:id="203"/>
      <w:bookmarkEnd w:id="204"/>
    </w:p>
    <w:p>
      <w:pPr>
        <w:widowControl/>
        <w:tabs>
          <w:tab w:val="left" w:pos="709"/>
        </w:tabs>
        <w:adjustRightInd w:val="0"/>
        <w:snapToGrid w:val="0"/>
        <w:spacing w:line="360" w:lineRule="auto"/>
        <w:ind w:firstLine="480" w:firstLineChars="200"/>
        <w:jc w:val="left"/>
        <w:rPr>
          <w:rFonts w:eastAsia="仿宋" w:cs="宋体"/>
          <w:sz w:val="24"/>
        </w:rPr>
      </w:pPr>
      <w:bookmarkStart w:id="205" w:name="_Toc132707366"/>
      <w:bookmarkStart w:id="206" w:name="_Toc1259475693"/>
      <w:r>
        <w:rPr>
          <w:rFonts w:hint="eastAsia" w:eastAsia="仿宋" w:cs="宋体"/>
          <w:sz w:val="24"/>
        </w:rPr>
        <w:t>3.经甲方书面同意披露或许可使用的信息。</w:t>
      </w:r>
      <w:bookmarkEnd w:id="205"/>
      <w:bookmarkEnd w:id="206"/>
    </w:p>
    <w:p>
      <w:pPr>
        <w:tabs>
          <w:tab w:val="left" w:pos="709"/>
        </w:tabs>
        <w:adjustRightInd w:val="0"/>
        <w:snapToGrid w:val="0"/>
        <w:spacing w:line="360" w:lineRule="auto"/>
        <w:ind w:firstLine="482" w:firstLineChars="200"/>
        <w:jc w:val="left"/>
        <w:rPr>
          <w:rFonts w:eastAsia="仿宋" w:cs="宋体"/>
          <w:b/>
          <w:sz w:val="24"/>
        </w:rPr>
      </w:pPr>
      <w:bookmarkStart w:id="207" w:name="_Toc132707367"/>
      <w:bookmarkStart w:id="208" w:name="_Toc1364483399"/>
      <w:r>
        <w:rPr>
          <w:rFonts w:hint="eastAsia" w:eastAsia="仿宋" w:cs="宋体"/>
          <w:b/>
          <w:sz w:val="24"/>
        </w:rPr>
        <w:t>三、保密义务及具体要求</w:t>
      </w:r>
      <w:bookmarkEnd w:id="207"/>
      <w:bookmarkEnd w:id="208"/>
    </w:p>
    <w:p>
      <w:pPr>
        <w:widowControl/>
        <w:tabs>
          <w:tab w:val="left" w:pos="709"/>
        </w:tabs>
        <w:adjustRightInd w:val="0"/>
        <w:snapToGrid w:val="0"/>
        <w:spacing w:line="360" w:lineRule="auto"/>
        <w:ind w:firstLine="607" w:firstLineChars="253"/>
        <w:jc w:val="left"/>
        <w:rPr>
          <w:rFonts w:eastAsia="仿宋" w:cs="宋体"/>
          <w:sz w:val="24"/>
        </w:rPr>
      </w:pPr>
      <w:bookmarkStart w:id="209" w:name="_Toc132707368"/>
      <w:bookmarkStart w:id="210" w:name="_Toc1861507462"/>
      <w:r>
        <w:rPr>
          <w:rFonts w:hint="eastAsia" w:eastAsia="仿宋" w:cs="宋体"/>
          <w:sz w:val="24"/>
        </w:rPr>
        <w:t>1.乙方应以对待自己同等重要的保密文件一样的谨慎态度对待甲方提供的保密信息，乙方应要求其获悉保密信息的所有人员采取必要的措施对收到的保密信息进行存档和保密，避免任何其他第三方及乙方的无关人员以任何方式获得此保密信息；</w:t>
      </w:r>
      <w:bookmarkEnd w:id="209"/>
      <w:bookmarkEnd w:id="210"/>
    </w:p>
    <w:p>
      <w:pPr>
        <w:widowControl/>
        <w:tabs>
          <w:tab w:val="left" w:pos="709"/>
        </w:tabs>
        <w:adjustRightInd w:val="0"/>
        <w:snapToGrid w:val="0"/>
        <w:spacing w:line="360" w:lineRule="auto"/>
        <w:ind w:firstLine="607" w:firstLineChars="253"/>
        <w:jc w:val="left"/>
        <w:rPr>
          <w:rFonts w:eastAsia="仿宋" w:cs="宋体"/>
          <w:sz w:val="24"/>
        </w:rPr>
      </w:pPr>
      <w:bookmarkStart w:id="211" w:name="_Toc32822840"/>
      <w:bookmarkStart w:id="212" w:name="_Toc132707369"/>
      <w:r>
        <w:rPr>
          <w:rFonts w:hint="eastAsia" w:eastAsia="仿宋" w:cs="宋体"/>
          <w:sz w:val="24"/>
        </w:rPr>
        <w:t>2.乙方保证该保密信息仅用于与业务/合作有关的用途。未经甲方书面同意，乙方不得将保密信息用于业务/合作以外的任何用途、不得对保密信息进行复制、或利用保密信息进行新的研究或开发；</w:t>
      </w:r>
      <w:bookmarkEnd w:id="211"/>
      <w:bookmarkEnd w:id="212"/>
    </w:p>
    <w:p>
      <w:pPr>
        <w:widowControl/>
        <w:tabs>
          <w:tab w:val="left" w:pos="709"/>
        </w:tabs>
        <w:adjustRightInd w:val="0"/>
        <w:snapToGrid w:val="0"/>
        <w:spacing w:line="360" w:lineRule="auto"/>
        <w:ind w:firstLine="607" w:firstLineChars="253"/>
        <w:jc w:val="left"/>
        <w:rPr>
          <w:rFonts w:eastAsia="仿宋" w:cs="宋体"/>
          <w:sz w:val="24"/>
        </w:rPr>
      </w:pPr>
      <w:bookmarkStart w:id="213" w:name="_Toc132707370"/>
      <w:bookmarkStart w:id="214" w:name="_Toc1692559735"/>
      <w:r>
        <w:rPr>
          <w:rFonts w:hint="eastAsia" w:eastAsia="仿宋" w:cs="宋体"/>
          <w:sz w:val="24"/>
        </w:rPr>
        <w:t>3.乙方保证仅为与甲方业务/合作的目的向乙方确有知悉必要的雇员、董事、顾问和/或咨询人员披露保密信息，且对保密信息的披露及利用符合甲方的利益。在乙方上述人员知悉该保密信息前，应向其说明保密信息的保密性及其应承担的义务，保证上述人员同意接收本协议条款的约束，并对上述人员的保密行为进行有效的监督管理。因前述人员违背上述承诺，向第三方披露保密信息，或依据该等保密信息向第三方做出任何建议，都被视为乙方违反本协议，乙方应承担全部责任，且乙方应采取有效措施防止泄密进一步扩大，并及时告知甲方；</w:t>
      </w:r>
      <w:bookmarkEnd w:id="213"/>
      <w:bookmarkEnd w:id="214"/>
    </w:p>
    <w:p>
      <w:pPr>
        <w:widowControl/>
        <w:tabs>
          <w:tab w:val="left" w:pos="709"/>
        </w:tabs>
        <w:adjustRightInd w:val="0"/>
        <w:snapToGrid w:val="0"/>
        <w:spacing w:line="360" w:lineRule="auto"/>
        <w:ind w:firstLine="480" w:firstLineChars="200"/>
        <w:jc w:val="left"/>
        <w:rPr>
          <w:rFonts w:eastAsia="仿宋" w:cs="宋体"/>
          <w:sz w:val="24"/>
        </w:rPr>
      </w:pPr>
      <w:bookmarkStart w:id="215" w:name="_Toc915692807"/>
      <w:bookmarkStart w:id="216" w:name="_Toc132707371"/>
      <w:r>
        <w:rPr>
          <w:rFonts w:hint="eastAsia" w:eastAsia="仿宋" w:cs="宋体"/>
          <w:sz w:val="24"/>
        </w:rPr>
        <w:t>4.甲方的保密信息的部分或个别要素虽被披露成为公知信息，但该信息的其它部分或整体尚未成为公知信息的，乙方仍应按本协议约定对未公开部分的信息履行保密义务；</w:t>
      </w:r>
      <w:bookmarkEnd w:id="215"/>
      <w:bookmarkEnd w:id="216"/>
    </w:p>
    <w:p>
      <w:pPr>
        <w:widowControl/>
        <w:tabs>
          <w:tab w:val="left" w:pos="709"/>
        </w:tabs>
        <w:adjustRightInd w:val="0"/>
        <w:snapToGrid w:val="0"/>
        <w:spacing w:line="360" w:lineRule="auto"/>
        <w:ind w:firstLine="480" w:firstLineChars="200"/>
        <w:jc w:val="left"/>
        <w:rPr>
          <w:rFonts w:eastAsia="仿宋" w:cs="宋体"/>
          <w:sz w:val="24"/>
        </w:rPr>
      </w:pPr>
      <w:bookmarkStart w:id="217" w:name="_Toc132707372"/>
      <w:bookmarkStart w:id="218" w:name="_Toc1707662881"/>
      <w:r>
        <w:rPr>
          <w:rFonts w:hint="eastAsia" w:eastAsia="仿宋" w:cs="宋体"/>
          <w:sz w:val="24"/>
        </w:rPr>
        <w:t>5.对于本协议签署前、签署过程及履行等过程中，乙方所接触到的甲方及甲方关联单位的保密信息，乙方应依据本协议约定履行保密义务。</w:t>
      </w:r>
      <w:bookmarkEnd w:id="217"/>
      <w:bookmarkEnd w:id="218"/>
    </w:p>
    <w:p>
      <w:pPr>
        <w:widowControl/>
        <w:tabs>
          <w:tab w:val="left" w:pos="709"/>
        </w:tabs>
        <w:adjustRightInd w:val="0"/>
        <w:snapToGrid w:val="0"/>
        <w:spacing w:line="360" w:lineRule="auto"/>
        <w:ind w:firstLine="480" w:firstLineChars="200"/>
        <w:jc w:val="left"/>
        <w:rPr>
          <w:rFonts w:eastAsia="仿宋" w:cs="宋体"/>
          <w:sz w:val="24"/>
        </w:rPr>
      </w:pPr>
      <w:bookmarkStart w:id="219" w:name="_Toc1925938929"/>
      <w:bookmarkStart w:id="220" w:name="_Toc132707373"/>
      <w:r>
        <w:rPr>
          <w:rFonts w:hint="eastAsia" w:eastAsia="仿宋" w:cs="宋体"/>
          <w:bCs/>
          <w:sz w:val="24"/>
        </w:rPr>
        <w:t>6.</w:t>
      </w:r>
      <w:r>
        <w:rPr>
          <w:rFonts w:hint="eastAsia" w:eastAsia="仿宋" w:cs="宋体"/>
          <w:sz w:val="24"/>
        </w:rPr>
        <w:t>甲方如发现乙方存在涉及保密信息保护措施缺失、数据滥用、严重泄露等问题，甲方有权按照本协议相关条款进行处理，并且对于已产生的实际损失和不良影响，由乙方全责承担。</w:t>
      </w:r>
      <w:bookmarkEnd w:id="219"/>
      <w:bookmarkEnd w:id="220"/>
    </w:p>
    <w:p>
      <w:pPr>
        <w:tabs>
          <w:tab w:val="left" w:pos="709"/>
        </w:tabs>
        <w:adjustRightInd w:val="0"/>
        <w:snapToGrid w:val="0"/>
        <w:spacing w:line="360" w:lineRule="auto"/>
        <w:ind w:firstLine="487" w:firstLineChars="202"/>
        <w:jc w:val="left"/>
        <w:rPr>
          <w:rFonts w:eastAsia="仿宋" w:cs="宋体"/>
          <w:b/>
          <w:sz w:val="24"/>
        </w:rPr>
      </w:pPr>
      <w:bookmarkStart w:id="221" w:name="_Toc1127185982"/>
      <w:bookmarkStart w:id="222" w:name="_Toc132707374"/>
      <w:r>
        <w:rPr>
          <w:rFonts w:hint="eastAsia" w:eastAsia="仿宋" w:cs="宋体"/>
          <w:b/>
          <w:sz w:val="24"/>
        </w:rPr>
        <w:t>四、保密期限</w:t>
      </w:r>
      <w:bookmarkEnd w:id="221"/>
      <w:bookmarkEnd w:id="222"/>
    </w:p>
    <w:p>
      <w:pPr>
        <w:widowControl/>
        <w:tabs>
          <w:tab w:val="left" w:pos="0"/>
        </w:tabs>
        <w:adjustRightInd w:val="0"/>
        <w:snapToGrid w:val="0"/>
        <w:spacing w:line="360" w:lineRule="auto"/>
        <w:ind w:firstLine="480" w:firstLineChars="200"/>
        <w:jc w:val="left"/>
        <w:rPr>
          <w:rFonts w:eastAsia="仿宋" w:cs="宋体"/>
          <w:sz w:val="24"/>
        </w:rPr>
      </w:pPr>
      <w:bookmarkStart w:id="223" w:name="_Toc1266928463"/>
      <w:bookmarkStart w:id="224" w:name="_Toc132707375"/>
      <w:r>
        <w:rPr>
          <w:rFonts w:hint="eastAsia" w:eastAsia="仿宋" w:cs="宋体"/>
          <w:sz w:val="24"/>
        </w:rPr>
        <w:t>1.乙方保密的义务长期有效。无论双方业务/合作协议是否成立、届满、终止或被取代，乙方在的保密义务应持续有效，直到甲方以书面形式明确说明解除乙方此项义务，或事实上不会因违反保密义务而给甲方造成任何形式的损害时为止；</w:t>
      </w:r>
      <w:bookmarkEnd w:id="223"/>
      <w:bookmarkEnd w:id="224"/>
    </w:p>
    <w:p>
      <w:pPr>
        <w:widowControl/>
        <w:tabs>
          <w:tab w:val="left" w:pos="709"/>
        </w:tabs>
        <w:adjustRightInd w:val="0"/>
        <w:snapToGrid w:val="0"/>
        <w:spacing w:line="360" w:lineRule="auto"/>
        <w:ind w:firstLine="480" w:firstLineChars="200"/>
        <w:jc w:val="left"/>
        <w:rPr>
          <w:rFonts w:eastAsia="仿宋" w:cs="宋体"/>
          <w:sz w:val="24"/>
        </w:rPr>
      </w:pPr>
      <w:bookmarkStart w:id="225" w:name="_Toc132707376"/>
      <w:bookmarkStart w:id="226" w:name="_Toc914130467"/>
      <w:r>
        <w:rPr>
          <w:rFonts w:hint="eastAsia" w:eastAsia="仿宋" w:cs="宋体"/>
          <w:sz w:val="24"/>
        </w:rPr>
        <w:t>2.双方业务/合作终止后，乙方应及时将承载保密信息的介质原件及复制件全部返还甲方，或对复制件进行彻底销毁，或按甲方要求的其他形式处理。最迟不得超过甲方发出交还或处理通知之日起三十日。</w:t>
      </w:r>
      <w:bookmarkEnd w:id="225"/>
      <w:bookmarkEnd w:id="226"/>
    </w:p>
    <w:p>
      <w:pPr>
        <w:tabs>
          <w:tab w:val="left" w:pos="709"/>
        </w:tabs>
        <w:adjustRightInd w:val="0"/>
        <w:snapToGrid w:val="0"/>
        <w:spacing w:line="360" w:lineRule="auto"/>
        <w:ind w:firstLine="482" w:firstLineChars="200"/>
        <w:jc w:val="left"/>
        <w:rPr>
          <w:rFonts w:eastAsia="仿宋" w:cs="宋体"/>
          <w:b/>
          <w:sz w:val="24"/>
        </w:rPr>
      </w:pPr>
      <w:bookmarkStart w:id="227" w:name="_Toc512442950"/>
      <w:bookmarkStart w:id="228" w:name="_Toc132707377"/>
      <w:r>
        <w:rPr>
          <w:rFonts w:hint="eastAsia" w:eastAsia="仿宋" w:cs="宋体"/>
          <w:b/>
          <w:sz w:val="24"/>
        </w:rPr>
        <w:t>五、违约责任</w:t>
      </w:r>
      <w:bookmarkEnd w:id="227"/>
      <w:bookmarkEnd w:id="228"/>
    </w:p>
    <w:p>
      <w:pPr>
        <w:widowControl/>
        <w:adjustRightInd w:val="0"/>
        <w:snapToGrid w:val="0"/>
        <w:spacing w:line="360" w:lineRule="auto"/>
        <w:ind w:firstLine="484" w:firstLineChars="202"/>
        <w:jc w:val="left"/>
        <w:rPr>
          <w:rFonts w:eastAsia="仿宋" w:cs="宋体"/>
          <w:sz w:val="24"/>
        </w:rPr>
      </w:pPr>
      <w:r>
        <w:rPr>
          <w:rFonts w:hint="eastAsia" w:eastAsia="仿宋" w:cs="宋体"/>
          <w:sz w:val="24"/>
        </w:rPr>
        <w:t>1.如乙方有违反本协议的情形，无论故意与过失，应当立即停止侵害，并在第一时间采取一切必要措施防止保密信息的扩散，尽最大可能消除影响；</w:t>
      </w:r>
    </w:p>
    <w:p>
      <w:pPr>
        <w:widowControl/>
        <w:adjustRightInd w:val="0"/>
        <w:snapToGrid w:val="0"/>
        <w:spacing w:line="360" w:lineRule="auto"/>
        <w:ind w:firstLine="484" w:firstLineChars="202"/>
        <w:jc w:val="left"/>
        <w:rPr>
          <w:rFonts w:eastAsia="仿宋" w:cs="宋体"/>
          <w:sz w:val="24"/>
        </w:rPr>
      </w:pPr>
      <w:r>
        <w:rPr>
          <w:rFonts w:hint="eastAsia" w:eastAsia="仿宋" w:cs="宋体"/>
          <w:sz w:val="24"/>
        </w:rPr>
        <w:t>2.乙方未履行或未完全履行本协议项下的条款均构成违约，乙方应赔偿因此而给甲方造成的一切损失，包括但不限于甲方因调查违约行为、仲裁、诉讼、聘请律师、保全等而支付的合理费用和开支。</w:t>
      </w:r>
    </w:p>
    <w:p>
      <w:pPr>
        <w:adjustRightInd w:val="0"/>
        <w:snapToGrid w:val="0"/>
        <w:spacing w:line="360" w:lineRule="auto"/>
        <w:ind w:firstLine="482" w:firstLineChars="200"/>
        <w:rPr>
          <w:rFonts w:eastAsia="仿宋" w:cs="宋体"/>
          <w:b/>
          <w:sz w:val="24"/>
        </w:rPr>
      </w:pPr>
      <w:r>
        <w:rPr>
          <w:rFonts w:hint="eastAsia" w:eastAsia="仿宋" w:cs="宋体"/>
          <w:b/>
          <w:sz w:val="24"/>
        </w:rPr>
        <w:t>六、其他</w:t>
      </w:r>
    </w:p>
    <w:p>
      <w:pPr>
        <w:adjustRightInd w:val="0"/>
        <w:snapToGrid w:val="0"/>
        <w:spacing w:line="360" w:lineRule="auto"/>
        <w:ind w:firstLine="480" w:firstLineChars="200"/>
        <w:rPr>
          <w:rFonts w:eastAsia="仿宋" w:cs="宋体"/>
          <w:sz w:val="24"/>
        </w:rPr>
      </w:pPr>
      <w:r>
        <w:rPr>
          <w:rFonts w:hint="eastAsia" w:eastAsia="仿宋" w:cs="宋体"/>
          <w:sz w:val="24"/>
        </w:rPr>
        <w:t>1.本协议适用中华人民共和国法律法规的规定，凡因本协议引起的或与本协议有关的任何争议，双方可通过协商解决。协商不成则将争议提交甲方所在地有管辖权的人民法院通过诉讼方式解决。</w:t>
      </w:r>
    </w:p>
    <w:p>
      <w:pPr>
        <w:adjustRightInd w:val="0"/>
        <w:snapToGrid w:val="0"/>
        <w:spacing w:line="360" w:lineRule="auto"/>
        <w:ind w:firstLine="480" w:firstLineChars="200"/>
        <w:rPr>
          <w:rFonts w:eastAsia="仿宋" w:cs="宋体"/>
          <w:sz w:val="24"/>
        </w:rPr>
      </w:pPr>
      <w:r>
        <w:rPr>
          <w:rFonts w:hint="eastAsia" w:eastAsia="仿宋" w:cs="宋体"/>
          <w:sz w:val="24"/>
        </w:rPr>
        <w:t>2.合作过程中，甲方披露的保密信息的权属可能归属于甲方的关联公司，乙方同意该等信息的保密按本协议约定履行。本协议所指甲方关联公司为：甲方在签订本协议时或将来直接或间接控制该方、或由该方控制、或与该方共同受他方控制的任何实体。</w:t>
      </w:r>
    </w:p>
    <w:p>
      <w:pPr>
        <w:adjustRightInd w:val="0"/>
        <w:snapToGrid w:val="0"/>
        <w:spacing w:line="360" w:lineRule="auto"/>
        <w:ind w:firstLine="480" w:firstLineChars="200"/>
        <w:rPr>
          <w:rFonts w:eastAsia="仿宋" w:cs="宋体"/>
          <w:sz w:val="24"/>
        </w:rPr>
      </w:pPr>
      <w:r>
        <w:rPr>
          <w:rFonts w:hint="eastAsia" w:eastAsia="仿宋" w:cs="宋体"/>
          <w:sz w:val="24"/>
        </w:rPr>
        <w:t>3.本协议经双方法定代表人或授权代表签署后生效，一式份，甲方执份，乙方执份，协议具有同等法律效力。</w:t>
      </w:r>
    </w:p>
    <w:p>
      <w:pPr>
        <w:adjustRightInd w:val="0"/>
        <w:snapToGrid w:val="0"/>
        <w:spacing w:line="360" w:lineRule="auto"/>
        <w:ind w:firstLine="480" w:firstLineChars="200"/>
        <w:rPr>
          <w:rFonts w:eastAsia="仿宋" w:cs="宋体"/>
          <w:sz w:val="24"/>
        </w:rPr>
      </w:pPr>
      <w:r>
        <w:rPr>
          <w:rFonts w:hint="eastAsia" w:eastAsia="仿宋" w:cs="宋体"/>
          <w:sz w:val="24"/>
        </w:rPr>
        <w:t>4.本协议之条款非经双方签署书面文件不得加以修改、放弃。</w:t>
      </w:r>
    </w:p>
    <w:p>
      <w:pPr>
        <w:adjustRightInd w:val="0"/>
        <w:snapToGrid w:val="0"/>
        <w:spacing w:line="360" w:lineRule="auto"/>
        <w:ind w:firstLine="480" w:firstLineChars="200"/>
        <w:rPr>
          <w:rFonts w:eastAsia="仿宋" w:cs="宋体"/>
          <w:sz w:val="24"/>
        </w:rPr>
      </w:pPr>
      <w:r>
        <w:rPr>
          <w:rFonts w:hint="eastAsia" w:eastAsia="仿宋" w:cs="宋体"/>
          <w:sz w:val="24"/>
        </w:rPr>
        <w:t>（以下无正文）</w:t>
      </w:r>
    </w:p>
    <w:p>
      <w:pPr>
        <w:adjustRightInd w:val="0"/>
        <w:snapToGrid w:val="0"/>
        <w:spacing w:line="360" w:lineRule="auto"/>
        <w:ind w:firstLine="480" w:firstLineChars="200"/>
        <w:rPr>
          <w:rFonts w:eastAsia="仿宋" w:cs="宋体"/>
          <w:sz w:val="24"/>
        </w:rPr>
      </w:pPr>
      <w:r>
        <w:rPr>
          <w:rFonts w:hint="eastAsia" w:eastAsia="仿宋" w:cs="宋体"/>
          <w:sz w:val="24"/>
        </w:rPr>
        <w:t>甲方单位（章）                      乙方单位（章）</w:t>
      </w:r>
    </w:p>
    <w:p>
      <w:pPr>
        <w:adjustRightInd w:val="0"/>
        <w:snapToGrid w:val="0"/>
        <w:spacing w:line="360" w:lineRule="auto"/>
        <w:ind w:firstLine="480" w:firstLineChars="200"/>
        <w:rPr>
          <w:rFonts w:eastAsia="仿宋" w:cs="宋体"/>
          <w:sz w:val="24"/>
        </w:rPr>
      </w:pPr>
      <w:r>
        <w:rPr>
          <w:rFonts w:hint="eastAsia" w:eastAsia="仿宋" w:cs="宋体"/>
          <w:sz w:val="24"/>
        </w:rPr>
        <w:t>法定代表人/授权代表：               法定代表人/授权代表：</w:t>
      </w:r>
    </w:p>
    <w:p>
      <w:pPr>
        <w:adjustRightInd w:val="0"/>
        <w:snapToGrid w:val="0"/>
        <w:spacing w:line="360" w:lineRule="auto"/>
        <w:ind w:firstLine="480" w:firstLineChars="200"/>
        <w:rPr>
          <w:rFonts w:eastAsia="仿宋" w:cs="宋体"/>
          <w:sz w:val="24"/>
        </w:rPr>
      </w:pPr>
      <w:r>
        <w:rPr>
          <w:rFonts w:hint="eastAsia" w:eastAsia="仿宋" w:cs="宋体"/>
          <w:sz w:val="24"/>
        </w:rPr>
        <w:t>年     月     日                    年     月     日</w:t>
      </w:r>
    </w:p>
    <w:p>
      <w:pPr>
        <w:spacing w:line="360" w:lineRule="auto"/>
        <w:ind w:left="178" w:leftChars="85"/>
        <w:rPr>
          <w:rFonts w:eastAsia="仿宋" w:cs="宋体"/>
          <w:kern w:val="0"/>
          <w:sz w:val="20"/>
          <w:szCs w:val="21"/>
        </w:rPr>
      </w:pPr>
    </w:p>
    <w:p>
      <w:pPr>
        <w:tabs>
          <w:tab w:val="center" w:pos="4153"/>
          <w:tab w:val="right" w:pos="8306"/>
        </w:tabs>
        <w:snapToGrid w:val="0"/>
        <w:jc w:val="left"/>
        <w:rPr>
          <w:rFonts w:ascii="宋体" w:hAnsi="宋体" w:cs="宋体"/>
          <w:sz w:val="18"/>
          <w:szCs w:val="18"/>
        </w:rPr>
      </w:pPr>
    </w:p>
    <w:p>
      <w:pPr>
        <w:pageBreakBefore/>
        <w:jc w:val="left"/>
        <w:rPr>
          <w:rFonts w:ascii="黑体" w:hAnsi="黑体" w:eastAsia="黑体" w:cs="黑体"/>
          <w:bCs/>
        </w:rPr>
      </w:pPr>
      <w:r>
        <w:rPr>
          <w:rFonts w:hint="eastAsia" w:ascii="黑体" w:hAnsi="黑体" w:eastAsia="黑体" w:cs="黑体"/>
          <w:bCs/>
        </w:rPr>
        <w:t>附件二</w:t>
      </w:r>
    </w:p>
    <w:p>
      <w:pPr>
        <w:keepNext/>
        <w:adjustRightInd w:val="0"/>
        <w:snapToGrid w:val="0"/>
        <w:spacing w:line="360" w:lineRule="auto"/>
        <w:jc w:val="center"/>
        <w:outlineLvl w:val="2"/>
        <w:rPr>
          <w:rFonts w:ascii="方正小标宋_GBK" w:hAnsi="方正小标宋_GBK" w:eastAsia="方正小标宋_GBK" w:cs="方正小标宋_GBK"/>
          <w:kern w:val="0"/>
          <w:sz w:val="32"/>
          <w:szCs w:val="32"/>
        </w:rPr>
      </w:pPr>
      <w:bookmarkStart w:id="229" w:name="_Toc132707378"/>
      <w:r>
        <w:rPr>
          <w:rFonts w:hint="eastAsia" w:ascii="方正小标宋_GBK" w:hAnsi="方正小标宋_GBK" w:eastAsia="方正小标宋_GBK" w:cs="方正小标宋_GBK"/>
          <w:kern w:val="0"/>
          <w:sz w:val="32"/>
          <w:szCs w:val="32"/>
        </w:rPr>
        <w:t>采购项目合同验收书（格式）</w:t>
      </w:r>
      <w:bookmarkEnd w:id="229"/>
    </w:p>
    <w:p>
      <w:pPr>
        <w:widowControl/>
        <w:spacing w:line="360" w:lineRule="auto"/>
        <w:jc w:val="center"/>
        <w:rPr>
          <w:rFonts w:ascii="宋体" w:hAnsi="宋体" w:eastAsia="仿宋" w:cs="宋体"/>
          <w:b/>
          <w:bCs/>
          <w:kern w:val="0"/>
          <w:szCs w:val="21"/>
        </w:rPr>
      </w:pPr>
    </w:p>
    <w:p>
      <w:pPr>
        <w:widowControl/>
        <w:snapToGrid w:val="0"/>
        <w:spacing w:line="360" w:lineRule="auto"/>
        <w:jc w:val="left"/>
        <w:rPr>
          <w:rFonts w:ascii="宋体" w:hAnsi="宋体" w:eastAsia="仿宋" w:cs="宋体"/>
          <w:kern w:val="0"/>
          <w:szCs w:val="21"/>
        </w:rPr>
      </w:pPr>
      <w:r>
        <w:rPr>
          <w:rFonts w:hint="eastAsia" w:ascii="宋体" w:hAnsi="宋体" w:eastAsia="仿宋" w:cs="宋体"/>
          <w:kern w:val="0"/>
          <w:szCs w:val="21"/>
        </w:rPr>
        <w:t xml:space="preserve">    根据采购合同（采购合同编号：）的约定，我单位对采购项目中标（或成交）供应商提供的货物（或服务）进行了验收，验收情况如下：</w:t>
      </w:r>
    </w:p>
    <w:tbl>
      <w:tblPr>
        <w:tblStyle w:val="31"/>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592"/>
        <w:gridCol w:w="744"/>
        <w:gridCol w:w="1961"/>
        <w:gridCol w:w="1278"/>
        <w:gridCol w:w="1822"/>
        <w:gridCol w:w="13"/>
        <w:gridCol w:w="847"/>
        <w:gridCol w:w="893"/>
        <w:gridCol w:w="129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78" w:hRule="atLeast"/>
          <w:jc w:val="center"/>
        </w:trPr>
        <w:tc>
          <w:tcPr>
            <w:tcW w:w="592" w:type="dxa"/>
            <w:tcBorders>
              <w:top w:val="single" w:color="auto" w:sz="4" w:space="0"/>
              <w:right w:val="single" w:color="auto" w:sz="4" w:space="0"/>
            </w:tcBorders>
            <w:noWrap/>
            <w:vAlign w:val="center"/>
          </w:tcPr>
          <w:p>
            <w:pPr>
              <w:jc w:val="center"/>
              <w:rPr>
                <w:rFonts w:ascii="宋体" w:hAnsi="宋体" w:eastAsia="仿宋" w:cs="宋体"/>
                <w:szCs w:val="21"/>
              </w:rPr>
            </w:pPr>
            <w:r>
              <w:rPr>
                <w:rFonts w:hint="eastAsia" w:ascii="宋体" w:hAnsi="宋体" w:eastAsia="仿宋" w:cs="宋体"/>
                <w:szCs w:val="21"/>
              </w:rPr>
              <w:t>序号</w:t>
            </w:r>
          </w:p>
        </w:tc>
        <w:tc>
          <w:tcPr>
            <w:tcW w:w="2705" w:type="dxa"/>
            <w:gridSpan w:val="2"/>
            <w:tcBorders>
              <w:top w:val="single" w:color="auto" w:sz="4" w:space="0"/>
              <w:left w:val="single" w:color="auto" w:sz="4" w:space="0"/>
            </w:tcBorders>
            <w:noWrap/>
            <w:vAlign w:val="center"/>
          </w:tcPr>
          <w:p>
            <w:pPr>
              <w:jc w:val="center"/>
              <w:rPr>
                <w:rFonts w:ascii="宋体" w:hAnsi="宋体" w:eastAsia="仿宋" w:cs="宋体"/>
                <w:szCs w:val="21"/>
              </w:rPr>
            </w:pPr>
            <w:r>
              <w:rPr>
                <w:rFonts w:hint="eastAsia" w:ascii="宋体" w:hAnsi="宋体" w:eastAsia="仿宋" w:cs="宋体"/>
                <w:szCs w:val="21"/>
              </w:rPr>
              <w:t>名    称</w:t>
            </w:r>
          </w:p>
        </w:tc>
        <w:tc>
          <w:tcPr>
            <w:tcW w:w="3100" w:type="dxa"/>
            <w:gridSpan w:val="2"/>
            <w:noWrap/>
            <w:vAlign w:val="center"/>
          </w:tcPr>
          <w:p>
            <w:pPr>
              <w:jc w:val="center"/>
              <w:rPr>
                <w:rFonts w:ascii="宋体" w:hAnsi="宋体" w:eastAsia="仿宋" w:cs="宋体"/>
                <w:szCs w:val="21"/>
              </w:rPr>
            </w:pPr>
            <w:r>
              <w:rPr>
                <w:rFonts w:hint="eastAsia" w:ascii="宋体" w:hAnsi="宋体" w:eastAsia="仿宋" w:cs="宋体"/>
                <w:szCs w:val="21"/>
              </w:rPr>
              <w:t>服务内容、标准</w:t>
            </w:r>
          </w:p>
        </w:tc>
        <w:tc>
          <w:tcPr>
            <w:tcW w:w="860" w:type="dxa"/>
            <w:gridSpan w:val="2"/>
            <w:noWrap/>
            <w:vAlign w:val="center"/>
          </w:tcPr>
          <w:p>
            <w:pPr>
              <w:jc w:val="center"/>
              <w:rPr>
                <w:rFonts w:ascii="宋体" w:hAnsi="宋体" w:eastAsia="仿宋" w:cs="宋体"/>
                <w:szCs w:val="21"/>
              </w:rPr>
            </w:pPr>
            <w:r>
              <w:rPr>
                <w:rFonts w:hint="eastAsia" w:ascii="宋体" w:hAnsi="宋体" w:eastAsia="仿宋" w:cs="宋体"/>
                <w:szCs w:val="21"/>
              </w:rPr>
              <w:t>数量</w:t>
            </w:r>
          </w:p>
        </w:tc>
        <w:tc>
          <w:tcPr>
            <w:tcW w:w="893" w:type="dxa"/>
            <w:tcBorders>
              <w:right w:val="single" w:color="auto" w:sz="4" w:space="0"/>
            </w:tcBorders>
            <w:noWrap/>
            <w:vAlign w:val="center"/>
          </w:tcPr>
          <w:p>
            <w:pPr>
              <w:jc w:val="center"/>
              <w:rPr>
                <w:rFonts w:ascii="宋体" w:hAnsi="宋体" w:eastAsia="仿宋" w:cs="宋体"/>
                <w:szCs w:val="21"/>
              </w:rPr>
            </w:pPr>
            <w:r>
              <w:rPr>
                <w:rFonts w:hint="eastAsia" w:ascii="宋体" w:hAnsi="宋体" w:eastAsia="仿宋" w:cs="宋体"/>
                <w:szCs w:val="21"/>
              </w:rPr>
              <w:t>金额</w:t>
            </w:r>
          </w:p>
        </w:tc>
        <w:tc>
          <w:tcPr>
            <w:tcW w:w="1297" w:type="dxa"/>
            <w:tcBorders>
              <w:left w:val="single" w:color="auto" w:sz="4" w:space="0"/>
            </w:tcBorders>
            <w:noWrap/>
            <w:vAlign w:val="center"/>
          </w:tcPr>
          <w:p>
            <w:pPr>
              <w:jc w:val="center"/>
              <w:rPr>
                <w:rFonts w:ascii="宋体" w:hAnsi="宋体" w:eastAsia="仿宋" w:cs="宋体"/>
                <w:szCs w:val="21"/>
              </w:rPr>
            </w:pPr>
            <w:r>
              <w:rPr>
                <w:rFonts w:hint="eastAsia" w:ascii="宋体" w:hAnsi="宋体" w:eastAsia="仿宋" w:cs="宋体"/>
                <w:szCs w:val="21"/>
              </w:rPr>
              <w:t>与合同约定</w:t>
            </w:r>
          </w:p>
          <w:p>
            <w:pPr>
              <w:jc w:val="center"/>
              <w:rPr>
                <w:rFonts w:ascii="宋体" w:hAnsi="宋体" w:eastAsia="仿宋" w:cs="宋体"/>
                <w:szCs w:val="21"/>
              </w:rPr>
            </w:pPr>
            <w:r>
              <w:rPr>
                <w:rFonts w:hint="eastAsia" w:ascii="宋体" w:hAnsi="宋体" w:eastAsia="仿宋" w:cs="宋体"/>
                <w:szCs w:val="21"/>
              </w:rPr>
              <w:t>是否一致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8" w:hRule="atLeast"/>
          <w:jc w:val="center"/>
        </w:trPr>
        <w:tc>
          <w:tcPr>
            <w:tcW w:w="592" w:type="dxa"/>
            <w:tcBorders>
              <w:right w:val="single" w:color="auto" w:sz="4" w:space="0"/>
            </w:tcBorders>
            <w:noWrap/>
            <w:vAlign w:val="center"/>
          </w:tcPr>
          <w:p>
            <w:pPr>
              <w:rPr>
                <w:rFonts w:ascii="宋体" w:hAnsi="宋体" w:eastAsia="仿宋" w:cs="宋体"/>
                <w:szCs w:val="21"/>
              </w:rPr>
            </w:pPr>
          </w:p>
        </w:tc>
        <w:tc>
          <w:tcPr>
            <w:tcW w:w="2705" w:type="dxa"/>
            <w:gridSpan w:val="2"/>
            <w:tcBorders>
              <w:left w:val="single" w:color="auto" w:sz="4" w:space="0"/>
            </w:tcBorders>
            <w:noWrap/>
            <w:vAlign w:val="center"/>
          </w:tcPr>
          <w:p>
            <w:pPr>
              <w:rPr>
                <w:rFonts w:ascii="宋体" w:hAnsi="宋体" w:eastAsia="仿宋" w:cs="宋体"/>
                <w:szCs w:val="21"/>
              </w:rPr>
            </w:pPr>
            <w:r>
              <w:rPr>
                <w:rFonts w:hint="eastAsia" w:ascii="宋体" w:hAnsi="宋体" w:eastAsia="仿宋" w:cs="宋体"/>
                <w:szCs w:val="21"/>
              </w:rPr>
              <w:t> </w:t>
            </w:r>
          </w:p>
        </w:tc>
        <w:tc>
          <w:tcPr>
            <w:tcW w:w="3100" w:type="dxa"/>
            <w:gridSpan w:val="2"/>
            <w:noWrap/>
            <w:vAlign w:val="center"/>
          </w:tcPr>
          <w:p>
            <w:pPr>
              <w:rPr>
                <w:rFonts w:ascii="宋体" w:hAnsi="宋体" w:eastAsia="仿宋" w:cs="宋体"/>
                <w:szCs w:val="21"/>
              </w:rPr>
            </w:pPr>
            <w:r>
              <w:rPr>
                <w:rFonts w:hint="eastAsia" w:ascii="宋体" w:hAnsi="宋体" w:eastAsia="仿宋" w:cs="宋体"/>
                <w:szCs w:val="21"/>
              </w:rPr>
              <w:t> </w:t>
            </w:r>
          </w:p>
        </w:tc>
        <w:tc>
          <w:tcPr>
            <w:tcW w:w="860" w:type="dxa"/>
            <w:gridSpan w:val="2"/>
            <w:noWrap/>
            <w:vAlign w:val="center"/>
          </w:tcPr>
          <w:p>
            <w:pPr>
              <w:rPr>
                <w:rFonts w:ascii="宋体" w:hAnsi="宋体" w:eastAsia="仿宋" w:cs="宋体"/>
                <w:szCs w:val="21"/>
              </w:rPr>
            </w:pPr>
            <w:r>
              <w:rPr>
                <w:rFonts w:hint="eastAsia" w:ascii="宋体" w:hAnsi="宋体" w:eastAsia="仿宋" w:cs="宋体"/>
                <w:szCs w:val="21"/>
              </w:rPr>
              <w:t> </w:t>
            </w:r>
          </w:p>
        </w:tc>
        <w:tc>
          <w:tcPr>
            <w:tcW w:w="893" w:type="dxa"/>
            <w:tcBorders>
              <w:right w:val="single" w:color="auto" w:sz="4" w:space="0"/>
            </w:tcBorders>
            <w:noWrap/>
            <w:vAlign w:val="center"/>
          </w:tcPr>
          <w:p>
            <w:pPr>
              <w:rPr>
                <w:rFonts w:ascii="宋体" w:hAnsi="宋体" w:eastAsia="仿宋" w:cs="宋体"/>
                <w:szCs w:val="21"/>
              </w:rPr>
            </w:pPr>
            <w:r>
              <w:rPr>
                <w:rFonts w:hint="eastAsia" w:ascii="宋体" w:hAnsi="宋体" w:eastAsia="仿宋" w:cs="宋体"/>
                <w:szCs w:val="21"/>
              </w:rPr>
              <w:t> </w:t>
            </w:r>
          </w:p>
        </w:tc>
        <w:tc>
          <w:tcPr>
            <w:tcW w:w="1297" w:type="dxa"/>
            <w:tcBorders>
              <w:left w:val="single" w:color="auto" w:sz="4" w:space="0"/>
            </w:tcBorders>
            <w:noWrap/>
            <w:vAlign w:val="center"/>
          </w:tcPr>
          <w:p>
            <w:pPr>
              <w:rPr>
                <w:rFonts w:ascii="宋体" w:hAnsi="宋体" w:eastAsia="仿宋" w:cs="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8" w:hRule="atLeast"/>
          <w:jc w:val="center"/>
        </w:trPr>
        <w:tc>
          <w:tcPr>
            <w:tcW w:w="592" w:type="dxa"/>
            <w:tcBorders>
              <w:right w:val="single" w:color="auto" w:sz="4" w:space="0"/>
            </w:tcBorders>
            <w:noWrap/>
            <w:vAlign w:val="center"/>
          </w:tcPr>
          <w:p>
            <w:pPr>
              <w:rPr>
                <w:rFonts w:ascii="宋体" w:hAnsi="宋体" w:eastAsia="仿宋" w:cs="宋体"/>
                <w:szCs w:val="21"/>
              </w:rPr>
            </w:pPr>
          </w:p>
        </w:tc>
        <w:tc>
          <w:tcPr>
            <w:tcW w:w="2705" w:type="dxa"/>
            <w:gridSpan w:val="2"/>
            <w:tcBorders>
              <w:left w:val="single" w:color="auto" w:sz="4" w:space="0"/>
            </w:tcBorders>
            <w:noWrap/>
            <w:vAlign w:val="center"/>
          </w:tcPr>
          <w:p>
            <w:pPr>
              <w:rPr>
                <w:rFonts w:ascii="宋体" w:hAnsi="宋体" w:eastAsia="仿宋" w:cs="宋体"/>
                <w:szCs w:val="21"/>
              </w:rPr>
            </w:pPr>
            <w:r>
              <w:rPr>
                <w:rFonts w:hint="eastAsia" w:ascii="宋体" w:hAnsi="宋体" w:eastAsia="仿宋" w:cs="宋体"/>
                <w:szCs w:val="21"/>
              </w:rPr>
              <w:t> </w:t>
            </w:r>
          </w:p>
        </w:tc>
        <w:tc>
          <w:tcPr>
            <w:tcW w:w="3100" w:type="dxa"/>
            <w:gridSpan w:val="2"/>
            <w:noWrap/>
            <w:vAlign w:val="center"/>
          </w:tcPr>
          <w:p>
            <w:pPr>
              <w:rPr>
                <w:rFonts w:ascii="宋体" w:hAnsi="宋体" w:eastAsia="仿宋" w:cs="宋体"/>
                <w:szCs w:val="21"/>
              </w:rPr>
            </w:pPr>
            <w:r>
              <w:rPr>
                <w:rFonts w:hint="eastAsia" w:ascii="宋体" w:hAnsi="宋体" w:eastAsia="仿宋" w:cs="宋体"/>
                <w:szCs w:val="21"/>
              </w:rPr>
              <w:t> </w:t>
            </w:r>
          </w:p>
        </w:tc>
        <w:tc>
          <w:tcPr>
            <w:tcW w:w="860" w:type="dxa"/>
            <w:gridSpan w:val="2"/>
            <w:noWrap/>
            <w:vAlign w:val="center"/>
          </w:tcPr>
          <w:p>
            <w:pPr>
              <w:rPr>
                <w:rFonts w:ascii="宋体" w:hAnsi="宋体" w:eastAsia="仿宋" w:cs="宋体"/>
                <w:szCs w:val="21"/>
              </w:rPr>
            </w:pPr>
            <w:r>
              <w:rPr>
                <w:rFonts w:hint="eastAsia" w:ascii="宋体" w:hAnsi="宋体" w:eastAsia="仿宋" w:cs="宋体"/>
                <w:szCs w:val="21"/>
              </w:rPr>
              <w:t> </w:t>
            </w:r>
          </w:p>
        </w:tc>
        <w:tc>
          <w:tcPr>
            <w:tcW w:w="893" w:type="dxa"/>
            <w:tcBorders>
              <w:right w:val="single" w:color="auto" w:sz="4" w:space="0"/>
            </w:tcBorders>
            <w:noWrap/>
            <w:vAlign w:val="center"/>
          </w:tcPr>
          <w:p>
            <w:pPr>
              <w:rPr>
                <w:rFonts w:ascii="宋体" w:hAnsi="宋体" w:eastAsia="仿宋" w:cs="宋体"/>
                <w:szCs w:val="21"/>
              </w:rPr>
            </w:pPr>
            <w:r>
              <w:rPr>
                <w:rFonts w:hint="eastAsia" w:ascii="宋体" w:hAnsi="宋体" w:eastAsia="仿宋" w:cs="宋体"/>
                <w:szCs w:val="21"/>
              </w:rPr>
              <w:t> </w:t>
            </w:r>
          </w:p>
        </w:tc>
        <w:tc>
          <w:tcPr>
            <w:tcW w:w="1297" w:type="dxa"/>
            <w:tcBorders>
              <w:left w:val="single" w:color="auto" w:sz="4" w:space="0"/>
            </w:tcBorders>
            <w:noWrap/>
            <w:vAlign w:val="center"/>
          </w:tcPr>
          <w:p>
            <w:pPr>
              <w:rPr>
                <w:rFonts w:ascii="宋体" w:hAnsi="宋体" w:eastAsia="仿宋" w:cs="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8" w:hRule="atLeast"/>
          <w:jc w:val="center"/>
        </w:trPr>
        <w:tc>
          <w:tcPr>
            <w:tcW w:w="592" w:type="dxa"/>
            <w:tcBorders>
              <w:right w:val="single" w:color="auto" w:sz="4" w:space="0"/>
            </w:tcBorders>
            <w:noWrap/>
            <w:vAlign w:val="center"/>
          </w:tcPr>
          <w:p>
            <w:pPr>
              <w:rPr>
                <w:rFonts w:ascii="宋体" w:hAnsi="宋体" w:eastAsia="仿宋" w:cs="宋体"/>
                <w:szCs w:val="21"/>
              </w:rPr>
            </w:pPr>
          </w:p>
        </w:tc>
        <w:tc>
          <w:tcPr>
            <w:tcW w:w="2705" w:type="dxa"/>
            <w:gridSpan w:val="2"/>
            <w:tcBorders>
              <w:left w:val="single" w:color="auto" w:sz="4" w:space="0"/>
            </w:tcBorders>
            <w:noWrap/>
            <w:vAlign w:val="center"/>
          </w:tcPr>
          <w:p>
            <w:pPr>
              <w:rPr>
                <w:rFonts w:ascii="宋体" w:hAnsi="宋体" w:eastAsia="仿宋" w:cs="宋体"/>
                <w:szCs w:val="21"/>
              </w:rPr>
            </w:pPr>
            <w:r>
              <w:rPr>
                <w:rFonts w:hint="eastAsia" w:ascii="宋体" w:hAnsi="宋体" w:eastAsia="仿宋" w:cs="宋体"/>
                <w:szCs w:val="21"/>
              </w:rPr>
              <w:t> </w:t>
            </w:r>
          </w:p>
        </w:tc>
        <w:tc>
          <w:tcPr>
            <w:tcW w:w="3100" w:type="dxa"/>
            <w:gridSpan w:val="2"/>
            <w:noWrap/>
            <w:vAlign w:val="center"/>
          </w:tcPr>
          <w:p>
            <w:pPr>
              <w:rPr>
                <w:rFonts w:ascii="宋体" w:hAnsi="宋体" w:eastAsia="仿宋" w:cs="宋体"/>
                <w:szCs w:val="21"/>
              </w:rPr>
            </w:pPr>
            <w:r>
              <w:rPr>
                <w:rFonts w:hint="eastAsia" w:ascii="宋体" w:hAnsi="宋体" w:eastAsia="仿宋" w:cs="宋体"/>
                <w:szCs w:val="21"/>
              </w:rPr>
              <w:t> </w:t>
            </w:r>
          </w:p>
        </w:tc>
        <w:tc>
          <w:tcPr>
            <w:tcW w:w="860" w:type="dxa"/>
            <w:gridSpan w:val="2"/>
            <w:noWrap/>
            <w:vAlign w:val="center"/>
          </w:tcPr>
          <w:p>
            <w:pPr>
              <w:rPr>
                <w:rFonts w:ascii="宋体" w:hAnsi="宋体" w:eastAsia="仿宋" w:cs="宋体"/>
                <w:szCs w:val="21"/>
              </w:rPr>
            </w:pPr>
            <w:r>
              <w:rPr>
                <w:rFonts w:hint="eastAsia" w:ascii="宋体" w:hAnsi="宋体" w:eastAsia="仿宋" w:cs="宋体"/>
                <w:szCs w:val="21"/>
              </w:rPr>
              <w:t> </w:t>
            </w:r>
          </w:p>
        </w:tc>
        <w:tc>
          <w:tcPr>
            <w:tcW w:w="893" w:type="dxa"/>
            <w:tcBorders>
              <w:right w:val="single" w:color="auto" w:sz="4" w:space="0"/>
            </w:tcBorders>
            <w:noWrap/>
            <w:vAlign w:val="center"/>
          </w:tcPr>
          <w:p>
            <w:pPr>
              <w:rPr>
                <w:rFonts w:ascii="宋体" w:hAnsi="宋体" w:eastAsia="仿宋" w:cs="宋体"/>
                <w:szCs w:val="21"/>
              </w:rPr>
            </w:pPr>
            <w:r>
              <w:rPr>
                <w:rFonts w:hint="eastAsia" w:ascii="宋体" w:hAnsi="宋体" w:eastAsia="仿宋" w:cs="宋体"/>
                <w:szCs w:val="21"/>
              </w:rPr>
              <w:t> </w:t>
            </w:r>
          </w:p>
        </w:tc>
        <w:tc>
          <w:tcPr>
            <w:tcW w:w="1297" w:type="dxa"/>
            <w:tcBorders>
              <w:left w:val="single" w:color="auto" w:sz="4" w:space="0"/>
            </w:tcBorders>
            <w:noWrap/>
            <w:vAlign w:val="center"/>
          </w:tcPr>
          <w:p>
            <w:pPr>
              <w:rPr>
                <w:rFonts w:ascii="宋体" w:hAnsi="宋体" w:eastAsia="仿宋" w:cs="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8" w:hRule="atLeast"/>
          <w:jc w:val="center"/>
        </w:trPr>
        <w:tc>
          <w:tcPr>
            <w:tcW w:w="592" w:type="dxa"/>
            <w:tcBorders>
              <w:right w:val="single" w:color="auto" w:sz="4" w:space="0"/>
            </w:tcBorders>
            <w:noWrap/>
            <w:vAlign w:val="center"/>
          </w:tcPr>
          <w:p>
            <w:pPr>
              <w:rPr>
                <w:rFonts w:ascii="宋体" w:hAnsi="宋体" w:eastAsia="仿宋" w:cs="宋体"/>
                <w:szCs w:val="21"/>
              </w:rPr>
            </w:pPr>
          </w:p>
        </w:tc>
        <w:tc>
          <w:tcPr>
            <w:tcW w:w="2705" w:type="dxa"/>
            <w:gridSpan w:val="2"/>
            <w:tcBorders>
              <w:left w:val="single" w:color="auto" w:sz="4" w:space="0"/>
            </w:tcBorders>
            <w:noWrap/>
            <w:vAlign w:val="center"/>
          </w:tcPr>
          <w:p>
            <w:pPr>
              <w:rPr>
                <w:rFonts w:ascii="宋体" w:hAnsi="宋体" w:eastAsia="仿宋" w:cs="宋体"/>
                <w:szCs w:val="21"/>
              </w:rPr>
            </w:pPr>
            <w:r>
              <w:rPr>
                <w:rFonts w:hint="eastAsia" w:ascii="宋体" w:hAnsi="宋体" w:eastAsia="仿宋" w:cs="宋体"/>
                <w:szCs w:val="21"/>
              </w:rPr>
              <w:t> </w:t>
            </w:r>
          </w:p>
        </w:tc>
        <w:tc>
          <w:tcPr>
            <w:tcW w:w="3100" w:type="dxa"/>
            <w:gridSpan w:val="2"/>
            <w:noWrap/>
            <w:vAlign w:val="center"/>
          </w:tcPr>
          <w:p>
            <w:pPr>
              <w:rPr>
                <w:rFonts w:ascii="宋体" w:hAnsi="宋体" w:eastAsia="仿宋" w:cs="宋体"/>
                <w:szCs w:val="21"/>
              </w:rPr>
            </w:pPr>
            <w:r>
              <w:rPr>
                <w:rFonts w:hint="eastAsia" w:ascii="宋体" w:hAnsi="宋体" w:eastAsia="仿宋" w:cs="宋体"/>
                <w:szCs w:val="21"/>
              </w:rPr>
              <w:t> </w:t>
            </w:r>
          </w:p>
        </w:tc>
        <w:tc>
          <w:tcPr>
            <w:tcW w:w="860" w:type="dxa"/>
            <w:gridSpan w:val="2"/>
            <w:noWrap/>
            <w:vAlign w:val="center"/>
          </w:tcPr>
          <w:p>
            <w:pPr>
              <w:rPr>
                <w:rFonts w:ascii="宋体" w:hAnsi="宋体" w:eastAsia="仿宋" w:cs="宋体"/>
                <w:szCs w:val="21"/>
              </w:rPr>
            </w:pPr>
            <w:r>
              <w:rPr>
                <w:rFonts w:hint="eastAsia" w:ascii="宋体" w:hAnsi="宋体" w:eastAsia="仿宋" w:cs="宋体"/>
                <w:szCs w:val="21"/>
              </w:rPr>
              <w:t> </w:t>
            </w:r>
          </w:p>
        </w:tc>
        <w:tc>
          <w:tcPr>
            <w:tcW w:w="893" w:type="dxa"/>
            <w:tcBorders>
              <w:right w:val="single" w:color="auto" w:sz="4" w:space="0"/>
            </w:tcBorders>
            <w:noWrap/>
            <w:vAlign w:val="center"/>
          </w:tcPr>
          <w:p>
            <w:pPr>
              <w:rPr>
                <w:rFonts w:ascii="宋体" w:hAnsi="宋体" w:eastAsia="仿宋" w:cs="宋体"/>
                <w:szCs w:val="21"/>
              </w:rPr>
            </w:pPr>
            <w:r>
              <w:rPr>
                <w:rFonts w:hint="eastAsia" w:ascii="宋体" w:hAnsi="宋体" w:eastAsia="仿宋" w:cs="宋体"/>
                <w:szCs w:val="21"/>
              </w:rPr>
              <w:t> </w:t>
            </w:r>
          </w:p>
        </w:tc>
        <w:tc>
          <w:tcPr>
            <w:tcW w:w="1297" w:type="dxa"/>
            <w:tcBorders>
              <w:left w:val="single" w:color="auto" w:sz="4" w:space="0"/>
            </w:tcBorders>
            <w:noWrap/>
            <w:vAlign w:val="center"/>
          </w:tcPr>
          <w:p>
            <w:pPr>
              <w:rPr>
                <w:rFonts w:ascii="宋体" w:hAnsi="宋体" w:eastAsia="仿宋" w:cs="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8" w:hRule="atLeast"/>
          <w:jc w:val="center"/>
        </w:trPr>
        <w:tc>
          <w:tcPr>
            <w:tcW w:w="592" w:type="dxa"/>
            <w:tcBorders>
              <w:right w:val="single" w:color="auto" w:sz="4" w:space="0"/>
            </w:tcBorders>
            <w:noWrap/>
            <w:vAlign w:val="center"/>
          </w:tcPr>
          <w:p>
            <w:pPr>
              <w:rPr>
                <w:rFonts w:ascii="宋体" w:hAnsi="宋体" w:eastAsia="仿宋" w:cs="宋体"/>
                <w:szCs w:val="21"/>
              </w:rPr>
            </w:pPr>
          </w:p>
        </w:tc>
        <w:tc>
          <w:tcPr>
            <w:tcW w:w="2705" w:type="dxa"/>
            <w:gridSpan w:val="2"/>
            <w:tcBorders>
              <w:left w:val="single" w:color="auto" w:sz="4" w:space="0"/>
            </w:tcBorders>
            <w:noWrap/>
            <w:vAlign w:val="center"/>
          </w:tcPr>
          <w:p>
            <w:pPr>
              <w:rPr>
                <w:rFonts w:ascii="宋体" w:hAnsi="宋体" w:eastAsia="仿宋" w:cs="宋体"/>
                <w:szCs w:val="21"/>
              </w:rPr>
            </w:pPr>
          </w:p>
        </w:tc>
        <w:tc>
          <w:tcPr>
            <w:tcW w:w="3100" w:type="dxa"/>
            <w:gridSpan w:val="2"/>
            <w:noWrap/>
            <w:vAlign w:val="center"/>
          </w:tcPr>
          <w:p>
            <w:pPr>
              <w:rPr>
                <w:rFonts w:ascii="宋体" w:hAnsi="宋体" w:eastAsia="仿宋" w:cs="宋体"/>
                <w:szCs w:val="21"/>
              </w:rPr>
            </w:pPr>
          </w:p>
        </w:tc>
        <w:tc>
          <w:tcPr>
            <w:tcW w:w="860" w:type="dxa"/>
            <w:gridSpan w:val="2"/>
            <w:noWrap/>
            <w:vAlign w:val="center"/>
          </w:tcPr>
          <w:p>
            <w:pPr>
              <w:rPr>
                <w:rFonts w:ascii="宋体" w:hAnsi="宋体" w:eastAsia="仿宋" w:cs="宋体"/>
                <w:szCs w:val="21"/>
              </w:rPr>
            </w:pPr>
          </w:p>
        </w:tc>
        <w:tc>
          <w:tcPr>
            <w:tcW w:w="893" w:type="dxa"/>
            <w:tcBorders>
              <w:right w:val="single" w:color="auto" w:sz="4" w:space="0"/>
            </w:tcBorders>
            <w:noWrap/>
            <w:vAlign w:val="center"/>
          </w:tcPr>
          <w:p>
            <w:pPr>
              <w:rPr>
                <w:rFonts w:ascii="宋体" w:hAnsi="宋体" w:eastAsia="仿宋" w:cs="宋体"/>
                <w:szCs w:val="21"/>
              </w:rPr>
            </w:pPr>
          </w:p>
        </w:tc>
        <w:tc>
          <w:tcPr>
            <w:tcW w:w="1297" w:type="dxa"/>
            <w:tcBorders>
              <w:left w:val="single" w:color="auto" w:sz="4" w:space="0"/>
            </w:tcBorders>
            <w:noWrap/>
            <w:vAlign w:val="center"/>
          </w:tcPr>
          <w:p>
            <w:pPr>
              <w:rPr>
                <w:rFonts w:ascii="宋体" w:hAnsi="宋体" w:eastAsia="仿宋" w:cs="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8" w:hRule="atLeast"/>
          <w:jc w:val="center"/>
        </w:trPr>
        <w:tc>
          <w:tcPr>
            <w:tcW w:w="6397" w:type="dxa"/>
            <w:gridSpan w:val="5"/>
            <w:noWrap/>
            <w:vAlign w:val="center"/>
          </w:tcPr>
          <w:p>
            <w:pPr>
              <w:rPr>
                <w:rFonts w:ascii="宋体" w:hAnsi="宋体" w:eastAsia="仿宋" w:cs="宋体"/>
                <w:szCs w:val="21"/>
              </w:rPr>
            </w:pPr>
            <w:r>
              <w:rPr>
                <w:rFonts w:hint="eastAsia" w:ascii="宋体" w:hAnsi="宋体" w:eastAsia="仿宋" w:cs="宋体"/>
                <w:szCs w:val="21"/>
              </w:rPr>
              <w:t>合     计</w:t>
            </w:r>
          </w:p>
        </w:tc>
        <w:tc>
          <w:tcPr>
            <w:tcW w:w="860" w:type="dxa"/>
            <w:gridSpan w:val="2"/>
            <w:noWrap/>
            <w:vAlign w:val="center"/>
          </w:tcPr>
          <w:p>
            <w:pPr>
              <w:rPr>
                <w:rFonts w:ascii="宋体" w:hAnsi="宋体" w:eastAsia="仿宋" w:cs="宋体"/>
                <w:szCs w:val="21"/>
              </w:rPr>
            </w:pPr>
          </w:p>
        </w:tc>
        <w:tc>
          <w:tcPr>
            <w:tcW w:w="893" w:type="dxa"/>
            <w:tcBorders>
              <w:right w:val="single" w:color="auto" w:sz="4" w:space="0"/>
            </w:tcBorders>
            <w:noWrap/>
            <w:vAlign w:val="center"/>
          </w:tcPr>
          <w:p>
            <w:pPr>
              <w:rPr>
                <w:rFonts w:ascii="宋体" w:hAnsi="宋体" w:eastAsia="仿宋" w:cs="宋体"/>
                <w:szCs w:val="21"/>
              </w:rPr>
            </w:pPr>
          </w:p>
        </w:tc>
        <w:tc>
          <w:tcPr>
            <w:tcW w:w="1297" w:type="dxa"/>
            <w:tcBorders>
              <w:left w:val="single" w:color="auto" w:sz="4" w:space="0"/>
            </w:tcBorders>
            <w:noWrap/>
            <w:vAlign w:val="center"/>
          </w:tcPr>
          <w:p>
            <w:pPr>
              <w:rPr>
                <w:rFonts w:ascii="宋体" w:hAnsi="宋体" w:eastAsia="仿宋" w:cs="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18" w:hRule="atLeast"/>
          <w:jc w:val="center"/>
        </w:trPr>
        <w:tc>
          <w:tcPr>
            <w:tcW w:w="9447" w:type="dxa"/>
            <w:gridSpan w:val="9"/>
            <w:noWrap/>
            <w:vAlign w:val="center"/>
          </w:tcPr>
          <w:p>
            <w:pPr>
              <w:rPr>
                <w:rFonts w:ascii="宋体" w:hAnsi="宋体" w:eastAsia="仿宋" w:cs="宋体"/>
                <w:szCs w:val="21"/>
              </w:rPr>
            </w:pPr>
            <w:r>
              <w:rPr>
                <w:rFonts w:hint="eastAsia" w:ascii="宋体" w:hAnsi="宋体" w:eastAsia="仿宋" w:cs="宋体"/>
                <w:szCs w:val="21"/>
              </w:rPr>
              <w:t>合 计 大 写 金 额 ：人民币                             元</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380" w:hRule="atLeast"/>
          <w:jc w:val="center"/>
        </w:trPr>
        <w:tc>
          <w:tcPr>
            <w:tcW w:w="1336" w:type="dxa"/>
            <w:gridSpan w:val="2"/>
            <w:noWrap/>
            <w:vAlign w:val="center"/>
          </w:tcPr>
          <w:p>
            <w:pPr>
              <w:rPr>
                <w:rFonts w:ascii="宋体" w:hAnsi="宋体" w:eastAsia="仿宋" w:cs="宋体"/>
                <w:szCs w:val="21"/>
              </w:rPr>
            </w:pPr>
            <w:r>
              <w:rPr>
                <w:rFonts w:hint="eastAsia" w:ascii="宋体" w:hAnsi="宋体" w:eastAsia="仿宋" w:cs="宋体"/>
                <w:szCs w:val="21"/>
              </w:rPr>
              <w:t>实际供货日期</w:t>
            </w:r>
          </w:p>
        </w:tc>
        <w:tc>
          <w:tcPr>
            <w:tcW w:w="3239" w:type="dxa"/>
            <w:gridSpan w:val="2"/>
            <w:noWrap/>
            <w:vAlign w:val="center"/>
          </w:tcPr>
          <w:p>
            <w:pPr>
              <w:rPr>
                <w:rFonts w:ascii="宋体" w:hAnsi="宋体" w:eastAsia="仿宋" w:cs="宋体"/>
                <w:szCs w:val="21"/>
              </w:rPr>
            </w:pPr>
          </w:p>
        </w:tc>
        <w:tc>
          <w:tcPr>
            <w:tcW w:w="1835" w:type="dxa"/>
            <w:gridSpan w:val="2"/>
            <w:noWrap/>
            <w:vAlign w:val="center"/>
          </w:tcPr>
          <w:p>
            <w:pPr>
              <w:rPr>
                <w:rFonts w:ascii="宋体" w:hAnsi="宋体" w:eastAsia="仿宋" w:cs="宋体"/>
                <w:szCs w:val="21"/>
              </w:rPr>
            </w:pPr>
            <w:r>
              <w:rPr>
                <w:rFonts w:hint="eastAsia" w:ascii="宋体" w:hAnsi="宋体" w:eastAsia="仿宋" w:cs="宋体"/>
                <w:szCs w:val="21"/>
              </w:rPr>
              <w:t>合同交货验收日期</w:t>
            </w:r>
          </w:p>
        </w:tc>
        <w:tc>
          <w:tcPr>
            <w:tcW w:w="3037" w:type="dxa"/>
            <w:gridSpan w:val="3"/>
            <w:noWrap/>
            <w:vAlign w:val="center"/>
          </w:tcPr>
          <w:p>
            <w:pPr>
              <w:rPr>
                <w:rFonts w:ascii="宋体" w:hAnsi="宋体" w:eastAsia="仿宋" w:cs="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37" w:hRule="atLeast"/>
          <w:jc w:val="center"/>
        </w:trPr>
        <w:tc>
          <w:tcPr>
            <w:tcW w:w="1336" w:type="dxa"/>
            <w:gridSpan w:val="2"/>
            <w:noWrap/>
            <w:tcMar>
              <w:top w:w="0" w:type="dxa"/>
              <w:left w:w="108" w:type="dxa"/>
              <w:bottom w:w="0" w:type="dxa"/>
              <w:right w:w="108" w:type="dxa"/>
            </w:tcMar>
            <w:vAlign w:val="center"/>
          </w:tcPr>
          <w:p>
            <w:pPr>
              <w:rPr>
                <w:rFonts w:ascii="宋体" w:hAnsi="宋体" w:eastAsia="仿宋" w:cs="宋体"/>
                <w:szCs w:val="21"/>
              </w:rPr>
            </w:pPr>
            <w:r>
              <w:rPr>
                <w:rFonts w:hint="eastAsia" w:ascii="宋体" w:hAnsi="宋体" w:eastAsia="仿宋" w:cs="宋体"/>
                <w:szCs w:val="21"/>
              </w:rPr>
              <w:t>验收具体内容</w:t>
            </w:r>
          </w:p>
        </w:tc>
        <w:tc>
          <w:tcPr>
            <w:tcW w:w="8111" w:type="dxa"/>
            <w:gridSpan w:val="7"/>
            <w:noWrap/>
            <w:tcMar>
              <w:top w:w="0" w:type="dxa"/>
              <w:left w:w="108" w:type="dxa"/>
              <w:bottom w:w="0" w:type="dxa"/>
              <w:right w:w="108" w:type="dxa"/>
            </w:tcMar>
            <w:vAlign w:val="center"/>
          </w:tcPr>
          <w:p>
            <w:pPr>
              <w:rPr>
                <w:rFonts w:ascii="宋体" w:hAnsi="宋体" w:eastAsia="仿宋" w:cs="宋体"/>
                <w:szCs w:val="21"/>
              </w:rPr>
            </w:pPr>
            <w:r>
              <w:rPr>
                <w:rFonts w:hint="eastAsia" w:ascii="宋体" w:hAnsi="宋体" w:eastAsia="仿宋" w:cs="宋体"/>
                <w:szCs w:val="21"/>
              </w:rPr>
              <w:t> (应按采购合同、采购文件、投标响应文件及验收方案等进行验收；并核对中标或成交供应商在安装调试等方面是否违反合同约定或服务规范要求、提供的质量保证证明材料是否齐全、应有的配件及附件是否达到合同约定等。可附件)</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75" w:hRule="atLeast"/>
          <w:jc w:val="center"/>
        </w:trPr>
        <w:tc>
          <w:tcPr>
            <w:tcW w:w="1336" w:type="dxa"/>
            <w:gridSpan w:val="2"/>
            <w:vMerge w:val="restart"/>
            <w:noWrap/>
            <w:tcMar>
              <w:top w:w="0" w:type="dxa"/>
              <w:left w:w="108" w:type="dxa"/>
              <w:bottom w:w="0" w:type="dxa"/>
              <w:right w:w="108" w:type="dxa"/>
            </w:tcMar>
            <w:vAlign w:val="center"/>
          </w:tcPr>
          <w:p>
            <w:pPr>
              <w:rPr>
                <w:rFonts w:ascii="宋体" w:hAnsi="宋体" w:eastAsia="仿宋" w:cs="宋体"/>
                <w:szCs w:val="21"/>
              </w:rPr>
            </w:pPr>
            <w:r>
              <w:rPr>
                <w:rFonts w:hint="eastAsia" w:ascii="宋体" w:hAnsi="宋体" w:eastAsia="仿宋" w:cs="宋体"/>
                <w:szCs w:val="21"/>
              </w:rPr>
              <w:t>验收小组意见</w:t>
            </w:r>
          </w:p>
        </w:tc>
        <w:tc>
          <w:tcPr>
            <w:tcW w:w="8111" w:type="dxa"/>
            <w:gridSpan w:val="7"/>
            <w:tcBorders>
              <w:bottom w:val="single" w:color="auto" w:sz="4" w:space="0"/>
            </w:tcBorders>
            <w:noWrap/>
            <w:vAlign w:val="center"/>
          </w:tcPr>
          <w:p>
            <w:pPr>
              <w:rPr>
                <w:rFonts w:ascii="宋体" w:hAnsi="宋体" w:eastAsia="仿宋" w:cs="宋体"/>
                <w:szCs w:val="21"/>
              </w:rPr>
            </w:pPr>
            <w:r>
              <w:rPr>
                <w:rFonts w:hint="eastAsia" w:ascii="宋体" w:hAnsi="宋体" w:eastAsia="仿宋" w:cs="宋体"/>
                <w:szCs w:val="21"/>
              </w:rPr>
              <w:t>验收结论性意见：</w:t>
            </w:r>
          </w:p>
          <w:p>
            <w:pPr>
              <w:rPr>
                <w:rFonts w:ascii="宋体" w:hAnsi="宋体" w:eastAsia="仿宋" w:cs="宋体"/>
                <w:szCs w:val="21"/>
              </w:rPr>
            </w:pPr>
          </w:p>
          <w:p>
            <w:pPr>
              <w:rPr>
                <w:rFonts w:ascii="宋体" w:hAnsi="宋体" w:eastAsia="仿宋" w:cs="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858" w:hRule="atLeast"/>
          <w:jc w:val="center"/>
        </w:trPr>
        <w:tc>
          <w:tcPr>
            <w:tcW w:w="1336" w:type="dxa"/>
            <w:gridSpan w:val="2"/>
            <w:vMerge w:val="continue"/>
            <w:noWrap/>
            <w:tcMar>
              <w:top w:w="0" w:type="dxa"/>
              <w:left w:w="108" w:type="dxa"/>
              <w:bottom w:w="0" w:type="dxa"/>
              <w:right w:w="108" w:type="dxa"/>
            </w:tcMar>
            <w:vAlign w:val="center"/>
          </w:tcPr>
          <w:p>
            <w:pPr>
              <w:rPr>
                <w:rFonts w:ascii="宋体" w:hAnsi="宋体" w:eastAsia="仿宋" w:cs="宋体"/>
                <w:szCs w:val="21"/>
              </w:rPr>
            </w:pPr>
          </w:p>
        </w:tc>
        <w:tc>
          <w:tcPr>
            <w:tcW w:w="8111" w:type="dxa"/>
            <w:gridSpan w:val="7"/>
            <w:tcBorders>
              <w:top w:val="single" w:color="auto" w:sz="4" w:space="0"/>
            </w:tcBorders>
            <w:noWrap/>
            <w:vAlign w:val="center"/>
          </w:tcPr>
          <w:p>
            <w:pPr>
              <w:rPr>
                <w:rFonts w:ascii="宋体" w:hAnsi="宋体" w:eastAsia="仿宋" w:cs="宋体"/>
                <w:szCs w:val="21"/>
              </w:rPr>
            </w:pPr>
            <w:r>
              <w:rPr>
                <w:rFonts w:hint="eastAsia" w:ascii="宋体" w:hAnsi="宋体" w:eastAsia="仿宋" w:cs="宋体"/>
                <w:szCs w:val="21"/>
              </w:rPr>
              <w:t>有异议的意见和说明理由：</w:t>
            </w:r>
          </w:p>
          <w:p>
            <w:pPr>
              <w:rPr>
                <w:rFonts w:ascii="宋体" w:hAnsi="宋体" w:eastAsia="仿宋" w:cs="宋体"/>
                <w:szCs w:val="21"/>
              </w:rPr>
            </w:pPr>
          </w:p>
          <w:p>
            <w:pPr>
              <w:rPr>
                <w:rFonts w:ascii="宋体" w:hAnsi="宋体" w:eastAsia="仿宋" w:cs="宋体"/>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422" w:hRule="atLeast"/>
          <w:jc w:val="center"/>
        </w:trPr>
        <w:tc>
          <w:tcPr>
            <w:tcW w:w="9447" w:type="dxa"/>
            <w:gridSpan w:val="9"/>
            <w:noWrap/>
            <w:tcMar>
              <w:top w:w="0" w:type="dxa"/>
              <w:left w:w="108" w:type="dxa"/>
              <w:bottom w:w="0" w:type="dxa"/>
              <w:right w:w="108" w:type="dxa"/>
            </w:tcMar>
            <w:vAlign w:val="center"/>
          </w:tcPr>
          <w:p>
            <w:pPr>
              <w:rPr>
                <w:rFonts w:ascii="宋体" w:hAnsi="宋体" w:eastAsia="仿宋" w:cs="宋体"/>
                <w:szCs w:val="21"/>
              </w:rPr>
            </w:pPr>
            <w:r>
              <w:rPr>
                <w:rFonts w:hint="eastAsia" w:ascii="宋体" w:hAnsi="宋体" w:eastAsia="仿宋" w:cs="宋体"/>
                <w:szCs w:val="21"/>
              </w:rPr>
              <w:t>验收小组成员签字：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650" w:hRule="atLeast"/>
          <w:jc w:val="center"/>
        </w:trPr>
        <w:tc>
          <w:tcPr>
            <w:tcW w:w="9447" w:type="dxa"/>
            <w:gridSpan w:val="9"/>
            <w:noWrap/>
            <w:tcMar>
              <w:top w:w="0" w:type="dxa"/>
              <w:left w:w="108" w:type="dxa"/>
              <w:bottom w:w="0" w:type="dxa"/>
              <w:right w:w="108" w:type="dxa"/>
            </w:tcMar>
            <w:vAlign w:val="center"/>
          </w:tcPr>
          <w:p>
            <w:pPr>
              <w:rPr>
                <w:rFonts w:ascii="宋体" w:hAnsi="宋体" w:eastAsia="仿宋" w:cs="宋体"/>
                <w:szCs w:val="21"/>
              </w:rPr>
            </w:pPr>
            <w:r>
              <w:rPr>
                <w:rFonts w:hint="eastAsia" w:ascii="宋体" w:hAnsi="宋体" w:eastAsia="仿宋" w:cs="宋体"/>
                <w:szCs w:val="21"/>
              </w:rPr>
              <w:t>参与验收其他或监督人员签字：</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1184" w:hRule="atLeast"/>
          <w:jc w:val="center"/>
        </w:trPr>
        <w:tc>
          <w:tcPr>
            <w:tcW w:w="4575" w:type="dxa"/>
            <w:gridSpan w:val="4"/>
            <w:noWrap/>
            <w:tcMar>
              <w:top w:w="0" w:type="dxa"/>
              <w:left w:w="108" w:type="dxa"/>
              <w:bottom w:w="0" w:type="dxa"/>
              <w:right w:w="108" w:type="dxa"/>
            </w:tcMar>
            <w:vAlign w:val="center"/>
          </w:tcPr>
          <w:p>
            <w:pPr>
              <w:rPr>
                <w:rFonts w:ascii="宋体" w:hAnsi="宋体" w:eastAsia="仿宋" w:cs="宋体"/>
                <w:szCs w:val="21"/>
              </w:rPr>
            </w:pPr>
            <w:r>
              <w:rPr>
                <w:rFonts w:hint="eastAsia" w:ascii="宋体" w:hAnsi="宋体" w:eastAsia="仿宋" w:cs="宋体"/>
                <w:szCs w:val="21"/>
              </w:rPr>
              <w:t>中标（或成交）供应商签字或盖章：</w:t>
            </w:r>
          </w:p>
          <w:p>
            <w:pPr>
              <w:rPr>
                <w:rFonts w:ascii="宋体" w:hAnsi="宋体" w:eastAsia="仿宋" w:cs="宋体"/>
                <w:szCs w:val="21"/>
              </w:rPr>
            </w:pPr>
          </w:p>
          <w:p>
            <w:pPr>
              <w:rPr>
                <w:rFonts w:ascii="宋体" w:hAnsi="宋体" w:eastAsia="仿宋" w:cs="宋体"/>
                <w:szCs w:val="21"/>
              </w:rPr>
            </w:pPr>
            <w:r>
              <w:rPr>
                <w:rFonts w:hint="eastAsia" w:ascii="宋体" w:hAnsi="宋体" w:eastAsia="仿宋" w:cs="宋体"/>
                <w:szCs w:val="21"/>
              </w:rPr>
              <w:t>联系电话：</w:t>
            </w:r>
          </w:p>
          <w:p>
            <w:pPr>
              <w:rPr>
                <w:rFonts w:ascii="宋体" w:hAnsi="宋体" w:eastAsia="仿宋" w:cs="宋体"/>
                <w:szCs w:val="21"/>
              </w:rPr>
            </w:pPr>
          </w:p>
          <w:p>
            <w:pPr>
              <w:rPr>
                <w:rFonts w:ascii="宋体" w:hAnsi="宋体" w:eastAsia="仿宋" w:cs="宋体"/>
                <w:szCs w:val="21"/>
              </w:rPr>
            </w:pPr>
            <w:r>
              <w:rPr>
                <w:rFonts w:hint="eastAsia" w:ascii="宋体" w:hAnsi="宋体" w:eastAsia="仿宋" w:cs="宋体"/>
                <w:szCs w:val="21"/>
              </w:rPr>
              <w:t>                            年  月   日</w:t>
            </w:r>
          </w:p>
        </w:tc>
        <w:tc>
          <w:tcPr>
            <w:tcW w:w="4872" w:type="dxa"/>
            <w:gridSpan w:val="5"/>
            <w:noWrap/>
            <w:vAlign w:val="center"/>
          </w:tcPr>
          <w:p>
            <w:pPr>
              <w:rPr>
                <w:rFonts w:ascii="宋体" w:hAnsi="宋体" w:eastAsia="仿宋" w:cs="宋体"/>
                <w:szCs w:val="21"/>
              </w:rPr>
            </w:pPr>
            <w:r>
              <w:rPr>
                <w:rFonts w:hint="eastAsia" w:ascii="宋体" w:hAnsi="宋体" w:eastAsia="仿宋" w:cs="宋体"/>
                <w:szCs w:val="21"/>
              </w:rPr>
              <w:t>采购人的意见（盖章）：</w:t>
            </w:r>
          </w:p>
          <w:p>
            <w:pPr>
              <w:rPr>
                <w:rFonts w:ascii="宋体" w:hAnsi="宋体" w:eastAsia="仿宋" w:cs="宋体"/>
                <w:szCs w:val="21"/>
              </w:rPr>
            </w:pPr>
          </w:p>
          <w:p>
            <w:pPr>
              <w:rPr>
                <w:rFonts w:ascii="宋体" w:hAnsi="宋体" w:eastAsia="仿宋" w:cs="宋体"/>
                <w:szCs w:val="21"/>
              </w:rPr>
            </w:pPr>
            <w:r>
              <w:rPr>
                <w:rFonts w:hint="eastAsia" w:ascii="宋体" w:hAnsi="宋体" w:eastAsia="仿宋" w:cs="宋体"/>
                <w:szCs w:val="21"/>
              </w:rPr>
              <w:t>联系电话：</w:t>
            </w:r>
          </w:p>
          <w:p>
            <w:pPr>
              <w:rPr>
                <w:rFonts w:ascii="宋体" w:hAnsi="宋体" w:eastAsia="仿宋" w:cs="宋体"/>
                <w:szCs w:val="21"/>
              </w:rPr>
            </w:pPr>
          </w:p>
          <w:p>
            <w:pPr>
              <w:rPr>
                <w:rFonts w:ascii="宋体" w:hAnsi="宋体" w:eastAsia="仿宋" w:cs="宋体"/>
                <w:szCs w:val="21"/>
              </w:rPr>
            </w:pPr>
            <w:r>
              <w:rPr>
                <w:rFonts w:hint="eastAsia" w:ascii="宋体" w:hAnsi="宋体" w:eastAsia="仿宋" w:cs="宋体"/>
                <w:szCs w:val="21"/>
              </w:rPr>
              <w:t xml:space="preserve">   年  月   日</w:t>
            </w:r>
          </w:p>
        </w:tc>
      </w:tr>
    </w:tbl>
    <w:p>
      <w:pPr>
        <w:widowControl/>
        <w:ind w:firstLine="210" w:firstLineChars="100"/>
        <w:jc w:val="left"/>
        <w:rPr>
          <w:rFonts w:ascii="宋体" w:hAnsi="宋体" w:eastAsia="仿宋" w:cs="宋体"/>
          <w:kern w:val="0"/>
          <w:szCs w:val="21"/>
        </w:rPr>
      </w:pPr>
      <w:r>
        <w:rPr>
          <w:rFonts w:hint="eastAsia" w:ascii="宋体" w:hAnsi="宋体" w:eastAsia="仿宋" w:cs="宋体"/>
          <w:kern w:val="0"/>
          <w:szCs w:val="21"/>
        </w:rPr>
        <w:t>备注：本报告单一式三份（采购人1份、成交供应商1份、采购代理机构1份）。</w:t>
      </w:r>
    </w:p>
    <w:p>
      <w:pPr>
        <w:jc w:val="left"/>
        <w:rPr>
          <w:rFonts w:ascii="黑体" w:hAnsi="黑体" w:eastAsia="黑体" w:cs="黑体"/>
          <w:bCs/>
        </w:rPr>
      </w:pPr>
      <w:r>
        <w:rPr>
          <w:rFonts w:hint="eastAsia" w:ascii="宋体" w:hAnsi="宋体" w:cs="宋体"/>
          <w:b/>
          <w:sz w:val="24"/>
        </w:rPr>
        <w:br w:type="page"/>
      </w:r>
      <w:r>
        <w:rPr>
          <w:rFonts w:hint="eastAsia" w:ascii="黑体" w:hAnsi="黑体" w:eastAsia="黑体" w:cs="黑体"/>
          <w:bCs/>
        </w:rPr>
        <w:t>附件三</w:t>
      </w:r>
    </w:p>
    <w:p>
      <w:pPr>
        <w:keepNext/>
        <w:adjustRightInd w:val="0"/>
        <w:snapToGrid w:val="0"/>
        <w:spacing w:line="360" w:lineRule="auto"/>
        <w:jc w:val="center"/>
        <w:outlineLvl w:val="2"/>
        <w:rPr>
          <w:rFonts w:ascii="方正小标宋_GBK" w:hAnsi="方正小标宋_GBK" w:eastAsia="方正小标宋_GBK" w:cs="方正小标宋_GBK"/>
          <w:sz w:val="32"/>
          <w:szCs w:val="32"/>
        </w:rPr>
      </w:pPr>
      <w:bookmarkStart w:id="230" w:name="_Toc132707379"/>
      <w:r>
        <w:rPr>
          <w:rFonts w:hint="eastAsia" w:ascii="方正小标宋_GBK" w:hAnsi="方正小标宋_GBK" w:eastAsia="方正小标宋_GBK" w:cs="方正小标宋_GBK"/>
          <w:kern w:val="0"/>
          <w:sz w:val="32"/>
          <w:szCs w:val="32"/>
        </w:rPr>
        <w:t>采购项目履约保证金退付意见书</w:t>
      </w:r>
      <w:bookmarkEnd w:id="230"/>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86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trPr>
        <w:tc>
          <w:tcPr>
            <w:tcW w:w="1008" w:type="dxa"/>
            <w:vMerge w:val="restart"/>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仿宋" w:cs="宋体"/>
              </w:rPr>
            </w:pPr>
            <w:r>
              <w:rPr>
                <w:rFonts w:hint="eastAsia" w:ascii="宋体" w:hAnsi="宋体" w:eastAsia="仿宋" w:cs="宋体"/>
              </w:rPr>
              <w:t>供</w:t>
            </w:r>
          </w:p>
          <w:p>
            <w:pPr>
              <w:jc w:val="center"/>
              <w:rPr>
                <w:rFonts w:ascii="宋体" w:hAnsi="宋体" w:eastAsia="仿宋" w:cs="宋体"/>
              </w:rPr>
            </w:pPr>
            <w:r>
              <w:rPr>
                <w:rFonts w:hint="eastAsia" w:ascii="宋体" w:hAnsi="宋体" w:eastAsia="仿宋" w:cs="宋体"/>
              </w:rPr>
              <w:t>应</w:t>
            </w:r>
          </w:p>
          <w:p>
            <w:pPr>
              <w:jc w:val="center"/>
              <w:rPr>
                <w:rFonts w:ascii="宋体" w:hAnsi="宋体" w:eastAsia="仿宋" w:cs="宋体"/>
              </w:rPr>
            </w:pPr>
            <w:r>
              <w:rPr>
                <w:rFonts w:hint="eastAsia" w:ascii="宋体" w:hAnsi="宋体" w:eastAsia="仿宋" w:cs="宋体"/>
              </w:rPr>
              <w:t>商</w:t>
            </w:r>
          </w:p>
          <w:p>
            <w:pPr>
              <w:jc w:val="center"/>
              <w:rPr>
                <w:rFonts w:ascii="宋体" w:hAnsi="宋体" w:eastAsia="仿宋" w:cs="宋体"/>
              </w:rPr>
            </w:pPr>
            <w:r>
              <w:rPr>
                <w:rFonts w:hint="eastAsia" w:ascii="宋体" w:hAnsi="宋体" w:eastAsia="仿宋" w:cs="宋体"/>
              </w:rPr>
              <w:t>申</w:t>
            </w:r>
          </w:p>
          <w:p>
            <w:pPr>
              <w:jc w:val="center"/>
              <w:rPr>
                <w:rFonts w:ascii="宋体" w:hAnsi="宋体" w:eastAsia="仿宋" w:cs="宋体"/>
                <w:szCs w:val="21"/>
              </w:rPr>
            </w:pPr>
            <w:r>
              <w:rPr>
                <w:rFonts w:hint="eastAsia" w:ascii="宋体" w:hAnsi="宋体" w:eastAsia="仿宋" w:cs="宋体"/>
              </w:rPr>
              <w:t>请</w:t>
            </w:r>
          </w:p>
        </w:tc>
        <w:tc>
          <w:tcPr>
            <w:tcW w:w="864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eastAsia="仿宋" w:cs="宋体"/>
                <w:szCs w:val="21"/>
              </w:rPr>
            </w:pPr>
            <w:r>
              <w:rPr>
                <w:rFonts w:hint="eastAsia" w:ascii="宋体" w:hAnsi="宋体" w:eastAsia="仿宋" w:cs="宋体"/>
              </w:rPr>
              <w:t>项目编号：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8" w:hRule="atLeast"/>
        </w:trPr>
        <w:tc>
          <w:tcPr>
            <w:tcW w:w="1008"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ascii="宋体" w:hAnsi="宋体" w:eastAsia="仿宋" w:cs="宋体"/>
                <w:szCs w:val="21"/>
              </w:rPr>
            </w:pPr>
          </w:p>
        </w:tc>
        <w:tc>
          <w:tcPr>
            <w:tcW w:w="8640" w:type="dxa"/>
            <w:tcBorders>
              <w:top w:val="single" w:color="auto" w:sz="4" w:space="0"/>
              <w:left w:val="single" w:color="auto" w:sz="4" w:space="0"/>
              <w:bottom w:val="single" w:color="auto" w:sz="4" w:space="0"/>
              <w:right w:val="single" w:color="auto" w:sz="4" w:space="0"/>
            </w:tcBorders>
            <w:noWrap/>
            <w:vAlign w:val="center"/>
          </w:tcPr>
          <w:p>
            <w:pPr>
              <w:rPr>
                <w:rFonts w:ascii="宋体" w:hAnsi="宋体" w:eastAsia="仿宋" w:cs="宋体"/>
                <w:szCs w:val="21"/>
              </w:rPr>
            </w:pPr>
            <w:r>
              <w:rPr>
                <w:rFonts w:hint="eastAsia" w:ascii="宋体" w:hAnsi="宋体" w:eastAsia="仿宋" w:cs="宋体"/>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1008"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ascii="宋体" w:hAnsi="宋体" w:eastAsia="仿宋" w:cs="宋体"/>
                <w:szCs w:val="21"/>
              </w:rPr>
            </w:pPr>
          </w:p>
        </w:tc>
        <w:tc>
          <w:tcPr>
            <w:tcW w:w="8640" w:type="dxa"/>
            <w:tcBorders>
              <w:top w:val="single" w:color="auto" w:sz="4" w:space="0"/>
              <w:left w:val="single" w:color="auto" w:sz="4" w:space="0"/>
              <w:bottom w:val="single" w:color="auto" w:sz="4" w:space="0"/>
              <w:right w:val="single" w:color="auto" w:sz="4" w:space="0"/>
            </w:tcBorders>
            <w:noWrap/>
            <w:vAlign w:val="top"/>
          </w:tcPr>
          <w:p>
            <w:pPr>
              <w:rPr>
                <w:rFonts w:ascii="宋体" w:hAnsi="宋体" w:eastAsia="仿宋" w:cs="宋体"/>
              </w:rPr>
            </w:pPr>
          </w:p>
          <w:p>
            <w:pPr>
              <w:spacing w:line="400" w:lineRule="exact"/>
              <w:ind w:firstLine="420" w:firstLineChars="200"/>
              <w:rPr>
                <w:rFonts w:ascii="宋体" w:hAnsi="宋体" w:eastAsia="仿宋" w:cs="宋体"/>
              </w:rPr>
            </w:pPr>
            <w:r>
              <w:rPr>
                <w:rFonts w:hint="eastAsia" w:ascii="宋体" w:hAnsi="宋体" w:eastAsia="仿宋" w:cs="宋体"/>
              </w:rPr>
              <w:t>该项目已于年月日验收并交付使用。根据合同规定，该项目的履约保证金期限于年月日已满，请将履约保证金</w:t>
            </w:r>
          </w:p>
          <w:p>
            <w:pPr>
              <w:spacing w:line="400" w:lineRule="exact"/>
              <w:rPr>
                <w:rFonts w:ascii="宋体" w:hAnsi="宋体" w:eastAsia="仿宋" w:cs="宋体"/>
              </w:rPr>
            </w:pPr>
            <w:r>
              <w:rPr>
                <w:rFonts w:hint="eastAsia" w:ascii="宋体" w:hAnsi="宋体" w:eastAsia="仿宋" w:cs="宋体"/>
              </w:rPr>
              <w:t>（大写）￥（小写）退付到达以下帐户。</w:t>
            </w:r>
          </w:p>
          <w:p>
            <w:pPr>
              <w:spacing w:line="400" w:lineRule="exact"/>
              <w:ind w:firstLine="705"/>
              <w:rPr>
                <w:rFonts w:ascii="宋体" w:hAnsi="宋体" w:eastAsia="仿宋" w:cs="宋体"/>
              </w:rPr>
            </w:pPr>
            <w:r>
              <w:rPr>
                <w:rFonts w:hint="eastAsia" w:ascii="宋体" w:hAnsi="宋体" w:eastAsia="仿宋" w:cs="宋体"/>
              </w:rPr>
              <w:t>单位名称：</w:t>
            </w:r>
          </w:p>
          <w:p>
            <w:pPr>
              <w:spacing w:line="400" w:lineRule="exact"/>
              <w:ind w:firstLine="705"/>
              <w:rPr>
                <w:rFonts w:ascii="宋体" w:hAnsi="宋体" w:eastAsia="仿宋" w:cs="宋体"/>
              </w:rPr>
            </w:pPr>
            <w:r>
              <w:rPr>
                <w:rFonts w:hint="eastAsia" w:ascii="宋体" w:hAnsi="宋体" w:eastAsia="仿宋" w:cs="宋体"/>
              </w:rPr>
              <w:t>开户银行：</w:t>
            </w:r>
          </w:p>
          <w:p>
            <w:pPr>
              <w:spacing w:line="400" w:lineRule="exact"/>
              <w:ind w:firstLine="705"/>
              <w:rPr>
                <w:rFonts w:ascii="宋体" w:hAnsi="宋体" w:eastAsia="仿宋" w:cs="宋体"/>
              </w:rPr>
            </w:pPr>
            <w:r>
              <w:rPr>
                <w:rFonts w:hint="eastAsia" w:ascii="宋体" w:hAnsi="宋体" w:eastAsia="仿宋" w:cs="宋体"/>
              </w:rPr>
              <w:t>帐   号：</w:t>
            </w:r>
          </w:p>
          <w:p>
            <w:pPr>
              <w:spacing w:line="400" w:lineRule="exact"/>
              <w:rPr>
                <w:rFonts w:ascii="宋体" w:hAnsi="宋体" w:eastAsia="仿宋" w:cs="宋体"/>
              </w:rPr>
            </w:pPr>
            <w:r>
              <w:rPr>
                <w:rFonts w:hint="eastAsia" w:ascii="宋体" w:hAnsi="宋体" w:eastAsia="仿宋" w:cs="宋体"/>
              </w:rPr>
              <w:t>联系人及电话：</w:t>
            </w:r>
          </w:p>
          <w:p>
            <w:pPr>
              <w:spacing w:line="400" w:lineRule="exact"/>
              <w:rPr>
                <w:rFonts w:ascii="宋体" w:hAnsi="宋体" w:eastAsia="仿宋" w:cs="宋体"/>
              </w:rPr>
            </w:pPr>
          </w:p>
          <w:p>
            <w:pPr>
              <w:spacing w:line="520" w:lineRule="exact"/>
              <w:jc w:val="center"/>
              <w:rPr>
                <w:rFonts w:ascii="宋体" w:hAnsi="宋体" w:eastAsia="仿宋" w:cs="宋体"/>
              </w:rPr>
            </w:pPr>
            <w:r>
              <w:rPr>
                <w:rFonts w:hint="eastAsia" w:ascii="宋体" w:hAnsi="宋体" w:eastAsia="仿宋" w:cs="宋体"/>
              </w:rPr>
              <w:t xml:space="preserve">                                     供应商签章：</w:t>
            </w:r>
          </w:p>
          <w:p>
            <w:pPr>
              <w:spacing w:line="520" w:lineRule="exact"/>
              <w:jc w:val="center"/>
              <w:rPr>
                <w:rFonts w:ascii="宋体" w:hAnsi="宋体" w:eastAsia="仿宋" w:cs="宋体"/>
                <w:szCs w:val="21"/>
              </w:rPr>
            </w:pPr>
            <w:r>
              <w:rPr>
                <w:rFonts w:hint="eastAsia" w:ascii="宋体" w:hAnsi="宋体" w:eastAsia="仿宋" w:cs="宋体"/>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仿宋" w:cs="宋体"/>
              </w:rPr>
            </w:pPr>
            <w:r>
              <w:rPr>
                <w:rFonts w:hint="eastAsia" w:ascii="宋体" w:hAnsi="宋体" w:eastAsia="仿宋" w:cs="宋体"/>
              </w:rPr>
              <w:t>采</w:t>
            </w:r>
          </w:p>
          <w:p>
            <w:pPr>
              <w:jc w:val="center"/>
              <w:rPr>
                <w:rFonts w:ascii="宋体" w:hAnsi="宋体" w:eastAsia="仿宋" w:cs="宋体"/>
              </w:rPr>
            </w:pPr>
            <w:r>
              <w:rPr>
                <w:rFonts w:hint="eastAsia" w:ascii="宋体" w:hAnsi="宋体" w:eastAsia="仿宋" w:cs="宋体"/>
              </w:rPr>
              <w:t>购</w:t>
            </w:r>
          </w:p>
          <w:p>
            <w:pPr>
              <w:jc w:val="center"/>
              <w:rPr>
                <w:rFonts w:ascii="宋体" w:hAnsi="宋体" w:eastAsia="仿宋" w:cs="宋体"/>
              </w:rPr>
            </w:pPr>
            <w:r>
              <w:rPr>
                <w:rFonts w:hint="eastAsia" w:ascii="宋体" w:hAnsi="宋体" w:eastAsia="仿宋" w:cs="宋体"/>
              </w:rPr>
              <w:t>单</w:t>
            </w:r>
          </w:p>
          <w:p>
            <w:pPr>
              <w:jc w:val="center"/>
              <w:rPr>
                <w:rFonts w:ascii="宋体" w:hAnsi="宋体" w:eastAsia="仿宋" w:cs="宋体"/>
              </w:rPr>
            </w:pPr>
            <w:r>
              <w:rPr>
                <w:rFonts w:hint="eastAsia" w:ascii="宋体" w:hAnsi="宋体" w:eastAsia="仿宋" w:cs="宋体"/>
              </w:rPr>
              <w:t>位</w:t>
            </w:r>
          </w:p>
          <w:p>
            <w:pPr>
              <w:jc w:val="center"/>
              <w:rPr>
                <w:rFonts w:ascii="宋体" w:hAnsi="宋体" w:eastAsia="仿宋" w:cs="宋体"/>
              </w:rPr>
            </w:pPr>
            <w:r>
              <w:rPr>
                <w:rFonts w:hint="eastAsia" w:ascii="宋体" w:hAnsi="宋体" w:eastAsia="仿宋" w:cs="宋体"/>
              </w:rPr>
              <w:t>意</w:t>
            </w:r>
          </w:p>
          <w:p>
            <w:pPr>
              <w:jc w:val="center"/>
              <w:rPr>
                <w:rFonts w:ascii="宋体" w:hAnsi="宋体" w:eastAsia="仿宋" w:cs="宋体"/>
                <w:szCs w:val="21"/>
              </w:rPr>
            </w:pPr>
            <w:r>
              <w:rPr>
                <w:rFonts w:hint="eastAsia" w:ascii="宋体" w:hAnsi="宋体" w:eastAsia="仿宋" w:cs="宋体"/>
              </w:rPr>
              <w:t>见</w:t>
            </w:r>
          </w:p>
        </w:tc>
        <w:tc>
          <w:tcPr>
            <w:tcW w:w="8640" w:type="dxa"/>
            <w:tcBorders>
              <w:top w:val="single" w:color="auto" w:sz="4" w:space="0"/>
              <w:left w:val="single" w:color="auto" w:sz="4" w:space="0"/>
              <w:bottom w:val="single" w:color="auto" w:sz="4" w:space="0"/>
              <w:right w:val="single" w:color="auto" w:sz="4" w:space="0"/>
            </w:tcBorders>
            <w:noWrap/>
            <w:vAlign w:val="top"/>
          </w:tcPr>
          <w:p>
            <w:pPr>
              <w:rPr>
                <w:rFonts w:ascii="宋体" w:hAnsi="宋体" w:eastAsia="仿宋" w:cs="宋体"/>
              </w:rPr>
            </w:pPr>
          </w:p>
          <w:p>
            <w:pPr>
              <w:rPr>
                <w:rFonts w:ascii="宋体" w:hAnsi="宋体" w:eastAsia="仿宋" w:cs="宋体"/>
              </w:rPr>
            </w:pPr>
            <w:r>
              <w:rPr>
                <w:rFonts w:hint="eastAsia" w:ascii="宋体" w:hAnsi="宋体" w:eastAsia="仿宋" w:cs="宋体"/>
              </w:rPr>
              <w:t>退付意见：是否同意退付履约保证金及退付金额：</w:t>
            </w:r>
          </w:p>
          <w:p>
            <w:pPr>
              <w:rPr>
                <w:rFonts w:ascii="宋体" w:hAnsi="宋体" w:eastAsia="仿宋" w:cs="宋体"/>
              </w:rPr>
            </w:pPr>
          </w:p>
          <w:p>
            <w:pPr>
              <w:rPr>
                <w:rFonts w:ascii="宋体" w:hAnsi="宋体" w:eastAsia="仿宋" w:cs="宋体"/>
              </w:rPr>
            </w:pPr>
          </w:p>
          <w:p>
            <w:pPr>
              <w:spacing w:line="520" w:lineRule="exact"/>
              <w:rPr>
                <w:rFonts w:ascii="宋体" w:hAnsi="宋体" w:eastAsia="仿宋" w:cs="宋体"/>
              </w:rPr>
            </w:pPr>
            <w:r>
              <w:rPr>
                <w:rFonts w:hint="eastAsia" w:ascii="宋体" w:hAnsi="宋体" w:eastAsia="仿宋" w:cs="宋体"/>
              </w:rPr>
              <w:t>联系人及电话：                                 采购单位签章</w:t>
            </w:r>
          </w:p>
          <w:p>
            <w:pPr>
              <w:spacing w:line="520" w:lineRule="exact"/>
              <w:jc w:val="center"/>
              <w:rPr>
                <w:rFonts w:ascii="宋体" w:hAnsi="宋体" w:eastAsia="仿宋" w:cs="宋体"/>
                <w:szCs w:val="21"/>
              </w:rPr>
            </w:pPr>
            <w:r>
              <w:rPr>
                <w:rFonts w:hint="eastAsia" w:ascii="宋体" w:hAnsi="宋体" w:eastAsia="仿宋" w:cs="宋体"/>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08" w:type="dxa"/>
            <w:tcBorders>
              <w:top w:val="single" w:color="auto" w:sz="4" w:space="0"/>
              <w:left w:val="single" w:color="auto" w:sz="4" w:space="0"/>
              <w:bottom w:val="single" w:color="auto" w:sz="4" w:space="0"/>
              <w:right w:val="single" w:color="auto" w:sz="4" w:space="0"/>
            </w:tcBorders>
            <w:noWrap/>
            <w:vAlign w:val="center"/>
          </w:tcPr>
          <w:p>
            <w:pPr>
              <w:jc w:val="center"/>
              <w:rPr>
                <w:rFonts w:ascii="宋体" w:hAnsi="宋体" w:eastAsia="仿宋" w:cs="宋体"/>
              </w:rPr>
            </w:pPr>
            <w:r>
              <w:rPr>
                <w:rFonts w:hint="eastAsia" w:ascii="宋体" w:hAnsi="宋体" w:eastAsia="仿宋" w:cs="宋体"/>
              </w:rPr>
              <w:t>财</w:t>
            </w:r>
          </w:p>
          <w:p>
            <w:pPr>
              <w:jc w:val="center"/>
              <w:rPr>
                <w:rFonts w:ascii="宋体" w:hAnsi="宋体" w:eastAsia="仿宋" w:cs="宋体"/>
              </w:rPr>
            </w:pPr>
            <w:r>
              <w:rPr>
                <w:rFonts w:hint="eastAsia" w:ascii="宋体" w:hAnsi="宋体" w:eastAsia="仿宋" w:cs="宋体"/>
              </w:rPr>
              <w:t>务</w:t>
            </w:r>
          </w:p>
          <w:p>
            <w:pPr>
              <w:jc w:val="center"/>
              <w:rPr>
                <w:rFonts w:ascii="宋体" w:hAnsi="宋体" w:eastAsia="仿宋" w:cs="宋体"/>
              </w:rPr>
            </w:pPr>
            <w:r>
              <w:rPr>
                <w:rFonts w:hint="eastAsia" w:ascii="宋体" w:hAnsi="宋体" w:eastAsia="仿宋" w:cs="宋体"/>
              </w:rPr>
              <w:t>部</w:t>
            </w:r>
          </w:p>
          <w:p>
            <w:pPr>
              <w:jc w:val="center"/>
              <w:rPr>
                <w:rFonts w:ascii="宋体" w:hAnsi="宋体" w:eastAsia="仿宋" w:cs="宋体"/>
              </w:rPr>
            </w:pPr>
            <w:r>
              <w:rPr>
                <w:rFonts w:hint="eastAsia" w:ascii="宋体" w:hAnsi="宋体" w:eastAsia="仿宋" w:cs="宋体"/>
              </w:rPr>
              <w:t>门</w:t>
            </w:r>
          </w:p>
          <w:p>
            <w:pPr>
              <w:jc w:val="center"/>
              <w:rPr>
                <w:rFonts w:ascii="宋体" w:hAnsi="宋体" w:eastAsia="仿宋" w:cs="宋体"/>
              </w:rPr>
            </w:pPr>
            <w:r>
              <w:rPr>
                <w:rFonts w:hint="eastAsia" w:ascii="宋体" w:hAnsi="宋体" w:eastAsia="仿宋" w:cs="宋体"/>
              </w:rPr>
              <w:t>意</w:t>
            </w:r>
          </w:p>
          <w:p>
            <w:pPr>
              <w:jc w:val="center"/>
              <w:rPr>
                <w:rFonts w:ascii="宋体" w:hAnsi="宋体" w:eastAsia="仿宋" w:cs="宋体"/>
                <w:szCs w:val="21"/>
              </w:rPr>
            </w:pPr>
            <w:r>
              <w:rPr>
                <w:rFonts w:hint="eastAsia" w:ascii="宋体" w:hAnsi="宋体" w:eastAsia="仿宋" w:cs="宋体"/>
              </w:rPr>
              <w:t>见</w:t>
            </w:r>
          </w:p>
        </w:tc>
        <w:tc>
          <w:tcPr>
            <w:tcW w:w="8640" w:type="dxa"/>
            <w:tcBorders>
              <w:top w:val="single" w:color="auto" w:sz="4" w:space="0"/>
              <w:left w:val="single" w:color="auto" w:sz="4" w:space="0"/>
              <w:bottom w:val="single" w:color="auto" w:sz="4" w:space="0"/>
              <w:right w:val="single" w:color="auto" w:sz="4" w:space="0"/>
            </w:tcBorders>
            <w:noWrap/>
            <w:vAlign w:val="top"/>
          </w:tcPr>
          <w:p>
            <w:pPr>
              <w:spacing w:line="640" w:lineRule="exact"/>
              <w:rPr>
                <w:rFonts w:ascii="宋体" w:hAnsi="宋体" w:eastAsia="仿宋" w:cs="宋体"/>
              </w:rPr>
            </w:pPr>
            <w:r>
              <w:rPr>
                <w:rFonts w:hint="eastAsia" w:ascii="宋体" w:hAnsi="宋体" w:eastAsia="仿宋" w:cs="宋体"/>
              </w:rPr>
              <w:t>此表于年 月  日收到。</w:t>
            </w:r>
          </w:p>
          <w:p>
            <w:pPr>
              <w:spacing w:line="640" w:lineRule="exact"/>
              <w:rPr>
                <w:rFonts w:ascii="宋体" w:hAnsi="宋体" w:eastAsia="仿宋" w:cs="宋体"/>
              </w:rPr>
            </w:pPr>
            <w:r>
              <w:rPr>
                <w:rFonts w:hint="eastAsia" w:ascii="宋体" w:hAnsi="宋体" w:eastAsia="仿宋" w:cs="宋体"/>
              </w:rPr>
              <w:t>会计审核：</w:t>
            </w:r>
          </w:p>
          <w:p>
            <w:pPr>
              <w:spacing w:line="640" w:lineRule="exact"/>
              <w:rPr>
                <w:rFonts w:ascii="宋体" w:hAnsi="宋体" w:eastAsia="仿宋" w:cs="宋体"/>
              </w:rPr>
            </w:pPr>
            <w:r>
              <w:rPr>
                <w:rFonts w:hint="eastAsia" w:ascii="宋体" w:hAnsi="宋体" w:eastAsia="仿宋" w:cs="宋体"/>
              </w:rPr>
              <w:t>财务负责人审核：</w:t>
            </w:r>
          </w:p>
          <w:p>
            <w:pPr>
              <w:spacing w:line="640" w:lineRule="exact"/>
              <w:rPr>
                <w:rFonts w:ascii="宋体" w:hAnsi="宋体" w:eastAsia="仿宋" w:cs="宋体"/>
              </w:rPr>
            </w:pPr>
            <w:r>
              <w:rPr>
                <w:rFonts w:hint="eastAsia" w:ascii="宋体" w:hAnsi="宋体" w:eastAsia="仿宋" w:cs="宋体"/>
              </w:rPr>
              <w:t>单位负责人签字：</w:t>
            </w:r>
          </w:p>
          <w:p>
            <w:pPr>
              <w:spacing w:line="640" w:lineRule="exact"/>
              <w:rPr>
                <w:rFonts w:ascii="宋体" w:hAnsi="宋体" w:eastAsia="仿宋" w:cs="宋体"/>
                <w:szCs w:val="21"/>
              </w:rPr>
            </w:pPr>
            <w:r>
              <w:rPr>
                <w:rFonts w:hint="eastAsia" w:ascii="宋体" w:hAnsi="宋体" w:eastAsia="仿宋" w:cs="宋体"/>
              </w:rPr>
              <w:t>出纳办理转帐日期：</w:t>
            </w:r>
          </w:p>
        </w:tc>
      </w:tr>
    </w:tbl>
    <w:p>
      <w:pPr>
        <w:pStyle w:val="17"/>
        <w:spacing w:line="360" w:lineRule="auto"/>
        <w:rPr>
          <w:rFonts w:hint="eastAsia" w:hAnsi="宋体" w:cs="宋体"/>
        </w:rPr>
      </w:pPr>
      <w:r>
        <w:rPr>
          <w:rFonts w:hint="eastAsia" w:hAnsi="宋体" w:eastAsia="仿宋" w:cs="宋体"/>
          <w:b/>
          <w:bCs/>
          <w:sz w:val="18"/>
          <w:szCs w:val="18"/>
          <w:lang w:val="en-US" w:eastAsia="zh-CN"/>
        </w:rPr>
        <w:t>注：供应商凭经采购单位审批的退付意见书到履约保证金收取单位财务部办理履约保证金退付事宜。</w:t>
      </w:r>
    </w:p>
    <w:p>
      <w:pPr>
        <w:widowControl/>
        <w:spacing w:line="360" w:lineRule="auto"/>
        <w:jc w:val="left"/>
        <w:rPr>
          <w:rFonts w:ascii="宋体" w:hAnsi="宋体"/>
          <w:b/>
          <w:bCs/>
          <w:sz w:val="44"/>
          <w:szCs w:val="44"/>
        </w:rPr>
        <w:sectPr>
          <w:pgSz w:w="11910" w:h="16840"/>
          <w:pgMar w:top="1340" w:right="1500" w:bottom="280" w:left="1680" w:header="720" w:footer="720" w:gutter="0"/>
          <w:cols w:space="720" w:num="1"/>
          <w:docGrid w:type="lines" w:linePitch="312" w:charSpace="0"/>
        </w:sectPr>
      </w:pPr>
    </w:p>
    <w:p>
      <w:pPr>
        <w:spacing w:line="360" w:lineRule="auto"/>
        <w:jc w:val="center"/>
        <w:rPr>
          <w:rFonts w:hint="eastAsia" w:ascii="宋体" w:hAnsi="宋体" w:cs="仿宋_GB2312"/>
          <w:b/>
          <w:sz w:val="44"/>
          <w:szCs w:val="44"/>
        </w:rPr>
      </w:pPr>
      <w:r>
        <w:rPr>
          <w:rFonts w:hint="eastAsia" w:ascii="宋体" w:hAnsi="宋体" w:cs="仿宋_GB2312"/>
          <w:b/>
          <w:sz w:val="44"/>
          <w:szCs w:val="44"/>
        </w:rPr>
        <w:t xml:space="preserve"> </w:t>
      </w:r>
    </w:p>
    <w:p>
      <w:pPr>
        <w:spacing w:line="360" w:lineRule="auto"/>
        <w:jc w:val="center"/>
        <w:rPr>
          <w:rFonts w:hint="eastAsia" w:ascii="宋体" w:hAnsi="宋体" w:cs="仿宋_GB2312"/>
          <w:b/>
          <w:sz w:val="44"/>
          <w:szCs w:val="44"/>
        </w:rPr>
      </w:pPr>
      <w:r>
        <w:rPr>
          <w:rFonts w:hint="eastAsia" w:ascii="宋体" w:hAnsi="宋体" w:cs="仿宋_GB2312"/>
          <w:b/>
          <w:sz w:val="44"/>
          <w:szCs w:val="44"/>
        </w:rPr>
        <w:t xml:space="preserve"> </w:t>
      </w:r>
    </w:p>
    <w:p>
      <w:pPr>
        <w:spacing w:line="360" w:lineRule="auto"/>
        <w:jc w:val="center"/>
        <w:rPr>
          <w:rFonts w:hint="eastAsia" w:ascii="宋体" w:hAnsi="宋体" w:cs="仿宋_GB2312"/>
          <w:b/>
          <w:sz w:val="44"/>
          <w:szCs w:val="44"/>
        </w:rPr>
      </w:pPr>
      <w:r>
        <w:rPr>
          <w:rFonts w:hint="eastAsia" w:ascii="宋体" w:hAnsi="宋体" w:cs="仿宋_GB2312"/>
          <w:b/>
          <w:sz w:val="44"/>
          <w:szCs w:val="44"/>
        </w:rPr>
        <w:t xml:space="preserve"> </w:t>
      </w:r>
    </w:p>
    <w:p>
      <w:pPr>
        <w:spacing w:line="360" w:lineRule="auto"/>
        <w:jc w:val="center"/>
        <w:rPr>
          <w:rFonts w:hint="eastAsia" w:ascii="宋体" w:hAnsi="宋体" w:cs="仿宋_GB2312"/>
          <w:b/>
          <w:sz w:val="44"/>
          <w:szCs w:val="44"/>
        </w:rPr>
      </w:pPr>
      <w:r>
        <w:rPr>
          <w:rFonts w:hint="eastAsia" w:ascii="宋体" w:hAnsi="宋体" w:cs="仿宋_GB2312"/>
          <w:b/>
          <w:sz w:val="44"/>
          <w:szCs w:val="44"/>
        </w:rPr>
        <w:t xml:space="preserve"> </w:t>
      </w:r>
    </w:p>
    <w:p>
      <w:pPr>
        <w:spacing w:line="360" w:lineRule="auto"/>
        <w:jc w:val="center"/>
        <w:rPr>
          <w:rFonts w:hint="eastAsia" w:ascii="宋体" w:hAnsi="宋体" w:cs="仿宋_GB2312"/>
          <w:b/>
          <w:sz w:val="44"/>
          <w:szCs w:val="44"/>
        </w:rPr>
      </w:pPr>
      <w:r>
        <w:rPr>
          <w:rFonts w:hint="eastAsia" w:ascii="宋体" w:hAnsi="宋体" w:cs="仿宋_GB2312"/>
          <w:b/>
          <w:sz w:val="44"/>
          <w:szCs w:val="44"/>
        </w:rPr>
        <w:t xml:space="preserve"> </w:t>
      </w:r>
    </w:p>
    <w:p>
      <w:pPr>
        <w:pStyle w:val="2"/>
        <w:keepLines w:val="0"/>
        <w:widowControl/>
        <w:jc w:val="center"/>
        <w:rPr>
          <w:rFonts w:hint="eastAsia" w:ascii="宋体" w:hAnsi="宋体" w:cs="仿宋_GB2312"/>
        </w:rPr>
      </w:pPr>
      <w:bookmarkStart w:id="231" w:name="_Toc80886951"/>
      <w:bookmarkEnd w:id="231"/>
      <w:bookmarkStart w:id="232" w:name="_Toc122512763"/>
      <w:r>
        <w:rPr>
          <w:rFonts w:hint="eastAsia" w:ascii="宋体" w:hAnsi="宋体" w:cs="仿宋_GB2312"/>
          <w:b w:val="0"/>
        </w:rPr>
        <w:t>第七章 质疑、投诉材料格式</w:t>
      </w:r>
      <w:bookmarkEnd w:id="232"/>
    </w:p>
    <w:p>
      <w:pPr>
        <w:widowControl/>
        <w:jc w:val="left"/>
        <w:rPr>
          <w:rFonts w:ascii="宋体" w:hAnsi="宋体" w:cs="仿宋_GB2312"/>
          <w:b/>
          <w:bCs/>
          <w:kern w:val="44"/>
          <w:sz w:val="44"/>
          <w:szCs w:val="44"/>
        </w:rPr>
        <w:sectPr>
          <w:pgSz w:w="11910" w:h="16840"/>
          <w:pgMar w:top="1340" w:right="1500" w:bottom="280" w:left="1680" w:header="720" w:footer="720" w:gutter="0"/>
          <w:cols w:space="720" w:num="1"/>
          <w:docGrid w:type="lines" w:linePitch="312" w:charSpace="0"/>
        </w:sectPr>
      </w:pPr>
    </w:p>
    <w:p>
      <w:pPr>
        <w:spacing w:line="360" w:lineRule="auto"/>
        <w:jc w:val="center"/>
        <w:rPr>
          <w:rFonts w:hint="eastAsia" w:ascii="宋体" w:hAnsi="宋体"/>
          <w:b/>
          <w:bCs/>
          <w:sz w:val="32"/>
          <w:szCs w:val="32"/>
        </w:rPr>
      </w:pPr>
      <w:r>
        <w:rPr>
          <w:rFonts w:hint="eastAsia" w:ascii="宋体" w:hAnsi="宋体"/>
          <w:b/>
          <w:bCs/>
          <w:sz w:val="32"/>
          <w:szCs w:val="32"/>
        </w:rPr>
        <w:t>质疑函（格式）</w:t>
      </w:r>
    </w:p>
    <w:p>
      <w:pPr>
        <w:pStyle w:val="17"/>
        <w:widowControl/>
        <w:spacing w:line="360" w:lineRule="auto"/>
        <w:ind w:firstLine="482" w:firstLineChars="200"/>
        <w:rPr>
          <w:rFonts w:hint="eastAsia" w:hAnsi="宋体"/>
          <w:b/>
          <w:bCs/>
          <w:sz w:val="24"/>
          <w:szCs w:val="24"/>
        </w:rPr>
      </w:pPr>
      <w:r>
        <w:rPr>
          <w:rFonts w:hint="eastAsia" w:hAnsi="宋体"/>
          <w:b/>
          <w:bCs/>
          <w:sz w:val="24"/>
          <w:szCs w:val="24"/>
        </w:rPr>
        <w:t>一、质疑供应商基本信息：</w:t>
      </w:r>
    </w:p>
    <w:p>
      <w:pPr>
        <w:pStyle w:val="17"/>
        <w:widowControl/>
        <w:spacing w:line="360" w:lineRule="auto"/>
        <w:ind w:firstLine="480" w:firstLineChars="200"/>
        <w:rPr>
          <w:rFonts w:hint="eastAsia" w:hAnsi="宋体"/>
          <w:bCs/>
          <w:sz w:val="24"/>
          <w:szCs w:val="24"/>
          <w:u w:val="single"/>
        </w:rPr>
      </w:pPr>
      <w:r>
        <w:rPr>
          <w:rFonts w:hint="eastAsia" w:hAnsi="宋体"/>
          <w:bCs/>
          <w:sz w:val="24"/>
          <w:szCs w:val="24"/>
        </w:rPr>
        <w:t>质疑供应商：</w:t>
      </w:r>
      <w:r>
        <w:rPr>
          <w:rFonts w:hint="eastAsia" w:hAnsi="宋体"/>
          <w:bCs/>
          <w:sz w:val="24"/>
          <w:szCs w:val="24"/>
          <w:u w:val="single"/>
        </w:rPr>
        <w:t xml:space="preserve">                                       </w:t>
      </w:r>
      <w:r>
        <w:rPr>
          <w:rFonts w:hint="eastAsia" w:hAnsi="宋体"/>
          <w:bCs/>
          <w:sz w:val="24"/>
          <w:szCs w:val="24"/>
        </w:rPr>
        <w:t xml:space="preserve">                 </w:t>
      </w:r>
    </w:p>
    <w:p>
      <w:pPr>
        <w:pStyle w:val="17"/>
        <w:widowControl/>
        <w:spacing w:line="360" w:lineRule="auto"/>
        <w:ind w:firstLine="480" w:firstLineChars="200"/>
        <w:rPr>
          <w:rFonts w:hint="eastAsia" w:hAnsi="宋体"/>
          <w:bCs/>
          <w:sz w:val="24"/>
          <w:szCs w:val="24"/>
        </w:rPr>
      </w:pPr>
      <w:r>
        <w:rPr>
          <w:rFonts w:hint="eastAsia" w:hAnsi="宋体"/>
          <w:bCs/>
          <w:sz w:val="24"/>
          <w:szCs w:val="24"/>
        </w:rPr>
        <w:t>地址：</w:t>
      </w:r>
      <w:r>
        <w:rPr>
          <w:rFonts w:hint="eastAsia" w:hAnsi="宋体"/>
          <w:bCs/>
          <w:sz w:val="24"/>
          <w:szCs w:val="24"/>
          <w:u w:val="single"/>
        </w:rPr>
        <w:t xml:space="preserve">                                          </w:t>
      </w:r>
      <w:r>
        <w:rPr>
          <w:rFonts w:hint="eastAsia" w:hAnsi="宋体"/>
          <w:bCs/>
          <w:sz w:val="24"/>
          <w:szCs w:val="24"/>
        </w:rPr>
        <w:t>邮编：</w:t>
      </w:r>
      <w:r>
        <w:rPr>
          <w:rFonts w:hint="eastAsia" w:hAnsi="宋体"/>
          <w:bCs/>
          <w:sz w:val="24"/>
          <w:szCs w:val="24"/>
          <w:u w:val="single"/>
        </w:rPr>
        <w:t xml:space="preserve">                  </w:t>
      </w:r>
      <w:r>
        <w:rPr>
          <w:rFonts w:hint="eastAsia" w:hAnsi="宋体"/>
          <w:bCs/>
          <w:sz w:val="24"/>
          <w:szCs w:val="24"/>
        </w:rPr>
        <w:t xml:space="preserve">                 </w:t>
      </w:r>
    </w:p>
    <w:p>
      <w:pPr>
        <w:pStyle w:val="17"/>
        <w:widowControl/>
        <w:spacing w:line="360" w:lineRule="auto"/>
        <w:ind w:firstLine="480" w:firstLineChars="200"/>
        <w:rPr>
          <w:rFonts w:hint="eastAsia" w:hAnsi="宋体"/>
          <w:bCs/>
          <w:sz w:val="24"/>
          <w:szCs w:val="24"/>
        </w:rPr>
      </w:pPr>
      <w:r>
        <w:rPr>
          <w:rFonts w:hint="eastAsia" w:hAnsi="宋体"/>
          <w:bCs/>
          <w:sz w:val="24"/>
          <w:szCs w:val="24"/>
        </w:rPr>
        <w:t>联系人：</w:t>
      </w:r>
      <w:r>
        <w:rPr>
          <w:rFonts w:hint="eastAsia" w:hAnsi="宋体"/>
          <w:bCs/>
          <w:sz w:val="24"/>
          <w:szCs w:val="24"/>
          <w:u w:val="single"/>
        </w:rPr>
        <w:t xml:space="preserve">                     </w:t>
      </w:r>
      <w:r>
        <w:rPr>
          <w:rFonts w:hint="eastAsia" w:hAnsi="宋体"/>
          <w:bCs/>
          <w:sz w:val="24"/>
          <w:szCs w:val="24"/>
        </w:rPr>
        <w:t>联系电话：</w:t>
      </w:r>
      <w:r>
        <w:rPr>
          <w:rFonts w:hint="eastAsia" w:hAnsi="宋体"/>
          <w:bCs/>
          <w:sz w:val="24"/>
          <w:szCs w:val="24"/>
          <w:u w:val="single"/>
        </w:rPr>
        <w:t xml:space="preserve">                 </w:t>
      </w:r>
    </w:p>
    <w:p>
      <w:pPr>
        <w:pStyle w:val="17"/>
        <w:widowControl/>
        <w:spacing w:line="360" w:lineRule="auto"/>
        <w:ind w:firstLine="480" w:firstLineChars="200"/>
        <w:rPr>
          <w:rFonts w:hint="eastAsia" w:hAnsi="宋体"/>
          <w:bCs/>
          <w:sz w:val="24"/>
          <w:szCs w:val="24"/>
        </w:rPr>
      </w:pPr>
      <w:r>
        <w:rPr>
          <w:rFonts w:hint="eastAsia" w:hAnsi="宋体"/>
          <w:bCs/>
          <w:sz w:val="24"/>
          <w:szCs w:val="24"/>
        </w:rPr>
        <w:t>授权代表：</w:t>
      </w:r>
      <w:r>
        <w:rPr>
          <w:rFonts w:hint="eastAsia" w:hAnsi="宋体"/>
          <w:bCs/>
          <w:sz w:val="24"/>
          <w:szCs w:val="24"/>
          <w:u w:val="single"/>
        </w:rPr>
        <w:t xml:space="preserve">                      </w:t>
      </w:r>
    </w:p>
    <w:p>
      <w:pPr>
        <w:pStyle w:val="17"/>
        <w:widowControl/>
        <w:spacing w:line="360" w:lineRule="auto"/>
        <w:ind w:firstLine="480" w:firstLineChars="200"/>
        <w:rPr>
          <w:rFonts w:hint="eastAsia" w:hAnsi="宋体"/>
          <w:bCs/>
          <w:sz w:val="24"/>
          <w:szCs w:val="24"/>
          <w:u w:val="single"/>
        </w:rPr>
      </w:pPr>
      <w:r>
        <w:rPr>
          <w:rFonts w:hint="eastAsia" w:hAnsi="宋体"/>
          <w:bCs/>
          <w:sz w:val="24"/>
          <w:szCs w:val="24"/>
        </w:rPr>
        <w:t>联系电话：</w:t>
      </w:r>
      <w:r>
        <w:rPr>
          <w:rFonts w:hint="eastAsia" w:hAnsi="宋体"/>
          <w:bCs/>
          <w:sz w:val="24"/>
          <w:szCs w:val="24"/>
          <w:u w:val="single"/>
        </w:rPr>
        <w:t xml:space="preserve">                      </w:t>
      </w:r>
    </w:p>
    <w:p>
      <w:pPr>
        <w:pStyle w:val="17"/>
        <w:widowControl/>
        <w:spacing w:line="360" w:lineRule="auto"/>
        <w:ind w:firstLine="480" w:firstLineChars="200"/>
        <w:rPr>
          <w:rFonts w:hint="eastAsia" w:hAnsi="宋体"/>
          <w:bCs/>
          <w:sz w:val="24"/>
          <w:szCs w:val="24"/>
        </w:rPr>
      </w:pPr>
      <w:r>
        <w:rPr>
          <w:rFonts w:hint="eastAsia" w:hAnsi="宋体"/>
          <w:bCs/>
          <w:sz w:val="24"/>
          <w:szCs w:val="24"/>
        </w:rPr>
        <w:t>地址：</w:t>
      </w:r>
      <w:r>
        <w:rPr>
          <w:rFonts w:hint="eastAsia" w:hAnsi="宋体"/>
          <w:bCs/>
          <w:sz w:val="24"/>
          <w:szCs w:val="24"/>
          <w:u w:val="single"/>
        </w:rPr>
        <w:t xml:space="preserve">                 </w:t>
      </w:r>
      <w:r>
        <w:rPr>
          <w:rFonts w:hint="eastAsia" w:hAnsi="宋体"/>
          <w:bCs/>
          <w:sz w:val="24"/>
          <w:szCs w:val="24"/>
        </w:rPr>
        <w:t>邮编：</w:t>
      </w:r>
      <w:r>
        <w:rPr>
          <w:rFonts w:hint="eastAsia" w:hAnsi="宋体"/>
          <w:bCs/>
          <w:sz w:val="24"/>
          <w:szCs w:val="24"/>
          <w:u w:val="single"/>
        </w:rPr>
        <w:t xml:space="preserve">                  </w:t>
      </w:r>
      <w:r>
        <w:rPr>
          <w:rFonts w:hint="eastAsia" w:hAnsi="宋体"/>
          <w:bCs/>
          <w:sz w:val="24"/>
          <w:szCs w:val="24"/>
        </w:rPr>
        <w:t xml:space="preserve">     </w:t>
      </w:r>
    </w:p>
    <w:p>
      <w:pPr>
        <w:pStyle w:val="17"/>
        <w:widowControl/>
        <w:spacing w:line="360" w:lineRule="auto"/>
        <w:ind w:firstLine="482" w:firstLineChars="200"/>
        <w:rPr>
          <w:rFonts w:hint="eastAsia" w:hAnsi="宋体"/>
          <w:b/>
          <w:bCs/>
          <w:sz w:val="24"/>
          <w:szCs w:val="24"/>
        </w:rPr>
      </w:pPr>
      <w:r>
        <w:rPr>
          <w:rFonts w:hint="eastAsia" w:hAnsi="宋体"/>
          <w:b/>
          <w:bCs/>
          <w:sz w:val="24"/>
          <w:szCs w:val="24"/>
        </w:rPr>
        <w:t>二、质疑项目基本情况：</w:t>
      </w:r>
    </w:p>
    <w:p>
      <w:pPr>
        <w:pStyle w:val="27"/>
        <w:spacing w:line="360" w:lineRule="auto"/>
        <w:ind w:left="25" w:leftChars="12" w:firstLine="472" w:firstLineChars="197"/>
        <w:contextualSpacing/>
        <w:rPr>
          <w:rFonts w:hint="eastAsia" w:hAnsi="宋体"/>
        </w:rPr>
      </w:pPr>
      <w:r>
        <w:rPr>
          <w:rFonts w:ascii="宋体" w:hAnsi="宋体"/>
          <w:bCs/>
        </w:rPr>
        <w:t>质疑</w:t>
      </w:r>
      <w:r>
        <w:rPr>
          <w:rFonts w:ascii="宋体" w:hAnsi="宋体"/>
        </w:rPr>
        <w:t>项目的名称：</w:t>
      </w:r>
      <w:r>
        <w:rPr>
          <w:rFonts w:hint="eastAsia" w:ascii="宋体" w:hAnsi="宋体"/>
          <w:bCs/>
          <w:u w:val="single"/>
        </w:rPr>
        <w:t xml:space="preserve">                         </w:t>
      </w:r>
    </w:p>
    <w:p>
      <w:pPr>
        <w:pStyle w:val="27"/>
        <w:spacing w:line="360" w:lineRule="auto"/>
        <w:ind w:left="25" w:leftChars="12" w:firstLine="472" w:firstLineChars="197"/>
        <w:contextualSpacing/>
        <w:rPr>
          <w:rFonts w:hAnsi="宋体"/>
        </w:rPr>
      </w:pPr>
      <w:r>
        <w:rPr>
          <w:rFonts w:ascii="宋体" w:hAnsi="宋体"/>
          <w:bCs/>
        </w:rPr>
        <w:t>质疑</w:t>
      </w:r>
      <w:r>
        <w:rPr>
          <w:rFonts w:ascii="宋体" w:hAnsi="宋体"/>
        </w:rPr>
        <w:t>项目的编号：</w:t>
      </w:r>
      <w:bookmarkStart w:id="233" w:name="PO_3000001868_PM001_13"/>
      <w:bookmarkEnd w:id="233"/>
      <w:r>
        <w:rPr>
          <w:rFonts w:hint="eastAsia" w:ascii="宋体" w:hAnsi="宋体"/>
          <w:bCs/>
          <w:u w:val="single"/>
        </w:rPr>
        <w:t xml:space="preserve">                     </w:t>
      </w:r>
      <w:r>
        <w:rPr>
          <w:rFonts w:ascii="宋体" w:hAnsi="宋体"/>
          <w:bCs/>
          <w:u w:val="single"/>
        </w:rPr>
        <w:t xml:space="preserve"> </w:t>
      </w:r>
    </w:p>
    <w:p>
      <w:pPr>
        <w:pStyle w:val="27"/>
        <w:spacing w:line="360" w:lineRule="auto"/>
        <w:ind w:left="25" w:leftChars="12" w:firstLine="472" w:firstLineChars="197"/>
        <w:contextualSpacing/>
        <w:rPr>
          <w:rFonts w:hAnsi="宋体"/>
        </w:rPr>
      </w:pPr>
      <w:r>
        <w:rPr>
          <w:rFonts w:ascii="宋体" w:hAnsi="宋体"/>
        </w:rPr>
        <w:t>采购人名称：</w:t>
      </w:r>
      <w:r>
        <w:rPr>
          <w:rFonts w:hint="eastAsia" w:hAnsi="宋体"/>
          <w:bCs/>
          <w:u w:val="single"/>
        </w:rPr>
        <w:t xml:space="preserve">                            </w:t>
      </w:r>
    </w:p>
    <w:p>
      <w:pPr>
        <w:pStyle w:val="27"/>
        <w:spacing w:line="360" w:lineRule="auto"/>
        <w:ind w:left="25" w:leftChars="12" w:firstLine="472" w:firstLineChars="197"/>
        <w:contextualSpacing/>
        <w:rPr>
          <w:rFonts w:hAnsi="宋体"/>
        </w:rPr>
      </w:pPr>
      <w:r>
        <w:rPr>
          <w:rFonts w:ascii="宋体" w:hAnsi="宋体"/>
        </w:rPr>
        <w:t>质疑事项：</w:t>
      </w:r>
    </w:p>
    <w:p>
      <w:pPr>
        <w:pStyle w:val="27"/>
        <w:spacing w:line="360" w:lineRule="auto"/>
        <w:ind w:left="25" w:leftChars="12" w:firstLine="352" w:firstLineChars="147"/>
        <w:contextualSpacing/>
        <w:rPr>
          <w:rFonts w:hAnsi="宋体"/>
        </w:rPr>
      </w:pPr>
      <w:r>
        <w:rPr>
          <w:rFonts w:ascii="宋体" w:hAnsi="宋体"/>
        </w:rPr>
        <w:t>□采购文件   采购文件获取日期：</w:t>
      </w:r>
      <w:r>
        <w:rPr>
          <w:rFonts w:hAnsi="宋体"/>
          <w:bCs/>
          <w:u w:val="single"/>
        </w:rPr>
        <w:t xml:space="preserve">                                   </w:t>
      </w:r>
    </w:p>
    <w:p>
      <w:pPr>
        <w:pStyle w:val="27"/>
        <w:spacing w:line="360" w:lineRule="auto"/>
        <w:ind w:left="25" w:leftChars="12" w:firstLine="352" w:firstLineChars="147"/>
        <w:contextualSpacing/>
        <w:rPr>
          <w:rFonts w:hAnsi="宋体"/>
        </w:rPr>
      </w:pPr>
      <w:r>
        <w:rPr>
          <w:rFonts w:ascii="宋体" w:hAnsi="宋体"/>
        </w:rPr>
        <w:t xml:space="preserve">□采购过程   </w:t>
      </w:r>
    </w:p>
    <w:p>
      <w:pPr>
        <w:pStyle w:val="27"/>
        <w:spacing w:line="360" w:lineRule="auto"/>
        <w:ind w:left="25" w:leftChars="12" w:firstLine="352" w:firstLineChars="147"/>
        <w:contextualSpacing/>
        <w:rPr>
          <w:rFonts w:hAnsi="宋体"/>
          <w:bCs/>
          <w:u w:val="single"/>
        </w:rPr>
      </w:pPr>
      <w:r>
        <w:rPr>
          <w:rFonts w:ascii="宋体" w:hAnsi="宋体"/>
        </w:rPr>
        <w:t xml:space="preserve">□成交结果   </w:t>
      </w:r>
    </w:p>
    <w:p>
      <w:pPr>
        <w:pStyle w:val="27"/>
        <w:spacing w:line="360" w:lineRule="auto"/>
        <w:ind w:left="25" w:leftChars="12" w:firstLine="472" w:firstLineChars="196"/>
        <w:contextualSpacing/>
        <w:rPr>
          <w:rFonts w:hAnsi="宋体"/>
          <w:b/>
        </w:rPr>
      </w:pPr>
      <w:r>
        <w:rPr>
          <w:rFonts w:ascii="宋体" w:hAnsi="宋体"/>
          <w:b/>
        </w:rPr>
        <w:t>三、质疑事项具体内容</w:t>
      </w:r>
    </w:p>
    <w:p>
      <w:pPr>
        <w:pStyle w:val="27"/>
        <w:spacing w:line="360" w:lineRule="auto"/>
        <w:ind w:left="25" w:leftChars="12" w:firstLine="472" w:firstLineChars="197"/>
        <w:contextualSpacing/>
        <w:rPr>
          <w:rFonts w:hAnsi="宋体"/>
        </w:rPr>
      </w:pPr>
      <w:r>
        <w:rPr>
          <w:rFonts w:ascii="宋体" w:hAnsi="宋体"/>
        </w:rPr>
        <w:t>质疑事项</w:t>
      </w:r>
      <w:r>
        <w:rPr>
          <w:rFonts w:hAnsi="宋体"/>
        </w:rPr>
        <w:t>1</w:t>
      </w:r>
      <w:r>
        <w:rPr>
          <w:rFonts w:ascii="宋体" w:hAnsi="宋体"/>
        </w:rPr>
        <w:t>：</w:t>
      </w:r>
      <w:r>
        <w:rPr>
          <w:rFonts w:hAnsi="宋体"/>
          <w:bCs/>
          <w:u w:val="single"/>
        </w:rPr>
        <w:t xml:space="preserve">                                                                    </w:t>
      </w:r>
    </w:p>
    <w:p>
      <w:pPr>
        <w:pStyle w:val="27"/>
        <w:spacing w:line="360" w:lineRule="auto"/>
        <w:ind w:left="25" w:leftChars="12" w:firstLine="472" w:firstLineChars="197"/>
        <w:contextualSpacing/>
        <w:rPr>
          <w:rFonts w:hAnsi="宋体"/>
        </w:rPr>
      </w:pPr>
      <w:r>
        <w:rPr>
          <w:rFonts w:ascii="宋体" w:hAnsi="宋体"/>
        </w:rPr>
        <w:t>事实依据：</w:t>
      </w:r>
      <w:r>
        <w:rPr>
          <w:rFonts w:hAnsi="宋体"/>
          <w:bCs/>
          <w:u w:val="single"/>
        </w:rPr>
        <w:t xml:space="preserve">                                                                      </w:t>
      </w:r>
    </w:p>
    <w:p>
      <w:pPr>
        <w:pStyle w:val="27"/>
        <w:spacing w:line="360" w:lineRule="auto"/>
        <w:ind w:left="25" w:leftChars="12" w:firstLine="472" w:firstLineChars="197"/>
        <w:contextualSpacing/>
        <w:rPr>
          <w:rFonts w:hAnsi="宋体"/>
        </w:rPr>
      </w:pPr>
      <w:r>
        <w:rPr>
          <w:rFonts w:ascii="宋体" w:hAnsi="宋体"/>
        </w:rPr>
        <w:t>法律依据：</w:t>
      </w:r>
      <w:r>
        <w:rPr>
          <w:rFonts w:hAnsi="宋体"/>
          <w:u w:val="single"/>
        </w:rPr>
        <w:t xml:space="preserve">                                                        </w:t>
      </w:r>
      <w:r>
        <w:rPr>
          <w:rFonts w:hAnsi="宋体"/>
          <w:bCs/>
          <w:u w:val="single"/>
        </w:rPr>
        <w:t xml:space="preserve">               </w:t>
      </w:r>
    </w:p>
    <w:p>
      <w:pPr>
        <w:pStyle w:val="27"/>
        <w:spacing w:line="360" w:lineRule="auto"/>
        <w:ind w:left="25" w:leftChars="12" w:firstLine="472" w:firstLineChars="197"/>
        <w:contextualSpacing/>
        <w:rPr>
          <w:rFonts w:hAnsi="宋体"/>
        </w:rPr>
      </w:pPr>
      <w:r>
        <w:rPr>
          <w:rFonts w:ascii="宋体" w:hAnsi="宋体"/>
        </w:rPr>
        <w:t>质疑事项</w:t>
      </w:r>
      <w:r>
        <w:rPr>
          <w:rFonts w:hAnsi="宋体"/>
        </w:rPr>
        <w:t>2</w:t>
      </w:r>
    </w:p>
    <w:p>
      <w:pPr>
        <w:pStyle w:val="27"/>
        <w:spacing w:line="360" w:lineRule="auto"/>
        <w:ind w:left="25" w:leftChars="12" w:firstLine="472" w:firstLineChars="197"/>
        <w:contextualSpacing/>
        <w:rPr>
          <w:rFonts w:hAnsi="宋体"/>
        </w:rPr>
      </w:pPr>
      <w:r>
        <w:rPr>
          <w:rFonts w:ascii="宋体" w:hAnsi="宋体"/>
        </w:rPr>
        <w:t>……</w:t>
      </w:r>
    </w:p>
    <w:p>
      <w:pPr>
        <w:pStyle w:val="27"/>
        <w:spacing w:line="360" w:lineRule="auto"/>
        <w:ind w:left="25" w:leftChars="12" w:firstLine="472" w:firstLineChars="197"/>
        <w:contextualSpacing/>
        <w:rPr>
          <w:rFonts w:hAnsi="宋体"/>
        </w:rPr>
      </w:pPr>
      <w:r>
        <w:rPr>
          <w:rFonts w:ascii="宋体" w:hAnsi="宋体"/>
        </w:rPr>
        <w:t>四、与质疑事项相关的质疑请求：</w:t>
      </w:r>
    </w:p>
    <w:p>
      <w:pPr>
        <w:pStyle w:val="27"/>
        <w:spacing w:line="360" w:lineRule="auto"/>
        <w:ind w:left="25" w:leftChars="12" w:firstLine="472" w:firstLineChars="197"/>
        <w:contextualSpacing/>
        <w:rPr>
          <w:rFonts w:hAnsi="宋体"/>
        </w:rPr>
      </w:pPr>
      <w:r>
        <w:rPr>
          <w:rFonts w:ascii="宋体" w:hAnsi="宋体"/>
        </w:rPr>
        <w:t>请求：</w:t>
      </w:r>
      <w:r>
        <w:rPr>
          <w:rFonts w:hAnsi="宋体"/>
          <w:bCs/>
          <w:u w:val="single"/>
        </w:rPr>
        <w:t xml:space="preserve">                                                                </w:t>
      </w:r>
    </w:p>
    <w:p>
      <w:pPr>
        <w:pStyle w:val="27"/>
        <w:spacing w:line="360" w:lineRule="auto"/>
        <w:ind w:left="25" w:leftChars="12" w:firstLine="352" w:firstLineChars="147"/>
        <w:contextualSpacing/>
        <w:rPr>
          <w:rFonts w:hAnsi="宋体"/>
        </w:rPr>
      </w:pPr>
      <w:r>
        <w:rPr>
          <w:rFonts w:hAnsi="宋体"/>
        </w:rPr>
        <w:t xml:space="preserve"> </w:t>
      </w:r>
    </w:p>
    <w:p>
      <w:pPr>
        <w:pStyle w:val="27"/>
        <w:spacing w:line="360" w:lineRule="auto"/>
        <w:ind w:left="25" w:leftChars="12" w:firstLine="472" w:firstLineChars="197"/>
        <w:contextualSpacing/>
        <w:rPr>
          <w:rFonts w:hAnsi="宋体"/>
        </w:rPr>
      </w:pPr>
      <w:r>
        <w:rPr>
          <w:rFonts w:ascii="宋体" w:hAnsi="宋体"/>
        </w:rPr>
        <w:t>签字（签章）：</w:t>
      </w:r>
      <w:r>
        <w:rPr>
          <w:rFonts w:hAnsi="宋体"/>
        </w:rPr>
        <w:t xml:space="preserve">                                       </w:t>
      </w:r>
      <w:r>
        <w:rPr>
          <w:rFonts w:ascii="宋体" w:hAnsi="宋体"/>
        </w:rPr>
        <w:t>公章：</w:t>
      </w:r>
    </w:p>
    <w:p>
      <w:pPr>
        <w:pStyle w:val="27"/>
        <w:spacing w:line="360" w:lineRule="auto"/>
        <w:ind w:left="25" w:leftChars="12" w:firstLine="352" w:firstLineChars="147"/>
        <w:contextualSpacing/>
        <w:rPr>
          <w:rFonts w:hAnsi="宋体"/>
        </w:rPr>
      </w:pPr>
      <w:r>
        <w:rPr>
          <w:rFonts w:hAnsi="宋体"/>
        </w:rPr>
        <w:t xml:space="preserve"> </w:t>
      </w:r>
    </w:p>
    <w:p>
      <w:pPr>
        <w:pStyle w:val="27"/>
        <w:spacing w:line="360" w:lineRule="auto"/>
        <w:ind w:left="25" w:leftChars="12" w:firstLine="472" w:firstLineChars="197"/>
        <w:contextualSpacing/>
        <w:rPr>
          <w:rFonts w:hAnsi="宋体"/>
        </w:rPr>
      </w:pPr>
      <w:r>
        <w:rPr>
          <w:rFonts w:ascii="宋体" w:hAnsi="宋体"/>
        </w:rPr>
        <w:t>日期：</w:t>
      </w:r>
    </w:p>
    <w:p>
      <w:pPr>
        <w:pStyle w:val="17"/>
        <w:widowControl/>
        <w:spacing w:line="360" w:lineRule="auto"/>
        <w:rPr>
          <w:rFonts w:hAnsi="宋体"/>
          <w:b/>
          <w:sz w:val="24"/>
          <w:szCs w:val="24"/>
        </w:rPr>
      </w:pPr>
      <w:r>
        <w:rPr>
          <w:rFonts w:hint="eastAsia" w:hAnsi="宋体"/>
          <w:b/>
          <w:sz w:val="24"/>
          <w:szCs w:val="24"/>
        </w:rPr>
        <w:t xml:space="preserve"> </w:t>
      </w:r>
    </w:p>
    <w:p>
      <w:pPr>
        <w:pStyle w:val="17"/>
        <w:widowControl/>
        <w:spacing w:line="360" w:lineRule="auto"/>
        <w:rPr>
          <w:rFonts w:hint="eastAsia" w:hAnsi="宋体"/>
          <w:b/>
          <w:sz w:val="24"/>
          <w:szCs w:val="24"/>
        </w:rPr>
      </w:pPr>
      <w:r>
        <w:rPr>
          <w:rFonts w:hint="eastAsia" w:hAnsi="宋体"/>
          <w:b/>
          <w:sz w:val="24"/>
          <w:szCs w:val="24"/>
        </w:rPr>
        <w:t xml:space="preserve"> </w:t>
      </w:r>
    </w:p>
    <w:p>
      <w:pPr>
        <w:pStyle w:val="17"/>
        <w:widowControl/>
        <w:spacing w:line="360" w:lineRule="auto"/>
        <w:rPr>
          <w:rFonts w:hint="eastAsia" w:hAnsi="宋体"/>
          <w:b/>
          <w:sz w:val="24"/>
          <w:szCs w:val="24"/>
          <w:lang w:eastAsia="zh-CN"/>
        </w:rPr>
      </w:pPr>
    </w:p>
    <w:p>
      <w:pPr>
        <w:pStyle w:val="17"/>
        <w:widowControl/>
        <w:spacing w:line="360" w:lineRule="auto"/>
        <w:rPr>
          <w:rFonts w:hint="eastAsia" w:hAnsi="宋体"/>
          <w:b/>
          <w:sz w:val="24"/>
          <w:szCs w:val="24"/>
        </w:rPr>
      </w:pPr>
      <w:r>
        <w:rPr>
          <w:rFonts w:hint="eastAsia" w:hAnsi="宋体"/>
          <w:b/>
          <w:sz w:val="24"/>
          <w:szCs w:val="24"/>
        </w:rPr>
        <w:t>说明：</w:t>
      </w:r>
    </w:p>
    <w:p>
      <w:pPr>
        <w:pStyle w:val="27"/>
        <w:spacing w:line="360" w:lineRule="auto"/>
        <w:ind w:left="25" w:leftChars="12" w:firstLine="354" w:firstLineChars="147"/>
        <w:contextualSpacing/>
        <w:rPr>
          <w:rFonts w:hint="eastAsia" w:hAnsi="宋体"/>
          <w:b/>
          <w:bCs/>
        </w:rPr>
      </w:pPr>
      <w:r>
        <w:rPr>
          <w:rFonts w:hAnsi="宋体"/>
          <w:b/>
        </w:rPr>
        <w:t>1.</w:t>
      </w:r>
      <w:r>
        <w:rPr>
          <w:rFonts w:ascii="宋体" w:hAnsi="宋体"/>
          <w:b/>
        </w:rPr>
        <w:t>供应商提出质疑时，应提交质疑函和必要的证明材料</w:t>
      </w:r>
      <w:r>
        <w:rPr>
          <w:rFonts w:ascii="宋体" w:hAnsi="宋体"/>
          <w:b/>
          <w:bCs/>
        </w:rPr>
        <w:t>。</w:t>
      </w:r>
    </w:p>
    <w:p>
      <w:pPr>
        <w:pStyle w:val="27"/>
        <w:spacing w:line="360" w:lineRule="auto"/>
        <w:ind w:left="25" w:leftChars="12" w:firstLine="354" w:firstLineChars="147"/>
        <w:contextualSpacing/>
        <w:rPr>
          <w:rFonts w:hAnsi="宋体"/>
          <w:b/>
        </w:rPr>
      </w:pPr>
      <w:r>
        <w:rPr>
          <w:rFonts w:hAnsi="宋体"/>
          <w:b/>
        </w:rPr>
        <w:t>2.</w:t>
      </w:r>
      <w:r>
        <w:rPr>
          <w:rFonts w:ascii="宋体" w:hAnsi="宋体"/>
          <w:b/>
        </w:rPr>
        <w:t>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pStyle w:val="27"/>
        <w:spacing w:line="360" w:lineRule="auto"/>
        <w:ind w:left="25" w:leftChars="12" w:firstLine="354" w:firstLineChars="147"/>
        <w:contextualSpacing/>
        <w:rPr>
          <w:rFonts w:hAnsi="宋体"/>
          <w:b/>
        </w:rPr>
      </w:pPr>
      <w:r>
        <w:rPr>
          <w:rFonts w:hAnsi="宋体"/>
          <w:b/>
        </w:rPr>
        <w:t>3.</w:t>
      </w:r>
      <w:r>
        <w:rPr>
          <w:rFonts w:ascii="宋体" w:hAnsi="宋体"/>
          <w:b/>
        </w:rPr>
        <w:t>质疑函的质疑事项应具体、明确，并有必要的事实依据和法律依据。</w:t>
      </w:r>
    </w:p>
    <w:p>
      <w:pPr>
        <w:pStyle w:val="27"/>
        <w:spacing w:line="360" w:lineRule="auto"/>
        <w:ind w:left="25" w:leftChars="12" w:firstLine="354" w:firstLineChars="147"/>
        <w:contextualSpacing/>
        <w:rPr>
          <w:rFonts w:hAnsi="宋体"/>
          <w:b/>
        </w:rPr>
      </w:pPr>
      <w:r>
        <w:rPr>
          <w:rFonts w:hAnsi="宋体"/>
          <w:b/>
        </w:rPr>
        <w:t>4.</w:t>
      </w:r>
      <w:r>
        <w:rPr>
          <w:rFonts w:ascii="宋体" w:hAnsi="宋体"/>
          <w:b/>
        </w:rPr>
        <w:t>质疑函的质疑请求应与质疑事项相关。</w:t>
      </w:r>
    </w:p>
    <w:p>
      <w:pPr>
        <w:pStyle w:val="27"/>
        <w:spacing w:line="360" w:lineRule="auto"/>
        <w:ind w:left="25" w:leftChars="12" w:firstLine="354" w:firstLineChars="147"/>
        <w:contextualSpacing/>
        <w:rPr>
          <w:rFonts w:hAnsi="宋体"/>
          <w:b/>
        </w:rPr>
      </w:pPr>
      <w:r>
        <w:rPr>
          <w:rFonts w:hAnsi="宋体"/>
          <w:b/>
        </w:rPr>
        <w:t>5.</w:t>
      </w:r>
      <w:r>
        <w:rPr>
          <w:rFonts w:ascii="宋体" w:hAnsi="宋体"/>
          <w:b/>
        </w:rPr>
        <w:t>质疑供应商为法人或者其他组织的，质疑函应由法定代表人、主要负责人，或者其授权代表签字或者盖章，并加盖公章。</w:t>
      </w:r>
    </w:p>
    <w:p>
      <w:pPr>
        <w:pStyle w:val="17"/>
        <w:widowControl/>
        <w:snapToGrid w:val="0"/>
        <w:rPr>
          <w:b/>
          <w:sz w:val="24"/>
          <w:szCs w:val="24"/>
        </w:rPr>
      </w:pPr>
      <w:r>
        <w:rPr>
          <w:rFonts w:hint="eastAsia"/>
          <w:b/>
          <w:sz w:val="24"/>
          <w:szCs w:val="24"/>
        </w:rPr>
        <w:t xml:space="preserve"> </w:t>
      </w:r>
    </w:p>
    <w:p>
      <w:pPr>
        <w:spacing w:line="460" w:lineRule="exact"/>
        <w:jc w:val="center"/>
        <w:rPr>
          <w:rFonts w:hint="eastAsia" w:eastAsia="隶书"/>
          <w:sz w:val="44"/>
          <w:szCs w:val="44"/>
        </w:rPr>
      </w:pPr>
      <w:r>
        <w:rPr>
          <w:rFonts w:eastAsia="隶书"/>
          <w:sz w:val="44"/>
          <w:szCs w:val="44"/>
        </w:rPr>
        <w:br w:type="page"/>
      </w:r>
    </w:p>
    <w:p>
      <w:pPr>
        <w:spacing w:line="360" w:lineRule="auto"/>
        <w:jc w:val="center"/>
        <w:rPr>
          <w:rFonts w:ascii="宋体" w:hAnsi="宋体"/>
          <w:b/>
          <w:bCs/>
          <w:sz w:val="32"/>
          <w:szCs w:val="32"/>
        </w:rPr>
      </w:pPr>
      <w:r>
        <w:rPr>
          <w:rFonts w:hint="eastAsia" w:ascii="宋体" w:hAnsi="宋体"/>
          <w:b/>
          <w:bCs/>
          <w:sz w:val="32"/>
          <w:szCs w:val="32"/>
        </w:rPr>
        <w:t>投诉书（格式）</w:t>
      </w:r>
    </w:p>
    <w:p>
      <w:pPr>
        <w:pStyle w:val="17"/>
        <w:widowControl/>
        <w:snapToGrid w:val="0"/>
        <w:spacing w:line="360" w:lineRule="auto"/>
        <w:ind w:firstLine="482" w:firstLineChars="200"/>
        <w:rPr>
          <w:rFonts w:hint="eastAsia" w:hAnsi="宋体"/>
          <w:b/>
          <w:bCs/>
          <w:sz w:val="24"/>
          <w:szCs w:val="24"/>
        </w:rPr>
      </w:pPr>
      <w:r>
        <w:rPr>
          <w:rFonts w:hint="eastAsia" w:hAnsi="宋体"/>
          <w:b/>
          <w:bCs/>
          <w:sz w:val="24"/>
          <w:szCs w:val="24"/>
        </w:rPr>
        <w:t>一、投诉相关主体基本情况：</w:t>
      </w:r>
    </w:p>
    <w:p>
      <w:pPr>
        <w:pStyle w:val="17"/>
        <w:widowControl/>
        <w:snapToGrid w:val="0"/>
        <w:spacing w:line="360" w:lineRule="auto"/>
        <w:ind w:firstLine="480" w:firstLineChars="200"/>
        <w:rPr>
          <w:rFonts w:hint="eastAsia" w:hAnsi="宋体"/>
          <w:bCs/>
          <w:sz w:val="24"/>
          <w:szCs w:val="24"/>
          <w:u w:val="single"/>
        </w:rPr>
      </w:pPr>
      <w:r>
        <w:rPr>
          <w:rFonts w:hint="eastAsia" w:hAnsi="宋体"/>
          <w:bCs/>
          <w:sz w:val="24"/>
          <w:szCs w:val="24"/>
        </w:rPr>
        <w:t>供应商：</w:t>
      </w:r>
      <w:r>
        <w:rPr>
          <w:rFonts w:hint="eastAsia" w:hAnsi="宋体"/>
          <w:bCs/>
          <w:sz w:val="24"/>
          <w:szCs w:val="24"/>
          <w:u w:val="single"/>
        </w:rPr>
        <w:t xml:space="preserve">                                                                        </w:t>
      </w:r>
      <w:r>
        <w:rPr>
          <w:rFonts w:hint="eastAsia" w:hAnsi="宋体"/>
          <w:bCs/>
          <w:sz w:val="24"/>
          <w:szCs w:val="24"/>
        </w:rPr>
        <w:t xml:space="preserve">                 </w:t>
      </w:r>
    </w:p>
    <w:p>
      <w:pPr>
        <w:pStyle w:val="17"/>
        <w:widowControl/>
        <w:snapToGrid w:val="0"/>
        <w:spacing w:line="360" w:lineRule="auto"/>
        <w:ind w:firstLine="480" w:firstLineChars="200"/>
        <w:rPr>
          <w:rFonts w:hint="eastAsia" w:hAnsi="宋体"/>
          <w:bCs/>
          <w:sz w:val="24"/>
          <w:szCs w:val="24"/>
        </w:rPr>
      </w:pPr>
      <w:r>
        <w:rPr>
          <w:rFonts w:hint="eastAsia" w:hAnsi="宋体"/>
          <w:bCs/>
          <w:sz w:val="24"/>
          <w:szCs w:val="24"/>
        </w:rPr>
        <w:t>地址：</w:t>
      </w:r>
      <w:r>
        <w:rPr>
          <w:rFonts w:hint="eastAsia" w:hAnsi="宋体"/>
          <w:bCs/>
          <w:sz w:val="24"/>
          <w:szCs w:val="24"/>
          <w:u w:val="single"/>
        </w:rPr>
        <w:t xml:space="preserve">                                          </w:t>
      </w:r>
      <w:r>
        <w:rPr>
          <w:rFonts w:hint="eastAsia" w:hAnsi="宋体"/>
          <w:bCs/>
          <w:sz w:val="24"/>
          <w:szCs w:val="24"/>
        </w:rPr>
        <w:t>邮编：</w:t>
      </w:r>
      <w:r>
        <w:rPr>
          <w:rFonts w:hint="eastAsia" w:hAnsi="宋体"/>
          <w:bCs/>
          <w:sz w:val="24"/>
          <w:szCs w:val="24"/>
          <w:u w:val="single"/>
        </w:rPr>
        <w:t xml:space="preserve">                          </w:t>
      </w:r>
      <w:r>
        <w:rPr>
          <w:rFonts w:hint="eastAsia" w:hAnsi="宋体"/>
          <w:bCs/>
          <w:sz w:val="24"/>
          <w:szCs w:val="24"/>
        </w:rPr>
        <w:t xml:space="preserve">                 </w:t>
      </w:r>
    </w:p>
    <w:p>
      <w:pPr>
        <w:pStyle w:val="17"/>
        <w:widowControl/>
        <w:snapToGrid w:val="0"/>
        <w:spacing w:line="360" w:lineRule="auto"/>
        <w:ind w:firstLine="480" w:firstLineChars="200"/>
        <w:rPr>
          <w:rFonts w:hint="eastAsia" w:hAnsi="宋体"/>
          <w:bCs/>
          <w:sz w:val="24"/>
          <w:szCs w:val="24"/>
          <w:u w:val="single"/>
        </w:rPr>
      </w:pPr>
      <w:r>
        <w:rPr>
          <w:rFonts w:hint="eastAsia" w:hAnsi="宋体"/>
          <w:bCs/>
          <w:sz w:val="24"/>
          <w:szCs w:val="24"/>
        </w:rPr>
        <w:t>法定代表人/主要负责人：</w:t>
      </w:r>
      <w:r>
        <w:rPr>
          <w:rFonts w:hint="eastAsia" w:hAnsi="宋体"/>
          <w:bCs/>
          <w:sz w:val="24"/>
          <w:szCs w:val="24"/>
          <w:u w:val="single"/>
        </w:rPr>
        <w:t xml:space="preserve">                                                         </w:t>
      </w:r>
    </w:p>
    <w:p>
      <w:pPr>
        <w:pStyle w:val="17"/>
        <w:widowControl/>
        <w:snapToGrid w:val="0"/>
        <w:spacing w:line="360" w:lineRule="auto"/>
        <w:ind w:firstLine="480" w:firstLineChars="200"/>
        <w:rPr>
          <w:rFonts w:hint="eastAsia" w:hAnsi="宋体"/>
          <w:bCs/>
          <w:sz w:val="24"/>
          <w:szCs w:val="24"/>
        </w:rPr>
      </w:pPr>
      <w:r>
        <w:rPr>
          <w:rFonts w:hint="eastAsia" w:hAnsi="宋体"/>
          <w:bCs/>
          <w:sz w:val="24"/>
          <w:szCs w:val="24"/>
        </w:rPr>
        <w:t>联系电话：</w:t>
      </w:r>
      <w:r>
        <w:rPr>
          <w:rFonts w:hint="eastAsia" w:hAnsi="宋体"/>
          <w:bCs/>
          <w:sz w:val="24"/>
          <w:szCs w:val="24"/>
          <w:u w:val="single"/>
        </w:rPr>
        <w:t xml:space="preserve">                                         </w:t>
      </w:r>
    </w:p>
    <w:p>
      <w:pPr>
        <w:pStyle w:val="17"/>
        <w:widowControl/>
        <w:snapToGrid w:val="0"/>
        <w:spacing w:line="360" w:lineRule="auto"/>
        <w:ind w:firstLine="480" w:firstLineChars="200"/>
        <w:rPr>
          <w:rFonts w:hint="eastAsia" w:hAnsi="宋体"/>
          <w:bCs/>
          <w:sz w:val="24"/>
          <w:szCs w:val="24"/>
          <w:u w:val="single"/>
        </w:rPr>
      </w:pPr>
      <w:r>
        <w:rPr>
          <w:rFonts w:hint="eastAsia" w:hAnsi="宋体"/>
          <w:bCs/>
          <w:sz w:val="24"/>
          <w:szCs w:val="24"/>
        </w:rPr>
        <w:t>授权代表：</w:t>
      </w:r>
      <w:r>
        <w:rPr>
          <w:rFonts w:hint="eastAsia" w:hAnsi="宋体"/>
          <w:bCs/>
          <w:sz w:val="24"/>
          <w:szCs w:val="24"/>
          <w:u w:val="single"/>
        </w:rPr>
        <w:t xml:space="preserve">                                         </w:t>
      </w:r>
      <w:r>
        <w:rPr>
          <w:rFonts w:hint="eastAsia" w:hAnsi="宋体"/>
          <w:bCs/>
          <w:sz w:val="24"/>
          <w:szCs w:val="24"/>
        </w:rPr>
        <w:t>联系电话：</w:t>
      </w:r>
      <w:r>
        <w:rPr>
          <w:rFonts w:hint="eastAsia" w:hAnsi="宋体"/>
          <w:bCs/>
          <w:sz w:val="24"/>
          <w:szCs w:val="24"/>
          <w:u w:val="single"/>
        </w:rPr>
        <w:t xml:space="preserve">                   </w:t>
      </w:r>
    </w:p>
    <w:p>
      <w:pPr>
        <w:pStyle w:val="17"/>
        <w:widowControl/>
        <w:snapToGrid w:val="0"/>
        <w:spacing w:line="360" w:lineRule="auto"/>
        <w:ind w:firstLine="480" w:firstLineChars="200"/>
        <w:rPr>
          <w:rFonts w:hint="eastAsia" w:hAnsi="宋体"/>
          <w:bCs/>
          <w:sz w:val="24"/>
          <w:szCs w:val="24"/>
          <w:u w:val="single"/>
        </w:rPr>
      </w:pPr>
      <w:r>
        <w:rPr>
          <w:rFonts w:hint="eastAsia" w:hAnsi="宋体"/>
          <w:bCs/>
          <w:sz w:val="24"/>
          <w:szCs w:val="24"/>
        </w:rPr>
        <w:t>地址：</w:t>
      </w:r>
      <w:r>
        <w:rPr>
          <w:rFonts w:hint="eastAsia" w:hAnsi="宋体"/>
          <w:bCs/>
          <w:sz w:val="24"/>
          <w:szCs w:val="24"/>
          <w:u w:val="single"/>
        </w:rPr>
        <w:t xml:space="preserve">                                                            </w:t>
      </w:r>
    </w:p>
    <w:p>
      <w:pPr>
        <w:pStyle w:val="17"/>
        <w:widowControl/>
        <w:snapToGrid w:val="0"/>
        <w:spacing w:line="360" w:lineRule="auto"/>
        <w:ind w:firstLine="480" w:firstLineChars="200"/>
        <w:rPr>
          <w:rFonts w:hint="eastAsia" w:hAnsi="宋体"/>
          <w:bCs/>
          <w:sz w:val="24"/>
          <w:szCs w:val="24"/>
        </w:rPr>
      </w:pPr>
      <w:r>
        <w:rPr>
          <w:rFonts w:hint="eastAsia" w:hAnsi="宋体"/>
          <w:bCs/>
          <w:sz w:val="24"/>
          <w:szCs w:val="24"/>
        </w:rPr>
        <w:t>邮编：</w:t>
      </w:r>
      <w:r>
        <w:rPr>
          <w:rFonts w:hint="eastAsia" w:hAnsi="宋体"/>
          <w:bCs/>
          <w:sz w:val="24"/>
          <w:szCs w:val="24"/>
          <w:u w:val="single"/>
        </w:rPr>
        <w:t xml:space="preserve">         </w:t>
      </w:r>
      <w:r>
        <w:rPr>
          <w:rFonts w:hint="eastAsia" w:hAnsi="宋体"/>
          <w:bCs/>
          <w:sz w:val="24"/>
          <w:szCs w:val="24"/>
        </w:rPr>
        <w:t xml:space="preserve">   </w:t>
      </w:r>
    </w:p>
    <w:p>
      <w:pPr>
        <w:pStyle w:val="17"/>
        <w:widowControl/>
        <w:snapToGrid w:val="0"/>
        <w:spacing w:line="360" w:lineRule="auto"/>
        <w:ind w:firstLine="480" w:firstLineChars="200"/>
        <w:rPr>
          <w:rFonts w:hint="eastAsia" w:hAnsi="宋体"/>
          <w:bCs/>
          <w:sz w:val="24"/>
          <w:szCs w:val="24"/>
        </w:rPr>
      </w:pPr>
      <w:r>
        <w:rPr>
          <w:rFonts w:hint="eastAsia" w:hAnsi="宋体"/>
          <w:bCs/>
          <w:sz w:val="24"/>
          <w:szCs w:val="24"/>
        </w:rPr>
        <w:t>被投诉人1：</w:t>
      </w:r>
    </w:p>
    <w:p>
      <w:pPr>
        <w:pStyle w:val="17"/>
        <w:widowControl/>
        <w:snapToGrid w:val="0"/>
        <w:spacing w:line="360" w:lineRule="auto"/>
        <w:ind w:firstLine="480" w:firstLineChars="200"/>
        <w:rPr>
          <w:rFonts w:hint="eastAsia" w:hAnsi="宋体"/>
          <w:bCs/>
          <w:sz w:val="24"/>
          <w:szCs w:val="24"/>
          <w:u w:val="single"/>
        </w:rPr>
      </w:pPr>
      <w:r>
        <w:rPr>
          <w:rFonts w:hint="eastAsia" w:hAnsi="宋体"/>
          <w:bCs/>
          <w:sz w:val="24"/>
          <w:szCs w:val="24"/>
        </w:rPr>
        <w:t>地址：</w:t>
      </w:r>
      <w:r>
        <w:rPr>
          <w:rFonts w:hint="eastAsia" w:hAnsi="宋体"/>
          <w:bCs/>
          <w:sz w:val="24"/>
          <w:szCs w:val="24"/>
          <w:u w:val="single"/>
        </w:rPr>
        <w:t xml:space="preserve">                                                            </w:t>
      </w:r>
    </w:p>
    <w:p>
      <w:pPr>
        <w:pStyle w:val="17"/>
        <w:widowControl/>
        <w:snapToGrid w:val="0"/>
        <w:spacing w:line="360" w:lineRule="auto"/>
        <w:ind w:firstLine="480" w:firstLineChars="200"/>
        <w:rPr>
          <w:rFonts w:hint="eastAsia" w:hAnsi="宋体"/>
          <w:bCs/>
          <w:sz w:val="24"/>
          <w:szCs w:val="24"/>
        </w:rPr>
      </w:pPr>
      <w:r>
        <w:rPr>
          <w:rFonts w:hint="eastAsia" w:hAnsi="宋体"/>
          <w:bCs/>
          <w:sz w:val="24"/>
          <w:szCs w:val="24"/>
        </w:rPr>
        <w:t>邮编：</w:t>
      </w:r>
      <w:r>
        <w:rPr>
          <w:rFonts w:hint="eastAsia" w:hAnsi="宋体"/>
          <w:bCs/>
          <w:sz w:val="24"/>
          <w:szCs w:val="24"/>
          <w:u w:val="single"/>
        </w:rPr>
        <w:t xml:space="preserve">         </w:t>
      </w:r>
      <w:r>
        <w:rPr>
          <w:rFonts w:hint="eastAsia" w:hAnsi="宋体"/>
          <w:bCs/>
          <w:sz w:val="24"/>
          <w:szCs w:val="24"/>
        </w:rPr>
        <w:t xml:space="preserve">  </w:t>
      </w:r>
    </w:p>
    <w:p>
      <w:pPr>
        <w:pStyle w:val="17"/>
        <w:widowControl/>
        <w:snapToGrid w:val="0"/>
        <w:spacing w:line="360" w:lineRule="auto"/>
        <w:ind w:firstLine="480" w:firstLineChars="200"/>
        <w:rPr>
          <w:rFonts w:hint="eastAsia" w:hAnsi="宋体"/>
          <w:bCs/>
          <w:sz w:val="24"/>
          <w:szCs w:val="24"/>
          <w:u w:val="single"/>
        </w:rPr>
      </w:pPr>
      <w:r>
        <w:rPr>
          <w:rFonts w:hint="eastAsia" w:hAnsi="宋体"/>
          <w:bCs/>
          <w:sz w:val="24"/>
          <w:szCs w:val="24"/>
        </w:rPr>
        <w:t>联系人：</w:t>
      </w:r>
      <w:r>
        <w:rPr>
          <w:rFonts w:hint="eastAsia" w:hAnsi="宋体"/>
          <w:bCs/>
          <w:sz w:val="24"/>
          <w:szCs w:val="24"/>
          <w:u w:val="single"/>
        </w:rPr>
        <w:t xml:space="preserve">                                                </w:t>
      </w:r>
      <w:r>
        <w:rPr>
          <w:rFonts w:hint="eastAsia" w:hAnsi="宋体"/>
          <w:bCs/>
          <w:sz w:val="24"/>
          <w:szCs w:val="24"/>
        </w:rPr>
        <w:t>联系电话：</w:t>
      </w:r>
      <w:r>
        <w:rPr>
          <w:rFonts w:hint="eastAsia" w:hAnsi="宋体"/>
          <w:bCs/>
          <w:sz w:val="24"/>
          <w:szCs w:val="24"/>
          <w:u w:val="single"/>
        </w:rPr>
        <w:t xml:space="preserve">                </w:t>
      </w:r>
    </w:p>
    <w:p>
      <w:pPr>
        <w:pStyle w:val="17"/>
        <w:widowControl/>
        <w:snapToGrid w:val="0"/>
        <w:spacing w:line="360" w:lineRule="auto"/>
        <w:ind w:firstLine="480" w:firstLineChars="200"/>
        <w:rPr>
          <w:rFonts w:hint="eastAsia" w:hAnsi="宋体"/>
          <w:bCs/>
          <w:sz w:val="24"/>
          <w:szCs w:val="24"/>
        </w:rPr>
      </w:pPr>
      <w:r>
        <w:rPr>
          <w:rFonts w:hint="eastAsia" w:hAnsi="宋体"/>
          <w:bCs/>
          <w:sz w:val="24"/>
          <w:szCs w:val="24"/>
        </w:rPr>
        <w:t>被投诉人2：</w:t>
      </w:r>
    </w:p>
    <w:p>
      <w:pPr>
        <w:pStyle w:val="17"/>
        <w:widowControl/>
        <w:snapToGrid w:val="0"/>
        <w:spacing w:line="360" w:lineRule="auto"/>
        <w:ind w:firstLine="480" w:firstLineChars="200"/>
        <w:rPr>
          <w:rFonts w:hint="eastAsia" w:hAnsi="宋体"/>
          <w:bCs/>
          <w:sz w:val="24"/>
          <w:szCs w:val="24"/>
        </w:rPr>
      </w:pPr>
      <w:r>
        <w:rPr>
          <w:rFonts w:hint="eastAsia" w:hAnsi="宋体"/>
          <w:bCs/>
          <w:sz w:val="24"/>
          <w:szCs w:val="24"/>
        </w:rPr>
        <w:t>……</w:t>
      </w:r>
    </w:p>
    <w:p>
      <w:pPr>
        <w:pStyle w:val="17"/>
        <w:widowControl/>
        <w:snapToGrid w:val="0"/>
        <w:spacing w:line="360" w:lineRule="auto"/>
        <w:ind w:firstLine="480" w:firstLineChars="200"/>
        <w:rPr>
          <w:rFonts w:hint="eastAsia" w:hAnsi="宋体"/>
          <w:bCs/>
          <w:sz w:val="24"/>
          <w:szCs w:val="24"/>
          <w:u w:val="single"/>
        </w:rPr>
      </w:pPr>
      <w:r>
        <w:rPr>
          <w:rFonts w:hint="eastAsia" w:hAnsi="宋体"/>
          <w:bCs/>
          <w:sz w:val="24"/>
          <w:szCs w:val="24"/>
        </w:rPr>
        <w:t>相关供应商：</w:t>
      </w:r>
      <w:r>
        <w:rPr>
          <w:rFonts w:hint="eastAsia" w:hAnsi="宋体"/>
          <w:bCs/>
          <w:sz w:val="24"/>
          <w:szCs w:val="24"/>
          <w:u w:val="single"/>
        </w:rPr>
        <w:t xml:space="preserve">                                                                       </w:t>
      </w:r>
    </w:p>
    <w:p>
      <w:pPr>
        <w:pStyle w:val="17"/>
        <w:widowControl/>
        <w:snapToGrid w:val="0"/>
        <w:spacing w:line="360" w:lineRule="auto"/>
        <w:ind w:firstLine="480" w:firstLineChars="200"/>
        <w:rPr>
          <w:rFonts w:hint="eastAsia" w:hAnsi="宋体"/>
          <w:bCs/>
          <w:sz w:val="24"/>
          <w:szCs w:val="24"/>
          <w:u w:val="single"/>
        </w:rPr>
      </w:pPr>
      <w:r>
        <w:rPr>
          <w:rFonts w:hint="eastAsia" w:hAnsi="宋体"/>
          <w:bCs/>
          <w:sz w:val="24"/>
          <w:szCs w:val="24"/>
        </w:rPr>
        <w:t>地址：</w:t>
      </w:r>
      <w:r>
        <w:rPr>
          <w:rFonts w:hint="eastAsia" w:hAnsi="宋体"/>
          <w:bCs/>
          <w:sz w:val="24"/>
          <w:szCs w:val="24"/>
          <w:u w:val="single"/>
        </w:rPr>
        <w:t xml:space="preserve">                                              </w:t>
      </w:r>
      <w:r>
        <w:rPr>
          <w:rFonts w:hint="eastAsia" w:hAnsi="宋体"/>
          <w:bCs/>
          <w:sz w:val="24"/>
          <w:szCs w:val="24"/>
        </w:rPr>
        <w:t>邮编：</w:t>
      </w:r>
      <w:r>
        <w:rPr>
          <w:rFonts w:hint="eastAsia" w:hAnsi="宋体"/>
          <w:bCs/>
          <w:sz w:val="24"/>
          <w:szCs w:val="24"/>
          <w:u w:val="single"/>
        </w:rPr>
        <w:t xml:space="preserve">                         </w:t>
      </w:r>
    </w:p>
    <w:p>
      <w:pPr>
        <w:pStyle w:val="17"/>
        <w:widowControl/>
        <w:snapToGrid w:val="0"/>
        <w:spacing w:line="360" w:lineRule="auto"/>
        <w:ind w:firstLine="480" w:firstLineChars="200"/>
        <w:rPr>
          <w:rFonts w:hint="eastAsia" w:hAnsi="宋体"/>
          <w:bCs/>
          <w:sz w:val="24"/>
          <w:szCs w:val="24"/>
        </w:rPr>
      </w:pPr>
      <w:r>
        <w:rPr>
          <w:rFonts w:hint="eastAsia" w:hAnsi="宋体"/>
          <w:bCs/>
          <w:sz w:val="24"/>
          <w:szCs w:val="24"/>
        </w:rPr>
        <w:t>联系人：</w:t>
      </w:r>
      <w:r>
        <w:rPr>
          <w:rFonts w:hint="eastAsia" w:hAnsi="宋体"/>
          <w:bCs/>
          <w:sz w:val="24"/>
          <w:szCs w:val="24"/>
          <w:u w:val="single"/>
        </w:rPr>
        <w:t xml:space="preserve">                                            </w:t>
      </w:r>
      <w:r>
        <w:rPr>
          <w:rFonts w:hint="eastAsia" w:hAnsi="宋体"/>
          <w:bCs/>
          <w:sz w:val="24"/>
          <w:szCs w:val="24"/>
        </w:rPr>
        <w:t>联系电话：</w:t>
      </w:r>
      <w:r>
        <w:rPr>
          <w:rFonts w:hint="eastAsia" w:hAnsi="宋体"/>
          <w:bCs/>
          <w:sz w:val="24"/>
          <w:szCs w:val="24"/>
          <w:u w:val="single"/>
        </w:rPr>
        <w:t xml:space="preserve">                     </w:t>
      </w:r>
      <w:r>
        <w:rPr>
          <w:rFonts w:hint="eastAsia" w:hAnsi="宋体"/>
          <w:bCs/>
          <w:sz w:val="24"/>
          <w:szCs w:val="24"/>
        </w:rPr>
        <w:t xml:space="preserve">                </w:t>
      </w:r>
    </w:p>
    <w:p>
      <w:pPr>
        <w:pStyle w:val="17"/>
        <w:widowControl/>
        <w:snapToGrid w:val="0"/>
        <w:spacing w:line="360" w:lineRule="auto"/>
        <w:ind w:firstLine="482" w:firstLineChars="200"/>
        <w:rPr>
          <w:rFonts w:hint="eastAsia" w:hAnsi="宋体"/>
          <w:b/>
          <w:bCs/>
          <w:sz w:val="24"/>
          <w:szCs w:val="24"/>
        </w:rPr>
      </w:pPr>
      <w:r>
        <w:rPr>
          <w:rFonts w:hint="eastAsia" w:hAnsi="宋体"/>
          <w:b/>
          <w:bCs/>
          <w:sz w:val="24"/>
          <w:szCs w:val="24"/>
        </w:rPr>
        <w:t>二、投诉项目基本情况：</w:t>
      </w:r>
    </w:p>
    <w:p>
      <w:pPr>
        <w:pStyle w:val="17"/>
        <w:widowControl/>
        <w:spacing w:line="360" w:lineRule="auto"/>
        <w:ind w:left="25" w:leftChars="12" w:firstLine="472" w:firstLineChars="197"/>
        <w:rPr>
          <w:rFonts w:hint="eastAsia" w:hAnsi="宋体"/>
          <w:sz w:val="24"/>
          <w:szCs w:val="24"/>
          <w:lang w:eastAsia="zh-CN"/>
        </w:rPr>
      </w:pPr>
      <w:r>
        <w:rPr>
          <w:rFonts w:hint="eastAsia" w:hAnsi="宋体"/>
          <w:bCs/>
          <w:sz w:val="24"/>
          <w:szCs w:val="24"/>
        </w:rPr>
        <w:t>采购</w:t>
      </w:r>
      <w:r>
        <w:rPr>
          <w:rFonts w:hint="eastAsia" w:hAnsi="宋体"/>
          <w:sz w:val="24"/>
          <w:szCs w:val="24"/>
        </w:rPr>
        <w:t>项目的名称：</w:t>
      </w:r>
      <w:r>
        <w:rPr>
          <w:rFonts w:hint="eastAsia" w:hAnsi="宋体"/>
          <w:bCs/>
          <w:sz w:val="24"/>
          <w:szCs w:val="24"/>
          <w:u w:val="single"/>
        </w:rPr>
        <w:t xml:space="preserve"> </w:t>
      </w:r>
      <w:r>
        <w:rPr>
          <w:rFonts w:hint="eastAsia" w:hAnsi="宋体"/>
          <w:bCs/>
          <w:sz w:val="24"/>
          <w:szCs w:val="24"/>
          <w:u w:val="single"/>
          <w:lang w:eastAsia="zh-CN"/>
        </w:rPr>
        <w:t xml:space="preserve">                   </w:t>
      </w:r>
    </w:p>
    <w:p>
      <w:pPr>
        <w:pStyle w:val="17"/>
        <w:widowControl/>
        <w:spacing w:line="360" w:lineRule="auto"/>
        <w:ind w:left="25" w:leftChars="12" w:firstLine="472" w:firstLineChars="197"/>
        <w:rPr>
          <w:rFonts w:hint="eastAsia" w:hAnsi="宋体"/>
          <w:sz w:val="24"/>
          <w:szCs w:val="24"/>
          <w:lang w:eastAsia="zh-CN"/>
        </w:rPr>
      </w:pPr>
      <w:r>
        <w:rPr>
          <w:rFonts w:hint="eastAsia" w:hAnsi="宋体"/>
          <w:bCs/>
          <w:sz w:val="24"/>
          <w:szCs w:val="24"/>
        </w:rPr>
        <w:t>采购</w:t>
      </w:r>
      <w:r>
        <w:rPr>
          <w:rFonts w:hint="eastAsia" w:hAnsi="宋体"/>
          <w:sz w:val="24"/>
          <w:szCs w:val="24"/>
        </w:rPr>
        <w:t>项目的编号：</w:t>
      </w:r>
      <w:r>
        <w:rPr>
          <w:rFonts w:hint="eastAsia" w:hAnsi="宋体"/>
          <w:bCs/>
          <w:sz w:val="24"/>
          <w:szCs w:val="24"/>
          <w:u w:val="single"/>
          <w:lang w:eastAsia="zh-CN"/>
        </w:rPr>
        <w:t xml:space="preserve">                    </w:t>
      </w:r>
    </w:p>
    <w:p>
      <w:pPr>
        <w:pStyle w:val="17"/>
        <w:widowControl/>
        <w:spacing w:line="360" w:lineRule="auto"/>
        <w:ind w:left="25" w:leftChars="12" w:firstLine="472" w:firstLineChars="197"/>
        <w:rPr>
          <w:rFonts w:hint="eastAsia" w:hAnsi="宋体"/>
          <w:bCs/>
          <w:sz w:val="24"/>
          <w:szCs w:val="24"/>
          <w:u w:val="single"/>
        </w:rPr>
      </w:pPr>
      <w:r>
        <w:rPr>
          <w:rFonts w:hint="eastAsia" w:hAnsi="宋体"/>
          <w:sz w:val="24"/>
          <w:szCs w:val="24"/>
        </w:rPr>
        <w:t>采购人名称：</w:t>
      </w:r>
      <w:r>
        <w:rPr>
          <w:rFonts w:hint="eastAsia" w:hAnsi="宋体"/>
          <w:bCs/>
          <w:sz w:val="24"/>
          <w:szCs w:val="24"/>
          <w:u w:val="single"/>
        </w:rPr>
        <w:t xml:space="preserve"> </w:t>
      </w:r>
      <w:r>
        <w:rPr>
          <w:rFonts w:hint="eastAsia" w:hAnsi="宋体"/>
          <w:bCs/>
          <w:sz w:val="24"/>
          <w:szCs w:val="24"/>
          <w:u w:val="single"/>
          <w:lang w:eastAsia="zh-CN"/>
        </w:rPr>
        <w:t xml:space="preserve">                   </w:t>
      </w:r>
    </w:p>
    <w:p>
      <w:pPr>
        <w:pStyle w:val="17"/>
        <w:widowControl/>
        <w:spacing w:line="360" w:lineRule="auto"/>
        <w:ind w:left="25" w:leftChars="12" w:firstLine="472" w:firstLineChars="197"/>
        <w:rPr>
          <w:rFonts w:hint="eastAsia" w:hAnsi="宋体"/>
          <w:bCs/>
          <w:sz w:val="24"/>
          <w:szCs w:val="24"/>
          <w:u w:val="single"/>
        </w:rPr>
      </w:pPr>
      <w:r>
        <w:rPr>
          <w:rFonts w:hint="eastAsia" w:hAnsi="宋体"/>
          <w:sz w:val="24"/>
          <w:szCs w:val="24"/>
        </w:rPr>
        <w:t>代理机构名称：</w:t>
      </w:r>
      <w:r>
        <w:rPr>
          <w:rFonts w:hint="eastAsia" w:hAnsi="宋体"/>
          <w:bCs/>
          <w:sz w:val="24"/>
          <w:szCs w:val="24"/>
          <w:u w:val="single"/>
        </w:rPr>
        <w:t xml:space="preserve"> </w:t>
      </w:r>
      <w:r>
        <w:rPr>
          <w:rFonts w:hint="eastAsia" w:hAnsi="宋体"/>
          <w:bCs/>
          <w:sz w:val="24"/>
          <w:szCs w:val="24"/>
          <w:u w:val="single"/>
          <w:lang w:eastAsia="zh-CN"/>
        </w:rPr>
        <w:t xml:space="preserve">                   </w:t>
      </w:r>
      <w:r>
        <w:rPr>
          <w:rFonts w:hint="eastAsia" w:hAnsi="宋体"/>
          <w:bCs/>
          <w:sz w:val="24"/>
          <w:szCs w:val="24"/>
          <w:u w:val="single"/>
        </w:rPr>
        <w:t xml:space="preserve"> </w:t>
      </w:r>
    </w:p>
    <w:p>
      <w:pPr>
        <w:pStyle w:val="17"/>
        <w:widowControl/>
        <w:spacing w:line="360" w:lineRule="auto"/>
        <w:ind w:left="25" w:leftChars="12" w:firstLine="472" w:firstLineChars="197"/>
        <w:rPr>
          <w:rFonts w:hint="eastAsia" w:hAnsi="宋体"/>
          <w:bCs/>
          <w:sz w:val="24"/>
          <w:szCs w:val="24"/>
          <w:u w:val="single"/>
        </w:rPr>
      </w:pPr>
      <w:r>
        <w:rPr>
          <w:rFonts w:hint="eastAsia" w:hAnsi="宋体"/>
          <w:bCs/>
          <w:sz w:val="24"/>
          <w:szCs w:val="24"/>
        </w:rPr>
        <w:t>招标文件公告：</w:t>
      </w:r>
      <w:r>
        <w:rPr>
          <w:rFonts w:hint="eastAsia" w:hAnsi="宋体"/>
          <w:bCs/>
          <w:sz w:val="24"/>
          <w:szCs w:val="24"/>
          <w:u w:val="single"/>
        </w:rPr>
        <w:t>是/否</w:t>
      </w:r>
      <w:r>
        <w:rPr>
          <w:rFonts w:hint="eastAsia" w:hAnsi="宋体"/>
          <w:bCs/>
          <w:sz w:val="24"/>
          <w:szCs w:val="24"/>
        </w:rPr>
        <w:t>公告期限：</w:t>
      </w:r>
      <w:r>
        <w:rPr>
          <w:rFonts w:hint="eastAsia" w:hAnsi="宋体"/>
          <w:bCs/>
          <w:sz w:val="24"/>
          <w:szCs w:val="24"/>
          <w:u w:val="single"/>
        </w:rPr>
        <w:t xml:space="preserve">                                                       </w:t>
      </w:r>
    </w:p>
    <w:p>
      <w:pPr>
        <w:pStyle w:val="17"/>
        <w:widowControl/>
        <w:spacing w:line="360" w:lineRule="auto"/>
        <w:ind w:left="25" w:leftChars="12" w:firstLine="472" w:firstLineChars="197"/>
        <w:rPr>
          <w:rFonts w:hint="eastAsia" w:hAnsi="宋体"/>
          <w:b/>
          <w:sz w:val="24"/>
          <w:szCs w:val="24"/>
        </w:rPr>
      </w:pPr>
      <w:r>
        <w:rPr>
          <w:rFonts w:hint="eastAsia" w:hAnsi="宋体"/>
          <w:bCs/>
          <w:sz w:val="24"/>
          <w:szCs w:val="24"/>
        </w:rPr>
        <w:t>采购结果公告：</w:t>
      </w:r>
      <w:r>
        <w:rPr>
          <w:rFonts w:hint="eastAsia" w:hAnsi="宋体"/>
          <w:bCs/>
          <w:sz w:val="24"/>
          <w:szCs w:val="24"/>
          <w:u w:val="single"/>
        </w:rPr>
        <w:t>是/否</w:t>
      </w:r>
      <w:r>
        <w:rPr>
          <w:rFonts w:hint="eastAsia" w:hAnsi="宋体"/>
          <w:bCs/>
          <w:sz w:val="24"/>
          <w:szCs w:val="24"/>
        </w:rPr>
        <w:t>公告期限：</w:t>
      </w:r>
      <w:r>
        <w:rPr>
          <w:rFonts w:hint="eastAsia" w:hAnsi="宋体"/>
          <w:bCs/>
          <w:sz w:val="24"/>
          <w:szCs w:val="24"/>
          <w:u w:val="single"/>
        </w:rPr>
        <w:t xml:space="preserve">                                                       </w:t>
      </w:r>
    </w:p>
    <w:p>
      <w:pPr>
        <w:pStyle w:val="17"/>
        <w:widowControl/>
        <w:spacing w:line="360" w:lineRule="auto"/>
        <w:ind w:left="25" w:leftChars="12" w:firstLine="472" w:firstLineChars="196"/>
        <w:rPr>
          <w:rFonts w:hint="eastAsia" w:hAnsi="宋体"/>
          <w:b/>
          <w:sz w:val="24"/>
          <w:szCs w:val="24"/>
        </w:rPr>
      </w:pPr>
      <w:r>
        <w:rPr>
          <w:rFonts w:hint="eastAsia" w:hAnsi="宋体"/>
          <w:b/>
          <w:sz w:val="24"/>
          <w:szCs w:val="24"/>
        </w:rPr>
        <w:t>三、质疑基本情况</w:t>
      </w:r>
    </w:p>
    <w:p>
      <w:pPr>
        <w:pStyle w:val="17"/>
        <w:widowControl/>
        <w:spacing w:line="360" w:lineRule="auto"/>
        <w:ind w:firstLine="480" w:firstLineChars="200"/>
        <w:rPr>
          <w:rFonts w:hint="eastAsia" w:hAnsi="宋体"/>
          <w:sz w:val="24"/>
          <w:szCs w:val="24"/>
        </w:rPr>
      </w:pPr>
      <w:r>
        <w:rPr>
          <w:rFonts w:hint="eastAsia" w:hAnsi="宋体"/>
          <w:sz w:val="24"/>
          <w:szCs w:val="24"/>
        </w:rPr>
        <w:t>投诉人于</w:t>
      </w:r>
      <w:r>
        <w:rPr>
          <w:rFonts w:hint="eastAsia" w:hAnsi="宋体"/>
          <w:sz w:val="24"/>
          <w:szCs w:val="24"/>
          <w:u w:val="single"/>
        </w:rPr>
        <w:t xml:space="preserve">      </w:t>
      </w:r>
      <w:r>
        <w:rPr>
          <w:rFonts w:hint="eastAsia" w:hAnsi="宋体"/>
          <w:sz w:val="24"/>
          <w:szCs w:val="24"/>
        </w:rPr>
        <w:t>年</w:t>
      </w:r>
      <w:r>
        <w:rPr>
          <w:rFonts w:hint="eastAsia" w:hAnsi="宋体"/>
          <w:sz w:val="24"/>
          <w:szCs w:val="24"/>
          <w:u w:val="single"/>
        </w:rPr>
        <w:t xml:space="preserve">   </w:t>
      </w:r>
      <w:r>
        <w:rPr>
          <w:rFonts w:hint="eastAsia" w:hAnsi="宋体"/>
          <w:sz w:val="24"/>
          <w:szCs w:val="24"/>
        </w:rPr>
        <w:t>月</w:t>
      </w:r>
      <w:r>
        <w:rPr>
          <w:rFonts w:hint="eastAsia" w:hAnsi="宋体"/>
          <w:sz w:val="24"/>
          <w:szCs w:val="24"/>
          <w:u w:val="single"/>
        </w:rPr>
        <w:t xml:space="preserve">   </w:t>
      </w:r>
      <w:r>
        <w:rPr>
          <w:rFonts w:hint="eastAsia" w:hAnsi="宋体"/>
          <w:sz w:val="24"/>
          <w:szCs w:val="24"/>
        </w:rPr>
        <w:t>日，向</w:t>
      </w:r>
      <w:r>
        <w:rPr>
          <w:rFonts w:hint="eastAsia" w:hAnsi="宋体"/>
          <w:sz w:val="24"/>
          <w:szCs w:val="24"/>
          <w:u w:val="single"/>
        </w:rPr>
        <w:t xml:space="preserve">                                </w:t>
      </w:r>
      <w:r>
        <w:rPr>
          <w:rFonts w:hint="eastAsia" w:hAnsi="宋体"/>
          <w:sz w:val="24"/>
          <w:szCs w:val="24"/>
        </w:rPr>
        <w:t>提出质疑，质疑事项为：</w:t>
      </w:r>
    </w:p>
    <w:p>
      <w:pPr>
        <w:pStyle w:val="17"/>
        <w:widowControl/>
        <w:spacing w:line="360" w:lineRule="auto"/>
        <w:ind w:firstLine="241"/>
        <w:rPr>
          <w:rFonts w:hint="eastAsia" w:hAnsi="宋体"/>
          <w:bCs/>
          <w:sz w:val="24"/>
          <w:szCs w:val="24"/>
          <w:u w:val="single"/>
        </w:rPr>
      </w:pPr>
      <w:r>
        <w:rPr>
          <w:rFonts w:hint="eastAsia" w:hAnsi="宋体"/>
          <w:sz w:val="24"/>
          <w:szCs w:val="24"/>
        </w:rPr>
        <w:t xml:space="preserve">    </w:t>
      </w:r>
      <w:r>
        <w:rPr>
          <w:rFonts w:hint="eastAsia" w:hAnsi="宋体"/>
          <w:bCs/>
          <w:sz w:val="24"/>
          <w:szCs w:val="24"/>
          <w:u w:val="single"/>
        </w:rPr>
        <w:t xml:space="preserve">                                                                                      </w:t>
      </w:r>
    </w:p>
    <w:p>
      <w:pPr>
        <w:pStyle w:val="17"/>
        <w:widowControl/>
        <w:spacing w:line="360" w:lineRule="auto"/>
        <w:ind w:firstLine="241"/>
        <w:rPr>
          <w:rFonts w:hint="eastAsia" w:hAnsi="宋体"/>
          <w:bCs/>
          <w:sz w:val="24"/>
          <w:szCs w:val="24"/>
          <w:u w:val="single"/>
        </w:rPr>
      </w:pPr>
      <w:r>
        <w:rPr>
          <w:rFonts w:hint="eastAsia" w:hAnsi="宋体"/>
          <w:bCs/>
          <w:sz w:val="24"/>
          <w:szCs w:val="24"/>
        </w:rPr>
        <w:t xml:space="preserve">    </w:t>
      </w:r>
      <w:r>
        <w:rPr>
          <w:rFonts w:hint="eastAsia" w:hAnsi="宋体"/>
          <w:bCs/>
          <w:sz w:val="24"/>
          <w:szCs w:val="24"/>
          <w:u w:val="single"/>
        </w:rPr>
        <w:t xml:space="preserve">                                                                                      </w:t>
      </w:r>
    </w:p>
    <w:p>
      <w:pPr>
        <w:pStyle w:val="17"/>
        <w:widowControl/>
        <w:spacing w:line="360" w:lineRule="auto"/>
        <w:ind w:firstLine="480" w:firstLineChars="200"/>
        <w:rPr>
          <w:rFonts w:hint="eastAsia" w:hAnsi="宋体"/>
          <w:sz w:val="24"/>
          <w:szCs w:val="24"/>
        </w:rPr>
      </w:pPr>
      <w:r>
        <w:rPr>
          <w:rFonts w:hint="eastAsia" w:hAnsi="宋体"/>
          <w:bCs/>
          <w:sz w:val="24"/>
          <w:szCs w:val="24"/>
          <w:u w:val="single"/>
        </w:rPr>
        <w:t>采购人/代理机构</w:t>
      </w:r>
      <w:r>
        <w:rPr>
          <w:rFonts w:hint="eastAsia" w:hAnsi="宋体"/>
          <w:bCs/>
          <w:sz w:val="24"/>
          <w:szCs w:val="24"/>
        </w:rPr>
        <w:t>于</w:t>
      </w:r>
      <w:r>
        <w:rPr>
          <w:rFonts w:hint="eastAsia" w:hAnsi="宋体"/>
          <w:sz w:val="24"/>
          <w:szCs w:val="24"/>
          <w:u w:val="single"/>
        </w:rPr>
        <w:t xml:space="preserve">      </w:t>
      </w:r>
      <w:r>
        <w:rPr>
          <w:rFonts w:hint="eastAsia" w:hAnsi="宋体"/>
          <w:sz w:val="24"/>
          <w:szCs w:val="24"/>
        </w:rPr>
        <w:t>年</w:t>
      </w:r>
      <w:r>
        <w:rPr>
          <w:rFonts w:hint="eastAsia" w:hAnsi="宋体"/>
          <w:sz w:val="24"/>
          <w:szCs w:val="24"/>
          <w:u w:val="single"/>
        </w:rPr>
        <w:t xml:space="preserve">   </w:t>
      </w:r>
      <w:r>
        <w:rPr>
          <w:rFonts w:hint="eastAsia" w:hAnsi="宋体"/>
          <w:sz w:val="24"/>
          <w:szCs w:val="24"/>
        </w:rPr>
        <w:t>月</w:t>
      </w:r>
      <w:r>
        <w:rPr>
          <w:rFonts w:hint="eastAsia" w:hAnsi="宋体"/>
          <w:sz w:val="24"/>
          <w:szCs w:val="24"/>
          <w:u w:val="single"/>
        </w:rPr>
        <w:t xml:space="preserve">   </w:t>
      </w:r>
      <w:r>
        <w:rPr>
          <w:rFonts w:hint="eastAsia" w:hAnsi="宋体"/>
          <w:sz w:val="24"/>
          <w:szCs w:val="24"/>
        </w:rPr>
        <w:t>日，</w:t>
      </w:r>
      <w:r>
        <w:rPr>
          <w:rFonts w:hint="eastAsia" w:hAnsi="宋体"/>
          <w:bCs/>
          <w:sz w:val="24"/>
          <w:szCs w:val="24"/>
        </w:rPr>
        <w:t xml:space="preserve">就质疑事项作出了答复/没有在法定期限内作出答复。                                                                                             </w:t>
      </w:r>
    </w:p>
    <w:p>
      <w:pPr>
        <w:pStyle w:val="17"/>
        <w:widowControl/>
        <w:spacing w:line="360" w:lineRule="auto"/>
        <w:ind w:left="25" w:leftChars="12" w:firstLine="472" w:firstLineChars="196"/>
        <w:rPr>
          <w:rFonts w:hint="eastAsia" w:hAnsi="宋体"/>
          <w:b/>
          <w:sz w:val="24"/>
          <w:szCs w:val="24"/>
        </w:rPr>
      </w:pPr>
      <w:r>
        <w:rPr>
          <w:rFonts w:hint="eastAsia" w:hAnsi="宋体"/>
          <w:b/>
          <w:sz w:val="24"/>
          <w:szCs w:val="24"/>
        </w:rPr>
        <w:t>四、投诉事项具体内容</w:t>
      </w:r>
    </w:p>
    <w:p>
      <w:pPr>
        <w:pStyle w:val="17"/>
        <w:widowControl/>
        <w:spacing w:line="360" w:lineRule="auto"/>
        <w:ind w:left="25" w:leftChars="12" w:firstLine="472" w:firstLineChars="197"/>
        <w:rPr>
          <w:rFonts w:hint="eastAsia" w:hAnsi="宋体"/>
          <w:bCs/>
          <w:sz w:val="24"/>
          <w:szCs w:val="24"/>
          <w:u w:val="single"/>
        </w:rPr>
      </w:pPr>
      <w:r>
        <w:rPr>
          <w:rFonts w:hint="eastAsia" w:hAnsi="宋体"/>
          <w:sz w:val="24"/>
          <w:szCs w:val="24"/>
        </w:rPr>
        <w:t>投诉事项1：</w:t>
      </w:r>
      <w:r>
        <w:rPr>
          <w:rFonts w:hint="eastAsia" w:hAnsi="宋体"/>
          <w:bCs/>
          <w:sz w:val="24"/>
          <w:szCs w:val="24"/>
          <w:u w:val="single"/>
        </w:rPr>
        <w:t xml:space="preserve">                                                                           </w:t>
      </w:r>
    </w:p>
    <w:p>
      <w:pPr>
        <w:pStyle w:val="17"/>
        <w:widowControl/>
        <w:spacing w:line="360" w:lineRule="auto"/>
        <w:ind w:firstLine="480" w:firstLineChars="200"/>
        <w:rPr>
          <w:rFonts w:hint="eastAsia" w:hAnsi="宋体"/>
          <w:bCs/>
          <w:sz w:val="24"/>
          <w:szCs w:val="24"/>
          <w:u w:val="single"/>
        </w:rPr>
      </w:pPr>
      <w:r>
        <w:rPr>
          <w:rFonts w:hint="eastAsia" w:hAnsi="宋体"/>
          <w:bCs/>
          <w:sz w:val="24"/>
          <w:szCs w:val="24"/>
        </w:rPr>
        <w:t>事实依据：</w:t>
      </w:r>
      <w:r>
        <w:rPr>
          <w:rFonts w:hint="eastAsia" w:hAnsi="宋体"/>
          <w:sz w:val="24"/>
          <w:szCs w:val="24"/>
        </w:rPr>
        <w:t xml:space="preserve"> </w:t>
      </w:r>
      <w:r>
        <w:rPr>
          <w:rFonts w:hint="eastAsia" w:hAnsi="宋体"/>
          <w:bCs/>
          <w:sz w:val="24"/>
          <w:szCs w:val="24"/>
          <w:u w:val="single"/>
        </w:rPr>
        <w:t xml:space="preserve">                                                                                      </w:t>
      </w:r>
    </w:p>
    <w:p>
      <w:pPr>
        <w:pStyle w:val="17"/>
        <w:widowControl/>
        <w:spacing w:line="360" w:lineRule="auto"/>
        <w:ind w:left="25" w:leftChars="12" w:firstLine="472" w:firstLineChars="197"/>
        <w:rPr>
          <w:rFonts w:hint="eastAsia" w:hAnsi="宋体"/>
          <w:sz w:val="24"/>
          <w:szCs w:val="24"/>
        </w:rPr>
      </w:pPr>
      <w:r>
        <w:rPr>
          <w:rFonts w:hint="eastAsia" w:hAnsi="宋体"/>
          <w:bCs/>
          <w:sz w:val="24"/>
          <w:szCs w:val="24"/>
          <w:u w:val="single"/>
        </w:rPr>
        <w:t xml:space="preserve">                                                                                        </w:t>
      </w:r>
    </w:p>
    <w:p>
      <w:pPr>
        <w:pStyle w:val="17"/>
        <w:widowControl/>
        <w:spacing w:line="360" w:lineRule="auto"/>
        <w:ind w:firstLine="480" w:firstLineChars="200"/>
        <w:rPr>
          <w:rFonts w:hint="eastAsia" w:hAnsi="宋体"/>
          <w:bCs/>
          <w:sz w:val="24"/>
          <w:szCs w:val="24"/>
          <w:u w:val="single"/>
        </w:rPr>
      </w:pPr>
      <w:r>
        <w:rPr>
          <w:rFonts w:hint="eastAsia" w:hAnsi="宋体"/>
          <w:bCs/>
          <w:sz w:val="24"/>
          <w:szCs w:val="24"/>
        </w:rPr>
        <w:t>法律依据：</w:t>
      </w:r>
      <w:r>
        <w:rPr>
          <w:rFonts w:hint="eastAsia" w:hAnsi="宋体"/>
          <w:sz w:val="24"/>
          <w:szCs w:val="24"/>
        </w:rPr>
        <w:t xml:space="preserve"> </w:t>
      </w:r>
      <w:r>
        <w:rPr>
          <w:rFonts w:hint="eastAsia" w:hAnsi="宋体"/>
          <w:bCs/>
          <w:sz w:val="24"/>
          <w:szCs w:val="24"/>
          <w:u w:val="single"/>
        </w:rPr>
        <w:t xml:space="preserve">                                                                                      </w:t>
      </w:r>
    </w:p>
    <w:p>
      <w:pPr>
        <w:pStyle w:val="17"/>
        <w:widowControl/>
        <w:spacing w:line="360" w:lineRule="auto"/>
        <w:ind w:left="25" w:leftChars="12" w:firstLine="352" w:firstLineChars="147"/>
        <w:rPr>
          <w:rFonts w:hint="eastAsia" w:hAnsi="宋体"/>
          <w:bCs/>
          <w:sz w:val="24"/>
          <w:szCs w:val="24"/>
          <w:u w:val="single"/>
        </w:rPr>
      </w:pPr>
      <w:r>
        <w:rPr>
          <w:rFonts w:hint="eastAsia" w:hAnsi="宋体"/>
          <w:bCs/>
          <w:sz w:val="24"/>
          <w:szCs w:val="24"/>
        </w:rPr>
        <w:t xml:space="preserve"> </w:t>
      </w:r>
      <w:r>
        <w:rPr>
          <w:rFonts w:hint="eastAsia" w:hAnsi="宋体"/>
          <w:bCs/>
          <w:sz w:val="24"/>
          <w:szCs w:val="24"/>
          <w:u w:val="single"/>
        </w:rPr>
        <w:t xml:space="preserve">                                                                                        </w:t>
      </w:r>
    </w:p>
    <w:p>
      <w:pPr>
        <w:pStyle w:val="17"/>
        <w:widowControl/>
        <w:spacing w:line="360" w:lineRule="auto"/>
        <w:ind w:left="25" w:leftChars="12" w:firstLine="472" w:firstLineChars="197"/>
        <w:rPr>
          <w:rFonts w:hint="eastAsia" w:hAnsi="宋体"/>
          <w:bCs/>
          <w:sz w:val="24"/>
          <w:szCs w:val="24"/>
        </w:rPr>
      </w:pPr>
      <w:r>
        <w:rPr>
          <w:rFonts w:hint="eastAsia" w:hAnsi="宋体"/>
          <w:sz w:val="24"/>
          <w:szCs w:val="24"/>
        </w:rPr>
        <w:t xml:space="preserve">投诉事项2  </w:t>
      </w:r>
      <w:r>
        <w:rPr>
          <w:rFonts w:hint="eastAsia" w:hAnsi="宋体"/>
          <w:bCs/>
          <w:sz w:val="24"/>
          <w:szCs w:val="24"/>
        </w:rPr>
        <w:t xml:space="preserve">   </w:t>
      </w:r>
    </w:p>
    <w:p>
      <w:pPr>
        <w:pStyle w:val="17"/>
        <w:widowControl/>
        <w:spacing w:line="360" w:lineRule="auto"/>
        <w:ind w:left="25" w:leftChars="12" w:firstLine="472" w:firstLineChars="197"/>
        <w:rPr>
          <w:rFonts w:hint="eastAsia" w:hAnsi="宋体"/>
          <w:bCs/>
          <w:sz w:val="24"/>
          <w:szCs w:val="24"/>
        </w:rPr>
      </w:pPr>
      <w:r>
        <w:rPr>
          <w:rFonts w:hint="eastAsia" w:hAnsi="宋体"/>
          <w:bCs/>
          <w:sz w:val="24"/>
          <w:szCs w:val="24"/>
        </w:rPr>
        <w:t>……</w:t>
      </w:r>
    </w:p>
    <w:p>
      <w:pPr>
        <w:pStyle w:val="17"/>
        <w:widowControl/>
        <w:spacing w:line="360" w:lineRule="auto"/>
        <w:ind w:left="25" w:leftChars="12" w:firstLine="472" w:firstLineChars="196"/>
        <w:rPr>
          <w:rFonts w:hint="eastAsia" w:hAnsi="宋体"/>
          <w:b/>
          <w:sz w:val="24"/>
          <w:szCs w:val="24"/>
        </w:rPr>
      </w:pPr>
      <w:r>
        <w:rPr>
          <w:rFonts w:hint="eastAsia" w:hAnsi="宋体"/>
          <w:b/>
          <w:sz w:val="24"/>
          <w:szCs w:val="24"/>
        </w:rPr>
        <w:t>五、与投诉事项相关的投诉请求：</w:t>
      </w:r>
    </w:p>
    <w:p>
      <w:pPr>
        <w:pStyle w:val="17"/>
        <w:widowControl/>
        <w:spacing w:line="360" w:lineRule="auto"/>
        <w:ind w:left="25" w:leftChars="12" w:firstLine="472" w:firstLineChars="197"/>
        <w:rPr>
          <w:rFonts w:hint="eastAsia" w:hAnsi="宋体"/>
          <w:sz w:val="24"/>
          <w:szCs w:val="24"/>
        </w:rPr>
      </w:pPr>
      <w:r>
        <w:rPr>
          <w:rFonts w:hint="eastAsia" w:hAnsi="宋体"/>
          <w:sz w:val="24"/>
          <w:szCs w:val="24"/>
        </w:rPr>
        <w:t>请求：</w:t>
      </w:r>
      <w:r>
        <w:rPr>
          <w:rFonts w:hint="eastAsia" w:hAnsi="宋体"/>
          <w:bCs/>
          <w:sz w:val="24"/>
          <w:szCs w:val="24"/>
          <w:u w:val="single"/>
        </w:rPr>
        <w:t xml:space="preserve">                                                                                 </w:t>
      </w:r>
    </w:p>
    <w:p>
      <w:pPr>
        <w:pStyle w:val="17"/>
        <w:widowControl/>
        <w:spacing w:line="360" w:lineRule="auto"/>
        <w:ind w:left="25" w:leftChars="12" w:firstLine="352" w:firstLineChars="147"/>
        <w:rPr>
          <w:rFonts w:hint="eastAsia" w:hAnsi="宋体"/>
          <w:sz w:val="24"/>
          <w:szCs w:val="24"/>
        </w:rPr>
      </w:pPr>
      <w:r>
        <w:rPr>
          <w:rFonts w:hint="eastAsia" w:hAnsi="宋体"/>
          <w:sz w:val="24"/>
          <w:szCs w:val="24"/>
        </w:rPr>
        <w:t xml:space="preserve"> </w:t>
      </w:r>
    </w:p>
    <w:p>
      <w:pPr>
        <w:pStyle w:val="17"/>
        <w:widowControl/>
        <w:spacing w:line="360" w:lineRule="auto"/>
        <w:ind w:left="25" w:leftChars="12" w:firstLine="472" w:firstLineChars="197"/>
        <w:rPr>
          <w:rFonts w:hint="eastAsia" w:hAnsi="宋体"/>
          <w:sz w:val="24"/>
          <w:szCs w:val="24"/>
        </w:rPr>
      </w:pPr>
      <w:r>
        <w:rPr>
          <w:rFonts w:hint="eastAsia" w:hAnsi="宋体"/>
          <w:sz w:val="24"/>
          <w:szCs w:val="24"/>
        </w:rPr>
        <w:t>签字（签章）：                                       公章：</w:t>
      </w:r>
    </w:p>
    <w:p>
      <w:pPr>
        <w:pStyle w:val="17"/>
        <w:widowControl/>
        <w:spacing w:line="360" w:lineRule="auto"/>
        <w:ind w:left="25" w:leftChars="12" w:firstLine="352" w:firstLineChars="147"/>
        <w:rPr>
          <w:rFonts w:hint="eastAsia" w:hAnsi="宋体"/>
          <w:sz w:val="24"/>
          <w:szCs w:val="24"/>
        </w:rPr>
      </w:pPr>
      <w:r>
        <w:rPr>
          <w:rFonts w:hint="eastAsia" w:hAnsi="宋体"/>
          <w:sz w:val="24"/>
          <w:szCs w:val="24"/>
        </w:rPr>
        <w:t xml:space="preserve"> </w:t>
      </w:r>
    </w:p>
    <w:p>
      <w:pPr>
        <w:pStyle w:val="17"/>
        <w:widowControl/>
        <w:spacing w:line="360" w:lineRule="auto"/>
        <w:ind w:left="25" w:leftChars="12" w:firstLine="472" w:firstLineChars="197"/>
        <w:rPr>
          <w:rFonts w:hint="eastAsia" w:hAnsi="宋体"/>
          <w:sz w:val="24"/>
          <w:szCs w:val="24"/>
        </w:rPr>
      </w:pPr>
      <w:r>
        <w:rPr>
          <w:rFonts w:hint="eastAsia" w:hAnsi="宋体"/>
          <w:sz w:val="24"/>
          <w:szCs w:val="24"/>
        </w:rPr>
        <w:t>日期：</w:t>
      </w:r>
    </w:p>
    <w:p>
      <w:pPr>
        <w:pStyle w:val="17"/>
        <w:widowControl/>
        <w:spacing w:line="360" w:lineRule="auto"/>
        <w:ind w:left="25" w:leftChars="12" w:firstLine="472" w:firstLineChars="197"/>
        <w:rPr>
          <w:rFonts w:hint="eastAsia" w:hAnsi="宋体"/>
          <w:sz w:val="24"/>
          <w:szCs w:val="24"/>
        </w:rPr>
      </w:pPr>
      <w:r>
        <w:rPr>
          <w:rFonts w:hint="eastAsia" w:hAnsi="宋体"/>
          <w:bCs/>
          <w:sz w:val="24"/>
          <w:szCs w:val="24"/>
        </w:rPr>
        <w:t xml:space="preserve">                                                                                 </w:t>
      </w:r>
    </w:p>
    <w:p>
      <w:pPr>
        <w:pStyle w:val="17"/>
        <w:widowControl/>
        <w:snapToGrid w:val="0"/>
        <w:spacing w:line="360" w:lineRule="auto"/>
        <w:rPr>
          <w:rFonts w:hint="eastAsia" w:hAnsi="宋体"/>
          <w:b/>
          <w:sz w:val="24"/>
          <w:szCs w:val="24"/>
        </w:rPr>
      </w:pPr>
      <w:r>
        <w:rPr>
          <w:rFonts w:hint="eastAsia" w:hAnsi="宋体"/>
          <w:b/>
          <w:sz w:val="24"/>
          <w:szCs w:val="24"/>
        </w:rPr>
        <w:t xml:space="preserve"> </w:t>
      </w:r>
    </w:p>
    <w:p>
      <w:pPr>
        <w:pStyle w:val="17"/>
        <w:widowControl/>
        <w:snapToGrid w:val="0"/>
        <w:spacing w:line="360" w:lineRule="auto"/>
        <w:rPr>
          <w:rFonts w:hint="eastAsia" w:hAnsi="宋体"/>
          <w:b/>
          <w:sz w:val="24"/>
          <w:szCs w:val="24"/>
        </w:rPr>
      </w:pPr>
      <w:r>
        <w:rPr>
          <w:rFonts w:hint="eastAsia" w:hAnsi="宋体"/>
          <w:b/>
          <w:sz w:val="24"/>
          <w:szCs w:val="24"/>
        </w:rPr>
        <w:t>说明：</w:t>
      </w:r>
    </w:p>
    <w:p>
      <w:pPr>
        <w:pStyle w:val="17"/>
        <w:widowControl/>
        <w:spacing w:line="360" w:lineRule="auto"/>
        <w:ind w:left="25" w:leftChars="12" w:firstLine="354" w:firstLineChars="147"/>
        <w:rPr>
          <w:rFonts w:hint="eastAsia" w:hAnsi="宋体"/>
          <w:b/>
          <w:bCs/>
          <w:sz w:val="24"/>
          <w:szCs w:val="24"/>
        </w:rPr>
      </w:pPr>
      <w:r>
        <w:rPr>
          <w:rFonts w:hint="eastAsia" w:hAnsi="宋体"/>
          <w:b/>
          <w:sz w:val="24"/>
          <w:szCs w:val="24"/>
        </w:rPr>
        <w:t>1.投诉人提起投诉时，应当提交投诉书和必要的证明材料，并按照被投诉人和与投诉事项有关的供应商数量提供投诉书副本</w:t>
      </w:r>
      <w:r>
        <w:rPr>
          <w:rFonts w:hint="eastAsia" w:hAnsi="宋体"/>
          <w:b/>
          <w:bCs/>
          <w:sz w:val="24"/>
          <w:szCs w:val="24"/>
        </w:rPr>
        <w:t>。</w:t>
      </w:r>
    </w:p>
    <w:p>
      <w:pPr>
        <w:pStyle w:val="17"/>
        <w:widowControl/>
        <w:spacing w:line="360" w:lineRule="auto"/>
        <w:ind w:left="25" w:leftChars="12" w:firstLine="354" w:firstLineChars="147"/>
        <w:rPr>
          <w:rFonts w:hint="eastAsia" w:hAnsi="宋体"/>
          <w:b/>
          <w:sz w:val="24"/>
          <w:szCs w:val="24"/>
        </w:rPr>
      </w:pPr>
      <w:r>
        <w:rPr>
          <w:rFonts w:hint="eastAsia" w:hAnsi="宋体"/>
          <w:b/>
          <w:sz w:val="24"/>
          <w:szCs w:val="24"/>
        </w:rPr>
        <w:t>2.投诉人若委托代理人进行投诉的，投诉书应按要求列明“授权代表”的有关内容，并在附件中提交由投诉人签署的授权委托书。授权委托书应当载明代理人的姓名或者名称、代理事项、具体权限、期限和相关事项。</w:t>
      </w:r>
    </w:p>
    <w:p>
      <w:pPr>
        <w:pStyle w:val="17"/>
        <w:widowControl/>
        <w:spacing w:line="360" w:lineRule="auto"/>
        <w:ind w:left="25" w:leftChars="12" w:firstLine="354" w:firstLineChars="147"/>
        <w:rPr>
          <w:rFonts w:hint="eastAsia" w:hAnsi="宋体"/>
          <w:b/>
          <w:sz w:val="24"/>
          <w:szCs w:val="24"/>
        </w:rPr>
      </w:pPr>
      <w:r>
        <w:rPr>
          <w:rFonts w:hint="eastAsia" w:hAnsi="宋体"/>
          <w:b/>
          <w:sz w:val="24"/>
          <w:szCs w:val="24"/>
        </w:rPr>
        <w:t>3.投诉书应简要列明质疑事项，质疑函、质疑答复等作为附件材料提供。</w:t>
      </w:r>
    </w:p>
    <w:p>
      <w:pPr>
        <w:pStyle w:val="17"/>
        <w:widowControl/>
        <w:spacing w:line="360" w:lineRule="auto"/>
        <w:ind w:left="25" w:leftChars="12" w:firstLine="354" w:firstLineChars="147"/>
        <w:rPr>
          <w:rFonts w:hint="eastAsia" w:hAnsi="宋体"/>
          <w:b/>
          <w:sz w:val="24"/>
          <w:szCs w:val="24"/>
        </w:rPr>
      </w:pPr>
      <w:r>
        <w:rPr>
          <w:rFonts w:hint="eastAsia" w:hAnsi="宋体"/>
          <w:b/>
          <w:sz w:val="24"/>
          <w:szCs w:val="24"/>
        </w:rPr>
        <w:t>4.投诉书的投诉事项应具体、明确，并有必要的事实依据和法律依据。</w:t>
      </w:r>
    </w:p>
    <w:p>
      <w:pPr>
        <w:pStyle w:val="17"/>
        <w:widowControl/>
        <w:spacing w:line="360" w:lineRule="auto"/>
        <w:ind w:left="25" w:leftChars="12" w:firstLine="354" w:firstLineChars="147"/>
        <w:rPr>
          <w:rFonts w:hint="eastAsia" w:hAnsi="宋体"/>
          <w:b/>
          <w:sz w:val="24"/>
          <w:szCs w:val="24"/>
        </w:rPr>
      </w:pPr>
      <w:r>
        <w:rPr>
          <w:rFonts w:hint="eastAsia" w:hAnsi="宋体"/>
          <w:b/>
          <w:sz w:val="24"/>
          <w:szCs w:val="24"/>
        </w:rPr>
        <w:t>5.投诉书的投诉请求应与投诉事项相关。</w:t>
      </w:r>
    </w:p>
    <w:p>
      <w:pPr>
        <w:pStyle w:val="17"/>
        <w:widowControl/>
        <w:spacing w:line="360" w:lineRule="auto"/>
        <w:ind w:left="25" w:leftChars="12" w:firstLine="354" w:firstLineChars="147"/>
      </w:pPr>
      <w:r>
        <w:rPr>
          <w:rFonts w:hint="eastAsia" w:hAnsi="宋体"/>
          <w:b/>
          <w:sz w:val="24"/>
          <w:szCs w:val="24"/>
        </w:rPr>
        <w:t>6.投诉人为法人或者其他组织的，投诉书应由法定代表人、主要负责人，或者其授权代表签字或者盖章，并加盖公章。</w:t>
      </w:r>
    </w:p>
    <w:p>
      <w:r>
        <w:t xml:space="preserve"> </w:t>
      </w:r>
    </w:p>
    <w:sectPr>
      <w:footerReference r:id="rId6" w:type="first"/>
      <w:footerReference r:id="rId5" w:type="default"/>
      <w:pgSz w:w="11910" w:h="16840"/>
      <w:pgMar w:top="1340" w:right="1500" w:bottom="280" w:left="168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Arial">
    <w:panose1 w:val="020B0604020202020204"/>
    <w:charset w:val="00"/>
    <w:family w:val="swiss"/>
    <w:pitch w:val="default"/>
    <w:sig w:usb0="E0002EFF" w:usb1="C000785B" w:usb2="00000009" w:usb3="00000000" w:csb0="400001FF" w:csb1="FFFF0000"/>
  </w:font>
  <w:font w:name="等线 Light">
    <w:panose1 w:val="02010600030101010101"/>
    <w:charset w:val="86"/>
    <w:family w:val="auto"/>
    <w:pitch w:val="default"/>
    <w:sig w:usb0="A00002BF" w:usb1="38CF7CFA" w:usb2="00000016" w:usb3="00000000" w:csb0="0004000F" w:csb1="00000000"/>
  </w:font>
  <w:font w:name="仿宋_GB2312">
    <w:altName w:val="仿宋"/>
    <w:panose1 w:val="02010609060101010101"/>
    <w:charset w:val="86"/>
    <w:family w:val="modern"/>
    <w:pitch w:val="default"/>
    <w:sig w:usb0="00000000" w:usb1="00000000"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华文新魏">
    <w:panose1 w:val="02010800040101010101"/>
    <w:charset w:val="86"/>
    <w:family w:val="auto"/>
    <w:pitch w:val="default"/>
    <w:sig w:usb0="00000001" w:usb1="080F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MS Mincho">
    <w:altName w:val="Yu Gothic UI"/>
    <w:panose1 w:val="02020609040205080304"/>
    <w:charset w:val="80"/>
    <w:family w:val="modern"/>
    <w:pitch w:val="default"/>
    <w:sig w:usb0="A00002BF" w:usb1="68C7FCFB" w:usb2="00000010" w:usb3="00000000" w:csb0="000200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F7FFAFFF" w:usb1="E9DFFFFF" w:usb2="0000003F" w:usb3="00000000" w:csb0="003F01FF" w:csb1="00000000"/>
  </w:font>
  <w:font w:name="MS Gothic">
    <w:panose1 w:val="020B0609070205080204"/>
    <w:charset w:val="80"/>
    <w:family w:val="modern"/>
    <w:pitch w:val="default"/>
    <w:sig w:usb0="E00002FF" w:usb1="6AC7FDFB" w:usb2="08000012" w:usb3="00000000" w:csb0="4002009F" w:csb1="DFD70000"/>
  </w:font>
  <w:font w:name="Helvetica">
    <w:altName w:val="Arial"/>
    <w:panose1 w:val="020B0604020202020204"/>
    <w:charset w:val="00"/>
    <w:family w:val="swiss"/>
    <w:pitch w:val="default"/>
    <w:sig w:usb0="E0002EFF" w:usb1="C000785B" w:usb2="00000009" w:usb3="00000000" w:csb0="000001FF" w:csb1="00000000"/>
  </w:font>
  <w:font w:name="TimesNewRomanPSMT">
    <w:altName w:val="Times New Roman"/>
    <w:panose1 w:val="00000000000000000000"/>
    <w:charset w:val="00"/>
    <w:family w:val="roman"/>
    <w:pitch w:val="default"/>
    <w:sig w:usb0="00000000" w:usb1="00000000" w:usb2="00000000" w:usb3="00000000" w:csb0="00000001" w:csb1="00000000"/>
  </w:font>
  <w:font w:name="方正小标宋_GBK">
    <w:panose1 w:val="03000509000000000000"/>
    <w:charset w:val="86"/>
    <w:family w:val="script"/>
    <w:pitch w:val="default"/>
    <w:sig w:usb0="00000001" w:usb1="080E0000" w:usb2="00000000" w:usb3="00000000" w:csb0="00040000" w:csb1="00000000"/>
  </w:font>
  <w:font w:name="隶书">
    <w:panose1 w:val="02010509060101010101"/>
    <w:charset w:val="86"/>
    <w:family w:val="modern"/>
    <w:pitch w:val="default"/>
    <w:sig w:usb0="00000001" w:usb1="080E0000" w:usb2="00000000" w:usb3="00000000" w:csb0="00040000"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5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1"/>
                            <w:rPr>
                              <w:rFonts w:hint="eastAsia"/>
                            </w:rPr>
                          </w:pPr>
                          <w:r>
                            <w:rPr>
                              <w:rFonts w:hint="eastAsia"/>
                            </w:rPr>
                            <w:fldChar w:fldCharType="begin"/>
                          </w:r>
                          <w:r>
                            <w:rPr>
                              <w:rFonts w:hint="eastAsia"/>
                            </w:rPr>
                            <w:instrText xml:space="preserve"> PAGE  \* MERGEFORMAT </w:instrText>
                          </w:r>
                          <w:r>
                            <w:rPr>
                              <w:rFonts w:hint="eastAsia"/>
                            </w:rPr>
                            <w:fldChar w:fldCharType="separate"/>
                          </w:r>
                          <w:r>
                            <w:rPr>
                              <w:lang/>
                            </w:rPr>
                            <w:t>63</w:t>
                          </w:r>
                          <w:r>
                            <w:rPr>
                              <w:rFonts w:hint="eastAsia"/>
                            </w:rPr>
                            <w:fldChar w:fldCharType="end"/>
                          </w:r>
                        </w:p>
                      </w:txbxContent>
                    </wps:txbx>
                    <wps:bodyPr wrap="none" lIns="0" tIns="0" rIns="0" bIns="0" upright="0">
                      <a:spAutoFit/>
                    </wps:bodyPr>
                  </wps:wsp>
                </a:graphicData>
              </a:graphic>
            </wp:anchor>
          </w:drawing>
        </mc:Choice>
        <mc:Fallback>
          <w:pict>
            <v:shape id="文本框 512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CJkf2NzAEAAJwDAAAOAAAAAAAAAAEAIAAAAB4BAABkcnMvZTJv&#10;RG9jLnhtbFBLBQYAAAAABgAGAFkBAABcBQAAAAA=&#10;">
              <v:fill on="f" focussize="0,0"/>
              <v:stroke on="f"/>
              <v:imagedata o:title=""/>
              <o:lock v:ext="edit" aspectratio="f"/>
              <v:textbox inset="0mm,0mm,0mm,0mm" style="mso-fit-shape-to-text:t;">
                <w:txbxContent>
                  <w:p>
                    <w:pPr>
                      <w:pStyle w:val="21"/>
                      <w:rPr>
                        <w:rFonts w:hint="eastAsia"/>
                      </w:rPr>
                    </w:pPr>
                    <w:r>
                      <w:rPr>
                        <w:rFonts w:hint="eastAsia"/>
                      </w:rPr>
                      <w:fldChar w:fldCharType="begin"/>
                    </w:r>
                    <w:r>
                      <w:rPr>
                        <w:rFonts w:hint="eastAsia"/>
                      </w:rPr>
                      <w:instrText xml:space="preserve"> PAGE  \* MERGEFORMAT </w:instrText>
                    </w:r>
                    <w:r>
                      <w:rPr>
                        <w:rFonts w:hint="eastAsia"/>
                      </w:rPr>
                      <w:fldChar w:fldCharType="separate"/>
                    </w:r>
                    <w:r>
                      <w:rPr>
                        <w:lang/>
                      </w:rPr>
                      <w:t>63</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0"/>
      </w:pBdr>
      <w:rPr>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BC32FD"/>
    <w:multiLevelType w:val="multilevel"/>
    <w:tmpl w:val="08BC32FD"/>
    <w:lvl w:ilvl="0" w:tentative="0">
      <w:start w:val="1"/>
      <w:numFmt w:val="decimal"/>
      <w:lvlText w:val="（%1）"/>
      <w:lvlJc w:val="left"/>
      <w:pPr>
        <w:tabs>
          <w:tab w:val="left" w:pos="1140"/>
        </w:tabs>
        <w:ind w:left="1140" w:hanging="720"/>
      </w:pPr>
      <w:rPr>
        <w:rFonts w:hint="eastAsia" w:ascii="宋体" w:hAnsi="宋体" w:eastAsia="宋体" w:cs="Times New Roman"/>
      </w:rPr>
    </w:lvl>
    <w:lvl w:ilvl="1" w:tentative="0">
      <w:start w:val="1"/>
      <w:numFmt w:val="lowerLetter"/>
      <w:lvlText w:val="%2)"/>
      <w:lvlJc w:val="left"/>
      <w:pPr>
        <w:tabs>
          <w:tab w:val="left" w:pos="1260"/>
        </w:tabs>
        <w:ind w:left="1260" w:hanging="420"/>
      </w:pPr>
      <w:rPr>
        <w:rFonts w:hint="default" w:ascii="Times New Roman" w:hAnsi="Times New Roman" w:cs="Times New Roman"/>
      </w:rPr>
    </w:lvl>
    <w:lvl w:ilvl="2" w:tentative="0">
      <w:start w:val="1"/>
      <w:numFmt w:val="lowerRoman"/>
      <w:lvlText w:val="%3."/>
      <w:lvlJc w:val="right"/>
      <w:pPr>
        <w:tabs>
          <w:tab w:val="left" w:pos="1680"/>
        </w:tabs>
        <w:ind w:left="1680" w:hanging="420"/>
      </w:pPr>
      <w:rPr>
        <w:rFonts w:hint="default" w:ascii="Times New Roman" w:hAnsi="Times New Roman" w:cs="Times New Roman"/>
      </w:rPr>
    </w:lvl>
    <w:lvl w:ilvl="3" w:tentative="0">
      <w:start w:val="1"/>
      <w:numFmt w:val="decimal"/>
      <w:lvlText w:val="%4."/>
      <w:lvlJc w:val="left"/>
      <w:pPr>
        <w:tabs>
          <w:tab w:val="left" w:pos="2100"/>
        </w:tabs>
        <w:ind w:left="2100" w:hanging="420"/>
      </w:pPr>
      <w:rPr>
        <w:rFonts w:hint="default" w:ascii="Times New Roman" w:hAnsi="Times New Roman" w:cs="Times New Roman"/>
      </w:rPr>
    </w:lvl>
    <w:lvl w:ilvl="4" w:tentative="0">
      <w:start w:val="1"/>
      <w:numFmt w:val="lowerLetter"/>
      <w:lvlText w:val="%5)"/>
      <w:lvlJc w:val="left"/>
      <w:pPr>
        <w:tabs>
          <w:tab w:val="left" w:pos="2520"/>
        </w:tabs>
        <w:ind w:left="2520" w:hanging="420"/>
      </w:pPr>
      <w:rPr>
        <w:rFonts w:hint="default" w:ascii="Times New Roman" w:hAnsi="Times New Roman" w:cs="Times New Roman"/>
      </w:rPr>
    </w:lvl>
    <w:lvl w:ilvl="5" w:tentative="0">
      <w:start w:val="1"/>
      <w:numFmt w:val="lowerRoman"/>
      <w:lvlText w:val="%6."/>
      <w:lvlJc w:val="right"/>
      <w:pPr>
        <w:tabs>
          <w:tab w:val="left" w:pos="2940"/>
        </w:tabs>
        <w:ind w:left="2940" w:hanging="420"/>
      </w:pPr>
      <w:rPr>
        <w:rFonts w:hint="default" w:ascii="Times New Roman" w:hAnsi="Times New Roman" w:cs="Times New Roman"/>
      </w:rPr>
    </w:lvl>
    <w:lvl w:ilvl="6" w:tentative="0">
      <w:start w:val="1"/>
      <w:numFmt w:val="decimal"/>
      <w:lvlText w:val="%7."/>
      <w:lvlJc w:val="left"/>
      <w:pPr>
        <w:tabs>
          <w:tab w:val="left" w:pos="3360"/>
        </w:tabs>
        <w:ind w:left="3360" w:hanging="420"/>
      </w:pPr>
      <w:rPr>
        <w:rFonts w:hint="default" w:ascii="Times New Roman" w:hAnsi="Times New Roman" w:cs="Times New Roman"/>
      </w:rPr>
    </w:lvl>
    <w:lvl w:ilvl="7" w:tentative="0">
      <w:start w:val="1"/>
      <w:numFmt w:val="lowerLetter"/>
      <w:lvlText w:val="%8)"/>
      <w:lvlJc w:val="left"/>
      <w:pPr>
        <w:tabs>
          <w:tab w:val="left" w:pos="3780"/>
        </w:tabs>
        <w:ind w:left="3780" w:hanging="420"/>
      </w:pPr>
      <w:rPr>
        <w:rFonts w:hint="default" w:ascii="Times New Roman" w:hAnsi="Times New Roman" w:cs="Times New Roman"/>
      </w:rPr>
    </w:lvl>
    <w:lvl w:ilvl="8" w:tentative="0">
      <w:start w:val="1"/>
      <w:numFmt w:val="lowerRoman"/>
      <w:lvlText w:val="%9."/>
      <w:lvlJc w:val="right"/>
      <w:pPr>
        <w:tabs>
          <w:tab w:val="left" w:pos="4200"/>
        </w:tabs>
        <w:ind w:left="4200" w:hanging="420"/>
      </w:pPr>
      <w:rPr>
        <w:rFonts w:hint="default" w:ascii="Times New Roman" w:hAnsi="Times New Roman"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2,3,4,5,6,7"/>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VlYTQ0NDg1YTlkYWY0Yjc0ODVhODg5YjEwZGYyMzAifQ=="/>
  </w:docVars>
  <w:rsids>
    <w:rsidRoot w:val="00F34B14"/>
    <w:rsid w:val="0000047B"/>
    <w:rsid w:val="00000672"/>
    <w:rsid w:val="00001013"/>
    <w:rsid w:val="00001799"/>
    <w:rsid w:val="00001AF2"/>
    <w:rsid w:val="00001ECA"/>
    <w:rsid w:val="00002D29"/>
    <w:rsid w:val="00003B93"/>
    <w:rsid w:val="0000474D"/>
    <w:rsid w:val="00005FDF"/>
    <w:rsid w:val="000070B3"/>
    <w:rsid w:val="000076B8"/>
    <w:rsid w:val="0001047A"/>
    <w:rsid w:val="000109DC"/>
    <w:rsid w:val="00010D39"/>
    <w:rsid w:val="0001172C"/>
    <w:rsid w:val="00011A4D"/>
    <w:rsid w:val="00011BC9"/>
    <w:rsid w:val="00012854"/>
    <w:rsid w:val="00012EA6"/>
    <w:rsid w:val="00013359"/>
    <w:rsid w:val="000139CF"/>
    <w:rsid w:val="00013AA4"/>
    <w:rsid w:val="00013DFE"/>
    <w:rsid w:val="000141EA"/>
    <w:rsid w:val="00015094"/>
    <w:rsid w:val="00016ABC"/>
    <w:rsid w:val="000177DB"/>
    <w:rsid w:val="000179C9"/>
    <w:rsid w:val="00017CCC"/>
    <w:rsid w:val="00020227"/>
    <w:rsid w:val="00020263"/>
    <w:rsid w:val="00020455"/>
    <w:rsid w:val="00020527"/>
    <w:rsid w:val="00020813"/>
    <w:rsid w:val="000220B2"/>
    <w:rsid w:val="0002264C"/>
    <w:rsid w:val="00022731"/>
    <w:rsid w:val="00022792"/>
    <w:rsid w:val="00024463"/>
    <w:rsid w:val="00025461"/>
    <w:rsid w:val="00025636"/>
    <w:rsid w:val="00025E36"/>
    <w:rsid w:val="00026855"/>
    <w:rsid w:val="00026886"/>
    <w:rsid w:val="0002785D"/>
    <w:rsid w:val="000329E0"/>
    <w:rsid w:val="000352E9"/>
    <w:rsid w:val="00035494"/>
    <w:rsid w:val="00036125"/>
    <w:rsid w:val="00036A07"/>
    <w:rsid w:val="00036EA9"/>
    <w:rsid w:val="0003780B"/>
    <w:rsid w:val="00040571"/>
    <w:rsid w:val="00040973"/>
    <w:rsid w:val="0004156E"/>
    <w:rsid w:val="00041713"/>
    <w:rsid w:val="0004440C"/>
    <w:rsid w:val="00046B5E"/>
    <w:rsid w:val="000470CB"/>
    <w:rsid w:val="000509D9"/>
    <w:rsid w:val="00051ACB"/>
    <w:rsid w:val="000533E7"/>
    <w:rsid w:val="00054DB5"/>
    <w:rsid w:val="00055D41"/>
    <w:rsid w:val="000566A4"/>
    <w:rsid w:val="00056D78"/>
    <w:rsid w:val="00057CD6"/>
    <w:rsid w:val="00060DCE"/>
    <w:rsid w:val="000610E3"/>
    <w:rsid w:val="000614F3"/>
    <w:rsid w:val="000623B4"/>
    <w:rsid w:val="00062405"/>
    <w:rsid w:val="000634A7"/>
    <w:rsid w:val="000635DB"/>
    <w:rsid w:val="00063B0B"/>
    <w:rsid w:val="00063F81"/>
    <w:rsid w:val="00064847"/>
    <w:rsid w:val="00065E08"/>
    <w:rsid w:val="000673E2"/>
    <w:rsid w:val="0007063F"/>
    <w:rsid w:val="000707FD"/>
    <w:rsid w:val="00070949"/>
    <w:rsid w:val="000711E4"/>
    <w:rsid w:val="000724B2"/>
    <w:rsid w:val="000724D9"/>
    <w:rsid w:val="00072AED"/>
    <w:rsid w:val="00073F47"/>
    <w:rsid w:val="0007492F"/>
    <w:rsid w:val="00074AC7"/>
    <w:rsid w:val="00074ED8"/>
    <w:rsid w:val="00075B7E"/>
    <w:rsid w:val="00077ACA"/>
    <w:rsid w:val="00077C70"/>
    <w:rsid w:val="000813B5"/>
    <w:rsid w:val="00081BA3"/>
    <w:rsid w:val="00081D2E"/>
    <w:rsid w:val="00081F89"/>
    <w:rsid w:val="00082238"/>
    <w:rsid w:val="00082619"/>
    <w:rsid w:val="00082D02"/>
    <w:rsid w:val="00083871"/>
    <w:rsid w:val="00083B91"/>
    <w:rsid w:val="0008473C"/>
    <w:rsid w:val="0008520B"/>
    <w:rsid w:val="000860BD"/>
    <w:rsid w:val="000871B8"/>
    <w:rsid w:val="000916DA"/>
    <w:rsid w:val="00092442"/>
    <w:rsid w:val="000929EF"/>
    <w:rsid w:val="000933BE"/>
    <w:rsid w:val="00093CD4"/>
    <w:rsid w:val="00094463"/>
    <w:rsid w:val="0009560F"/>
    <w:rsid w:val="0009588E"/>
    <w:rsid w:val="000959EE"/>
    <w:rsid w:val="00097183"/>
    <w:rsid w:val="000972CB"/>
    <w:rsid w:val="00097608"/>
    <w:rsid w:val="000A13F3"/>
    <w:rsid w:val="000A23B1"/>
    <w:rsid w:val="000A2B0E"/>
    <w:rsid w:val="000A398F"/>
    <w:rsid w:val="000A3BB7"/>
    <w:rsid w:val="000A448C"/>
    <w:rsid w:val="000A509C"/>
    <w:rsid w:val="000A54A7"/>
    <w:rsid w:val="000A6007"/>
    <w:rsid w:val="000A65A6"/>
    <w:rsid w:val="000A70E3"/>
    <w:rsid w:val="000A7275"/>
    <w:rsid w:val="000A7A12"/>
    <w:rsid w:val="000A7A72"/>
    <w:rsid w:val="000B1202"/>
    <w:rsid w:val="000B1801"/>
    <w:rsid w:val="000B1D0C"/>
    <w:rsid w:val="000B2273"/>
    <w:rsid w:val="000B2585"/>
    <w:rsid w:val="000B2BC6"/>
    <w:rsid w:val="000B2D03"/>
    <w:rsid w:val="000B3815"/>
    <w:rsid w:val="000B3C7B"/>
    <w:rsid w:val="000B3ED8"/>
    <w:rsid w:val="000B4321"/>
    <w:rsid w:val="000B6A6B"/>
    <w:rsid w:val="000B6C95"/>
    <w:rsid w:val="000B79FC"/>
    <w:rsid w:val="000B7BD1"/>
    <w:rsid w:val="000C02B1"/>
    <w:rsid w:val="000C1679"/>
    <w:rsid w:val="000C1EE3"/>
    <w:rsid w:val="000C207A"/>
    <w:rsid w:val="000C3AE7"/>
    <w:rsid w:val="000C3CC9"/>
    <w:rsid w:val="000C6DE4"/>
    <w:rsid w:val="000C7202"/>
    <w:rsid w:val="000C78D8"/>
    <w:rsid w:val="000D0A89"/>
    <w:rsid w:val="000D1389"/>
    <w:rsid w:val="000D1798"/>
    <w:rsid w:val="000D2626"/>
    <w:rsid w:val="000D291C"/>
    <w:rsid w:val="000D3FB6"/>
    <w:rsid w:val="000D411D"/>
    <w:rsid w:val="000D4589"/>
    <w:rsid w:val="000D4809"/>
    <w:rsid w:val="000D5986"/>
    <w:rsid w:val="000D73DD"/>
    <w:rsid w:val="000E1C51"/>
    <w:rsid w:val="000E28AB"/>
    <w:rsid w:val="000E2E3E"/>
    <w:rsid w:val="000E3583"/>
    <w:rsid w:val="000E3AF0"/>
    <w:rsid w:val="000E4E04"/>
    <w:rsid w:val="000E693B"/>
    <w:rsid w:val="000E6EC9"/>
    <w:rsid w:val="000E70B4"/>
    <w:rsid w:val="000E7B62"/>
    <w:rsid w:val="000F0E1E"/>
    <w:rsid w:val="000F1A1B"/>
    <w:rsid w:val="000F2A95"/>
    <w:rsid w:val="000F3281"/>
    <w:rsid w:val="000F32FD"/>
    <w:rsid w:val="000F3733"/>
    <w:rsid w:val="000F5F8B"/>
    <w:rsid w:val="000F6153"/>
    <w:rsid w:val="000F63C8"/>
    <w:rsid w:val="000F64AA"/>
    <w:rsid w:val="000F7AF4"/>
    <w:rsid w:val="000F7C33"/>
    <w:rsid w:val="000F7F0C"/>
    <w:rsid w:val="001004D6"/>
    <w:rsid w:val="00101ADB"/>
    <w:rsid w:val="00102676"/>
    <w:rsid w:val="00103646"/>
    <w:rsid w:val="00103918"/>
    <w:rsid w:val="00104897"/>
    <w:rsid w:val="00104EDE"/>
    <w:rsid w:val="00105CDA"/>
    <w:rsid w:val="00106BEE"/>
    <w:rsid w:val="00107C74"/>
    <w:rsid w:val="0011091C"/>
    <w:rsid w:val="00111266"/>
    <w:rsid w:val="001112EB"/>
    <w:rsid w:val="00112768"/>
    <w:rsid w:val="0011287F"/>
    <w:rsid w:val="00113678"/>
    <w:rsid w:val="00113C3E"/>
    <w:rsid w:val="00115E11"/>
    <w:rsid w:val="00115EEE"/>
    <w:rsid w:val="00115F56"/>
    <w:rsid w:val="00116CA9"/>
    <w:rsid w:val="00116F38"/>
    <w:rsid w:val="001170A4"/>
    <w:rsid w:val="00117AE7"/>
    <w:rsid w:val="00117CBD"/>
    <w:rsid w:val="0012006A"/>
    <w:rsid w:val="00121979"/>
    <w:rsid w:val="00122064"/>
    <w:rsid w:val="00124341"/>
    <w:rsid w:val="00124492"/>
    <w:rsid w:val="00124B12"/>
    <w:rsid w:val="001250A0"/>
    <w:rsid w:val="001263B8"/>
    <w:rsid w:val="0012763E"/>
    <w:rsid w:val="00130217"/>
    <w:rsid w:val="00130783"/>
    <w:rsid w:val="00130A47"/>
    <w:rsid w:val="00130D7C"/>
    <w:rsid w:val="00132B47"/>
    <w:rsid w:val="001337F8"/>
    <w:rsid w:val="001346B6"/>
    <w:rsid w:val="001348B4"/>
    <w:rsid w:val="001351CB"/>
    <w:rsid w:val="00135530"/>
    <w:rsid w:val="00135947"/>
    <w:rsid w:val="001359A2"/>
    <w:rsid w:val="00135F92"/>
    <w:rsid w:val="00136020"/>
    <w:rsid w:val="00136445"/>
    <w:rsid w:val="00140132"/>
    <w:rsid w:val="00141C9C"/>
    <w:rsid w:val="0014277F"/>
    <w:rsid w:val="001434BE"/>
    <w:rsid w:val="00144050"/>
    <w:rsid w:val="0014479F"/>
    <w:rsid w:val="001452B4"/>
    <w:rsid w:val="00145320"/>
    <w:rsid w:val="001476D3"/>
    <w:rsid w:val="001509CF"/>
    <w:rsid w:val="00150D1D"/>
    <w:rsid w:val="001525AA"/>
    <w:rsid w:val="00152A87"/>
    <w:rsid w:val="00153BB5"/>
    <w:rsid w:val="00154518"/>
    <w:rsid w:val="00156359"/>
    <w:rsid w:val="001568F3"/>
    <w:rsid w:val="00156DD6"/>
    <w:rsid w:val="00157C50"/>
    <w:rsid w:val="0016086E"/>
    <w:rsid w:val="00160D0C"/>
    <w:rsid w:val="00161172"/>
    <w:rsid w:val="00161998"/>
    <w:rsid w:val="00161E65"/>
    <w:rsid w:val="00162597"/>
    <w:rsid w:val="001625CA"/>
    <w:rsid w:val="001629AF"/>
    <w:rsid w:val="001629FD"/>
    <w:rsid w:val="0016428A"/>
    <w:rsid w:val="001647C9"/>
    <w:rsid w:val="00165627"/>
    <w:rsid w:val="00165929"/>
    <w:rsid w:val="001661A3"/>
    <w:rsid w:val="00167226"/>
    <w:rsid w:val="0016782B"/>
    <w:rsid w:val="0016784D"/>
    <w:rsid w:val="00172CA8"/>
    <w:rsid w:val="00173256"/>
    <w:rsid w:val="00173B0E"/>
    <w:rsid w:val="00173E03"/>
    <w:rsid w:val="00174182"/>
    <w:rsid w:val="0017512C"/>
    <w:rsid w:val="00175789"/>
    <w:rsid w:val="0017586A"/>
    <w:rsid w:val="00175BA6"/>
    <w:rsid w:val="00176CA7"/>
    <w:rsid w:val="00176F8E"/>
    <w:rsid w:val="001778C5"/>
    <w:rsid w:val="00177E56"/>
    <w:rsid w:val="00177F0A"/>
    <w:rsid w:val="00180DA0"/>
    <w:rsid w:val="00181EAD"/>
    <w:rsid w:val="00181F43"/>
    <w:rsid w:val="00181FA0"/>
    <w:rsid w:val="00182862"/>
    <w:rsid w:val="00184F57"/>
    <w:rsid w:val="00185544"/>
    <w:rsid w:val="00185617"/>
    <w:rsid w:val="00186823"/>
    <w:rsid w:val="00186FE1"/>
    <w:rsid w:val="00187A14"/>
    <w:rsid w:val="0019171E"/>
    <w:rsid w:val="00192368"/>
    <w:rsid w:val="001923A0"/>
    <w:rsid w:val="001928B1"/>
    <w:rsid w:val="00193537"/>
    <w:rsid w:val="0019375B"/>
    <w:rsid w:val="00193846"/>
    <w:rsid w:val="00195424"/>
    <w:rsid w:val="001955FF"/>
    <w:rsid w:val="00196A9E"/>
    <w:rsid w:val="00196D6E"/>
    <w:rsid w:val="00197D07"/>
    <w:rsid w:val="00197EDD"/>
    <w:rsid w:val="001A02B3"/>
    <w:rsid w:val="001A04BB"/>
    <w:rsid w:val="001A08D0"/>
    <w:rsid w:val="001A1B39"/>
    <w:rsid w:val="001A2120"/>
    <w:rsid w:val="001A28C6"/>
    <w:rsid w:val="001A2E69"/>
    <w:rsid w:val="001A3C34"/>
    <w:rsid w:val="001A3EDE"/>
    <w:rsid w:val="001A4222"/>
    <w:rsid w:val="001A50EA"/>
    <w:rsid w:val="001A5BA2"/>
    <w:rsid w:val="001A5E24"/>
    <w:rsid w:val="001A6B27"/>
    <w:rsid w:val="001A6D8B"/>
    <w:rsid w:val="001A6DAA"/>
    <w:rsid w:val="001A7717"/>
    <w:rsid w:val="001A793A"/>
    <w:rsid w:val="001B125A"/>
    <w:rsid w:val="001B1AE9"/>
    <w:rsid w:val="001B1EBA"/>
    <w:rsid w:val="001B2142"/>
    <w:rsid w:val="001B2F2B"/>
    <w:rsid w:val="001B327A"/>
    <w:rsid w:val="001B35DE"/>
    <w:rsid w:val="001B3A13"/>
    <w:rsid w:val="001B3F5C"/>
    <w:rsid w:val="001B59FF"/>
    <w:rsid w:val="001B6512"/>
    <w:rsid w:val="001B65D7"/>
    <w:rsid w:val="001B6752"/>
    <w:rsid w:val="001B6768"/>
    <w:rsid w:val="001B6F1F"/>
    <w:rsid w:val="001B7CD7"/>
    <w:rsid w:val="001B7ECC"/>
    <w:rsid w:val="001C025B"/>
    <w:rsid w:val="001C115F"/>
    <w:rsid w:val="001C1EAB"/>
    <w:rsid w:val="001C25A7"/>
    <w:rsid w:val="001C318C"/>
    <w:rsid w:val="001C35C4"/>
    <w:rsid w:val="001C4287"/>
    <w:rsid w:val="001C4479"/>
    <w:rsid w:val="001C5190"/>
    <w:rsid w:val="001C6081"/>
    <w:rsid w:val="001C7B48"/>
    <w:rsid w:val="001D0CFB"/>
    <w:rsid w:val="001D1A0D"/>
    <w:rsid w:val="001D343C"/>
    <w:rsid w:val="001D34F5"/>
    <w:rsid w:val="001D56FC"/>
    <w:rsid w:val="001D58A1"/>
    <w:rsid w:val="001D58C2"/>
    <w:rsid w:val="001D5A8A"/>
    <w:rsid w:val="001D61CA"/>
    <w:rsid w:val="001D6E87"/>
    <w:rsid w:val="001D735E"/>
    <w:rsid w:val="001D73C8"/>
    <w:rsid w:val="001D7BC6"/>
    <w:rsid w:val="001E129E"/>
    <w:rsid w:val="001E175C"/>
    <w:rsid w:val="001E1B0E"/>
    <w:rsid w:val="001E3B63"/>
    <w:rsid w:val="001E522E"/>
    <w:rsid w:val="001E5A94"/>
    <w:rsid w:val="001E5F6F"/>
    <w:rsid w:val="001F0373"/>
    <w:rsid w:val="001F2A2E"/>
    <w:rsid w:val="001F3356"/>
    <w:rsid w:val="001F3C63"/>
    <w:rsid w:val="001F4460"/>
    <w:rsid w:val="001F711A"/>
    <w:rsid w:val="001F75B0"/>
    <w:rsid w:val="00200CE5"/>
    <w:rsid w:val="00200F7C"/>
    <w:rsid w:val="002014DB"/>
    <w:rsid w:val="0020150B"/>
    <w:rsid w:val="00201E12"/>
    <w:rsid w:val="002033B5"/>
    <w:rsid w:val="0020382C"/>
    <w:rsid w:val="0020437A"/>
    <w:rsid w:val="0020454C"/>
    <w:rsid w:val="00204740"/>
    <w:rsid w:val="00205129"/>
    <w:rsid w:val="0020521F"/>
    <w:rsid w:val="0020532C"/>
    <w:rsid w:val="002114C7"/>
    <w:rsid w:val="0021302C"/>
    <w:rsid w:val="00213B1C"/>
    <w:rsid w:val="00214202"/>
    <w:rsid w:val="002148E3"/>
    <w:rsid w:val="0021552D"/>
    <w:rsid w:val="002156AE"/>
    <w:rsid w:val="00215E99"/>
    <w:rsid w:val="002167C4"/>
    <w:rsid w:val="0022054D"/>
    <w:rsid w:val="00223DDB"/>
    <w:rsid w:val="00223FA4"/>
    <w:rsid w:val="00223FB0"/>
    <w:rsid w:val="00224067"/>
    <w:rsid w:val="0022421C"/>
    <w:rsid w:val="00224E83"/>
    <w:rsid w:val="00225664"/>
    <w:rsid w:val="0022584D"/>
    <w:rsid w:val="0022663D"/>
    <w:rsid w:val="00227F2D"/>
    <w:rsid w:val="00230179"/>
    <w:rsid w:val="0023075A"/>
    <w:rsid w:val="00231851"/>
    <w:rsid w:val="002319FB"/>
    <w:rsid w:val="00231B89"/>
    <w:rsid w:val="00231F11"/>
    <w:rsid w:val="00231F5E"/>
    <w:rsid w:val="002346B4"/>
    <w:rsid w:val="00234F6E"/>
    <w:rsid w:val="002355BE"/>
    <w:rsid w:val="002358EA"/>
    <w:rsid w:val="00236578"/>
    <w:rsid w:val="00236DE9"/>
    <w:rsid w:val="00237342"/>
    <w:rsid w:val="00237D5A"/>
    <w:rsid w:val="00240C9C"/>
    <w:rsid w:val="002415AE"/>
    <w:rsid w:val="00241CB4"/>
    <w:rsid w:val="00241D3C"/>
    <w:rsid w:val="00242109"/>
    <w:rsid w:val="00243189"/>
    <w:rsid w:val="002439AB"/>
    <w:rsid w:val="00243C19"/>
    <w:rsid w:val="00244AE8"/>
    <w:rsid w:val="00244DC9"/>
    <w:rsid w:val="00245587"/>
    <w:rsid w:val="00245F2B"/>
    <w:rsid w:val="00246151"/>
    <w:rsid w:val="002477DF"/>
    <w:rsid w:val="00247F3A"/>
    <w:rsid w:val="00250122"/>
    <w:rsid w:val="00250755"/>
    <w:rsid w:val="00251043"/>
    <w:rsid w:val="00251C4A"/>
    <w:rsid w:val="0025271C"/>
    <w:rsid w:val="002529E4"/>
    <w:rsid w:val="002533CD"/>
    <w:rsid w:val="002535EA"/>
    <w:rsid w:val="00254EAB"/>
    <w:rsid w:val="002557AF"/>
    <w:rsid w:val="0025589C"/>
    <w:rsid w:val="00255B62"/>
    <w:rsid w:val="002566B1"/>
    <w:rsid w:val="002575E3"/>
    <w:rsid w:val="00257A74"/>
    <w:rsid w:val="002603C1"/>
    <w:rsid w:val="002609A1"/>
    <w:rsid w:val="002612B1"/>
    <w:rsid w:val="00266165"/>
    <w:rsid w:val="002662FE"/>
    <w:rsid w:val="00266F2C"/>
    <w:rsid w:val="002706D2"/>
    <w:rsid w:val="0027125E"/>
    <w:rsid w:val="00271767"/>
    <w:rsid w:val="00272293"/>
    <w:rsid w:val="002723C8"/>
    <w:rsid w:val="00273C2A"/>
    <w:rsid w:val="00273CBE"/>
    <w:rsid w:val="002746B1"/>
    <w:rsid w:val="00274BAD"/>
    <w:rsid w:val="00282D56"/>
    <w:rsid w:val="002835B0"/>
    <w:rsid w:val="00283C74"/>
    <w:rsid w:val="0028407E"/>
    <w:rsid w:val="0028410F"/>
    <w:rsid w:val="00284572"/>
    <w:rsid w:val="00285221"/>
    <w:rsid w:val="00286FB5"/>
    <w:rsid w:val="00287763"/>
    <w:rsid w:val="00287FCB"/>
    <w:rsid w:val="00290606"/>
    <w:rsid w:val="002909B2"/>
    <w:rsid w:val="00291D6D"/>
    <w:rsid w:val="00291FF1"/>
    <w:rsid w:val="00292AA2"/>
    <w:rsid w:val="00293361"/>
    <w:rsid w:val="002952B1"/>
    <w:rsid w:val="00295D11"/>
    <w:rsid w:val="00296FB6"/>
    <w:rsid w:val="002A0001"/>
    <w:rsid w:val="002A0BD9"/>
    <w:rsid w:val="002A0C3A"/>
    <w:rsid w:val="002A1130"/>
    <w:rsid w:val="002A1880"/>
    <w:rsid w:val="002A23B7"/>
    <w:rsid w:val="002A3A57"/>
    <w:rsid w:val="002A3BEB"/>
    <w:rsid w:val="002A3EF2"/>
    <w:rsid w:val="002A4B4F"/>
    <w:rsid w:val="002A57A8"/>
    <w:rsid w:val="002A666B"/>
    <w:rsid w:val="002A6DEF"/>
    <w:rsid w:val="002A6E42"/>
    <w:rsid w:val="002A770B"/>
    <w:rsid w:val="002B013E"/>
    <w:rsid w:val="002B058D"/>
    <w:rsid w:val="002B0C16"/>
    <w:rsid w:val="002B2AC5"/>
    <w:rsid w:val="002B3528"/>
    <w:rsid w:val="002B3539"/>
    <w:rsid w:val="002B4532"/>
    <w:rsid w:val="002B5042"/>
    <w:rsid w:val="002B69CC"/>
    <w:rsid w:val="002B6D71"/>
    <w:rsid w:val="002C0C1C"/>
    <w:rsid w:val="002C134A"/>
    <w:rsid w:val="002C137D"/>
    <w:rsid w:val="002C38A3"/>
    <w:rsid w:val="002C54C2"/>
    <w:rsid w:val="002C5D34"/>
    <w:rsid w:val="002C5D7F"/>
    <w:rsid w:val="002C60BB"/>
    <w:rsid w:val="002C661A"/>
    <w:rsid w:val="002C7B7C"/>
    <w:rsid w:val="002D0D6F"/>
    <w:rsid w:val="002D25FC"/>
    <w:rsid w:val="002D4AC6"/>
    <w:rsid w:val="002D5BF5"/>
    <w:rsid w:val="002D5E95"/>
    <w:rsid w:val="002D5EE8"/>
    <w:rsid w:val="002D7360"/>
    <w:rsid w:val="002D7648"/>
    <w:rsid w:val="002D780A"/>
    <w:rsid w:val="002E109C"/>
    <w:rsid w:val="002E193E"/>
    <w:rsid w:val="002E1A94"/>
    <w:rsid w:val="002E1D55"/>
    <w:rsid w:val="002E26C4"/>
    <w:rsid w:val="002E30A5"/>
    <w:rsid w:val="002E47E4"/>
    <w:rsid w:val="002E4BF9"/>
    <w:rsid w:val="002E4D61"/>
    <w:rsid w:val="002E4F5E"/>
    <w:rsid w:val="002E5FED"/>
    <w:rsid w:val="002E68A7"/>
    <w:rsid w:val="002E6E6C"/>
    <w:rsid w:val="002F0522"/>
    <w:rsid w:val="002F0B85"/>
    <w:rsid w:val="002F16DD"/>
    <w:rsid w:val="002F199D"/>
    <w:rsid w:val="002F213C"/>
    <w:rsid w:val="002F2453"/>
    <w:rsid w:val="002F352D"/>
    <w:rsid w:val="002F381E"/>
    <w:rsid w:val="002F4084"/>
    <w:rsid w:val="002F4A08"/>
    <w:rsid w:val="002F4ADB"/>
    <w:rsid w:val="002F531E"/>
    <w:rsid w:val="002F548D"/>
    <w:rsid w:val="002F5512"/>
    <w:rsid w:val="002F5ACC"/>
    <w:rsid w:val="002F704B"/>
    <w:rsid w:val="002F72C3"/>
    <w:rsid w:val="002F768C"/>
    <w:rsid w:val="002F7D1E"/>
    <w:rsid w:val="00300201"/>
    <w:rsid w:val="0030025A"/>
    <w:rsid w:val="00301ADC"/>
    <w:rsid w:val="00302EFC"/>
    <w:rsid w:val="00303243"/>
    <w:rsid w:val="00303BCC"/>
    <w:rsid w:val="00303F2B"/>
    <w:rsid w:val="00303F8D"/>
    <w:rsid w:val="003055F8"/>
    <w:rsid w:val="003056BE"/>
    <w:rsid w:val="0030572D"/>
    <w:rsid w:val="0030586A"/>
    <w:rsid w:val="0030622D"/>
    <w:rsid w:val="00306811"/>
    <w:rsid w:val="00306F32"/>
    <w:rsid w:val="003074C5"/>
    <w:rsid w:val="00307A3C"/>
    <w:rsid w:val="00307FA4"/>
    <w:rsid w:val="00310290"/>
    <w:rsid w:val="0031083D"/>
    <w:rsid w:val="00310CC1"/>
    <w:rsid w:val="00311B60"/>
    <w:rsid w:val="00312504"/>
    <w:rsid w:val="00313026"/>
    <w:rsid w:val="00313913"/>
    <w:rsid w:val="0031421F"/>
    <w:rsid w:val="00314B31"/>
    <w:rsid w:val="00315A65"/>
    <w:rsid w:val="003165D7"/>
    <w:rsid w:val="00317BA7"/>
    <w:rsid w:val="00320BE2"/>
    <w:rsid w:val="00321714"/>
    <w:rsid w:val="00321886"/>
    <w:rsid w:val="00323694"/>
    <w:rsid w:val="00323BE7"/>
    <w:rsid w:val="00324C3A"/>
    <w:rsid w:val="00324D63"/>
    <w:rsid w:val="0032506C"/>
    <w:rsid w:val="003255AF"/>
    <w:rsid w:val="003256EB"/>
    <w:rsid w:val="003259DB"/>
    <w:rsid w:val="003314D9"/>
    <w:rsid w:val="00331653"/>
    <w:rsid w:val="00331A48"/>
    <w:rsid w:val="00331BCC"/>
    <w:rsid w:val="003330C9"/>
    <w:rsid w:val="0033364C"/>
    <w:rsid w:val="00334415"/>
    <w:rsid w:val="00335EA1"/>
    <w:rsid w:val="0033691E"/>
    <w:rsid w:val="00336A6A"/>
    <w:rsid w:val="00336CCB"/>
    <w:rsid w:val="003411D1"/>
    <w:rsid w:val="003416BA"/>
    <w:rsid w:val="00342148"/>
    <w:rsid w:val="00342F99"/>
    <w:rsid w:val="0034575A"/>
    <w:rsid w:val="00345F57"/>
    <w:rsid w:val="00350458"/>
    <w:rsid w:val="00350E6C"/>
    <w:rsid w:val="003518A6"/>
    <w:rsid w:val="00351E7F"/>
    <w:rsid w:val="00352953"/>
    <w:rsid w:val="00354062"/>
    <w:rsid w:val="0035459E"/>
    <w:rsid w:val="00355C0D"/>
    <w:rsid w:val="003566A9"/>
    <w:rsid w:val="00356988"/>
    <w:rsid w:val="003569D3"/>
    <w:rsid w:val="00356CE9"/>
    <w:rsid w:val="003570BB"/>
    <w:rsid w:val="00357128"/>
    <w:rsid w:val="0035755E"/>
    <w:rsid w:val="00357A80"/>
    <w:rsid w:val="00360725"/>
    <w:rsid w:val="00361441"/>
    <w:rsid w:val="00361B8B"/>
    <w:rsid w:val="00361F75"/>
    <w:rsid w:val="00363F39"/>
    <w:rsid w:val="0036445C"/>
    <w:rsid w:val="00364627"/>
    <w:rsid w:val="00364AB0"/>
    <w:rsid w:val="00364D71"/>
    <w:rsid w:val="003667B0"/>
    <w:rsid w:val="003667DD"/>
    <w:rsid w:val="00366B48"/>
    <w:rsid w:val="00367764"/>
    <w:rsid w:val="00370316"/>
    <w:rsid w:val="00370DC7"/>
    <w:rsid w:val="00371CBD"/>
    <w:rsid w:val="00371F20"/>
    <w:rsid w:val="003721E3"/>
    <w:rsid w:val="00372B98"/>
    <w:rsid w:val="003737B7"/>
    <w:rsid w:val="003740CC"/>
    <w:rsid w:val="003745F4"/>
    <w:rsid w:val="00374E79"/>
    <w:rsid w:val="0037529A"/>
    <w:rsid w:val="00375388"/>
    <w:rsid w:val="00375FB9"/>
    <w:rsid w:val="00376170"/>
    <w:rsid w:val="00376851"/>
    <w:rsid w:val="00376FA2"/>
    <w:rsid w:val="00377A3B"/>
    <w:rsid w:val="00377E3C"/>
    <w:rsid w:val="00380BBE"/>
    <w:rsid w:val="00381D70"/>
    <w:rsid w:val="0038235E"/>
    <w:rsid w:val="003829D0"/>
    <w:rsid w:val="0038326A"/>
    <w:rsid w:val="0038444F"/>
    <w:rsid w:val="003861F0"/>
    <w:rsid w:val="00387051"/>
    <w:rsid w:val="00387ECF"/>
    <w:rsid w:val="0039021B"/>
    <w:rsid w:val="00390429"/>
    <w:rsid w:val="003906A0"/>
    <w:rsid w:val="0039281F"/>
    <w:rsid w:val="0039366C"/>
    <w:rsid w:val="00393EC8"/>
    <w:rsid w:val="003950F5"/>
    <w:rsid w:val="0039538F"/>
    <w:rsid w:val="00395E42"/>
    <w:rsid w:val="00396409"/>
    <w:rsid w:val="00396673"/>
    <w:rsid w:val="00396A2D"/>
    <w:rsid w:val="00396F61"/>
    <w:rsid w:val="00396FC3"/>
    <w:rsid w:val="003A041F"/>
    <w:rsid w:val="003A1A94"/>
    <w:rsid w:val="003A204E"/>
    <w:rsid w:val="003A2D25"/>
    <w:rsid w:val="003A5728"/>
    <w:rsid w:val="003A60E7"/>
    <w:rsid w:val="003A7092"/>
    <w:rsid w:val="003A72A1"/>
    <w:rsid w:val="003A7611"/>
    <w:rsid w:val="003A7D1F"/>
    <w:rsid w:val="003B0B6A"/>
    <w:rsid w:val="003B0D48"/>
    <w:rsid w:val="003B22F7"/>
    <w:rsid w:val="003B29CF"/>
    <w:rsid w:val="003B3A90"/>
    <w:rsid w:val="003B534F"/>
    <w:rsid w:val="003B5E4F"/>
    <w:rsid w:val="003B7A79"/>
    <w:rsid w:val="003C0FE1"/>
    <w:rsid w:val="003C151A"/>
    <w:rsid w:val="003C350C"/>
    <w:rsid w:val="003C3903"/>
    <w:rsid w:val="003C3BA0"/>
    <w:rsid w:val="003C4580"/>
    <w:rsid w:val="003C5C5E"/>
    <w:rsid w:val="003C6746"/>
    <w:rsid w:val="003C7555"/>
    <w:rsid w:val="003C7898"/>
    <w:rsid w:val="003D0FF5"/>
    <w:rsid w:val="003D11A3"/>
    <w:rsid w:val="003D1537"/>
    <w:rsid w:val="003D183C"/>
    <w:rsid w:val="003D2D1B"/>
    <w:rsid w:val="003D48C7"/>
    <w:rsid w:val="003D4C27"/>
    <w:rsid w:val="003D53F7"/>
    <w:rsid w:val="003D7109"/>
    <w:rsid w:val="003D7CE8"/>
    <w:rsid w:val="003E0514"/>
    <w:rsid w:val="003E1032"/>
    <w:rsid w:val="003E1904"/>
    <w:rsid w:val="003E285E"/>
    <w:rsid w:val="003E3124"/>
    <w:rsid w:val="003E3300"/>
    <w:rsid w:val="003E43D3"/>
    <w:rsid w:val="003E48E1"/>
    <w:rsid w:val="003E59BB"/>
    <w:rsid w:val="003E6225"/>
    <w:rsid w:val="003E6531"/>
    <w:rsid w:val="003E65AC"/>
    <w:rsid w:val="003E66AE"/>
    <w:rsid w:val="003E72B9"/>
    <w:rsid w:val="003E7ED4"/>
    <w:rsid w:val="003F0E52"/>
    <w:rsid w:val="003F0F6B"/>
    <w:rsid w:val="003F1FC6"/>
    <w:rsid w:val="003F1FE3"/>
    <w:rsid w:val="003F2359"/>
    <w:rsid w:val="003F3865"/>
    <w:rsid w:val="003F3D55"/>
    <w:rsid w:val="003F44E2"/>
    <w:rsid w:val="003F4632"/>
    <w:rsid w:val="003F47BA"/>
    <w:rsid w:val="003F4FE6"/>
    <w:rsid w:val="003F5638"/>
    <w:rsid w:val="003F6617"/>
    <w:rsid w:val="003F72BC"/>
    <w:rsid w:val="00402332"/>
    <w:rsid w:val="004025C2"/>
    <w:rsid w:val="00403195"/>
    <w:rsid w:val="004033A9"/>
    <w:rsid w:val="00403E55"/>
    <w:rsid w:val="0040407C"/>
    <w:rsid w:val="0040416C"/>
    <w:rsid w:val="00404681"/>
    <w:rsid w:val="004055CE"/>
    <w:rsid w:val="00405AC1"/>
    <w:rsid w:val="00406923"/>
    <w:rsid w:val="0040763D"/>
    <w:rsid w:val="00410D17"/>
    <w:rsid w:val="00413442"/>
    <w:rsid w:val="00413821"/>
    <w:rsid w:val="00413BA5"/>
    <w:rsid w:val="004141A3"/>
    <w:rsid w:val="00414909"/>
    <w:rsid w:val="0041582F"/>
    <w:rsid w:val="00416112"/>
    <w:rsid w:val="00416AC8"/>
    <w:rsid w:val="00417AE0"/>
    <w:rsid w:val="00417BAA"/>
    <w:rsid w:val="0042042B"/>
    <w:rsid w:val="00420B45"/>
    <w:rsid w:val="00420D7A"/>
    <w:rsid w:val="00421257"/>
    <w:rsid w:val="00422193"/>
    <w:rsid w:val="004223DE"/>
    <w:rsid w:val="00422A10"/>
    <w:rsid w:val="00423C4C"/>
    <w:rsid w:val="00424D17"/>
    <w:rsid w:val="00425DFD"/>
    <w:rsid w:val="004263A3"/>
    <w:rsid w:val="00427713"/>
    <w:rsid w:val="00427CCC"/>
    <w:rsid w:val="0043013A"/>
    <w:rsid w:val="00430421"/>
    <w:rsid w:val="00430A36"/>
    <w:rsid w:val="00430B4F"/>
    <w:rsid w:val="00431084"/>
    <w:rsid w:val="004310D7"/>
    <w:rsid w:val="0043214F"/>
    <w:rsid w:val="004322D6"/>
    <w:rsid w:val="00432589"/>
    <w:rsid w:val="00432A94"/>
    <w:rsid w:val="00432C95"/>
    <w:rsid w:val="00433827"/>
    <w:rsid w:val="00433A40"/>
    <w:rsid w:val="00434B70"/>
    <w:rsid w:val="004360C8"/>
    <w:rsid w:val="004371D5"/>
    <w:rsid w:val="0044006B"/>
    <w:rsid w:val="0044033F"/>
    <w:rsid w:val="00440630"/>
    <w:rsid w:val="00440AED"/>
    <w:rsid w:val="00441F0F"/>
    <w:rsid w:val="00442965"/>
    <w:rsid w:val="00444157"/>
    <w:rsid w:val="0044417C"/>
    <w:rsid w:val="00444DB3"/>
    <w:rsid w:val="00445617"/>
    <w:rsid w:val="00445A2F"/>
    <w:rsid w:val="0044684E"/>
    <w:rsid w:val="00446F22"/>
    <w:rsid w:val="0045019F"/>
    <w:rsid w:val="004503A4"/>
    <w:rsid w:val="00450555"/>
    <w:rsid w:val="004506FA"/>
    <w:rsid w:val="00450DC6"/>
    <w:rsid w:val="004516A5"/>
    <w:rsid w:val="00451E9C"/>
    <w:rsid w:val="0045280F"/>
    <w:rsid w:val="004535AE"/>
    <w:rsid w:val="0045444D"/>
    <w:rsid w:val="0045463A"/>
    <w:rsid w:val="00454AC9"/>
    <w:rsid w:val="00455050"/>
    <w:rsid w:val="004554A3"/>
    <w:rsid w:val="00455A6E"/>
    <w:rsid w:val="00455EAD"/>
    <w:rsid w:val="004578EB"/>
    <w:rsid w:val="004604D5"/>
    <w:rsid w:val="00460697"/>
    <w:rsid w:val="0046117B"/>
    <w:rsid w:val="00464AB7"/>
    <w:rsid w:val="00465DE5"/>
    <w:rsid w:val="00467EF8"/>
    <w:rsid w:val="00472429"/>
    <w:rsid w:val="004725E5"/>
    <w:rsid w:val="00472751"/>
    <w:rsid w:val="00473128"/>
    <w:rsid w:val="00473263"/>
    <w:rsid w:val="00475078"/>
    <w:rsid w:val="00475767"/>
    <w:rsid w:val="00477542"/>
    <w:rsid w:val="004779A0"/>
    <w:rsid w:val="004808E3"/>
    <w:rsid w:val="00481016"/>
    <w:rsid w:val="0048204C"/>
    <w:rsid w:val="004821BB"/>
    <w:rsid w:val="004826FE"/>
    <w:rsid w:val="004827D5"/>
    <w:rsid w:val="0048286D"/>
    <w:rsid w:val="00482AF2"/>
    <w:rsid w:val="004830C9"/>
    <w:rsid w:val="00483347"/>
    <w:rsid w:val="00483E2E"/>
    <w:rsid w:val="00484B69"/>
    <w:rsid w:val="00485406"/>
    <w:rsid w:val="0048590F"/>
    <w:rsid w:val="004865D9"/>
    <w:rsid w:val="00486D60"/>
    <w:rsid w:val="00487BFD"/>
    <w:rsid w:val="00491FA1"/>
    <w:rsid w:val="00492A25"/>
    <w:rsid w:val="004938A3"/>
    <w:rsid w:val="0049558B"/>
    <w:rsid w:val="00496350"/>
    <w:rsid w:val="0049797C"/>
    <w:rsid w:val="004A00E1"/>
    <w:rsid w:val="004A0943"/>
    <w:rsid w:val="004A1405"/>
    <w:rsid w:val="004A1FC6"/>
    <w:rsid w:val="004A2E5F"/>
    <w:rsid w:val="004A38C2"/>
    <w:rsid w:val="004A3C03"/>
    <w:rsid w:val="004A3DB7"/>
    <w:rsid w:val="004A4FA9"/>
    <w:rsid w:val="004A5088"/>
    <w:rsid w:val="004A5255"/>
    <w:rsid w:val="004A55DD"/>
    <w:rsid w:val="004A5B16"/>
    <w:rsid w:val="004A6CB0"/>
    <w:rsid w:val="004A70FF"/>
    <w:rsid w:val="004A7EDE"/>
    <w:rsid w:val="004B0D93"/>
    <w:rsid w:val="004B1FA4"/>
    <w:rsid w:val="004B29AC"/>
    <w:rsid w:val="004B35DF"/>
    <w:rsid w:val="004B3627"/>
    <w:rsid w:val="004B4922"/>
    <w:rsid w:val="004B57DF"/>
    <w:rsid w:val="004B5976"/>
    <w:rsid w:val="004B7137"/>
    <w:rsid w:val="004B722E"/>
    <w:rsid w:val="004B72E8"/>
    <w:rsid w:val="004C01A5"/>
    <w:rsid w:val="004C0412"/>
    <w:rsid w:val="004C0DBA"/>
    <w:rsid w:val="004C1142"/>
    <w:rsid w:val="004C2138"/>
    <w:rsid w:val="004C3940"/>
    <w:rsid w:val="004C51FD"/>
    <w:rsid w:val="004C65A8"/>
    <w:rsid w:val="004C6689"/>
    <w:rsid w:val="004C67D4"/>
    <w:rsid w:val="004D139A"/>
    <w:rsid w:val="004D14DC"/>
    <w:rsid w:val="004D17C6"/>
    <w:rsid w:val="004D27A1"/>
    <w:rsid w:val="004D2858"/>
    <w:rsid w:val="004D28C5"/>
    <w:rsid w:val="004D2E49"/>
    <w:rsid w:val="004D35BA"/>
    <w:rsid w:val="004D38E5"/>
    <w:rsid w:val="004D3C5A"/>
    <w:rsid w:val="004D449A"/>
    <w:rsid w:val="004D4701"/>
    <w:rsid w:val="004D47C7"/>
    <w:rsid w:val="004D4F35"/>
    <w:rsid w:val="004D5D45"/>
    <w:rsid w:val="004D618D"/>
    <w:rsid w:val="004D62A9"/>
    <w:rsid w:val="004D6FC3"/>
    <w:rsid w:val="004D7476"/>
    <w:rsid w:val="004D7716"/>
    <w:rsid w:val="004E0306"/>
    <w:rsid w:val="004E0572"/>
    <w:rsid w:val="004E06D5"/>
    <w:rsid w:val="004E1641"/>
    <w:rsid w:val="004E1818"/>
    <w:rsid w:val="004E1990"/>
    <w:rsid w:val="004E25A8"/>
    <w:rsid w:val="004E3930"/>
    <w:rsid w:val="004E3ED9"/>
    <w:rsid w:val="004E5866"/>
    <w:rsid w:val="004E6097"/>
    <w:rsid w:val="004E61EF"/>
    <w:rsid w:val="004E63C6"/>
    <w:rsid w:val="004E76A7"/>
    <w:rsid w:val="004E7B03"/>
    <w:rsid w:val="004F0064"/>
    <w:rsid w:val="004F06AC"/>
    <w:rsid w:val="004F0B15"/>
    <w:rsid w:val="004F1D2A"/>
    <w:rsid w:val="004F243F"/>
    <w:rsid w:val="004F252C"/>
    <w:rsid w:val="004F36A3"/>
    <w:rsid w:val="004F3E0C"/>
    <w:rsid w:val="004F4308"/>
    <w:rsid w:val="004F7160"/>
    <w:rsid w:val="00500258"/>
    <w:rsid w:val="005007EF"/>
    <w:rsid w:val="00500B2D"/>
    <w:rsid w:val="00501A99"/>
    <w:rsid w:val="00503180"/>
    <w:rsid w:val="005038A4"/>
    <w:rsid w:val="00505450"/>
    <w:rsid w:val="005100B7"/>
    <w:rsid w:val="005113C9"/>
    <w:rsid w:val="00512050"/>
    <w:rsid w:val="00512055"/>
    <w:rsid w:val="0051280C"/>
    <w:rsid w:val="00512842"/>
    <w:rsid w:val="005128BE"/>
    <w:rsid w:val="0051356F"/>
    <w:rsid w:val="00513E7C"/>
    <w:rsid w:val="005140BB"/>
    <w:rsid w:val="00514FBE"/>
    <w:rsid w:val="00514FD9"/>
    <w:rsid w:val="0051550A"/>
    <w:rsid w:val="0051608F"/>
    <w:rsid w:val="005166B0"/>
    <w:rsid w:val="00520EF8"/>
    <w:rsid w:val="005210F7"/>
    <w:rsid w:val="00521753"/>
    <w:rsid w:val="0052239D"/>
    <w:rsid w:val="005224EE"/>
    <w:rsid w:val="00522879"/>
    <w:rsid w:val="00523BB1"/>
    <w:rsid w:val="0052570E"/>
    <w:rsid w:val="005260CD"/>
    <w:rsid w:val="0052613F"/>
    <w:rsid w:val="00526265"/>
    <w:rsid w:val="0052655D"/>
    <w:rsid w:val="005265E0"/>
    <w:rsid w:val="00526BC3"/>
    <w:rsid w:val="00531761"/>
    <w:rsid w:val="0053248F"/>
    <w:rsid w:val="0053332A"/>
    <w:rsid w:val="0053358A"/>
    <w:rsid w:val="0053379A"/>
    <w:rsid w:val="00534668"/>
    <w:rsid w:val="00534DDD"/>
    <w:rsid w:val="00535291"/>
    <w:rsid w:val="00535A94"/>
    <w:rsid w:val="00537874"/>
    <w:rsid w:val="0053795F"/>
    <w:rsid w:val="00537D3D"/>
    <w:rsid w:val="00540402"/>
    <w:rsid w:val="00540511"/>
    <w:rsid w:val="00540578"/>
    <w:rsid w:val="00540808"/>
    <w:rsid w:val="0054080E"/>
    <w:rsid w:val="00540EA1"/>
    <w:rsid w:val="0054358E"/>
    <w:rsid w:val="00543AF4"/>
    <w:rsid w:val="00544191"/>
    <w:rsid w:val="0054440C"/>
    <w:rsid w:val="005448EC"/>
    <w:rsid w:val="00544C0A"/>
    <w:rsid w:val="00544F39"/>
    <w:rsid w:val="00545130"/>
    <w:rsid w:val="00546F90"/>
    <w:rsid w:val="00547EFB"/>
    <w:rsid w:val="005522F2"/>
    <w:rsid w:val="005531DF"/>
    <w:rsid w:val="005533A8"/>
    <w:rsid w:val="00553874"/>
    <w:rsid w:val="00554577"/>
    <w:rsid w:val="00554AD8"/>
    <w:rsid w:val="00554F78"/>
    <w:rsid w:val="00555DA1"/>
    <w:rsid w:val="00556BF7"/>
    <w:rsid w:val="00557F60"/>
    <w:rsid w:val="00561730"/>
    <w:rsid w:val="00561B97"/>
    <w:rsid w:val="00562149"/>
    <w:rsid w:val="005668B0"/>
    <w:rsid w:val="00567B5D"/>
    <w:rsid w:val="005706D5"/>
    <w:rsid w:val="00570757"/>
    <w:rsid w:val="00573733"/>
    <w:rsid w:val="00573F8B"/>
    <w:rsid w:val="00574554"/>
    <w:rsid w:val="00574E06"/>
    <w:rsid w:val="005751BB"/>
    <w:rsid w:val="00576089"/>
    <w:rsid w:val="005764B1"/>
    <w:rsid w:val="00576852"/>
    <w:rsid w:val="00576D06"/>
    <w:rsid w:val="00577287"/>
    <w:rsid w:val="005779E4"/>
    <w:rsid w:val="00577F9F"/>
    <w:rsid w:val="00580EC7"/>
    <w:rsid w:val="00581132"/>
    <w:rsid w:val="0058289C"/>
    <w:rsid w:val="005836C7"/>
    <w:rsid w:val="0058408E"/>
    <w:rsid w:val="005842E3"/>
    <w:rsid w:val="00585374"/>
    <w:rsid w:val="005854CA"/>
    <w:rsid w:val="00585FAB"/>
    <w:rsid w:val="00590B77"/>
    <w:rsid w:val="00590D9A"/>
    <w:rsid w:val="005913A3"/>
    <w:rsid w:val="005940D4"/>
    <w:rsid w:val="00594A7B"/>
    <w:rsid w:val="0059580E"/>
    <w:rsid w:val="00595D90"/>
    <w:rsid w:val="00596A6F"/>
    <w:rsid w:val="00596FCE"/>
    <w:rsid w:val="005A11BC"/>
    <w:rsid w:val="005A1525"/>
    <w:rsid w:val="005A1588"/>
    <w:rsid w:val="005A1E17"/>
    <w:rsid w:val="005A252B"/>
    <w:rsid w:val="005A2A8F"/>
    <w:rsid w:val="005A3204"/>
    <w:rsid w:val="005A3341"/>
    <w:rsid w:val="005A3C3D"/>
    <w:rsid w:val="005A46EC"/>
    <w:rsid w:val="005A5EAE"/>
    <w:rsid w:val="005A6407"/>
    <w:rsid w:val="005A726C"/>
    <w:rsid w:val="005B07EC"/>
    <w:rsid w:val="005B2B11"/>
    <w:rsid w:val="005B32A4"/>
    <w:rsid w:val="005B3371"/>
    <w:rsid w:val="005B338D"/>
    <w:rsid w:val="005B36D7"/>
    <w:rsid w:val="005B3BAF"/>
    <w:rsid w:val="005B4DA3"/>
    <w:rsid w:val="005B5BEE"/>
    <w:rsid w:val="005B77D2"/>
    <w:rsid w:val="005C019B"/>
    <w:rsid w:val="005C08D0"/>
    <w:rsid w:val="005C1AED"/>
    <w:rsid w:val="005C30F5"/>
    <w:rsid w:val="005C51A5"/>
    <w:rsid w:val="005C557A"/>
    <w:rsid w:val="005C566F"/>
    <w:rsid w:val="005C5C47"/>
    <w:rsid w:val="005C61DD"/>
    <w:rsid w:val="005C6438"/>
    <w:rsid w:val="005C6B8B"/>
    <w:rsid w:val="005C727F"/>
    <w:rsid w:val="005D02E3"/>
    <w:rsid w:val="005D1F34"/>
    <w:rsid w:val="005D2400"/>
    <w:rsid w:val="005D2C1F"/>
    <w:rsid w:val="005D2DE8"/>
    <w:rsid w:val="005D34B2"/>
    <w:rsid w:val="005D3B54"/>
    <w:rsid w:val="005D40CD"/>
    <w:rsid w:val="005D41B0"/>
    <w:rsid w:val="005D5A0F"/>
    <w:rsid w:val="005D6B59"/>
    <w:rsid w:val="005D784B"/>
    <w:rsid w:val="005E03E4"/>
    <w:rsid w:val="005E0454"/>
    <w:rsid w:val="005E05F6"/>
    <w:rsid w:val="005E2442"/>
    <w:rsid w:val="005E3111"/>
    <w:rsid w:val="005E3F85"/>
    <w:rsid w:val="005E4A5F"/>
    <w:rsid w:val="005E57B0"/>
    <w:rsid w:val="005E5B01"/>
    <w:rsid w:val="005E6D3B"/>
    <w:rsid w:val="005F009E"/>
    <w:rsid w:val="005F0DF1"/>
    <w:rsid w:val="005F1516"/>
    <w:rsid w:val="005F229E"/>
    <w:rsid w:val="005F2564"/>
    <w:rsid w:val="005F3822"/>
    <w:rsid w:val="005F4635"/>
    <w:rsid w:val="005F4900"/>
    <w:rsid w:val="005F4E52"/>
    <w:rsid w:val="005F6D58"/>
    <w:rsid w:val="005F7383"/>
    <w:rsid w:val="0060058E"/>
    <w:rsid w:val="00601F77"/>
    <w:rsid w:val="00602A3C"/>
    <w:rsid w:val="00603EFD"/>
    <w:rsid w:val="0060475B"/>
    <w:rsid w:val="00604BED"/>
    <w:rsid w:val="00604FB6"/>
    <w:rsid w:val="00605387"/>
    <w:rsid w:val="00606302"/>
    <w:rsid w:val="00606EEC"/>
    <w:rsid w:val="006076FD"/>
    <w:rsid w:val="0060790A"/>
    <w:rsid w:val="00610DA3"/>
    <w:rsid w:val="0061143F"/>
    <w:rsid w:val="006114D8"/>
    <w:rsid w:val="00613553"/>
    <w:rsid w:val="00613601"/>
    <w:rsid w:val="00613791"/>
    <w:rsid w:val="006150D6"/>
    <w:rsid w:val="00615245"/>
    <w:rsid w:val="0061590D"/>
    <w:rsid w:val="006161E5"/>
    <w:rsid w:val="0061641E"/>
    <w:rsid w:val="00617EEE"/>
    <w:rsid w:val="00620A1F"/>
    <w:rsid w:val="006214DE"/>
    <w:rsid w:val="0062169D"/>
    <w:rsid w:val="0062181E"/>
    <w:rsid w:val="0062211B"/>
    <w:rsid w:val="00622BB7"/>
    <w:rsid w:val="00622C1E"/>
    <w:rsid w:val="00623389"/>
    <w:rsid w:val="00623DAA"/>
    <w:rsid w:val="00623FAF"/>
    <w:rsid w:val="006265C4"/>
    <w:rsid w:val="0062678A"/>
    <w:rsid w:val="006270AF"/>
    <w:rsid w:val="00634367"/>
    <w:rsid w:val="00640082"/>
    <w:rsid w:val="00640291"/>
    <w:rsid w:val="00640EFE"/>
    <w:rsid w:val="00641D6D"/>
    <w:rsid w:val="00641FAC"/>
    <w:rsid w:val="00643664"/>
    <w:rsid w:val="00643CAA"/>
    <w:rsid w:val="00644F16"/>
    <w:rsid w:val="006455EB"/>
    <w:rsid w:val="006456C2"/>
    <w:rsid w:val="00645A65"/>
    <w:rsid w:val="006477F0"/>
    <w:rsid w:val="006478E4"/>
    <w:rsid w:val="0065171A"/>
    <w:rsid w:val="00652680"/>
    <w:rsid w:val="00653CDE"/>
    <w:rsid w:val="00654585"/>
    <w:rsid w:val="00655AB6"/>
    <w:rsid w:val="00656281"/>
    <w:rsid w:val="0065636A"/>
    <w:rsid w:val="00657003"/>
    <w:rsid w:val="00660238"/>
    <w:rsid w:val="006602EF"/>
    <w:rsid w:val="00661277"/>
    <w:rsid w:val="006619E0"/>
    <w:rsid w:val="00663FEA"/>
    <w:rsid w:val="00664803"/>
    <w:rsid w:val="006657C5"/>
    <w:rsid w:val="006661A4"/>
    <w:rsid w:val="00666AC0"/>
    <w:rsid w:val="006670E0"/>
    <w:rsid w:val="006671B8"/>
    <w:rsid w:val="00667275"/>
    <w:rsid w:val="00667532"/>
    <w:rsid w:val="0066783E"/>
    <w:rsid w:val="00667E53"/>
    <w:rsid w:val="006711C4"/>
    <w:rsid w:val="006713AB"/>
    <w:rsid w:val="00672CA5"/>
    <w:rsid w:val="00673711"/>
    <w:rsid w:val="00673F82"/>
    <w:rsid w:val="00674F74"/>
    <w:rsid w:val="0067508F"/>
    <w:rsid w:val="00677576"/>
    <w:rsid w:val="0068051E"/>
    <w:rsid w:val="00680B9D"/>
    <w:rsid w:val="00681F13"/>
    <w:rsid w:val="0068231C"/>
    <w:rsid w:val="00682344"/>
    <w:rsid w:val="00682F28"/>
    <w:rsid w:val="00683515"/>
    <w:rsid w:val="00684842"/>
    <w:rsid w:val="006859AA"/>
    <w:rsid w:val="00685BD6"/>
    <w:rsid w:val="00687116"/>
    <w:rsid w:val="006878A6"/>
    <w:rsid w:val="00687D5F"/>
    <w:rsid w:val="00690437"/>
    <w:rsid w:val="00690DC3"/>
    <w:rsid w:val="00690E65"/>
    <w:rsid w:val="006911B7"/>
    <w:rsid w:val="00691387"/>
    <w:rsid w:val="0069188E"/>
    <w:rsid w:val="00691974"/>
    <w:rsid w:val="00692BF6"/>
    <w:rsid w:val="00692CE6"/>
    <w:rsid w:val="00693186"/>
    <w:rsid w:val="00693381"/>
    <w:rsid w:val="00693B6C"/>
    <w:rsid w:val="006942AE"/>
    <w:rsid w:val="00695421"/>
    <w:rsid w:val="006962A8"/>
    <w:rsid w:val="00697BD3"/>
    <w:rsid w:val="00697DFA"/>
    <w:rsid w:val="006A16D5"/>
    <w:rsid w:val="006A1772"/>
    <w:rsid w:val="006A1780"/>
    <w:rsid w:val="006A21DD"/>
    <w:rsid w:val="006A26C6"/>
    <w:rsid w:val="006A3302"/>
    <w:rsid w:val="006A3B28"/>
    <w:rsid w:val="006A4FEE"/>
    <w:rsid w:val="006A703E"/>
    <w:rsid w:val="006A7BE3"/>
    <w:rsid w:val="006A7D32"/>
    <w:rsid w:val="006B01D1"/>
    <w:rsid w:val="006B0B9B"/>
    <w:rsid w:val="006B0DF4"/>
    <w:rsid w:val="006B0E2B"/>
    <w:rsid w:val="006B16EA"/>
    <w:rsid w:val="006B1780"/>
    <w:rsid w:val="006B224E"/>
    <w:rsid w:val="006B376E"/>
    <w:rsid w:val="006B4589"/>
    <w:rsid w:val="006B610E"/>
    <w:rsid w:val="006B643B"/>
    <w:rsid w:val="006B6805"/>
    <w:rsid w:val="006B6DE0"/>
    <w:rsid w:val="006C16C3"/>
    <w:rsid w:val="006C2187"/>
    <w:rsid w:val="006C32F4"/>
    <w:rsid w:val="006C3C54"/>
    <w:rsid w:val="006C4B6B"/>
    <w:rsid w:val="006C4F9F"/>
    <w:rsid w:val="006C62A5"/>
    <w:rsid w:val="006C71A2"/>
    <w:rsid w:val="006C73EC"/>
    <w:rsid w:val="006D0C1D"/>
    <w:rsid w:val="006D2E9D"/>
    <w:rsid w:val="006D4A4E"/>
    <w:rsid w:val="006D4C42"/>
    <w:rsid w:val="006D5389"/>
    <w:rsid w:val="006D5809"/>
    <w:rsid w:val="006D607E"/>
    <w:rsid w:val="006D6781"/>
    <w:rsid w:val="006D6E12"/>
    <w:rsid w:val="006D70CB"/>
    <w:rsid w:val="006D715C"/>
    <w:rsid w:val="006D7363"/>
    <w:rsid w:val="006D774E"/>
    <w:rsid w:val="006D7EA2"/>
    <w:rsid w:val="006E0754"/>
    <w:rsid w:val="006E2668"/>
    <w:rsid w:val="006E2D39"/>
    <w:rsid w:val="006E32B0"/>
    <w:rsid w:val="006E348E"/>
    <w:rsid w:val="006E396A"/>
    <w:rsid w:val="006E3D63"/>
    <w:rsid w:val="006E58BF"/>
    <w:rsid w:val="006E5DD8"/>
    <w:rsid w:val="006E5EA1"/>
    <w:rsid w:val="006E6DEE"/>
    <w:rsid w:val="006E7D4B"/>
    <w:rsid w:val="006F0760"/>
    <w:rsid w:val="006F11E2"/>
    <w:rsid w:val="006F2574"/>
    <w:rsid w:val="006F3221"/>
    <w:rsid w:val="006F3231"/>
    <w:rsid w:val="006F3DE3"/>
    <w:rsid w:val="006F4787"/>
    <w:rsid w:val="006F5C43"/>
    <w:rsid w:val="006F61D8"/>
    <w:rsid w:val="006F62B7"/>
    <w:rsid w:val="006F70BC"/>
    <w:rsid w:val="006F734B"/>
    <w:rsid w:val="006F7E7C"/>
    <w:rsid w:val="0070174E"/>
    <w:rsid w:val="007018DB"/>
    <w:rsid w:val="00701DE6"/>
    <w:rsid w:val="00701F2F"/>
    <w:rsid w:val="00702740"/>
    <w:rsid w:val="0070381B"/>
    <w:rsid w:val="007076DD"/>
    <w:rsid w:val="007076E0"/>
    <w:rsid w:val="0070796C"/>
    <w:rsid w:val="00707A61"/>
    <w:rsid w:val="007109BB"/>
    <w:rsid w:val="00710EBF"/>
    <w:rsid w:val="007110B8"/>
    <w:rsid w:val="0071209F"/>
    <w:rsid w:val="007125A2"/>
    <w:rsid w:val="00713DD9"/>
    <w:rsid w:val="00713F79"/>
    <w:rsid w:val="007148A8"/>
    <w:rsid w:val="00716AC8"/>
    <w:rsid w:val="00716E54"/>
    <w:rsid w:val="00717421"/>
    <w:rsid w:val="0072033C"/>
    <w:rsid w:val="00720B1B"/>
    <w:rsid w:val="00721062"/>
    <w:rsid w:val="00721E5D"/>
    <w:rsid w:val="007229D4"/>
    <w:rsid w:val="007230F8"/>
    <w:rsid w:val="007233F4"/>
    <w:rsid w:val="00724044"/>
    <w:rsid w:val="007248D3"/>
    <w:rsid w:val="00724DF8"/>
    <w:rsid w:val="00725137"/>
    <w:rsid w:val="00725378"/>
    <w:rsid w:val="00727A43"/>
    <w:rsid w:val="00727FF2"/>
    <w:rsid w:val="00730550"/>
    <w:rsid w:val="00730C2A"/>
    <w:rsid w:val="00731434"/>
    <w:rsid w:val="00731AF8"/>
    <w:rsid w:val="00731E59"/>
    <w:rsid w:val="007323E0"/>
    <w:rsid w:val="00732911"/>
    <w:rsid w:val="00733721"/>
    <w:rsid w:val="00733DE2"/>
    <w:rsid w:val="007352EA"/>
    <w:rsid w:val="0073625F"/>
    <w:rsid w:val="007368E8"/>
    <w:rsid w:val="0073792F"/>
    <w:rsid w:val="00740C81"/>
    <w:rsid w:val="00740DA6"/>
    <w:rsid w:val="00741B4B"/>
    <w:rsid w:val="00741D1E"/>
    <w:rsid w:val="00741DD6"/>
    <w:rsid w:val="00741EE2"/>
    <w:rsid w:val="0074207F"/>
    <w:rsid w:val="00742367"/>
    <w:rsid w:val="00742EAA"/>
    <w:rsid w:val="00743360"/>
    <w:rsid w:val="00743818"/>
    <w:rsid w:val="00743857"/>
    <w:rsid w:val="007441FB"/>
    <w:rsid w:val="00744499"/>
    <w:rsid w:val="00744517"/>
    <w:rsid w:val="0074522A"/>
    <w:rsid w:val="00747295"/>
    <w:rsid w:val="00747829"/>
    <w:rsid w:val="00747DE2"/>
    <w:rsid w:val="007504BF"/>
    <w:rsid w:val="007506CD"/>
    <w:rsid w:val="0075267F"/>
    <w:rsid w:val="007526EC"/>
    <w:rsid w:val="007527F7"/>
    <w:rsid w:val="00753C48"/>
    <w:rsid w:val="00754250"/>
    <w:rsid w:val="00754FE4"/>
    <w:rsid w:val="00755216"/>
    <w:rsid w:val="00756236"/>
    <w:rsid w:val="00756271"/>
    <w:rsid w:val="00756348"/>
    <w:rsid w:val="00756521"/>
    <w:rsid w:val="00756AB7"/>
    <w:rsid w:val="0076106D"/>
    <w:rsid w:val="007623FB"/>
    <w:rsid w:val="00762517"/>
    <w:rsid w:val="00763240"/>
    <w:rsid w:val="0076376A"/>
    <w:rsid w:val="007648AD"/>
    <w:rsid w:val="0076504E"/>
    <w:rsid w:val="00767BFD"/>
    <w:rsid w:val="00767EA0"/>
    <w:rsid w:val="0077068F"/>
    <w:rsid w:val="00771EDF"/>
    <w:rsid w:val="00772986"/>
    <w:rsid w:val="00772A90"/>
    <w:rsid w:val="00772F8D"/>
    <w:rsid w:val="0077408D"/>
    <w:rsid w:val="00774270"/>
    <w:rsid w:val="007743F6"/>
    <w:rsid w:val="00775679"/>
    <w:rsid w:val="0077574F"/>
    <w:rsid w:val="00775823"/>
    <w:rsid w:val="007777CC"/>
    <w:rsid w:val="00777B32"/>
    <w:rsid w:val="0078051E"/>
    <w:rsid w:val="00781089"/>
    <w:rsid w:val="00781EEC"/>
    <w:rsid w:val="007838F3"/>
    <w:rsid w:val="007856FE"/>
    <w:rsid w:val="00785F46"/>
    <w:rsid w:val="007865F4"/>
    <w:rsid w:val="00786D5C"/>
    <w:rsid w:val="00786E96"/>
    <w:rsid w:val="00787DFF"/>
    <w:rsid w:val="00787F93"/>
    <w:rsid w:val="00791E6D"/>
    <w:rsid w:val="00791EB5"/>
    <w:rsid w:val="00791FE2"/>
    <w:rsid w:val="00791FF2"/>
    <w:rsid w:val="00793696"/>
    <w:rsid w:val="007955DA"/>
    <w:rsid w:val="00796F65"/>
    <w:rsid w:val="007A11C2"/>
    <w:rsid w:val="007A18BB"/>
    <w:rsid w:val="007A27DD"/>
    <w:rsid w:val="007A41BF"/>
    <w:rsid w:val="007A490A"/>
    <w:rsid w:val="007A64D7"/>
    <w:rsid w:val="007A7B95"/>
    <w:rsid w:val="007B0297"/>
    <w:rsid w:val="007B02FA"/>
    <w:rsid w:val="007B0F53"/>
    <w:rsid w:val="007B21AE"/>
    <w:rsid w:val="007B2570"/>
    <w:rsid w:val="007B3113"/>
    <w:rsid w:val="007B3304"/>
    <w:rsid w:val="007B7490"/>
    <w:rsid w:val="007C0525"/>
    <w:rsid w:val="007C13F7"/>
    <w:rsid w:val="007C218D"/>
    <w:rsid w:val="007C2D28"/>
    <w:rsid w:val="007C3E22"/>
    <w:rsid w:val="007C5B90"/>
    <w:rsid w:val="007C6218"/>
    <w:rsid w:val="007C6484"/>
    <w:rsid w:val="007C67C6"/>
    <w:rsid w:val="007C78BE"/>
    <w:rsid w:val="007C7E59"/>
    <w:rsid w:val="007D0383"/>
    <w:rsid w:val="007D0476"/>
    <w:rsid w:val="007D054E"/>
    <w:rsid w:val="007D0B91"/>
    <w:rsid w:val="007D1386"/>
    <w:rsid w:val="007D1452"/>
    <w:rsid w:val="007D3DCB"/>
    <w:rsid w:val="007D460C"/>
    <w:rsid w:val="007D4996"/>
    <w:rsid w:val="007D4AD3"/>
    <w:rsid w:val="007D5D19"/>
    <w:rsid w:val="007D5FDC"/>
    <w:rsid w:val="007D6176"/>
    <w:rsid w:val="007D6D68"/>
    <w:rsid w:val="007E2181"/>
    <w:rsid w:val="007E32DA"/>
    <w:rsid w:val="007E4998"/>
    <w:rsid w:val="007E4A9C"/>
    <w:rsid w:val="007E65F2"/>
    <w:rsid w:val="007E6914"/>
    <w:rsid w:val="007E7E20"/>
    <w:rsid w:val="007E7F78"/>
    <w:rsid w:val="007F0179"/>
    <w:rsid w:val="007F2C13"/>
    <w:rsid w:val="007F2CEC"/>
    <w:rsid w:val="007F3435"/>
    <w:rsid w:val="007F55DE"/>
    <w:rsid w:val="007F762D"/>
    <w:rsid w:val="007F78F0"/>
    <w:rsid w:val="007F78FF"/>
    <w:rsid w:val="008001C5"/>
    <w:rsid w:val="00800F6C"/>
    <w:rsid w:val="00801065"/>
    <w:rsid w:val="00802C0B"/>
    <w:rsid w:val="008051FC"/>
    <w:rsid w:val="008055A9"/>
    <w:rsid w:val="008056C4"/>
    <w:rsid w:val="008057FD"/>
    <w:rsid w:val="00805D8B"/>
    <w:rsid w:val="00810BB6"/>
    <w:rsid w:val="00810E8E"/>
    <w:rsid w:val="00812C44"/>
    <w:rsid w:val="008135E1"/>
    <w:rsid w:val="00813779"/>
    <w:rsid w:val="00813E26"/>
    <w:rsid w:val="0081481D"/>
    <w:rsid w:val="00814BE8"/>
    <w:rsid w:val="00814F6E"/>
    <w:rsid w:val="00815363"/>
    <w:rsid w:val="00815B84"/>
    <w:rsid w:val="00816BE9"/>
    <w:rsid w:val="0082027C"/>
    <w:rsid w:val="00822518"/>
    <w:rsid w:val="008226F5"/>
    <w:rsid w:val="00823F6B"/>
    <w:rsid w:val="00823FC6"/>
    <w:rsid w:val="00824306"/>
    <w:rsid w:val="00825C74"/>
    <w:rsid w:val="00825CFA"/>
    <w:rsid w:val="00826AB9"/>
    <w:rsid w:val="00826E0E"/>
    <w:rsid w:val="00827D11"/>
    <w:rsid w:val="00827E0F"/>
    <w:rsid w:val="00827F6E"/>
    <w:rsid w:val="00831758"/>
    <w:rsid w:val="008317D9"/>
    <w:rsid w:val="0083279F"/>
    <w:rsid w:val="008334DB"/>
    <w:rsid w:val="00833B7F"/>
    <w:rsid w:val="00833E8E"/>
    <w:rsid w:val="00834906"/>
    <w:rsid w:val="00835694"/>
    <w:rsid w:val="00835BDB"/>
    <w:rsid w:val="00835D86"/>
    <w:rsid w:val="00836075"/>
    <w:rsid w:val="00836417"/>
    <w:rsid w:val="00836A3E"/>
    <w:rsid w:val="00837526"/>
    <w:rsid w:val="00837F20"/>
    <w:rsid w:val="008407A7"/>
    <w:rsid w:val="00841689"/>
    <w:rsid w:val="0084322B"/>
    <w:rsid w:val="00843F81"/>
    <w:rsid w:val="00844087"/>
    <w:rsid w:val="00844526"/>
    <w:rsid w:val="008448F1"/>
    <w:rsid w:val="0084519E"/>
    <w:rsid w:val="00845CAE"/>
    <w:rsid w:val="00846370"/>
    <w:rsid w:val="008468DF"/>
    <w:rsid w:val="008477E7"/>
    <w:rsid w:val="00847C2B"/>
    <w:rsid w:val="00850272"/>
    <w:rsid w:val="008506B9"/>
    <w:rsid w:val="00851822"/>
    <w:rsid w:val="008532BF"/>
    <w:rsid w:val="008539B2"/>
    <w:rsid w:val="00853BF4"/>
    <w:rsid w:val="00854294"/>
    <w:rsid w:val="0085572E"/>
    <w:rsid w:val="0085788B"/>
    <w:rsid w:val="00857A9E"/>
    <w:rsid w:val="00857DE2"/>
    <w:rsid w:val="00863A8E"/>
    <w:rsid w:val="0086407F"/>
    <w:rsid w:val="008645E3"/>
    <w:rsid w:val="00864E79"/>
    <w:rsid w:val="0086661F"/>
    <w:rsid w:val="00866A0D"/>
    <w:rsid w:val="00866DB5"/>
    <w:rsid w:val="0086701D"/>
    <w:rsid w:val="0086702B"/>
    <w:rsid w:val="008672E2"/>
    <w:rsid w:val="0086784E"/>
    <w:rsid w:val="0087121C"/>
    <w:rsid w:val="00871FD2"/>
    <w:rsid w:val="00872084"/>
    <w:rsid w:val="00872827"/>
    <w:rsid w:val="00872A32"/>
    <w:rsid w:val="00874911"/>
    <w:rsid w:val="008754E4"/>
    <w:rsid w:val="00876EAE"/>
    <w:rsid w:val="00880106"/>
    <w:rsid w:val="00880F95"/>
    <w:rsid w:val="00882B44"/>
    <w:rsid w:val="008838AD"/>
    <w:rsid w:val="00884B5D"/>
    <w:rsid w:val="008864B3"/>
    <w:rsid w:val="008865E5"/>
    <w:rsid w:val="008871B0"/>
    <w:rsid w:val="00890B57"/>
    <w:rsid w:val="008916BA"/>
    <w:rsid w:val="0089217C"/>
    <w:rsid w:val="00892790"/>
    <w:rsid w:val="008931DA"/>
    <w:rsid w:val="00893671"/>
    <w:rsid w:val="008946DC"/>
    <w:rsid w:val="00895838"/>
    <w:rsid w:val="00895A1E"/>
    <w:rsid w:val="00895A72"/>
    <w:rsid w:val="00895CDF"/>
    <w:rsid w:val="00896679"/>
    <w:rsid w:val="00896D8C"/>
    <w:rsid w:val="008977C3"/>
    <w:rsid w:val="008A0FC9"/>
    <w:rsid w:val="008A1956"/>
    <w:rsid w:val="008A1A7C"/>
    <w:rsid w:val="008A2CE2"/>
    <w:rsid w:val="008A40D3"/>
    <w:rsid w:val="008A469C"/>
    <w:rsid w:val="008A51D1"/>
    <w:rsid w:val="008A5DCE"/>
    <w:rsid w:val="008A67FC"/>
    <w:rsid w:val="008A75D3"/>
    <w:rsid w:val="008B05DD"/>
    <w:rsid w:val="008B07B8"/>
    <w:rsid w:val="008B17E8"/>
    <w:rsid w:val="008B2E7C"/>
    <w:rsid w:val="008B321A"/>
    <w:rsid w:val="008B399A"/>
    <w:rsid w:val="008B404F"/>
    <w:rsid w:val="008B45F0"/>
    <w:rsid w:val="008B4A70"/>
    <w:rsid w:val="008B502F"/>
    <w:rsid w:val="008B6DFC"/>
    <w:rsid w:val="008B7227"/>
    <w:rsid w:val="008C02FB"/>
    <w:rsid w:val="008C04E0"/>
    <w:rsid w:val="008C191C"/>
    <w:rsid w:val="008C1DA4"/>
    <w:rsid w:val="008C29B0"/>
    <w:rsid w:val="008C2CD5"/>
    <w:rsid w:val="008C3618"/>
    <w:rsid w:val="008C39E7"/>
    <w:rsid w:val="008C43AD"/>
    <w:rsid w:val="008C6118"/>
    <w:rsid w:val="008C6341"/>
    <w:rsid w:val="008C731F"/>
    <w:rsid w:val="008C74D9"/>
    <w:rsid w:val="008D03C2"/>
    <w:rsid w:val="008D12FB"/>
    <w:rsid w:val="008D13A8"/>
    <w:rsid w:val="008D3B2D"/>
    <w:rsid w:val="008D58D9"/>
    <w:rsid w:val="008D5AD4"/>
    <w:rsid w:val="008D695E"/>
    <w:rsid w:val="008D6DD5"/>
    <w:rsid w:val="008D6E59"/>
    <w:rsid w:val="008D7155"/>
    <w:rsid w:val="008D76E0"/>
    <w:rsid w:val="008E0B29"/>
    <w:rsid w:val="008E141A"/>
    <w:rsid w:val="008E1A44"/>
    <w:rsid w:val="008E1E55"/>
    <w:rsid w:val="008E28E6"/>
    <w:rsid w:val="008E2DCD"/>
    <w:rsid w:val="008E3232"/>
    <w:rsid w:val="008E3674"/>
    <w:rsid w:val="008E3B6C"/>
    <w:rsid w:val="008E3DE7"/>
    <w:rsid w:val="008E562C"/>
    <w:rsid w:val="008E6540"/>
    <w:rsid w:val="008E6CFE"/>
    <w:rsid w:val="008E77D4"/>
    <w:rsid w:val="008E7ADD"/>
    <w:rsid w:val="008F091F"/>
    <w:rsid w:val="008F17B2"/>
    <w:rsid w:val="008F22B3"/>
    <w:rsid w:val="008F357B"/>
    <w:rsid w:val="008F44CA"/>
    <w:rsid w:val="008F49D3"/>
    <w:rsid w:val="008F62C1"/>
    <w:rsid w:val="008F6519"/>
    <w:rsid w:val="008F7012"/>
    <w:rsid w:val="008F7ADA"/>
    <w:rsid w:val="008F7B17"/>
    <w:rsid w:val="00900042"/>
    <w:rsid w:val="0090034B"/>
    <w:rsid w:val="00901121"/>
    <w:rsid w:val="00902623"/>
    <w:rsid w:val="00902A67"/>
    <w:rsid w:val="00902C5E"/>
    <w:rsid w:val="00904BE4"/>
    <w:rsid w:val="0090504A"/>
    <w:rsid w:val="009051F5"/>
    <w:rsid w:val="00905221"/>
    <w:rsid w:val="00905A7C"/>
    <w:rsid w:val="00905D7E"/>
    <w:rsid w:val="00907037"/>
    <w:rsid w:val="009107DF"/>
    <w:rsid w:val="0091112C"/>
    <w:rsid w:val="0091160A"/>
    <w:rsid w:val="00912E04"/>
    <w:rsid w:val="00913258"/>
    <w:rsid w:val="00913851"/>
    <w:rsid w:val="00913BB0"/>
    <w:rsid w:val="0091456C"/>
    <w:rsid w:val="00914C58"/>
    <w:rsid w:val="0091564D"/>
    <w:rsid w:val="009156DA"/>
    <w:rsid w:val="00915774"/>
    <w:rsid w:val="00916BC5"/>
    <w:rsid w:val="0091726A"/>
    <w:rsid w:val="00917C01"/>
    <w:rsid w:val="00920184"/>
    <w:rsid w:val="00920EA4"/>
    <w:rsid w:val="00921792"/>
    <w:rsid w:val="00921BEA"/>
    <w:rsid w:val="009227BE"/>
    <w:rsid w:val="00923101"/>
    <w:rsid w:val="009238FD"/>
    <w:rsid w:val="00923998"/>
    <w:rsid w:val="00923DB4"/>
    <w:rsid w:val="0092420B"/>
    <w:rsid w:val="0092430E"/>
    <w:rsid w:val="00924570"/>
    <w:rsid w:val="00924A46"/>
    <w:rsid w:val="00926112"/>
    <w:rsid w:val="0092625F"/>
    <w:rsid w:val="00926B28"/>
    <w:rsid w:val="00926D9C"/>
    <w:rsid w:val="00927028"/>
    <w:rsid w:val="00927763"/>
    <w:rsid w:val="00927A2D"/>
    <w:rsid w:val="00927B37"/>
    <w:rsid w:val="00930E3B"/>
    <w:rsid w:val="00931917"/>
    <w:rsid w:val="009321B1"/>
    <w:rsid w:val="00932ED7"/>
    <w:rsid w:val="009333CF"/>
    <w:rsid w:val="00933A29"/>
    <w:rsid w:val="0093422D"/>
    <w:rsid w:val="0093483B"/>
    <w:rsid w:val="00934CF9"/>
    <w:rsid w:val="00934DD7"/>
    <w:rsid w:val="009369A9"/>
    <w:rsid w:val="00936CF7"/>
    <w:rsid w:val="00937783"/>
    <w:rsid w:val="00937EAD"/>
    <w:rsid w:val="00937F28"/>
    <w:rsid w:val="00940FE1"/>
    <w:rsid w:val="00942306"/>
    <w:rsid w:val="00942384"/>
    <w:rsid w:val="009424B8"/>
    <w:rsid w:val="00944668"/>
    <w:rsid w:val="00944DC6"/>
    <w:rsid w:val="009458B0"/>
    <w:rsid w:val="00945B52"/>
    <w:rsid w:val="00945B7A"/>
    <w:rsid w:val="00945F05"/>
    <w:rsid w:val="00946348"/>
    <w:rsid w:val="00947797"/>
    <w:rsid w:val="009478A2"/>
    <w:rsid w:val="00953808"/>
    <w:rsid w:val="009539A6"/>
    <w:rsid w:val="00954032"/>
    <w:rsid w:val="00954537"/>
    <w:rsid w:val="0095472D"/>
    <w:rsid w:val="009551D6"/>
    <w:rsid w:val="00955FBB"/>
    <w:rsid w:val="0095694B"/>
    <w:rsid w:val="00956BD5"/>
    <w:rsid w:val="00956D84"/>
    <w:rsid w:val="009577B5"/>
    <w:rsid w:val="009608E6"/>
    <w:rsid w:val="00960F57"/>
    <w:rsid w:val="00961C90"/>
    <w:rsid w:val="00965443"/>
    <w:rsid w:val="00965954"/>
    <w:rsid w:val="00965A21"/>
    <w:rsid w:val="00965E55"/>
    <w:rsid w:val="0096608E"/>
    <w:rsid w:val="00966522"/>
    <w:rsid w:val="00966C33"/>
    <w:rsid w:val="00966FCB"/>
    <w:rsid w:val="00970F18"/>
    <w:rsid w:val="00971CF1"/>
    <w:rsid w:val="00971F5D"/>
    <w:rsid w:val="009721E9"/>
    <w:rsid w:val="00973772"/>
    <w:rsid w:val="00973F94"/>
    <w:rsid w:val="0097471B"/>
    <w:rsid w:val="0097560A"/>
    <w:rsid w:val="00975E1E"/>
    <w:rsid w:val="00975E70"/>
    <w:rsid w:val="009761DE"/>
    <w:rsid w:val="009766FA"/>
    <w:rsid w:val="00977CD6"/>
    <w:rsid w:val="0098048B"/>
    <w:rsid w:val="00980DF9"/>
    <w:rsid w:val="00981150"/>
    <w:rsid w:val="0098243D"/>
    <w:rsid w:val="00982760"/>
    <w:rsid w:val="00982D26"/>
    <w:rsid w:val="00983B6E"/>
    <w:rsid w:val="00983FE5"/>
    <w:rsid w:val="009849E9"/>
    <w:rsid w:val="009859E4"/>
    <w:rsid w:val="00987812"/>
    <w:rsid w:val="00990225"/>
    <w:rsid w:val="00992A13"/>
    <w:rsid w:val="00992C14"/>
    <w:rsid w:val="009946BA"/>
    <w:rsid w:val="00994AAD"/>
    <w:rsid w:val="00994DE1"/>
    <w:rsid w:val="00995150"/>
    <w:rsid w:val="00995D67"/>
    <w:rsid w:val="009A013B"/>
    <w:rsid w:val="009A01A8"/>
    <w:rsid w:val="009A02F4"/>
    <w:rsid w:val="009A06BF"/>
    <w:rsid w:val="009A0D17"/>
    <w:rsid w:val="009A2494"/>
    <w:rsid w:val="009A295D"/>
    <w:rsid w:val="009A32B1"/>
    <w:rsid w:val="009A33A3"/>
    <w:rsid w:val="009A36F2"/>
    <w:rsid w:val="009A40C3"/>
    <w:rsid w:val="009A40D5"/>
    <w:rsid w:val="009A57D0"/>
    <w:rsid w:val="009A6559"/>
    <w:rsid w:val="009A68FC"/>
    <w:rsid w:val="009A6CE4"/>
    <w:rsid w:val="009A7514"/>
    <w:rsid w:val="009A7E7A"/>
    <w:rsid w:val="009B1584"/>
    <w:rsid w:val="009B18F0"/>
    <w:rsid w:val="009B1F4C"/>
    <w:rsid w:val="009B2471"/>
    <w:rsid w:val="009B314F"/>
    <w:rsid w:val="009B439C"/>
    <w:rsid w:val="009B46BC"/>
    <w:rsid w:val="009B49A1"/>
    <w:rsid w:val="009B4A6C"/>
    <w:rsid w:val="009B4DA8"/>
    <w:rsid w:val="009B519A"/>
    <w:rsid w:val="009B620C"/>
    <w:rsid w:val="009B6753"/>
    <w:rsid w:val="009B676C"/>
    <w:rsid w:val="009B6A26"/>
    <w:rsid w:val="009C079D"/>
    <w:rsid w:val="009C0D70"/>
    <w:rsid w:val="009C13D1"/>
    <w:rsid w:val="009C1AF6"/>
    <w:rsid w:val="009C2913"/>
    <w:rsid w:val="009C2BD4"/>
    <w:rsid w:val="009C5AFE"/>
    <w:rsid w:val="009C6606"/>
    <w:rsid w:val="009C6CE5"/>
    <w:rsid w:val="009C6D50"/>
    <w:rsid w:val="009C7547"/>
    <w:rsid w:val="009D05EC"/>
    <w:rsid w:val="009D18D4"/>
    <w:rsid w:val="009D2194"/>
    <w:rsid w:val="009D2F60"/>
    <w:rsid w:val="009D3A2E"/>
    <w:rsid w:val="009D5ADE"/>
    <w:rsid w:val="009D5BAC"/>
    <w:rsid w:val="009D5C56"/>
    <w:rsid w:val="009D6265"/>
    <w:rsid w:val="009D64BD"/>
    <w:rsid w:val="009D6CB1"/>
    <w:rsid w:val="009E0286"/>
    <w:rsid w:val="009E153F"/>
    <w:rsid w:val="009E322A"/>
    <w:rsid w:val="009E393E"/>
    <w:rsid w:val="009E444E"/>
    <w:rsid w:val="009E466F"/>
    <w:rsid w:val="009E4968"/>
    <w:rsid w:val="009E663C"/>
    <w:rsid w:val="009E6829"/>
    <w:rsid w:val="009E684A"/>
    <w:rsid w:val="009E6BB1"/>
    <w:rsid w:val="009E6E14"/>
    <w:rsid w:val="009E794A"/>
    <w:rsid w:val="009E7C14"/>
    <w:rsid w:val="009F0494"/>
    <w:rsid w:val="009F0CD9"/>
    <w:rsid w:val="009F1A79"/>
    <w:rsid w:val="009F1F57"/>
    <w:rsid w:val="009F2DDD"/>
    <w:rsid w:val="009F3447"/>
    <w:rsid w:val="009F65F4"/>
    <w:rsid w:val="009F676B"/>
    <w:rsid w:val="009F6D2D"/>
    <w:rsid w:val="009F6D54"/>
    <w:rsid w:val="00A0010C"/>
    <w:rsid w:val="00A004DF"/>
    <w:rsid w:val="00A00FD5"/>
    <w:rsid w:val="00A012C0"/>
    <w:rsid w:val="00A012C9"/>
    <w:rsid w:val="00A019A8"/>
    <w:rsid w:val="00A01B03"/>
    <w:rsid w:val="00A01B89"/>
    <w:rsid w:val="00A02C66"/>
    <w:rsid w:val="00A02C84"/>
    <w:rsid w:val="00A0464C"/>
    <w:rsid w:val="00A050BB"/>
    <w:rsid w:val="00A054E0"/>
    <w:rsid w:val="00A05D91"/>
    <w:rsid w:val="00A0740B"/>
    <w:rsid w:val="00A07ED3"/>
    <w:rsid w:val="00A10CA8"/>
    <w:rsid w:val="00A11042"/>
    <w:rsid w:val="00A12579"/>
    <w:rsid w:val="00A133D8"/>
    <w:rsid w:val="00A13812"/>
    <w:rsid w:val="00A15655"/>
    <w:rsid w:val="00A160B0"/>
    <w:rsid w:val="00A1740C"/>
    <w:rsid w:val="00A20069"/>
    <w:rsid w:val="00A2244D"/>
    <w:rsid w:val="00A2253D"/>
    <w:rsid w:val="00A2267F"/>
    <w:rsid w:val="00A22CDB"/>
    <w:rsid w:val="00A247B8"/>
    <w:rsid w:val="00A2495A"/>
    <w:rsid w:val="00A24C7A"/>
    <w:rsid w:val="00A24D8F"/>
    <w:rsid w:val="00A25B8B"/>
    <w:rsid w:val="00A25C5D"/>
    <w:rsid w:val="00A2689F"/>
    <w:rsid w:val="00A26ECA"/>
    <w:rsid w:val="00A27461"/>
    <w:rsid w:val="00A27D67"/>
    <w:rsid w:val="00A30ABC"/>
    <w:rsid w:val="00A33B74"/>
    <w:rsid w:val="00A3467F"/>
    <w:rsid w:val="00A34B4C"/>
    <w:rsid w:val="00A35030"/>
    <w:rsid w:val="00A3551A"/>
    <w:rsid w:val="00A366A0"/>
    <w:rsid w:val="00A37209"/>
    <w:rsid w:val="00A37584"/>
    <w:rsid w:val="00A376E8"/>
    <w:rsid w:val="00A37F8E"/>
    <w:rsid w:val="00A41537"/>
    <w:rsid w:val="00A41737"/>
    <w:rsid w:val="00A42B8F"/>
    <w:rsid w:val="00A42D8E"/>
    <w:rsid w:val="00A43254"/>
    <w:rsid w:val="00A43896"/>
    <w:rsid w:val="00A43A26"/>
    <w:rsid w:val="00A447A0"/>
    <w:rsid w:val="00A459F5"/>
    <w:rsid w:val="00A45FC0"/>
    <w:rsid w:val="00A46B74"/>
    <w:rsid w:val="00A47ECC"/>
    <w:rsid w:val="00A50171"/>
    <w:rsid w:val="00A504FA"/>
    <w:rsid w:val="00A5102E"/>
    <w:rsid w:val="00A5132E"/>
    <w:rsid w:val="00A51375"/>
    <w:rsid w:val="00A51533"/>
    <w:rsid w:val="00A531D4"/>
    <w:rsid w:val="00A54572"/>
    <w:rsid w:val="00A575B8"/>
    <w:rsid w:val="00A57942"/>
    <w:rsid w:val="00A61C60"/>
    <w:rsid w:val="00A61ECB"/>
    <w:rsid w:val="00A6410C"/>
    <w:rsid w:val="00A647B1"/>
    <w:rsid w:val="00A64DEF"/>
    <w:rsid w:val="00A654D2"/>
    <w:rsid w:val="00A665DF"/>
    <w:rsid w:val="00A67928"/>
    <w:rsid w:val="00A67FCC"/>
    <w:rsid w:val="00A70AA5"/>
    <w:rsid w:val="00A70C03"/>
    <w:rsid w:val="00A71256"/>
    <w:rsid w:val="00A7217B"/>
    <w:rsid w:val="00A73861"/>
    <w:rsid w:val="00A739A6"/>
    <w:rsid w:val="00A740ED"/>
    <w:rsid w:val="00A74C29"/>
    <w:rsid w:val="00A74C62"/>
    <w:rsid w:val="00A75DF5"/>
    <w:rsid w:val="00A75EF9"/>
    <w:rsid w:val="00A81DFB"/>
    <w:rsid w:val="00A8311C"/>
    <w:rsid w:val="00A835D0"/>
    <w:rsid w:val="00A84C5F"/>
    <w:rsid w:val="00A85930"/>
    <w:rsid w:val="00A863F7"/>
    <w:rsid w:val="00A86604"/>
    <w:rsid w:val="00A87519"/>
    <w:rsid w:val="00A9246D"/>
    <w:rsid w:val="00A92CCA"/>
    <w:rsid w:val="00A93BD0"/>
    <w:rsid w:val="00A93CC2"/>
    <w:rsid w:val="00A944DA"/>
    <w:rsid w:val="00A974CC"/>
    <w:rsid w:val="00AA1067"/>
    <w:rsid w:val="00AA1959"/>
    <w:rsid w:val="00AA2001"/>
    <w:rsid w:val="00AA216C"/>
    <w:rsid w:val="00AA2B5C"/>
    <w:rsid w:val="00AA32D2"/>
    <w:rsid w:val="00AA4016"/>
    <w:rsid w:val="00AA4C1F"/>
    <w:rsid w:val="00AA5328"/>
    <w:rsid w:val="00AA5393"/>
    <w:rsid w:val="00AA63D4"/>
    <w:rsid w:val="00AB03FD"/>
    <w:rsid w:val="00AB08FD"/>
    <w:rsid w:val="00AB2000"/>
    <w:rsid w:val="00AB2E94"/>
    <w:rsid w:val="00AB38CB"/>
    <w:rsid w:val="00AB3BEC"/>
    <w:rsid w:val="00AB44E4"/>
    <w:rsid w:val="00AB4AEB"/>
    <w:rsid w:val="00AB4E5F"/>
    <w:rsid w:val="00AB5352"/>
    <w:rsid w:val="00AB56AE"/>
    <w:rsid w:val="00AB62D5"/>
    <w:rsid w:val="00AB65B5"/>
    <w:rsid w:val="00AB6DCD"/>
    <w:rsid w:val="00AB6EE0"/>
    <w:rsid w:val="00AC17A2"/>
    <w:rsid w:val="00AC40B7"/>
    <w:rsid w:val="00AC41B3"/>
    <w:rsid w:val="00AC531F"/>
    <w:rsid w:val="00AC5B36"/>
    <w:rsid w:val="00AC6377"/>
    <w:rsid w:val="00AC66A4"/>
    <w:rsid w:val="00AC6CB1"/>
    <w:rsid w:val="00AC74E9"/>
    <w:rsid w:val="00AC7D6D"/>
    <w:rsid w:val="00AD0091"/>
    <w:rsid w:val="00AD2242"/>
    <w:rsid w:val="00AD23EF"/>
    <w:rsid w:val="00AD2662"/>
    <w:rsid w:val="00AD307B"/>
    <w:rsid w:val="00AD4014"/>
    <w:rsid w:val="00AD41B3"/>
    <w:rsid w:val="00AD5721"/>
    <w:rsid w:val="00AD5C4D"/>
    <w:rsid w:val="00AD69F0"/>
    <w:rsid w:val="00AD7127"/>
    <w:rsid w:val="00AD730C"/>
    <w:rsid w:val="00AE123A"/>
    <w:rsid w:val="00AE1539"/>
    <w:rsid w:val="00AE28A7"/>
    <w:rsid w:val="00AE2A98"/>
    <w:rsid w:val="00AE2CF2"/>
    <w:rsid w:val="00AE3012"/>
    <w:rsid w:val="00AE33A6"/>
    <w:rsid w:val="00AE3729"/>
    <w:rsid w:val="00AE4138"/>
    <w:rsid w:val="00AE4CCE"/>
    <w:rsid w:val="00AE5C6A"/>
    <w:rsid w:val="00AE6317"/>
    <w:rsid w:val="00AE6B62"/>
    <w:rsid w:val="00AE7280"/>
    <w:rsid w:val="00AE7689"/>
    <w:rsid w:val="00AF033A"/>
    <w:rsid w:val="00AF1699"/>
    <w:rsid w:val="00AF1FD3"/>
    <w:rsid w:val="00AF2910"/>
    <w:rsid w:val="00AF34B8"/>
    <w:rsid w:val="00AF3896"/>
    <w:rsid w:val="00AF3FC2"/>
    <w:rsid w:val="00B0098A"/>
    <w:rsid w:val="00B00A5F"/>
    <w:rsid w:val="00B00F89"/>
    <w:rsid w:val="00B029B8"/>
    <w:rsid w:val="00B02F60"/>
    <w:rsid w:val="00B032B8"/>
    <w:rsid w:val="00B04721"/>
    <w:rsid w:val="00B04B15"/>
    <w:rsid w:val="00B04B46"/>
    <w:rsid w:val="00B0534D"/>
    <w:rsid w:val="00B05685"/>
    <w:rsid w:val="00B05F9F"/>
    <w:rsid w:val="00B06368"/>
    <w:rsid w:val="00B068DA"/>
    <w:rsid w:val="00B06A00"/>
    <w:rsid w:val="00B06FC6"/>
    <w:rsid w:val="00B074C9"/>
    <w:rsid w:val="00B07D9D"/>
    <w:rsid w:val="00B11AE5"/>
    <w:rsid w:val="00B12FE6"/>
    <w:rsid w:val="00B1303F"/>
    <w:rsid w:val="00B1364A"/>
    <w:rsid w:val="00B13859"/>
    <w:rsid w:val="00B13EC9"/>
    <w:rsid w:val="00B14319"/>
    <w:rsid w:val="00B14A06"/>
    <w:rsid w:val="00B158E1"/>
    <w:rsid w:val="00B15FCF"/>
    <w:rsid w:val="00B16715"/>
    <w:rsid w:val="00B1768E"/>
    <w:rsid w:val="00B17910"/>
    <w:rsid w:val="00B20F18"/>
    <w:rsid w:val="00B21516"/>
    <w:rsid w:val="00B21A37"/>
    <w:rsid w:val="00B21D23"/>
    <w:rsid w:val="00B21F62"/>
    <w:rsid w:val="00B22CE0"/>
    <w:rsid w:val="00B23738"/>
    <w:rsid w:val="00B23BEF"/>
    <w:rsid w:val="00B247BB"/>
    <w:rsid w:val="00B2504A"/>
    <w:rsid w:val="00B25EE6"/>
    <w:rsid w:val="00B3115A"/>
    <w:rsid w:val="00B31825"/>
    <w:rsid w:val="00B31A5C"/>
    <w:rsid w:val="00B33B06"/>
    <w:rsid w:val="00B33C19"/>
    <w:rsid w:val="00B35A15"/>
    <w:rsid w:val="00B35B45"/>
    <w:rsid w:val="00B36A99"/>
    <w:rsid w:val="00B413FE"/>
    <w:rsid w:val="00B42264"/>
    <w:rsid w:val="00B434B2"/>
    <w:rsid w:val="00B43D45"/>
    <w:rsid w:val="00B468F2"/>
    <w:rsid w:val="00B469DE"/>
    <w:rsid w:val="00B47286"/>
    <w:rsid w:val="00B50234"/>
    <w:rsid w:val="00B51BF4"/>
    <w:rsid w:val="00B52C68"/>
    <w:rsid w:val="00B5372B"/>
    <w:rsid w:val="00B542FE"/>
    <w:rsid w:val="00B55A1B"/>
    <w:rsid w:val="00B561DB"/>
    <w:rsid w:val="00B56950"/>
    <w:rsid w:val="00B56DF9"/>
    <w:rsid w:val="00B600BD"/>
    <w:rsid w:val="00B61274"/>
    <w:rsid w:val="00B61DCE"/>
    <w:rsid w:val="00B62188"/>
    <w:rsid w:val="00B62F79"/>
    <w:rsid w:val="00B62F82"/>
    <w:rsid w:val="00B6306A"/>
    <w:rsid w:val="00B635E3"/>
    <w:rsid w:val="00B653D7"/>
    <w:rsid w:val="00B65A2A"/>
    <w:rsid w:val="00B662FF"/>
    <w:rsid w:val="00B66679"/>
    <w:rsid w:val="00B70145"/>
    <w:rsid w:val="00B71A92"/>
    <w:rsid w:val="00B721D8"/>
    <w:rsid w:val="00B730CA"/>
    <w:rsid w:val="00B747C5"/>
    <w:rsid w:val="00B74F2F"/>
    <w:rsid w:val="00B753ED"/>
    <w:rsid w:val="00B769BC"/>
    <w:rsid w:val="00B77349"/>
    <w:rsid w:val="00B7761E"/>
    <w:rsid w:val="00B80A3D"/>
    <w:rsid w:val="00B80B04"/>
    <w:rsid w:val="00B8127B"/>
    <w:rsid w:val="00B819E5"/>
    <w:rsid w:val="00B81C0D"/>
    <w:rsid w:val="00B821E4"/>
    <w:rsid w:val="00B823E0"/>
    <w:rsid w:val="00B8260D"/>
    <w:rsid w:val="00B82B78"/>
    <w:rsid w:val="00B845B4"/>
    <w:rsid w:val="00B84662"/>
    <w:rsid w:val="00B84C74"/>
    <w:rsid w:val="00B85191"/>
    <w:rsid w:val="00B858A1"/>
    <w:rsid w:val="00B85FEC"/>
    <w:rsid w:val="00B864A3"/>
    <w:rsid w:val="00B86C2A"/>
    <w:rsid w:val="00B878BE"/>
    <w:rsid w:val="00B902A5"/>
    <w:rsid w:val="00B90420"/>
    <w:rsid w:val="00B90848"/>
    <w:rsid w:val="00B91146"/>
    <w:rsid w:val="00B913E4"/>
    <w:rsid w:val="00B91DB9"/>
    <w:rsid w:val="00B91FF3"/>
    <w:rsid w:val="00B93EFE"/>
    <w:rsid w:val="00B944B9"/>
    <w:rsid w:val="00B94956"/>
    <w:rsid w:val="00B94C7F"/>
    <w:rsid w:val="00B94E93"/>
    <w:rsid w:val="00B956B5"/>
    <w:rsid w:val="00B96DF2"/>
    <w:rsid w:val="00B96E18"/>
    <w:rsid w:val="00B96F5A"/>
    <w:rsid w:val="00B97407"/>
    <w:rsid w:val="00BA0B39"/>
    <w:rsid w:val="00BA0CB2"/>
    <w:rsid w:val="00BA0E26"/>
    <w:rsid w:val="00BA138B"/>
    <w:rsid w:val="00BA305B"/>
    <w:rsid w:val="00BA31BF"/>
    <w:rsid w:val="00BA3FC7"/>
    <w:rsid w:val="00BA478B"/>
    <w:rsid w:val="00BA5224"/>
    <w:rsid w:val="00BA575E"/>
    <w:rsid w:val="00BA76B7"/>
    <w:rsid w:val="00BA7E3B"/>
    <w:rsid w:val="00BB078D"/>
    <w:rsid w:val="00BB079C"/>
    <w:rsid w:val="00BB0D7A"/>
    <w:rsid w:val="00BB10E1"/>
    <w:rsid w:val="00BB2471"/>
    <w:rsid w:val="00BB25B8"/>
    <w:rsid w:val="00BB3035"/>
    <w:rsid w:val="00BB39C1"/>
    <w:rsid w:val="00BB3DF5"/>
    <w:rsid w:val="00BB5D16"/>
    <w:rsid w:val="00BB6180"/>
    <w:rsid w:val="00BB69E6"/>
    <w:rsid w:val="00BB7BE5"/>
    <w:rsid w:val="00BC08BD"/>
    <w:rsid w:val="00BC11E8"/>
    <w:rsid w:val="00BC1B7A"/>
    <w:rsid w:val="00BC2C17"/>
    <w:rsid w:val="00BC3ACD"/>
    <w:rsid w:val="00BC3B20"/>
    <w:rsid w:val="00BC3EE4"/>
    <w:rsid w:val="00BC588C"/>
    <w:rsid w:val="00BC62F4"/>
    <w:rsid w:val="00BC6E73"/>
    <w:rsid w:val="00BC74D3"/>
    <w:rsid w:val="00BD0014"/>
    <w:rsid w:val="00BD01D8"/>
    <w:rsid w:val="00BD255F"/>
    <w:rsid w:val="00BD2895"/>
    <w:rsid w:val="00BD4236"/>
    <w:rsid w:val="00BD483B"/>
    <w:rsid w:val="00BD5CD4"/>
    <w:rsid w:val="00BD65D9"/>
    <w:rsid w:val="00BD6DF3"/>
    <w:rsid w:val="00BD6E09"/>
    <w:rsid w:val="00BD6EF9"/>
    <w:rsid w:val="00BE0ACB"/>
    <w:rsid w:val="00BE2260"/>
    <w:rsid w:val="00BE3917"/>
    <w:rsid w:val="00BE3EBA"/>
    <w:rsid w:val="00BE50FD"/>
    <w:rsid w:val="00BE51CA"/>
    <w:rsid w:val="00BE537F"/>
    <w:rsid w:val="00BE5D77"/>
    <w:rsid w:val="00BE6D47"/>
    <w:rsid w:val="00BE7032"/>
    <w:rsid w:val="00BE7330"/>
    <w:rsid w:val="00BF01C5"/>
    <w:rsid w:val="00BF061A"/>
    <w:rsid w:val="00BF066A"/>
    <w:rsid w:val="00BF14CC"/>
    <w:rsid w:val="00BF1821"/>
    <w:rsid w:val="00BF4342"/>
    <w:rsid w:val="00BF4704"/>
    <w:rsid w:val="00BF47EE"/>
    <w:rsid w:val="00BF4FFC"/>
    <w:rsid w:val="00BF5050"/>
    <w:rsid w:val="00BF50D1"/>
    <w:rsid w:val="00BF5422"/>
    <w:rsid w:val="00BF59B1"/>
    <w:rsid w:val="00BF6A78"/>
    <w:rsid w:val="00BF7695"/>
    <w:rsid w:val="00BF79B4"/>
    <w:rsid w:val="00BF7C61"/>
    <w:rsid w:val="00C00037"/>
    <w:rsid w:val="00C00D18"/>
    <w:rsid w:val="00C01427"/>
    <w:rsid w:val="00C014C7"/>
    <w:rsid w:val="00C047AB"/>
    <w:rsid w:val="00C058AF"/>
    <w:rsid w:val="00C05C97"/>
    <w:rsid w:val="00C075B6"/>
    <w:rsid w:val="00C124C1"/>
    <w:rsid w:val="00C128AE"/>
    <w:rsid w:val="00C12BA8"/>
    <w:rsid w:val="00C136D6"/>
    <w:rsid w:val="00C13902"/>
    <w:rsid w:val="00C13D5B"/>
    <w:rsid w:val="00C141D7"/>
    <w:rsid w:val="00C1711B"/>
    <w:rsid w:val="00C17AE2"/>
    <w:rsid w:val="00C17D83"/>
    <w:rsid w:val="00C17E00"/>
    <w:rsid w:val="00C20140"/>
    <w:rsid w:val="00C20F27"/>
    <w:rsid w:val="00C215CF"/>
    <w:rsid w:val="00C2244B"/>
    <w:rsid w:val="00C22711"/>
    <w:rsid w:val="00C2280A"/>
    <w:rsid w:val="00C22B0D"/>
    <w:rsid w:val="00C22BFF"/>
    <w:rsid w:val="00C23522"/>
    <w:rsid w:val="00C240C1"/>
    <w:rsid w:val="00C24AED"/>
    <w:rsid w:val="00C250D0"/>
    <w:rsid w:val="00C252AC"/>
    <w:rsid w:val="00C25C0F"/>
    <w:rsid w:val="00C26567"/>
    <w:rsid w:val="00C26923"/>
    <w:rsid w:val="00C27214"/>
    <w:rsid w:val="00C27597"/>
    <w:rsid w:val="00C27E5E"/>
    <w:rsid w:val="00C30382"/>
    <w:rsid w:val="00C30772"/>
    <w:rsid w:val="00C30D6F"/>
    <w:rsid w:val="00C31063"/>
    <w:rsid w:val="00C31B7E"/>
    <w:rsid w:val="00C322D1"/>
    <w:rsid w:val="00C3242A"/>
    <w:rsid w:val="00C33201"/>
    <w:rsid w:val="00C33A39"/>
    <w:rsid w:val="00C33B57"/>
    <w:rsid w:val="00C34619"/>
    <w:rsid w:val="00C35D01"/>
    <w:rsid w:val="00C360B3"/>
    <w:rsid w:val="00C368DD"/>
    <w:rsid w:val="00C37027"/>
    <w:rsid w:val="00C37B19"/>
    <w:rsid w:val="00C40489"/>
    <w:rsid w:val="00C413CB"/>
    <w:rsid w:val="00C42752"/>
    <w:rsid w:val="00C42973"/>
    <w:rsid w:val="00C44C69"/>
    <w:rsid w:val="00C4712A"/>
    <w:rsid w:val="00C5034F"/>
    <w:rsid w:val="00C50830"/>
    <w:rsid w:val="00C52479"/>
    <w:rsid w:val="00C5266E"/>
    <w:rsid w:val="00C52C59"/>
    <w:rsid w:val="00C5349E"/>
    <w:rsid w:val="00C539FF"/>
    <w:rsid w:val="00C544BD"/>
    <w:rsid w:val="00C54D3D"/>
    <w:rsid w:val="00C55A30"/>
    <w:rsid w:val="00C56384"/>
    <w:rsid w:val="00C60F8C"/>
    <w:rsid w:val="00C61794"/>
    <w:rsid w:val="00C62A48"/>
    <w:rsid w:val="00C62AC4"/>
    <w:rsid w:val="00C62B59"/>
    <w:rsid w:val="00C62F96"/>
    <w:rsid w:val="00C631E1"/>
    <w:rsid w:val="00C638D8"/>
    <w:rsid w:val="00C63AE7"/>
    <w:rsid w:val="00C63D26"/>
    <w:rsid w:val="00C6540A"/>
    <w:rsid w:val="00C668A1"/>
    <w:rsid w:val="00C67223"/>
    <w:rsid w:val="00C707B8"/>
    <w:rsid w:val="00C712AC"/>
    <w:rsid w:val="00C71C15"/>
    <w:rsid w:val="00C71F3D"/>
    <w:rsid w:val="00C72F00"/>
    <w:rsid w:val="00C72F53"/>
    <w:rsid w:val="00C74035"/>
    <w:rsid w:val="00C748EA"/>
    <w:rsid w:val="00C77818"/>
    <w:rsid w:val="00C8063F"/>
    <w:rsid w:val="00C808E8"/>
    <w:rsid w:val="00C81282"/>
    <w:rsid w:val="00C827B4"/>
    <w:rsid w:val="00C83214"/>
    <w:rsid w:val="00C8329F"/>
    <w:rsid w:val="00C84F8A"/>
    <w:rsid w:val="00C85BA4"/>
    <w:rsid w:val="00C8618F"/>
    <w:rsid w:val="00C8625D"/>
    <w:rsid w:val="00C86500"/>
    <w:rsid w:val="00C90372"/>
    <w:rsid w:val="00C9041F"/>
    <w:rsid w:val="00C9166B"/>
    <w:rsid w:val="00C91A45"/>
    <w:rsid w:val="00C91FB4"/>
    <w:rsid w:val="00C92150"/>
    <w:rsid w:val="00C92328"/>
    <w:rsid w:val="00C92D42"/>
    <w:rsid w:val="00C938C2"/>
    <w:rsid w:val="00C93F8A"/>
    <w:rsid w:val="00C94260"/>
    <w:rsid w:val="00C94EA1"/>
    <w:rsid w:val="00C9511B"/>
    <w:rsid w:val="00C95745"/>
    <w:rsid w:val="00C95902"/>
    <w:rsid w:val="00C962E3"/>
    <w:rsid w:val="00C978E2"/>
    <w:rsid w:val="00C97997"/>
    <w:rsid w:val="00CA10A2"/>
    <w:rsid w:val="00CA1D83"/>
    <w:rsid w:val="00CA25C0"/>
    <w:rsid w:val="00CA3451"/>
    <w:rsid w:val="00CA35C6"/>
    <w:rsid w:val="00CA4948"/>
    <w:rsid w:val="00CA52F9"/>
    <w:rsid w:val="00CA5368"/>
    <w:rsid w:val="00CA568B"/>
    <w:rsid w:val="00CA573A"/>
    <w:rsid w:val="00CA5C58"/>
    <w:rsid w:val="00CB19D7"/>
    <w:rsid w:val="00CB19FE"/>
    <w:rsid w:val="00CB1C3F"/>
    <w:rsid w:val="00CB2364"/>
    <w:rsid w:val="00CB304C"/>
    <w:rsid w:val="00CB3933"/>
    <w:rsid w:val="00CB488B"/>
    <w:rsid w:val="00CB53E8"/>
    <w:rsid w:val="00CB594A"/>
    <w:rsid w:val="00CB5CB2"/>
    <w:rsid w:val="00CB6979"/>
    <w:rsid w:val="00CB7DDE"/>
    <w:rsid w:val="00CC05D6"/>
    <w:rsid w:val="00CC0A3D"/>
    <w:rsid w:val="00CC1585"/>
    <w:rsid w:val="00CC3C53"/>
    <w:rsid w:val="00CC3D24"/>
    <w:rsid w:val="00CC3F91"/>
    <w:rsid w:val="00CC4ACD"/>
    <w:rsid w:val="00CC4B0A"/>
    <w:rsid w:val="00CC544A"/>
    <w:rsid w:val="00CC57EA"/>
    <w:rsid w:val="00CC5954"/>
    <w:rsid w:val="00CC5FF3"/>
    <w:rsid w:val="00CC629B"/>
    <w:rsid w:val="00CC6C4E"/>
    <w:rsid w:val="00CD009D"/>
    <w:rsid w:val="00CD05A2"/>
    <w:rsid w:val="00CD29D4"/>
    <w:rsid w:val="00CD2B5C"/>
    <w:rsid w:val="00CD2FF3"/>
    <w:rsid w:val="00CD3323"/>
    <w:rsid w:val="00CD38F5"/>
    <w:rsid w:val="00CD437E"/>
    <w:rsid w:val="00CD5DAD"/>
    <w:rsid w:val="00CD72C5"/>
    <w:rsid w:val="00CD79A7"/>
    <w:rsid w:val="00CE0789"/>
    <w:rsid w:val="00CE0E8D"/>
    <w:rsid w:val="00CE1A03"/>
    <w:rsid w:val="00CE2346"/>
    <w:rsid w:val="00CE25B2"/>
    <w:rsid w:val="00CE2687"/>
    <w:rsid w:val="00CE3529"/>
    <w:rsid w:val="00CE35C8"/>
    <w:rsid w:val="00CE3962"/>
    <w:rsid w:val="00CE4D1A"/>
    <w:rsid w:val="00CE4E8A"/>
    <w:rsid w:val="00CE5105"/>
    <w:rsid w:val="00CE56BD"/>
    <w:rsid w:val="00CE5EC0"/>
    <w:rsid w:val="00CE6A0B"/>
    <w:rsid w:val="00CE6F9F"/>
    <w:rsid w:val="00CE781A"/>
    <w:rsid w:val="00CE7B08"/>
    <w:rsid w:val="00CE7D52"/>
    <w:rsid w:val="00CF1D74"/>
    <w:rsid w:val="00CF2BE2"/>
    <w:rsid w:val="00CF3497"/>
    <w:rsid w:val="00CF3DEB"/>
    <w:rsid w:val="00CF55F9"/>
    <w:rsid w:val="00CF7074"/>
    <w:rsid w:val="00CF7390"/>
    <w:rsid w:val="00CF7495"/>
    <w:rsid w:val="00D01CF9"/>
    <w:rsid w:val="00D02501"/>
    <w:rsid w:val="00D0334D"/>
    <w:rsid w:val="00D0374D"/>
    <w:rsid w:val="00D06D7B"/>
    <w:rsid w:val="00D06DA5"/>
    <w:rsid w:val="00D07191"/>
    <w:rsid w:val="00D07F1D"/>
    <w:rsid w:val="00D10558"/>
    <w:rsid w:val="00D11D4D"/>
    <w:rsid w:val="00D126DC"/>
    <w:rsid w:val="00D12B03"/>
    <w:rsid w:val="00D13E70"/>
    <w:rsid w:val="00D15FCD"/>
    <w:rsid w:val="00D16C58"/>
    <w:rsid w:val="00D17019"/>
    <w:rsid w:val="00D17FC8"/>
    <w:rsid w:val="00D20B44"/>
    <w:rsid w:val="00D21168"/>
    <w:rsid w:val="00D2438C"/>
    <w:rsid w:val="00D2585A"/>
    <w:rsid w:val="00D259B0"/>
    <w:rsid w:val="00D26C3F"/>
    <w:rsid w:val="00D27026"/>
    <w:rsid w:val="00D27185"/>
    <w:rsid w:val="00D30EF8"/>
    <w:rsid w:val="00D32518"/>
    <w:rsid w:val="00D33488"/>
    <w:rsid w:val="00D33AB3"/>
    <w:rsid w:val="00D33F24"/>
    <w:rsid w:val="00D34160"/>
    <w:rsid w:val="00D346B8"/>
    <w:rsid w:val="00D34DCA"/>
    <w:rsid w:val="00D35AC8"/>
    <w:rsid w:val="00D36F87"/>
    <w:rsid w:val="00D37E4E"/>
    <w:rsid w:val="00D400A4"/>
    <w:rsid w:val="00D40DEF"/>
    <w:rsid w:val="00D41590"/>
    <w:rsid w:val="00D417D8"/>
    <w:rsid w:val="00D41F78"/>
    <w:rsid w:val="00D4246D"/>
    <w:rsid w:val="00D42E6C"/>
    <w:rsid w:val="00D4351C"/>
    <w:rsid w:val="00D43B80"/>
    <w:rsid w:val="00D44988"/>
    <w:rsid w:val="00D45B4C"/>
    <w:rsid w:val="00D45BA4"/>
    <w:rsid w:val="00D471AF"/>
    <w:rsid w:val="00D4724F"/>
    <w:rsid w:val="00D50519"/>
    <w:rsid w:val="00D512C8"/>
    <w:rsid w:val="00D51601"/>
    <w:rsid w:val="00D51ECB"/>
    <w:rsid w:val="00D5264C"/>
    <w:rsid w:val="00D52BBC"/>
    <w:rsid w:val="00D537FE"/>
    <w:rsid w:val="00D53CC9"/>
    <w:rsid w:val="00D54A6A"/>
    <w:rsid w:val="00D54B8F"/>
    <w:rsid w:val="00D55951"/>
    <w:rsid w:val="00D559F0"/>
    <w:rsid w:val="00D57EB6"/>
    <w:rsid w:val="00D608C0"/>
    <w:rsid w:val="00D60D6D"/>
    <w:rsid w:val="00D6128C"/>
    <w:rsid w:val="00D66D8B"/>
    <w:rsid w:val="00D70849"/>
    <w:rsid w:val="00D72297"/>
    <w:rsid w:val="00D72A1C"/>
    <w:rsid w:val="00D7308F"/>
    <w:rsid w:val="00D7313E"/>
    <w:rsid w:val="00D73580"/>
    <w:rsid w:val="00D73802"/>
    <w:rsid w:val="00D7395F"/>
    <w:rsid w:val="00D73C2C"/>
    <w:rsid w:val="00D73D52"/>
    <w:rsid w:val="00D745E7"/>
    <w:rsid w:val="00D774ED"/>
    <w:rsid w:val="00D777C3"/>
    <w:rsid w:val="00D7797C"/>
    <w:rsid w:val="00D77C44"/>
    <w:rsid w:val="00D77F88"/>
    <w:rsid w:val="00D81AFA"/>
    <w:rsid w:val="00D81EAA"/>
    <w:rsid w:val="00D81FE2"/>
    <w:rsid w:val="00D8259F"/>
    <w:rsid w:val="00D825F2"/>
    <w:rsid w:val="00D8285C"/>
    <w:rsid w:val="00D828B1"/>
    <w:rsid w:val="00D829F8"/>
    <w:rsid w:val="00D82A55"/>
    <w:rsid w:val="00D83D49"/>
    <w:rsid w:val="00D84181"/>
    <w:rsid w:val="00D846AD"/>
    <w:rsid w:val="00D84754"/>
    <w:rsid w:val="00D84F27"/>
    <w:rsid w:val="00D853F0"/>
    <w:rsid w:val="00D85862"/>
    <w:rsid w:val="00D86D47"/>
    <w:rsid w:val="00D8710C"/>
    <w:rsid w:val="00D873C6"/>
    <w:rsid w:val="00D9074A"/>
    <w:rsid w:val="00D9099E"/>
    <w:rsid w:val="00D9193A"/>
    <w:rsid w:val="00D923B2"/>
    <w:rsid w:val="00D92463"/>
    <w:rsid w:val="00D93E64"/>
    <w:rsid w:val="00D93F64"/>
    <w:rsid w:val="00D94CA4"/>
    <w:rsid w:val="00D95E99"/>
    <w:rsid w:val="00D965D5"/>
    <w:rsid w:val="00D97DA2"/>
    <w:rsid w:val="00DA1A3A"/>
    <w:rsid w:val="00DA2351"/>
    <w:rsid w:val="00DA249E"/>
    <w:rsid w:val="00DA2D3D"/>
    <w:rsid w:val="00DA4C30"/>
    <w:rsid w:val="00DA6452"/>
    <w:rsid w:val="00DA7722"/>
    <w:rsid w:val="00DB145E"/>
    <w:rsid w:val="00DB1A94"/>
    <w:rsid w:val="00DB1D52"/>
    <w:rsid w:val="00DB1E2B"/>
    <w:rsid w:val="00DB1F62"/>
    <w:rsid w:val="00DB21E7"/>
    <w:rsid w:val="00DB2E03"/>
    <w:rsid w:val="00DB36D2"/>
    <w:rsid w:val="00DB3742"/>
    <w:rsid w:val="00DB3E9B"/>
    <w:rsid w:val="00DB3F4B"/>
    <w:rsid w:val="00DB5375"/>
    <w:rsid w:val="00DB67C1"/>
    <w:rsid w:val="00DB6C0B"/>
    <w:rsid w:val="00DB70F4"/>
    <w:rsid w:val="00DB748A"/>
    <w:rsid w:val="00DC009D"/>
    <w:rsid w:val="00DC1056"/>
    <w:rsid w:val="00DC1442"/>
    <w:rsid w:val="00DC21D8"/>
    <w:rsid w:val="00DC282A"/>
    <w:rsid w:val="00DC34DC"/>
    <w:rsid w:val="00DC3780"/>
    <w:rsid w:val="00DC3ADA"/>
    <w:rsid w:val="00DC3CC6"/>
    <w:rsid w:val="00DC3F55"/>
    <w:rsid w:val="00DC4782"/>
    <w:rsid w:val="00DC514A"/>
    <w:rsid w:val="00DC67B1"/>
    <w:rsid w:val="00DC7FBC"/>
    <w:rsid w:val="00DD0019"/>
    <w:rsid w:val="00DD132B"/>
    <w:rsid w:val="00DD1725"/>
    <w:rsid w:val="00DD2159"/>
    <w:rsid w:val="00DD218B"/>
    <w:rsid w:val="00DD2A18"/>
    <w:rsid w:val="00DD3044"/>
    <w:rsid w:val="00DD3985"/>
    <w:rsid w:val="00DD61E8"/>
    <w:rsid w:val="00DD62C0"/>
    <w:rsid w:val="00DD64DE"/>
    <w:rsid w:val="00DD7859"/>
    <w:rsid w:val="00DD7B41"/>
    <w:rsid w:val="00DE0048"/>
    <w:rsid w:val="00DE0784"/>
    <w:rsid w:val="00DE0A1D"/>
    <w:rsid w:val="00DE13E6"/>
    <w:rsid w:val="00DE15B2"/>
    <w:rsid w:val="00DE1A9A"/>
    <w:rsid w:val="00DE3D2C"/>
    <w:rsid w:val="00DE49CB"/>
    <w:rsid w:val="00DE5E82"/>
    <w:rsid w:val="00DE5FA6"/>
    <w:rsid w:val="00DE6792"/>
    <w:rsid w:val="00DE6AA1"/>
    <w:rsid w:val="00DE7AAB"/>
    <w:rsid w:val="00DE7EF7"/>
    <w:rsid w:val="00DF015B"/>
    <w:rsid w:val="00DF02EC"/>
    <w:rsid w:val="00DF10FC"/>
    <w:rsid w:val="00DF1185"/>
    <w:rsid w:val="00DF1299"/>
    <w:rsid w:val="00DF1A70"/>
    <w:rsid w:val="00DF1E5F"/>
    <w:rsid w:val="00DF23A8"/>
    <w:rsid w:val="00DF2F27"/>
    <w:rsid w:val="00DF36B6"/>
    <w:rsid w:val="00DF4296"/>
    <w:rsid w:val="00DF4EFF"/>
    <w:rsid w:val="00DF53F0"/>
    <w:rsid w:val="00DF5F38"/>
    <w:rsid w:val="00DF6608"/>
    <w:rsid w:val="00DF6CCC"/>
    <w:rsid w:val="00DF6D0C"/>
    <w:rsid w:val="00DF6F64"/>
    <w:rsid w:val="00DF721E"/>
    <w:rsid w:val="00DF7B8A"/>
    <w:rsid w:val="00DF7C87"/>
    <w:rsid w:val="00E009B0"/>
    <w:rsid w:val="00E00A12"/>
    <w:rsid w:val="00E00C49"/>
    <w:rsid w:val="00E01520"/>
    <w:rsid w:val="00E01BD8"/>
    <w:rsid w:val="00E01C9C"/>
    <w:rsid w:val="00E0219D"/>
    <w:rsid w:val="00E03C10"/>
    <w:rsid w:val="00E04C0F"/>
    <w:rsid w:val="00E0570B"/>
    <w:rsid w:val="00E10343"/>
    <w:rsid w:val="00E10913"/>
    <w:rsid w:val="00E10B87"/>
    <w:rsid w:val="00E121CE"/>
    <w:rsid w:val="00E12D4B"/>
    <w:rsid w:val="00E1478B"/>
    <w:rsid w:val="00E14FAC"/>
    <w:rsid w:val="00E15007"/>
    <w:rsid w:val="00E16277"/>
    <w:rsid w:val="00E16EC7"/>
    <w:rsid w:val="00E219CE"/>
    <w:rsid w:val="00E2307B"/>
    <w:rsid w:val="00E24071"/>
    <w:rsid w:val="00E24EBC"/>
    <w:rsid w:val="00E2522C"/>
    <w:rsid w:val="00E2552F"/>
    <w:rsid w:val="00E2599B"/>
    <w:rsid w:val="00E2710C"/>
    <w:rsid w:val="00E27428"/>
    <w:rsid w:val="00E305B4"/>
    <w:rsid w:val="00E31AFA"/>
    <w:rsid w:val="00E31CB7"/>
    <w:rsid w:val="00E324EE"/>
    <w:rsid w:val="00E32990"/>
    <w:rsid w:val="00E34DB1"/>
    <w:rsid w:val="00E35931"/>
    <w:rsid w:val="00E359FF"/>
    <w:rsid w:val="00E36BD1"/>
    <w:rsid w:val="00E3706A"/>
    <w:rsid w:val="00E402C5"/>
    <w:rsid w:val="00E402F4"/>
    <w:rsid w:val="00E405F1"/>
    <w:rsid w:val="00E4178B"/>
    <w:rsid w:val="00E417DB"/>
    <w:rsid w:val="00E43054"/>
    <w:rsid w:val="00E43655"/>
    <w:rsid w:val="00E43670"/>
    <w:rsid w:val="00E44440"/>
    <w:rsid w:val="00E4463D"/>
    <w:rsid w:val="00E46013"/>
    <w:rsid w:val="00E47099"/>
    <w:rsid w:val="00E47284"/>
    <w:rsid w:val="00E4730A"/>
    <w:rsid w:val="00E477C3"/>
    <w:rsid w:val="00E47BE3"/>
    <w:rsid w:val="00E517A5"/>
    <w:rsid w:val="00E51E16"/>
    <w:rsid w:val="00E53730"/>
    <w:rsid w:val="00E5438D"/>
    <w:rsid w:val="00E54511"/>
    <w:rsid w:val="00E54E50"/>
    <w:rsid w:val="00E55288"/>
    <w:rsid w:val="00E57577"/>
    <w:rsid w:val="00E62043"/>
    <w:rsid w:val="00E626B9"/>
    <w:rsid w:val="00E627C9"/>
    <w:rsid w:val="00E630F3"/>
    <w:rsid w:val="00E6332F"/>
    <w:rsid w:val="00E637C9"/>
    <w:rsid w:val="00E6402D"/>
    <w:rsid w:val="00E65981"/>
    <w:rsid w:val="00E6680A"/>
    <w:rsid w:val="00E66F0D"/>
    <w:rsid w:val="00E7056A"/>
    <w:rsid w:val="00E70615"/>
    <w:rsid w:val="00E7161E"/>
    <w:rsid w:val="00E7207B"/>
    <w:rsid w:val="00E7347A"/>
    <w:rsid w:val="00E75A47"/>
    <w:rsid w:val="00E75BB6"/>
    <w:rsid w:val="00E75D8C"/>
    <w:rsid w:val="00E777F2"/>
    <w:rsid w:val="00E802C9"/>
    <w:rsid w:val="00E80BFB"/>
    <w:rsid w:val="00E80F0A"/>
    <w:rsid w:val="00E815D4"/>
    <w:rsid w:val="00E8291B"/>
    <w:rsid w:val="00E82E70"/>
    <w:rsid w:val="00E82F92"/>
    <w:rsid w:val="00E8395F"/>
    <w:rsid w:val="00E8410F"/>
    <w:rsid w:val="00E842B7"/>
    <w:rsid w:val="00E849D7"/>
    <w:rsid w:val="00E85E41"/>
    <w:rsid w:val="00E85E77"/>
    <w:rsid w:val="00E85EA1"/>
    <w:rsid w:val="00E86703"/>
    <w:rsid w:val="00E91044"/>
    <w:rsid w:val="00E910D3"/>
    <w:rsid w:val="00E91257"/>
    <w:rsid w:val="00E91E95"/>
    <w:rsid w:val="00E92154"/>
    <w:rsid w:val="00E923CF"/>
    <w:rsid w:val="00E92E2E"/>
    <w:rsid w:val="00E93685"/>
    <w:rsid w:val="00E93B65"/>
    <w:rsid w:val="00E93C8C"/>
    <w:rsid w:val="00E95111"/>
    <w:rsid w:val="00E95FDF"/>
    <w:rsid w:val="00EA14C8"/>
    <w:rsid w:val="00EA2110"/>
    <w:rsid w:val="00EA283A"/>
    <w:rsid w:val="00EA2C90"/>
    <w:rsid w:val="00EA2E07"/>
    <w:rsid w:val="00EA383B"/>
    <w:rsid w:val="00EA48F3"/>
    <w:rsid w:val="00EA5B64"/>
    <w:rsid w:val="00EA60BF"/>
    <w:rsid w:val="00EA7365"/>
    <w:rsid w:val="00EA763F"/>
    <w:rsid w:val="00EA77E9"/>
    <w:rsid w:val="00EB05D0"/>
    <w:rsid w:val="00EB1151"/>
    <w:rsid w:val="00EB1D49"/>
    <w:rsid w:val="00EB23D9"/>
    <w:rsid w:val="00EB3113"/>
    <w:rsid w:val="00EB39A0"/>
    <w:rsid w:val="00EB559F"/>
    <w:rsid w:val="00EB566C"/>
    <w:rsid w:val="00EB5F3D"/>
    <w:rsid w:val="00EC1CEB"/>
    <w:rsid w:val="00EC1DC0"/>
    <w:rsid w:val="00EC1DC2"/>
    <w:rsid w:val="00EC21EC"/>
    <w:rsid w:val="00EC24B8"/>
    <w:rsid w:val="00EC268C"/>
    <w:rsid w:val="00EC2D25"/>
    <w:rsid w:val="00EC3753"/>
    <w:rsid w:val="00EC4E71"/>
    <w:rsid w:val="00EC4E9A"/>
    <w:rsid w:val="00EC5F1C"/>
    <w:rsid w:val="00ED0365"/>
    <w:rsid w:val="00ED0865"/>
    <w:rsid w:val="00ED199A"/>
    <w:rsid w:val="00ED1C60"/>
    <w:rsid w:val="00ED2EB9"/>
    <w:rsid w:val="00ED32D5"/>
    <w:rsid w:val="00ED3722"/>
    <w:rsid w:val="00ED38A3"/>
    <w:rsid w:val="00ED3A31"/>
    <w:rsid w:val="00ED4469"/>
    <w:rsid w:val="00ED5424"/>
    <w:rsid w:val="00ED5F23"/>
    <w:rsid w:val="00ED6DC0"/>
    <w:rsid w:val="00ED7A7A"/>
    <w:rsid w:val="00ED7ADC"/>
    <w:rsid w:val="00EE0327"/>
    <w:rsid w:val="00EE038C"/>
    <w:rsid w:val="00EE28C5"/>
    <w:rsid w:val="00EE2F09"/>
    <w:rsid w:val="00EE47C5"/>
    <w:rsid w:val="00EE490C"/>
    <w:rsid w:val="00EE4E57"/>
    <w:rsid w:val="00EE55DA"/>
    <w:rsid w:val="00EE5738"/>
    <w:rsid w:val="00EE58BD"/>
    <w:rsid w:val="00EE5E59"/>
    <w:rsid w:val="00EE6549"/>
    <w:rsid w:val="00EE67DE"/>
    <w:rsid w:val="00EE73D0"/>
    <w:rsid w:val="00EE7CB0"/>
    <w:rsid w:val="00EF08A8"/>
    <w:rsid w:val="00EF167B"/>
    <w:rsid w:val="00EF30BF"/>
    <w:rsid w:val="00EF41A8"/>
    <w:rsid w:val="00EF44FB"/>
    <w:rsid w:val="00EF5122"/>
    <w:rsid w:val="00EF5554"/>
    <w:rsid w:val="00EF5AD8"/>
    <w:rsid w:val="00EF6B90"/>
    <w:rsid w:val="00EF7807"/>
    <w:rsid w:val="00EF79F7"/>
    <w:rsid w:val="00F006C0"/>
    <w:rsid w:val="00F0125F"/>
    <w:rsid w:val="00F019AA"/>
    <w:rsid w:val="00F0267E"/>
    <w:rsid w:val="00F02686"/>
    <w:rsid w:val="00F02F26"/>
    <w:rsid w:val="00F030C0"/>
    <w:rsid w:val="00F03291"/>
    <w:rsid w:val="00F0459B"/>
    <w:rsid w:val="00F04E15"/>
    <w:rsid w:val="00F05DF3"/>
    <w:rsid w:val="00F0692C"/>
    <w:rsid w:val="00F069EA"/>
    <w:rsid w:val="00F070E5"/>
    <w:rsid w:val="00F07DDE"/>
    <w:rsid w:val="00F11675"/>
    <w:rsid w:val="00F12557"/>
    <w:rsid w:val="00F13599"/>
    <w:rsid w:val="00F13B28"/>
    <w:rsid w:val="00F14E01"/>
    <w:rsid w:val="00F156A0"/>
    <w:rsid w:val="00F15730"/>
    <w:rsid w:val="00F176A6"/>
    <w:rsid w:val="00F202C2"/>
    <w:rsid w:val="00F212F6"/>
    <w:rsid w:val="00F22756"/>
    <w:rsid w:val="00F23248"/>
    <w:rsid w:val="00F23890"/>
    <w:rsid w:val="00F2504D"/>
    <w:rsid w:val="00F2637F"/>
    <w:rsid w:val="00F268F7"/>
    <w:rsid w:val="00F30B83"/>
    <w:rsid w:val="00F30BDB"/>
    <w:rsid w:val="00F30CF8"/>
    <w:rsid w:val="00F31EDF"/>
    <w:rsid w:val="00F32CDE"/>
    <w:rsid w:val="00F32D4C"/>
    <w:rsid w:val="00F3327E"/>
    <w:rsid w:val="00F338C3"/>
    <w:rsid w:val="00F34B14"/>
    <w:rsid w:val="00F34F58"/>
    <w:rsid w:val="00F35DA7"/>
    <w:rsid w:val="00F36A6A"/>
    <w:rsid w:val="00F40101"/>
    <w:rsid w:val="00F404F7"/>
    <w:rsid w:val="00F40CCA"/>
    <w:rsid w:val="00F42D97"/>
    <w:rsid w:val="00F43679"/>
    <w:rsid w:val="00F436B2"/>
    <w:rsid w:val="00F43813"/>
    <w:rsid w:val="00F43FEE"/>
    <w:rsid w:val="00F45A72"/>
    <w:rsid w:val="00F46723"/>
    <w:rsid w:val="00F4706D"/>
    <w:rsid w:val="00F476E1"/>
    <w:rsid w:val="00F47D1D"/>
    <w:rsid w:val="00F47F29"/>
    <w:rsid w:val="00F50016"/>
    <w:rsid w:val="00F50058"/>
    <w:rsid w:val="00F5118A"/>
    <w:rsid w:val="00F51A21"/>
    <w:rsid w:val="00F52614"/>
    <w:rsid w:val="00F5276E"/>
    <w:rsid w:val="00F52E9F"/>
    <w:rsid w:val="00F53304"/>
    <w:rsid w:val="00F53B81"/>
    <w:rsid w:val="00F540FE"/>
    <w:rsid w:val="00F556FF"/>
    <w:rsid w:val="00F55D12"/>
    <w:rsid w:val="00F5687F"/>
    <w:rsid w:val="00F56D3F"/>
    <w:rsid w:val="00F575C7"/>
    <w:rsid w:val="00F57FD0"/>
    <w:rsid w:val="00F60305"/>
    <w:rsid w:val="00F61B12"/>
    <w:rsid w:val="00F61C62"/>
    <w:rsid w:val="00F63264"/>
    <w:rsid w:val="00F634E4"/>
    <w:rsid w:val="00F6379E"/>
    <w:rsid w:val="00F64047"/>
    <w:rsid w:val="00F65171"/>
    <w:rsid w:val="00F6560D"/>
    <w:rsid w:val="00F65C23"/>
    <w:rsid w:val="00F67844"/>
    <w:rsid w:val="00F70799"/>
    <w:rsid w:val="00F70A8B"/>
    <w:rsid w:val="00F70B8D"/>
    <w:rsid w:val="00F71936"/>
    <w:rsid w:val="00F724FB"/>
    <w:rsid w:val="00F726B8"/>
    <w:rsid w:val="00F72A26"/>
    <w:rsid w:val="00F733C3"/>
    <w:rsid w:val="00F746A1"/>
    <w:rsid w:val="00F74820"/>
    <w:rsid w:val="00F756DD"/>
    <w:rsid w:val="00F77F4E"/>
    <w:rsid w:val="00F80047"/>
    <w:rsid w:val="00F800C7"/>
    <w:rsid w:val="00F8104D"/>
    <w:rsid w:val="00F81587"/>
    <w:rsid w:val="00F8288F"/>
    <w:rsid w:val="00F84033"/>
    <w:rsid w:val="00F84802"/>
    <w:rsid w:val="00F85B72"/>
    <w:rsid w:val="00F86540"/>
    <w:rsid w:val="00F865CE"/>
    <w:rsid w:val="00F8766F"/>
    <w:rsid w:val="00F91082"/>
    <w:rsid w:val="00F9116D"/>
    <w:rsid w:val="00F91A9A"/>
    <w:rsid w:val="00F9203B"/>
    <w:rsid w:val="00F93ABB"/>
    <w:rsid w:val="00F94D79"/>
    <w:rsid w:val="00F9658C"/>
    <w:rsid w:val="00F97A7F"/>
    <w:rsid w:val="00FA0889"/>
    <w:rsid w:val="00FA16E7"/>
    <w:rsid w:val="00FA31C7"/>
    <w:rsid w:val="00FA472D"/>
    <w:rsid w:val="00FA5438"/>
    <w:rsid w:val="00FB0CBF"/>
    <w:rsid w:val="00FB18F6"/>
    <w:rsid w:val="00FB2A52"/>
    <w:rsid w:val="00FB3692"/>
    <w:rsid w:val="00FB3F92"/>
    <w:rsid w:val="00FB4017"/>
    <w:rsid w:val="00FB52C7"/>
    <w:rsid w:val="00FB57DC"/>
    <w:rsid w:val="00FB6E19"/>
    <w:rsid w:val="00FB71F6"/>
    <w:rsid w:val="00FC0AF8"/>
    <w:rsid w:val="00FC1483"/>
    <w:rsid w:val="00FC1C47"/>
    <w:rsid w:val="00FC3102"/>
    <w:rsid w:val="00FC39ED"/>
    <w:rsid w:val="00FC4419"/>
    <w:rsid w:val="00FC47E2"/>
    <w:rsid w:val="00FC4AA5"/>
    <w:rsid w:val="00FC4B88"/>
    <w:rsid w:val="00FC4BB8"/>
    <w:rsid w:val="00FC5148"/>
    <w:rsid w:val="00FC623A"/>
    <w:rsid w:val="00FC6524"/>
    <w:rsid w:val="00FC75AC"/>
    <w:rsid w:val="00FD01BF"/>
    <w:rsid w:val="00FD0525"/>
    <w:rsid w:val="00FD0AB7"/>
    <w:rsid w:val="00FD297D"/>
    <w:rsid w:val="00FD2D13"/>
    <w:rsid w:val="00FD374D"/>
    <w:rsid w:val="00FD5BB0"/>
    <w:rsid w:val="00FD6071"/>
    <w:rsid w:val="00FD633B"/>
    <w:rsid w:val="00FE0794"/>
    <w:rsid w:val="00FE1041"/>
    <w:rsid w:val="00FE24CB"/>
    <w:rsid w:val="00FE323F"/>
    <w:rsid w:val="00FE3473"/>
    <w:rsid w:val="00FE4049"/>
    <w:rsid w:val="00FE4794"/>
    <w:rsid w:val="00FE480F"/>
    <w:rsid w:val="00FE4998"/>
    <w:rsid w:val="00FE57DE"/>
    <w:rsid w:val="00FE7A68"/>
    <w:rsid w:val="00FF0231"/>
    <w:rsid w:val="00FF1C9B"/>
    <w:rsid w:val="00FF1D49"/>
    <w:rsid w:val="00FF203B"/>
    <w:rsid w:val="00FF2562"/>
    <w:rsid w:val="00FF3A41"/>
    <w:rsid w:val="00FF3E5B"/>
    <w:rsid w:val="00FF57E4"/>
    <w:rsid w:val="00FF78E5"/>
    <w:rsid w:val="01AF3D99"/>
    <w:rsid w:val="02511F9D"/>
    <w:rsid w:val="03A314B8"/>
    <w:rsid w:val="03D82B98"/>
    <w:rsid w:val="03F83E8B"/>
    <w:rsid w:val="05C56868"/>
    <w:rsid w:val="07B72767"/>
    <w:rsid w:val="08077E72"/>
    <w:rsid w:val="08882DD0"/>
    <w:rsid w:val="09CC2AAC"/>
    <w:rsid w:val="09D26E76"/>
    <w:rsid w:val="0A652D3E"/>
    <w:rsid w:val="0B326F2A"/>
    <w:rsid w:val="0C1E2888"/>
    <w:rsid w:val="0C92213C"/>
    <w:rsid w:val="0D84032B"/>
    <w:rsid w:val="0F2A74C4"/>
    <w:rsid w:val="10A27F31"/>
    <w:rsid w:val="11927058"/>
    <w:rsid w:val="13AF4F03"/>
    <w:rsid w:val="14736E66"/>
    <w:rsid w:val="147F458F"/>
    <w:rsid w:val="14D958EC"/>
    <w:rsid w:val="1534169A"/>
    <w:rsid w:val="15C03E03"/>
    <w:rsid w:val="162A25EB"/>
    <w:rsid w:val="16FD2A55"/>
    <w:rsid w:val="17067C1A"/>
    <w:rsid w:val="17366761"/>
    <w:rsid w:val="177C01F0"/>
    <w:rsid w:val="17CE6630"/>
    <w:rsid w:val="1AFF0AFE"/>
    <w:rsid w:val="1B4F19F8"/>
    <w:rsid w:val="1C226F03"/>
    <w:rsid w:val="1ECC44FA"/>
    <w:rsid w:val="1F063325"/>
    <w:rsid w:val="1FBC5DF5"/>
    <w:rsid w:val="1FF90588"/>
    <w:rsid w:val="20C3623F"/>
    <w:rsid w:val="21781212"/>
    <w:rsid w:val="21B83F86"/>
    <w:rsid w:val="221178A8"/>
    <w:rsid w:val="221213CF"/>
    <w:rsid w:val="22327A92"/>
    <w:rsid w:val="231D53A2"/>
    <w:rsid w:val="236D5383"/>
    <w:rsid w:val="23B7504C"/>
    <w:rsid w:val="24571307"/>
    <w:rsid w:val="25110A2A"/>
    <w:rsid w:val="256C0944"/>
    <w:rsid w:val="26446DE3"/>
    <w:rsid w:val="269669E7"/>
    <w:rsid w:val="26D7699F"/>
    <w:rsid w:val="2B774624"/>
    <w:rsid w:val="2C7A72BE"/>
    <w:rsid w:val="2C9A7D75"/>
    <w:rsid w:val="2CC17412"/>
    <w:rsid w:val="2E9976CE"/>
    <w:rsid w:val="2F401D3C"/>
    <w:rsid w:val="2F5B24E1"/>
    <w:rsid w:val="2FA95C88"/>
    <w:rsid w:val="3041370F"/>
    <w:rsid w:val="312B50A3"/>
    <w:rsid w:val="3238172D"/>
    <w:rsid w:val="32453A27"/>
    <w:rsid w:val="3263064A"/>
    <w:rsid w:val="32A43132"/>
    <w:rsid w:val="32AC0C06"/>
    <w:rsid w:val="33344EF5"/>
    <w:rsid w:val="3537750C"/>
    <w:rsid w:val="3537798C"/>
    <w:rsid w:val="35C13FC9"/>
    <w:rsid w:val="364257B6"/>
    <w:rsid w:val="37EA5922"/>
    <w:rsid w:val="38276B93"/>
    <w:rsid w:val="38AC3431"/>
    <w:rsid w:val="392F2E16"/>
    <w:rsid w:val="39E00529"/>
    <w:rsid w:val="3A0B64A7"/>
    <w:rsid w:val="3A574DDA"/>
    <w:rsid w:val="3AD3075A"/>
    <w:rsid w:val="3AF74C02"/>
    <w:rsid w:val="3B0B1FFB"/>
    <w:rsid w:val="3C0059A5"/>
    <w:rsid w:val="3C134E78"/>
    <w:rsid w:val="3DEC7285"/>
    <w:rsid w:val="3DF6345D"/>
    <w:rsid w:val="3E2B5515"/>
    <w:rsid w:val="3E4D4F28"/>
    <w:rsid w:val="3EE13701"/>
    <w:rsid w:val="3F1A4BB3"/>
    <w:rsid w:val="40192BA6"/>
    <w:rsid w:val="41766EA9"/>
    <w:rsid w:val="42550A18"/>
    <w:rsid w:val="429D496A"/>
    <w:rsid w:val="42F473A1"/>
    <w:rsid w:val="441E62C0"/>
    <w:rsid w:val="45325D14"/>
    <w:rsid w:val="45811C7C"/>
    <w:rsid w:val="45906116"/>
    <w:rsid w:val="468B3EFB"/>
    <w:rsid w:val="470A6193"/>
    <w:rsid w:val="47385210"/>
    <w:rsid w:val="47DC4F5C"/>
    <w:rsid w:val="483D2FCF"/>
    <w:rsid w:val="48B40671"/>
    <w:rsid w:val="499B5738"/>
    <w:rsid w:val="499F244D"/>
    <w:rsid w:val="4A973F3F"/>
    <w:rsid w:val="4AF96BC7"/>
    <w:rsid w:val="4B5A416B"/>
    <w:rsid w:val="4B862A85"/>
    <w:rsid w:val="4CEF36E2"/>
    <w:rsid w:val="4CEF4DC5"/>
    <w:rsid w:val="4E257655"/>
    <w:rsid w:val="4E8E7871"/>
    <w:rsid w:val="4F372380"/>
    <w:rsid w:val="4F372FFB"/>
    <w:rsid w:val="5025116D"/>
    <w:rsid w:val="52395ECD"/>
    <w:rsid w:val="52C10D75"/>
    <w:rsid w:val="53C27FF8"/>
    <w:rsid w:val="549E1A80"/>
    <w:rsid w:val="54C658F4"/>
    <w:rsid w:val="550C4BD7"/>
    <w:rsid w:val="554C1D56"/>
    <w:rsid w:val="55572986"/>
    <w:rsid w:val="55C062DD"/>
    <w:rsid w:val="565340FA"/>
    <w:rsid w:val="5723343E"/>
    <w:rsid w:val="573D7EAB"/>
    <w:rsid w:val="5A2F2CC8"/>
    <w:rsid w:val="5BA26962"/>
    <w:rsid w:val="5C10702D"/>
    <w:rsid w:val="5C152601"/>
    <w:rsid w:val="5C591F03"/>
    <w:rsid w:val="5C8A1B2F"/>
    <w:rsid w:val="5D914004"/>
    <w:rsid w:val="5F561B72"/>
    <w:rsid w:val="606007BB"/>
    <w:rsid w:val="60AC7F66"/>
    <w:rsid w:val="61BF10D9"/>
    <w:rsid w:val="61DA3D4C"/>
    <w:rsid w:val="62AC22DC"/>
    <w:rsid w:val="637833E8"/>
    <w:rsid w:val="64E45EF7"/>
    <w:rsid w:val="6691014E"/>
    <w:rsid w:val="66C87CCE"/>
    <w:rsid w:val="677435B2"/>
    <w:rsid w:val="67EF75F1"/>
    <w:rsid w:val="69124F16"/>
    <w:rsid w:val="694A5205"/>
    <w:rsid w:val="69CD5C14"/>
    <w:rsid w:val="69CF0D33"/>
    <w:rsid w:val="6B9946B3"/>
    <w:rsid w:val="6C662189"/>
    <w:rsid w:val="6C7007C7"/>
    <w:rsid w:val="6DE76850"/>
    <w:rsid w:val="6E3522FC"/>
    <w:rsid w:val="6FB20BD4"/>
    <w:rsid w:val="6FB650F7"/>
    <w:rsid w:val="6FBA59BE"/>
    <w:rsid w:val="70296B3E"/>
    <w:rsid w:val="704A30D9"/>
    <w:rsid w:val="70611204"/>
    <w:rsid w:val="73445350"/>
    <w:rsid w:val="74FA2C30"/>
    <w:rsid w:val="754D5C4B"/>
    <w:rsid w:val="76C240A7"/>
    <w:rsid w:val="775246B7"/>
    <w:rsid w:val="781E69D1"/>
    <w:rsid w:val="7A263B6B"/>
    <w:rsid w:val="7AF46346"/>
    <w:rsid w:val="7B0F5EBF"/>
    <w:rsid w:val="7B130FB9"/>
    <w:rsid w:val="7BF64EDE"/>
    <w:rsid w:val="7C400C1E"/>
    <w:rsid w:val="7DD11708"/>
    <w:rsid w:val="7EBD579E"/>
    <w:rsid w:val="7EC167BD"/>
    <w:rsid w:val="7F272D9E"/>
    <w:rsid w:val="7F7338C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 w:semiHidden="0" w:name="heading 2"/>
    <w:lsdException w:qFormat="1" w:unhideWhenUsed="0" w:uiPriority="99" w:semiHidden="0" w:name="heading 3"/>
    <w:lsdException w:qFormat="1" w:unhideWhenUsed="0" w:uiPriority="99" w:semiHidden="0" w:name="heading 4"/>
    <w:lsdException w:qFormat="1" w:unhideWhenUsed="0" w:uiPriority="9" w:semiHidden="0" w:name="heading 5"/>
    <w:lsdException w:qFormat="1" w:uiPriority="9" w:name="heading 6"/>
    <w:lsdException w:qFormat="1" w:uiPriority="9" w:name="heading 7"/>
    <w:lsdException w:qFormat="1" w:unhideWhenUsed="0" w:uiPriority="9" w:semiHidden="0"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semiHidden="0" w:name="toc 1"/>
    <w:lsdException w:uiPriority="99" w:semiHidden="0" w:name="toc 2"/>
    <w:lsdException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nhideWhenUsed="0" w:uiPriority="99" w:semiHidden="0" w:name="Normal Indent"/>
    <w:lsdException w:uiPriority="99" w:name="footnote text"/>
    <w:lsdException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nhideWhenUsed="0" w:uiPriority="99" w:semiHidden="0" w:name="annotation reference"/>
    <w:lsdException w:uiPriority="99" w:name="line number"/>
    <w:lsdException w:unhideWhenUsed="0" w:uiPriority="0" w:semiHidden="0" w:name="page number"/>
    <w:lsdException w:uiPriority="99" w:semiHidden="0" w:name="endnote reference"/>
    <w:lsdException w:uiPriority="99" w:name="endnote text"/>
    <w:lsdException w:uiPriority="99" w:name="table of authorities"/>
    <w:lsdException w:uiPriority="99" w:name="macro"/>
    <w:lsdException w:uiPriority="99" w:name="toa heading"/>
    <w:lsdException w:uiPriority="99" w:semiHidden="0" w:name="List"/>
    <w:lsdException w:uiPriority="99" w:name="List Bullet"/>
    <w:lsdException w:unhideWhenUsed="0" w:uiPriority="99" w:semiHidden="0" w:name="List Number"/>
    <w:lsdException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0" w:semiHidden="0" w:name="Body Text"/>
    <w:lsdException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semiHidden="0" w:name="Date"/>
    <w:lsdException w:uiPriority="99" w:semiHidden="0" w:name="Body Text First Indent"/>
    <w:lsdException w:uiPriority="99" w:name="Body Text First Indent 2"/>
    <w:lsdException w:uiPriority="99" w:name="Note Heading"/>
    <w:lsdException w:uiPriority="99" w:name="Body Text 2"/>
    <w:lsdException w:uiPriority="99" w:semiHidden="0" w:name="Body Text 3"/>
    <w:lsdException w:uiPriority="99" w:semiHidden="0" w:name="Body Text Indent 2"/>
    <w:lsdException w:uiPriority="99" w:name="Body Text Indent 3"/>
    <w:lsdException w:uiPriority="99" w:name="Block Text"/>
    <w:lsdException w:uiPriority="99" w:semiHidden="0" w:name="Hyperlink"/>
    <w:lsdException w:uiPriority="99" w:semiHidden="0"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paragraph" w:styleId="2">
    <w:name w:val="heading 1"/>
    <w:basedOn w:val="1"/>
    <w:next w:val="1"/>
    <w:link w:val="40"/>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41"/>
    <w:qFormat/>
    <w:uiPriority w:val="9"/>
    <w:pPr>
      <w:keepNext/>
      <w:keepLines/>
      <w:spacing w:before="260" w:after="260" w:line="416" w:lineRule="auto"/>
      <w:outlineLvl w:val="1"/>
    </w:pPr>
    <w:rPr>
      <w:rFonts w:ascii="Cambria" w:hAnsi="Cambria"/>
      <w:b/>
      <w:bCs/>
      <w:sz w:val="32"/>
      <w:szCs w:val="32"/>
    </w:rPr>
  </w:style>
  <w:style w:type="paragraph" w:styleId="4">
    <w:name w:val="heading 3"/>
    <w:basedOn w:val="1"/>
    <w:next w:val="1"/>
    <w:link w:val="42"/>
    <w:qFormat/>
    <w:uiPriority w:val="99"/>
    <w:pPr>
      <w:keepNext/>
      <w:keepLines/>
      <w:spacing w:before="260" w:after="260" w:line="416" w:lineRule="auto"/>
      <w:outlineLvl w:val="2"/>
    </w:pPr>
    <w:rPr>
      <w:b/>
      <w:bCs/>
      <w:sz w:val="32"/>
      <w:szCs w:val="32"/>
    </w:rPr>
  </w:style>
  <w:style w:type="paragraph" w:styleId="5">
    <w:name w:val="heading 4"/>
    <w:basedOn w:val="1"/>
    <w:next w:val="1"/>
    <w:link w:val="104"/>
    <w:qFormat/>
    <w:uiPriority w:val="99"/>
    <w:pPr>
      <w:keepNext/>
      <w:keepLines/>
      <w:spacing w:before="280" w:after="290" w:line="374" w:lineRule="auto"/>
      <w:outlineLvl w:val="3"/>
    </w:pPr>
    <w:rPr>
      <w:rFonts w:ascii="Arial" w:hAnsi="Arial" w:eastAsia="黑体"/>
      <w:b/>
      <w:bCs/>
      <w:sz w:val="28"/>
      <w:szCs w:val="28"/>
    </w:rPr>
  </w:style>
  <w:style w:type="paragraph" w:styleId="6">
    <w:name w:val="heading 5"/>
    <w:basedOn w:val="1"/>
    <w:next w:val="7"/>
    <w:link w:val="43"/>
    <w:qFormat/>
    <w:uiPriority w:val="9"/>
    <w:pPr>
      <w:keepNext/>
      <w:keepLines/>
      <w:spacing w:before="280" w:after="290" w:line="376" w:lineRule="auto"/>
      <w:outlineLvl w:val="4"/>
    </w:pPr>
    <w:rPr>
      <w:b/>
      <w:bCs/>
      <w:sz w:val="28"/>
      <w:szCs w:val="28"/>
    </w:rPr>
  </w:style>
  <w:style w:type="paragraph" w:styleId="8">
    <w:name w:val="heading 8"/>
    <w:basedOn w:val="1"/>
    <w:next w:val="1"/>
    <w:link w:val="44"/>
    <w:qFormat/>
    <w:uiPriority w:val="9"/>
    <w:pPr>
      <w:keepNext/>
      <w:keepLines/>
      <w:spacing w:before="240" w:after="64" w:line="320" w:lineRule="auto"/>
      <w:outlineLvl w:val="7"/>
    </w:pPr>
    <w:rPr>
      <w:rFonts w:ascii="等线 Light" w:hAnsi="等线 Light" w:eastAsia="等线 Light"/>
      <w:sz w:val="24"/>
    </w:rPr>
  </w:style>
  <w:style w:type="character" w:default="1" w:styleId="33">
    <w:name w:val="Default Paragraph Font"/>
    <w:unhideWhenUsed/>
    <w:uiPriority w:val="1"/>
  </w:style>
  <w:style w:type="table" w:default="1" w:styleId="31">
    <w:name w:val="Normal Table"/>
    <w:unhideWhenUsed/>
    <w:qFormat/>
    <w:uiPriority w:val="99"/>
    <w:tblPr>
      <w:tblStyle w:val="31"/>
      <w:tblCellMar>
        <w:top w:w="0" w:type="dxa"/>
        <w:left w:w="108" w:type="dxa"/>
        <w:bottom w:w="0" w:type="dxa"/>
        <w:right w:w="108" w:type="dxa"/>
      </w:tblCellMar>
    </w:tblPr>
  </w:style>
  <w:style w:type="paragraph" w:styleId="7">
    <w:name w:val="Normal Indent"/>
    <w:basedOn w:val="1"/>
    <w:uiPriority w:val="99"/>
    <w:pPr>
      <w:ind w:firstLine="420"/>
    </w:pPr>
    <w:rPr>
      <w:szCs w:val="20"/>
    </w:rPr>
  </w:style>
  <w:style w:type="paragraph" w:styleId="9">
    <w:name w:val="List Number"/>
    <w:basedOn w:val="1"/>
    <w:uiPriority w:val="99"/>
    <w:pPr>
      <w:widowControl/>
      <w:tabs>
        <w:tab w:val="left" w:pos="454"/>
        <w:tab w:val="left" w:pos="720"/>
        <w:tab w:val="left" w:pos="840"/>
      </w:tabs>
      <w:spacing w:after="50" w:afterLines="50"/>
      <w:ind w:left="454" w:hanging="284"/>
      <w:jc w:val="left"/>
    </w:pPr>
    <w:rPr>
      <w:kern w:val="0"/>
      <w:sz w:val="24"/>
      <w:szCs w:val="20"/>
    </w:rPr>
  </w:style>
  <w:style w:type="paragraph" w:styleId="10">
    <w:name w:val="annotation text"/>
    <w:basedOn w:val="1"/>
    <w:link w:val="45"/>
    <w:uiPriority w:val="0"/>
    <w:pPr>
      <w:jc w:val="left"/>
    </w:pPr>
  </w:style>
  <w:style w:type="paragraph" w:styleId="11">
    <w:name w:val="Body Text 3"/>
    <w:basedOn w:val="1"/>
    <w:link w:val="46"/>
    <w:unhideWhenUsed/>
    <w:uiPriority w:val="99"/>
    <w:pPr>
      <w:spacing w:after="120"/>
    </w:pPr>
    <w:rPr>
      <w:sz w:val="16"/>
      <w:szCs w:val="16"/>
    </w:rPr>
  </w:style>
  <w:style w:type="paragraph" w:styleId="12">
    <w:name w:val="Body Text"/>
    <w:basedOn w:val="1"/>
    <w:link w:val="47"/>
    <w:unhideWhenUsed/>
    <w:uiPriority w:val="0"/>
    <w:pPr>
      <w:spacing w:after="120"/>
    </w:pPr>
  </w:style>
  <w:style w:type="paragraph" w:styleId="13">
    <w:name w:val="Body Text Indent"/>
    <w:basedOn w:val="1"/>
    <w:link w:val="48"/>
    <w:uiPriority w:val="99"/>
    <w:pPr>
      <w:ind w:firstLine="830" w:firstLineChars="352"/>
    </w:pPr>
    <w:rPr>
      <w:rFonts w:ascii="仿宋_GB2312" w:eastAsia="仿宋_GB2312"/>
      <w:kern w:val="0"/>
      <w:sz w:val="32"/>
      <w:szCs w:val="20"/>
    </w:rPr>
  </w:style>
  <w:style w:type="paragraph" w:styleId="14">
    <w:name w:val="List 2"/>
    <w:basedOn w:val="1"/>
    <w:unhideWhenUsed/>
    <w:uiPriority w:val="99"/>
    <w:pPr>
      <w:ind w:left="100" w:leftChars="200" w:hanging="200" w:hangingChars="200"/>
      <w:contextualSpacing/>
    </w:pPr>
  </w:style>
  <w:style w:type="paragraph" w:styleId="15">
    <w:name w:val="Block Text"/>
    <w:basedOn w:val="1"/>
    <w:semiHidden/>
    <w:unhideWhenUsed/>
    <w:uiPriority w:val="99"/>
    <w:pPr>
      <w:spacing w:after="120"/>
      <w:ind w:left="1440" w:leftChars="700" w:right="1440" w:rightChars="700"/>
    </w:pPr>
  </w:style>
  <w:style w:type="paragraph" w:styleId="16">
    <w:name w:val="toc 3"/>
    <w:basedOn w:val="1"/>
    <w:next w:val="1"/>
    <w:unhideWhenUsed/>
    <w:uiPriority w:val="39"/>
    <w:pPr>
      <w:ind w:left="840" w:leftChars="400"/>
    </w:pPr>
  </w:style>
  <w:style w:type="paragraph" w:styleId="17">
    <w:name w:val="Plain Text"/>
    <w:basedOn w:val="1"/>
    <w:link w:val="49"/>
    <w:qFormat/>
    <w:uiPriority w:val="0"/>
    <w:rPr>
      <w:rFonts w:ascii="宋体" w:hAnsi="Courier New"/>
      <w:kern w:val="0"/>
      <w:sz w:val="20"/>
      <w:szCs w:val="21"/>
    </w:rPr>
  </w:style>
  <w:style w:type="paragraph" w:styleId="18">
    <w:name w:val="Date"/>
    <w:basedOn w:val="1"/>
    <w:next w:val="1"/>
    <w:link w:val="50"/>
    <w:unhideWhenUsed/>
    <w:uiPriority w:val="99"/>
    <w:pPr>
      <w:ind w:left="100" w:leftChars="2500"/>
    </w:pPr>
  </w:style>
  <w:style w:type="paragraph" w:styleId="19">
    <w:name w:val="Body Text Indent 2"/>
    <w:basedOn w:val="1"/>
    <w:link w:val="103"/>
    <w:unhideWhenUsed/>
    <w:uiPriority w:val="99"/>
    <w:pPr>
      <w:spacing w:after="120" w:line="480" w:lineRule="auto"/>
      <w:ind w:left="420" w:leftChars="200"/>
    </w:pPr>
  </w:style>
  <w:style w:type="paragraph" w:styleId="20">
    <w:name w:val="Balloon Text"/>
    <w:basedOn w:val="1"/>
    <w:link w:val="51"/>
    <w:semiHidden/>
    <w:uiPriority w:val="99"/>
    <w:rPr>
      <w:sz w:val="18"/>
      <w:szCs w:val="18"/>
    </w:rPr>
  </w:style>
  <w:style w:type="paragraph" w:styleId="21">
    <w:name w:val="footer"/>
    <w:basedOn w:val="1"/>
    <w:link w:val="52"/>
    <w:unhideWhenUsed/>
    <w:qFormat/>
    <w:uiPriority w:val="99"/>
    <w:pPr>
      <w:tabs>
        <w:tab w:val="center" w:pos="4153"/>
        <w:tab w:val="right" w:pos="8306"/>
      </w:tabs>
      <w:snapToGrid w:val="0"/>
      <w:jc w:val="left"/>
    </w:pPr>
    <w:rPr>
      <w:kern w:val="0"/>
      <w:sz w:val="18"/>
      <w:szCs w:val="18"/>
    </w:rPr>
  </w:style>
  <w:style w:type="paragraph" w:styleId="22">
    <w:name w:val="header"/>
    <w:basedOn w:val="1"/>
    <w:link w:val="53"/>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23">
    <w:name w:val="toc 1"/>
    <w:basedOn w:val="1"/>
    <w:next w:val="1"/>
    <w:unhideWhenUsed/>
    <w:uiPriority w:val="39"/>
  </w:style>
  <w:style w:type="paragraph" w:styleId="24">
    <w:name w:val="List"/>
    <w:basedOn w:val="1"/>
    <w:unhideWhenUsed/>
    <w:uiPriority w:val="99"/>
    <w:pPr>
      <w:ind w:left="200" w:hanging="200" w:hangingChars="200"/>
      <w:contextualSpacing/>
    </w:pPr>
  </w:style>
  <w:style w:type="paragraph" w:styleId="25">
    <w:name w:val="footnote text"/>
    <w:basedOn w:val="1"/>
    <w:link w:val="108"/>
    <w:semiHidden/>
    <w:unhideWhenUsed/>
    <w:uiPriority w:val="99"/>
    <w:pPr>
      <w:snapToGrid w:val="0"/>
      <w:jc w:val="left"/>
    </w:pPr>
    <w:rPr>
      <w:sz w:val="18"/>
      <w:szCs w:val="18"/>
    </w:rPr>
  </w:style>
  <w:style w:type="paragraph" w:styleId="26">
    <w:name w:val="toc 2"/>
    <w:basedOn w:val="1"/>
    <w:next w:val="1"/>
    <w:unhideWhenUsed/>
    <w:uiPriority w:val="99"/>
    <w:pPr>
      <w:tabs>
        <w:tab w:val="right" w:leader="dot" w:pos="8296"/>
      </w:tabs>
      <w:ind w:left="420" w:leftChars="200"/>
    </w:pPr>
  </w:style>
  <w:style w:type="paragraph" w:styleId="27">
    <w:name w:val="Normal (Web)"/>
    <w:basedOn w:val="1"/>
    <w:unhideWhenUsed/>
    <w:uiPriority w:val="99"/>
    <w:pPr>
      <w:spacing w:before="0" w:beforeAutospacing="0" w:after="0" w:afterAutospacing="0"/>
      <w:ind w:left="0" w:right="0"/>
      <w:jc w:val="both"/>
    </w:pPr>
    <w:rPr>
      <w:rFonts w:hint="default" w:ascii="Calibri" w:hAnsi="Calibri" w:cs="Calibri"/>
      <w:kern w:val="0"/>
      <w:sz w:val="24"/>
      <w:szCs w:val="24"/>
      <w:lang w:val="en-US" w:eastAsia="zh-CN" w:bidi="ar"/>
    </w:rPr>
  </w:style>
  <w:style w:type="paragraph" w:styleId="28">
    <w:name w:val="Title"/>
    <w:basedOn w:val="1"/>
    <w:next w:val="1"/>
    <w:link w:val="112"/>
    <w:qFormat/>
    <w:uiPriority w:val="10"/>
    <w:pPr>
      <w:spacing w:before="240" w:after="60"/>
      <w:jc w:val="center"/>
      <w:outlineLvl w:val="0"/>
    </w:pPr>
    <w:rPr>
      <w:rFonts w:ascii="Cambria" w:hAnsi="Cambria"/>
      <w:b/>
      <w:bCs/>
      <w:sz w:val="32"/>
      <w:szCs w:val="32"/>
    </w:rPr>
  </w:style>
  <w:style w:type="paragraph" w:styleId="29">
    <w:name w:val="annotation subject"/>
    <w:basedOn w:val="10"/>
    <w:next w:val="10"/>
    <w:link w:val="54"/>
    <w:uiPriority w:val="99"/>
    <w:rPr>
      <w:b/>
      <w:bCs/>
    </w:rPr>
  </w:style>
  <w:style w:type="paragraph" w:styleId="30">
    <w:name w:val="Body Text First Indent"/>
    <w:basedOn w:val="12"/>
    <w:link w:val="106"/>
    <w:unhideWhenUsed/>
    <w:uiPriority w:val="99"/>
    <w:pPr>
      <w:spacing w:before="100" w:beforeAutospacing="1"/>
      <w:ind w:firstLine="420" w:firstLineChars="100"/>
    </w:pPr>
    <w:rPr>
      <w:rFonts w:ascii="宋体"/>
      <w:sz w:val="34"/>
      <w:szCs w:val="34"/>
    </w:rPr>
  </w:style>
  <w:style w:type="table" w:styleId="32">
    <w:name w:val="Table Grid"/>
    <w:basedOn w:val="31"/>
    <w:uiPriority w:val="59"/>
    <w:tblPr>
      <w:tblStyle w:val="31"/>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4">
    <w:name w:val="endnote reference"/>
    <w:unhideWhenUsed/>
    <w:uiPriority w:val="99"/>
    <w:rPr>
      <w:vertAlign w:val="superscript"/>
    </w:rPr>
  </w:style>
  <w:style w:type="character" w:styleId="35">
    <w:name w:val="page number"/>
    <w:uiPriority w:val="0"/>
  </w:style>
  <w:style w:type="character" w:styleId="36">
    <w:name w:val="FollowedHyperlink"/>
    <w:unhideWhenUsed/>
    <w:uiPriority w:val="99"/>
    <w:rPr>
      <w:color w:val="800080"/>
      <w:u w:val="single"/>
    </w:rPr>
  </w:style>
  <w:style w:type="character" w:styleId="37">
    <w:name w:val="Hyperlink"/>
    <w:unhideWhenUsed/>
    <w:uiPriority w:val="99"/>
    <w:rPr>
      <w:color w:val="0000FF"/>
      <w:u w:val="single"/>
    </w:rPr>
  </w:style>
  <w:style w:type="character" w:styleId="38">
    <w:name w:val="annotation reference"/>
    <w:uiPriority w:val="99"/>
    <w:rPr>
      <w:sz w:val="21"/>
      <w:szCs w:val="21"/>
    </w:rPr>
  </w:style>
  <w:style w:type="character" w:styleId="39">
    <w:name w:val="footnote reference"/>
    <w:semiHidden/>
    <w:unhideWhenUsed/>
    <w:uiPriority w:val="99"/>
    <w:rPr>
      <w:vertAlign w:val="superscript"/>
    </w:rPr>
  </w:style>
  <w:style w:type="character" w:customStyle="1" w:styleId="40">
    <w:name w:val="标题 1 Char"/>
    <w:link w:val="2"/>
    <w:uiPriority w:val="99"/>
    <w:rPr>
      <w:b/>
      <w:bCs/>
      <w:kern w:val="44"/>
      <w:sz w:val="44"/>
      <w:szCs w:val="44"/>
    </w:rPr>
  </w:style>
  <w:style w:type="character" w:customStyle="1" w:styleId="41">
    <w:name w:val="标题 2 Char1"/>
    <w:link w:val="3"/>
    <w:uiPriority w:val="9"/>
    <w:rPr>
      <w:rFonts w:ascii="Cambria" w:hAnsi="Cambria" w:eastAsia="宋体" w:cs="Times New Roman"/>
      <w:b/>
      <w:bCs/>
      <w:kern w:val="2"/>
      <w:sz w:val="32"/>
      <w:szCs w:val="32"/>
    </w:rPr>
  </w:style>
  <w:style w:type="character" w:customStyle="1" w:styleId="42">
    <w:name w:val="标题 3 Char"/>
    <w:link w:val="4"/>
    <w:uiPriority w:val="99"/>
    <w:rPr>
      <w:b/>
      <w:bCs/>
      <w:kern w:val="2"/>
      <w:sz w:val="32"/>
      <w:szCs w:val="32"/>
    </w:rPr>
  </w:style>
  <w:style w:type="character" w:customStyle="1" w:styleId="43">
    <w:name w:val="标题 5 Char"/>
    <w:link w:val="6"/>
    <w:uiPriority w:val="9"/>
    <w:rPr>
      <w:rFonts w:ascii="Times New Roman" w:hAnsi="Times New Roman"/>
      <w:b/>
      <w:bCs/>
      <w:kern w:val="2"/>
      <w:sz w:val="28"/>
      <w:szCs w:val="28"/>
    </w:rPr>
  </w:style>
  <w:style w:type="character" w:customStyle="1" w:styleId="44">
    <w:name w:val="标题 8 Char1"/>
    <w:link w:val="8"/>
    <w:uiPriority w:val="9"/>
    <w:rPr>
      <w:rFonts w:ascii="等线 Light" w:hAnsi="等线 Light" w:eastAsia="等线 Light" w:cs="Times New Roman"/>
      <w:kern w:val="2"/>
      <w:sz w:val="24"/>
      <w:szCs w:val="24"/>
    </w:rPr>
  </w:style>
  <w:style w:type="character" w:customStyle="1" w:styleId="45">
    <w:name w:val="批注文字 Char1"/>
    <w:link w:val="10"/>
    <w:uiPriority w:val="0"/>
    <w:rPr>
      <w:rFonts w:ascii="Times New Roman" w:hAnsi="Times New Roman"/>
      <w:kern w:val="2"/>
      <w:sz w:val="21"/>
      <w:szCs w:val="24"/>
    </w:rPr>
  </w:style>
  <w:style w:type="character" w:customStyle="1" w:styleId="46">
    <w:name w:val="正文文本 3 Char"/>
    <w:link w:val="11"/>
    <w:uiPriority w:val="99"/>
    <w:rPr>
      <w:kern w:val="2"/>
      <w:sz w:val="16"/>
      <w:szCs w:val="16"/>
    </w:rPr>
  </w:style>
  <w:style w:type="character" w:customStyle="1" w:styleId="47">
    <w:name w:val="正文文本 Char1"/>
    <w:link w:val="12"/>
    <w:uiPriority w:val="0"/>
    <w:rPr>
      <w:rFonts w:ascii="Times New Roman" w:hAnsi="Times New Roman"/>
      <w:kern w:val="2"/>
      <w:sz w:val="21"/>
      <w:szCs w:val="24"/>
    </w:rPr>
  </w:style>
  <w:style w:type="character" w:customStyle="1" w:styleId="48">
    <w:name w:val="正文文本缩进 Char"/>
    <w:link w:val="13"/>
    <w:uiPriority w:val="99"/>
    <w:rPr>
      <w:rFonts w:ascii="仿宋_GB2312" w:hAnsi="Times New Roman" w:eastAsia="仿宋_GB2312" w:cs="Times New Roman"/>
      <w:sz w:val="32"/>
      <w:szCs w:val="20"/>
    </w:rPr>
  </w:style>
  <w:style w:type="character" w:customStyle="1" w:styleId="49">
    <w:name w:val="纯文本 Char1"/>
    <w:link w:val="17"/>
    <w:qFormat/>
    <w:uiPriority w:val="0"/>
    <w:rPr>
      <w:rFonts w:ascii="宋体" w:hAnsi="Courier New" w:eastAsia="宋体" w:cs="Courier New"/>
      <w:szCs w:val="21"/>
    </w:rPr>
  </w:style>
  <w:style w:type="character" w:customStyle="1" w:styleId="50">
    <w:name w:val="日期 Char"/>
    <w:link w:val="18"/>
    <w:uiPriority w:val="99"/>
    <w:rPr>
      <w:rFonts w:ascii="Times New Roman" w:hAnsi="Times New Roman"/>
      <w:kern w:val="2"/>
      <w:sz w:val="21"/>
      <w:szCs w:val="24"/>
    </w:rPr>
  </w:style>
  <w:style w:type="character" w:customStyle="1" w:styleId="51">
    <w:name w:val="批注框文本 Char"/>
    <w:link w:val="20"/>
    <w:semiHidden/>
    <w:uiPriority w:val="99"/>
    <w:rPr>
      <w:kern w:val="2"/>
      <w:sz w:val="18"/>
      <w:szCs w:val="18"/>
    </w:rPr>
  </w:style>
  <w:style w:type="character" w:customStyle="1" w:styleId="52">
    <w:name w:val="页脚 Char"/>
    <w:link w:val="21"/>
    <w:qFormat/>
    <w:uiPriority w:val="99"/>
    <w:rPr>
      <w:sz w:val="18"/>
      <w:szCs w:val="18"/>
    </w:rPr>
  </w:style>
  <w:style w:type="character" w:customStyle="1" w:styleId="53">
    <w:name w:val="页眉 Char"/>
    <w:link w:val="22"/>
    <w:qFormat/>
    <w:uiPriority w:val="99"/>
    <w:rPr>
      <w:sz w:val="18"/>
      <w:szCs w:val="18"/>
    </w:rPr>
  </w:style>
  <w:style w:type="character" w:customStyle="1" w:styleId="54">
    <w:name w:val="批注主题 Char"/>
    <w:link w:val="29"/>
    <w:uiPriority w:val="99"/>
    <w:rPr>
      <w:rFonts w:ascii="Times New Roman" w:hAnsi="Times New Roman"/>
      <w:b/>
      <w:bCs/>
      <w:kern w:val="2"/>
      <w:sz w:val="21"/>
      <w:szCs w:val="24"/>
    </w:rPr>
  </w:style>
  <w:style w:type="character" w:customStyle="1" w:styleId="55">
    <w:name w:val="纯文本 字符2"/>
    <w:qFormat/>
    <w:uiPriority w:val="0"/>
    <w:rPr>
      <w:rFonts w:ascii="宋体" w:hAnsi="Courier New" w:eastAsia="宋体" w:cs="Courier New"/>
      <w:szCs w:val="21"/>
    </w:rPr>
  </w:style>
  <w:style w:type="character" w:customStyle="1" w:styleId="56">
    <w:name w:val="apple-style-span"/>
    <w:uiPriority w:val="0"/>
  </w:style>
  <w:style w:type="character" w:customStyle="1" w:styleId="57">
    <w:name w:val="标题 2 Char"/>
    <w:uiPriority w:val="99"/>
    <w:rPr>
      <w:rFonts w:ascii="Cambria" w:hAnsi="Cambria" w:eastAsia="宋体" w:cs="Times New Roman"/>
      <w:b/>
      <w:bCs/>
      <w:kern w:val="2"/>
      <w:sz w:val="32"/>
      <w:szCs w:val="32"/>
    </w:rPr>
  </w:style>
  <w:style w:type="character" w:customStyle="1" w:styleId="58">
    <w:name w:val="纯文本 字符"/>
    <w:qFormat/>
    <w:uiPriority w:val="0"/>
    <w:rPr>
      <w:rFonts w:ascii="宋体" w:hAnsi="Courier New" w:eastAsia="宋体" w:cs="Courier New"/>
      <w:szCs w:val="21"/>
    </w:rPr>
  </w:style>
  <w:style w:type="character" w:customStyle="1" w:styleId="59">
    <w:name w:val="纯文本 字符1"/>
    <w:qFormat/>
    <w:uiPriority w:val="0"/>
    <w:rPr>
      <w:rFonts w:ascii="宋体" w:hAnsi="Courier New"/>
    </w:rPr>
  </w:style>
  <w:style w:type="character" w:customStyle="1" w:styleId="60">
    <w:name w:val="标题 8 Char"/>
    <w:uiPriority w:val="0"/>
    <w:rPr>
      <w:rFonts w:ascii="Arial" w:hAnsi="Arial" w:eastAsia="黑体"/>
      <w:kern w:val="2"/>
      <w:sz w:val="24"/>
      <w:szCs w:val="24"/>
    </w:rPr>
  </w:style>
  <w:style w:type="character" w:customStyle="1" w:styleId="61">
    <w:name w:val="纯文本 Char"/>
    <w:aliases w:val="普通文字1 Char1,普通文字2 Char1,普通文字3 Char1,普通文字4 Char1,普通文字5 Char1,普通文字6 Char1,普通文字11 Char1,普通文字21 Char1,普通文字31 Char1,普通文字41 Char1,普通文字7 Char1,普通文字 Char Char2,纯文本 Char1 Char Char Char1,纯文本 Char Char Char Char Char1,纯文本 Char Char1 Char1,普通文字 Char Char1"/>
    <w:qFormat/>
    <w:uiPriority w:val="99"/>
    <w:rPr>
      <w:rFonts w:ascii="宋体" w:hAnsi="Courier New" w:eastAsia="宋体" w:cs="Courier New"/>
      <w:szCs w:val="21"/>
    </w:rPr>
  </w:style>
  <w:style w:type="character" w:customStyle="1" w:styleId="62">
    <w:name w:val="正文文本 Char"/>
    <w:uiPriority w:val="99"/>
    <w:rPr>
      <w:rFonts w:ascii="Times New Roman" w:hAnsi="Times New Roman"/>
      <w:kern w:val="2"/>
      <w:sz w:val="21"/>
      <w:szCs w:val="24"/>
    </w:rPr>
  </w:style>
  <w:style w:type="character" w:customStyle="1" w:styleId="63">
    <w:name w:val="批注文字 字符1"/>
    <w:uiPriority w:val="0"/>
    <w:rPr>
      <w:rFonts w:ascii="Times New Roman" w:hAnsi="Times New Roman"/>
      <w:kern w:val="2"/>
      <w:sz w:val="21"/>
      <w:szCs w:val="24"/>
    </w:rPr>
  </w:style>
  <w:style w:type="character" w:customStyle="1" w:styleId="64">
    <w:name w:val="正文文本 (26) + 间距 0 pt"/>
    <w:uiPriority w:val="0"/>
    <w:rPr>
      <w:rFonts w:ascii="宋体" w:hAnsi="宋体" w:eastAsia="宋体" w:cs="宋体"/>
      <w:color w:val="000000"/>
      <w:spacing w:val="0"/>
      <w:w w:val="100"/>
      <w:position w:val="0"/>
      <w:sz w:val="22"/>
      <w:szCs w:val="22"/>
      <w:u w:val="none"/>
      <w:lang w:val="zh-CN" w:eastAsia="zh-CN" w:bidi="zh-CN"/>
    </w:rPr>
  </w:style>
  <w:style w:type="character" w:customStyle="1" w:styleId="65">
    <w:name w:val="标题 1 字符1"/>
    <w:uiPriority w:val="0"/>
    <w:rPr>
      <w:b/>
      <w:bCs/>
      <w:kern w:val="44"/>
      <w:sz w:val="44"/>
      <w:szCs w:val="44"/>
    </w:rPr>
  </w:style>
  <w:style w:type="character" w:customStyle="1" w:styleId="66">
    <w:name w:val="正文文本 字符"/>
    <w:uiPriority w:val="0"/>
    <w:rPr>
      <w:rFonts w:ascii="Times New Roman" w:hAnsi="Times New Roman"/>
      <w:kern w:val="2"/>
      <w:sz w:val="21"/>
      <w:szCs w:val="24"/>
    </w:rPr>
  </w:style>
  <w:style w:type="character" w:customStyle="1" w:styleId="67">
    <w:name w:val="批注文字 字符"/>
    <w:uiPriority w:val="0"/>
    <w:rPr>
      <w:rFonts w:ascii="Times New Roman" w:hAnsi="Times New Roman"/>
      <w:kern w:val="2"/>
      <w:sz w:val="21"/>
      <w:szCs w:val="24"/>
    </w:rPr>
  </w:style>
  <w:style w:type="character" w:customStyle="1" w:styleId="68">
    <w:name w:val="textcontents"/>
    <w:uiPriority w:val="0"/>
  </w:style>
  <w:style w:type="character" w:customStyle="1" w:styleId="69">
    <w:name w:val="批注文字 Char"/>
    <w:uiPriority w:val="99"/>
    <w:rPr>
      <w:rFonts w:ascii="Times New Roman" w:hAnsi="Times New Roman"/>
      <w:kern w:val="2"/>
      <w:sz w:val="21"/>
      <w:szCs w:val="24"/>
    </w:rPr>
  </w:style>
  <w:style w:type="paragraph" w:customStyle="1" w:styleId="70">
    <w:name w:val="表内文字"/>
    <w:basedOn w:val="1"/>
    <w:uiPriority w:val="99"/>
    <w:pPr>
      <w:snapToGrid w:val="0"/>
      <w:spacing w:before="50" w:after="50"/>
      <w:jc w:val="center"/>
    </w:pPr>
    <w:rPr>
      <w:rFonts w:ascii="仿宋_GB2312" w:hAnsi="宋体" w:eastAsia="仿宋_GB2312"/>
      <w:b/>
      <w:color w:val="000000"/>
      <w:sz w:val="32"/>
      <w:szCs w:val="32"/>
    </w:rPr>
  </w:style>
  <w:style w:type="paragraph" w:styleId="71">
    <w:name w:val="List Paragraph"/>
    <w:basedOn w:val="1"/>
    <w:qFormat/>
    <w:uiPriority w:val="34"/>
    <w:pPr>
      <w:ind w:firstLine="420" w:firstLineChars="200"/>
    </w:pPr>
  </w:style>
  <w:style w:type="paragraph" w:customStyle="1" w:styleId="72">
    <w:name w:val="默认段落字体 Para Char Char Char Char Char Char Char Char Char1 Char Char Char Char"/>
    <w:basedOn w:val="1"/>
    <w:uiPriority w:val="99"/>
    <w:rPr>
      <w:rFonts w:ascii="Tahoma" w:hAnsi="Tahoma"/>
      <w:sz w:val="24"/>
      <w:szCs w:val="20"/>
    </w:rPr>
  </w:style>
  <w:style w:type="paragraph" w:customStyle="1" w:styleId="73">
    <w:name w:val="Table Paragraph"/>
    <w:basedOn w:val="1"/>
    <w:qFormat/>
    <w:uiPriority w:val="1"/>
    <w:pPr>
      <w:jc w:val="left"/>
    </w:pPr>
    <w:rPr>
      <w:rFonts w:ascii="Calibri" w:hAnsi="Calibri"/>
      <w:kern w:val="0"/>
      <w:sz w:val="22"/>
      <w:szCs w:val="22"/>
      <w:lang w:eastAsia="en-US"/>
    </w:rPr>
  </w:style>
  <w:style w:type="paragraph" w:customStyle="1" w:styleId="74">
    <w:name w:val="Char Char Char Char"/>
    <w:basedOn w:val="1"/>
    <w:uiPriority w:val="99"/>
    <w:pPr>
      <w:widowControl/>
      <w:spacing w:after="160" w:line="240" w:lineRule="exact"/>
      <w:jc w:val="left"/>
    </w:pPr>
  </w:style>
  <w:style w:type="character" w:customStyle="1" w:styleId="75">
    <w:name w:val="未处理的提及"/>
    <w:unhideWhenUsed/>
    <w:uiPriority w:val="99"/>
    <w:rPr>
      <w:color w:val="605E5C"/>
      <w:shd w:val="clear" w:color="auto" w:fill="E1DFDD"/>
    </w:rPr>
  </w:style>
  <w:style w:type="paragraph" w:styleId="76">
    <w:name w:val=""/>
    <w:basedOn w:val="2"/>
    <w:next w:val="1"/>
    <w:qFormat/>
    <w:uiPriority w:val="39"/>
    <w:pPr>
      <w:widowControl/>
      <w:spacing w:before="240" w:after="0" w:line="259" w:lineRule="auto"/>
      <w:jc w:val="left"/>
      <w:outlineLvl w:val="9"/>
    </w:pPr>
    <w:rPr>
      <w:rFonts w:ascii="等线 Light" w:hAnsi="等线 Light" w:eastAsia="等线 Light" w:cs="Times New Roman"/>
      <w:b w:val="0"/>
      <w:bCs w:val="0"/>
      <w:color w:val="2F5496"/>
      <w:kern w:val="0"/>
      <w:sz w:val="32"/>
      <w:szCs w:val="32"/>
      <w:lang w:val="en-US" w:eastAsia="zh-CN"/>
    </w:rPr>
  </w:style>
  <w:style w:type="character" w:customStyle="1" w:styleId="77">
    <w:name w:val="正文2 Char Char"/>
    <w:link w:val="78"/>
    <w:qFormat/>
    <w:uiPriority w:val="0"/>
    <w:rPr>
      <w:sz w:val="24"/>
    </w:rPr>
  </w:style>
  <w:style w:type="paragraph" w:customStyle="1" w:styleId="78">
    <w:name w:val="正文2"/>
    <w:basedOn w:val="1"/>
    <w:link w:val="77"/>
    <w:qFormat/>
    <w:uiPriority w:val="0"/>
    <w:pPr>
      <w:adjustRightInd w:val="0"/>
      <w:spacing w:before="156" w:line="360" w:lineRule="auto"/>
      <w:ind w:firstLine="510" w:firstLineChars="200"/>
    </w:pPr>
    <w:rPr>
      <w:kern w:val="0"/>
      <w:sz w:val="24"/>
      <w:szCs w:val="20"/>
    </w:rPr>
  </w:style>
  <w:style w:type="paragraph" w:customStyle="1" w:styleId="79">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80">
    <w:name w:val="正文缩进1"/>
    <w:basedOn w:val="1"/>
    <w:next w:val="13"/>
    <w:qFormat/>
    <w:uiPriority w:val="99"/>
    <w:pPr>
      <w:autoSpaceDE w:val="0"/>
      <w:autoSpaceDN w:val="0"/>
      <w:adjustRightInd w:val="0"/>
      <w:snapToGrid w:val="0"/>
      <w:spacing w:after="120" w:line="360" w:lineRule="auto"/>
      <w:ind w:left="420" w:leftChars="200" w:firstLine="480" w:firstLineChars="200"/>
    </w:pPr>
    <w:rPr>
      <w:sz w:val="24"/>
      <w:szCs w:val="21"/>
    </w:rPr>
  </w:style>
  <w:style w:type="character" w:customStyle="1" w:styleId="81">
    <w:name w:val="标题 1 字符"/>
    <w:uiPriority w:val="9"/>
    <w:rPr>
      <w:b/>
      <w:bCs/>
      <w:kern w:val="44"/>
      <w:sz w:val="44"/>
      <w:szCs w:val="44"/>
    </w:rPr>
  </w:style>
  <w:style w:type="character" w:customStyle="1" w:styleId="82">
    <w:name w:val="标题 2 字符"/>
    <w:uiPriority w:val="9"/>
    <w:rPr>
      <w:rFonts w:ascii="Cambria" w:hAnsi="Cambria"/>
      <w:b/>
      <w:bCs/>
      <w:kern w:val="2"/>
      <w:sz w:val="32"/>
      <w:szCs w:val="32"/>
    </w:rPr>
  </w:style>
  <w:style w:type="character" w:customStyle="1" w:styleId="83">
    <w:name w:val="标题 3 字符"/>
    <w:uiPriority w:val="9"/>
    <w:rPr>
      <w:b/>
      <w:bCs/>
      <w:kern w:val="2"/>
      <w:sz w:val="32"/>
      <w:szCs w:val="32"/>
    </w:rPr>
  </w:style>
  <w:style w:type="character" w:customStyle="1" w:styleId="84">
    <w:name w:val="标题 5 字符"/>
    <w:uiPriority w:val="9"/>
    <w:rPr>
      <w:b/>
      <w:bCs/>
      <w:kern w:val="2"/>
      <w:sz w:val="28"/>
      <w:szCs w:val="28"/>
    </w:rPr>
  </w:style>
  <w:style w:type="character" w:customStyle="1" w:styleId="85">
    <w:name w:val="标题 8 字符"/>
    <w:uiPriority w:val="9"/>
    <w:rPr>
      <w:rFonts w:ascii="等线 Light" w:hAnsi="等线 Light" w:eastAsia="等线 Light"/>
      <w:kern w:val="2"/>
      <w:sz w:val="24"/>
      <w:szCs w:val="24"/>
    </w:rPr>
  </w:style>
  <w:style w:type="character" w:customStyle="1" w:styleId="86">
    <w:name w:val="批注文字 字符2"/>
    <w:uiPriority w:val="99"/>
    <w:rPr>
      <w:kern w:val="2"/>
      <w:sz w:val="21"/>
      <w:szCs w:val="24"/>
    </w:rPr>
  </w:style>
  <w:style w:type="character" w:customStyle="1" w:styleId="87">
    <w:name w:val="正文文本 3 字符"/>
    <w:uiPriority w:val="99"/>
    <w:rPr>
      <w:kern w:val="2"/>
      <w:sz w:val="16"/>
      <w:szCs w:val="16"/>
    </w:rPr>
  </w:style>
  <w:style w:type="character" w:customStyle="1" w:styleId="88">
    <w:name w:val="正文文本 字符1"/>
    <w:uiPriority w:val="99"/>
    <w:rPr>
      <w:kern w:val="2"/>
      <w:sz w:val="21"/>
      <w:szCs w:val="24"/>
    </w:rPr>
  </w:style>
  <w:style w:type="character" w:customStyle="1" w:styleId="89">
    <w:name w:val="正文文本缩进 字符"/>
    <w:uiPriority w:val="99"/>
    <w:rPr>
      <w:rFonts w:ascii="仿宋_GB2312" w:eastAsia="仿宋_GB2312"/>
      <w:sz w:val="32"/>
    </w:rPr>
  </w:style>
  <w:style w:type="character" w:customStyle="1" w:styleId="90">
    <w:name w:val="纯文本 字符3"/>
    <w:qFormat/>
    <w:uiPriority w:val="99"/>
    <w:rPr>
      <w:rFonts w:ascii="宋体" w:hAnsi="Courier New"/>
      <w:szCs w:val="21"/>
    </w:rPr>
  </w:style>
  <w:style w:type="character" w:customStyle="1" w:styleId="91">
    <w:name w:val="日期 字符"/>
    <w:uiPriority w:val="99"/>
    <w:rPr>
      <w:kern w:val="2"/>
      <w:sz w:val="21"/>
      <w:szCs w:val="24"/>
    </w:rPr>
  </w:style>
  <w:style w:type="character" w:customStyle="1" w:styleId="92">
    <w:name w:val="页脚 字符"/>
    <w:qFormat/>
    <w:uiPriority w:val="99"/>
    <w:rPr>
      <w:sz w:val="18"/>
      <w:szCs w:val="18"/>
    </w:rPr>
  </w:style>
  <w:style w:type="character" w:customStyle="1" w:styleId="93">
    <w:name w:val="页眉 字符"/>
    <w:qFormat/>
    <w:uiPriority w:val="99"/>
    <w:rPr>
      <w:sz w:val="18"/>
      <w:szCs w:val="18"/>
    </w:rPr>
  </w:style>
  <w:style w:type="character" w:customStyle="1" w:styleId="94">
    <w:name w:val="批注主题 字符"/>
    <w:uiPriority w:val="99"/>
    <w:rPr>
      <w:rFonts w:ascii="Times New Roman" w:hAnsi="Times New Roman"/>
      <w:b/>
      <w:bCs/>
      <w:kern w:val="2"/>
      <w:sz w:val="21"/>
      <w:szCs w:val="24"/>
    </w:rPr>
  </w:style>
  <w:style w:type="paragraph" w:customStyle="1" w:styleId="95">
    <w:name w:val="_Style 94"/>
    <w:basedOn w:val="1"/>
    <w:unhideWhenUsed/>
    <w:uiPriority w:val="99"/>
  </w:style>
  <w:style w:type="paragraph" w:customStyle="1" w:styleId="96">
    <w:name w:val="_Style 95"/>
    <w:basedOn w:val="1"/>
    <w:unhideWhenUsed/>
    <w:uiPriority w:val="99"/>
  </w:style>
  <w:style w:type="paragraph" w:customStyle="1" w:styleId="97">
    <w:name w:val="msonormal"/>
    <w:basedOn w:val="1"/>
    <w:uiPriority w:val="99"/>
    <w:rPr>
      <w:rFonts w:ascii="Calibri" w:hAnsi="Calibri"/>
      <w:kern w:val="0"/>
      <w:sz w:val="24"/>
    </w:rPr>
  </w:style>
  <w:style w:type="character" w:customStyle="1" w:styleId="98">
    <w:name w:val="font71"/>
    <w:uiPriority w:val="0"/>
    <w:rPr>
      <w:rFonts w:hint="default" w:ascii="Times New Roman" w:hAnsi="Times New Roman" w:cs="Times New Roman"/>
      <w:color w:val="000000"/>
      <w:sz w:val="21"/>
      <w:szCs w:val="21"/>
      <w:u w:val="none"/>
    </w:rPr>
  </w:style>
  <w:style w:type="character" w:customStyle="1" w:styleId="99">
    <w:name w:val="font91"/>
    <w:uiPriority w:val="0"/>
    <w:rPr>
      <w:rFonts w:hint="default" w:ascii="Times New Roman" w:hAnsi="Times New Roman" w:cs="Times New Roman"/>
      <w:color w:val="000000"/>
      <w:sz w:val="21"/>
      <w:szCs w:val="21"/>
      <w:u w:val="none"/>
      <w:vertAlign w:val="superscript"/>
    </w:rPr>
  </w:style>
  <w:style w:type="character" w:customStyle="1" w:styleId="100">
    <w:name w:val="font01"/>
    <w:uiPriority w:val="0"/>
    <w:rPr>
      <w:rFonts w:hint="eastAsia" w:ascii="宋体" w:hAnsi="宋体" w:eastAsia="宋体" w:cs="宋体"/>
      <w:color w:val="000000"/>
      <w:sz w:val="21"/>
      <w:szCs w:val="21"/>
      <w:u w:val="none"/>
    </w:rPr>
  </w:style>
  <w:style w:type="character" w:customStyle="1" w:styleId="101">
    <w:name w:val="font31"/>
    <w:uiPriority w:val="0"/>
    <w:rPr>
      <w:rFonts w:hint="default" w:ascii="Times New Roman" w:hAnsi="Times New Roman" w:cs="Times New Roman"/>
      <w:b/>
      <w:bCs/>
      <w:color w:val="000000"/>
      <w:sz w:val="21"/>
      <w:szCs w:val="21"/>
      <w:u w:val="none"/>
    </w:rPr>
  </w:style>
  <w:style w:type="character" w:customStyle="1" w:styleId="102">
    <w:name w:val="font81"/>
    <w:uiPriority w:val="0"/>
    <w:rPr>
      <w:rFonts w:hint="eastAsia" w:ascii="宋体" w:hAnsi="宋体" w:eastAsia="宋体" w:cs="宋体"/>
      <w:b/>
      <w:bCs/>
      <w:color w:val="000000"/>
      <w:sz w:val="21"/>
      <w:szCs w:val="21"/>
      <w:u w:val="none"/>
    </w:rPr>
  </w:style>
  <w:style w:type="character" w:customStyle="1" w:styleId="103">
    <w:name w:val="正文文本缩进 2 Char"/>
    <w:link w:val="19"/>
    <w:uiPriority w:val="99"/>
    <w:rPr>
      <w:kern w:val="2"/>
      <w:sz w:val="21"/>
      <w:szCs w:val="24"/>
    </w:rPr>
  </w:style>
  <w:style w:type="character" w:customStyle="1" w:styleId="104">
    <w:name w:val="标题 4 Char"/>
    <w:link w:val="5"/>
    <w:uiPriority w:val="99"/>
    <w:rPr>
      <w:rFonts w:ascii="Arial" w:hAnsi="Arial" w:eastAsia="黑体"/>
      <w:b/>
      <w:bCs/>
      <w:kern w:val="2"/>
      <w:sz w:val="28"/>
      <w:szCs w:val="28"/>
    </w:rPr>
  </w:style>
  <w:style w:type="paragraph" w:customStyle="1" w:styleId="105">
    <w:name w:val="列出段落1"/>
    <w:basedOn w:val="1"/>
    <w:uiPriority w:val="0"/>
    <w:pPr>
      <w:ind w:firstLine="420" w:firstLineChars="200"/>
    </w:pPr>
    <w:rPr>
      <w:rFonts w:ascii="Calibri" w:hAnsi="Calibri"/>
      <w:szCs w:val="21"/>
    </w:rPr>
  </w:style>
  <w:style w:type="character" w:customStyle="1" w:styleId="106">
    <w:name w:val="正文首行缩进 Char"/>
    <w:link w:val="30"/>
    <w:uiPriority w:val="99"/>
    <w:rPr>
      <w:rFonts w:ascii="宋体" w:hAnsi="Times New Roman"/>
      <w:kern w:val="2"/>
      <w:sz w:val="34"/>
      <w:szCs w:val="34"/>
    </w:rPr>
  </w:style>
  <w:style w:type="character" w:customStyle="1" w:styleId="107">
    <w:name w:val="15"/>
    <w:uiPriority w:val="0"/>
    <w:rPr>
      <w:rFonts w:hint="default" w:ascii="Times New Roman" w:hAnsi="Times New Roman" w:cs="Times New Roman"/>
      <w:color w:val="0000FF"/>
      <w:u w:val="single"/>
    </w:rPr>
  </w:style>
  <w:style w:type="character" w:customStyle="1" w:styleId="108">
    <w:name w:val="脚注文本 Char"/>
    <w:link w:val="25"/>
    <w:semiHidden/>
    <w:uiPriority w:val="99"/>
    <w:rPr>
      <w:kern w:val="2"/>
      <w:sz w:val="18"/>
      <w:szCs w:val="18"/>
    </w:rPr>
  </w:style>
  <w:style w:type="paragraph" w:customStyle="1" w:styleId="109">
    <w:name w:val="正文-公1"/>
    <w:basedOn w:val="1"/>
    <w:qFormat/>
    <w:uiPriority w:val="0"/>
    <w:pPr>
      <w:ind w:firstLine="200" w:firstLineChars="200"/>
    </w:pPr>
    <w:rPr>
      <w:rFonts w:ascii="Calibri" w:hAnsi="Calibri" w:eastAsia="等线" w:cs="Calibri"/>
      <w:color w:val="000000"/>
      <w:szCs w:val="21"/>
    </w:rPr>
  </w:style>
  <w:style w:type="paragraph" w:customStyle="1" w:styleId="110">
    <w:name w:val="纯文本1"/>
    <w:basedOn w:val="1"/>
    <w:next w:val="1"/>
    <w:qFormat/>
    <w:uiPriority w:val="0"/>
    <w:rPr>
      <w:rFonts w:ascii="宋体" w:hAnsi="宋体" w:eastAsia="等线"/>
      <w:sz w:val="20"/>
      <w:szCs w:val="21"/>
    </w:rPr>
  </w:style>
  <w:style w:type="paragraph" w:customStyle="1" w:styleId="111">
    <w:name w:val="方案正文"/>
    <w:basedOn w:val="1"/>
    <w:qFormat/>
    <w:uiPriority w:val="0"/>
    <w:pPr>
      <w:adjustRightInd w:val="0"/>
      <w:snapToGrid w:val="0"/>
      <w:spacing w:line="360" w:lineRule="auto"/>
      <w:ind w:firstLine="560" w:firstLineChars="200"/>
    </w:pPr>
    <w:rPr>
      <w:sz w:val="28"/>
    </w:rPr>
  </w:style>
  <w:style w:type="character" w:customStyle="1" w:styleId="112">
    <w:name w:val="标题 Char"/>
    <w:link w:val="28"/>
    <w:uiPriority w:val="10"/>
    <w:rPr>
      <w:rFonts w:ascii="Cambria" w:hAnsi="Cambria" w:cs="Times New Roman"/>
      <w:b/>
      <w:bCs/>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121</Pages>
  <Words>63129</Words>
  <Characters>66254</Characters>
  <Lines>545</Lines>
  <Paragraphs>153</Paragraphs>
  <TotalTime>0</TotalTime>
  <ScaleCrop>false</ScaleCrop>
  <LinksUpToDate>false</LinksUpToDate>
  <CharactersWithSpaces>72987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2023-06-26T07:44:00Z</dcterms:created>
  <dc:creator>唐冰</dc:creator>
  <cp:lastModifiedBy>Wings of freedom</cp:lastModifiedBy>
  <cp:lastPrinted>2021-08-26T02:26:00Z</cp:lastPrinted>
  <dcterms:modified xsi:type="dcterms:W3CDTF">2023-07-18T07:53:17Z</dcterms:modified>
  <dc:title>竞争性谈判文件规范</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5314960D0A42477183790685BB04902E_13</vt:lpwstr>
  </property>
</Properties>
</file>